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932" w:rsidRPr="001302F9" w:rsidRDefault="008D5932" w:rsidP="00D23BC2">
      <w:pPr>
        <w:jc w:val="both"/>
        <w:rPr>
          <w:rFonts w:ascii="Arial" w:hAnsi="Arial" w:cs="Arial"/>
          <w:lang w:val="sr-Latn-ME"/>
        </w:rPr>
      </w:pPr>
    </w:p>
    <w:p w:rsidR="008D5932" w:rsidRPr="001302F9" w:rsidRDefault="008D5932" w:rsidP="00D23BC2">
      <w:pPr>
        <w:jc w:val="both"/>
        <w:rPr>
          <w:rFonts w:ascii="Arial" w:hAnsi="Arial" w:cs="Arial"/>
          <w:lang w:val="sr-Latn-ME"/>
        </w:rPr>
      </w:pPr>
    </w:p>
    <w:p w:rsidR="008D5932" w:rsidRPr="001302F9" w:rsidRDefault="008D5932" w:rsidP="00D23BC2">
      <w:pPr>
        <w:jc w:val="both"/>
        <w:rPr>
          <w:rFonts w:ascii="Arial" w:hAnsi="Arial" w:cs="Arial"/>
          <w:lang w:val="sr-Latn-ME"/>
        </w:rPr>
      </w:pPr>
    </w:p>
    <w:p w:rsidR="008D5932" w:rsidRPr="001302F9" w:rsidRDefault="008D5932" w:rsidP="00D23BC2">
      <w:pPr>
        <w:jc w:val="both"/>
        <w:rPr>
          <w:rFonts w:ascii="Arial" w:hAnsi="Arial" w:cs="Arial"/>
          <w:lang w:val="sr-Latn-ME"/>
        </w:rPr>
      </w:pPr>
    </w:p>
    <w:p w:rsidR="008D5932" w:rsidRPr="001302F9" w:rsidRDefault="008D5932" w:rsidP="00D23BC2">
      <w:pPr>
        <w:jc w:val="both"/>
        <w:rPr>
          <w:rFonts w:ascii="Arial" w:hAnsi="Arial" w:cs="Arial"/>
          <w:lang w:val="sr-Latn-ME"/>
        </w:rPr>
      </w:pPr>
    </w:p>
    <w:p w:rsidR="008D5932" w:rsidRPr="001302F9" w:rsidRDefault="008D5932" w:rsidP="00D23BC2">
      <w:pPr>
        <w:jc w:val="both"/>
        <w:rPr>
          <w:rFonts w:ascii="Arial" w:hAnsi="Arial" w:cs="Arial"/>
          <w:lang w:val="sr-Latn-ME"/>
        </w:rPr>
      </w:pPr>
    </w:p>
    <w:p w:rsidR="008D5932" w:rsidRPr="001302F9" w:rsidRDefault="008D5932" w:rsidP="00D23BC2">
      <w:pPr>
        <w:jc w:val="both"/>
        <w:rPr>
          <w:rFonts w:ascii="Arial" w:hAnsi="Arial" w:cs="Arial"/>
          <w:lang w:val="sr-Latn-ME"/>
        </w:rPr>
      </w:pPr>
    </w:p>
    <w:p w:rsidR="008D5932" w:rsidRPr="001302F9" w:rsidRDefault="008D5932" w:rsidP="00D23BC2">
      <w:pPr>
        <w:jc w:val="both"/>
        <w:rPr>
          <w:rFonts w:ascii="Arial" w:hAnsi="Arial" w:cs="Arial"/>
          <w:lang w:val="sr-Latn-ME"/>
        </w:rPr>
      </w:pPr>
    </w:p>
    <w:p w:rsidR="00475DCC" w:rsidRPr="001302F9" w:rsidRDefault="00475DCC" w:rsidP="00D23BC2">
      <w:pPr>
        <w:spacing w:after="0" w:line="240" w:lineRule="auto"/>
        <w:jc w:val="both"/>
        <w:rPr>
          <w:rFonts w:ascii="Arial" w:hAnsi="Arial" w:cs="Arial"/>
          <w:b/>
          <w:lang w:val="sr-Latn-ME"/>
        </w:rPr>
      </w:pPr>
    </w:p>
    <w:p w:rsidR="00475DCC" w:rsidRPr="001302F9" w:rsidRDefault="00475DCC" w:rsidP="00D23BC2">
      <w:pPr>
        <w:spacing w:after="0" w:line="240" w:lineRule="auto"/>
        <w:jc w:val="both"/>
        <w:rPr>
          <w:rFonts w:ascii="Arial" w:hAnsi="Arial" w:cs="Arial"/>
          <w:b/>
          <w:lang w:val="sr-Latn-ME"/>
        </w:rPr>
      </w:pPr>
    </w:p>
    <w:p w:rsidR="00475DCC" w:rsidRPr="001302F9" w:rsidRDefault="00475DCC" w:rsidP="00D23BC2">
      <w:pPr>
        <w:spacing w:after="0" w:line="240" w:lineRule="auto"/>
        <w:jc w:val="both"/>
        <w:rPr>
          <w:rFonts w:ascii="Arial" w:hAnsi="Arial" w:cs="Arial"/>
          <w:b/>
          <w:lang w:val="sr-Latn-ME"/>
        </w:rPr>
      </w:pPr>
    </w:p>
    <w:p w:rsidR="00AF25D3" w:rsidRPr="001302F9" w:rsidRDefault="00AF25D3" w:rsidP="00D23BC2">
      <w:pPr>
        <w:jc w:val="center"/>
        <w:rPr>
          <w:rFonts w:ascii="Arial" w:hAnsi="Arial" w:cs="Arial"/>
          <w:b/>
          <w:lang w:val="sr-Latn-ME"/>
        </w:rPr>
      </w:pPr>
      <w:r w:rsidRPr="001302F9">
        <w:rPr>
          <w:rFonts w:ascii="Arial" w:hAnsi="Arial" w:cs="Arial"/>
          <w:b/>
          <w:lang w:val="sr-Latn-ME"/>
        </w:rPr>
        <w:t>Strategija za borbu protiv prevara i upravljanje nepravilnostima u cilju zaštite finansijskih interesa Evropske unije 2025 - 2028</w:t>
      </w:r>
    </w:p>
    <w:p w:rsidR="008533CC" w:rsidRPr="001302F9" w:rsidRDefault="008533CC" w:rsidP="00D23BC2">
      <w:pPr>
        <w:jc w:val="center"/>
        <w:rPr>
          <w:rFonts w:ascii="Arial" w:hAnsi="Arial" w:cs="Arial"/>
          <w:b/>
          <w:lang w:val="sr-Latn-ME"/>
        </w:rPr>
      </w:pPr>
    </w:p>
    <w:p w:rsidR="008533CC" w:rsidRPr="001302F9" w:rsidRDefault="008533CC" w:rsidP="00D23BC2">
      <w:pPr>
        <w:jc w:val="center"/>
        <w:rPr>
          <w:rFonts w:ascii="Arial" w:hAnsi="Arial" w:cs="Arial"/>
          <w:b/>
          <w:lang w:val="sr-Latn-ME"/>
        </w:rPr>
      </w:pPr>
    </w:p>
    <w:p w:rsidR="008533CC" w:rsidRPr="001302F9" w:rsidRDefault="008533CC" w:rsidP="00D23BC2">
      <w:pPr>
        <w:jc w:val="center"/>
        <w:rPr>
          <w:rFonts w:ascii="Arial" w:hAnsi="Arial" w:cs="Arial"/>
          <w:b/>
          <w:lang w:val="sr-Latn-ME"/>
        </w:rPr>
      </w:pPr>
    </w:p>
    <w:p w:rsidR="008533CC" w:rsidRPr="001302F9" w:rsidRDefault="008533CC" w:rsidP="00D23BC2">
      <w:pPr>
        <w:jc w:val="center"/>
        <w:rPr>
          <w:rFonts w:ascii="Arial" w:hAnsi="Arial" w:cs="Arial"/>
          <w:b/>
          <w:lang w:val="sr-Latn-ME"/>
        </w:rPr>
      </w:pPr>
    </w:p>
    <w:p w:rsidR="008533CC" w:rsidRPr="001302F9" w:rsidRDefault="008533CC" w:rsidP="00D23BC2">
      <w:pPr>
        <w:jc w:val="center"/>
        <w:rPr>
          <w:rFonts w:ascii="Arial" w:hAnsi="Arial" w:cs="Arial"/>
          <w:b/>
          <w:lang w:val="sr-Latn-ME"/>
        </w:rPr>
      </w:pPr>
    </w:p>
    <w:p w:rsidR="008533CC" w:rsidRPr="001302F9" w:rsidRDefault="008533CC" w:rsidP="00D23BC2">
      <w:pPr>
        <w:jc w:val="center"/>
        <w:rPr>
          <w:rFonts w:ascii="Arial" w:hAnsi="Arial" w:cs="Arial"/>
          <w:b/>
          <w:lang w:val="sr-Latn-ME"/>
        </w:rPr>
      </w:pPr>
    </w:p>
    <w:p w:rsidR="00EE65EF" w:rsidRPr="001302F9" w:rsidRDefault="00EE65EF" w:rsidP="00D23BC2">
      <w:pPr>
        <w:jc w:val="center"/>
        <w:rPr>
          <w:rFonts w:ascii="Arial" w:hAnsi="Arial" w:cs="Arial"/>
          <w:b/>
          <w:lang w:val="sr-Latn-ME"/>
        </w:rPr>
      </w:pPr>
    </w:p>
    <w:p w:rsidR="00EE65EF" w:rsidRPr="001302F9" w:rsidRDefault="00EE65EF" w:rsidP="00D23BC2">
      <w:pPr>
        <w:jc w:val="center"/>
        <w:rPr>
          <w:rFonts w:ascii="Arial" w:hAnsi="Arial" w:cs="Arial"/>
          <w:b/>
          <w:lang w:val="sr-Latn-ME"/>
        </w:rPr>
      </w:pPr>
    </w:p>
    <w:p w:rsidR="00EE65EF" w:rsidRDefault="00EE65EF" w:rsidP="00D23BC2">
      <w:pPr>
        <w:jc w:val="center"/>
        <w:rPr>
          <w:rFonts w:ascii="Arial" w:hAnsi="Arial" w:cs="Arial"/>
          <w:b/>
          <w:lang w:val="sr-Latn-ME"/>
        </w:rPr>
      </w:pPr>
    </w:p>
    <w:p w:rsidR="00F40085" w:rsidRDefault="00F40085" w:rsidP="00D23BC2">
      <w:pPr>
        <w:jc w:val="center"/>
        <w:rPr>
          <w:rFonts w:ascii="Arial" w:hAnsi="Arial" w:cs="Arial"/>
          <w:b/>
          <w:lang w:val="sr-Latn-ME"/>
        </w:rPr>
      </w:pPr>
    </w:p>
    <w:p w:rsidR="00F40085" w:rsidRDefault="00F40085" w:rsidP="00D23BC2">
      <w:pPr>
        <w:jc w:val="center"/>
        <w:rPr>
          <w:rFonts w:ascii="Arial" w:hAnsi="Arial" w:cs="Arial"/>
          <w:b/>
          <w:lang w:val="sr-Latn-ME"/>
        </w:rPr>
      </w:pPr>
    </w:p>
    <w:p w:rsidR="00F40085" w:rsidRDefault="00F40085" w:rsidP="00D23BC2">
      <w:pPr>
        <w:jc w:val="center"/>
        <w:rPr>
          <w:rFonts w:ascii="Arial" w:hAnsi="Arial" w:cs="Arial"/>
          <w:b/>
          <w:lang w:val="sr-Latn-ME"/>
        </w:rPr>
      </w:pPr>
    </w:p>
    <w:p w:rsidR="00F40085" w:rsidRDefault="00F40085" w:rsidP="00D23BC2">
      <w:pPr>
        <w:jc w:val="center"/>
        <w:rPr>
          <w:rFonts w:ascii="Arial" w:hAnsi="Arial" w:cs="Arial"/>
          <w:b/>
          <w:lang w:val="sr-Latn-ME"/>
        </w:rPr>
      </w:pPr>
    </w:p>
    <w:p w:rsidR="00F40085" w:rsidRDefault="00F40085" w:rsidP="00D23BC2">
      <w:pPr>
        <w:jc w:val="center"/>
        <w:rPr>
          <w:rFonts w:ascii="Arial" w:hAnsi="Arial" w:cs="Arial"/>
          <w:b/>
          <w:lang w:val="sr-Latn-ME"/>
        </w:rPr>
      </w:pPr>
    </w:p>
    <w:p w:rsidR="00F40085" w:rsidRPr="001302F9" w:rsidRDefault="00F40085" w:rsidP="00D23BC2">
      <w:pPr>
        <w:jc w:val="center"/>
        <w:rPr>
          <w:rFonts w:ascii="Arial" w:hAnsi="Arial" w:cs="Arial"/>
          <w:b/>
          <w:lang w:val="sr-Latn-ME"/>
        </w:rPr>
      </w:pPr>
    </w:p>
    <w:p w:rsidR="008533CC" w:rsidRPr="001302F9" w:rsidRDefault="008533CC" w:rsidP="00D23BC2">
      <w:pPr>
        <w:tabs>
          <w:tab w:val="left" w:pos="7510"/>
        </w:tabs>
        <w:jc w:val="center"/>
        <w:rPr>
          <w:rFonts w:ascii="Arial" w:hAnsi="Arial" w:cs="Arial"/>
          <w:b/>
          <w:lang w:val="sr-Latn-ME"/>
        </w:rPr>
      </w:pPr>
    </w:p>
    <w:p w:rsidR="00EE65EF" w:rsidRPr="001302F9" w:rsidRDefault="00475DCC" w:rsidP="00F40085">
      <w:pPr>
        <w:jc w:val="center"/>
        <w:rPr>
          <w:rFonts w:ascii="Arial" w:hAnsi="Arial" w:cs="Arial"/>
          <w:lang w:val="sr-Latn-ME"/>
        </w:rPr>
      </w:pPr>
      <w:r w:rsidRPr="001302F9">
        <w:rPr>
          <w:rFonts w:ascii="Arial" w:hAnsi="Arial" w:cs="Arial"/>
          <w:lang w:val="sr-Latn-ME"/>
        </w:rPr>
        <w:t>Podgorica,</w:t>
      </w:r>
      <w:r w:rsidR="00EE3C11">
        <w:rPr>
          <w:rFonts w:ascii="Arial" w:hAnsi="Arial" w:cs="Arial"/>
          <w:lang w:val="sr-Latn-ME"/>
        </w:rPr>
        <w:t>maj</w:t>
      </w:r>
      <w:bookmarkStart w:id="0" w:name="_GoBack"/>
      <w:bookmarkEnd w:id="0"/>
      <w:r w:rsidRPr="001302F9">
        <w:rPr>
          <w:rFonts w:ascii="Arial" w:hAnsi="Arial" w:cs="Arial"/>
          <w:lang w:val="sr-Latn-ME"/>
        </w:rPr>
        <w:t xml:space="preserve"> </w:t>
      </w:r>
      <w:r w:rsidR="00F07BF2" w:rsidRPr="001302F9">
        <w:rPr>
          <w:rFonts w:ascii="Arial" w:hAnsi="Arial" w:cs="Arial"/>
          <w:lang w:val="sr-Latn-ME"/>
        </w:rPr>
        <w:t>20</w:t>
      </w:r>
      <w:r w:rsidR="00D35AA0" w:rsidRPr="001302F9">
        <w:rPr>
          <w:rFonts w:ascii="Arial" w:hAnsi="Arial" w:cs="Arial"/>
          <w:lang w:val="sr-Latn-ME"/>
        </w:rPr>
        <w:t>25</w:t>
      </w:r>
      <w:r w:rsidR="00EE65EF" w:rsidRPr="001302F9">
        <w:rPr>
          <w:rFonts w:ascii="Arial" w:hAnsi="Arial" w:cs="Arial"/>
          <w:b/>
          <w:bCs/>
          <w:lang w:val="sr-Latn-ME"/>
        </w:rPr>
        <w:br w:type="page"/>
      </w:r>
    </w:p>
    <w:sdt>
      <w:sdtPr>
        <w:rPr>
          <w:rFonts w:ascii="Arial" w:eastAsia="Calibri" w:hAnsi="Arial" w:cs="Arial"/>
          <w:b w:val="0"/>
          <w:bCs w:val="0"/>
          <w:sz w:val="22"/>
          <w:szCs w:val="22"/>
          <w:lang w:val="sr-Latn-ME" w:eastAsia="en-US"/>
        </w:rPr>
        <w:id w:val="1338196611"/>
        <w:docPartObj>
          <w:docPartGallery w:val="Table of Contents"/>
          <w:docPartUnique/>
        </w:docPartObj>
      </w:sdtPr>
      <w:sdtEndPr>
        <w:rPr>
          <w:rFonts w:eastAsia="Times New Roman"/>
          <w:noProof/>
        </w:rPr>
      </w:sdtEndPr>
      <w:sdtContent>
        <w:p w:rsidR="00C735CF" w:rsidRPr="001302F9" w:rsidRDefault="000023CC" w:rsidP="00D23BC2">
          <w:pPr>
            <w:pStyle w:val="TOCHeading"/>
            <w:spacing w:before="120" w:after="120" w:line="240" w:lineRule="auto"/>
            <w:jc w:val="both"/>
            <w:rPr>
              <w:rFonts w:ascii="Arial" w:hAnsi="Arial" w:cs="Arial"/>
              <w:sz w:val="22"/>
              <w:szCs w:val="22"/>
              <w:lang w:val="sr-Latn-ME"/>
            </w:rPr>
          </w:pPr>
          <w:r>
            <w:rPr>
              <w:rFonts w:ascii="Arial" w:hAnsi="Arial" w:cs="Arial"/>
              <w:sz w:val="22"/>
              <w:szCs w:val="22"/>
              <w:lang w:val="sr-Latn-ME"/>
            </w:rPr>
            <w:t>Sadržaj:</w:t>
          </w:r>
        </w:p>
        <w:p w:rsidR="007F5B63" w:rsidRPr="001302F9" w:rsidRDefault="00C735CF" w:rsidP="00D23BC2">
          <w:pPr>
            <w:pStyle w:val="TOC3"/>
            <w:tabs>
              <w:tab w:val="right" w:leader="dot" w:pos="9016"/>
            </w:tabs>
            <w:spacing w:before="40" w:after="80" w:line="240" w:lineRule="auto"/>
            <w:jc w:val="both"/>
            <w:rPr>
              <w:rFonts w:ascii="Arial" w:eastAsiaTheme="minorEastAsia" w:hAnsi="Arial" w:cs="Arial"/>
              <w:noProof/>
              <w:kern w:val="2"/>
              <w:lang w:val="sr-Latn-ME"/>
              <w14:ligatures w14:val="standardContextual"/>
            </w:rPr>
          </w:pPr>
          <w:r w:rsidRPr="001302F9">
            <w:rPr>
              <w:rFonts w:ascii="Arial" w:hAnsi="Arial" w:cs="Arial"/>
              <w:lang w:val="sr-Latn-ME"/>
            </w:rPr>
            <w:fldChar w:fldCharType="begin"/>
          </w:r>
          <w:r w:rsidRPr="001302F9">
            <w:rPr>
              <w:rFonts w:ascii="Arial" w:hAnsi="Arial" w:cs="Arial"/>
              <w:lang w:val="sr-Latn-ME"/>
            </w:rPr>
            <w:instrText xml:space="preserve"> TOC \o "1-3" \h \z \u </w:instrText>
          </w:r>
          <w:r w:rsidRPr="001302F9">
            <w:rPr>
              <w:rFonts w:ascii="Arial" w:hAnsi="Arial" w:cs="Arial"/>
              <w:lang w:val="sr-Latn-ME"/>
            </w:rPr>
            <w:fldChar w:fldCharType="separate"/>
          </w:r>
          <w:hyperlink w:anchor="_Toc191824734" w:history="1">
            <w:r w:rsidR="00CB4234">
              <w:rPr>
                <w:rStyle w:val="Hyperlink"/>
                <w:rFonts w:ascii="Arial" w:hAnsi="Arial" w:cs="Arial"/>
                <w:noProof/>
                <w:lang w:val="sr-Latn-ME"/>
              </w:rPr>
              <w:t>Skraćenice</w:t>
            </w:r>
            <w:r w:rsidR="007F5B63" w:rsidRPr="001302F9">
              <w:rPr>
                <w:rFonts w:ascii="Arial" w:hAnsi="Arial" w:cs="Arial"/>
                <w:noProof/>
                <w:webHidden/>
                <w:lang w:val="sr-Latn-ME"/>
              </w:rPr>
              <w:tab/>
            </w:r>
            <w:r w:rsidR="007F5B63" w:rsidRPr="001302F9">
              <w:rPr>
                <w:rFonts w:ascii="Arial" w:hAnsi="Arial" w:cs="Arial"/>
                <w:noProof/>
                <w:webHidden/>
                <w:lang w:val="sr-Latn-ME"/>
              </w:rPr>
              <w:fldChar w:fldCharType="begin"/>
            </w:r>
            <w:r w:rsidR="007F5B63" w:rsidRPr="001302F9">
              <w:rPr>
                <w:rFonts w:ascii="Arial" w:hAnsi="Arial" w:cs="Arial"/>
                <w:noProof/>
                <w:webHidden/>
                <w:lang w:val="sr-Latn-ME"/>
              </w:rPr>
              <w:instrText xml:space="preserve"> PAGEREF _Toc191824734 \h </w:instrText>
            </w:r>
            <w:r w:rsidR="007F5B63" w:rsidRPr="001302F9">
              <w:rPr>
                <w:rFonts w:ascii="Arial" w:hAnsi="Arial" w:cs="Arial"/>
                <w:noProof/>
                <w:webHidden/>
                <w:lang w:val="sr-Latn-ME"/>
              </w:rPr>
            </w:r>
            <w:r w:rsidR="007F5B63" w:rsidRPr="001302F9">
              <w:rPr>
                <w:rFonts w:ascii="Arial" w:hAnsi="Arial" w:cs="Arial"/>
                <w:noProof/>
                <w:webHidden/>
                <w:lang w:val="sr-Latn-ME"/>
              </w:rPr>
              <w:fldChar w:fldCharType="separate"/>
            </w:r>
            <w:r w:rsidR="00CB28FA" w:rsidRPr="001302F9">
              <w:rPr>
                <w:rFonts w:ascii="Arial" w:hAnsi="Arial" w:cs="Arial"/>
                <w:noProof/>
                <w:webHidden/>
                <w:lang w:val="sr-Latn-ME"/>
              </w:rPr>
              <w:t>3</w:t>
            </w:r>
            <w:r w:rsidR="007F5B63" w:rsidRPr="001302F9">
              <w:rPr>
                <w:rFonts w:ascii="Arial" w:hAnsi="Arial" w:cs="Arial"/>
                <w:noProof/>
                <w:webHidden/>
                <w:lang w:val="sr-Latn-ME"/>
              </w:rPr>
              <w:fldChar w:fldCharType="end"/>
            </w:r>
          </w:hyperlink>
        </w:p>
        <w:p w:rsidR="007F5B63" w:rsidRPr="001302F9" w:rsidRDefault="004067B6" w:rsidP="00D23BC2">
          <w:pPr>
            <w:pStyle w:val="TOC1"/>
            <w:tabs>
              <w:tab w:val="left" w:pos="440"/>
              <w:tab w:val="right" w:leader="dot" w:pos="9016"/>
            </w:tabs>
            <w:spacing w:before="40" w:after="80" w:line="240" w:lineRule="auto"/>
            <w:jc w:val="both"/>
            <w:rPr>
              <w:rFonts w:ascii="Arial" w:eastAsiaTheme="minorEastAsia" w:hAnsi="Arial" w:cs="Arial"/>
              <w:noProof/>
              <w:kern w:val="2"/>
              <w:lang w:val="sr-Latn-ME"/>
              <w14:ligatures w14:val="standardContextual"/>
            </w:rPr>
          </w:pPr>
          <w:hyperlink w:anchor="_Toc191824735" w:history="1">
            <w:r w:rsidR="007F5B63" w:rsidRPr="001302F9">
              <w:rPr>
                <w:rStyle w:val="Hyperlink"/>
                <w:rFonts w:ascii="Arial" w:hAnsi="Arial" w:cs="Arial"/>
                <w:noProof/>
                <w:lang w:val="sr-Latn-ME"/>
              </w:rPr>
              <w:t>1.</w:t>
            </w:r>
            <w:r w:rsidR="007F5B63" w:rsidRPr="001302F9">
              <w:rPr>
                <w:rFonts w:ascii="Arial" w:eastAsiaTheme="minorEastAsia" w:hAnsi="Arial" w:cs="Arial"/>
                <w:noProof/>
                <w:kern w:val="2"/>
                <w:lang w:val="sr-Latn-ME"/>
                <w14:ligatures w14:val="standardContextual"/>
              </w:rPr>
              <w:tab/>
            </w:r>
            <w:r w:rsidR="00CB4234">
              <w:rPr>
                <w:rStyle w:val="Hyperlink"/>
                <w:rFonts w:ascii="Arial" w:hAnsi="Arial" w:cs="Arial"/>
                <w:noProof/>
                <w:lang w:val="sr-Latn-ME"/>
              </w:rPr>
              <w:t>Uvod</w:t>
            </w:r>
            <w:r w:rsidR="007F5B63" w:rsidRPr="001302F9">
              <w:rPr>
                <w:rFonts w:ascii="Arial" w:hAnsi="Arial" w:cs="Arial"/>
                <w:noProof/>
                <w:webHidden/>
                <w:lang w:val="sr-Latn-ME"/>
              </w:rPr>
              <w:tab/>
            </w:r>
            <w:r w:rsidR="007F5B63" w:rsidRPr="001302F9">
              <w:rPr>
                <w:rFonts w:ascii="Arial" w:hAnsi="Arial" w:cs="Arial"/>
                <w:noProof/>
                <w:webHidden/>
                <w:lang w:val="sr-Latn-ME"/>
              </w:rPr>
              <w:fldChar w:fldCharType="begin"/>
            </w:r>
            <w:r w:rsidR="007F5B63" w:rsidRPr="001302F9">
              <w:rPr>
                <w:rFonts w:ascii="Arial" w:hAnsi="Arial" w:cs="Arial"/>
                <w:noProof/>
                <w:webHidden/>
                <w:lang w:val="sr-Latn-ME"/>
              </w:rPr>
              <w:instrText xml:space="preserve"> PAGEREF _Toc191824735 \h </w:instrText>
            </w:r>
            <w:r w:rsidR="007F5B63" w:rsidRPr="001302F9">
              <w:rPr>
                <w:rFonts w:ascii="Arial" w:hAnsi="Arial" w:cs="Arial"/>
                <w:noProof/>
                <w:webHidden/>
                <w:lang w:val="sr-Latn-ME"/>
              </w:rPr>
            </w:r>
            <w:r w:rsidR="007F5B63" w:rsidRPr="001302F9">
              <w:rPr>
                <w:rFonts w:ascii="Arial" w:hAnsi="Arial" w:cs="Arial"/>
                <w:noProof/>
                <w:webHidden/>
                <w:lang w:val="sr-Latn-ME"/>
              </w:rPr>
              <w:fldChar w:fldCharType="separate"/>
            </w:r>
            <w:r w:rsidR="00CB28FA" w:rsidRPr="001302F9">
              <w:rPr>
                <w:rFonts w:ascii="Arial" w:hAnsi="Arial" w:cs="Arial"/>
                <w:noProof/>
                <w:webHidden/>
                <w:lang w:val="sr-Latn-ME"/>
              </w:rPr>
              <w:t>4</w:t>
            </w:r>
            <w:r w:rsidR="007F5B63" w:rsidRPr="001302F9">
              <w:rPr>
                <w:rFonts w:ascii="Arial" w:hAnsi="Arial" w:cs="Arial"/>
                <w:noProof/>
                <w:webHidden/>
                <w:lang w:val="sr-Latn-ME"/>
              </w:rPr>
              <w:fldChar w:fldCharType="end"/>
            </w:r>
          </w:hyperlink>
        </w:p>
        <w:p w:rsidR="007F5B63" w:rsidRPr="001302F9" w:rsidRDefault="004067B6" w:rsidP="00D23BC2">
          <w:pPr>
            <w:pStyle w:val="TOC3"/>
            <w:tabs>
              <w:tab w:val="left" w:pos="1200"/>
              <w:tab w:val="right" w:leader="dot" w:pos="9016"/>
            </w:tabs>
            <w:spacing w:before="40" w:after="80" w:line="240" w:lineRule="auto"/>
            <w:jc w:val="both"/>
            <w:rPr>
              <w:rFonts w:ascii="Arial" w:eastAsiaTheme="minorEastAsia" w:hAnsi="Arial" w:cs="Arial"/>
              <w:noProof/>
              <w:kern w:val="2"/>
              <w:lang w:val="sr-Latn-ME"/>
              <w14:ligatures w14:val="standardContextual"/>
            </w:rPr>
          </w:pPr>
          <w:hyperlink w:anchor="_Toc191824736" w:history="1">
            <w:r w:rsidR="007F5B63" w:rsidRPr="001302F9">
              <w:rPr>
                <w:rStyle w:val="Hyperlink"/>
                <w:rFonts w:ascii="Arial" w:hAnsi="Arial" w:cs="Arial"/>
                <w:noProof/>
                <w:lang w:val="sr-Latn-ME"/>
              </w:rPr>
              <w:t>1.1.</w:t>
            </w:r>
            <w:r w:rsidR="007F5B63" w:rsidRPr="001302F9">
              <w:rPr>
                <w:rFonts w:ascii="Arial" w:eastAsiaTheme="minorEastAsia" w:hAnsi="Arial" w:cs="Arial"/>
                <w:noProof/>
                <w:kern w:val="2"/>
                <w:lang w:val="sr-Latn-ME"/>
                <w14:ligatures w14:val="standardContextual"/>
              </w:rPr>
              <w:tab/>
            </w:r>
            <w:r w:rsidR="00CB4234">
              <w:rPr>
                <w:rStyle w:val="Hyperlink"/>
                <w:rFonts w:ascii="Arial" w:hAnsi="Arial" w:cs="Arial"/>
                <w:noProof/>
                <w:lang w:val="sr-Latn-ME"/>
              </w:rPr>
              <w:t>Svrha donošenja strateškog dokumenta</w:t>
            </w:r>
            <w:r w:rsidR="007F5B63" w:rsidRPr="001302F9">
              <w:rPr>
                <w:rFonts w:ascii="Arial" w:hAnsi="Arial" w:cs="Arial"/>
                <w:noProof/>
                <w:webHidden/>
                <w:lang w:val="sr-Latn-ME"/>
              </w:rPr>
              <w:tab/>
            </w:r>
            <w:r w:rsidR="007F5B63" w:rsidRPr="001302F9">
              <w:rPr>
                <w:rFonts w:ascii="Arial" w:hAnsi="Arial" w:cs="Arial"/>
                <w:noProof/>
                <w:webHidden/>
                <w:lang w:val="sr-Latn-ME"/>
              </w:rPr>
              <w:fldChar w:fldCharType="begin"/>
            </w:r>
            <w:r w:rsidR="007F5B63" w:rsidRPr="001302F9">
              <w:rPr>
                <w:rFonts w:ascii="Arial" w:hAnsi="Arial" w:cs="Arial"/>
                <w:noProof/>
                <w:webHidden/>
                <w:lang w:val="sr-Latn-ME"/>
              </w:rPr>
              <w:instrText xml:space="preserve"> PAGEREF _Toc191824736 \h </w:instrText>
            </w:r>
            <w:r w:rsidR="007F5B63" w:rsidRPr="001302F9">
              <w:rPr>
                <w:rFonts w:ascii="Arial" w:hAnsi="Arial" w:cs="Arial"/>
                <w:noProof/>
                <w:webHidden/>
                <w:lang w:val="sr-Latn-ME"/>
              </w:rPr>
            </w:r>
            <w:r w:rsidR="007F5B63" w:rsidRPr="001302F9">
              <w:rPr>
                <w:rFonts w:ascii="Arial" w:hAnsi="Arial" w:cs="Arial"/>
                <w:noProof/>
                <w:webHidden/>
                <w:lang w:val="sr-Latn-ME"/>
              </w:rPr>
              <w:fldChar w:fldCharType="separate"/>
            </w:r>
            <w:r w:rsidR="00CB28FA" w:rsidRPr="001302F9">
              <w:rPr>
                <w:rFonts w:ascii="Arial" w:hAnsi="Arial" w:cs="Arial"/>
                <w:noProof/>
                <w:webHidden/>
                <w:lang w:val="sr-Latn-ME"/>
              </w:rPr>
              <w:t>4</w:t>
            </w:r>
            <w:r w:rsidR="007F5B63" w:rsidRPr="001302F9">
              <w:rPr>
                <w:rFonts w:ascii="Arial" w:hAnsi="Arial" w:cs="Arial"/>
                <w:noProof/>
                <w:webHidden/>
                <w:lang w:val="sr-Latn-ME"/>
              </w:rPr>
              <w:fldChar w:fldCharType="end"/>
            </w:r>
          </w:hyperlink>
        </w:p>
        <w:p w:rsidR="007F5B63" w:rsidRPr="001302F9" w:rsidRDefault="004067B6" w:rsidP="00D23BC2">
          <w:pPr>
            <w:pStyle w:val="TOC3"/>
            <w:tabs>
              <w:tab w:val="left" w:pos="1200"/>
              <w:tab w:val="right" w:leader="dot" w:pos="9016"/>
            </w:tabs>
            <w:spacing w:before="40" w:after="80" w:line="240" w:lineRule="auto"/>
            <w:jc w:val="both"/>
            <w:rPr>
              <w:rFonts w:ascii="Arial" w:eastAsiaTheme="minorEastAsia" w:hAnsi="Arial" w:cs="Arial"/>
              <w:noProof/>
              <w:kern w:val="2"/>
              <w:lang w:val="sr-Latn-ME"/>
              <w14:ligatures w14:val="standardContextual"/>
            </w:rPr>
          </w:pPr>
          <w:hyperlink w:anchor="_Toc191824737" w:history="1">
            <w:r w:rsidR="007F5B63" w:rsidRPr="001302F9">
              <w:rPr>
                <w:rStyle w:val="Hyperlink"/>
                <w:rFonts w:ascii="Arial" w:hAnsi="Arial" w:cs="Arial"/>
                <w:noProof/>
                <w:lang w:val="sr-Latn-ME"/>
              </w:rPr>
              <w:t>1.2.</w:t>
            </w:r>
            <w:r w:rsidR="00CB4234" w:rsidRPr="00CB4234">
              <w:rPr>
                <w:rStyle w:val="Hyperlink"/>
                <w:rFonts w:ascii="Arial" w:hAnsi="Arial" w:cs="Arial"/>
                <w:noProof/>
                <w:lang w:val="sr-Latn-ME"/>
              </w:rPr>
              <w:tab/>
              <w:t>Usklađenost sa nacionalnim strateškim dokumentima</w:t>
            </w:r>
            <w:r w:rsidR="007F5B63" w:rsidRPr="001302F9">
              <w:rPr>
                <w:rFonts w:ascii="Arial" w:hAnsi="Arial" w:cs="Arial"/>
                <w:noProof/>
                <w:webHidden/>
                <w:lang w:val="sr-Latn-ME"/>
              </w:rPr>
              <w:tab/>
            </w:r>
            <w:r w:rsidR="007F5B63" w:rsidRPr="001302F9">
              <w:rPr>
                <w:rFonts w:ascii="Arial" w:hAnsi="Arial" w:cs="Arial"/>
                <w:noProof/>
                <w:webHidden/>
                <w:lang w:val="sr-Latn-ME"/>
              </w:rPr>
              <w:fldChar w:fldCharType="begin"/>
            </w:r>
            <w:r w:rsidR="007F5B63" w:rsidRPr="001302F9">
              <w:rPr>
                <w:rFonts w:ascii="Arial" w:hAnsi="Arial" w:cs="Arial"/>
                <w:noProof/>
                <w:webHidden/>
                <w:lang w:val="sr-Latn-ME"/>
              </w:rPr>
              <w:instrText xml:space="preserve"> PAGEREF _Toc191824737 \h </w:instrText>
            </w:r>
            <w:r w:rsidR="007F5B63" w:rsidRPr="001302F9">
              <w:rPr>
                <w:rFonts w:ascii="Arial" w:hAnsi="Arial" w:cs="Arial"/>
                <w:noProof/>
                <w:webHidden/>
                <w:lang w:val="sr-Latn-ME"/>
              </w:rPr>
            </w:r>
            <w:r w:rsidR="007F5B63" w:rsidRPr="001302F9">
              <w:rPr>
                <w:rFonts w:ascii="Arial" w:hAnsi="Arial" w:cs="Arial"/>
                <w:noProof/>
                <w:webHidden/>
                <w:lang w:val="sr-Latn-ME"/>
              </w:rPr>
              <w:fldChar w:fldCharType="separate"/>
            </w:r>
            <w:r w:rsidR="00CB28FA" w:rsidRPr="001302F9">
              <w:rPr>
                <w:rFonts w:ascii="Arial" w:hAnsi="Arial" w:cs="Arial"/>
                <w:noProof/>
                <w:webHidden/>
                <w:lang w:val="sr-Latn-ME"/>
              </w:rPr>
              <w:t>5</w:t>
            </w:r>
            <w:r w:rsidR="007F5B63" w:rsidRPr="001302F9">
              <w:rPr>
                <w:rFonts w:ascii="Arial" w:hAnsi="Arial" w:cs="Arial"/>
                <w:noProof/>
                <w:webHidden/>
                <w:lang w:val="sr-Latn-ME"/>
              </w:rPr>
              <w:fldChar w:fldCharType="end"/>
            </w:r>
          </w:hyperlink>
        </w:p>
        <w:p w:rsidR="007F5B63" w:rsidRPr="001302F9" w:rsidRDefault="004067B6" w:rsidP="00D23BC2">
          <w:pPr>
            <w:pStyle w:val="TOC3"/>
            <w:tabs>
              <w:tab w:val="left" w:pos="1200"/>
              <w:tab w:val="right" w:leader="dot" w:pos="9016"/>
            </w:tabs>
            <w:spacing w:before="40" w:after="80" w:line="240" w:lineRule="auto"/>
            <w:jc w:val="both"/>
            <w:rPr>
              <w:rFonts w:ascii="Arial" w:eastAsiaTheme="minorEastAsia" w:hAnsi="Arial" w:cs="Arial"/>
              <w:noProof/>
              <w:kern w:val="2"/>
              <w:lang w:val="sr-Latn-ME"/>
              <w14:ligatures w14:val="standardContextual"/>
            </w:rPr>
          </w:pPr>
          <w:hyperlink w:anchor="_Toc191824738" w:history="1">
            <w:r w:rsidR="007F5B63" w:rsidRPr="001302F9">
              <w:rPr>
                <w:rStyle w:val="Hyperlink"/>
                <w:rFonts w:ascii="Arial" w:hAnsi="Arial" w:cs="Arial"/>
                <w:noProof/>
                <w:lang w:val="sr-Latn-ME"/>
              </w:rPr>
              <w:t>1.3.</w:t>
            </w:r>
            <w:r w:rsidR="007F5B63" w:rsidRPr="001302F9">
              <w:rPr>
                <w:rFonts w:ascii="Arial" w:eastAsiaTheme="minorEastAsia" w:hAnsi="Arial" w:cs="Arial"/>
                <w:noProof/>
                <w:kern w:val="2"/>
                <w:lang w:val="sr-Latn-ME"/>
                <w14:ligatures w14:val="standardContextual"/>
              </w:rPr>
              <w:tab/>
            </w:r>
            <w:r w:rsidR="00CB4234" w:rsidRPr="00CB4234">
              <w:rPr>
                <w:rStyle w:val="Hyperlink"/>
                <w:rFonts w:ascii="Arial" w:hAnsi="Arial" w:cs="Arial"/>
                <w:noProof/>
                <w:lang w:val="sr-Latn-ME"/>
              </w:rPr>
              <w:t>Usklađenost sa obavezama iz pregovaračkog procesa između Crne Gore i Evropske unije</w:t>
            </w:r>
            <w:r w:rsidR="007F5B63" w:rsidRPr="001302F9">
              <w:rPr>
                <w:rFonts w:ascii="Arial" w:hAnsi="Arial" w:cs="Arial"/>
                <w:noProof/>
                <w:webHidden/>
                <w:lang w:val="sr-Latn-ME"/>
              </w:rPr>
              <w:tab/>
            </w:r>
            <w:r w:rsidR="007F5B63" w:rsidRPr="001302F9">
              <w:rPr>
                <w:rFonts w:ascii="Arial" w:hAnsi="Arial" w:cs="Arial"/>
                <w:noProof/>
                <w:webHidden/>
                <w:lang w:val="sr-Latn-ME"/>
              </w:rPr>
              <w:fldChar w:fldCharType="begin"/>
            </w:r>
            <w:r w:rsidR="007F5B63" w:rsidRPr="001302F9">
              <w:rPr>
                <w:rFonts w:ascii="Arial" w:hAnsi="Arial" w:cs="Arial"/>
                <w:noProof/>
                <w:webHidden/>
                <w:lang w:val="sr-Latn-ME"/>
              </w:rPr>
              <w:instrText xml:space="preserve"> PAGEREF _Toc191824738 \h </w:instrText>
            </w:r>
            <w:r w:rsidR="007F5B63" w:rsidRPr="001302F9">
              <w:rPr>
                <w:rFonts w:ascii="Arial" w:hAnsi="Arial" w:cs="Arial"/>
                <w:noProof/>
                <w:webHidden/>
                <w:lang w:val="sr-Latn-ME"/>
              </w:rPr>
            </w:r>
            <w:r w:rsidR="007F5B63" w:rsidRPr="001302F9">
              <w:rPr>
                <w:rFonts w:ascii="Arial" w:hAnsi="Arial" w:cs="Arial"/>
                <w:noProof/>
                <w:webHidden/>
                <w:lang w:val="sr-Latn-ME"/>
              </w:rPr>
              <w:fldChar w:fldCharType="separate"/>
            </w:r>
            <w:r w:rsidR="00CB28FA" w:rsidRPr="001302F9">
              <w:rPr>
                <w:rFonts w:ascii="Arial" w:hAnsi="Arial" w:cs="Arial"/>
                <w:noProof/>
                <w:webHidden/>
                <w:lang w:val="sr-Latn-ME"/>
              </w:rPr>
              <w:t>7</w:t>
            </w:r>
            <w:r w:rsidR="007F5B63" w:rsidRPr="001302F9">
              <w:rPr>
                <w:rFonts w:ascii="Arial" w:hAnsi="Arial" w:cs="Arial"/>
                <w:noProof/>
                <w:webHidden/>
                <w:lang w:val="sr-Latn-ME"/>
              </w:rPr>
              <w:fldChar w:fldCharType="end"/>
            </w:r>
          </w:hyperlink>
        </w:p>
        <w:p w:rsidR="007F5B63" w:rsidRPr="001302F9" w:rsidRDefault="004067B6" w:rsidP="00D23BC2">
          <w:pPr>
            <w:pStyle w:val="TOC3"/>
            <w:tabs>
              <w:tab w:val="left" w:pos="1200"/>
              <w:tab w:val="right" w:leader="dot" w:pos="9016"/>
            </w:tabs>
            <w:spacing w:before="40" w:after="80" w:line="240" w:lineRule="auto"/>
            <w:jc w:val="both"/>
            <w:rPr>
              <w:rFonts w:ascii="Arial" w:eastAsiaTheme="minorEastAsia" w:hAnsi="Arial" w:cs="Arial"/>
              <w:noProof/>
              <w:kern w:val="2"/>
              <w:lang w:val="sr-Latn-ME"/>
              <w14:ligatures w14:val="standardContextual"/>
            </w:rPr>
          </w:pPr>
          <w:hyperlink w:anchor="_Toc191824739" w:history="1">
            <w:r w:rsidR="007F5B63" w:rsidRPr="001302F9">
              <w:rPr>
                <w:rStyle w:val="Hyperlink"/>
                <w:rFonts w:ascii="Arial" w:hAnsi="Arial" w:cs="Arial"/>
                <w:noProof/>
                <w:lang w:val="sr-Latn-ME"/>
              </w:rPr>
              <w:t>1.4.</w:t>
            </w:r>
            <w:r w:rsidR="007F5B63" w:rsidRPr="001302F9">
              <w:rPr>
                <w:rFonts w:ascii="Arial" w:eastAsiaTheme="minorEastAsia" w:hAnsi="Arial" w:cs="Arial"/>
                <w:noProof/>
                <w:kern w:val="2"/>
                <w:lang w:val="sr-Latn-ME"/>
                <w14:ligatures w14:val="standardContextual"/>
              </w:rPr>
              <w:tab/>
            </w:r>
            <w:r w:rsidR="00CB4234">
              <w:rPr>
                <w:rStyle w:val="Hyperlink"/>
                <w:rFonts w:ascii="Arial" w:hAnsi="Arial" w:cs="Arial"/>
                <w:noProof/>
                <w:lang w:val="sr-Latn-ME"/>
              </w:rPr>
              <w:t>Nacionaln</w:t>
            </w:r>
            <w:r w:rsidR="00EF67BE">
              <w:rPr>
                <w:rStyle w:val="Hyperlink"/>
                <w:rFonts w:ascii="Arial" w:hAnsi="Arial" w:cs="Arial"/>
                <w:noProof/>
                <w:lang w:val="sr-Latn-ME"/>
              </w:rPr>
              <w:t>a legislativa</w:t>
            </w:r>
            <w:r w:rsidR="007F5B63" w:rsidRPr="001302F9">
              <w:rPr>
                <w:rFonts w:ascii="Arial" w:hAnsi="Arial" w:cs="Arial"/>
                <w:noProof/>
                <w:webHidden/>
                <w:lang w:val="sr-Latn-ME"/>
              </w:rPr>
              <w:tab/>
            </w:r>
            <w:r w:rsidR="007F5B63" w:rsidRPr="001302F9">
              <w:rPr>
                <w:rFonts w:ascii="Arial" w:hAnsi="Arial" w:cs="Arial"/>
                <w:noProof/>
                <w:webHidden/>
                <w:lang w:val="sr-Latn-ME"/>
              </w:rPr>
              <w:fldChar w:fldCharType="begin"/>
            </w:r>
            <w:r w:rsidR="007F5B63" w:rsidRPr="001302F9">
              <w:rPr>
                <w:rFonts w:ascii="Arial" w:hAnsi="Arial" w:cs="Arial"/>
                <w:noProof/>
                <w:webHidden/>
                <w:lang w:val="sr-Latn-ME"/>
              </w:rPr>
              <w:instrText xml:space="preserve"> PAGEREF _Toc191824739 \h </w:instrText>
            </w:r>
            <w:r w:rsidR="007F5B63" w:rsidRPr="001302F9">
              <w:rPr>
                <w:rFonts w:ascii="Arial" w:hAnsi="Arial" w:cs="Arial"/>
                <w:noProof/>
                <w:webHidden/>
                <w:lang w:val="sr-Latn-ME"/>
              </w:rPr>
            </w:r>
            <w:r w:rsidR="007F5B63" w:rsidRPr="001302F9">
              <w:rPr>
                <w:rFonts w:ascii="Arial" w:hAnsi="Arial" w:cs="Arial"/>
                <w:noProof/>
                <w:webHidden/>
                <w:lang w:val="sr-Latn-ME"/>
              </w:rPr>
              <w:fldChar w:fldCharType="separate"/>
            </w:r>
            <w:r w:rsidR="00CB28FA" w:rsidRPr="001302F9">
              <w:rPr>
                <w:rFonts w:ascii="Arial" w:hAnsi="Arial" w:cs="Arial"/>
                <w:noProof/>
                <w:webHidden/>
                <w:lang w:val="sr-Latn-ME"/>
              </w:rPr>
              <w:t>8</w:t>
            </w:r>
            <w:r w:rsidR="007F5B63" w:rsidRPr="001302F9">
              <w:rPr>
                <w:rFonts w:ascii="Arial" w:hAnsi="Arial" w:cs="Arial"/>
                <w:noProof/>
                <w:webHidden/>
                <w:lang w:val="sr-Latn-ME"/>
              </w:rPr>
              <w:fldChar w:fldCharType="end"/>
            </w:r>
          </w:hyperlink>
        </w:p>
        <w:p w:rsidR="007F5B63" w:rsidRPr="001302F9" w:rsidRDefault="004067B6" w:rsidP="00D23BC2">
          <w:pPr>
            <w:pStyle w:val="TOC3"/>
            <w:tabs>
              <w:tab w:val="left" w:pos="1200"/>
              <w:tab w:val="right" w:leader="dot" w:pos="9016"/>
            </w:tabs>
            <w:spacing w:before="40" w:after="80" w:line="240" w:lineRule="auto"/>
            <w:jc w:val="both"/>
            <w:rPr>
              <w:rFonts w:ascii="Arial" w:eastAsiaTheme="minorEastAsia" w:hAnsi="Arial" w:cs="Arial"/>
              <w:noProof/>
              <w:kern w:val="2"/>
              <w:lang w:val="sr-Latn-ME"/>
              <w14:ligatures w14:val="standardContextual"/>
            </w:rPr>
          </w:pPr>
          <w:hyperlink w:anchor="_Toc191824740" w:history="1">
            <w:r w:rsidR="007F5B63" w:rsidRPr="001302F9">
              <w:rPr>
                <w:rStyle w:val="Hyperlink"/>
                <w:rFonts w:ascii="Arial" w:hAnsi="Arial" w:cs="Arial"/>
                <w:noProof/>
                <w:lang w:val="sr-Latn-ME"/>
              </w:rPr>
              <w:t>1.5.</w:t>
            </w:r>
            <w:r w:rsidR="007F5B63" w:rsidRPr="001302F9">
              <w:rPr>
                <w:rFonts w:ascii="Arial" w:eastAsiaTheme="minorEastAsia" w:hAnsi="Arial" w:cs="Arial"/>
                <w:noProof/>
                <w:kern w:val="2"/>
                <w:lang w:val="sr-Latn-ME"/>
                <w14:ligatures w14:val="standardContextual"/>
              </w:rPr>
              <w:tab/>
            </w:r>
            <w:r w:rsidR="00CB4234">
              <w:rPr>
                <w:rStyle w:val="Hyperlink"/>
                <w:rFonts w:ascii="Arial" w:hAnsi="Arial" w:cs="Arial"/>
                <w:noProof/>
                <w:lang w:val="sr-Latn-ME"/>
              </w:rPr>
              <w:t xml:space="preserve">EU </w:t>
            </w:r>
            <w:r w:rsidR="00EF67BE">
              <w:rPr>
                <w:rStyle w:val="Hyperlink"/>
                <w:rFonts w:ascii="Arial" w:hAnsi="Arial" w:cs="Arial"/>
                <w:noProof/>
                <w:lang w:val="sr-Latn-ME"/>
              </w:rPr>
              <w:t>legislativa</w:t>
            </w:r>
            <w:r w:rsidR="007F5B63" w:rsidRPr="001302F9">
              <w:rPr>
                <w:rFonts w:ascii="Arial" w:hAnsi="Arial" w:cs="Arial"/>
                <w:noProof/>
                <w:webHidden/>
                <w:lang w:val="sr-Latn-ME"/>
              </w:rPr>
              <w:tab/>
            </w:r>
            <w:r w:rsidR="007F5B63" w:rsidRPr="001302F9">
              <w:rPr>
                <w:rFonts w:ascii="Arial" w:hAnsi="Arial" w:cs="Arial"/>
                <w:noProof/>
                <w:webHidden/>
                <w:lang w:val="sr-Latn-ME"/>
              </w:rPr>
              <w:fldChar w:fldCharType="begin"/>
            </w:r>
            <w:r w:rsidR="007F5B63" w:rsidRPr="001302F9">
              <w:rPr>
                <w:rFonts w:ascii="Arial" w:hAnsi="Arial" w:cs="Arial"/>
                <w:noProof/>
                <w:webHidden/>
                <w:lang w:val="sr-Latn-ME"/>
              </w:rPr>
              <w:instrText xml:space="preserve"> PAGEREF _Toc191824740 \h </w:instrText>
            </w:r>
            <w:r w:rsidR="007F5B63" w:rsidRPr="001302F9">
              <w:rPr>
                <w:rFonts w:ascii="Arial" w:hAnsi="Arial" w:cs="Arial"/>
                <w:noProof/>
                <w:webHidden/>
                <w:lang w:val="sr-Latn-ME"/>
              </w:rPr>
            </w:r>
            <w:r w:rsidR="007F5B63" w:rsidRPr="001302F9">
              <w:rPr>
                <w:rFonts w:ascii="Arial" w:hAnsi="Arial" w:cs="Arial"/>
                <w:noProof/>
                <w:webHidden/>
                <w:lang w:val="sr-Latn-ME"/>
              </w:rPr>
              <w:fldChar w:fldCharType="separate"/>
            </w:r>
            <w:r w:rsidR="00CB28FA" w:rsidRPr="001302F9">
              <w:rPr>
                <w:rFonts w:ascii="Arial" w:hAnsi="Arial" w:cs="Arial"/>
                <w:noProof/>
                <w:webHidden/>
                <w:lang w:val="sr-Latn-ME"/>
              </w:rPr>
              <w:t>9</w:t>
            </w:r>
            <w:r w:rsidR="007F5B63" w:rsidRPr="001302F9">
              <w:rPr>
                <w:rFonts w:ascii="Arial" w:hAnsi="Arial" w:cs="Arial"/>
                <w:noProof/>
                <w:webHidden/>
                <w:lang w:val="sr-Latn-ME"/>
              </w:rPr>
              <w:fldChar w:fldCharType="end"/>
            </w:r>
          </w:hyperlink>
        </w:p>
        <w:p w:rsidR="007F5B63" w:rsidRPr="001302F9" w:rsidRDefault="004067B6" w:rsidP="00D23BC2">
          <w:pPr>
            <w:pStyle w:val="TOC3"/>
            <w:tabs>
              <w:tab w:val="left" w:pos="1200"/>
              <w:tab w:val="right" w:leader="dot" w:pos="9016"/>
            </w:tabs>
            <w:spacing w:before="40" w:after="80" w:line="240" w:lineRule="auto"/>
            <w:jc w:val="both"/>
            <w:rPr>
              <w:rFonts w:ascii="Arial" w:eastAsiaTheme="minorEastAsia" w:hAnsi="Arial" w:cs="Arial"/>
              <w:noProof/>
              <w:kern w:val="2"/>
              <w:lang w:val="sr-Latn-ME"/>
              <w14:ligatures w14:val="standardContextual"/>
            </w:rPr>
          </w:pPr>
          <w:hyperlink w:anchor="_Toc191824741" w:history="1">
            <w:r w:rsidR="007F5B63" w:rsidRPr="001302F9">
              <w:rPr>
                <w:rStyle w:val="Hyperlink"/>
                <w:rFonts w:ascii="Arial" w:hAnsi="Arial" w:cs="Arial"/>
                <w:noProof/>
                <w:lang w:val="sr-Latn-ME"/>
              </w:rPr>
              <w:t>1.6.</w:t>
            </w:r>
            <w:r w:rsidR="007F5B63" w:rsidRPr="001302F9">
              <w:rPr>
                <w:rFonts w:ascii="Arial" w:eastAsiaTheme="minorEastAsia" w:hAnsi="Arial" w:cs="Arial"/>
                <w:noProof/>
                <w:kern w:val="2"/>
                <w:lang w:val="sr-Latn-ME"/>
                <w14:ligatures w14:val="standardContextual"/>
              </w:rPr>
              <w:tab/>
            </w:r>
            <w:r w:rsidR="007F5B63" w:rsidRPr="001302F9">
              <w:rPr>
                <w:rStyle w:val="Hyperlink"/>
                <w:rFonts w:ascii="Arial" w:hAnsi="Arial" w:cs="Arial"/>
                <w:noProof/>
                <w:lang w:val="sr-Latn-ME"/>
              </w:rPr>
              <w:t>I</w:t>
            </w:r>
            <w:bookmarkStart w:id="1" w:name="_Hlk194407338"/>
            <w:r w:rsidR="007F5B63" w:rsidRPr="001302F9">
              <w:rPr>
                <w:rStyle w:val="Hyperlink"/>
                <w:rFonts w:ascii="Arial" w:hAnsi="Arial" w:cs="Arial"/>
                <w:noProof/>
                <w:lang w:val="sr-Latn-ME"/>
              </w:rPr>
              <w:t>nstit</w:t>
            </w:r>
            <w:r w:rsidR="00EF67BE">
              <w:rPr>
                <w:rStyle w:val="Hyperlink"/>
                <w:rFonts w:ascii="Arial" w:hAnsi="Arial" w:cs="Arial"/>
                <w:noProof/>
                <w:lang w:val="sr-Latn-ME"/>
              </w:rPr>
              <w:t>ucionalni i zakonodavni okvir</w:t>
            </w:r>
            <w:bookmarkEnd w:id="1"/>
            <w:r w:rsidR="007F5B63" w:rsidRPr="001302F9">
              <w:rPr>
                <w:rFonts w:ascii="Arial" w:hAnsi="Arial" w:cs="Arial"/>
                <w:noProof/>
                <w:webHidden/>
                <w:lang w:val="sr-Latn-ME"/>
              </w:rPr>
              <w:tab/>
            </w:r>
            <w:r w:rsidR="007F5B63" w:rsidRPr="001302F9">
              <w:rPr>
                <w:rFonts w:ascii="Arial" w:hAnsi="Arial" w:cs="Arial"/>
                <w:noProof/>
                <w:webHidden/>
                <w:lang w:val="sr-Latn-ME"/>
              </w:rPr>
              <w:fldChar w:fldCharType="begin"/>
            </w:r>
            <w:r w:rsidR="007F5B63" w:rsidRPr="001302F9">
              <w:rPr>
                <w:rFonts w:ascii="Arial" w:hAnsi="Arial" w:cs="Arial"/>
                <w:noProof/>
                <w:webHidden/>
                <w:lang w:val="sr-Latn-ME"/>
              </w:rPr>
              <w:instrText xml:space="preserve"> PAGEREF _Toc191824741 \h </w:instrText>
            </w:r>
            <w:r w:rsidR="007F5B63" w:rsidRPr="001302F9">
              <w:rPr>
                <w:rFonts w:ascii="Arial" w:hAnsi="Arial" w:cs="Arial"/>
                <w:noProof/>
                <w:webHidden/>
                <w:lang w:val="sr-Latn-ME"/>
              </w:rPr>
            </w:r>
            <w:r w:rsidR="007F5B63" w:rsidRPr="001302F9">
              <w:rPr>
                <w:rFonts w:ascii="Arial" w:hAnsi="Arial" w:cs="Arial"/>
                <w:noProof/>
                <w:webHidden/>
                <w:lang w:val="sr-Latn-ME"/>
              </w:rPr>
              <w:fldChar w:fldCharType="separate"/>
            </w:r>
            <w:r w:rsidR="00CB28FA" w:rsidRPr="001302F9">
              <w:rPr>
                <w:rFonts w:ascii="Arial" w:hAnsi="Arial" w:cs="Arial"/>
                <w:noProof/>
                <w:webHidden/>
                <w:lang w:val="sr-Latn-ME"/>
              </w:rPr>
              <w:t>10</w:t>
            </w:r>
            <w:r w:rsidR="007F5B63" w:rsidRPr="001302F9">
              <w:rPr>
                <w:rFonts w:ascii="Arial" w:hAnsi="Arial" w:cs="Arial"/>
                <w:noProof/>
                <w:webHidden/>
                <w:lang w:val="sr-Latn-ME"/>
              </w:rPr>
              <w:fldChar w:fldCharType="end"/>
            </w:r>
          </w:hyperlink>
        </w:p>
        <w:p w:rsidR="007F5B63" w:rsidRPr="001302F9" w:rsidRDefault="004067B6" w:rsidP="00D23BC2">
          <w:pPr>
            <w:pStyle w:val="TOC3"/>
            <w:tabs>
              <w:tab w:val="left" w:pos="1200"/>
              <w:tab w:val="right" w:leader="dot" w:pos="9016"/>
            </w:tabs>
            <w:spacing w:before="40" w:after="80" w:line="240" w:lineRule="auto"/>
            <w:jc w:val="both"/>
            <w:rPr>
              <w:rFonts w:ascii="Arial" w:eastAsiaTheme="minorEastAsia" w:hAnsi="Arial" w:cs="Arial"/>
              <w:noProof/>
              <w:kern w:val="2"/>
              <w:lang w:val="sr-Latn-ME"/>
              <w14:ligatures w14:val="standardContextual"/>
            </w:rPr>
          </w:pPr>
          <w:hyperlink w:anchor="_Toc191824742" w:history="1">
            <w:r w:rsidR="007F5B63" w:rsidRPr="001302F9">
              <w:rPr>
                <w:rStyle w:val="Hyperlink"/>
                <w:rFonts w:ascii="Arial" w:hAnsi="Arial" w:cs="Arial"/>
                <w:noProof/>
                <w:lang w:val="sr-Latn-ME"/>
              </w:rPr>
              <w:t>1.7.</w:t>
            </w:r>
            <w:r w:rsidR="007F5B63" w:rsidRPr="001302F9">
              <w:rPr>
                <w:rFonts w:ascii="Arial" w:eastAsiaTheme="minorEastAsia" w:hAnsi="Arial" w:cs="Arial"/>
                <w:noProof/>
                <w:kern w:val="2"/>
                <w:lang w:val="sr-Latn-ME"/>
                <w14:ligatures w14:val="standardContextual"/>
              </w:rPr>
              <w:tab/>
            </w:r>
            <w:r w:rsidR="00CB4234">
              <w:rPr>
                <w:rStyle w:val="Hyperlink"/>
                <w:rFonts w:ascii="Arial" w:hAnsi="Arial" w:cs="Arial"/>
                <w:noProof/>
                <w:lang w:val="sr-Latn-ME"/>
              </w:rPr>
              <w:t>Metodologija</w:t>
            </w:r>
            <w:r w:rsidR="007F5B63" w:rsidRPr="001302F9">
              <w:rPr>
                <w:rFonts w:ascii="Arial" w:hAnsi="Arial" w:cs="Arial"/>
                <w:noProof/>
                <w:webHidden/>
                <w:lang w:val="sr-Latn-ME"/>
              </w:rPr>
              <w:tab/>
            </w:r>
            <w:r w:rsidR="007F5B63" w:rsidRPr="001302F9">
              <w:rPr>
                <w:rFonts w:ascii="Arial" w:hAnsi="Arial" w:cs="Arial"/>
                <w:noProof/>
                <w:webHidden/>
                <w:lang w:val="sr-Latn-ME"/>
              </w:rPr>
              <w:fldChar w:fldCharType="begin"/>
            </w:r>
            <w:r w:rsidR="007F5B63" w:rsidRPr="001302F9">
              <w:rPr>
                <w:rFonts w:ascii="Arial" w:hAnsi="Arial" w:cs="Arial"/>
                <w:noProof/>
                <w:webHidden/>
                <w:lang w:val="sr-Latn-ME"/>
              </w:rPr>
              <w:instrText xml:space="preserve"> PAGEREF _Toc191824742 \h </w:instrText>
            </w:r>
            <w:r w:rsidR="007F5B63" w:rsidRPr="001302F9">
              <w:rPr>
                <w:rFonts w:ascii="Arial" w:hAnsi="Arial" w:cs="Arial"/>
                <w:noProof/>
                <w:webHidden/>
                <w:lang w:val="sr-Latn-ME"/>
              </w:rPr>
            </w:r>
            <w:r w:rsidR="007F5B63" w:rsidRPr="001302F9">
              <w:rPr>
                <w:rFonts w:ascii="Arial" w:hAnsi="Arial" w:cs="Arial"/>
                <w:noProof/>
                <w:webHidden/>
                <w:lang w:val="sr-Latn-ME"/>
              </w:rPr>
              <w:fldChar w:fldCharType="separate"/>
            </w:r>
            <w:r w:rsidR="00CB28FA" w:rsidRPr="001302F9">
              <w:rPr>
                <w:rFonts w:ascii="Arial" w:hAnsi="Arial" w:cs="Arial"/>
                <w:noProof/>
                <w:webHidden/>
                <w:lang w:val="sr-Latn-ME"/>
              </w:rPr>
              <w:t>12</w:t>
            </w:r>
            <w:r w:rsidR="007F5B63" w:rsidRPr="001302F9">
              <w:rPr>
                <w:rFonts w:ascii="Arial" w:hAnsi="Arial" w:cs="Arial"/>
                <w:noProof/>
                <w:webHidden/>
                <w:lang w:val="sr-Latn-ME"/>
              </w:rPr>
              <w:fldChar w:fldCharType="end"/>
            </w:r>
          </w:hyperlink>
        </w:p>
        <w:p w:rsidR="007F5B63" w:rsidRPr="001302F9" w:rsidRDefault="004067B6" w:rsidP="00D23BC2">
          <w:pPr>
            <w:pStyle w:val="TOC3"/>
            <w:tabs>
              <w:tab w:val="left" w:pos="1200"/>
              <w:tab w:val="right" w:leader="dot" w:pos="9016"/>
            </w:tabs>
            <w:spacing w:before="40" w:after="80" w:line="240" w:lineRule="auto"/>
            <w:jc w:val="both"/>
            <w:rPr>
              <w:rFonts w:ascii="Arial" w:eastAsiaTheme="minorEastAsia" w:hAnsi="Arial" w:cs="Arial"/>
              <w:noProof/>
              <w:kern w:val="2"/>
              <w:lang w:val="sr-Latn-ME"/>
              <w14:ligatures w14:val="standardContextual"/>
            </w:rPr>
          </w:pPr>
          <w:hyperlink w:anchor="_Toc191824743" w:history="1">
            <w:r w:rsidR="007F5B63" w:rsidRPr="001302F9">
              <w:rPr>
                <w:rStyle w:val="Hyperlink"/>
                <w:rFonts w:ascii="Arial" w:hAnsi="Arial" w:cs="Arial"/>
                <w:noProof/>
                <w:lang w:val="sr-Latn-ME"/>
              </w:rPr>
              <w:t>1.8.</w:t>
            </w:r>
            <w:r w:rsidR="007F5B63" w:rsidRPr="001302F9">
              <w:rPr>
                <w:rFonts w:ascii="Arial" w:eastAsiaTheme="minorEastAsia" w:hAnsi="Arial" w:cs="Arial"/>
                <w:noProof/>
                <w:kern w:val="2"/>
                <w:lang w:val="sr-Latn-ME"/>
                <w14:ligatures w14:val="standardContextual"/>
              </w:rPr>
              <w:tab/>
            </w:r>
            <w:r w:rsidR="007F5B63" w:rsidRPr="001302F9">
              <w:rPr>
                <w:rStyle w:val="Hyperlink"/>
                <w:rFonts w:ascii="Arial" w:hAnsi="Arial" w:cs="Arial"/>
                <w:noProof/>
                <w:lang w:val="sr-Latn-ME"/>
              </w:rPr>
              <w:t>Gender mainstreaming</w:t>
            </w:r>
            <w:r w:rsidR="007F5B63" w:rsidRPr="001302F9">
              <w:rPr>
                <w:rFonts w:ascii="Arial" w:hAnsi="Arial" w:cs="Arial"/>
                <w:noProof/>
                <w:webHidden/>
                <w:lang w:val="sr-Latn-ME"/>
              </w:rPr>
              <w:tab/>
            </w:r>
            <w:r w:rsidR="007F5B63" w:rsidRPr="001302F9">
              <w:rPr>
                <w:rFonts w:ascii="Arial" w:hAnsi="Arial" w:cs="Arial"/>
                <w:noProof/>
                <w:webHidden/>
                <w:lang w:val="sr-Latn-ME"/>
              </w:rPr>
              <w:fldChar w:fldCharType="begin"/>
            </w:r>
            <w:r w:rsidR="007F5B63" w:rsidRPr="001302F9">
              <w:rPr>
                <w:rFonts w:ascii="Arial" w:hAnsi="Arial" w:cs="Arial"/>
                <w:noProof/>
                <w:webHidden/>
                <w:lang w:val="sr-Latn-ME"/>
              </w:rPr>
              <w:instrText xml:space="preserve"> PAGEREF _Toc191824743 \h </w:instrText>
            </w:r>
            <w:r w:rsidR="007F5B63" w:rsidRPr="001302F9">
              <w:rPr>
                <w:rFonts w:ascii="Arial" w:hAnsi="Arial" w:cs="Arial"/>
                <w:noProof/>
                <w:webHidden/>
                <w:lang w:val="sr-Latn-ME"/>
              </w:rPr>
            </w:r>
            <w:r w:rsidR="007F5B63" w:rsidRPr="001302F9">
              <w:rPr>
                <w:rFonts w:ascii="Arial" w:hAnsi="Arial" w:cs="Arial"/>
                <w:noProof/>
                <w:webHidden/>
                <w:lang w:val="sr-Latn-ME"/>
              </w:rPr>
              <w:fldChar w:fldCharType="separate"/>
            </w:r>
            <w:r w:rsidR="00CB28FA" w:rsidRPr="001302F9">
              <w:rPr>
                <w:rFonts w:ascii="Arial" w:hAnsi="Arial" w:cs="Arial"/>
                <w:noProof/>
                <w:webHidden/>
                <w:lang w:val="sr-Latn-ME"/>
              </w:rPr>
              <w:t>12</w:t>
            </w:r>
            <w:r w:rsidR="007F5B63" w:rsidRPr="001302F9">
              <w:rPr>
                <w:rFonts w:ascii="Arial" w:hAnsi="Arial" w:cs="Arial"/>
                <w:noProof/>
                <w:webHidden/>
                <w:lang w:val="sr-Latn-ME"/>
              </w:rPr>
              <w:fldChar w:fldCharType="end"/>
            </w:r>
          </w:hyperlink>
        </w:p>
        <w:p w:rsidR="007F5B63" w:rsidRPr="001302F9" w:rsidRDefault="004067B6" w:rsidP="00D23BC2">
          <w:pPr>
            <w:pStyle w:val="TOC1"/>
            <w:tabs>
              <w:tab w:val="left" w:pos="440"/>
              <w:tab w:val="right" w:leader="dot" w:pos="9016"/>
            </w:tabs>
            <w:spacing w:before="40" w:after="80" w:line="240" w:lineRule="auto"/>
            <w:jc w:val="both"/>
            <w:rPr>
              <w:rFonts w:ascii="Arial" w:eastAsiaTheme="minorEastAsia" w:hAnsi="Arial" w:cs="Arial"/>
              <w:noProof/>
              <w:kern w:val="2"/>
              <w:lang w:val="sr-Latn-ME"/>
              <w14:ligatures w14:val="standardContextual"/>
            </w:rPr>
          </w:pPr>
          <w:hyperlink w:anchor="_Toc191824744" w:history="1">
            <w:r w:rsidR="007F5B63" w:rsidRPr="001302F9">
              <w:rPr>
                <w:rStyle w:val="Hyperlink"/>
                <w:rFonts w:ascii="Arial" w:hAnsi="Arial" w:cs="Arial"/>
                <w:noProof/>
                <w:lang w:val="sr-Latn-ME"/>
              </w:rPr>
              <w:t>2.</w:t>
            </w:r>
            <w:r w:rsidR="007F5B63" w:rsidRPr="001302F9">
              <w:rPr>
                <w:rFonts w:ascii="Arial" w:eastAsiaTheme="minorEastAsia" w:hAnsi="Arial" w:cs="Arial"/>
                <w:noProof/>
                <w:kern w:val="2"/>
                <w:lang w:val="sr-Latn-ME"/>
                <w14:ligatures w14:val="standardContextual"/>
              </w:rPr>
              <w:tab/>
            </w:r>
            <w:r w:rsidR="00EF67BE">
              <w:rPr>
                <w:rStyle w:val="Hyperlink"/>
                <w:rFonts w:ascii="Arial" w:hAnsi="Arial" w:cs="Arial"/>
                <w:noProof/>
                <w:lang w:val="sr-Latn-ME"/>
              </w:rPr>
              <w:t>TRENUTNO STANJE</w:t>
            </w:r>
            <w:r w:rsidR="007F5B63" w:rsidRPr="001302F9">
              <w:rPr>
                <w:rFonts w:ascii="Arial" w:hAnsi="Arial" w:cs="Arial"/>
                <w:noProof/>
                <w:webHidden/>
                <w:lang w:val="sr-Latn-ME"/>
              </w:rPr>
              <w:tab/>
            </w:r>
            <w:r w:rsidR="007F5B63" w:rsidRPr="001302F9">
              <w:rPr>
                <w:rFonts w:ascii="Arial" w:hAnsi="Arial" w:cs="Arial"/>
                <w:noProof/>
                <w:webHidden/>
                <w:lang w:val="sr-Latn-ME"/>
              </w:rPr>
              <w:fldChar w:fldCharType="begin"/>
            </w:r>
            <w:r w:rsidR="007F5B63" w:rsidRPr="001302F9">
              <w:rPr>
                <w:rFonts w:ascii="Arial" w:hAnsi="Arial" w:cs="Arial"/>
                <w:noProof/>
                <w:webHidden/>
                <w:lang w:val="sr-Latn-ME"/>
              </w:rPr>
              <w:instrText xml:space="preserve"> PAGEREF _Toc191824744 \h </w:instrText>
            </w:r>
            <w:r w:rsidR="007F5B63" w:rsidRPr="001302F9">
              <w:rPr>
                <w:rFonts w:ascii="Arial" w:hAnsi="Arial" w:cs="Arial"/>
                <w:noProof/>
                <w:webHidden/>
                <w:lang w:val="sr-Latn-ME"/>
              </w:rPr>
            </w:r>
            <w:r w:rsidR="007F5B63" w:rsidRPr="001302F9">
              <w:rPr>
                <w:rFonts w:ascii="Arial" w:hAnsi="Arial" w:cs="Arial"/>
                <w:noProof/>
                <w:webHidden/>
                <w:lang w:val="sr-Latn-ME"/>
              </w:rPr>
              <w:fldChar w:fldCharType="separate"/>
            </w:r>
            <w:r w:rsidR="00CB28FA" w:rsidRPr="001302F9">
              <w:rPr>
                <w:rFonts w:ascii="Arial" w:hAnsi="Arial" w:cs="Arial"/>
                <w:noProof/>
                <w:webHidden/>
                <w:lang w:val="sr-Latn-ME"/>
              </w:rPr>
              <w:t>12</w:t>
            </w:r>
            <w:r w:rsidR="007F5B63" w:rsidRPr="001302F9">
              <w:rPr>
                <w:rFonts w:ascii="Arial" w:hAnsi="Arial" w:cs="Arial"/>
                <w:noProof/>
                <w:webHidden/>
                <w:lang w:val="sr-Latn-ME"/>
              </w:rPr>
              <w:fldChar w:fldCharType="end"/>
            </w:r>
          </w:hyperlink>
        </w:p>
        <w:p w:rsidR="007F5B63" w:rsidRPr="001302F9" w:rsidRDefault="004067B6" w:rsidP="00D23BC2">
          <w:pPr>
            <w:pStyle w:val="TOC3"/>
            <w:tabs>
              <w:tab w:val="left" w:pos="1200"/>
              <w:tab w:val="right" w:leader="dot" w:pos="9016"/>
            </w:tabs>
            <w:spacing w:before="40" w:after="80" w:line="240" w:lineRule="auto"/>
            <w:jc w:val="both"/>
            <w:rPr>
              <w:rFonts w:ascii="Arial" w:eastAsiaTheme="minorEastAsia" w:hAnsi="Arial" w:cs="Arial"/>
              <w:noProof/>
              <w:kern w:val="2"/>
              <w:lang w:val="sr-Latn-ME"/>
              <w14:ligatures w14:val="standardContextual"/>
            </w:rPr>
          </w:pPr>
          <w:hyperlink w:anchor="_Toc191824745" w:history="1">
            <w:r w:rsidR="007F5B63" w:rsidRPr="001302F9">
              <w:rPr>
                <w:rStyle w:val="Hyperlink"/>
                <w:rFonts w:ascii="Arial" w:hAnsi="Arial" w:cs="Arial"/>
                <w:noProof/>
                <w:lang w:val="sr-Latn-ME"/>
              </w:rPr>
              <w:t>2.1.</w:t>
            </w:r>
            <w:r w:rsidR="007F5B63" w:rsidRPr="001302F9">
              <w:rPr>
                <w:rFonts w:ascii="Arial" w:eastAsiaTheme="minorEastAsia" w:hAnsi="Arial" w:cs="Arial"/>
                <w:noProof/>
                <w:kern w:val="2"/>
                <w:lang w:val="sr-Latn-ME"/>
                <w14:ligatures w14:val="standardContextual"/>
              </w:rPr>
              <w:tab/>
            </w:r>
            <w:r w:rsidR="00E3481F" w:rsidRPr="00E3481F">
              <w:rPr>
                <w:rStyle w:val="Hyperlink"/>
                <w:rFonts w:ascii="Arial" w:hAnsi="Arial" w:cs="Arial"/>
                <w:noProof/>
                <w:lang w:val="sr-Latn-ME"/>
              </w:rPr>
              <w:tab/>
              <w:t>Dostignuća i izazovi implementacije Strategije za borbu protiv prevara i upravljanja nepravilnostima za zaštitu finansijskih interesa EU 2019 – 2022.</w:t>
            </w:r>
            <w:r w:rsidR="007F5B63" w:rsidRPr="001302F9">
              <w:rPr>
                <w:rFonts w:ascii="Arial" w:hAnsi="Arial" w:cs="Arial"/>
                <w:noProof/>
                <w:webHidden/>
                <w:lang w:val="sr-Latn-ME"/>
              </w:rPr>
              <w:tab/>
            </w:r>
            <w:r w:rsidR="007F5B63" w:rsidRPr="001302F9">
              <w:rPr>
                <w:rFonts w:ascii="Arial" w:hAnsi="Arial" w:cs="Arial"/>
                <w:noProof/>
                <w:webHidden/>
                <w:lang w:val="sr-Latn-ME"/>
              </w:rPr>
              <w:fldChar w:fldCharType="begin"/>
            </w:r>
            <w:r w:rsidR="007F5B63" w:rsidRPr="001302F9">
              <w:rPr>
                <w:rFonts w:ascii="Arial" w:hAnsi="Arial" w:cs="Arial"/>
                <w:noProof/>
                <w:webHidden/>
                <w:lang w:val="sr-Latn-ME"/>
              </w:rPr>
              <w:instrText xml:space="preserve"> PAGEREF _Toc191824745 \h </w:instrText>
            </w:r>
            <w:r w:rsidR="007F5B63" w:rsidRPr="001302F9">
              <w:rPr>
                <w:rFonts w:ascii="Arial" w:hAnsi="Arial" w:cs="Arial"/>
                <w:noProof/>
                <w:webHidden/>
                <w:lang w:val="sr-Latn-ME"/>
              </w:rPr>
            </w:r>
            <w:r w:rsidR="007F5B63" w:rsidRPr="001302F9">
              <w:rPr>
                <w:rFonts w:ascii="Arial" w:hAnsi="Arial" w:cs="Arial"/>
                <w:noProof/>
                <w:webHidden/>
                <w:lang w:val="sr-Latn-ME"/>
              </w:rPr>
              <w:fldChar w:fldCharType="separate"/>
            </w:r>
            <w:r w:rsidR="00CB28FA" w:rsidRPr="001302F9">
              <w:rPr>
                <w:rFonts w:ascii="Arial" w:hAnsi="Arial" w:cs="Arial"/>
                <w:noProof/>
                <w:webHidden/>
                <w:lang w:val="sr-Latn-ME"/>
              </w:rPr>
              <w:t>13</w:t>
            </w:r>
            <w:r w:rsidR="007F5B63" w:rsidRPr="001302F9">
              <w:rPr>
                <w:rFonts w:ascii="Arial" w:hAnsi="Arial" w:cs="Arial"/>
                <w:noProof/>
                <w:webHidden/>
                <w:lang w:val="sr-Latn-ME"/>
              </w:rPr>
              <w:fldChar w:fldCharType="end"/>
            </w:r>
          </w:hyperlink>
        </w:p>
        <w:p w:rsidR="007F5B63" w:rsidRPr="001302F9" w:rsidRDefault="004067B6" w:rsidP="00D23BC2">
          <w:pPr>
            <w:pStyle w:val="TOC3"/>
            <w:tabs>
              <w:tab w:val="left" w:pos="1200"/>
              <w:tab w:val="right" w:leader="dot" w:pos="9016"/>
            </w:tabs>
            <w:spacing w:before="40" w:after="80" w:line="240" w:lineRule="auto"/>
            <w:jc w:val="both"/>
            <w:rPr>
              <w:rFonts w:ascii="Arial" w:eastAsiaTheme="minorEastAsia" w:hAnsi="Arial" w:cs="Arial"/>
              <w:noProof/>
              <w:kern w:val="2"/>
              <w:lang w:val="sr-Latn-ME"/>
              <w14:ligatures w14:val="standardContextual"/>
            </w:rPr>
          </w:pPr>
          <w:hyperlink w:anchor="_Toc191824746" w:history="1">
            <w:r w:rsidR="007F5B63" w:rsidRPr="001302F9">
              <w:rPr>
                <w:rStyle w:val="Hyperlink"/>
                <w:rFonts w:ascii="Arial" w:hAnsi="Arial" w:cs="Arial"/>
                <w:noProof/>
                <w:lang w:val="sr-Latn-ME"/>
              </w:rPr>
              <w:t>2.1.1.</w:t>
            </w:r>
            <w:r w:rsidR="007F5B63" w:rsidRPr="001302F9">
              <w:rPr>
                <w:rFonts w:ascii="Arial" w:eastAsiaTheme="minorEastAsia" w:hAnsi="Arial" w:cs="Arial"/>
                <w:noProof/>
                <w:kern w:val="2"/>
                <w:lang w:val="sr-Latn-ME"/>
                <w14:ligatures w14:val="standardContextual"/>
              </w:rPr>
              <w:tab/>
            </w:r>
            <w:r w:rsidR="00EF67BE">
              <w:rPr>
                <w:rStyle w:val="Hyperlink"/>
                <w:rFonts w:ascii="Arial" w:hAnsi="Arial" w:cs="Arial"/>
                <w:noProof/>
                <w:lang w:val="sr-Latn-ME"/>
              </w:rPr>
              <w:t>Glavni zaključci</w:t>
            </w:r>
            <w:r w:rsidR="007F5B63" w:rsidRPr="001302F9">
              <w:rPr>
                <w:rFonts w:ascii="Arial" w:hAnsi="Arial" w:cs="Arial"/>
                <w:noProof/>
                <w:webHidden/>
                <w:lang w:val="sr-Latn-ME"/>
              </w:rPr>
              <w:tab/>
            </w:r>
            <w:r w:rsidR="007F5B63" w:rsidRPr="001302F9">
              <w:rPr>
                <w:rFonts w:ascii="Arial" w:hAnsi="Arial" w:cs="Arial"/>
                <w:noProof/>
                <w:webHidden/>
                <w:lang w:val="sr-Latn-ME"/>
              </w:rPr>
              <w:fldChar w:fldCharType="begin"/>
            </w:r>
            <w:r w:rsidR="007F5B63" w:rsidRPr="001302F9">
              <w:rPr>
                <w:rFonts w:ascii="Arial" w:hAnsi="Arial" w:cs="Arial"/>
                <w:noProof/>
                <w:webHidden/>
                <w:lang w:val="sr-Latn-ME"/>
              </w:rPr>
              <w:instrText xml:space="preserve"> PAGEREF _Toc191824746 \h </w:instrText>
            </w:r>
            <w:r w:rsidR="007F5B63" w:rsidRPr="001302F9">
              <w:rPr>
                <w:rFonts w:ascii="Arial" w:hAnsi="Arial" w:cs="Arial"/>
                <w:noProof/>
                <w:webHidden/>
                <w:lang w:val="sr-Latn-ME"/>
              </w:rPr>
            </w:r>
            <w:r w:rsidR="007F5B63" w:rsidRPr="001302F9">
              <w:rPr>
                <w:rFonts w:ascii="Arial" w:hAnsi="Arial" w:cs="Arial"/>
                <w:noProof/>
                <w:webHidden/>
                <w:lang w:val="sr-Latn-ME"/>
              </w:rPr>
              <w:fldChar w:fldCharType="separate"/>
            </w:r>
            <w:r w:rsidR="00CB28FA" w:rsidRPr="001302F9">
              <w:rPr>
                <w:rFonts w:ascii="Arial" w:hAnsi="Arial" w:cs="Arial"/>
                <w:noProof/>
                <w:webHidden/>
                <w:lang w:val="sr-Latn-ME"/>
              </w:rPr>
              <w:t>13</w:t>
            </w:r>
            <w:r w:rsidR="007F5B63" w:rsidRPr="001302F9">
              <w:rPr>
                <w:rFonts w:ascii="Arial" w:hAnsi="Arial" w:cs="Arial"/>
                <w:noProof/>
                <w:webHidden/>
                <w:lang w:val="sr-Latn-ME"/>
              </w:rPr>
              <w:fldChar w:fldCharType="end"/>
            </w:r>
          </w:hyperlink>
        </w:p>
        <w:p w:rsidR="007F5B63" w:rsidRPr="001302F9" w:rsidRDefault="004067B6" w:rsidP="00D23BC2">
          <w:pPr>
            <w:pStyle w:val="TOC3"/>
            <w:tabs>
              <w:tab w:val="left" w:pos="1200"/>
              <w:tab w:val="right" w:leader="dot" w:pos="9016"/>
            </w:tabs>
            <w:spacing w:before="40" w:after="80" w:line="240" w:lineRule="auto"/>
            <w:jc w:val="both"/>
            <w:rPr>
              <w:rFonts w:ascii="Arial" w:eastAsiaTheme="minorEastAsia" w:hAnsi="Arial" w:cs="Arial"/>
              <w:noProof/>
              <w:kern w:val="2"/>
              <w:lang w:val="sr-Latn-ME"/>
              <w14:ligatures w14:val="standardContextual"/>
            </w:rPr>
          </w:pPr>
          <w:hyperlink w:anchor="_Toc191824747" w:history="1">
            <w:r w:rsidR="007F5B63" w:rsidRPr="001302F9">
              <w:rPr>
                <w:rStyle w:val="Hyperlink"/>
                <w:rFonts w:ascii="Arial" w:hAnsi="Arial" w:cs="Arial"/>
                <w:noProof/>
                <w:lang w:val="sr-Latn-ME"/>
              </w:rPr>
              <w:t>2.1.2.</w:t>
            </w:r>
            <w:r w:rsidR="007F5B63" w:rsidRPr="001302F9">
              <w:rPr>
                <w:rFonts w:ascii="Arial" w:eastAsiaTheme="minorEastAsia" w:hAnsi="Arial" w:cs="Arial"/>
                <w:noProof/>
                <w:kern w:val="2"/>
                <w:lang w:val="sr-Latn-ME"/>
                <w14:ligatures w14:val="standardContextual"/>
              </w:rPr>
              <w:tab/>
            </w:r>
            <w:r w:rsidR="00EF67BE">
              <w:rPr>
                <w:rStyle w:val="Hyperlink"/>
                <w:rFonts w:ascii="Arial" w:hAnsi="Arial" w:cs="Arial"/>
                <w:noProof/>
                <w:lang w:val="sr-Latn-ME"/>
              </w:rPr>
              <w:t xml:space="preserve">Glavne preporuke za Strategiju </w:t>
            </w:r>
            <w:r w:rsidR="007F5B63" w:rsidRPr="001302F9">
              <w:rPr>
                <w:rStyle w:val="Hyperlink"/>
                <w:rFonts w:ascii="Arial" w:hAnsi="Arial" w:cs="Arial"/>
                <w:noProof/>
                <w:lang w:val="sr-Latn-ME"/>
              </w:rPr>
              <w:t>2025-2028</w:t>
            </w:r>
            <w:r w:rsidR="007F5B63" w:rsidRPr="001302F9">
              <w:rPr>
                <w:rFonts w:ascii="Arial" w:hAnsi="Arial" w:cs="Arial"/>
                <w:noProof/>
                <w:webHidden/>
                <w:lang w:val="sr-Latn-ME"/>
              </w:rPr>
              <w:tab/>
            </w:r>
            <w:r w:rsidR="007F5B63" w:rsidRPr="001302F9">
              <w:rPr>
                <w:rFonts w:ascii="Arial" w:hAnsi="Arial" w:cs="Arial"/>
                <w:noProof/>
                <w:webHidden/>
                <w:lang w:val="sr-Latn-ME"/>
              </w:rPr>
              <w:fldChar w:fldCharType="begin"/>
            </w:r>
            <w:r w:rsidR="007F5B63" w:rsidRPr="001302F9">
              <w:rPr>
                <w:rFonts w:ascii="Arial" w:hAnsi="Arial" w:cs="Arial"/>
                <w:noProof/>
                <w:webHidden/>
                <w:lang w:val="sr-Latn-ME"/>
              </w:rPr>
              <w:instrText xml:space="preserve"> PAGEREF _Toc191824747 \h </w:instrText>
            </w:r>
            <w:r w:rsidR="007F5B63" w:rsidRPr="001302F9">
              <w:rPr>
                <w:rFonts w:ascii="Arial" w:hAnsi="Arial" w:cs="Arial"/>
                <w:noProof/>
                <w:webHidden/>
                <w:lang w:val="sr-Latn-ME"/>
              </w:rPr>
            </w:r>
            <w:r w:rsidR="007F5B63" w:rsidRPr="001302F9">
              <w:rPr>
                <w:rFonts w:ascii="Arial" w:hAnsi="Arial" w:cs="Arial"/>
                <w:noProof/>
                <w:webHidden/>
                <w:lang w:val="sr-Latn-ME"/>
              </w:rPr>
              <w:fldChar w:fldCharType="separate"/>
            </w:r>
            <w:r w:rsidR="00CB28FA" w:rsidRPr="001302F9">
              <w:rPr>
                <w:rFonts w:ascii="Arial" w:hAnsi="Arial" w:cs="Arial"/>
                <w:noProof/>
                <w:webHidden/>
                <w:lang w:val="sr-Latn-ME"/>
              </w:rPr>
              <w:t>15</w:t>
            </w:r>
            <w:r w:rsidR="007F5B63" w:rsidRPr="001302F9">
              <w:rPr>
                <w:rFonts w:ascii="Arial" w:hAnsi="Arial" w:cs="Arial"/>
                <w:noProof/>
                <w:webHidden/>
                <w:lang w:val="sr-Latn-ME"/>
              </w:rPr>
              <w:fldChar w:fldCharType="end"/>
            </w:r>
          </w:hyperlink>
        </w:p>
        <w:p w:rsidR="007F5B63" w:rsidRPr="001302F9" w:rsidRDefault="004067B6" w:rsidP="00D23BC2">
          <w:pPr>
            <w:pStyle w:val="TOC3"/>
            <w:tabs>
              <w:tab w:val="left" w:pos="1200"/>
              <w:tab w:val="right" w:leader="dot" w:pos="9016"/>
            </w:tabs>
            <w:spacing w:before="40" w:after="80" w:line="240" w:lineRule="auto"/>
            <w:jc w:val="both"/>
            <w:rPr>
              <w:rFonts w:ascii="Arial" w:eastAsiaTheme="minorEastAsia" w:hAnsi="Arial" w:cs="Arial"/>
              <w:noProof/>
              <w:kern w:val="2"/>
              <w:lang w:val="sr-Latn-ME"/>
              <w14:ligatures w14:val="standardContextual"/>
            </w:rPr>
          </w:pPr>
          <w:hyperlink w:anchor="_Toc191824748" w:history="1">
            <w:r w:rsidR="007F5B63" w:rsidRPr="001302F9">
              <w:rPr>
                <w:rStyle w:val="Hyperlink"/>
                <w:rFonts w:ascii="Arial" w:hAnsi="Arial" w:cs="Arial"/>
                <w:noProof/>
                <w:lang w:val="sr-Latn-ME"/>
              </w:rPr>
              <w:t>2.2.</w:t>
            </w:r>
            <w:r w:rsidR="007F5B63" w:rsidRPr="001302F9">
              <w:rPr>
                <w:rFonts w:ascii="Arial" w:eastAsiaTheme="minorEastAsia" w:hAnsi="Arial" w:cs="Arial"/>
                <w:noProof/>
                <w:kern w:val="2"/>
                <w:lang w:val="sr-Latn-ME"/>
                <w14:ligatures w14:val="standardContextual"/>
              </w:rPr>
              <w:tab/>
            </w:r>
            <w:r w:rsidR="00EF67BE">
              <w:rPr>
                <w:rStyle w:val="Hyperlink"/>
                <w:rFonts w:ascii="Arial" w:hAnsi="Arial" w:cs="Arial"/>
                <w:noProof/>
                <w:lang w:val="sr-Latn-ME"/>
              </w:rPr>
              <w:t xml:space="preserve">Rezultati analize rizika od </w:t>
            </w:r>
            <w:r w:rsidR="00796246">
              <w:rPr>
                <w:rStyle w:val="Hyperlink"/>
                <w:rFonts w:ascii="Arial" w:hAnsi="Arial" w:cs="Arial"/>
                <w:noProof/>
                <w:lang w:val="sr-Latn-ME"/>
              </w:rPr>
              <w:t>prevara</w:t>
            </w:r>
            <w:r w:rsidR="007F5B63" w:rsidRPr="001302F9">
              <w:rPr>
                <w:rFonts w:ascii="Arial" w:hAnsi="Arial" w:cs="Arial"/>
                <w:noProof/>
                <w:webHidden/>
                <w:lang w:val="sr-Latn-ME"/>
              </w:rPr>
              <w:tab/>
            </w:r>
            <w:r w:rsidR="007F5B63" w:rsidRPr="001302F9">
              <w:rPr>
                <w:rFonts w:ascii="Arial" w:hAnsi="Arial" w:cs="Arial"/>
                <w:noProof/>
                <w:webHidden/>
                <w:lang w:val="sr-Latn-ME"/>
              </w:rPr>
              <w:fldChar w:fldCharType="begin"/>
            </w:r>
            <w:r w:rsidR="007F5B63" w:rsidRPr="001302F9">
              <w:rPr>
                <w:rFonts w:ascii="Arial" w:hAnsi="Arial" w:cs="Arial"/>
                <w:noProof/>
                <w:webHidden/>
                <w:lang w:val="sr-Latn-ME"/>
              </w:rPr>
              <w:instrText xml:space="preserve"> PAGEREF _Toc191824748 \h </w:instrText>
            </w:r>
            <w:r w:rsidR="007F5B63" w:rsidRPr="001302F9">
              <w:rPr>
                <w:rFonts w:ascii="Arial" w:hAnsi="Arial" w:cs="Arial"/>
                <w:noProof/>
                <w:webHidden/>
                <w:lang w:val="sr-Latn-ME"/>
              </w:rPr>
            </w:r>
            <w:r w:rsidR="007F5B63" w:rsidRPr="001302F9">
              <w:rPr>
                <w:rFonts w:ascii="Arial" w:hAnsi="Arial" w:cs="Arial"/>
                <w:noProof/>
                <w:webHidden/>
                <w:lang w:val="sr-Latn-ME"/>
              </w:rPr>
              <w:fldChar w:fldCharType="separate"/>
            </w:r>
            <w:r w:rsidR="00CB28FA" w:rsidRPr="001302F9">
              <w:rPr>
                <w:rFonts w:ascii="Arial" w:hAnsi="Arial" w:cs="Arial"/>
                <w:noProof/>
                <w:webHidden/>
                <w:lang w:val="sr-Latn-ME"/>
              </w:rPr>
              <w:t>17</w:t>
            </w:r>
            <w:r w:rsidR="007F5B63" w:rsidRPr="001302F9">
              <w:rPr>
                <w:rFonts w:ascii="Arial" w:hAnsi="Arial" w:cs="Arial"/>
                <w:noProof/>
                <w:webHidden/>
                <w:lang w:val="sr-Latn-ME"/>
              </w:rPr>
              <w:fldChar w:fldCharType="end"/>
            </w:r>
          </w:hyperlink>
        </w:p>
        <w:p w:rsidR="007F5B63" w:rsidRPr="001302F9" w:rsidRDefault="004067B6" w:rsidP="00D23BC2">
          <w:pPr>
            <w:pStyle w:val="TOC3"/>
            <w:tabs>
              <w:tab w:val="left" w:pos="1200"/>
              <w:tab w:val="right" w:leader="dot" w:pos="9016"/>
            </w:tabs>
            <w:spacing w:before="40" w:after="80" w:line="240" w:lineRule="auto"/>
            <w:jc w:val="both"/>
            <w:rPr>
              <w:rFonts w:ascii="Arial" w:eastAsiaTheme="minorEastAsia" w:hAnsi="Arial" w:cs="Arial"/>
              <w:noProof/>
              <w:kern w:val="2"/>
              <w:lang w:val="sr-Latn-ME"/>
              <w14:ligatures w14:val="standardContextual"/>
            </w:rPr>
          </w:pPr>
          <w:hyperlink w:anchor="_Toc191824749" w:history="1">
            <w:r w:rsidR="007F5B63" w:rsidRPr="001302F9">
              <w:rPr>
                <w:rStyle w:val="Hyperlink"/>
                <w:rFonts w:ascii="Arial" w:hAnsi="Arial" w:cs="Arial"/>
                <w:noProof/>
                <w:lang w:val="sr-Latn-ME"/>
              </w:rPr>
              <w:t>2.3.</w:t>
            </w:r>
            <w:r w:rsidR="007F5B63" w:rsidRPr="001302F9">
              <w:rPr>
                <w:rFonts w:ascii="Arial" w:eastAsiaTheme="minorEastAsia" w:hAnsi="Arial" w:cs="Arial"/>
                <w:noProof/>
                <w:kern w:val="2"/>
                <w:lang w:val="sr-Latn-ME"/>
                <w14:ligatures w14:val="standardContextual"/>
              </w:rPr>
              <w:tab/>
            </w:r>
            <w:r w:rsidR="00EF67BE">
              <w:rPr>
                <w:rStyle w:val="Hyperlink"/>
                <w:rFonts w:ascii="Arial" w:hAnsi="Arial" w:cs="Arial"/>
                <w:noProof/>
                <w:lang w:val="sr-Latn-ME"/>
              </w:rPr>
              <w:t>Rezultati PESTLE analize</w:t>
            </w:r>
            <w:r w:rsidR="007F5B63" w:rsidRPr="001302F9">
              <w:rPr>
                <w:rFonts w:ascii="Arial" w:hAnsi="Arial" w:cs="Arial"/>
                <w:noProof/>
                <w:webHidden/>
                <w:lang w:val="sr-Latn-ME"/>
              </w:rPr>
              <w:tab/>
            </w:r>
            <w:r w:rsidR="007F5B63" w:rsidRPr="001302F9">
              <w:rPr>
                <w:rFonts w:ascii="Arial" w:hAnsi="Arial" w:cs="Arial"/>
                <w:noProof/>
                <w:webHidden/>
                <w:lang w:val="sr-Latn-ME"/>
              </w:rPr>
              <w:fldChar w:fldCharType="begin"/>
            </w:r>
            <w:r w:rsidR="007F5B63" w:rsidRPr="001302F9">
              <w:rPr>
                <w:rFonts w:ascii="Arial" w:hAnsi="Arial" w:cs="Arial"/>
                <w:noProof/>
                <w:webHidden/>
                <w:lang w:val="sr-Latn-ME"/>
              </w:rPr>
              <w:instrText xml:space="preserve"> PAGEREF _Toc191824749 \h </w:instrText>
            </w:r>
            <w:r w:rsidR="007F5B63" w:rsidRPr="001302F9">
              <w:rPr>
                <w:rFonts w:ascii="Arial" w:hAnsi="Arial" w:cs="Arial"/>
                <w:noProof/>
                <w:webHidden/>
                <w:lang w:val="sr-Latn-ME"/>
              </w:rPr>
            </w:r>
            <w:r w:rsidR="007F5B63" w:rsidRPr="001302F9">
              <w:rPr>
                <w:rFonts w:ascii="Arial" w:hAnsi="Arial" w:cs="Arial"/>
                <w:noProof/>
                <w:webHidden/>
                <w:lang w:val="sr-Latn-ME"/>
              </w:rPr>
              <w:fldChar w:fldCharType="separate"/>
            </w:r>
            <w:r w:rsidR="00CB28FA" w:rsidRPr="001302F9">
              <w:rPr>
                <w:rFonts w:ascii="Arial" w:hAnsi="Arial" w:cs="Arial"/>
                <w:noProof/>
                <w:webHidden/>
                <w:lang w:val="sr-Latn-ME"/>
              </w:rPr>
              <w:t>20</w:t>
            </w:r>
            <w:r w:rsidR="007F5B63" w:rsidRPr="001302F9">
              <w:rPr>
                <w:rFonts w:ascii="Arial" w:hAnsi="Arial" w:cs="Arial"/>
                <w:noProof/>
                <w:webHidden/>
                <w:lang w:val="sr-Latn-ME"/>
              </w:rPr>
              <w:fldChar w:fldCharType="end"/>
            </w:r>
          </w:hyperlink>
        </w:p>
        <w:p w:rsidR="007F5B63" w:rsidRPr="001302F9" w:rsidRDefault="004067B6" w:rsidP="00D23BC2">
          <w:pPr>
            <w:pStyle w:val="TOC3"/>
            <w:tabs>
              <w:tab w:val="left" w:pos="1200"/>
              <w:tab w:val="right" w:leader="dot" w:pos="9016"/>
            </w:tabs>
            <w:spacing w:before="40" w:after="80" w:line="240" w:lineRule="auto"/>
            <w:jc w:val="both"/>
            <w:rPr>
              <w:rFonts w:ascii="Arial" w:eastAsiaTheme="minorEastAsia" w:hAnsi="Arial" w:cs="Arial"/>
              <w:noProof/>
              <w:kern w:val="2"/>
              <w:lang w:val="sr-Latn-ME"/>
              <w14:ligatures w14:val="standardContextual"/>
            </w:rPr>
          </w:pPr>
          <w:hyperlink w:anchor="_Toc191824750" w:history="1">
            <w:r w:rsidR="007F5B63" w:rsidRPr="001302F9">
              <w:rPr>
                <w:rStyle w:val="Hyperlink"/>
                <w:rFonts w:ascii="Arial" w:hAnsi="Arial" w:cs="Arial"/>
                <w:noProof/>
                <w:lang w:val="sr-Latn-ME"/>
              </w:rPr>
              <w:t>2.4.</w:t>
            </w:r>
            <w:r w:rsidR="007F5B63" w:rsidRPr="001302F9">
              <w:rPr>
                <w:rFonts w:ascii="Arial" w:eastAsiaTheme="minorEastAsia" w:hAnsi="Arial" w:cs="Arial"/>
                <w:noProof/>
                <w:kern w:val="2"/>
                <w:lang w:val="sr-Latn-ME"/>
                <w14:ligatures w14:val="standardContextual"/>
              </w:rPr>
              <w:tab/>
            </w:r>
            <w:r w:rsidR="00EF67BE">
              <w:rPr>
                <w:rStyle w:val="Hyperlink"/>
                <w:rFonts w:ascii="Arial" w:hAnsi="Arial" w:cs="Arial"/>
                <w:noProof/>
                <w:lang w:val="sr-Latn-ME"/>
              </w:rPr>
              <w:t>Rezultati SWOT analize</w:t>
            </w:r>
            <w:r w:rsidR="007F5B63" w:rsidRPr="001302F9">
              <w:rPr>
                <w:rFonts w:ascii="Arial" w:hAnsi="Arial" w:cs="Arial"/>
                <w:noProof/>
                <w:webHidden/>
                <w:lang w:val="sr-Latn-ME"/>
              </w:rPr>
              <w:tab/>
            </w:r>
            <w:r w:rsidR="007F5B63" w:rsidRPr="001302F9">
              <w:rPr>
                <w:rFonts w:ascii="Arial" w:hAnsi="Arial" w:cs="Arial"/>
                <w:noProof/>
                <w:webHidden/>
                <w:lang w:val="sr-Latn-ME"/>
              </w:rPr>
              <w:fldChar w:fldCharType="begin"/>
            </w:r>
            <w:r w:rsidR="007F5B63" w:rsidRPr="001302F9">
              <w:rPr>
                <w:rFonts w:ascii="Arial" w:hAnsi="Arial" w:cs="Arial"/>
                <w:noProof/>
                <w:webHidden/>
                <w:lang w:val="sr-Latn-ME"/>
              </w:rPr>
              <w:instrText xml:space="preserve"> PAGEREF _Toc191824750 \h </w:instrText>
            </w:r>
            <w:r w:rsidR="007F5B63" w:rsidRPr="001302F9">
              <w:rPr>
                <w:rFonts w:ascii="Arial" w:hAnsi="Arial" w:cs="Arial"/>
                <w:noProof/>
                <w:webHidden/>
                <w:lang w:val="sr-Latn-ME"/>
              </w:rPr>
            </w:r>
            <w:r w:rsidR="007F5B63" w:rsidRPr="001302F9">
              <w:rPr>
                <w:rFonts w:ascii="Arial" w:hAnsi="Arial" w:cs="Arial"/>
                <w:noProof/>
                <w:webHidden/>
                <w:lang w:val="sr-Latn-ME"/>
              </w:rPr>
              <w:fldChar w:fldCharType="separate"/>
            </w:r>
            <w:r w:rsidR="00CB28FA" w:rsidRPr="001302F9">
              <w:rPr>
                <w:rFonts w:ascii="Arial" w:hAnsi="Arial" w:cs="Arial"/>
                <w:noProof/>
                <w:webHidden/>
                <w:lang w:val="sr-Latn-ME"/>
              </w:rPr>
              <w:t>22</w:t>
            </w:r>
            <w:r w:rsidR="007F5B63" w:rsidRPr="001302F9">
              <w:rPr>
                <w:rFonts w:ascii="Arial" w:hAnsi="Arial" w:cs="Arial"/>
                <w:noProof/>
                <w:webHidden/>
                <w:lang w:val="sr-Latn-ME"/>
              </w:rPr>
              <w:fldChar w:fldCharType="end"/>
            </w:r>
          </w:hyperlink>
        </w:p>
        <w:p w:rsidR="007F5B63" w:rsidRPr="001302F9" w:rsidRDefault="004067B6" w:rsidP="00D23BC2">
          <w:pPr>
            <w:pStyle w:val="TOC3"/>
            <w:tabs>
              <w:tab w:val="left" w:pos="1200"/>
              <w:tab w:val="right" w:leader="dot" w:pos="9016"/>
            </w:tabs>
            <w:spacing w:before="40" w:after="80" w:line="240" w:lineRule="auto"/>
            <w:jc w:val="both"/>
            <w:rPr>
              <w:rFonts w:ascii="Arial" w:eastAsiaTheme="minorEastAsia" w:hAnsi="Arial" w:cs="Arial"/>
              <w:noProof/>
              <w:kern w:val="2"/>
              <w:lang w:val="sr-Latn-ME"/>
              <w14:ligatures w14:val="standardContextual"/>
            </w:rPr>
          </w:pPr>
          <w:hyperlink w:anchor="_Toc191824751" w:history="1">
            <w:r w:rsidR="007F5B63" w:rsidRPr="001302F9">
              <w:rPr>
                <w:rStyle w:val="Hyperlink"/>
                <w:rFonts w:ascii="Arial" w:hAnsi="Arial" w:cs="Arial"/>
                <w:noProof/>
                <w:lang w:val="sr-Latn-ME"/>
              </w:rPr>
              <w:t>2.5.</w:t>
            </w:r>
            <w:r w:rsidR="007F5B63" w:rsidRPr="001302F9">
              <w:rPr>
                <w:rFonts w:ascii="Arial" w:eastAsiaTheme="minorEastAsia" w:hAnsi="Arial" w:cs="Arial"/>
                <w:noProof/>
                <w:kern w:val="2"/>
                <w:lang w:val="sr-Latn-ME"/>
                <w14:ligatures w14:val="standardContextual"/>
              </w:rPr>
              <w:tab/>
            </w:r>
            <w:r w:rsidR="00EF67BE" w:rsidRPr="00EF67BE">
              <w:rPr>
                <w:rStyle w:val="Hyperlink"/>
                <w:rFonts w:ascii="Arial" w:hAnsi="Arial" w:cs="Arial"/>
                <w:noProof/>
                <w:lang w:val="sr-Latn-ME"/>
              </w:rPr>
              <w:t>Analiza zainteresovanih strana (stakeholdera)</w:t>
            </w:r>
            <w:r w:rsidR="007F5B63" w:rsidRPr="001302F9">
              <w:rPr>
                <w:rFonts w:ascii="Arial" w:hAnsi="Arial" w:cs="Arial"/>
                <w:noProof/>
                <w:webHidden/>
                <w:lang w:val="sr-Latn-ME"/>
              </w:rPr>
              <w:tab/>
            </w:r>
            <w:r w:rsidR="007F5B63" w:rsidRPr="001302F9">
              <w:rPr>
                <w:rFonts w:ascii="Arial" w:hAnsi="Arial" w:cs="Arial"/>
                <w:noProof/>
                <w:webHidden/>
                <w:lang w:val="sr-Latn-ME"/>
              </w:rPr>
              <w:fldChar w:fldCharType="begin"/>
            </w:r>
            <w:r w:rsidR="007F5B63" w:rsidRPr="001302F9">
              <w:rPr>
                <w:rFonts w:ascii="Arial" w:hAnsi="Arial" w:cs="Arial"/>
                <w:noProof/>
                <w:webHidden/>
                <w:lang w:val="sr-Latn-ME"/>
              </w:rPr>
              <w:instrText xml:space="preserve"> PAGEREF _Toc191824751 \h </w:instrText>
            </w:r>
            <w:r w:rsidR="007F5B63" w:rsidRPr="001302F9">
              <w:rPr>
                <w:rFonts w:ascii="Arial" w:hAnsi="Arial" w:cs="Arial"/>
                <w:noProof/>
                <w:webHidden/>
                <w:lang w:val="sr-Latn-ME"/>
              </w:rPr>
            </w:r>
            <w:r w:rsidR="007F5B63" w:rsidRPr="001302F9">
              <w:rPr>
                <w:rFonts w:ascii="Arial" w:hAnsi="Arial" w:cs="Arial"/>
                <w:noProof/>
                <w:webHidden/>
                <w:lang w:val="sr-Latn-ME"/>
              </w:rPr>
              <w:fldChar w:fldCharType="separate"/>
            </w:r>
            <w:r w:rsidR="00CB28FA" w:rsidRPr="001302F9">
              <w:rPr>
                <w:rFonts w:ascii="Arial" w:hAnsi="Arial" w:cs="Arial"/>
                <w:noProof/>
                <w:webHidden/>
                <w:lang w:val="sr-Latn-ME"/>
              </w:rPr>
              <w:t>23</w:t>
            </w:r>
            <w:r w:rsidR="007F5B63" w:rsidRPr="001302F9">
              <w:rPr>
                <w:rFonts w:ascii="Arial" w:hAnsi="Arial" w:cs="Arial"/>
                <w:noProof/>
                <w:webHidden/>
                <w:lang w:val="sr-Latn-ME"/>
              </w:rPr>
              <w:fldChar w:fldCharType="end"/>
            </w:r>
          </w:hyperlink>
        </w:p>
        <w:p w:rsidR="007F5B63" w:rsidRPr="001302F9" w:rsidRDefault="004067B6" w:rsidP="00D23BC2">
          <w:pPr>
            <w:pStyle w:val="TOC3"/>
            <w:tabs>
              <w:tab w:val="left" w:pos="1200"/>
              <w:tab w:val="right" w:leader="dot" w:pos="9016"/>
            </w:tabs>
            <w:spacing w:before="40" w:after="80" w:line="240" w:lineRule="auto"/>
            <w:jc w:val="both"/>
            <w:rPr>
              <w:rFonts w:ascii="Arial" w:eastAsiaTheme="minorEastAsia" w:hAnsi="Arial" w:cs="Arial"/>
              <w:noProof/>
              <w:kern w:val="2"/>
              <w:lang w:val="sr-Latn-ME"/>
              <w14:ligatures w14:val="standardContextual"/>
            </w:rPr>
          </w:pPr>
          <w:hyperlink w:anchor="_Toc191824752" w:history="1">
            <w:r w:rsidR="007F5B63" w:rsidRPr="001302F9">
              <w:rPr>
                <w:rStyle w:val="Hyperlink"/>
                <w:rFonts w:ascii="Arial" w:hAnsi="Arial" w:cs="Arial"/>
                <w:noProof/>
                <w:lang w:val="sr-Latn-ME"/>
              </w:rPr>
              <w:t>2.5.1.</w:t>
            </w:r>
            <w:r w:rsidR="007F5B63" w:rsidRPr="001302F9">
              <w:rPr>
                <w:rFonts w:ascii="Arial" w:eastAsiaTheme="minorEastAsia" w:hAnsi="Arial" w:cs="Arial"/>
                <w:noProof/>
                <w:kern w:val="2"/>
                <w:lang w:val="sr-Latn-ME"/>
                <w14:ligatures w14:val="standardContextual"/>
              </w:rPr>
              <w:tab/>
            </w:r>
            <w:r w:rsidR="007F5B63" w:rsidRPr="001302F9">
              <w:rPr>
                <w:rStyle w:val="Hyperlink"/>
                <w:rFonts w:ascii="Arial" w:hAnsi="Arial" w:cs="Arial"/>
                <w:noProof/>
                <w:lang w:val="sr-Latn-ME"/>
              </w:rPr>
              <w:t>I</w:t>
            </w:r>
            <w:r w:rsidR="00EF67BE">
              <w:rPr>
                <w:rStyle w:val="Hyperlink"/>
                <w:rFonts w:ascii="Arial" w:hAnsi="Arial" w:cs="Arial"/>
                <w:noProof/>
                <w:lang w:val="sr-Latn-ME"/>
              </w:rPr>
              <w:t>dentifikovanje zainteresovanih strana</w:t>
            </w:r>
            <w:r w:rsidR="007F5B63" w:rsidRPr="001302F9">
              <w:rPr>
                <w:rFonts w:ascii="Arial" w:hAnsi="Arial" w:cs="Arial"/>
                <w:noProof/>
                <w:webHidden/>
                <w:lang w:val="sr-Latn-ME"/>
              </w:rPr>
              <w:tab/>
            </w:r>
            <w:r w:rsidR="007F5B63" w:rsidRPr="001302F9">
              <w:rPr>
                <w:rFonts w:ascii="Arial" w:hAnsi="Arial" w:cs="Arial"/>
                <w:noProof/>
                <w:webHidden/>
                <w:lang w:val="sr-Latn-ME"/>
              </w:rPr>
              <w:fldChar w:fldCharType="begin"/>
            </w:r>
            <w:r w:rsidR="007F5B63" w:rsidRPr="001302F9">
              <w:rPr>
                <w:rFonts w:ascii="Arial" w:hAnsi="Arial" w:cs="Arial"/>
                <w:noProof/>
                <w:webHidden/>
                <w:lang w:val="sr-Latn-ME"/>
              </w:rPr>
              <w:instrText xml:space="preserve"> PAGEREF _Toc191824752 \h </w:instrText>
            </w:r>
            <w:r w:rsidR="007F5B63" w:rsidRPr="001302F9">
              <w:rPr>
                <w:rFonts w:ascii="Arial" w:hAnsi="Arial" w:cs="Arial"/>
                <w:noProof/>
                <w:webHidden/>
                <w:lang w:val="sr-Latn-ME"/>
              </w:rPr>
            </w:r>
            <w:r w:rsidR="007F5B63" w:rsidRPr="001302F9">
              <w:rPr>
                <w:rFonts w:ascii="Arial" w:hAnsi="Arial" w:cs="Arial"/>
                <w:noProof/>
                <w:webHidden/>
                <w:lang w:val="sr-Latn-ME"/>
              </w:rPr>
              <w:fldChar w:fldCharType="separate"/>
            </w:r>
            <w:r w:rsidR="00CB28FA" w:rsidRPr="001302F9">
              <w:rPr>
                <w:rFonts w:ascii="Arial" w:hAnsi="Arial" w:cs="Arial"/>
                <w:noProof/>
                <w:webHidden/>
                <w:lang w:val="sr-Latn-ME"/>
              </w:rPr>
              <w:t>23</w:t>
            </w:r>
            <w:r w:rsidR="007F5B63" w:rsidRPr="001302F9">
              <w:rPr>
                <w:rFonts w:ascii="Arial" w:hAnsi="Arial" w:cs="Arial"/>
                <w:noProof/>
                <w:webHidden/>
                <w:lang w:val="sr-Latn-ME"/>
              </w:rPr>
              <w:fldChar w:fldCharType="end"/>
            </w:r>
          </w:hyperlink>
        </w:p>
        <w:p w:rsidR="007F5B63" w:rsidRPr="001302F9" w:rsidRDefault="004067B6" w:rsidP="00D23BC2">
          <w:pPr>
            <w:pStyle w:val="TOC3"/>
            <w:tabs>
              <w:tab w:val="left" w:pos="1200"/>
              <w:tab w:val="right" w:leader="dot" w:pos="9016"/>
            </w:tabs>
            <w:spacing w:before="40" w:after="80" w:line="240" w:lineRule="auto"/>
            <w:jc w:val="both"/>
            <w:rPr>
              <w:rFonts w:ascii="Arial" w:eastAsiaTheme="minorEastAsia" w:hAnsi="Arial" w:cs="Arial"/>
              <w:noProof/>
              <w:kern w:val="2"/>
              <w:lang w:val="sr-Latn-ME"/>
              <w14:ligatures w14:val="standardContextual"/>
            </w:rPr>
          </w:pPr>
          <w:hyperlink w:anchor="_Toc191824753" w:history="1">
            <w:r w:rsidR="007F5B63" w:rsidRPr="001302F9">
              <w:rPr>
                <w:rStyle w:val="Hyperlink"/>
                <w:rFonts w:ascii="Arial" w:hAnsi="Arial" w:cs="Arial"/>
                <w:noProof/>
                <w:lang w:val="sr-Latn-ME"/>
              </w:rPr>
              <w:t>2.5.2.</w:t>
            </w:r>
            <w:r w:rsidR="007F5B63" w:rsidRPr="001302F9">
              <w:rPr>
                <w:rFonts w:ascii="Arial" w:eastAsiaTheme="minorEastAsia" w:hAnsi="Arial" w:cs="Arial"/>
                <w:noProof/>
                <w:kern w:val="2"/>
                <w:lang w:val="sr-Latn-ME"/>
                <w14:ligatures w14:val="standardContextual"/>
              </w:rPr>
              <w:tab/>
            </w:r>
            <w:r w:rsidR="00EF67BE">
              <w:rPr>
                <w:rStyle w:val="Hyperlink"/>
                <w:rFonts w:ascii="Arial" w:hAnsi="Arial" w:cs="Arial"/>
                <w:noProof/>
                <w:lang w:val="sr-Latn-ME"/>
              </w:rPr>
              <w:t>Mapa zainteresovanih strana</w:t>
            </w:r>
            <w:r w:rsidR="007F5B63" w:rsidRPr="001302F9">
              <w:rPr>
                <w:rFonts w:ascii="Arial" w:hAnsi="Arial" w:cs="Arial"/>
                <w:noProof/>
                <w:webHidden/>
                <w:lang w:val="sr-Latn-ME"/>
              </w:rPr>
              <w:tab/>
            </w:r>
            <w:r w:rsidR="007F5B63" w:rsidRPr="001302F9">
              <w:rPr>
                <w:rFonts w:ascii="Arial" w:hAnsi="Arial" w:cs="Arial"/>
                <w:noProof/>
                <w:webHidden/>
                <w:lang w:val="sr-Latn-ME"/>
              </w:rPr>
              <w:fldChar w:fldCharType="begin"/>
            </w:r>
            <w:r w:rsidR="007F5B63" w:rsidRPr="001302F9">
              <w:rPr>
                <w:rFonts w:ascii="Arial" w:hAnsi="Arial" w:cs="Arial"/>
                <w:noProof/>
                <w:webHidden/>
                <w:lang w:val="sr-Latn-ME"/>
              </w:rPr>
              <w:instrText xml:space="preserve"> PAGEREF _Toc191824753 \h </w:instrText>
            </w:r>
            <w:r w:rsidR="007F5B63" w:rsidRPr="001302F9">
              <w:rPr>
                <w:rFonts w:ascii="Arial" w:hAnsi="Arial" w:cs="Arial"/>
                <w:noProof/>
                <w:webHidden/>
                <w:lang w:val="sr-Latn-ME"/>
              </w:rPr>
            </w:r>
            <w:r w:rsidR="007F5B63" w:rsidRPr="001302F9">
              <w:rPr>
                <w:rFonts w:ascii="Arial" w:hAnsi="Arial" w:cs="Arial"/>
                <w:noProof/>
                <w:webHidden/>
                <w:lang w:val="sr-Latn-ME"/>
              </w:rPr>
              <w:fldChar w:fldCharType="separate"/>
            </w:r>
            <w:r w:rsidR="00CB28FA" w:rsidRPr="001302F9">
              <w:rPr>
                <w:rFonts w:ascii="Arial" w:hAnsi="Arial" w:cs="Arial"/>
                <w:noProof/>
                <w:webHidden/>
                <w:lang w:val="sr-Latn-ME"/>
              </w:rPr>
              <w:t>24</w:t>
            </w:r>
            <w:r w:rsidR="007F5B63" w:rsidRPr="001302F9">
              <w:rPr>
                <w:rFonts w:ascii="Arial" w:hAnsi="Arial" w:cs="Arial"/>
                <w:noProof/>
                <w:webHidden/>
                <w:lang w:val="sr-Latn-ME"/>
              </w:rPr>
              <w:fldChar w:fldCharType="end"/>
            </w:r>
          </w:hyperlink>
        </w:p>
        <w:p w:rsidR="007F5B63" w:rsidRPr="001302F9" w:rsidRDefault="004067B6" w:rsidP="00D23BC2">
          <w:pPr>
            <w:pStyle w:val="TOC3"/>
            <w:tabs>
              <w:tab w:val="left" w:pos="1200"/>
              <w:tab w:val="right" w:leader="dot" w:pos="9016"/>
            </w:tabs>
            <w:spacing w:before="40" w:after="80" w:line="240" w:lineRule="auto"/>
            <w:jc w:val="both"/>
            <w:rPr>
              <w:rFonts w:ascii="Arial" w:eastAsiaTheme="minorEastAsia" w:hAnsi="Arial" w:cs="Arial"/>
              <w:noProof/>
              <w:kern w:val="2"/>
              <w:lang w:val="sr-Latn-ME"/>
              <w14:ligatures w14:val="standardContextual"/>
            </w:rPr>
          </w:pPr>
          <w:hyperlink w:anchor="_Toc191824754" w:history="1">
            <w:r w:rsidR="007F5B63" w:rsidRPr="001302F9">
              <w:rPr>
                <w:rStyle w:val="Hyperlink"/>
                <w:rFonts w:ascii="Arial" w:hAnsi="Arial" w:cs="Arial"/>
                <w:noProof/>
                <w:lang w:val="sr-Latn-ME"/>
              </w:rPr>
              <w:t>2.6.</w:t>
            </w:r>
            <w:r w:rsidR="007F5B63" w:rsidRPr="001302F9">
              <w:rPr>
                <w:rFonts w:ascii="Arial" w:eastAsiaTheme="minorEastAsia" w:hAnsi="Arial" w:cs="Arial"/>
                <w:noProof/>
                <w:kern w:val="2"/>
                <w:lang w:val="sr-Latn-ME"/>
                <w14:ligatures w14:val="standardContextual"/>
              </w:rPr>
              <w:tab/>
            </w:r>
            <w:r w:rsidR="00EF67BE">
              <w:rPr>
                <w:rStyle w:val="Hyperlink"/>
                <w:rFonts w:ascii="Arial" w:hAnsi="Arial" w:cs="Arial"/>
                <w:noProof/>
                <w:lang w:val="sr-Latn-ME"/>
              </w:rPr>
              <w:t xml:space="preserve">Analiza trenutnog stanja u svim fazama ciklusa borbe protiv nepravilnosti i prevara </w:t>
            </w:r>
            <w:r w:rsidR="007F5B63" w:rsidRPr="001302F9">
              <w:rPr>
                <w:rFonts w:ascii="Arial" w:hAnsi="Arial" w:cs="Arial"/>
                <w:noProof/>
                <w:webHidden/>
                <w:lang w:val="sr-Latn-ME"/>
              </w:rPr>
              <w:tab/>
            </w:r>
            <w:r w:rsidR="007F5B63" w:rsidRPr="001302F9">
              <w:rPr>
                <w:rFonts w:ascii="Arial" w:hAnsi="Arial" w:cs="Arial"/>
                <w:noProof/>
                <w:webHidden/>
                <w:lang w:val="sr-Latn-ME"/>
              </w:rPr>
              <w:fldChar w:fldCharType="begin"/>
            </w:r>
            <w:r w:rsidR="007F5B63" w:rsidRPr="001302F9">
              <w:rPr>
                <w:rFonts w:ascii="Arial" w:hAnsi="Arial" w:cs="Arial"/>
                <w:noProof/>
                <w:webHidden/>
                <w:lang w:val="sr-Latn-ME"/>
              </w:rPr>
              <w:instrText xml:space="preserve"> PAGEREF _Toc191824754 \h </w:instrText>
            </w:r>
            <w:r w:rsidR="007F5B63" w:rsidRPr="001302F9">
              <w:rPr>
                <w:rFonts w:ascii="Arial" w:hAnsi="Arial" w:cs="Arial"/>
                <w:noProof/>
                <w:webHidden/>
                <w:lang w:val="sr-Latn-ME"/>
              </w:rPr>
            </w:r>
            <w:r w:rsidR="007F5B63" w:rsidRPr="001302F9">
              <w:rPr>
                <w:rFonts w:ascii="Arial" w:hAnsi="Arial" w:cs="Arial"/>
                <w:noProof/>
                <w:webHidden/>
                <w:lang w:val="sr-Latn-ME"/>
              </w:rPr>
              <w:fldChar w:fldCharType="separate"/>
            </w:r>
            <w:r w:rsidR="00CB28FA" w:rsidRPr="001302F9">
              <w:rPr>
                <w:rFonts w:ascii="Arial" w:hAnsi="Arial" w:cs="Arial"/>
                <w:noProof/>
                <w:webHidden/>
                <w:lang w:val="sr-Latn-ME"/>
              </w:rPr>
              <w:t>29</w:t>
            </w:r>
            <w:r w:rsidR="007F5B63" w:rsidRPr="001302F9">
              <w:rPr>
                <w:rFonts w:ascii="Arial" w:hAnsi="Arial" w:cs="Arial"/>
                <w:noProof/>
                <w:webHidden/>
                <w:lang w:val="sr-Latn-ME"/>
              </w:rPr>
              <w:fldChar w:fldCharType="end"/>
            </w:r>
          </w:hyperlink>
        </w:p>
        <w:p w:rsidR="007F5B63" w:rsidRPr="001302F9" w:rsidRDefault="004067B6" w:rsidP="00D23BC2">
          <w:pPr>
            <w:pStyle w:val="TOC3"/>
            <w:tabs>
              <w:tab w:val="left" w:pos="1200"/>
              <w:tab w:val="right" w:leader="dot" w:pos="9016"/>
            </w:tabs>
            <w:spacing w:before="40" w:after="80" w:line="240" w:lineRule="auto"/>
            <w:jc w:val="both"/>
            <w:rPr>
              <w:rFonts w:ascii="Arial" w:eastAsiaTheme="minorEastAsia" w:hAnsi="Arial" w:cs="Arial"/>
              <w:noProof/>
              <w:kern w:val="2"/>
              <w:lang w:val="sr-Latn-ME"/>
              <w14:ligatures w14:val="standardContextual"/>
            </w:rPr>
          </w:pPr>
          <w:hyperlink w:anchor="_Toc191824755" w:history="1">
            <w:r w:rsidR="007F5B63" w:rsidRPr="001302F9">
              <w:rPr>
                <w:rStyle w:val="Hyperlink"/>
                <w:rFonts w:ascii="Arial" w:hAnsi="Arial" w:cs="Arial"/>
                <w:noProof/>
                <w:lang w:val="sr-Latn-ME"/>
              </w:rPr>
              <w:t>2.6.1.</w:t>
            </w:r>
            <w:r w:rsidR="007F5B63" w:rsidRPr="001302F9">
              <w:rPr>
                <w:rFonts w:ascii="Arial" w:eastAsiaTheme="minorEastAsia" w:hAnsi="Arial" w:cs="Arial"/>
                <w:noProof/>
                <w:kern w:val="2"/>
                <w:lang w:val="sr-Latn-ME"/>
                <w14:ligatures w14:val="standardContextual"/>
              </w:rPr>
              <w:tab/>
            </w:r>
            <w:r w:rsidR="00EF67BE">
              <w:rPr>
                <w:rStyle w:val="Hyperlink"/>
                <w:rFonts w:ascii="Arial" w:hAnsi="Arial" w:cs="Arial"/>
                <w:noProof/>
                <w:lang w:val="sr-Latn-ME"/>
              </w:rPr>
              <w:t>Spriječavanje nepravilnosti i prevara</w:t>
            </w:r>
            <w:r w:rsidR="007F5B63" w:rsidRPr="001302F9">
              <w:rPr>
                <w:rFonts w:ascii="Arial" w:hAnsi="Arial" w:cs="Arial"/>
                <w:noProof/>
                <w:webHidden/>
                <w:lang w:val="sr-Latn-ME"/>
              </w:rPr>
              <w:tab/>
            </w:r>
            <w:r w:rsidR="007F5B63" w:rsidRPr="001302F9">
              <w:rPr>
                <w:rFonts w:ascii="Arial" w:hAnsi="Arial" w:cs="Arial"/>
                <w:noProof/>
                <w:webHidden/>
                <w:lang w:val="sr-Latn-ME"/>
              </w:rPr>
              <w:fldChar w:fldCharType="begin"/>
            </w:r>
            <w:r w:rsidR="007F5B63" w:rsidRPr="001302F9">
              <w:rPr>
                <w:rFonts w:ascii="Arial" w:hAnsi="Arial" w:cs="Arial"/>
                <w:noProof/>
                <w:webHidden/>
                <w:lang w:val="sr-Latn-ME"/>
              </w:rPr>
              <w:instrText xml:space="preserve"> PAGEREF _Toc191824755 \h </w:instrText>
            </w:r>
            <w:r w:rsidR="007F5B63" w:rsidRPr="001302F9">
              <w:rPr>
                <w:rFonts w:ascii="Arial" w:hAnsi="Arial" w:cs="Arial"/>
                <w:noProof/>
                <w:webHidden/>
                <w:lang w:val="sr-Latn-ME"/>
              </w:rPr>
            </w:r>
            <w:r w:rsidR="007F5B63" w:rsidRPr="001302F9">
              <w:rPr>
                <w:rFonts w:ascii="Arial" w:hAnsi="Arial" w:cs="Arial"/>
                <w:noProof/>
                <w:webHidden/>
                <w:lang w:val="sr-Latn-ME"/>
              </w:rPr>
              <w:fldChar w:fldCharType="separate"/>
            </w:r>
            <w:r w:rsidR="00CB28FA" w:rsidRPr="001302F9">
              <w:rPr>
                <w:rFonts w:ascii="Arial" w:hAnsi="Arial" w:cs="Arial"/>
                <w:noProof/>
                <w:webHidden/>
                <w:lang w:val="sr-Latn-ME"/>
              </w:rPr>
              <w:t>30</w:t>
            </w:r>
            <w:r w:rsidR="007F5B63" w:rsidRPr="001302F9">
              <w:rPr>
                <w:rFonts w:ascii="Arial" w:hAnsi="Arial" w:cs="Arial"/>
                <w:noProof/>
                <w:webHidden/>
                <w:lang w:val="sr-Latn-ME"/>
              </w:rPr>
              <w:fldChar w:fldCharType="end"/>
            </w:r>
          </w:hyperlink>
        </w:p>
        <w:p w:rsidR="007F5B63" w:rsidRPr="001302F9" w:rsidRDefault="004067B6" w:rsidP="00D23BC2">
          <w:pPr>
            <w:pStyle w:val="TOC3"/>
            <w:tabs>
              <w:tab w:val="left" w:pos="1200"/>
              <w:tab w:val="right" w:leader="dot" w:pos="9016"/>
            </w:tabs>
            <w:spacing w:before="40" w:after="80" w:line="240" w:lineRule="auto"/>
            <w:jc w:val="both"/>
            <w:rPr>
              <w:rFonts w:ascii="Arial" w:eastAsiaTheme="minorEastAsia" w:hAnsi="Arial" w:cs="Arial"/>
              <w:noProof/>
              <w:kern w:val="2"/>
              <w:lang w:val="sr-Latn-ME"/>
              <w14:ligatures w14:val="standardContextual"/>
            </w:rPr>
          </w:pPr>
          <w:hyperlink w:anchor="_Toc191824756" w:history="1">
            <w:r w:rsidR="007F5B63" w:rsidRPr="001302F9">
              <w:rPr>
                <w:rStyle w:val="Hyperlink"/>
                <w:rFonts w:ascii="Arial" w:hAnsi="Arial" w:cs="Arial"/>
                <w:noProof/>
                <w:lang w:val="sr-Latn-ME"/>
              </w:rPr>
              <w:t>2.6.2.</w:t>
            </w:r>
            <w:r w:rsidR="007F5B63" w:rsidRPr="001302F9">
              <w:rPr>
                <w:rFonts w:ascii="Arial" w:eastAsiaTheme="minorEastAsia" w:hAnsi="Arial" w:cs="Arial"/>
                <w:noProof/>
                <w:kern w:val="2"/>
                <w:lang w:val="sr-Latn-ME"/>
                <w14:ligatures w14:val="standardContextual"/>
              </w:rPr>
              <w:tab/>
            </w:r>
            <w:r w:rsidR="00EF67BE">
              <w:rPr>
                <w:rStyle w:val="Hyperlink"/>
                <w:rFonts w:ascii="Arial" w:hAnsi="Arial" w:cs="Arial"/>
                <w:noProof/>
                <w:lang w:val="sr-Latn-ME"/>
              </w:rPr>
              <w:t>Otkrivanje i prijavljivanje nepravilnosti i prevara</w:t>
            </w:r>
            <w:r w:rsidR="007F5B63" w:rsidRPr="001302F9">
              <w:rPr>
                <w:rFonts w:ascii="Arial" w:hAnsi="Arial" w:cs="Arial"/>
                <w:noProof/>
                <w:webHidden/>
                <w:lang w:val="sr-Latn-ME"/>
              </w:rPr>
              <w:tab/>
            </w:r>
            <w:r w:rsidR="007F5B63" w:rsidRPr="001302F9">
              <w:rPr>
                <w:rFonts w:ascii="Arial" w:hAnsi="Arial" w:cs="Arial"/>
                <w:noProof/>
                <w:webHidden/>
                <w:lang w:val="sr-Latn-ME"/>
              </w:rPr>
              <w:fldChar w:fldCharType="begin"/>
            </w:r>
            <w:r w:rsidR="007F5B63" w:rsidRPr="001302F9">
              <w:rPr>
                <w:rFonts w:ascii="Arial" w:hAnsi="Arial" w:cs="Arial"/>
                <w:noProof/>
                <w:webHidden/>
                <w:lang w:val="sr-Latn-ME"/>
              </w:rPr>
              <w:instrText xml:space="preserve"> PAGEREF _Toc191824756 \h </w:instrText>
            </w:r>
            <w:r w:rsidR="007F5B63" w:rsidRPr="001302F9">
              <w:rPr>
                <w:rFonts w:ascii="Arial" w:hAnsi="Arial" w:cs="Arial"/>
                <w:noProof/>
                <w:webHidden/>
                <w:lang w:val="sr-Latn-ME"/>
              </w:rPr>
            </w:r>
            <w:r w:rsidR="007F5B63" w:rsidRPr="001302F9">
              <w:rPr>
                <w:rFonts w:ascii="Arial" w:hAnsi="Arial" w:cs="Arial"/>
                <w:noProof/>
                <w:webHidden/>
                <w:lang w:val="sr-Latn-ME"/>
              </w:rPr>
              <w:fldChar w:fldCharType="separate"/>
            </w:r>
            <w:r w:rsidR="00CB28FA" w:rsidRPr="001302F9">
              <w:rPr>
                <w:rFonts w:ascii="Arial" w:hAnsi="Arial" w:cs="Arial"/>
                <w:noProof/>
                <w:webHidden/>
                <w:lang w:val="sr-Latn-ME"/>
              </w:rPr>
              <w:t>32</w:t>
            </w:r>
            <w:r w:rsidR="007F5B63" w:rsidRPr="001302F9">
              <w:rPr>
                <w:rFonts w:ascii="Arial" w:hAnsi="Arial" w:cs="Arial"/>
                <w:noProof/>
                <w:webHidden/>
                <w:lang w:val="sr-Latn-ME"/>
              </w:rPr>
              <w:fldChar w:fldCharType="end"/>
            </w:r>
          </w:hyperlink>
        </w:p>
        <w:p w:rsidR="007F5B63" w:rsidRPr="001302F9" w:rsidRDefault="004067B6" w:rsidP="00D23BC2">
          <w:pPr>
            <w:pStyle w:val="TOC3"/>
            <w:tabs>
              <w:tab w:val="left" w:pos="1200"/>
              <w:tab w:val="right" w:leader="dot" w:pos="9016"/>
            </w:tabs>
            <w:spacing w:before="40" w:after="80" w:line="240" w:lineRule="auto"/>
            <w:jc w:val="both"/>
            <w:rPr>
              <w:rFonts w:ascii="Arial" w:eastAsiaTheme="minorEastAsia" w:hAnsi="Arial" w:cs="Arial"/>
              <w:noProof/>
              <w:kern w:val="2"/>
              <w:lang w:val="sr-Latn-ME"/>
              <w14:ligatures w14:val="standardContextual"/>
            </w:rPr>
          </w:pPr>
          <w:hyperlink w:anchor="_Toc191824757" w:history="1">
            <w:r w:rsidR="007F5B63" w:rsidRPr="001302F9">
              <w:rPr>
                <w:rStyle w:val="Hyperlink"/>
                <w:rFonts w:ascii="Arial" w:hAnsi="Arial" w:cs="Arial"/>
                <w:noProof/>
                <w:lang w:val="sr-Latn-ME"/>
              </w:rPr>
              <w:t>2.6.3.</w:t>
            </w:r>
            <w:r w:rsidR="007F5B63" w:rsidRPr="001302F9">
              <w:rPr>
                <w:rFonts w:ascii="Arial" w:eastAsiaTheme="minorEastAsia" w:hAnsi="Arial" w:cs="Arial"/>
                <w:noProof/>
                <w:kern w:val="2"/>
                <w:lang w:val="sr-Latn-ME"/>
                <w14:ligatures w14:val="standardContextual"/>
              </w:rPr>
              <w:tab/>
            </w:r>
            <w:r w:rsidR="00EF67BE">
              <w:rPr>
                <w:rStyle w:val="Hyperlink"/>
                <w:rFonts w:ascii="Arial" w:hAnsi="Arial" w:cs="Arial"/>
                <w:noProof/>
                <w:lang w:val="sr-Latn-ME"/>
              </w:rPr>
              <w:t>Istraga prevara i krivično gonjenje</w:t>
            </w:r>
            <w:r w:rsidR="007F5B63" w:rsidRPr="001302F9">
              <w:rPr>
                <w:rFonts w:ascii="Arial" w:hAnsi="Arial" w:cs="Arial"/>
                <w:noProof/>
                <w:webHidden/>
                <w:lang w:val="sr-Latn-ME"/>
              </w:rPr>
              <w:tab/>
            </w:r>
            <w:r w:rsidR="007F5B63" w:rsidRPr="001302F9">
              <w:rPr>
                <w:rFonts w:ascii="Arial" w:hAnsi="Arial" w:cs="Arial"/>
                <w:noProof/>
                <w:webHidden/>
                <w:lang w:val="sr-Latn-ME"/>
              </w:rPr>
              <w:fldChar w:fldCharType="begin"/>
            </w:r>
            <w:r w:rsidR="007F5B63" w:rsidRPr="001302F9">
              <w:rPr>
                <w:rFonts w:ascii="Arial" w:hAnsi="Arial" w:cs="Arial"/>
                <w:noProof/>
                <w:webHidden/>
                <w:lang w:val="sr-Latn-ME"/>
              </w:rPr>
              <w:instrText xml:space="preserve"> PAGEREF _Toc191824757 \h </w:instrText>
            </w:r>
            <w:r w:rsidR="007F5B63" w:rsidRPr="001302F9">
              <w:rPr>
                <w:rFonts w:ascii="Arial" w:hAnsi="Arial" w:cs="Arial"/>
                <w:noProof/>
                <w:webHidden/>
                <w:lang w:val="sr-Latn-ME"/>
              </w:rPr>
            </w:r>
            <w:r w:rsidR="007F5B63" w:rsidRPr="001302F9">
              <w:rPr>
                <w:rFonts w:ascii="Arial" w:hAnsi="Arial" w:cs="Arial"/>
                <w:noProof/>
                <w:webHidden/>
                <w:lang w:val="sr-Latn-ME"/>
              </w:rPr>
              <w:fldChar w:fldCharType="separate"/>
            </w:r>
            <w:r w:rsidR="00CB28FA" w:rsidRPr="001302F9">
              <w:rPr>
                <w:rFonts w:ascii="Arial" w:hAnsi="Arial" w:cs="Arial"/>
                <w:noProof/>
                <w:webHidden/>
                <w:lang w:val="sr-Latn-ME"/>
              </w:rPr>
              <w:t>35</w:t>
            </w:r>
            <w:r w:rsidR="007F5B63" w:rsidRPr="001302F9">
              <w:rPr>
                <w:rFonts w:ascii="Arial" w:hAnsi="Arial" w:cs="Arial"/>
                <w:noProof/>
                <w:webHidden/>
                <w:lang w:val="sr-Latn-ME"/>
              </w:rPr>
              <w:fldChar w:fldCharType="end"/>
            </w:r>
          </w:hyperlink>
        </w:p>
        <w:p w:rsidR="007F5B63" w:rsidRPr="001302F9" w:rsidRDefault="004067B6" w:rsidP="00D23BC2">
          <w:pPr>
            <w:pStyle w:val="TOC3"/>
            <w:tabs>
              <w:tab w:val="left" w:pos="1200"/>
              <w:tab w:val="right" w:leader="dot" w:pos="9016"/>
            </w:tabs>
            <w:spacing w:before="40" w:after="80" w:line="240" w:lineRule="auto"/>
            <w:jc w:val="both"/>
            <w:rPr>
              <w:rFonts w:ascii="Arial" w:eastAsiaTheme="minorEastAsia" w:hAnsi="Arial" w:cs="Arial"/>
              <w:noProof/>
              <w:kern w:val="2"/>
              <w:lang w:val="sr-Latn-ME"/>
              <w14:ligatures w14:val="standardContextual"/>
            </w:rPr>
          </w:pPr>
          <w:hyperlink w:anchor="_Toc191824758" w:history="1">
            <w:r w:rsidR="007F5B63" w:rsidRPr="001302F9">
              <w:rPr>
                <w:rStyle w:val="Hyperlink"/>
                <w:rFonts w:ascii="Arial" w:hAnsi="Arial" w:cs="Arial"/>
                <w:noProof/>
                <w:lang w:val="sr-Latn-ME"/>
              </w:rPr>
              <w:t>2.6.4.</w:t>
            </w:r>
            <w:r w:rsidR="007F5B63" w:rsidRPr="001302F9">
              <w:rPr>
                <w:rFonts w:ascii="Arial" w:eastAsiaTheme="minorEastAsia" w:hAnsi="Arial" w:cs="Arial"/>
                <w:noProof/>
                <w:kern w:val="2"/>
                <w:lang w:val="sr-Latn-ME"/>
                <w14:ligatures w14:val="standardContextual"/>
              </w:rPr>
              <w:tab/>
            </w:r>
            <w:r w:rsidR="005656D0">
              <w:rPr>
                <w:rStyle w:val="Hyperlink"/>
                <w:rFonts w:ascii="Arial" w:hAnsi="Arial" w:cs="Arial"/>
                <w:noProof/>
                <w:lang w:val="sr-Latn-ME"/>
              </w:rPr>
              <w:t>Povraćaj sredstava i sankcije</w:t>
            </w:r>
            <w:r w:rsidR="007F5B63" w:rsidRPr="001302F9">
              <w:rPr>
                <w:rFonts w:ascii="Arial" w:hAnsi="Arial" w:cs="Arial"/>
                <w:noProof/>
                <w:webHidden/>
                <w:lang w:val="sr-Latn-ME"/>
              </w:rPr>
              <w:tab/>
            </w:r>
            <w:r w:rsidR="007F5B63" w:rsidRPr="001302F9">
              <w:rPr>
                <w:rFonts w:ascii="Arial" w:hAnsi="Arial" w:cs="Arial"/>
                <w:noProof/>
                <w:webHidden/>
                <w:lang w:val="sr-Latn-ME"/>
              </w:rPr>
              <w:fldChar w:fldCharType="begin"/>
            </w:r>
            <w:r w:rsidR="007F5B63" w:rsidRPr="001302F9">
              <w:rPr>
                <w:rFonts w:ascii="Arial" w:hAnsi="Arial" w:cs="Arial"/>
                <w:noProof/>
                <w:webHidden/>
                <w:lang w:val="sr-Latn-ME"/>
              </w:rPr>
              <w:instrText xml:space="preserve"> PAGEREF _Toc191824758 \h </w:instrText>
            </w:r>
            <w:r w:rsidR="007F5B63" w:rsidRPr="001302F9">
              <w:rPr>
                <w:rFonts w:ascii="Arial" w:hAnsi="Arial" w:cs="Arial"/>
                <w:noProof/>
                <w:webHidden/>
                <w:lang w:val="sr-Latn-ME"/>
              </w:rPr>
            </w:r>
            <w:r w:rsidR="007F5B63" w:rsidRPr="001302F9">
              <w:rPr>
                <w:rFonts w:ascii="Arial" w:hAnsi="Arial" w:cs="Arial"/>
                <w:noProof/>
                <w:webHidden/>
                <w:lang w:val="sr-Latn-ME"/>
              </w:rPr>
              <w:fldChar w:fldCharType="separate"/>
            </w:r>
            <w:r w:rsidR="00CB28FA" w:rsidRPr="001302F9">
              <w:rPr>
                <w:rFonts w:ascii="Arial" w:hAnsi="Arial" w:cs="Arial"/>
                <w:noProof/>
                <w:webHidden/>
                <w:lang w:val="sr-Latn-ME"/>
              </w:rPr>
              <w:t>37</w:t>
            </w:r>
            <w:r w:rsidR="007F5B63" w:rsidRPr="001302F9">
              <w:rPr>
                <w:rFonts w:ascii="Arial" w:hAnsi="Arial" w:cs="Arial"/>
                <w:noProof/>
                <w:webHidden/>
                <w:lang w:val="sr-Latn-ME"/>
              </w:rPr>
              <w:fldChar w:fldCharType="end"/>
            </w:r>
          </w:hyperlink>
        </w:p>
        <w:p w:rsidR="007F5B63" w:rsidRPr="001302F9" w:rsidRDefault="004067B6" w:rsidP="00D23BC2">
          <w:pPr>
            <w:pStyle w:val="TOC1"/>
            <w:tabs>
              <w:tab w:val="left" w:pos="440"/>
              <w:tab w:val="right" w:leader="dot" w:pos="9016"/>
            </w:tabs>
            <w:spacing w:before="40" w:after="80" w:line="240" w:lineRule="auto"/>
            <w:jc w:val="both"/>
            <w:rPr>
              <w:rFonts w:ascii="Arial" w:eastAsiaTheme="minorEastAsia" w:hAnsi="Arial" w:cs="Arial"/>
              <w:noProof/>
              <w:kern w:val="2"/>
              <w:lang w:val="sr-Latn-ME"/>
              <w14:ligatures w14:val="standardContextual"/>
            </w:rPr>
          </w:pPr>
          <w:hyperlink w:anchor="_Toc191824759" w:history="1">
            <w:r w:rsidR="007F5B63" w:rsidRPr="001302F9">
              <w:rPr>
                <w:rStyle w:val="Hyperlink"/>
                <w:rFonts w:ascii="Arial" w:hAnsi="Arial" w:cs="Arial"/>
                <w:noProof/>
                <w:lang w:val="sr-Latn-ME"/>
              </w:rPr>
              <w:t>3.</w:t>
            </w:r>
            <w:r w:rsidR="007F5B63" w:rsidRPr="001302F9">
              <w:rPr>
                <w:rFonts w:ascii="Arial" w:eastAsiaTheme="minorEastAsia" w:hAnsi="Arial" w:cs="Arial"/>
                <w:noProof/>
                <w:kern w:val="2"/>
                <w:lang w:val="sr-Latn-ME"/>
                <w14:ligatures w14:val="standardContextual"/>
              </w:rPr>
              <w:tab/>
            </w:r>
            <w:r w:rsidR="005656D0" w:rsidRPr="005656D0">
              <w:rPr>
                <w:rStyle w:val="Hyperlink"/>
                <w:rFonts w:ascii="Arial" w:hAnsi="Arial" w:cs="Arial"/>
                <w:noProof/>
                <w:lang w:val="sr-Latn-ME"/>
              </w:rPr>
              <w:t>VIZIJA, STRATEŠKI I OPERATIVNI CILJEVI</w:t>
            </w:r>
            <w:r w:rsidR="007F5B63" w:rsidRPr="001302F9">
              <w:rPr>
                <w:rFonts w:ascii="Arial" w:hAnsi="Arial" w:cs="Arial"/>
                <w:noProof/>
                <w:webHidden/>
                <w:lang w:val="sr-Latn-ME"/>
              </w:rPr>
              <w:tab/>
            </w:r>
            <w:r w:rsidR="007F5B63" w:rsidRPr="001302F9">
              <w:rPr>
                <w:rFonts w:ascii="Arial" w:hAnsi="Arial" w:cs="Arial"/>
                <w:noProof/>
                <w:webHidden/>
                <w:lang w:val="sr-Latn-ME"/>
              </w:rPr>
              <w:fldChar w:fldCharType="begin"/>
            </w:r>
            <w:r w:rsidR="007F5B63" w:rsidRPr="001302F9">
              <w:rPr>
                <w:rFonts w:ascii="Arial" w:hAnsi="Arial" w:cs="Arial"/>
                <w:noProof/>
                <w:webHidden/>
                <w:lang w:val="sr-Latn-ME"/>
              </w:rPr>
              <w:instrText xml:space="preserve"> PAGEREF _Toc191824759 \h </w:instrText>
            </w:r>
            <w:r w:rsidR="007F5B63" w:rsidRPr="001302F9">
              <w:rPr>
                <w:rFonts w:ascii="Arial" w:hAnsi="Arial" w:cs="Arial"/>
                <w:noProof/>
                <w:webHidden/>
                <w:lang w:val="sr-Latn-ME"/>
              </w:rPr>
            </w:r>
            <w:r w:rsidR="007F5B63" w:rsidRPr="001302F9">
              <w:rPr>
                <w:rFonts w:ascii="Arial" w:hAnsi="Arial" w:cs="Arial"/>
                <w:noProof/>
                <w:webHidden/>
                <w:lang w:val="sr-Latn-ME"/>
              </w:rPr>
              <w:fldChar w:fldCharType="separate"/>
            </w:r>
            <w:r w:rsidR="00CB28FA" w:rsidRPr="001302F9">
              <w:rPr>
                <w:rFonts w:ascii="Arial" w:hAnsi="Arial" w:cs="Arial"/>
                <w:noProof/>
                <w:webHidden/>
                <w:lang w:val="sr-Latn-ME"/>
              </w:rPr>
              <w:t>38</w:t>
            </w:r>
            <w:r w:rsidR="007F5B63" w:rsidRPr="001302F9">
              <w:rPr>
                <w:rFonts w:ascii="Arial" w:hAnsi="Arial" w:cs="Arial"/>
                <w:noProof/>
                <w:webHidden/>
                <w:lang w:val="sr-Latn-ME"/>
              </w:rPr>
              <w:fldChar w:fldCharType="end"/>
            </w:r>
          </w:hyperlink>
        </w:p>
        <w:p w:rsidR="007F5B63" w:rsidRPr="001302F9" w:rsidRDefault="004067B6" w:rsidP="00D23BC2">
          <w:pPr>
            <w:pStyle w:val="TOC3"/>
            <w:tabs>
              <w:tab w:val="left" w:pos="1200"/>
              <w:tab w:val="right" w:leader="dot" w:pos="9016"/>
            </w:tabs>
            <w:spacing w:before="40" w:after="80" w:line="240" w:lineRule="auto"/>
            <w:jc w:val="both"/>
            <w:rPr>
              <w:rFonts w:ascii="Arial" w:eastAsiaTheme="minorEastAsia" w:hAnsi="Arial" w:cs="Arial"/>
              <w:noProof/>
              <w:kern w:val="2"/>
              <w:lang w:val="sr-Latn-ME"/>
              <w14:ligatures w14:val="standardContextual"/>
            </w:rPr>
          </w:pPr>
          <w:hyperlink w:anchor="_Toc191824760" w:history="1">
            <w:r w:rsidR="007F5B63" w:rsidRPr="005656D0">
              <w:rPr>
                <w:rStyle w:val="Hyperlink"/>
                <w:rFonts w:ascii="Arial" w:hAnsi="Arial" w:cs="Arial"/>
                <w:noProof/>
                <w:lang w:val="sr-Latn-ME"/>
              </w:rPr>
              <w:t>3.1.</w:t>
            </w:r>
            <w:r w:rsidR="007F5B63" w:rsidRPr="005656D0">
              <w:rPr>
                <w:rStyle w:val="Hyperlink"/>
                <w:rFonts w:ascii="Arial" w:eastAsiaTheme="minorEastAsia" w:hAnsi="Arial" w:cs="Arial"/>
                <w:noProof/>
                <w:kern w:val="2"/>
                <w:lang w:val="sr-Latn-ME"/>
                <w14:ligatures w14:val="standardContextual"/>
              </w:rPr>
              <w:tab/>
            </w:r>
            <w:r w:rsidR="005656D0">
              <w:rPr>
                <w:rStyle w:val="Hyperlink"/>
                <w:rFonts w:ascii="Arial" w:hAnsi="Arial" w:cs="Arial"/>
                <w:noProof/>
                <w:lang w:val="sr-Latn-ME"/>
              </w:rPr>
              <w:t xml:space="preserve">OBLAST 1: </w:t>
            </w:r>
            <w:r w:rsidR="007F5B63" w:rsidRPr="005656D0">
              <w:rPr>
                <w:rStyle w:val="Hyperlink"/>
                <w:rFonts w:ascii="Arial" w:hAnsi="Arial" w:cs="Arial"/>
                <w:noProof/>
                <w:lang w:val="sr-Latn-ME"/>
              </w:rPr>
              <w:t xml:space="preserve"> </w:t>
            </w:r>
            <w:r w:rsidR="005656D0">
              <w:rPr>
                <w:rStyle w:val="Hyperlink"/>
                <w:rFonts w:ascii="Arial" w:hAnsi="Arial" w:cs="Arial"/>
                <w:noProof/>
                <w:lang w:val="sr-Latn-ME"/>
              </w:rPr>
              <w:t>I</w:t>
            </w:r>
            <w:r w:rsidR="005656D0" w:rsidRPr="005656D0">
              <w:rPr>
                <w:rStyle w:val="Hyperlink"/>
                <w:rFonts w:ascii="Arial" w:hAnsi="Arial" w:cs="Arial"/>
                <w:noProof/>
                <w:lang w:val="sr-Latn-ME"/>
              </w:rPr>
              <w:t>nstitucionalni i zakonodavni okvir</w:t>
            </w:r>
            <w:r w:rsidR="007F5B63" w:rsidRPr="005656D0">
              <w:rPr>
                <w:rStyle w:val="Hyperlink"/>
                <w:rFonts w:ascii="Arial" w:hAnsi="Arial" w:cs="Arial"/>
                <w:noProof/>
                <w:webHidden/>
                <w:lang w:val="sr-Latn-ME"/>
              </w:rPr>
              <w:tab/>
            </w:r>
            <w:r w:rsidR="007F5B63" w:rsidRPr="005656D0">
              <w:rPr>
                <w:rStyle w:val="Hyperlink"/>
                <w:rFonts w:ascii="Arial" w:hAnsi="Arial" w:cs="Arial"/>
                <w:noProof/>
                <w:webHidden/>
                <w:lang w:val="sr-Latn-ME"/>
              </w:rPr>
              <w:fldChar w:fldCharType="begin"/>
            </w:r>
            <w:r w:rsidR="007F5B63" w:rsidRPr="005656D0">
              <w:rPr>
                <w:rStyle w:val="Hyperlink"/>
                <w:rFonts w:ascii="Arial" w:hAnsi="Arial" w:cs="Arial"/>
                <w:noProof/>
                <w:webHidden/>
                <w:lang w:val="sr-Latn-ME"/>
              </w:rPr>
              <w:instrText xml:space="preserve"> PAGEREF _Toc191824760 \h </w:instrText>
            </w:r>
            <w:r w:rsidR="007F5B63" w:rsidRPr="005656D0">
              <w:rPr>
                <w:rStyle w:val="Hyperlink"/>
                <w:rFonts w:ascii="Arial" w:hAnsi="Arial" w:cs="Arial"/>
                <w:noProof/>
                <w:webHidden/>
                <w:lang w:val="sr-Latn-ME"/>
              </w:rPr>
            </w:r>
            <w:r w:rsidR="007F5B63" w:rsidRPr="005656D0">
              <w:rPr>
                <w:rStyle w:val="Hyperlink"/>
                <w:rFonts w:ascii="Arial" w:hAnsi="Arial" w:cs="Arial"/>
                <w:noProof/>
                <w:webHidden/>
                <w:lang w:val="sr-Latn-ME"/>
              </w:rPr>
              <w:fldChar w:fldCharType="separate"/>
            </w:r>
            <w:r w:rsidR="00CB28FA" w:rsidRPr="005656D0">
              <w:rPr>
                <w:rStyle w:val="Hyperlink"/>
                <w:rFonts w:ascii="Arial" w:hAnsi="Arial" w:cs="Arial"/>
                <w:noProof/>
                <w:webHidden/>
                <w:lang w:val="sr-Latn-ME"/>
              </w:rPr>
              <w:t>39</w:t>
            </w:r>
            <w:r w:rsidR="007F5B63" w:rsidRPr="005656D0">
              <w:rPr>
                <w:rStyle w:val="Hyperlink"/>
                <w:rFonts w:ascii="Arial" w:hAnsi="Arial" w:cs="Arial"/>
                <w:noProof/>
                <w:webHidden/>
                <w:lang w:val="sr-Latn-ME"/>
              </w:rPr>
              <w:fldChar w:fldCharType="end"/>
            </w:r>
          </w:hyperlink>
        </w:p>
        <w:p w:rsidR="007F5B63" w:rsidRPr="001302F9" w:rsidRDefault="004067B6" w:rsidP="00D23BC2">
          <w:pPr>
            <w:pStyle w:val="TOC3"/>
            <w:tabs>
              <w:tab w:val="left" w:pos="1200"/>
              <w:tab w:val="right" w:leader="dot" w:pos="9016"/>
            </w:tabs>
            <w:spacing w:before="40" w:after="80" w:line="240" w:lineRule="auto"/>
            <w:jc w:val="both"/>
            <w:rPr>
              <w:rFonts w:ascii="Arial" w:eastAsiaTheme="minorEastAsia" w:hAnsi="Arial" w:cs="Arial"/>
              <w:noProof/>
              <w:kern w:val="2"/>
              <w:lang w:val="sr-Latn-ME"/>
              <w14:ligatures w14:val="standardContextual"/>
            </w:rPr>
          </w:pPr>
          <w:hyperlink w:anchor="_Toc191824761" w:history="1">
            <w:r w:rsidR="007F5B63" w:rsidRPr="001302F9">
              <w:rPr>
                <w:rStyle w:val="Hyperlink"/>
                <w:rFonts w:ascii="Arial" w:hAnsi="Arial" w:cs="Arial"/>
                <w:noProof/>
                <w:lang w:val="sr-Latn-ME"/>
              </w:rPr>
              <w:t>3.2.</w:t>
            </w:r>
            <w:r w:rsidR="007F5B63" w:rsidRPr="001302F9">
              <w:rPr>
                <w:rFonts w:ascii="Arial" w:eastAsiaTheme="minorEastAsia" w:hAnsi="Arial" w:cs="Arial"/>
                <w:noProof/>
                <w:kern w:val="2"/>
                <w:lang w:val="sr-Latn-ME"/>
                <w14:ligatures w14:val="standardContextual"/>
              </w:rPr>
              <w:tab/>
            </w:r>
            <w:r w:rsidR="005656D0">
              <w:rPr>
                <w:rStyle w:val="Hyperlink"/>
                <w:rFonts w:ascii="Arial" w:hAnsi="Arial" w:cs="Arial"/>
                <w:noProof/>
                <w:lang w:val="sr-Latn-ME"/>
              </w:rPr>
              <w:t>OBLAST 2: Koordinacija i saradnja</w:t>
            </w:r>
            <w:r w:rsidR="007F5B63" w:rsidRPr="001302F9">
              <w:rPr>
                <w:rFonts w:ascii="Arial" w:hAnsi="Arial" w:cs="Arial"/>
                <w:noProof/>
                <w:webHidden/>
                <w:lang w:val="sr-Latn-ME"/>
              </w:rPr>
              <w:tab/>
            </w:r>
            <w:r w:rsidR="007F5B63" w:rsidRPr="001302F9">
              <w:rPr>
                <w:rFonts w:ascii="Arial" w:hAnsi="Arial" w:cs="Arial"/>
                <w:noProof/>
                <w:webHidden/>
                <w:lang w:val="sr-Latn-ME"/>
              </w:rPr>
              <w:fldChar w:fldCharType="begin"/>
            </w:r>
            <w:r w:rsidR="007F5B63" w:rsidRPr="001302F9">
              <w:rPr>
                <w:rFonts w:ascii="Arial" w:hAnsi="Arial" w:cs="Arial"/>
                <w:noProof/>
                <w:webHidden/>
                <w:lang w:val="sr-Latn-ME"/>
              </w:rPr>
              <w:instrText xml:space="preserve"> PAGEREF _Toc191824761 \h </w:instrText>
            </w:r>
            <w:r w:rsidR="007F5B63" w:rsidRPr="001302F9">
              <w:rPr>
                <w:rFonts w:ascii="Arial" w:hAnsi="Arial" w:cs="Arial"/>
                <w:noProof/>
                <w:webHidden/>
                <w:lang w:val="sr-Latn-ME"/>
              </w:rPr>
            </w:r>
            <w:r w:rsidR="007F5B63" w:rsidRPr="001302F9">
              <w:rPr>
                <w:rFonts w:ascii="Arial" w:hAnsi="Arial" w:cs="Arial"/>
                <w:noProof/>
                <w:webHidden/>
                <w:lang w:val="sr-Latn-ME"/>
              </w:rPr>
              <w:fldChar w:fldCharType="separate"/>
            </w:r>
            <w:r w:rsidR="00CB28FA" w:rsidRPr="001302F9">
              <w:rPr>
                <w:rFonts w:ascii="Arial" w:hAnsi="Arial" w:cs="Arial"/>
                <w:noProof/>
                <w:webHidden/>
                <w:lang w:val="sr-Latn-ME"/>
              </w:rPr>
              <w:t>40</w:t>
            </w:r>
            <w:r w:rsidR="007F5B63" w:rsidRPr="001302F9">
              <w:rPr>
                <w:rFonts w:ascii="Arial" w:hAnsi="Arial" w:cs="Arial"/>
                <w:noProof/>
                <w:webHidden/>
                <w:lang w:val="sr-Latn-ME"/>
              </w:rPr>
              <w:fldChar w:fldCharType="end"/>
            </w:r>
          </w:hyperlink>
        </w:p>
        <w:p w:rsidR="007F5B63" w:rsidRPr="001302F9" w:rsidRDefault="004067B6" w:rsidP="00D23BC2">
          <w:pPr>
            <w:pStyle w:val="TOC3"/>
            <w:tabs>
              <w:tab w:val="left" w:pos="1200"/>
              <w:tab w:val="right" w:leader="dot" w:pos="9016"/>
            </w:tabs>
            <w:spacing w:before="40" w:after="80" w:line="240" w:lineRule="auto"/>
            <w:jc w:val="both"/>
            <w:rPr>
              <w:rFonts w:ascii="Arial" w:eastAsiaTheme="minorEastAsia" w:hAnsi="Arial" w:cs="Arial"/>
              <w:noProof/>
              <w:kern w:val="2"/>
              <w:lang w:val="sr-Latn-ME"/>
              <w14:ligatures w14:val="standardContextual"/>
            </w:rPr>
          </w:pPr>
          <w:hyperlink w:anchor="_Toc191824762" w:history="1">
            <w:r w:rsidR="007F5B63" w:rsidRPr="001302F9">
              <w:rPr>
                <w:rStyle w:val="Hyperlink"/>
                <w:rFonts w:ascii="Arial" w:hAnsi="Arial" w:cs="Arial"/>
                <w:noProof/>
                <w:lang w:val="sr-Latn-ME"/>
              </w:rPr>
              <w:t>3.3.</w:t>
            </w:r>
            <w:r w:rsidR="007F5B63" w:rsidRPr="001302F9">
              <w:rPr>
                <w:rFonts w:ascii="Arial" w:eastAsiaTheme="minorEastAsia" w:hAnsi="Arial" w:cs="Arial"/>
                <w:noProof/>
                <w:kern w:val="2"/>
                <w:lang w:val="sr-Latn-ME"/>
                <w14:ligatures w14:val="standardContextual"/>
              </w:rPr>
              <w:tab/>
            </w:r>
            <w:r w:rsidR="005656D0">
              <w:rPr>
                <w:rStyle w:val="Hyperlink"/>
                <w:rFonts w:ascii="Arial" w:hAnsi="Arial" w:cs="Arial"/>
                <w:noProof/>
                <w:lang w:val="sr-Latn-ME"/>
              </w:rPr>
              <w:t>OBLAST 3: Prevencija nepravilnosti i prevara</w:t>
            </w:r>
            <w:r w:rsidR="007F5B63" w:rsidRPr="001302F9">
              <w:rPr>
                <w:rFonts w:ascii="Arial" w:hAnsi="Arial" w:cs="Arial"/>
                <w:noProof/>
                <w:webHidden/>
                <w:lang w:val="sr-Latn-ME"/>
              </w:rPr>
              <w:tab/>
            </w:r>
            <w:r w:rsidR="007F5B63" w:rsidRPr="001302F9">
              <w:rPr>
                <w:rFonts w:ascii="Arial" w:hAnsi="Arial" w:cs="Arial"/>
                <w:noProof/>
                <w:webHidden/>
                <w:lang w:val="sr-Latn-ME"/>
              </w:rPr>
              <w:fldChar w:fldCharType="begin"/>
            </w:r>
            <w:r w:rsidR="007F5B63" w:rsidRPr="001302F9">
              <w:rPr>
                <w:rFonts w:ascii="Arial" w:hAnsi="Arial" w:cs="Arial"/>
                <w:noProof/>
                <w:webHidden/>
                <w:lang w:val="sr-Latn-ME"/>
              </w:rPr>
              <w:instrText xml:space="preserve"> PAGEREF _Toc191824762 \h </w:instrText>
            </w:r>
            <w:r w:rsidR="007F5B63" w:rsidRPr="001302F9">
              <w:rPr>
                <w:rFonts w:ascii="Arial" w:hAnsi="Arial" w:cs="Arial"/>
                <w:noProof/>
                <w:webHidden/>
                <w:lang w:val="sr-Latn-ME"/>
              </w:rPr>
            </w:r>
            <w:r w:rsidR="007F5B63" w:rsidRPr="001302F9">
              <w:rPr>
                <w:rFonts w:ascii="Arial" w:hAnsi="Arial" w:cs="Arial"/>
                <w:noProof/>
                <w:webHidden/>
                <w:lang w:val="sr-Latn-ME"/>
              </w:rPr>
              <w:fldChar w:fldCharType="separate"/>
            </w:r>
            <w:r w:rsidR="00CB28FA" w:rsidRPr="001302F9">
              <w:rPr>
                <w:rFonts w:ascii="Arial" w:hAnsi="Arial" w:cs="Arial"/>
                <w:noProof/>
                <w:webHidden/>
                <w:lang w:val="sr-Latn-ME"/>
              </w:rPr>
              <w:t>40</w:t>
            </w:r>
            <w:r w:rsidR="007F5B63" w:rsidRPr="001302F9">
              <w:rPr>
                <w:rFonts w:ascii="Arial" w:hAnsi="Arial" w:cs="Arial"/>
                <w:noProof/>
                <w:webHidden/>
                <w:lang w:val="sr-Latn-ME"/>
              </w:rPr>
              <w:fldChar w:fldCharType="end"/>
            </w:r>
          </w:hyperlink>
        </w:p>
        <w:p w:rsidR="007F5B63" w:rsidRPr="001302F9" w:rsidRDefault="004067B6" w:rsidP="00D23BC2">
          <w:pPr>
            <w:pStyle w:val="TOC3"/>
            <w:tabs>
              <w:tab w:val="left" w:pos="1200"/>
              <w:tab w:val="right" w:leader="dot" w:pos="9016"/>
            </w:tabs>
            <w:spacing w:before="40" w:after="80" w:line="240" w:lineRule="auto"/>
            <w:jc w:val="both"/>
            <w:rPr>
              <w:rFonts w:ascii="Arial" w:eastAsiaTheme="minorEastAsia" w:hAnsi="Arial" w:cs="Arial"/>
              <w:noProof/>
              <w:kern w:val="2"/>
              <w:lang w:val="sr-Latn-ME"/>
              <w14:ligatures w14:val="standardContextual"/>
            </w:rPr>
          </w:pPr>
          <w:hyperlink w:anchor="_Toc191824763" w:history="1">
            <w:r w:rsidR="007F5B63" w:rsidRPr="001302F9">
              <w:rPr>
                <w:rStyle w:val="Hyperlink"/>
                <w:rFonts w:ascii="Arial" w:hAnsi="Arial" w:cs="Arial"/>
                <w:noProof/>
                <w:lang w:val="sr-Latn-ME"/>
              </w:rPr>
              <w:t>3.4.</w:t>
            </w:r>
            <w:r w:rsidR="007F5B63" w:rsidRPr="001302F9">
              <w:rPr>
                <w:rFonts w:ascii="Arial" w:eastAsiaTheme="minorEastAsia" w:hAnsi="Arial" w:cs="Arial"/>
                <w:noProof/>
                <w:kern w:val="2"/>
                <w:lang w:val="sr-Latn-ME"/>
                <w14:ligatures w14:val="standardContextual"/>
              </w:rPr>
              <w:tab/>
            </w:r>
            <w:r w:rsidR="005656D0" w:rsidRPr="005656D0">
              <w:rPr>
                <w:rStyle w:val="Hyperlink"/>
                <w:rFonts w:ascii="Arial" w:hAnsi="Arial" w:cs="Arial"/>
                <w:noProof/>
                <w:lang w:val="sr-Latn-ME"/>
              </w:rPr>
              <w:t>OBLAST 4: Otkrivanje, postupanje i izveštavanje o nepravilnostima i sumnjama na prevaru</w:t>
            </w:r>
            <w:r w:rsidR="007F5B63" w:rsidRPr="001302F9">
              <w:rPr>
                <w:rFonts w:ascii="Arial" w:hAnsi="Arial" w:cs="Arial"/>
                <w:noProof/>
                <w:webHidden/>
                <w:lang w:val="sr-Latn-ME"/>
              </w:rPr>
              <w:tab/>
            </w:r>
            <w:r w:rsidR="007F5B63" w:rsidRPr="001302F9">
              <w:rPr>
                <w:rFonts w:ascii="Arial" w:hAnsi="Arial" w:cs="Arial"/>
                <w:noProof/>
                <w:webHidden/>
                <w:lang w:val="sr-Latn-ME"/>
              </w:rPr>
              <w:fldChar w:fldCharType="begin"/>
            </w:r>
            <w:r w:rsidR="007F5B63" w:rsidRPr="001302F9">
              <w:rPr>
                <w:rFonts w:ascii="Arial" w:hAnsi="Arial" w:cs="Arial"/>
                <w:noProof/>
                <w:webHidden/>
                <w:lang w:val="sr-Latn-ME"/>
              </w:rPr>
              <w:instrText xml:space="preserve"> PAGEREF _Toc191824763 \h </w:instrText>
            </w:r>
            <w:r w:rsidR="007F5B63" w:rsidRPr="001302F9">
              <w:rPr>
                <w:rFonts w:ascii="Arial" w:hAnsi="Arial" w:cs="Arial"/>
                <w:noProof/>
                <w:webHidden/>
                <w:lang w:val="sr-Latn-ME"/>
              </w:rPr>
            </w:r>
            <w:r w:rsidR="007F5B63" w:rsidRPr="001302F9">
              <w:rPr>
                <w:rFonts w:ascii="Arial" w:hAnsi="Arial" w:cs="Arial"/>
                <w:noProof/>
                <w:webHidden/>
                <w:lang w:val="sr-Latn-ME"/>
              </w:rPr>
              <w:fldChar w:fldCharType="separate"/>
            </w:r>
            <w:r w:rsidR="00CB28FA" w:rsidRPr="001302F9">
              <w:rPr>
                <w:rFonts w:ascii="Arial" w:hAnsi="Arial" w:cs="Arial"/>
                <w:noProof/>
                <w:webHidden/>
                <w:lang w:val="sr-Latn-ME"/>
              </w:rPr>
              <w:t>40</w:t>
            </w:r>
            <w:r w:rsidR="007F5B63" w:rsidRPr="001302F9">
              <w:rPr>
                <w:rFonts w:ascii="Arial" w:hAnsi="Arial" w:cs="Arial"/>
                <w:noProof/>
                <w:webHidden/>
                <w:lang w:val="sr-Latn-ME"/>
              </w:rPr>
              <w:fldChar w:fldCharType="end"/>
            </w:r>
          </w:hyperlink>
        </w:p>
        <w:p w:rsidR="007F5B63" w:rsidRPr="001302F9" w:rsidRDefault="004067B6" w:rsidP="00D23BC2">
          <w:pPr>
            <w:pStyle w:val="TOC3"/>
            <w:tabs>
              <w:tab w:val="left" w:pos="1200"/>
              <w:tab w:val="right" w:leader="dot" w:pos="9016"/>
            </w:tabs>
            <w:spacing w:before="40" w:after="80" w:line="240" w:lineRule="auto"/>
            <w:jc w:val="both"/>
            <w:rPr>
              <w:rFonts w:ascii="Arial" w:eastAsiaTheme="minorEastAsia" w:hAnsi="Arial" w:cs="Arial"/>
              <w:noProof/>
              <w:kern w:val="2"/>
              <w:lang w:val="sr-Latn-ME"/>
              <w14:ligatures w14:val="standardContextual"/>
            </w:rPr>
          </w:pPr>
          <w:hyperlink w:anchor="_Toc191824764" w:history="1">
            <w:r w:rsidR="007F5B63" w:rsidRPr="001302F9">
              <w:rPr>
                <w:rStyle w:val="Hyperlink"/>
                <w:rFonts w:ascii="Arial" w:hAnsi="Arial" w:cs="Arial"/>
                <w:noProof/>
                <w:lang w:val="sr-Latn-ME"/>
              </w:rPr>
              <w:t>3.5.</w:t>
            </w:r>
            <w:r w:rsidR="007F5B63" w:rsidRPr="001302F9">
              <w:rPr>
                <w:rFonts w:ascii="Arial" w:eastAsiaTheme="minorEastAsia" w:hAnsi="Arial" w:cs="Arial"/>
                <w:noProof/>
                <w:kern w:val="2"/>
                <w:lang w:val="sr-Latn-ME"/>
                <w14:ligatures w14:val="standardContextual"/>
              </w:rPr>
              <w:tab/>
            </w:r>
            <w:r w:rsidR="005656D0">
              <w:rPr>
                <w:rStyle w:val="Hyperlink"/>
                <w:rFonts w:ascii="Arial" w:hAnsi="Arial" w:cs="Arial"/>
                <w:noProof/>
                <w:lang w:val="sr-Latn-ME"/>
              </w:rPr>
              <w:t>OBLAST 5: Istraga prevara i krivično postupanje</w:t>
            </w:r>
            <w:r w:rsidR="007F5B63" w:rsidRPr="001302F9">
              <w:rPr>
                <w:rFonts w:ascii="Arial" w:hAnsi="Arial" w:cs="Arial"/>
                <w:noProof/>
                <w:webHidden/>
                <w:lang w:val="sr-Latn-ME"/>
              </w:rPr>
              <w:tab/>
            </w:r>
            <w:r w:rsidR="007F5B63" w:rsidRPr="001302F9">
              <w:rPr>
                <w:rFonts w:ascii="Arial" w:hAnsi="Arial" w:cs="Arial"/>
                <w:noProof/>
                <w:webHidden/>
                <w:lang w:val="sr-Latn-ME"/>
              </w:rPr>
              <w:fldChar w:fldCharType="begin"/>
            </w:r>
            <w:r w:rsidR="007F5B63" w:rsidRPr="001302F9">
              <w:rPr>
                <w:rFonts w:ascii="Arial" w:hAnsi="Arial" w:cs="Arial"/>
                <w:noProof/>
                <w:webHidden/>
                <w:lang w:val="sr-Latn-ME"/>
              </w:rPr>
              <w:instrText xml:space="preserve"> PAGEREF _Toc191824764 \h </w:instrText>
            </w:r>
            <w:r w:rsidR="007F5B63" w:rsidRPr="001302F9">
              <w:rPr>
                <w:rFonts w:ascii="Arial" w:hAnsi="Arial" w:cs="Arial"/>
                <w:noProof/>
                <w:webHidden/>
                <w:lang w:val="sr-Latn-ME"/>
              </w:rPr>
            </w:r>
            <w:r w:rsidR="007F5B63" w:rsidRPr="001302F9">
              <w:rPr>
                <w:rFonts w:ascii="Arial" w:hAnsi="Arial" w:cs="Arial"/>
                <w:noProof/>
                <w:webHidden/>
                <w:lang w:val="sr-Latn-ME"/>
              </w:rPr>
              <w:fldChar w:fldCharType="separate"/>
            </w:r>
            <w:r w:rsidR="00CB28FA" w:rsidRPr="001302F9">
              <w:rPr>
                <w:rFonts w:ascii="Arial" w:hAnsi="Arial" w:cs="Arial"/>
                <w:noProof/>
                <w:webHidden/>
                <w:lang w:val="sr-Latn-ME"/>
              </w:rPr>
              <w:t>40</w:t>
            </w:r>
            <w:r w:rsidR="007F5B63" w:rsidRPr="001302F9">
              <w:rPr>
                <w:rFonts w:ascii="Arial" w:hAnsi="Arial" w:cs="Arial"/>
                <w:noProof/>
                <w:webHidden/>
                <w:lang w:val="sr-Latn-ME"/>
              </w:rPr>
              <w:fldChar w:fldCharType="end"/>
            </w:r>
          </w:hyperlink>
        </w:p>
        <w:p w:rsidR="007F5B63" w:rsidRPr="001302F9" w:rsidRDefault="004067B6" w:rsidP="00D23BC2">
          <w:pPr>
            <w:pStyle w:val="TOC3"/>
            <w:tabs>
              <w:tab w:val="left" w:pos="1200"/>
              <w:tab w:val="right" w:leader="dot" w:pos="9016"/>
            </w:tabs>
            <w:spacing w:before="40" w:after="80" w:line="240" w:lineRule="auto"/>
            <w:jc w:val="both"/>
            <w:rPr>
              <w:rFonts w:ascii="Arial" w:eastAsiaTheme="minorEastAsia" w:hAnsi="Arial" w:cs="Arial"/>
              <w:noProof/>
              <w:kern w:val="2"/>
              <w:lang w:val="sr-Latn-ME"/>
              <w14:ligatures w14:val="standardContextual"/>
            </w:rPr>
          </w:pPr>
          <w:hyperlink w:anchor="_Toc191824765" w:history="1">
            <w:r w:rsidR="007F5B63" w:rsidRPr="001302F9">
              <w:rPr>
                <w:rStyle w:val="Hyperlink"/>
                <w:rFonts w:ascii="Arial" w:hAnsi="Arial" w:cs="Arial"/>
                <w:noProof/>
                <w:lang w:val="sr-Latn-ME"/>
              </w:rPr>
              <w:t>3.6.</w:t>
            </w:r>
            <w:r w:rsidR="007F5B63" w:rsidRPr="001302F9">
              <w:rPr>
                <w:rFonts w:ascii="Arial" w:eastAsiaTheme="minorEastAsia" w:hAnsi="Arial" w:cs="Arial"/>
                <w:noProof/>
                <w:kern w:val="2"/>
                <w:lang w:val="sr-Latn-ME"/>
                <w14:ligatures w14:val="standardContextual"/>
              </w:rPr>
              <w:tab/>
            </w:r>
            <w:r w:rsidR="005656D0">
              <w:rPr>
                <w:rStyle w:val="Hyperlink"/>
                <w:rFonts w:ascii="Arial" w:hAnsi="Arial" w:cs="Arial"/>
                <w:noProof/>
                <w:lang w:val="sr-Latn-ME"/>
              </w:rPr>
              <w:t xml:space="preserve">OBLAST 6: Povraćaj sredstava i sankcije </w:t>
            </w:r>
            <w:r w:rsidR="007F5B63" w:rsidRPr="001302F9">
              <w:rPr>
                <w:rFonts w:ascii="Arial" w:hAnsi="Arial" w:cs="Arial"/>
                <w:noProof/>
                <w:webHidden/>
                <w:lang w:val="sr-Latn-ME"/>
              </w:rPr>
              <w:tab/>
            </w:r>
            <w:r w:rsidR="007F5B63" w:rsidRPr="001302F9">
              <w:rPr>
                <w:rFonts w:ascii="Arial" w:hAnsi="Arial" w:cs="Arial"/>
                <w:noProof/>
                <w:webHidden/>
                <w:lang w:val="sr-Latn-ME"/>
              </w:rPr>
              <w:fldChar w:fldCharType="begin"/>
            </w:r>
            <w:r w:rsidR="007F5B63" w:rsidRPr="001302F9">
              <w:rPr>
                <w:rFonts w:ascii="Arial" w:hAnsi="Arial" w:cs="Arial"/>
                <w:noProof/>
                <w:webHidden/>
                <w:lang w:val="sr-Latn-ME"/>
              </w:rPr>
              <w:instrText xml:space="preserve"> PAGEREF _Toc191824765 \h </w:instrText>
            </w:r>
            <w:r w:rsidR="007F5B63" w:rsidRPr="001302F9">
              <w:rPr>
                <w:rFonts w:ascii="Arial" w:hAnsi="Arial" w:cs="Arial"/>
                <w:noProof/>
                <w:webHidden/>
                <w:lang w:val="sr-Latn-ME"/>
              </w:rPr>
            </w:r>
            <w:r w:rsidR="007F5B63" w:rsidRPr="001302F9">
              <w:rPr>
                <w:rFonts w:ascii="Arial" w:hAnsi="Arial" w:cs="Arial"/>
                <w:noProof/>
                <w:webHidden/>
                <w:lang w:val="sr-Latn-ME"/>
              </w:rPr>
              <w:fldChar w:fldCharType="separate"/>
            </w:r>
            <w:r w:rsidR="00CB28FA" w:rsidRPr="001302F9">
              <w:rPr>
                <w:rFonts w:ascii="Arial" w:hAnsi="Arial" w:cs="Arial"/>
                <w:noProof/>
                <w:webHidden/>
                <w:lang w:val="sr-Latn-ME"/>
              </w:rPr>
              <w:t>40</w:t>
            </w:r>
            <w:r w:rsidR="007F5B63" w:rsidRPr="001302F9">
              <w:rPr>
                <w:rFonts w:ascii="Arial" w:hAnsi="Arial" w:cs="Arial"/>
                <w:noProof/>
                <w:webHidden/>
                <w:lang w:val="sr-Latn-ME"/>
              </w:rPr>
              <w:fldChar w:fldCharType="end"/>
            </w:r>
          </w:hyperlink>
        </w:p>
        <w:p w:rsidR="007F5B63" w:rsidRPr="001302F9" w:rsidRDefault="004067B6" w:rsidP="00D23BC2">
          <w:pPr>
            <w:pStyle w:val="TOC1"/>
            <w:tabs>
              <w:tab w:val="left" w:pos="440"/>
              <w:tab w:val="right" w:leader="dot" w:pos="9016"/>
            </w:tabs>
            <w:spacing w:before="40" w:after="80" w:line="240" w:lineRule="auto"/>
            <w:jc w:val="both"/>
            <w:rPr>
              <w:rFonts w:ascii="Arial" w:eastAsiaTheme="minorEastAsia" w:hAnsi="Arial" w:cs="Arial"/>
              <w:noProof/>
              <w:kern w:val="2"/>
              <w:lang w:val="sr-Latn-ME"/>
              <w14:ligatures w14:val="standardContextual"/>
            </w:rPr>
          </w:pPr>
          <w:hyperlink w:anchor="_Toc191824766" w:history="1">
            <w:r w:rsidR="007F5B63" w:rsidRPr="001302F9">
              <w:rPr>
                <w:rStyle w:val="Hyperlink"/>
                <w:rFonts w:ascii="Arial" w:hAnsi="Arial" w:cs="Arial"/>
                <w:noProof/>
                <w:lang w:val="sr-Latn-ME"/>
              </w:rPr>
              <w:t>4.</w:t>
            </w:r>
            <w:r w:rsidR="007F5B63" w:rsidRPr="001302F9">
              <w:rPr>
                <w:rFonts w:ascii="Arial" w:eastAsiaTheme="minorEastAsia" w:hAnsi="Arial" w:cs="Arial"/>
                <w:noProof/>
                <w:kern w:val="2"/>
                <w:lang w:val="sr-Latn-ME"/>
                <w14:ligatures w14:val="standardContextual"/>
              </w:rPr>
              <w:tab/>
            </w:r>
            <w:r w:rsidR="005656D0">
              <w:rPr>
                <w:rStyle w:val="Hyperlink"/>
                <w:rFonts w:ascii="Arial" w:hAnsi="Arial" w:cs="Arial"/>
                <w:noProof/>
                <w:lang w:val="sr-Latn-ME"/>
              </w:rPr>
              <w:t>AKCIONI PLAN ZA IMPLEMENTACIJU STRATEGIJE</w:t>
            </w:r>
            <w:r w:rsidR="007F5B63" w:rsidRPr="001302F9">
              <w:rPr>
                <w:rFonts w:ascii="Arial" w:hAnsi="Arial" w:cs="Arial"/>
                <w:noProof/>
                <w:webHidden/>
                <w:lang w:val="sr-Latn-ME"/>
              </w:rPr>
              <w:tab/>
            </w:r>
            <w:r w:rsidR="007F5B63" w:rsidRPr="001302F9">
              <w:rPr>
                <w:rFonts w:ascii="Arial" w:hAnsi="Arial" w:cs="Arial"/>
                <w:noProof/>
                <w:webHidden/>
                <w:lang w:val="sr-Latn-ME"/>
              </w:rPr>
              <w:fldChar w:fldCharType="begin"/>
            </w:r>
            <w:r w:rsidR="007F5B63" w:rsidRPr="001302F9">
              <w:rPr>
                <w:rFonts w:ascii="Arial" w:hAnsi="Arial" w:cs="Arial"/>
                <w:noProof/>
                <w:webHidden/>
                <w:lang w:val="sr-Latn-ME"/>
              </w:rPr>
              <w:instrText xml:space="preserve"> PAGEREF _Toc191824766 \h </w:instrText>
            </w:r>
            <w:r w:rsidR="007F5B63" w:rsidRPr="001302F9">
              <w:rPr>
                <w:rFonts w:ascii="Arial" w:hAnsi="Arial" w:cs="Arial"/>
                <w:noProof/>
                <w:webHidden/>
                <w:lang w:val="sr-Latn-ME"/>
              </w:rPr>
            </w:r>
            <w:r w:rsidR="007F5B63" w:rsidRPr="001302F9">
              <w:rPr>
                <w:rFonts w:ascii="Arial" w:hAnsi="Arial" w:cs="Arial"/>
                <w:noProof/>
                <w:webHidden/>
                <w:lang w:val="sr-Latn-ME"/>
              </w:rPr>
              <w:fldChar w:fldCharType="separate"/>
            </w:r>
            <w:r w:rsidR="00CB28FA" w:rsidRPr="001302F9">
              <w:rPr>
                <w:rFonts w:ascii="Arial" w:hAnsi="Arial" w:cs="Arial"/>
                <w:noProof/>
                <w:webHidden/>
                <w:lang w:val="sr-Latn-ME"/>
              </w:rPr>
              <w:t>40</w:t>
            </w:r>
            <w:r w:rsidR="007F5B63" w:rsidRPr="001302F9">
              <w:rPr>
                <w:rFonts w:ascii="Arial" w:hAnsi="Arial" w:cs="Arial"/>
                <w:noProof/>
                <w:webHidden/>
                <w:lang w:val="sr-Latn-ME"/>
              </w:rPr>
              <w:fldChar w:fldCharType="end"/>
            </w:r>
          </w:hyperlink>
        </w:p>
        <w:p w:rsidR="007F5B63" w:rsidRPr="001302F9" w:rsidRDefault="004067B6" w:rsidP="00D23BC2">
          <w:pPr>
            <w:pStyle w:val="TOC1"/>
            <w:tabs>
              <w:tab w:val="left" w:pos="440"/>
              <w:tab w:val="right" w:leader="dot" w:pos="9016"/>
            </w:tabs>
            <w:spacing w:before="40" w:after="80" w:line="240" w:lineRule="auto"/>
            <w:jc w:val="both"/>
            <w:rPr>
              <w:rFonts w:ascii="Arial" w:eastAsiaTheme="minorEastAsia" w:hAnsi="Arial" w:cs="Arial"/>
              <w:noProof/>
              <w:kern w:val="2"/>
              <w:lang w:val="sr-Latn-ME"/>
              <w14:ligatures w14:val="standardContextual"/>
            </w:rPr>
          </w:pPr>
          <w:hyperlink w:anchor="_Toc191824767" w:history="1">
            <w:r w:rsidR="007F5B63" w:rsidRPr="001302F9">
              <w:rPr>
                <w:rStyle w:val="Hyperlink"/>
                <w:rFonts w:ascii="Arial" w:hAnsi="Arial" w:cs="Arial"/>
                <w:noProof/>
                <w:lang w:val="sr-Latn-ME"/>
              </w:rPr>
              <w:t>5.</w:t>
            </w:r>
            <w:r w:rsidR="007F5B63" w:rsidRPr="001302F9">
              <w:rPr>
                <w:rFonts w:ascii="Arial" w:eastAsiaTheme="minorEastAsia" w:hAnsi="Arial" w:cs="Arial"/>
                <w:noProof/>
                <w:kern w:val="2"/>
                <w:lang w:val="sr-Latn-ME"/>
                <w14:ligatures w14:val="standardContextual"/>
              </w:rPr>
              <w:tab/>
            </w:r>
            <w:r w:rsidR="005656D0" w:rsidRPr="005656D0">
              <w:rPr>
                <w:rStyle w:val="Hyperlink"/>
                <w:rFonts w:ascii="Arial" w:hAnsi="Arial" w:cs="Arial"/>
                <w:noProof/>
                <w:lang w:val="sr-Latn-ME"/>
              </w:rPr>
              <w:t>PRAĆENJE I EVALUACIJA IMPLEMENTACIJE STRATEGIJE</w:t>
            </w:r>
            <w:r w:rsidR="007F5B63" w:rsidRPr="001302F9">
              <w:rPr>
                <w:rFonts w:ascii="Arial" w:hAnsi="Arial" w:cs="Arial"/>
                <w:noProof/>
                <w:webHidden/>
                <w:lang w:val="sr-Latn-ME"/>
              </w:rPr>
              <w:tab/>
            </w:r>
            <w:r w:rsidR="007F5B63" w:rsidRPr="001302F9">
              <w:rPr>
                <w:rFonts w:ascii="Arial" w:hAnsi="Arial" w:cs="Arial"/>
                <w:noProof/>
                <w:webHidden/>
                <w:lang w:val="sr-Latn-ME"/>
              </w:rPr>
              <w:fldChar w:fldCharType="begin"/>
            </w:r>
            <w:r w:rsidR="007F5B63" w:rsidRPr="001302F9">
              <w:rPr>
                <w:rFonts w:ascii="Arial" w:hAnsi="Arial" w:cs="Arial"/>
                <w:noProof/>
                <w:webHidden/>
                <w:lang w:val="sr-Latn-ME"/>
              </w:rPr>
              <w:instrText xml:space="preserve"> PAGEREF _Toc191824767 \h </w:instrText>
            </w:r>
            <w:r w:rsidR="007F5B63" w:rsidRPr="001302F9">
              <w:rPr>
                <w:rFonts w:ascii="Arial" w:hAnsi="Arial" w:cs="Arial"/>
                <w:noProof/>
                <w:webHidden/>
                <w:lang w:val="sr-Latn-ME"/>
              </w:rPr>
            </w:r>
            <w:r w:rsidR="007F5B63" w:rsidRPr="001302F9">
              <w:rPr>
                <w:rFonts w:ascii="Arial" w:hAnsi="Arial" w:cs="Arial"/>
                <w:noProof/>
                <w:webHidden/>
                <w:lang w:val="sr-Latn-ME"/>
              </w:rPr>
              <w:fldChar w:fldCharType="separate"/>
            </w:r>
            <w:r w:rsidR="00CB28FA" w:rsidRPr="001302F9">
              <w:rPr>
                <w:rFonts w:ascii="Arial" w:hAnsi="Arial" w:cs="Arial"/>
                <w:noProof/>
                <w:webHidden/>
                <w:lang w:val="sr-Latn-ME"/>
              </w:rPr>
              <w:t>41</w:t>
            </w:r>
            <w:r w:rsidR="007F5B63" w:rsidRPr="001302F9">
              <w:rPr>
                <w:rFonts w:ascii="Arial" w:hAnsi="Arial" w:cs="Arial"/>
                <w:noProof/>
                <w:webHidden/>
                <w:lang w:val="sr-Latn-ME"/>
              </w:rPr>
              <w:fldChar w:fldCharType="end"/>
            </w:r>
          </w:hyperlink>
        </w:p>
        <w:p w:rsidR="007F5B63" w:rsidRPr="001302F9" w:rsidRDefault="004067B6" w:rsidP="00D23BC2">
          <w:pPr>
            <w:pStyle w:val="TOC3"/>
            <w:tabs>
              <w:tab w:val="right" w:leader="dot" w:pos="9016"/>
            </w:tabs>
            <w:spacing w:before="40" w:after="80" w:line="240" w:lineRule="auto"/>
            <w:jc w:val="both"/>
            <w:rPr>
              <w:rFonts w:ascii="Arial" w:eastAsiaTheme="minorEastAsia" w:hAnsi="Arial" w:cs="Arial"/>
              <w:noProof/>
              <w:kern w:val="2"/>
              <w:lang w:val="sr-Latn-ME"/>
              <w14:ligatures w14:val="standardContextual"/>
            </w:rPr>
          </w:pPr>
          <w:hyperlink w:anchor="_Toc191824768" w:history="1">
            <w:r w:rsidR="005656D0">
              <w:rPr>
                <w:rStyle w:val="Hyperlink"/>
                <w:rFonts w:ascii="Arial" w:hAnsi="Arial" w:cs="Arial"/>
                <w:noProof/>
                <w:lang w:val="sr-Latn-ME"/>
              </w:rPr>
              <w:t>Dodatak</w:t>
            </w:r>
            <w:r w:rsidR="007F5B63" w:rsidRPr="001302F9">
              <w:rPr>
                <w:rStyle w:val="Hyperlink"/>
                <w:rFonts w:ascii="Arial" w:hAnsi="Arial" w:cs="Arial"/>
                <w:noProof/>
                <w:lang w:val="sr-Latn-ME"/>
              </w:rPr>
              <w:t xml:space="preserve"> “</w:t>
            </w:r>
            <w:r w:rsidR="005656D0">
              <w:rPr>
                <w:rStyle w:val="Hyperlink"/>
                <w:rFonts w:ascii="Arial" w:hAnsi="Arial" w:cs="Arial"/>
                <w:noProof/>
                <w:lang w:val="sr-Latn-ME"/>
              </w:rPr>
              <w:t>Pasoš indikatora uspjeha</w:t>
            </w:r>
            <w:r w:rsidR="007F5B63" w:rsidRPr="001302F9">
              <w:rPr>
                <w:rStyle w:val="Hyperlink"/>
                <w:rFonts w:ascii="Arial" w:hAnsi="Arial" w:cs="Arial"/>
                <w:noProof/>
                <w:lang w:val="sr-Latn-ME"/>
              </w:rPr>
              <w:t>”</w:t>
            </w:r>
            <w:r w:rsidR="007F5B63" w:rsidRPr="001302F9">
              <w:rPr>
                <w:rFonts w:ascii="Arial" w:hAnsi="Arial" w:cs="Arial"/>
                <w:noProof/>
                <w:webHidden/>
                <w:lang w:val="sr-Latn-ME"/>
              </w:rPr>
              <w:tab/>
            </w:r>
            <w:r w:rsidR="007F5B63" w:rsidRPr="001302F9">
              <w:rPr>
                <w:rFonts w:ascii="Arial" w:hAnsi="Arial" w:cs="Arial"/>
                <w:noProof/>
                <w:webHidden/>
                <w:lang w:val="sr-Latn-ME"/>
              </w:rPr>
              <w:fldChar w:fldCharType="begin"/>
            </w:r>
            <w:r w:rsidR="007F5B63" w:rsidRPr="001302F9">
              <w:rPr>
                <w:rFonts w:ascii="Arial" w:hAnsi="Arial" w:cs="Arial"/>
                <w:noProof/>
                <w:webHidden/>
                <w:lang w:val="sr-Latn-ME"/>
              </w:rPr>
              <w:instrText xml:space="preserve"> PAGEREF _Toc191824768 \h </w:instrText>
            </w:r>
            <w:r w:rsidR="007F5B63" w:rsidRPr="001302F9">
              <w:rPr>
                <w:rFonts w:ascii="Arial" w:hAnsi="Arial" w:cs="Arial"/>
                <w:noProof/>
                <w:webHidden/>
                <w:lang w:val="sr-Latn-ME"/>
              </w:rPr>
            </w:r>
            <w:r w:rsidR="007F5B63" w:rsidRPr="001302F9">
              <w:rPr>
                <w:rFonts w:ascii="Arial" w:hAnsi="Arial" w:cs="Arial"/>
                <w:noProof/>
                <w:webHidden/>
                <w:lang w:val="sr-Latn-ME"/>
              </w:rPr>
              <w:fldChar w:fldCharType="separate"/>
            </w:r>
            <w:r w:rsidR="00CB28FA" w:rsidRPr="001302F9">
              <w:rPr>
                <w:rFonts w:ascii="Arial" w:hAnsi="Arial" w:cs="Arial"/>
                <w:noProof/>
                <w:webHidden/>
                <w:lang w:val="sr-Latn-ME"/>
              </w:rPr>
              <w:t>41</w:t>
            </w:r>
            <w:r w:rsidR="007F5B63" w:rsidRPr="001302F9">
              <w:rPr>
                <w:rFonts w:ascii="Arial" w:hAnsi="Arial" w:cs="Arial"/>
                <w:noProof/>
                <w:webHidden/>
                <w:lang w:val="sr-Latn-ME"/>
              </w:rPr>
              <w:fldChar w:fldCharType="end"/>
            </w:r>
          </w:hyperlink>
        </w:p>
        <w:p w:rsidR="00C735CF" w:rsidRPr="001302F9" w:rsidRDefault="00C735CF" w:rsidP="00D23BC2">
          <w:pPr>
            <w:pStyle w:val="TOC1"/>
            <w:tabs>
              <w:tab w:val="left" w:pos="440"/>
              <w:tab w:val="right" w:leader="dot" w:pos="9016"/>
            </w:tabs>
            <w:spacing w:before="40" w:after="80" w:line="240" w:lineRule="auto"/>
            <w:jc w:val="both"/>
            <w:rPr>
              <w:rFonts w:ascii="Arial" w:hAnsi="Arial" w:cs="Arial"/>
              <w:lang w:val="sr-Latn-ME"/>
            </w:rPr>
          </w:pPr>
          <w:r w:rsidRPr="001302F9">
            <w:rPr>
              <w:rFonts w:ascii="Arial" w:hAnsi="Arial" w:cs="Arial"/>
              <w:b/>
              <w:bCs/>
              <w:noProof/>
              <w:lang w:val="sr-Latn-ME"/>
            </w:rPr>
            <w:fldChar w:fldCharType="end"/>
          </w:r>
        </w:p>
      </w:sdtContent>
    </w:sdt>
    <w:p w:rsidR="00074FF6" w:rsidRPr="001302F9" w:rsidRDefault="00074FF6" w:rsidP="00D23BC2">
      <w:pPr>
        <w:pStyle w:val="Heading3"/>
        <w:ind w:left="360"/>
        <w:jc w:val="both"/>
        <w:rPr>
          <w:rFonts w:ascii="Arial" w:hAnsi="Arial" w:cs="Arial"/>
          <w:sz w:val="22"/>
          <w:szCs w:val="22"/>
          <w:lang w:val="sr-Latn-ME"/>
        </w:rPr>
        <w:sectPr w:rsidR="00074FF6" w:rsidRPr="001302F9" w:rsidSect="004D79D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titlePg/>
          <w:docGrid w:linePitch="360"/>
        </w:sectPr>
      </w:pPr>
    </w:p>
    <w:p w:rsidR="002C54B6" w:rsidRPr="001302F9" w:rsidRDefault="002E24EA" w:rsidP="00D23BC2">
      <w:pPr>
        <w:pStyle w:val="Heading3"/>
        <w:spacing w:before="120" w:after="120"/>
        <w:ind w:left="360"/>
        <w:jc w:val="both"/>
        <w:rPr>
          <w:rFonts w:ascii="Arial" w:hAnsi="Arial" w:cs="Arial"/>
          <w:sz w:val="22"/>
          <w:szCs w:val="22"/>
          <w:lang w:val="sr-Latn-ME"/>
        </w:rPr>
      </w:pPr>
      <w:r w:rsidRPr="001302F9">
        <w:rPr>
          <w:rFonts w:ascii="Arial" w:hAnsi="Arial" w:cs="Arial"/>
          <w:sz w:val="22"/>
          <w:szCs w:val="22"/>
          <w:lang w:val="sr-Latn-ME"/>
        </w:rPr>
        <w:lastRenderedPageBreak/>
        <w:t>Skraćenice</w:t>
      </w:r>
    </w:p>
    <w:tbl>
      <w:tblPr>
        <w:tblW w:w="0" w:type="auto"/>
        <w:tblLook w:val="04A0" w:firstRow="1" w:lastRow="0" w:firstColumn="1" w:lastColumn="0" w:noHBand="0" w:noVBand="1"/>
      </w:tblPr>
      <w:tblGrid>
        <w:gridCol w:w="1466"/>
        <w:gridCol w:w="7560"/>
      </w:tblGrid>
      <w:tr w:rsidR="0047620D" w:rsidRPr="001302F9" w:rsidTr="00BF6A2F">
        <w:tc>
          <w:tcPr>
            <w:tcW w:w="0" w:type="auto"/>
            <w:shd w:val="clear" w:color="auto" w:fill="auto"/>
          </w:tcPr>
          <w:p w:rsidR="002C54B6" w:rsidRPr="001302F9" w:rsidRDefault="002E24EA" w:rsidP="00D23BC2">
            <w:pPr>
              <w:spacing w:before="60" w:after="60" w:line="240" w:lineRule="auto"/>
              <w:jc w:val="both"/>
              <w:rPr>
                <w:rFonts w:ascii="Arial" w:hAnsi="Arial" w:cs="Arial"/>
                <w:lang w:val="sr-Latn-ME"/>
              </w:rPr>
            </w:pPr>
            <w:r w:rsidRPr="001302F9">
              <w:rPr>
                <w:rFonts w:ascii="Arial" w:hAnsi="Arial" w:cs="Arial"/>
                <w:lang w:val="sr-Latn-ME"/>
              </w:rPr>
              <w:t>RT</w:t>
            </w:r>
          </w:p>
        </w:tc>
        <w:tc>
          <w:tcPr>
            <w:tcW w:w="0" w:type="auto"/>
            <w:shd w:val="clear" w:color="auto" w:fill="auto"/>
          </w:tcPr>
          <w:p w:rsidR="002C54B6" w:rsidRPr="001302F9" w:rsidRDefault="002E24EA" w:rsidP="00D23BC2">
            <w:pPr>
              <w:spacing w:before="60" w:after="60" w:line="240" w:lineRule="auto"/>
              <w:jc w:val="both"/>
              <w:rPr>
                <w:rFonts w:ascii="Arial" w:hAnsi="Arial" w:cs="Arial"/>
                <w:lang w:val="sr-Latn-ME"/>
              </w:rPr>
            </w:pPr>
            <w:r w:rsidRPr="001302F9">
              <w:rPr>
                <w:rFonts w:ascii="Arial" w:hAnsi="Arial" w:cs="Arial"/>
                <w:lang w:val="sr-Latn-ME"/>
              </w:rPr>
              <w:t>Revizorsko tijelo Crne Gore</w:t>
            </w:r>
          </w:p>
        </w:tc>
      </w:tr>
      <w:tr w:rsidR="00BD0C7A" w:rsidRPr="0050642E" w:rsidTr="00BF6A2F">
        <w:tc>
          <w:tcPr>
            <w:tcW w:w="0" w:type="auto"/>
            <w:shd w:val="clear" w:color="auto" w:fill="auto"/>
          </w:tcPr>
          <w:p w:rsidR="00BD0C7A" w:rsidRPr="001302F9" w:rsidRDefault="00BD0C7A" w:rsidP="00BD0C7A">
            <w:pPr>
              <w:spacing w:before="60" w:after="60" w:line="240" w:lineRule="auto"/>
              <w:jc w:val="both"/>
              <w:rPr>
                <w:rFonts w:ascii="Arial" w:hAnsi="Arial" w:cs="Arial"/>
                <w:lang w:val="sr-Latn-ME"/>
              </w:rPr>
            </w:pPr>
            <w:r>
              <w:rPr>
                <w:rFonts w:ascii="Arial" w:hAnsi="Arial" w:cs="Arial"/>
                <w:lang w:val="sr-Latn-ME"/>
              </w:rPr>
              <w:t>AFCOS sistem</w:t>
            </w:r>
          </w:p>
        </w:tc>
        <w:tc>
          <w:tcPr>
            <w:tcW w:w="0" w:type="auto"/>
            <w:shd w:val="clear" w:color="auto" w:fill="auto"/>
          </w:tcPr>
          <w:p w:rsidR="00BD0C7A" w:rsidRPr="001302F9" w:rsidRDefault="00BD0C7A" w:rsidP="00BD0C7A">
            <w:pPr>
              <w:spacing w:before="60" w:after="60" w:line="240" w:lineRule="auto"/>
              <w:jc w:val="both"/>
              <w:rPr>
                <w:rFonts w:ascii="Arial" w:hAnsi="Arial" w:cs="Arial"/>
                <w:lang w:val="sr-Latn-ME"/>
              </w:rPr>
            </w:pPr>
            <w:r>
              <w:rPr>
                <w:rFonts w:ascii="Arial" w:hAnsi="Arial" w:cs="Arial"/>
                <w:lang w:val="sr-Latn-ME"/>
              </w:rPr>
              <w:t>S</w:t>
            </w:r>
            <w:r w:rsidRPr="001302F9">
              <w:rPr>
                <w:rFonts w:ascii="Arial" w:hAnsi="Arial" w:cs="Arial"/>
                <w:lang w:val="sr-Latn-ME"/>
              </w:rPr>
              <w:t>istem zaštite finansijskih interesa EU</w:t>
            </w:r>
            <w:r>
              <w:rPr>
                <w:rFonts w:ascii="Arial" w:hAnsi="Arial" w:cs="Arial"/>
                <w:lang w:val="sr-Latn-ME"/>
              </w:rPr>
              <w:t xml:space="preserve"> u okviru kojeg se vrši koordinacija pravnih, administrativnih i operativnih aktivnosti sa ciljem zaštite nacionalnog i budžeta EU.</w:t>
            </w:r>
          </w:p>
        </w:tc>
      </w:tr>
      <w:tr w:rsidR="00406AB1" w:rsidRPr="0050642E" w:rsidTr="00BF6A2F">
        <w:tc>
          <w:tcPr>
            <w:tcW w:w="0" w:type="auto"/>
            <w:shd w:val="clear" w:color="auto" w:fill="auto"/>
          </w:tcPr>
          <w:p w:rsidR="00406AB1" w:rsidRPr="001302F9" w:rsidRDefault="00BD0C7A" w:rsidP="00D23BC2">
            <w:pPr>
              <w:spacing w:before="60" w:after="60" w:line="240" w:lineRule="auto"/>
              <w:jc w:val="both"/>
              <w:rPr>
                <w:rFonts w:ascii="Arial" w:hAnsi="Arial" w:cs="Arial"/>
                <w:lang w:val="sr-Latn-ME"/>
              </w:rPr>
            </w:pPr>
            <w:r>
              <w:rPr>
                <w:rFonts w:ascii="Arial" w:hAnsi="Arial" w:cs="Arial"/>
                <w:lang w:val="sr-Latn-ME"/>
              </w:rPr>
              <w:t>AFCOS kancelarija</w:t>
            </w:r>
          </w:p>
        </w:tc>
        <w:tc>
          <w:tcPr>
            <w:tcW w:w="0" w:type="auto"/>
            <w:shd w:val="clear" w:color="auto" w:fill="auto"/>
          </w:tcPr>
          <w:p w:rsidR="00406AB1" w:rsidRPr="001302F9" w:rsidRDefault="00BD0C7A" w:rsidP="00D23BC2">
            <w:pPr>
              <w:spacing w:before="60" w:after="60" w:line="240" w:lineRule="auto"/>
              <w:jc w:val="both"/>
              <w:rPr>
                <w:rFonts w:ascii="Arial" w:hAnsi="Arial" w:cs="Arial"/>
                <w:lang w:val="sr-Latn-ME"/>
              </w:rPr>
            </w:pPr>
            <w:r w:rsidRPr="001302F9">
              <w:rPr>
                <w:rFonts w:ascii="Arial" w:hAnsi="Arial" w:cs="Arial"/>
                <w:lang w:val="sr-Latn-ME"/>
              </w:rPr>
              <w:t>Direkcija za zaštitu finansijskih interesa EU u Direktoratu za inspekcijski nadzor i zaštitu finansijskih interesa EU, pri Ministarstvu finansija</w:t>
            </w:r>
          </w:p>
        </w:tc>
      </w:tr>
      <w:tr w:rsidR="00BD0C7A" w:rsidRPr="0050642E" w:rsidTr="00BF6A2F">
        <w:tc>
          <w:tcPr>
            <w:tcW w:w="0" w:type="auto"/>
            <w:shd w:val="clear" w:color="auto" w:fill="auto"/>
          </w:tcPr>
          <w:p w:rsidR="00BD0C7A" w:rsidRPr="001302F9" w:rsidRDefault="00BD0C7A" w:rsidP="00BD0C7A">
            <w:pPr>
              <w:spacing w:before="60" w:after="60" w:line="240" w:lineRule="auto"/>
              <w:jc w:val="both"/>
              <w:rPr>
                <w:rFonts w:ascii="Arial" w:hAnsi="Arial" w:cs="Arial"/>
                <w:lang w:val="sr-Latn-ME"/>
              </w:rPr>
            </w:pPr>
            <w:r w:rsidRPr="001302F9">
              <w:rPr>
                <w:rFonts w:ascii="Arial" w:hAnsi="Arial" w:cs="Arial"/>
                <w:lang w:val="sr-Latn-ME"/>
              </w:rPr>
              <w:t>AFCOS</w:t>
            </w:r>
            <w:r>
              <w:rPr>
                <w:rFonts w:ascii="Arial" w:hAnsi="Arial" w:cs="Arial"/>
                <w:lang w:val="sr-Latn-ME"/>
              </w:rPr>
              <w:t xml:space="preserve"> mreža</w:t>
            </w:r>
          </w:p>
        </w:tc>
        <w:tc>
          <w:tcPr>
            <w:tcW w:w="0" w:type="auto"/>
            <w:shd w:val="clear" w:color="auto" w:fill="auto"/>
          </w:tcPr>
          <w:p w:rsidR="00BD0C7A" w:rsidRPr="00BD0C7A" w:rsidRDefault="00BD0C7A" w:rsidP="00BD0C7A">
            <w:pPr>
              <w:spacing w:before="60" w:after="60" w:line="240" w:lineRule="auto"/>
              <w:jc w:val="both"/>
              <w:rPr>
                <w:rFonts w:ascii="Arial" w:hAnsi="Arial" w:cs="Arial"/>
                <w:lang w:val="sr-Latn-ME"/>
              </w:rPr>
            </w:pPr>
            <w:r w:rsidRPr="00BD0C7A">
              <w:rPr>
                <w:rFonts w:ascii="Arial" w:hAnsi="Arial" w:cs="Arial"/>
                <w:bCs/>
                <w:lang w:val="sr-Latn-BA"/>
              </w:rPr>
              <w:t>Institucij</w:t>
            </w:r>
            <w:r>
              <w:rPr>
                <w:rFonts w:ascii="Arial" w:hAnsi="Arial" w:cs="Arial"/>
                <w:bCs/>
                <w:lang w:val="sr-Latn-BA"/>
              </w:rPr>
              <w:t>e</w:t>
            </w:r>
            <w:r w:rsidRPr="00BD0C7A">
              <w:rPr>
                <w:rFonts w:ascii="Arial" w:hAnsi="Arial" w:cs="Arial"/>
                <w:bCs/>
                <w:lang w:val="sr-Latn-BA"/>
              </w:rPr>
              <w:t xml:space="preserve"> sistema zadužen</w:t>
            </w:r>
            <w:r>
              <w:rPr>
                <w:rFonts w:ascii="Arial" w:hAnsi="Arial" w:cs="Arial"/>
                <w:bCs/>
                <w:lang w:val="sr-Latn-BA"/>
              </w:rPr>
              <w:t>e</w:t>
            </w:r>
            <w:r w:rsidRPr="00BD0C7A">
              <w:rPr>
                <w:rFonts w:ascii="Arial" w:hAnsi="Arial" w:cs="Arial"/>
                <w:bCs/>
                <w:lang w:val="sr-Latn-BA"/>
              </w:rPr>
              <w:t xml:space="preserve"> za borbu protiv prevara, korupcije i drugih oblika nezakonitih aktivnosti</w:t>
            </w:r>
            <w:r w:rsidRPr="00BD0C7A">
              <w:rPr>
                <w:rFonts w:ascii="Arial" w:hAnsi="Arial" w:cs="Arial"/>
                <w:lang w:val="sr-Latn-ME"/>
              </w:rPr>
              <w:t>: Ministarstvo pravde, Ministarstvo unutrašnjih poslova, Uprava policije, Poreska uprava, Uprava carina, Vrhovno državno tužilaštvo, Agencija za borbu protiv korupcije, Revizorsko tijelo, Ministarstvo evropskih poslova, Ministarstvo finansija</w:t>
            </w:r>
            <w:r>
              <w:rPr>
                <w:rFonts w:ascii="Arial" w:hAnsi="Arial" w:cs="Arial"/>
                <w:lang w:val="sr-Latn-ME"/>
              </w:rPr>
              <w:t>.</w:t>
            </w:r>
          </w:p>
        </w:tc>
      </w:tr>
      <w:tr w:rsidR="0047620D" w:rsidRPr="001302F9" w:rsidTr="00BF6A2F">
        <w:tc>
          <w:tcPr>
            <w:tcW w:w="0" w:type="auto"/>
            <w:shd w:val="clear" w:color="auto" w:fill="auto"/>
          </w:tcPr>
          <w:p w:rsidR="00E27B4F" w:rsidRPr="001302F9" w:rsidRDefault="00E27B4F" w:rsidP="00D23BC2">
            <w:pPr>
              <w:spacing w:before="60" w:after="60" w:line="240" w:lineRule="auto"/>
              <w:jc w:val="both"/>
              <w:rPr>
                <w:rFonts w:ascii="Arial" w:hAnsi="Arial" w:cs="Arial"/>
                <w:lang w:val="sr-Latn-ME"/>
              </w:rPr>
            </w:pPr>
            <w:r w:rsidRPr="001302F9">
              <w:rPr>
                <w:rFonts w:ascii="Arial" w:hAnsi="Arial" w:cs="Arial"/>
                <w:lang w:val="sr-Latn-ME"/>
              </w:rPr>
              <w:t>EK</w:t>
            </w:r>
          </w:p>
        </w:tc>
        <w:tc>
          <w:tcPr>
            <w:tcW w:w="0" w:type="auto"/>
            <w:shd w:val="clear" w:color="auto" w:fill="auto"/>
          </w:tcPr>
          <w:p w:rsidR="00E27B4F" w:rsidRPr="001302F9" w:rsidRDefault="00E27B4F" w:rsidP="00D23BC2">
            <w:pPr>
              <w:spacing w:before="60" w:after="60" w:line="240" w:lineRule="auto"/>
              <w:jc w:val="both"/>
              <w:rPr>
                <w:rFonts w:ascii="Arial" w:hAnsi="Arial" w:cs="Arial"/>
                <w:lang w:val="sr-Latn-ME"/>
              </w:rPr>
            </w:pPr>
            <w:r w:rsidRPr="001302F9">
              <w:rPr>
                <w:rFonts w:ascii="Arial" w:hAnsi="Arial" w:cs="Arial"/>
                <w:lang w:val="sr-Latn-ME"/>
              </w:rPr>
              <w:t>Evropska komisija</w:t>
            </w:r>
          </w:p>
        </w:tc>
      </w:tr>
      <w:tr w:rsidR="0047620D" w:rsidRPr="001302F9" w:rsidTr="00BF6A2F">
        <w:tc>
          <w:tcPr>
            <w:tcW w:w="0" w:type="auto"/>
            <w:shd w:val="clear" w:color="auto" w:fill="auto"/>
          </w:tcPr>
          <w:p w:rsidR="00E27B4F" w:rsidRPr="001302F9" w:rsidRDefault="00E27B4F" w:rsidP="00D23BC2">
            <w:pPr>
              <w:spacing w:before="60" w:after="60" w:line="240" w:lineRule="auto"/>
              <w:jc w:val="both"/>
              <w:rPr>
                <w:rFonts w:ascii="Arial" w:hAnsi="Arial" w:cs="Arial"/>
                <w:lang w:val="sr-Latn-ME"/>
              </w:rPr>
            </w:pPr>
            <w:r w:rsidRPr="001302F9">
              <w:rPr>
                <w:rFonts w:ascii="Arial" w:hAnsi="Arial" w:cs="Arial"/>
                <w:lang w:val="sr-Latn-ME"/>
              </w:rPr>
              <w:t>EU</w:t>
            </w:r>
          </w:p>
        </w:tc>
        <w:tc>
          <w:tcPr>
            <w:tcW w:w="0" w:type="auto"/>
            <w:shd w:val="clear" w:color="auto" w:fill="auto"/>
          </w:tcPr>
          <w:p w:rsidR="00E27B4F" w:rsidRPr="001302F9" w:rsidRDefault="00E27B4F" w:rsidP="00D23BC2">
            <w:pPr>
              <w:spacing w:before="60" w:after="60" w:line="240" w:lineRule="auto"/>
              <w:jc w:val="both"/>
              <w:rPr>
                <w:rFonts w:ascii="Arial" w:hAnsi="Arial" w:cs="Arial"/>
                <w:lang w:val="sr-Latn-ME"/>
              </w:rPr>
            </w:pPr>
            <w:r w:rsidRPr="001302F9">
              <w:rPr>
                <w:rFonts w:ascii="Arial" w:hAnsi="Arial" w:cs="Arial"/>
                <w:lang w:val="sr-Latn-ME"/>
              </w:rPr>
              <w:t>Evropska unija</w:t>
            </w:r>
          </w:p>
        </w:tc>
      </w:tr>
      <w:tr w:rsidR="0047620D" w:rsidRPr="0050642E" w:rsidTr="00BF6A2F">
        <w:tc>
          <w:tcPr>
            <w:tcW w:w="0" w:type="auto"/>
            <w:shd w:val="clear" w:color="auto" w:fill="auto"/>
          </w:tcPr>
          <w:p w:rsidR="00E27B4F" w:rsidRDefault="0047620D" w:rsidP="00D23BC2">
            <w:pPr>
              <w:spacing w:before="60" w:after="60" w:line="240" w:lineRule="auto"/>
              <w:jc w:val="both"/>
              <w:rPr>
                <w:rFonts w:ascii="Arial" w:hAnsi="Arial" w:cs="Arial"/>
                <w:lang w:val="sr-Latn-ME"/>
              </w:rPr>
            </w:pPr>
            <w:r w:rsidRPr="001302F9">
              <w:rPr>
                <w:rFonts w:ascii="Arial" w:hAnsi="Arial" w:cs="Arial"/>
                <w:lang w:val="sr-Latn-ME"/>
              </w:rPr>
              <w:t>S</w:t>
            </w:r>
            <w:r w:rsidR="00E27B4F" w:rsidRPr="001302F9">
              <w:rPr>
                <w:rFonts w:ascii="Arial" w:hAnsi="Arial" w:cs="Arial"/>
                <w:lang w:val="sr-Latn-ME"/>
              </w:rPr>
              <w:t>porazumi</w:t>
            </w:r>
          </w:p>
          <w:p w:rsidR="00E273C6" w:rsidRDefault="00E273C6" w:rsidP="00D23BC2">
            <w:pPr>
              <w:spacing w:before="60" w:after="60" w:line="240" w:lineRule="auto"/>
              <w:jc w:val="both"/>
              <w:rPr>
                <w:rFonts w:ascii="Arial" w:hAnsi="Arial" w:cs="Arial"/>
                <w:lang w:val="sr-Latn-ME"/>
              </w:rPr>
            </w:pPr>
          </w:p>
          <w:p w:rsidR="00E273C6" w:rsidRDefault="00E273C6" w:rsidP="00D23BC2">
            <w:pPr>
              <w:spacing w:before="60" w:after="60" w:line="240" w:lineRule="auto"/>
              <w:jc w:val="both"/>
              <w:rPr>
                <w:rFonts w:ascii="Arial" w:hAnsi="Arial" w:cs="Arial"/>
                <w:lang w:val="sr-Latn-ME"/>
              </w:rPr>
            </w:pPr>
          </w:p>
          <w:p w:rsidR="00E273C6" w:rsidRDefault="00E273C6" w:rsidP="00D23BC2">
            <w:pPr>
              <w:spacing w:before="60" w:after="60" w:line="240" w:lineRule="auto"/>
              <w:jc w:val="both"/>
              <w:rPr>
                <w:rFonts w:ascii="Arial" w:hAnsi="Arial" w:cs="Arial"/>
                <w:lang w:val="sr-Latn-ME"/>
              </w:rPr>
            </w:pPr>
          </w:p>
          <w:p w:rsidR="00E273C6" w:rsidRDefault="00E273C6" w:rsidP="00D23BC2">
            <w:pPr>
              <w:spacing w:before="60" w:after="60" w:line="240" w:lineRule="auto"/>
              <w:jc w:val="both"/>
              <w:rPr>
                <w:rFonts w:ascii="Arial" w:hAnsi="Arial" w:cs="Arial"/>
                <w:lang w:val="sr-Latn-ME"/>
              </w:rPr>
            </w:pPr>
          </w:p>
          <w:p w:rsidR="00E273C6" w:rsidRDefault="00E273C6" w:rsidP="00D23BC2">
            <w:pPr>
              <w:spacing w:before="60" w:after="60" w:line="240" w:lineRule="auto"/>
              <w:jc w:val="both"/>
              <w:rPr>
                <w:rFonts w:ascii="Arial" w:hAnsi="Arial" w:cs="Arial"/>
                <w:lang w:val="sr-Latn-ME"/>
              </w:rPr>
            </w:pPr>
          </w:p>
          <w:p w:rsidR="00E273C6" w:rsidRDefault="00E273C6" w:rsidP="00D23BC2">
            <w:pPr>
              <w:spacing w:before="60" w:after="60" w:line="240" w:lineRule="auto"/>
              <w:jc w:val="both"/>
              <w:rPr>
                <w:rFonts w:ascii="Arial" w:hAnsi="Arial" w:cs="Arial"/>
                <w:lang w:val="sr-Latn-ME"/>
              </w:rPr>
            </w:pPr>
          </w:p>
          <w:p w:rsidR="00E273C6" w:rsidRDefault="00E273C6" w:rsidP="00D23BC2">
            <w:pPr>
              <w:spacing w:before="60" w:after="60" w:line="240" w:lineRule="auto"/>
              <w:jc w:val="both"/>
              <w:rPr>
                <w:rFonts w:ascii="Arial" w:hAnsi="Arial" w:cs="Arial"/>
                <w:lang w:val="sr-Latn-ME"/>
              </w:rPr>
            </w:pPr>
          </w:p>
          <w:p w:rsidR="00E273C6" w:rsidRPr="001302F9" w:rsidRDefault="00E273C6" w:rsidP="00D23BC2">
            <w:pPr>
              <w:spacing w:before="60" w:after="60" w:line="240" w:lineRule="auto"/>
              <w:jc w:val="both"/>
              <w:rPr>
                <w:rFonts w:ascii="Arial" w:hAnsi="Arial" w:cs="Arial"/>
                <w:lang w:val="sr-Latn-ME"/>
              </w:rPr>
            </w:pPr>
            <w:r w:rsidRPr="00C2475E">
              <w:rPr>
                <w:rFonts w:ascii="Arial" w:hAnsi="Arial" w:cs="Arial"/>
                <w:lang w:val="sr-Latn-ME"/>
              </w:rPr>
              <w:t>Finansijska uredba</w:t>
            </w:r>
          </w:p>
        </w:tc>
        <w:tc>
          <w:tcPr>
            <w:tcW w:w="0" w:type="auto"/>
            <w:shd w:val="clear" w:color="auto" w:fill="auto"/>
          </w:tcPr>
          <w:p w:rsidR="00E273C6" w:rsidRDefault="0047620D" w:rsidP="00D23BC2">
            <w:pPr>
              <w:spacing w:before="60" w:after="60" w:line="240" w:lineRule="auto"/>
              <w:jc w:val="both"/>
              <w:rPr>
                <w:rFonts w:ascii="Arial" w:hAnsi="Arial" w:cs="Arial"/>
                <w:lang w:val="sr-Latn-ME"/>
              </w:rPr>
            </w:pPr>
            <w:r w:rsidRPr="001302F9">
              <w:rPr>
                <w:rFonts w:ascii="Arial" w:hAnsi="Arial" w:cs="Arial"/>
                <w:lang w:val="sr-Latn-ME"/>
              </w:rPr>
              <w:t>“</w:t>
            </w:r>
            <w:r w:rsidR="00E27B4F" w:rsidRPr="001302F9">
              <w:rPr>
                <w:rFonts w:ascii="Arial" w:hAnsi="Arial" w:cs="Arial"/>
                <w:lang w:val="sr-Latn-ME"/>
              </w:rPr>
              <w:t>Okvirni sporazum između Crne Gore, koju predstavlja Vlada Crne Gore, i Evropske komisije o pravilima za sprovođenje finansijske pomoći Unije Crnoj Gori u okviru Instrumenta za pretpristupnu pomoć (IPA II)</w:t>
            </w:r>
            <w:r w:rsidRPr="001302F9">
              <w:rPr>
                <w:rFonts w:ascii="Arial" w:hAnsi="Arial" w:cs="Arial"/>
                <w:lang w:val="sr-Latn-ME"/>
              </w:rPr>
              <w:t>”</w:t>
            </w:r>
            <w:r w:rsidR="0008096E" w:rsidRPr="001302F9">
              <w:rPr>
                <w:rFonts w:ascii="Arial" w:hAnsi="Arial" w:cs="Arial"/>
                <w:lang w:val="sr-Latn-ME"/>
              </w:rPr>
              <w:t>;</w:t>
            </w:r>
            <w:r w:rsidR="00E27B4F" w:rsidRPr="001302F9">
              <w:rPr>
                <w:rFonts w:ascii="Arial" w:hAnsi="Arial" w:cs="Arial"/>
                <w:lang w:val="sr-Latn-ME"/>
              </w:rPr>
              <w:t xml:space="preserve"> Finansijski okvirni sporazum o partnerstvu između Evropske komisije i Crne Gore, koju predstavlja Vlada Crne Gore, o posebnim aranžmanima za sprovođenje finansijske pomoći Unije Crnoj Gori u okviru Instrumenta za pretpristupnu pomoć (IPA III)</w:t>
            </w:r>
            <w:r w:rsidRPr="001302F9">
              <w:rPr>
                <w:rFonts w:ascii="Arial" w:hAnsi="Arial" w:cs="Arial"/>
                <w:lang w:val="sr-Latn-ME"/>
              </w:rPr>
              <w:t>”</w:t>
            </w:r>
            <w:r w:rsidR="0008096E" w:rsidRPr="001302F9">
              <w:rPr>
                <w:rFonts w:ascii="Arial" w:hAnsi="Arial" w:cs="Arial"/>
                <w:lang w:val="sr-Latn-ME"/>
              </w:rPr>
              <w:t xml:space="preserve"> i </w:t>
            </w:r>
            <w:r w:rsidRPr="001302F9">
              <w:rPr>
                <w:rFonts w:ascii="Arial" w:hAnsi="Arial" w:cs="Arial"/>
                <w:lang w:val="sr-Latn-ME"/>
              </w:rPr>
              <w:t>“Sporazum o pristupanju instrument</w:t>
            </w:r>
            <w:r w:rsidR="006B37FB" w:rsidRPr="001302F9">
              <w:rPr>
                <w:rFonts w:ascii="Arial" w:hAnsi="Arial" w:cs="Arial"/>
                <w:lang w:val="sr-Latn-ME"/>
              </w:rPr>
              <w:t>u</w:t>
            </w:r>
            <w:r w:rsidRPr="001302F9">
              <w:rPr>
                <w:rFonts w:ascii="Arial" w:hAnsi="Arial" w:cs="Arial"/>
                <w:lang w:val="sr-Latn-ME"/>
              </w:rPr>
              <w:t xml:space="preserve"> između Evropske unije koju predstavlja Komisija i Crne Gore koju predstavlja Vlada Crne Gore o posebnim aranžmanima za sprovođenje podrške Unije Crnoj Gori u okviru Instrumenta za reforme i rast”</w:t>
            </w:r>
          </w:p>
          <w:p w:rsidR="00E273C6" w:rsidRPr="001302F9" w:rsidRDefault="00E273C6" w:rsidP="00D23BC2">
            <w:pPr>
              <w:spacing w:before="60" w:after="60" w:line="240" w:lineRule="auto"/>
              <w:jc w:val="both"/>
              <w:rPr>
                <w:rFonts w:ascii="Arial" w:hAnsi="Arial" w:cs="Arial"/>
                <w:lang w:val="sr-Latn-ME"/>
              </w:rPr>
            </w:pPr>
            <w:r>
              <w:rPr>
                <w:rFonts w:ascii="Arial" w:hAnsi="Arial" w:cs="Arial"/>
                <w:lang w:val="sr-Latn-ME"/>
              </w:rPr>
              <w:t>Uredba (EU, Euratom) 2024/2509 Evropskog parlamenta i Savjeta od 23. septembra 2024. godine o finansijskim pravilima koja se primjenjuju na opšti budžet Unije</w:t>
            </w:r>
          </w:p>
        </w:tc>
      </w:tr>
      <w:tr w:rsidR="0047620D" w:rsidRPr="001302F9" w:rsidTr="00BF6A2F">
        <w:tc>
          <w:tcPr>
            <w:tcW w:w="0" w:type="auto"/>
            <w:shd w:val="clear" w:color="auto" w:fill="auto"/>
          </w:tcPr>
          <w:p w:rsidR="00E27B4F" w:rsidRPr="001302F9" w:rsidRDefault="00E27B4F" w:rsidP="00D23BC2">
            <w:pPr>
              <w:spacing w:before="60" w:after="60" w:line="240" w:lineRule="auto"/>
              <w:jc w:val="both"/>
              <w:rPr>
                <w:rFonts w:ascii="Arial" w:hAnsi="Arial" w:cs="Arial"/>
                <w:lang w:val="sr-Latn-ME"/>
              </w:rPr>
            </w:pPr>
            <w:r w:rsidRPr="001302F9">
              <w:rPr>
                <w:rFonts w:ascii="Arial" w:hAnsi="Arial" w:cs="Arial"/>
                <w:lang w:val="sr-Latn-ME"/>
              </w:rPr>
              <w:t>IMS</w:t>
            </w:r>
          </w:p>
        </w:tc>
        <w:tc>
          <w:tcPr>
            <w:tcW w:w="0" w:type="auto"/>
            <w:shd w:val="clear" w:color="auto" w:fill="auto"/>
          </w:tcPr>
          <w:p w:rsidR="00E27B4F" w:rsidRPr="001302F9" w:rsidRDefault="00E27B4F" w:rsidP="00D23BC2">
            <w:pPr>
              <w:spacing w:before="60" w:after="60" w:line="240" w:lineRule="auto"/>
              <w:jc w:val="both"/>
              <w:rPr>
                <w:rFonts w:ascii="Arial" w:hAnsi="Arial" w:cs="Arial"/>
                <w:lang w:val="sr-Latn-ME"/>
              </w:rPr>
            </w:pPr>
            <w:r w:rsidRPr="001302F9">
              <w:rPr>
                <w:rFonts w:ascii="Arial" w:hAnsi="Arial" w:cs="Arial"/>
                <w:lang w:val="sr-Latn-ME"/>
              </w:rPr>
              <w:t>Irregularity Management System - Softver za prijavljivanje nepravilnosti</w:t>
            </w:r>
          </w:p>
        </w:tc>
      </w:tr>
      <w:tr w:rsidR="0047620D" w:rsidRPr="001302F9" w:rsidTr="00BF6A2F">
        <w:tc>
          <w:tcPr>
            <w:tcW w:w="0" w:type="auto"/>
            <w:shd w:val="clear" w:color="auto" w:fill="auto"/>
          </w:tcPr>
          <w:p w:rsidR="00E27B4F" w:rsidRPr="001302F9" w:rsidRDefault="00E27B4F" w:rsidP="00D23BC2">
            <w:pPr>
              <w:spacing w:before="60" w:after="60" w:line="240" w:lineRule="auto"/>
              <w:jc w:val="both"/>
              <w:rPr>
                <w:rFonts w:ascii="Arial" w:hAnsi="Arial" w:cs="Arial"/>
                <w:lang w:val="sr-Latn-ME"/>
              </w:rPr>
            </w:pPr>
            <w:r w:rsidRPr="001302F9">
              <w:rPr>
                <w:rFonts w:ascii="Arial" w:hAnsi="Arial" w:cs="Arial"/>
                <w:lang w:val="sr-Latn-ME"/>
              </w:rPr>
              <w:t>IPA</w:t>
            </w:r>
          </w:p>
        </w:tc>
        <w:tc>
          <w:tcPr>
            <w:tcW w:w="0" w:type="auto"/>
            <w:shd w:val="clear" w:color="auto" w:fill="auto"/>
          </w:tcPr>
          <w:p w:rsidR="00E27B4F" w:rsidRPr="001302F9" w:rsidRDefault="00E27B4F" w:rsidP="00D23BC2">
            <w:pPr>
              <w:spacing w:before="60" w:after="60" w:line="240" w:lineRule="auto"/>
              <w:jc w:val="both"/>
              <w:rPr>
                <w:rFonts w:ascii="Arial" w:hAnsi="Arial" w:cs="Arial"/>
                <w:lang w:val="sr-Latn-ME"/>
              </w:rPr>
            </w:pPr>
            <w:r w:rsidRPr="001302F9">
              <w:rPr>
                <w:rFonts w:ascii="Arial" w:hAnsi="Arial" w:cs="Arial"/>
                <w:lang w:val="sr-Latn-ME"/>
              </w:rPr>
              <w:t>Instrument za pretpristupnu pomoć</w:t>
            </w:r>
          </w:p>
        </w:tc>
      </w:tr>
      <w:tr w:rsidR="0047620D" w:rsidRPr="001302F9" w:rsidTr="00BF6A2F">
        <w:tc>
          <w:tcPr>
            <w:tcW w:w="0" w:type="auto"/>
            <w:shd w:val="clear" w:color="auto" w:fill="auto"/>
          </w:tcPr>
          <w:p w:rsidR="00E27B4F" w:rsidRPr="001302F9" w:rsidRDefault="00E27B4F" w:rsidP="00D23BC2">
            <w:pPr>
              <w:spacing w:before="60" w:after="60" w:line="240" w:lineRule="auto"/>
              <w:jc w:val="both"/>
              <w:rPr>
                <w:rFonts w:ascii="Arial" w:hAnsi="Arial" w:cs="Arial"/>
                <w:lang w:val="sr-Latn-ME"/>
              </w:rPr>
            </w:pPr>
            <w:r w:rsidRPr="001302F9">
              <w:rPr>
                <w:rFonts w:ascii="Arial" w:hAnsi="Arial" w:cs="Arial"/>
                <w:lang w:val="sr-Latn-ME"/>
              </w:rPr>
              <w:t>IPA strukture</w:t>
            </w:r>
          </w:p>
        </w:tc>
        <w:tc>
          <w:tcPr>
            <w:tcW w:w="0" w:type="auto"/>
            <w:shd w:val="clear" w:color="auto" w:fill="auto"/>
          </w:tcPr>
          <w:p w:rsidR="00E27B4F" w:rsidRPr="001302F9" w:rsidRDefault="00E27B4F" w:rsidP="00D23BC2">
            <w:pPr>
              <w:spacing w:before="60" w:after="60" w:line="240" w:lineRule="auto"/>
              <w:jc w:val="both"/>
              <w:rPr>
                <w:rFonts w:ascii="Arial" w:hAnsi="Arial" w:cs="Arial"/>
                <w:lang w:val="sr-Latn-ME"/>
              </w:rPr>
            </w:pPr>
            <w:r w:rsidRPr="001302F9">
              <w:rPr>
                <w:rFonts w:ascii="Arial" w:hAnsi="Arial" w:cs="Arial"/>
                <w:lang w:val="sr-Latn-ME"/>
              </w:rPr>
              <w:t>Strukture i institucije u sistemu upravljanja i kontrole u slučaju IPA II i IPA III sredstava</w:t>
            </w:r>
          </w:p>
        </w:tc>
      </w:tr>
      <w:tr w:rsidR="0047620D" w:rsidRPr="0050642E" w:rsidTr="00BF6A2F">
        <w:tc>
          <w:tcPr>
            <w:tcW w:w="0" w:type="auto"/>
            <w:shd w:val="clear" w:color="auto" w:fill="auto"/>
          </w:tcPr>
          <w:p w:rsidR="00E27B4F" w:rsidRPr="001302F9" w:rsidRDefault="00E27B4F" w:rsidP="00D23BC2">
            <w:pPr>
              <w:spacing w:before="60" w:after="60" w:line="240" w:lineRule="auto"/>
              <w:jc w:val="both"/>
              <w:rPr>
                <w:rFonts w:ascii="Arial" w:hAnsi="Arial" w:cs="Arial"/>
                <w:lang w:val="sr-Latn-ME"/>
              </w:rPr>
            </w:pPr>
            <w:r w:rsidRPr="001302F9">
              <w:rPr>
                <w:rFonts w:ascii="Arial" w:hAnsi="Arial" w:cs="Arial"/>
                <w:lang w:val="sr-Latn-ME"/>
              </w:rPr>
              <w:t>NAFS</w:t>
            </w:r>
          </w:p>
        </w:tc>
        <w:tc>
          <w:tcPr>
            <w:tcW w:w="0" w:type="auto"/>
            <w:shd w:val="clear" w:color="auto" w:fill="auto"/>
          </w:tcPr>
          <w:p w:rsidR="00E27B4F" w:rsidRPr="001302F9" w:rsidRDefault="00E27B4F" w:rsidP="00D23BC2">
            <w:pPr>
              <w:spacing w:before="60" w:after="60" w:line="240" w:lineRule="auto"/>
              <w:jc w:val="both"/>
              <w:rPr>
                <w:rFonts w:ascii="Arial" w:hAnsi="Arial" w:cs="Arial"/>
                <w:lang w:val="sr-Latn-ME"/>
              </w:rPr>
            </w:pPr>
            <w:r w:rsidRPr="001302F9">
              <w:rPr>
                <w:rFonts w:ascii="Arial" w:hAnsi="Arial" w:cs="Arial"/>
                <w:lang w:val="sr-Latn-ME"/>
              </w:rPr>
              <w:t>Nacionalna strategija</w:t>
            </w:r>
            <w:r w:rsidRPr="001302F9">
              <w:rPr>
                <w:rFonts w:ascii="Arial" w:hAnsi="Arial" w:cs="Arial"/>
                <w:lang w:val="sr-Latn-ME" w:eastAsia="x-none"/>
              </w:rPr>
              <w:t xml:space="preserve"> </w:t>
            </w:r>
            <w:r w:rsidRPr="001302F9">
              <w:rPr>
                <w:rFonts w:ascii="Arial" w:hAnsi="Arial" w:cs="Arial"/>
                <w:lang w:val="sr-Latn-ME"/>
              </w:rPr>
              <w:t>za borbu protiv prevara -</w:t>
            </w:r>
            <w:r w:rsidR="00D25B23" w:rsidRPr="001302F9">
              <w:rPr>
                <w:rFonts w:ascii="Arial" w:hAnsi="Arial" w:cs="Arial"/>
                <w:lang w:val="sr-Latn-ME"/>
              </w:rPr>
              <w:t xml:space="preserve"> </w:t>
            </w:r>
            <w:r w:rsidRPr="001302F9">
              <w:rPr>
                <w:rFonts w:ascii="Arial" w:hAnsi="Arial" w:cs="Arial"/>
                <w:lang w:val="sr-Latn-ME"/>
              </w:rPr>
              <w:t>Strategija za borbu protiv prevara i upravljanje nepravilnostima u cilju zaštite finansijskih interesa Evropske unije za period 2025 – 2028</w:t>
            </w:r>
          </w:p>
        </w:tc>
      </w:tr>
      <w:tr w:rsidR="0047620D" w:rsidRPr="001302F9" w:rsidTr="00BF6A2F">
        <w:tc>
          <w:tcPr>
            <w:tcW w:w="0" w:type="auto"/>
            <w:shd w:val="clear" w:color="auto" w:fill="auto"/>
          </w:tcPr>
          <w:p w:rsidR="00E27B4F" w:rsidRPr="001302F9" w:rsidRDefault="00E27B4F" w:rsidP="00D23BC2">
            <w:pPr>
              <w:spacing w:before="60" w:after="60" w:line="240" w:lineRule="auto"/>
              <w:jc w:val="both"/>
              <w:rPr>
                <w:rFonts w:ascii="Arial" w:hAnsi="Arial" w:cs="Arial"/>
                <w:lang w:val="sr-Latn-ME"/>
              </w:rPr>
            </w:pPr>
            <w:r w:rsidRPr="001302F9">
              <w:rPr>
                <w:rFonts w:ascii="Arial" w:hAnsi="Arial" w:cs="Arial"/>
                <w:lang w:val="sr-Latn-ME"/>
              </w:rPr>
              <w:t>NAO</w:t>
            </w:r>
          </w:p>
        </w:tc>
        <w:tc>
          <w:tcPr>
            <w:tcW w:w="0" w:type="auto"/>
            <w:shd w:val="clear" w:color="auto" w:fill="auto"/>
          </w:tcPr>
          <w:p w:rsidR="00E27B4F" w:rsidRPr="001302F9" w:rsidRDefault="00E27B4F" w:rsidP="00D23BC2">
            <w:pPr>
              <w:spacing w:before="60" w:after="60" w:line="240" w:lineRule="auto"/>
              <w:jc w:val="both"/>
              <w:rPr>
                <w:rFonts w:ascii="Arial" w:hAnsi="Arial" w:cs="Arial"/>
                <w:lang w:val="sr-Latn-ME"/>
              </w:rPr>
            </w:pPr>
            <w:r w:rsidRPr="001302F9">
              <w:rPr>
                <w:rFonts w:ascii="Arial" w:hAnsi="Arial" w:cs="Arial"/>
                <w:lang w:val="sr-Latn-ME"/>
              </w:rPr>
              <w:t>Nacionalni službenik za ovjeravanje</w:t>
            </w:r>
          </w:p>
        </w:tc>
      </w:tr>
      <w:tr w:rsidR="0047620D" w:rsidRPr="0050642E" w:rsidTr="00BF6A2F">
        <w:tc>
          <w:tcPr>
            <w:tcW w:w="0" w:type="auto"/>
            <w:shd w:val="clear" w:color="auto" w:fill="auto"/>
          </w:tcPr>
          <w:p w:rsidR="00E27B4F" w:rsidRPr="001302F9" w:rsidRDefault="00E27B4F" w:rsidP="00D23BC2">
            <w:pPr>
              <w:spacing w:before="60" w:after="60" w:line="240" w:lineRule="auto"/>
              <w:jc w:val="both"/>
              <w:rPr>
                <w:rFonts w:ascii="Arial" w:hAnsi="Arial" w:cs="Arial"/>
                <w:lang w:val="sr-Latn-ME"/>
              </w:rPr>
            </w:pPr>
            <w:r w:rsidRPr="001302F9">
              <w:rPr>
                <w:rFonts w:ascii="Arial" w:hAnsi="Arial" w:cs="Arial"/>
                <w:lang w:val="sr-Latn-ME"/>
              </w:rPr>
              <w:t>OLAF</w:t>
            </w:r>
          </w:p>
        </w:tc>
        <w:tc>
          <w:tcPr>
            <w:tcW w:w="0" w:type="auto"/>
            <w:shd w:val="clear" w:color="auto" w:fill="auto"/>
          </w:tcPr>
          <w:p w:rsidR="00E27B4F" w:rsidRPr="001302F9" w:rsidRDefault="00E27B4F" w:rsidP="00D23BC2">
            <w:pPr>
              <w:spacing w:before="60" w:after="60" w:line="240" w:lineRule="auto"/>
              <w:jc w:val="both"/>
              <w:rPr>
                <w:rFonts w:ascii="Arial" w:hAnsi="Arial" w:cs="Arial"/>
                <w:lang w:val="sr-Latn-ME"/>
              </w:rPr>
            </w:pPr>
            <w:r w:rsidRPr="001302F9">
              <w:rPr>
                <w:rFonts w:ascii="Arial" w:hAnsi="Arial" w:cs="Arial"/>
                <w:lang w:val="sr-Latn-ME"/>
              </w:rPr>
              <w:t>Evropska kancelarija za borbu protiv prevara</w:t>
            </w:r>
          </w:p>
        </w:tc>
      </w:tr>
      <w:tr w:rsidR="0047620D" w:rsidRPr="0050642E" w:rsidTr="00BF6A2F">
        <w:tc>
          <w:tcPr>
            <w:tcW w:w="0" w:type="auto"/>
            <w:shd w:val="clear" w:color="auto" w:fill="auto"/>
          </w:tcPr>
          <w:p w:rsidR="00E27B4F" w:rsidRPr="001302F9" w:rsidRDefault="00E27B4F" w:rsidP="00D23BC2">
            <w:pPr>
              <w:spacing w:before="60" w:after="60" w:line="240" w:lineRule="auto"/>
              <w:jc w:val="both"/>
              <w:rPr>
                <w:rFonts w:ascii="Arial" w:hAnsi="Arial" w:cs="Arial"/>
                <w:lang w:val="sr-Latn-ME"/>
              </w:rPr>
            </w:pPr>
            <w:r w:rsidRPr="001302F9">
              <w:rPr>
                <w:rFonts w:ascii="Arial" w:hAnsi="Arial" w:cs="Arial"/>
                <w:lang w:val="sr-Latn-ME"/>
              </w:rPr>
              <w:t xml:space="preserve">OLAF </w:t>
            </w:r>
            <w:r w:rsidR="00D25B23" w:rsidRPr="001302F9">
              <w:rPr>
                <w:rFonts w:ascii="Arial" w:hAnsi="Arial" w:cs="Arial"/>
                <w:lang w:val="sr-Latn-ME"/>
              </w:rPr>
              <w:t>Uredba</w:t>
            </w:r>
          </w:p>
        </w:tc>
        <w:tc>
          <w:tcPr>
            <w:tcW w:w="0" w:type="auto"/>
            <w:shd w:val="clear" w:color="auto" w:fill="auto"/>
          </w:tcPr>
          <w:p w:rsidR="00E27B4F" w:rsidRPr="001302F9" w:rsidRDefault="00E27B4F" w:rsidP="00D23BC2">
            <w:pPr>
              <w:spacing w:before="60" w:after="60" w:line="240" w:lineRule="auto"/>
              <w:jc w:val="both"/>
              <w:rPr>
                <w:rFonts w:ascii="Arial" w:hAnsi="Arial" w:cs="Arial"/>
                <w:lang w:val="sr-Latn-ME"/>
              </w:rPr>
            </w:pPr>
            <w:r w:rsidRPr="001302F9">
              <w:rPr>
                <w:rStyle w:val="Strong"/>
                <w:rFonts w:ascii="Arial" w:hAnsi="Arial" w:cs="Arial"/>
                <w:lang w:val="sr-Latn-ME"/>
              </w:rPr>
              <w:t>Uredba (EU, Euratom) br. 883/2013</w:t>
            </w:r>
            <w:r w:rsidRPr="001302F9">
              <w:rPr>
                <w:rFonts w:ascii="Arial" w:hAnsi="Arial" w:cs="Arial"/>
                <w:lang w:val="sr-Latn-ME"/>
              </w:rPr>
              <w:t xml:space="preserve"> Evropskog parlamenta i Savjeta od 11. septembra 2013. godine o istragama koje sprovodi Evropska kancelarija za borbu protiv prevara (OLAF) i o stavljanju van snage Uredbe (EZ) br. 1073/1999 Evropskog parlamenta i Savjeta i Uredbe Savjeta (Euratom) br. 1074/1999</w:t>
            </w:r>
          </w:p>
        </w:tc>
      </w:tr>
      <w:tr w:rsidR="0047620D" w:rsidRPr="0050642E" w:rsidTr="00BF6A2F">
        <w:tc>
          <w:tcPr>
            <w:tcW w:w="0" w:type="auto"/>
            <w:shd w:val="clear" w:color="auto" w:fill="auto"/>
          </w:tcPr>
          <w:p w:rsidR="00E27B4F" w:rsidRPr="001302F9" w:rsidRDefault="00E27B4F" w:rsidP="00D23BC2">
            <w:pPr>
              <w:spacing w:before="60" w:after="60" w:line="240" w:lineRule="auto"/>
              <w:jc w:val="both"/>
              <w:rPr>
                <w:rFonts w:ascii="Arial" w:hAnsi="Arial" w:cs="Arial"/>
                <w:lang w:val="sr-Latn-ME"/>
              </w:rPr>
            </w:pPr>
            <w:r w:rsidRPr="001302F9">
              <w:rPr>
                <w:rFonts w:ascii="Arial" w:hAnsi="Arial" w:cs="Arial"/>
                <w:lang w:val="sr-Latn-ME"/>
              </w:rPr>
              <w:t>PACA</w:t>
            </w:r>
          </w:p>
        </w:tc>
        <w:tc>
          <w:tcPr>
            <w:tcW w:w="0" w:type="auto"/>
            <w:shd w:val="clear" w:color="auto" w:fill="auto"/>
          </w:tcPr>
          <w:p w:rsidR="00E27B4F" w:rsidRPr="001302F9" w:rsidRDefault="00E27B4F" w:rsidP="00D23BC2">
            <w:pPr>
              <w:spacing w:before="60" w:after="60" w:line="240" w:lineRule="auto"/>
              <w:jc w:val="both"/>
              <w:rPr>
                <w:rFonts w:ascii="Arial" w:hAnsi="Arial" w:cs="Arial"/>
                <w:lang w:val="sr-Latn-ME"/>
              </w:rPr>
            </w:pPr>
            <w:r w:rsidRPr="001302F9">
              <w:rPr>
                <w:rStyle w:val="Strong"/>
                <w:rFonts w:ascii="Arial" w:hAnsi="Arial" w:cs="Arial"/>
                <w:lang w:val="sr-Latn-ME"/>
              </w:rPr>
              <w:t>Primarni upravni ili sudski zaključak</w:t>
            </w:r>
            <w:r w:rsidRPr="001302F9">
              <w:rPr>
                <w:rFonts w:ascii="Arial" w:hAnsi="Arial" w:cs="Arial"/>
                <w:lang w:val="sr-Latn-ME"/>
              </w:rPr>
              <w:t xml:space="preserve"> – procjena u pisanom obliku donijeta u prvom stepenu od strane nadležnog organa, bilo upravnog ili sudskog, na osnovu određenih činjenica koje ukazuju da je počinjena neka nepravilnost, bez obzira na mogućnost da ovaj zaključak kasnije bude revidiran ili povučen tokom daljeg toka upravnog ili sudskog postupka</w:t>
            </w:r>
          </w:p>
        </w:tc>
      </w:tr>
      <w:tr w:rsidR="0047620D" w:rsidRPr="0050642E" w:rsidTr="00BF6A2F">
        <w:tc>
          <w:tcPr>
            <w:tcW w:w="0" w:type="auto"/>
            <w:shd w:val="clear" w:color="auto" w:fill="auto"/>
          </w:tcPr>
          <w:p w:rsidR="00E27B4F" w:rsidRPr="001302F9" w:rsidRDefault="00E27B4F" w:rsidP="00D23BC2">
            <w:pPr>
              <w:spacing w:before="60" w:after="60" w:line="240" w:lineRule="auto"/>
              <w:jc w:val="both"/>
              <w:rPr>
                <w:rFonts w:ascii="Arial" w:hAnsi="Arial" w:cs="Arial"/>
                <w:lang w:val="sr-Latn-ME"/>
              </w:rPr>
            </w:pPr>
            <w:r w:rsidRPr="001302F9">
              <w:rPr>
                <w:rFonts w:ascii="Arial" w:hAnsi="Arial" w:cs="Arial"/>
                <w:lang w:val="sr-Latn-ME"/>
              </w:rPr>
              <w:lastRenderedPageBreak/>
              <w:t xml:space="preserve">PIF Direktiva </w:t>
            </w:r>
          </w:p>
        </w:tc>
        <w:tc>
          <w:tcPr>
            <w:tcW w:w="0" w:type="auto"/>
            <w:shd w:val="clear" w:color="auto" w:fill="auto"/>
          </w:tcPr>
          <w:p w:rsidR="00E27B4F" w:rsidRPr="001302F9" w:rsidRDefault="00E27B4F" w:rsidP="00D23BC2">
            <w:pPr>
              <w:spacing w:before="60" w:after="60" w:line="240" w:lineRule="auto"/>
              <w:jc w:val="both"/>
              <w:rPr>
                <w:rFonts w:ascii="Arial" w:hAnsi="Arial" w:cs="Arial"/>
                <w:lang w:val="sr-Latn-ME"/>
              </w:rPr>
            </w:pPr>
            <w:r w:rsidRPr="001302F9">
              <w:rPr>
                <w:rStyle w:val="Strong"/>
                <w:rFonts w:ascii="Arial" w:hAnsi="Arial" w:cs="Arial"/>
                <w:lang w:val="sr-Latn-ME"/>
              </w:rPr>
              <w:t>Direktiva (EU) 2017/1371</w:t>
            </w:r>
            <w:r w:rsidRPr="001302F9">
              <w:rPr>
                <w:rFonts w:ascii="Arial" w:hAnsi="Arial" w:cs="Arial"/>
                <w:lang w:val="sr-Latn-ME"/>
              </w:rPr>
              <w:t xml:space="preserve"> Evropskog parlamenta i Savjeta od 5. jula 2017. godine o borbi protiv prevara koje ugrožavaju finansijske interese Unije putem krivičnog prava</w:t>
            </w:r>
          </w:p>
        </w:tc>
      </w:tr>
      <w:tr w:rsidR="0047620D" w:rsidRPr="0050642E" w:rsidTr="00BF6A2F">
        <w:tc>
          <w:tcPr>
            <w:tcW w:w="0" w:type="auto"/>
            <w:shd w:val="clear" w:color="auto" w:fill="auto"/>
          </w:tcPr>
          <w:p w:rsidR="00E27B4F" w:rsidRPr="001302F9" w:rsidRDefault="00E27B4F" w:rsidP="00D23BC2">
            <w:pPr>
              <w:spacing w:before="60" w:after="60" w:line="240" w:lineRule="auto"/>
              <w:jc w:val="both"/>
              <w:rPr>
                <w:rFonts w:ascii="Arial" w:hAnsi="Arial" w:cs="Arial"/>
                <w:lang w:val="sr-Latn-ME"/>
              </w:rPr>
            </w:pPr>
          </w:p>
        </w:tc>
        <w:tc>
          <w:tcPr>
            <w:tcW w:w="0" w:type="auto"/>
            <w:shd w:val="clear" w:color="auto" w:fill="auto"/>
          </w:tcPr>
          <w:p w:rsidR="00E27B4F" w:rsidRPr="001302F9" w:rsidRDefault="00E27B4F" w:rsidP="00D23BC2">
            <w:pPr>
              <w:spacing w:before="60" w:after="60" w:line="240" w:lineRule="auto"/>
              <w:jc w:val="both"/>
              <w:rPr>
                <w:rFonts w:ascii="Arial" w:hAnsi="Arial" w:cs="Arial"/>
                <w:lang w:val="sr-Latn-ME"/>
              </w:rPr>
            </w:pPr>
          </w:p>
        </w:tc>
      </w:tr>
    </w:tbl>
    <w:p w:rsidR="00EE65EF" w:rsidRPr="001302F9" w:rsidRDefault="00EE65EF" w:rsidP="00D23BC2">
      <w:pPr>
        <w:spacing w:after="160" w:line="259" w:lineRule="auto"/>
        <w:jc w:val="both"/>
        <w:rPr>
          <w:rFonts w:ascii="Arial" w:eastAsia="Times New Roman" w:hAnsi="Arial" w:cs="Arial"/>
          <w:b/>
          <w:bCs/>
          <w:lang w:val="sr-Latn-ME" w:eastAsia="x-none"/>
        </w:rPr>
      </w:pPr>
      <w:r w:rsidRPr="001302F9">
        <w:rPr>
          <w:rFonts w:ascii="Arial" w:hAnsi="Arial" w:cs="Arial"/>
          <w:lang w:val="sr-Latn-ME"/>
        </w:rPr>
        <w:br w:type="page"/>
      </w:r>
    </w:p>
    <w:p w:rsidR="008533CC" w:rsidRPr="001302F9" w:rsidRDefault="00AF7308" w:rsidP="00D23BC2">
      <w:pPr>
        <w:pStyle w:val="Heading1"/>
        <w:numPr>
          <w:ilvl w:val="0"/>
          <w:numId w:val="1"/>
        </w:numPr>
        <w:spacing w:before="120" w:after="120" w:line="240" w:lineRule="auto"/>
        <w:jc w:val="both"/>
        <w:rPr>
          <w:rFonts w:ascii="Arial" w:hAnsi="Arial" w:cs="Arial"/>
          <w:sz w:val="22"/>
          <w:szCs w:val="22"/>
          <w:lang w:val="sr-Latn-ME"/>
        </w:rPr>
      </w:pPr>
      <w:r w:rsidRPr="001302F9">
        <w:rPr>
          <w:rFonts w:ascii="Arial" w:hAnsi="Arial" w:cs="Arial"/>
          <w:sz w:val="22"/>
          <w:szCs w:val="22"/>
          <w:lang w:val="sr-Latn-ME"/>
        </w:rPr>
        <w:lastRenderedPageBreak/>
        <w:t>UVOD</w:t>
      </w:r>
    </w:p>
    <w:p w:rsidR="008C5374" w:rsidRPr="001302F9" w:rsidRDefault="00AF7308" w:rsidP="00D23BC2">
      <w:pPr>
        <w:pStyle w:val="Heading3"/>
        <w:numPr>
          <w:ilvl w:val="1"/>
          <w:numId w:val="1"/>
        </w:numPr>
        <w:spacing w:before="120" w:after="120"/>
        <w:ind w:left="993" w:hanging="633"/>
        <w:jc w:val="both"/>
        <w:rPr>
          <w:rFonts w:ascii="Arial" w:hAnsi="Arial" w:cs="Arial"/>
          <w:sz w:val="22"/>
          <w:szCs w:val="22"/>
          <w:lang w:val="sr-Latn-ME"/>
        </w:rPr>
      </w:pPr>
      <w:r w:rsidRPr="001302F9">
        <w:rPr>
          <w:rFonts w:ascii="Arial" w:hAnsi="Arial" w:cs="Arial"/>
          <w:sz w:val="22"/>
          <w:szCs w:val="22"/>
          <w:lang w:val="sr-Latn-ME"/>
        </w:rPr>
        <w:t>Svrha donošenja strateškog dokumenta</w:t>
      </w:r>
    </w:p>
    <w:p w:rsidR="00A30075" w:rsidRPr="001302F9" w:rsidRDefault="00A30075" w:rsidP="00D23BC2">
      <w:pPr>
        <w:jc w:val="both"/>
        <w:rPr>
          <w:rFonts w:ascii="Arial" w:hAnsi="Arial" w:cs="Arial"/>
          <w:lang w:val="sr-Latn-ME" w:eastAsia="x-none"/>
        </w:rPr>
      </w:pPr>
    </w:p>
    <w:p w:rsidR="00A30075" w:rsidRPr="001302F9" w:rsidRDefault="00A30075" w:rsidP="00D23BC2">
      <w:pPr>
        <w:jc w:val="both"/>
        <w:rPr>
          <w:rFonts w:ascii="Arial" w:hAnsi="Arial" w:cs="Arial"/>
          <w:lang w:val="sr-Latn-ME" w:eastAsia="x-none"/>
        </w:rPr>
      </w:pPr>
      <w:r w:rsidRPr="001302F9">
        <w:rPr>
          <w:rFonts w:ascii="Arial" w:hAnsi="Arial" w:cs="Arial"/>
          <w:lang w:val="sr-Latn-ME" w:eastAsia="x-none"/>
        </w:rPr>
        <w:t>Zadatak država članica EU je da preduzmu sve neophodne mjere za borbu protiv prevara i drugih nezakonitih aktivnosti usmjerenih protiv finansijskih interesa EU</w:t>
      </w:r>
      <w:r w:rsidR="00E83DC5" w:rsidRPr="001302F9">
        <w:rPr>
          <w:rFonts w:ascii="Arial" w:hAnsi="Arial" w:cs="Arial"/>
          <w:lang w:val="sr-Latn-ME" w:eastAsia="x-none"/>
        </w:rPr>
        <w:t xml:space="preserve"> </w:t>
      </w:r>
      <w:r w:rsidR="00934D89" w:rsidRPr="001302F9">
        <w:rPr>
          <w:rFonts w:ascii="Arial" w:hAnsi="Arial" w:cs="Arial"/>
          <w:lang w:val="sr-Latn-ME" w:eastAsia="x-none"/>
        </w:rPr>
        <w:t>i</w:t>
      </w:r>
      <w:r w:rsidR="00E83DC5" w:rsidRPr="001302F9">
        <w:rPr>
          <w:rFonts w:ascii="Arial" w:hAnsi="Arial" w:cs="Arial"/>
          <w:lang w:val="sr-Latn-ME" w:eastAsia="x-none"/>
        </w:rPr>
        <w:t xml:space="preserve"> samim tim</w:t>
      </w:r>
      <w:r w:rsidRPr="001302F9">
        <w:rPr>
          <w:rFonts w:ascii="Arial" w:hAnsi="Arial" w:cs="Arial"/>
          <w:lang w:val="sr-Latn-ME" w:eastAsia="x-none"/>
        </w:rPr>
        <w:t xml:space="preserve"> da ih štite na isti način kao što štite nacionalne finansijske interese. Shodno tome, prevencija, otkrivanje, istraživanje i sankcionisanje prevara predstavlja odgovornost svih institucija koje koriste ne samo sredstva iz nacionalnog budžeta, već i sredstva iz budžeta EU.</w:t>
      </w:r>
    </w:p>
    <w:p w:rsidR="00A30075" w:rsidRPr="001302F9" w:rsidRDefault="00A30075" w:rsidP="005E43F3">
      <w:pPr>
        <w:spacing w:after="0"/>
        <w:jc w:val="both"/>
        <w:rPr>
          <w:rFonts w:ascii="Arial" w:hAnsi="Arial" w:cs="Arial"/>
          <w:lang w:val="sr-Latn-ME" w:eastAsia="x-none"/>
        </w:rPr>
      </w:pPr>
      <w:r w:rsidRPr="001302F9">
        <w:rPr>
          <w:rFonts w:ascii="Arial" w:hAnsi="Arial" w:cs="Arial"/>
          <w:lang w:val="sr-Latn-ME" w:eastAsia="x-none"/>
        </w:rPr>
        <w:t>Crna Gora, kroz Poglavlje 32 – Finansijska kontrola, koje obuhvata četiri ključne oblasti: unutrašnju finansijsku kontrolu u javnom sektoru, eksternu reviziju, zaštitu finansijskih interesa EU i zaštitu eura od falsifikovanja, nastoji da unaprijedi disciplinu i transparentnost u korišćenju javnih sredstava (nacionalnih i EU fondova) i osigura zaštitu finansijskih interesa EU.</w:t>
      </w:r>
    </w:p>
    <w:p w:rsidR="00A30075" w:rsidRPr="001302F9" w:rsidRDefault="00A30075" w:rsidP="005E43F3">
      <w:pPr>
        <w:spacing w:after="0"/>
        <w:jc w:val="both"/>
        <w:rPr>
          <w:rFonts w:ascii="Arial" w:hAnsi="Arial" w:cs="Arial"/>
          <w:lang w:val="sr-Latn-ME" w:eastAsia="x-none"/>
        </w:rPr>
      </w:pPr>
      <w:r w:rsidRPr="001302F9">
        <w:rPr>
          <w:rFonts w:ascii="Arial" w:hAnsi="Arial" w:cs="Arial"/>
          <w:lang w:val="sr-Latn-ME" w:eastAsia="x-none"/>
        </w:rPr>
        <w:t xml:space="preserve">Kao korisnica finansijskih sredstava iz IPA fondova, Crna Gora je dužna da uspostavi efikasan sistem za borbu protiv nepravilnosti i prevara u pretpristupnom </w:t>
      </w:r>
      <w:r w:rsidR="00C91C83" w:rsidRPr="001302F9">
        <w:rPr>
          <w:rFonts w:ascii="Arial" w:hAnsi="Arial" w:cs="Arial"/>
          <w:lang w:val="sr-Latn-ME" w:eastAsia="x-none"/>
        </w:rPr>
        <w:t>periodu i</w:t>
      </w:r>
      <w:r w:rsidRPr="001302F9">
        <w:rPr>
          <w:rFonts w:ascii="Arial" w:hAnsi="Arial" w:cs="Arial"/>
          <w:lang w:val="sr-Latn-ME" w:eastAsia="x-none"/>
        </w:rPr>
        <w:t xml:space="preserve"> da osigura zakonito i namjensko trošenje </w:t>
      </w:r>
      <w:r w:rsidR="00C91C83" w:rsidRPr="001302F9">
        <w:rPr>
          <w:rFonts w:ascii="Arial" w:hAnsi="Arial" w:cs="Arial"/>
          <w:lang w:val="sr-Latn-ME" w:eastAsia="x-none"/>
        </w:rPr>
        <w:t>ovih</w:t>
      </w:r>
      <w:r w:rsidRPr="001302F9">
        <w:rPr>
          <w:rFonts w:ascii="Arial" w:hAnsi="Arial" w:cs="Arial"/>
          <w:lang w:val="sr-Latn-ME" w:eastAsia="x-none"/>
        </w:rPr>
        <w:t xml:space="preserve"> sredstava. Ona su namijenjena podsticanju razvojnih ciljeva Crne Gore, kao i ubrzanju ekonomskog i društvenog rasta. Sva sredstva koja su nenamjenski ili nezakonito utrošena moraju biti vraćena iz nacionalnog budžeta Crne Gore u budžet EU.</w:t>
      </w:r>
    </w:p>
    <w:p w:rsidR="00A30075" w:rsidRPr="001302F9" w:rsidRDefault="00A30075" w:rsidP="00D23BC2">
      <w:pPr>
        <w:jc w:val="both"/>
        <w:rPr>
          <w:rFonts w:ascii="Arial" w:hAnsi="Arial" w:cs="Arial"/>
          <w:lang w:val="sr-Latn-ME" w:eastAsia="x-none"/>
        </w:rPr>
      </w:pPr>
      <w:r w:rsidRPr="001302F9">
        <w:rPr>
          <w:rFonts w:ascii="Arial" w:hAnsi="Arial" w:cs="Arial"/>
          <w:lang w:val="sr-Latn-ME" w:eastAsia="x-none"/>
        </w:rPr>
        <w:t>Crna Gora je jasno odabrala strateški put ka evropskim integracijama</w:t>
      </w:r>
      <w:r w:rsidR="0006079F">
        <w:rPr>
          <w:rFonts w:ascii="Arial" w:hAnsi="Arial" w:cs="Arial"/>
          <w:lang w:val="sr-Latn-ME" w:eastAsia="x-none"/>
        </w:rPr>
        <w:t>, a</w:t>
      </w:r>
      <w:r w:rsidRPr="001302F9">
        <w:rPr>
          <w:rFonts w:ascii="Arial" w:hAnsi="Arial" w:cs="Arial"/>
          <w:lang w:val="sr-Latn-ME" w:eastAsia="x-none"/>
        </w:rPr>
        <w:t xml:space="preserve"> </w:t>
      </w:r>
      <w:r w:rsidR="0006079F">
        <w:rPr>
          <w:rFonts w:ascii="Arial" w:hAnsi="Arial" w:cs="Arial"/>
          <w:lang w:val="sr-Latn-ME" w:eastAsia="x-none"/>
        </w:rPr>
        <w:t>d</w:t>
      </w:r>
      <w:r w:rsidRPr="001302F9">
        <w:rPr>
          <w:rFonts w:ascii="Arial" w:hAnsi="Arial" w:cs="Arial"/>
          <w:lang w:val="sr-Latn-ME" w:eastAsia="x-none"/>
        </w:rPr>
        <w:t>okument “Program pristupanja Crne Gore Evropskoj uniji” precizno definiše obaveze koje je potrebno ispuniti kako bi se uspostavio optimalan institucionalni i zakonodavni okvir i postigli mjerljivi rezultati na evropskom putu.</w:t>
      </w:r>
    </w:p>
    <w:p w:rsidR="00A30075" w:rsidRPr="001302F9" w:rsidRDefault="00A30075" w:rsidP="00D23BC2">
      <w:pPr>
        <w:jc w:val="both"/>
        <w:rPr>
          <w:rFonts w:ascii="Arial" w:hAnsi="Arial" w:cs="Arial"/>
          <w:lang w:val="sr-Latn-ME" w:eastAsia="x-none"/>
        </w:rPr>
      </w:pPr>
      <w:r w:rsidRPr="001302F9">
        <w:rPr>
          <w:rFonts w:ascii="Arial" w:hAnsi="Arial" w:cs="Arial"/>
          <w:lang w:val="sr-Latn-ME" w:eastAsia="x-none"/>
        </w:rPr>
        <w:t>U skladu s navedenim, u okviru ispunjavanja trećeg mjerila iz Poglavlja 32 – Finansijska kontrola, Crna Gora kontinuirano radi na unapr</w:t>
      </w:r>
      <w:r w:rsidR="0006079F">
        <w:rPr>
          <w:rFonts w:ascii="Arial" w:hAnsi="Arial" w:cs="Arial"/>
          <w:lang w:val="sr-Latn-ME" w:eastAsia="x-none"/>
        </w:rPr>
        <w:t>ij</w:t>
      </w:r>
      <w:r w:rsidRPr="001302F9">
        <w:rPr>
          <w:rFonts w:ascii="Arial" w:hAnsi="Arial" w:cs="Arial"/>
          <w:lang w:val="sr-Latn-ME" w:eastAsia="x-none"/>
        </w:rPr>
        <w:t xml:space="preserve">eđenju i usklađivanju zakonodavstva u oblasti zaštite finansijskih interesa EU s </w:t>
      </w:r>
      <w:r w:rsidRPr="001302F9">
        <w:rPr>
          <w:rFonts w:ascii="Arial" w:hAnsi="Arial" w:cs="Arial"/>
          <w:i/>
          <w:iCs/>
          <w:lang w:val="sr-Latn-ME" w:eastAsia="x-none"/>
        </w:rPr>
        <w:t>acquis communautaire</w:t>
      </w:r>
      <w:r w:rsidRPr="001302F9">
        <w:rPr>
          <w:rFonts w:ascii="Arial" w:hAnsi="Arial" w:cs="Arial"/>
          <w:lang w:val="sr-Latn-ME" w:eastAsia="x-none"/>
        </w:rPr>
        <w:t xml:space="preserve">-om. AFCOS, kako je definisano u članu 12a OLAF Uredbe, prošla je kroz određene organizacione promjene i trenutno je uspostavljena </w:t>
      </w:r>
      <w:r w:rsidR="00A95F33" w:rsidRPr="001302F9">
        <w:rPr>
          <w:rFonts w:ascii="Arial" w:hAnsi="Arial" w:cs="Arial"/>
          <w:lang w:val="sr-Latn-ME" w:eastAsia="x-none"/>
        </w:rPr>
        <w:t>u okviru</w:t>
      </w:r>
      <w:r w:rsidRPr="001302F9">
        <w:rPr>
          <w:rFonts w:ascii="Arial" w:hAnsi="Arial" w:cs="Arial"/>
          <w:lang w:val="sr-Latn-ME" w:eastAsia="x-none"/>
        </w:rPr>
        <w:t xml:space="preserve"> Direk</w:t>
      </w:r>
      <w:r w:rsidR="00C1315E" w:rsidRPr="001302F9">
        <w:rPr>
          <w:rFonts w:ascii="Arial" w:hAnsi="Arial" w:cs="Arial"/>
          <w:lang w:val="sr-Latn-ME" w:eastAsia="x-none"/>
        </w:rPr>
        <w:t>torata</w:t>
      </w:r>
      <w:r w:rsidRPr="001302F9">
        <w:rPr>
          <w:rFonts w:ascii="Arial" w:hAnsi="Arial" w:cs="Arial"/>
          <w:lang w:val="sr-Latn-ME" w:eastAsia="x-none"/>
        </w:rPr>
        <w:t xml:space="preserve"> za inspekcijski nadzor i zaštitu finansijskih interesa EU, kao </w:t>
      </w:r>
      <w:r w:rsidR="00C1315E" w:rsidRPr="001302F9">
        <w:rPr>
          <w:rFonts w:ascii="Arial" w:hAnsi="Arial" w:cs="Arial"/>
          <w:lang w:val="sr-Latn-ME" w:eastAsia="x-none"/>
        </w:rPr>
        <w:t>Direkcija</w:t>
      </w:r>
      <w:r w:rsidRPr="001302F9">
        <w:rPr>
          <w:rFonts w:ascii="Arial" w:hAnsi="Arial" w:cs="Arial"/>
          <w:lang w:val="sr-Latn-ME" w:eastAsia="x-none"/>
        </w:rPr>
        <w:t xml:space="preserve"> za zaštitu finansijskih interesa EU/AFCOS pri Ministarstvu finansija</w:t>
      </w:r>
      <w:r w:rsidR="008F0CAD">
        <w:rPr>
          <w:rFonts w:ascii="Arial" w:hAnsi="Arial" w:cs="Arial"/>
          <w:lang w:val="sr-Latn-ME" w:eastAsia="x-none"/>
        </w:rPr>
        <w:t>. U okviru AFCOS sistema definiše se kao AFCOS kancelarija.</w:t>
      </w:r>
    </w:p>
    <w:p w:rsidR="00A30075" w:rsidRPr="001302F9" w:rsidRDefault="00A95F33" w:rsidP="00D23BC2">
      <w:pPr>
        <w:jc w:val="both"/>
        <w:rPr>
          <w:rFonts w:ascii="Arial" w:hAnsi="Arial" w:cs="Arial"/>
          <w:lang w:val="sr-Latn-ME" w:eastAsia="x-none"/>
        </w:rPr>
      </w:pPr>
      <w:r w:rsidRPr="001302F9">
        <w:rPr>
          <w:rFonts w:ascii="Arial" w:hAnsi="Arial" w:cs="Arial"/>
          <w:lang w:val="sr-Latn-ME" w:eastAsia="x-none"/>
        </w:rPr>
        <w:t>Dodatno</w:t>
      </w:r>
      <w:r w:rsidR="00A30075" w:rsidRPr="001302F9">
        <w:rPr>
          <w:rFonts w:ascii="Arial" w:hAnsi="Arial" w:cs="Arial"/>
          <w:lang w:val="sr-Latn-ME" w:eastAsia="x-none"/>
        </w:rPr>
        <w:t xml:space="preserve">, neophodno je nastaviti rad na uspostavljanju odgovarajućeg i održivog pravnog i institucionalnog okvira, kojim će Crna Gora osigurati adekvatnu zaštitu finansijskih interesa EU. To podrazumijeva jasno definisane uloge svih nadležnih </w:t>
      </w:r>
      <w:r w:rsidR="00F618E0" w:rsidRPr="001302F9">
        <w:rPr>
          <w:rFonts w:ascii="Arial" w:hAnsi="Arial" w:cs="Arial"/>
          <w:lang w:val="sr-Latn-ME" w:eastAsia="x-none"/>
        </w:rPr>
        <w:t>institucija</w:t>
      </w:r>
      <w:r w:rsidR="00A30075" w:rsidRPr="001302F9">
        <w:rPr>
          <w:rFonts w:ascii="Arial" w:hAnsi="Arial" w:cs="Arial"/>
          <w:lang w:val="sr-Latn-ME" w:eastAsia="x-none"/>
        </w:rPr>
        <w:t xml:space="preserve"> uključenih u ovu oblast.</w:t>
      </w:r>
    </w:p>
    <w:p w:rsidR="00A30075" w:rsidRPr="001302F9" w:rsidRDefault="00A30075" w:rsidP="00D23BC2">
      <w:pPr>
        <w:jc w:val="both"/>
        <w:rPr>
          <w:rFonts w:ascii="Arial" w:hAnsi="Arial" w:cs="Arial"/>
          <w:lang w:val="sr-Latn-ME" w:eastAsia="x-none"/>
        </w:rPr>
      </w:pPr>
      <w:r w:rsidRPr="001302F9">
        <w:rPr>
          <w:rFonts w:ascii="Arial" w:hAnsi="Arial" w:cs="Arial"/>
          <w:lang w:val="sr-Latn-ME" w:eastAsia="x-none"/>
        </w:rPr>
        <w:t xml:space="preserve">Usvajanjem </w:t>
      </w:r>
      <w:r w:rsidRPr="001302F9">
        <w:rPr>
          <w:rFonts w:ascii="Arial" w:hAnsi="Arial" w:cs="Arial"/>
          <w:i/>
          <w:iCs/>
          <w:lang w:val="sr-Latn-ME" w:eastAsia="x-none"/>
        </w:rPr>
        <w:t>Strategije za borbu protiv prevara i upravljanje nepravilnostima radi zaštite finansijskih interesa Evropske unije 2025–202</w:t>
      </w:r>
      <w:r w:rsidR="00CC7EF0">
        <w:rPr>
          <w:rFonts w:ascii="Arial" w:hAnsi="Arial" w:cs="Arial"/>
          <w:i/>
          <w:iCs/>
          <w:lang w:val="sr-Latn-ME" w:eastAsia="x-none"/>
        </w:rPr>
        <w:t xml:space="preserve">8 </w:t>
      </w:r>
      <w:r w:rsidRPr="001302F9">
        <w:rPr>
          <w:rFonts w:ascii="Arial" w:hAnsi="Arial" w:cs="Arial"/>
          <w:lang w:val="sr-Latn-ME" w:eastAsia="x-none"/>
        </w:rPr>
        <w:t>(Nacionalna strategija za borbu protiv prevara</w:t>
      </w:r>
      <w:r w:rsidR="00CB42A1" w:rsidRPr="001302F9">
        <w:rPr>
          <w:rFonts w:ascii="Arial" w:hAnsi="Arial" w:cs="Arial"/>
          <w:lang w:val="sr-Latn-ME" w:eastAsia="x-none"/>
        </w:rPr>
        <w:t>, u daljem tekstu „Strategija“</w:t>
      </w:r>
      <w:r w:rsidRPr="001302F9">
        <w:rPr>
          <w:rFonts w:ascii="Arial" w:hAnsi="Arial" w:cs="Arial"/>
          <w:lang w:val="sr-Latn-ME" w:eastAsia="x-none"/>
        </w:rPr>
        <w:t>), Crna Gora će pokazati svijest o vrijednostima EU i spremnost za borbu protiv svih oblika nepravilnosti i prevara. Takođe, time će potvrditi svoju posvećenost kontinuiranoj primjeni politike zaštite ne samo finansijskih interesa EU, već i nacionalnog budžeta, s ciljem da u bliskoj budućnosti postane ravnopravan partner državama članicama EU.</w:t>
      </w:r>
    </w:p>
    <w:p w:rsidR="00A30075" w:rsidRPr="001302F9" w:rsidRDefault="00A30075" w:rsidP="00D23BC2">
      <w:pPr>
        <w:jc w:val="both"/>
        <w:rPr>
          <w:rFonts w:ascii="Arial" w:hAnsi="Arial" w:cs="Arial"/>
          <w:lang w:val="sr-Latn-ME" w:eastAsia="x-none"/>
        </w:rPr>
      </w:pPr>
    </w:p>
    <w:p w:rsidR="00A30075" w:rsidRPr="001302F9" w:rsidRDefault="00A30075" w:rsidP="00D23BC2">
      <w:pPr>
        <w:jc w:val="both"/>
        <w:rPr>
          <w:rFonts w:ascii="Arial" w:hAnsi="Arial" w:cs="Arial"/>
          <w:lang w:val="sr-Latn-ME" w:eastAsia="x-none"/>
        </w:rPr>
      </w:pPr>
    </w:p>
    <w:p w:rsidR="008C5374" w:rsidRPr="001302F9" w:rsidRDefault="00AF7308" w:rsidP="00D23BC2">
      <w:pPr>
        <w:pStyle w:val="Heading3"/>
        <w:numPr>
          <w:ilvl w:val="1"/>
          <w:numId w:val="1"/>
        </w:numPr>
        <w:spacing w:before="120" w:after="120"/>
        <w:ind w:left="993" w:hanging="633"/>
        <w:jc w:val="both"/>
        <w:rPr>
          <w:rFonts w:ascii="Arial" w:hAnsi="Arial" w:cs="Arial"/>
          <w:sz w:val="22"/>
          <w:szCs w:val="22"/>
          <w:lang w:val="sr-Latn-ME"/>
        </w:rPr>
      </w:pPr>
      <w:bookmarkStart w:id="2" w:name="_Hlk194401153"/>
      <w:r w:rsidRPr="001302F9">
        <w:rPr>
          <w:rFonts w:ascii="Arial" w:hAnsi="Arial" w:cs="Arial"/>
          <w:sz w:val="22"/>
          <w:szCs w:val="22"/>
          <w:lang w:val="sr-Latn-ME"/>
        </w:rPr>
        <w:lastRenderedPageBreak/>
        <w:t>Usklađenost sa nacionalnim strateškim dokumentima</w:t>
      </w:r>
    </w:p>
    <w:bookmarkEnd w:id="2"/>
    <w:p w:rsidR="00A823A9" w:rsidRPr="001302F9" w:rsidRDefault="00A823A9" w:rsidP="00D23BC2">
      <w:pPr>
        <w:spacing w:before="120" w:after="120" w:line="240" w:lineRule="auto"/>
        <w:jc w:val="both"/>
        <w:rPr>
          <w:rFonts w:ascii="Arial" w:hAnsi="Arial" w:cs="Arial"/>
          <w:lang w:val="sr-Latn-ME"/>
        </w:rPr>
      </w:pPr>
    </w:p>
    <w:p w:rsidR="007B2AAF" w:rsidRPr="001302F9" w:rsidRDefault="007B2AAF" w:rsidP="00D23BC2">
      <w:pPr>
        <w:spacing w:before="120" w:after="120" w:line="240" w:lineRule="auto"/>
        <w:jc w:val="both"/>
        <w:rPr>
          <w:rFonts w:ascii="Arial" w:hAnsi="Arial" w:cs="Arial"/>
          <w:lang w:val="sr-Latn-ME"/>
        </w:rPr>
      </w:pPr>
      <w:r w:rsidRPr="001302F9">
        <w:rPr>
          <w:rFonts w:ascii="Arial" w:hAnsi="Arial" w:cs="Arial"/>
          <w:lang w:val="sr-Latn-ME"/>
        </w:rPr>
        <w:t xml:space="preserve">Kada je riječ o strateškom okviru Crne Gore, posebno je važno istaći da je ovo treći strateški dokument koji se odnosi na zaštitu finansijskih interesa EU u Crnoj Gori. Shodno tome, predstavlja rezultat zajedničkog napora svih relevantnih </w:t>
      </w:r>
      <w:r w:rsidR="00F618E0" w:rsidRPr="001302F9">
        <w:rPr>
          <w:rFonts w:ascii="Arial" w:hAnsi="Arial" w:cs="Arial"/>
          <w:lang w:val="sr-Latn-ME"/>
        </w:rPr>
        <w:t>institucija</w:t>
      </w:r>
      <w:r w:rsidRPr="001302F9">
        <w:rPr>
          <w:rFonts w:ascii="Arial" w:hAnsi="Arial" w:cs="Arial"/>
          <w:lang w:val="sr-Latn-ME"/>
        </w:rPr>
        <w:t xml:space="preserve"> uključenih u ovu oblast, koj</w:t>
      </w:r>
      <w:r w:rsidR="00F618E0" w:rsidRPr="001302F9">
        <w:rPr>
          <w:rFonts w:ascii="Arial" w:hAnsi="Arial" w:cs="Arial"/>
          <w:lang w:val="sr-Latn-ME"/>
        </w:rPr>
        <w:t>e</w:t>
      </w:r>
      <w:r w:rsidRPr="001302F9">
        <w:rPr>
          <w:rFonts w:ascii="Arial" w:hAnsi="Arial" w:cs="Arial"/>
          <w:lang w:val="sr-Latn-ME"/>
        </w:rPr>
        <w:t xml:space="preserve"> svojim djelovanjem mogu doprinijeti efikasnijoj zaštiti finansijskih interesa EU.</w:t>
      </w:r>
    </w:p>
    <w:p w:rsidR="007B2AAF" w:rsidRPr="001302F9" w:rsidRDefault="007B2AAF" w:rsidP="00D23BC2">
      <w:pPr>
        <w:spacing w:before="120" w:after="120" w:line="240" w:lineRule="auto"/>
        <w:jc w:val="both"/>
        <w:rPr>
          <w:rFonts w:ascii="Arial" w:hAnsi="Arial" w:cs="Arial"/>
          <w:lang w:val="sr-Latn-ME"/>
        </w:rPr>
      </w:pPr>
      <w:r w:rsidRPr="001302F9">
        <w:rPr>
          <w:rFonts w:ascii="Arial" w:hAnsi="Arial" w:cs="Arial"/>
          <w:lang w:val="sr-Latn-ME"/>
        </w:rPr>
        <w:t xml:space="preserve">Vlada Crne Gore je usvojila </w:t>
      </w:r>
      <w:r w:rsidRPr="001302F9">
        <w:rPr>
          <w:rFonts w:ascii="Arial" w:hAnsi="Arial" w:cs="Arial"/>
          <w:i/>
          <w:iCs/>
          <w:lang w:val="sr-Latn-ME"/>
        </w:rPr>
        <w:t>Strategiju za borbu protiv prevara i upravljanje nepravilnostima radi zaštite finansijskih interesa EU za period 2015–2017</w:t>
      </w:r>
      <w:r w:rsidRPr="001302F9">
        <w:rPr>
          <w:rFonts w:ascii="Arial" w:hAnsi="Arial" w:cs="Arial"/>
          <w:lang w:val="sr-Latn-ME"/>
        </w:rPr>
        <w:t xml:space="preserve">, kao i </w:t>
      </w:r>
      <w:r w:rsidRPr="001302F9">
        <w:rPr>
          <w:rFonts w:ascii="Arial" w:hAnsi="Arial" w:cs="Arial"/>
          <w:i/>
          <w:iCs/>
          <w:lang w:val="sr-Latn-ME"/>
        </w:rPr>
        <w:t>Strategiju za borbu protiv prevara i upravljanje nepravilnostima radi zaštite finansijskih interesa EU 2019–2022</w:t>
      </w:r>
      <w:r w:rsidRPr="001302F9">
        <w:rPr>
          <w:rFonts w:ascii="Arial" w:hAnsi="Arial" w:cs="Arial"/>
          <w:lang w:val="sr-Latn-ME"/>
        </w:rPr>
        <w:t>, koje su definisale prioritete i mjere za unapr</w:t>
      </w:r>
      <w:r w:rsidR="008F0CAD">
        <w:rPr>
          <w:rFonts w:ascii="Arial" w:hAnsi="Arial" w:cs="Arial"/>
          <w:lang w:val="sr-Latn-ME"/>
        </w:rPr>
        <w:t>ij</w:t>
      </w:r>
      <w:r w:rsidRPr="001302F9">
        <w:rPr>
          <w:rFonts w:ascii="Arial" w:hAnsi="Arial" w:cs="Arial"/>
          <w:lang w:val="sr-Latn-ME"/>
        </w:rPr>
        <w:t xml:space="preserve">eđenje zaštite finansijskih interesa EU. Time </w:t>
      </w:r>
      <w:r w:rsidR="00F618E0" w:rsidRPr="001302F9">
        <w:rPr>
          <w:rFonts w:ascii="Arial" w:hAnsi="Arial" w:cs="Arial"/>
          <w:lang w:val="sr-Latn-ME"/>
        </w:rPr>
        <w:t xml:space="preserve">je </w:t>
      </w:r>
      <w:r w:rsidRPr="001302F9">
        <w:rPr>
          <w:rFonts w:ascii="Arial" w:hAnsi="Arial" w:cs="Arial"/>
          <w:lang w:val="sr-Latn-ME"/>
        </w:rPr>
        <w:t xml:space="preserve">Crna Gora </w:t>
      </w:r>
      <w:r w:rsidR="00F618E0" w:rsidRPr="001302F9">
        <w:rPr>
          <w:rFonts w:ascii="Arial" w:hAnsi="Arial" w:cs="Arial"/>
          <w:lang w:val="sr-Latn-ME"/>
        </w:rPr>
        <w:t>pokazala</w:t>
      </w:r>
      <w:r w:rsidRPr="001302F9">
        <w:rPr>
          <w:rFonts w:ascii="Arial" w:hAnsi="Arial" w:cs="Arial"/>
          <w:lang w:val="sr-Latn-ME"/>
        </w:rPr>
        <w:t xml:space="preserve"> svoju spremnost i političku volju da osigura efikasnu zaštitu finansijskih interesa EU i uskladi nacionalno zakonodavstvo s relevantnim </w:t>
      </w:r>
      <w:r w:rsidRPr="001302F9">
        <w:rPr>
          <w:rFonts w:ascii="Arial" w:hAnsi="Arial" w:cs="Arial"/>
          <w:i/>
          <w:iCs/>
          <w:lang w:val="sr-Latn-ME"/>
        </w:rPr>
        <w:t>acquis communautaire</w:t>
      </w:r>
      <w:r w:rsidRPr="001302F9">
        <w:rPr>
          <w:rFonts w:ascii="Arial" w:hAnsi="Arial" w:cs="Arial"/>
          <w:lang w:val="sr-Latn-ME"/>
        </w:rPr>
        <w:t>-om. U tom kontekstu, Crna Gora je posvećena korišćenju svih raspoloživih kapaciteta u borbi protiv nepravilnosti i prevara povezanih s EU fondovima.</w:t>
      </w:r>
    </w:p>
    <w:p w:rsidR="00A823A9" w:rsidRPr="001302F9" w:rsidRDefault="007B2AAF" w:rsidP="00D23BC2">
      <w:pPr>
        <w:spacing w:before="120" w:after="120" w:line="240" w:lineRule="auto"/>
        <w:jc w:val="both"/>
        <w:rPr>
          <w:rFonts w:ascii="Arial" w:hAnsi="Arial" w:cs="Arial"/>
          <w:lang w:val="sr-Latn-ME"/>
        </w:rPr>
      </w:pPr>
      <w:r w:rsidRPr="001302F9">
        <w:rPr>
          <w:rFonts w:ascii="Arial" w:hAnsi="Arial" w:cs="Arial"/>
          <w:lang w:val="sr-Latn-ME"/>
        </w:rPr>
        <w:t xml:space="preserve">Sredinom 2024. godine, </w:t>
      </w:r>
      <w:r w:rsidR="001F7DB2" w:rsidRPr="001302F9">
        <w:rPr>
          <w:rFonts w:ascii="Arial" w:hAnsi="Arial" w:cs="Arial"/>
          <w:lang w:val="sr-Latn-ME"/>
        </w:rPr>
        <w:t>Direkcija za zaštitu finansijskih interesa EU/</w:t>
      </w:r>
      <w:r w:rsidRPr="001302F9">
        <w:rPr>
          <w:rFonts w:ascii="Arial" w:hAnsi="Arial" w:cs="Arial"/>
          <w:lang w:val="sr-Latn-ME"/>
        </w:rPr>
        <w:t xml:space="preserve">AFCOS je, u okviru Twinning Light projekta </w:t>
      </w:r>
      <w:r w:rsidR="00385897" w:rsidRPr="001302F9">
        <w:rPr>
          <w:rFonts w:ascii="Arial" w:hAnsi="Arial" w:cs="Arial"/>
          <w:lang w:val="sr-Latn-ME"/>
        </w:rPr>
        <w:t>„</w:t>
      </w:r>
      <w:r w:rsidRPr="001302F9">
        <w:rPr>
          <w:rFonts w:ascii="Arial" w:hAnsi="Arial" w:cs="Arial"/>
          <w:i/>
          <w:iCs/>
          <w:lang w:val="sr-Latn-ME"/>
        </w:rPr>
        <w:t>Dalje unapređenje funkcionisanja crnogorskog AFCOS sistema u cilju efikasne zaštite finansijskih interesa EU</w:t>
      </w:r>
      <w:r w:rsidR="00385897" w:rsidRPr="001302F9">
        <w:rPr>
          <w:rFonts w:ascii="Arial" w:hAnsi="Arial" w:cs="Arial"/>
          <w:i/>
          <w:iCs/>
          <w:lang w:val="sr-Latn-ME"/>
        </w:rPr>
        <w:t>“</w:t>
      </w:r>
      <w:r w:rsidRPr="001302F9">
        <w:rPr>
          <w:rFonts w:ascii="Arial" w:hAnsi="Arial" w:cs="Arial"/>
          <w:lang w:val="sr-Latn-ME"/>
        </w:rPr>
        <w:t xml:space="preserve">, pokrenula izradu nove </w:t>
      </w:r>
      <w:r w:rsidR="00385897" w:rsidRPr="001302F9">
        <w:rPr>
          <w:rFonts w:ascii="Arial" w:hAnsi="Arial" w:cs="Arial"/>
          <w:i/>
          <w:iCs/>
          <w:lang w:val="sr-Latn-ME"/>
        </w:rPr>
        <w:t>Strategije</w:t>
      </w:r>
      <w:r w:rsidRPr="001302F9">
        <w:rPr>
          <w:rFonts w:ascii="Arial" w:hAnsi="Arial" w:cs="Arial"/>
          <w:i/>
          <w:iCs/>
          <w:lang w:val="sr-Latn-ME"/>
        </w:rPr>
        <w:t xml:space="preserve"> za period 2025–2028</w:t>
      </w:r>
      <w:r w:rsidRPr="001302F9">
        <w:rPr>
          <w:rFonts w:ascii="Arial" w:hAnsi="Arial" w:cs="Arial"/>
          <w:lang w:val="sr-Latn-ME"/>
        </w:rPr>
        <w:t>, kao i pratećeg Akcionog plana. U razvoju ovog dokumenta uzeti su u obzir aspekti koji zahtijevaju unapređenje u narednom periodu, kao i procedure i prakse uspostavljene s ciljem jačanja zaštite finansijskih interesa EU u Crnoj Gori.</w:t>
      </w:r>
    </w:p>
    <w:p w:rsidR="001F7DB2" w:rsidRPr="001302F9" w:rsidRDefault="001F7DB2" w:rsidP="00D23BC2">
      <w:pPr>
        <w:spacing w:before="120" w:after="120" w:line="240" w:lineRule="auto"/>
        <w:jc w:val="both"/>
        <w:rPr>
          <w:rFonts w:ascii="Arial" w:hAnsi="Arial" w:cs="Arial"/>
          <w:lang w:val="sr-Latn-ME"/>
        </w:rPr>
      </w:pPr>
      <w:r w:rsidRPr="001302F9">
        <w:rPr>
          <w:rFonts w:ascii="Arial" w:hAnsi="Arial" w:cs="Arial"/>
          <w:lang w:val="sr-Latn-ME"/>
        </w:rPr>
        <w:t>Nova Strategija biće usklađena s drugim strateškim dokumentima važnim za zaštitu finansijskih interesa EU, među kojima su:</w:t>
      </w:r>
    </w:p>
    <w:p w:rsidR="001F7DB2" w:rsidRPr="001302F9" w:rsidRDefault="001F7DB2" w:rsidP="00D23BC2">
      <w:pPr>
        <w:spacing w:before="120" w:after="120" w:line="240" w:lineRule="auto"/>
        <w:jc w:val="both"/>
        <w:rPr>
          <w:rFonts w:ascii="Arial" w:hAnsi="Arial" w:cs="Arial"/>
          <w:b/>
          <w:bCs/>
          <w:lang w:val="sr-Latn-ME"/>
        </w:rPr>
      </w:pPr>
      <w:r w:rsidRPr="001302F9">
        <w:rPr>
          <w:rFonts w:ascii="Arial" w:hAnsi="Arial" w:cs="Arial"/>
          <w:b/>
          <w:bCs/>
          <w:lang w:val="sr-Latn-ME"/>
        </w:rPr>
        <w:t>Nacionalna strategija održivog razvoja do 2030. godine</w:t>
      </w:r>
    </w:p>
    <w:p w:rsidR="001F7DB2" w:rsidRPr="001302F9" w:rsidRDefault="001F7DB2" w:rsidP="00D23BC2">
      <w:pPr>
        <w:spacing w:before="120" w:after="120" w:line="240" w:lineRule="auto"/>
        <w:jc w:val="both"/>
        <w:rPr>
          <w:rFonts w:ascii="Arial" w:hAnsi="Arial" w:cs="Arial"/>
          <w:lang w:val="sr-Latn-ME"/>
        </w:rPr>
      </w:pPr>
      <w:r w:rsidRPr="001302F9">
        <w:rPr>
          <w:rFonts w:ascii="Arial" w:hAnsi="Arial" w:cs="Arial"/>
          <w:i/>
          <w:iCs/>
          <w:lang w:val="sr-Latn-ME"/>
        </w:rPr>
        <w:t>Nacionalna strategija održivog razvoja do 2030. godine</w:t>
      </w:r>
      <w:r w:rsidRPr="001302F9">
        <w:rPr>
          <w:rFonts w:ascii="Arial" w:hAnsi="Arial" w:cs="Arial"/>
          <w:lang w:val="sr-Latn-ME"/>
        </w:rPr>
        <w:t xml:space="preserve"> prepoznaje potrebu za borbom protiv organizovanog kriminala. U ovom dokumentu istaknuto je da, uprkos uloženim naporima, efikasna borba protiv korupcije i organizovanog kriminala i dalje predstavlja izazov. S obzirom na to da organizovani kriminal može ugroziti i EU fondove, nov</w:t>
      </w:r>
      <w:r w:rsidR="00F03F4F" w:rsidRPr="001302F9">
        <w:rPr>
          <w:rFonts w:ascii="Arial" w:hAnsi="Arial" w:cs="Arial"/>
          <w:lang w:val="sr-Latn-ME"/>
        </w:rPr>
        <w:t xml:space="preserve">a Strategija </w:t>
      </w:r>
      <w:r w:rsidRPr="001302F9">
        <w:rPr>
          <w:rFonts w:ascii="Arial" w:hAnsi="Arial" w:cs="Arial"/>
          <w:lang w:val="sr-Latn-ME"/>
        </w:rPr>
        <w:t xml:space="preserve">će doprinijeti ostvarivanju ciljeva definisanih u </w:t>
      </w:r>
      <w:r w:rsidRPr="001302F9">
        <w:rPr>
          <w:rFonts w:ascii="Arial" w:hAnsi="Arial" w:cs="Arial"/>
          <w:i/>
          <w:iCs/>
          <w:lang w:val="sr-Latn-ME"/>
        </w:rPr>
        <w:t>Nacionalnoj strategiji održivog razvoja</w:t>
      </w:r>
      <w:r w:rsidRPr="001302F9">
        <w:rPr>
          <w:rFonts w:ascii="Arial" w:hAnsi="Arial" w:cs="Arial"/>
          <w:lang w:val="sr-Latn-ME"/>
        </w:rPr>
        <w:t>.</w:t>
      </w:r>
    </w:p>
    <w:p w:rsidR="001F7DB2" w:rsidRPr="001302F9" w:rsidRDefault="001F7DB2" w:rsidP="00D23BC2">
      <w:pPr>
        <w:spacing w:before="120" w:after="120" w:line="240" w:lineRule="auto"/>
        <w:jc w:val="both"/>
        <w:rPr>
          <w:rFonts w:ascii="Arial" w:hAnsi="Arial" w:cs="Arial"/>
          <w:b/>
          <w:bCs/>
          <w:lang w:val="sr-Latn-ME"/>
        </w:rPr>
      </w:pPr>
      <w:r w:rsidRPr="001302F9">
        <w:rPr>
          <w:rFonts w:ascii="Arial" w:hAnsi="Arial" w:cs="Arial"/>
          <w:b/>
          <w:bCs/>
          <w:lang w:val="sr-Latn-ME"/>
        </w:rPr>
        <w:t>Srednjoročni program rada Vlade Crne Gore za 2024–2027</w:t>
      </w:r>
    </w:p>
    <w:p w:rsidR="001F7DB2" w:rsidRPr="001302F9" w:rsidRDefault="001F7DB2" w:rsidP="00D23BC2">
      <w:pPr>
        <w:spacing w:before="120" w:after="120" w:line="240" w:lineRule="auto"/>
        <w:jc w:val="both"/>
        <w:rPr>
          <w:rFonts w:ascii="Arial" w:hAnsi="Arial" w:cs="Arial"/>
          <w:lang w:val="sr-Latn-ME"/>
        </w:rPr>
      </w:pPr>
      <w:r w:rsidRPr="001302F9">
        <w:rPr>
          <w:rFonts w:ascii="Arial" w:hAnsi="Arial" w:cs="Arial"/>
          <w:lang w:val="sr-Latn-ME"/>
        </w:rPr>
        <w:t xml:space="preserve">Jedan od ključnih prioriteta </w:t>
      </w:r>
      <w:r w:rsidRPr="001302F9">
        <w:rPr>
          <w:rFonts w:ascii="Arial" w:hAnsi="Arial" w:cs="Arial"/>
          <w:i/>
          <w:iCs/>
          <w:lang w:val="sr-Latn-ME"/>
        </w:rPr>
        <w:t>Srednjoročnog programa rada Vlade 2024–2027</w:t>
      </w:r>
      <w:r w:rsidRPr="001302F9">
        <w:rPr>
          <w:rFonts w:ascii="Arial" w:hAnsi="Arial" w:cs="Arial"/>
          <w:lang w:val="sr-Latn-ME"/>
        </w:rPr>
        <w:t xml:space="preserve"> jeste: </w:t>
      </w:r>
      <w:r w:rsidRPr="001302F9">
        <w:rPr>
          <w:rFonts w:ascii="Arial" w:hAnsi="Arial" w:cs="Arial"/>
          <w:b/>
          <w:bCs/>
          <w:lang w:val="sr-Latn-ME"/>
        </w:rPr>
        <w:t>"Crna Gora je država vladavine prava i kredibilan član EU i NATO-a."</w:t>
      </w:r>
      <w:r w:rsidRPr="001302F9">
        <w:rPr>
          <w:rFonts w:ascii="Arial" w:hAnsi="Arial" w:cs="Arial"/>
          <w:lang w:val="sr-Latn-ME"/>
        </w:rPr>
        <w:t xml:space="preserve"> Crna Gora se trenutno nalazi u ključnoj fazi pregovora o pristupanju EU, a usklađivanje nacionalnog zakonodavstva s evropskim </w:t>
      </w:r>
      <w:r w:rsidRPr="001302F9">
        <w:rPr>
          <w:rFonts w:ascii="Arial" w:hAnsi="Arial" w:cs="Arial"/>
          <w:i/>
          <w:iCs/>
          <w:lang w:val="sr-Latn-ME"/>
        </w:rPr>
        <w:t>acquis</w:t>
      </w:r>
      <w:r w:rsidRPr="001302F9">
        <w:rPr>
          <w:rFonts w:ascii="Arial" w:hAnsi="Arial" w:cs="Arial"/>
          <w:lang w:val="sr-Latn-ME"/>
        </w:rPr>
        <w:t>-om od suštinskog je značaja. Usvajanje nov</w:t>
      </w:r>
      <w:r w:rsidR="00F03F4F" w:rsidRPr="001302F9">
        <w:rPr>
          <w:rFonts w:ascii="Arial" w:hAnsi="Arial" w:cs="Arial"/>
          <w:lang w:val="sr-Latn-ME"/>
        </w:rPr>
        <w:t xml:space="preserve">e Strategije </w:t>
      </w:r>
      <w:r w:rsidRPr="001302F9">
        <w:rPr>
          <w:rFonts w:ascii="Arial" w:hAnsi="Arial" w:cs="Arial"/>
          <w:lang w:val="sr-Latn-ME"/>
        </w:rPr>
        <w:t xml:space="preserve">planirano je u okviru drugog prioriteta: </w:t>
      </w:r>
      <w:r w:rsidRPr="001302F9">
        <w:rPr>
          <w:rFonts w:ascii="Arial" w:hAnsi="Arial" w:cs="Arial"/>
          <w:b/>
          <w:bCs/>
          <w:lang w:val="sr-Latn-ME"/>
        </w:rPr>
        <w:t>"Stabilan finansijski i ekonomski sistem za bogatu državu i njene građane."</w:t>
      </w:r>
      <w:r w:rsidRPr="001302F9">
        <w:rPr>
          <w:rFonts w:ascii="Arial" w:hAnsi="Arial" w:cs="Arial"/>
          <w:lang w:val="sr-Latn-ME"/>
        </w:rPr>
        <w:t xml:space="preserve"> Ovim strateškim ciljem predviđeno je jačanje javnih finansija i unapređenje finansijske discipline, što će doprinijeti snažnijem ekonomskom razvoju Crne Gore.</w:t>
      </w:r>
    </w:p>
    <w:p w:rsidR="001F7DB2" w:rsidRPr="001302F9" w:rsidRDefault="00D942FE" w:rsidP="00D23BC2">
      <w:pPr>
        <w:spacing w:before="120" w:after="120" w:line="240" w:lineRule="auto"/>
        <w:jc w:val="both"/>
        <w:rPr>
          <w:rFonts w:ascii="Arial" w:hAnsi="Arial" w:cs="Arial"/>
          <w:b/>
          <w:bCs/>
          <w:lang w:val="sr-Latn-ME"/>
        </w:rPr>
      </w:pPr>
      <w:r>
        <w:rPr>
          <w:rFonts w:ascii="Arial" w:hAnsi="Arial" w:cs="Arial"/>
          <w:b/>
          <w:bCs/>
          <w:lang w:val="sr-Latn-ME"/>
        </w:rPr>
        <w:t>Program ekonomskih reformi</w:t>
      </w:r>
      <w:r w:rsidR="001F7DB2" w:rsidRPr="001302F9">
        <w:rPr>
          <w:rFonts w:ascii="Arial" w:hAnsi="Arial" w:cs="Arial"/>
          <w:b/>
          <w:bCs/>
          <w:lang w:val="sr-Latn-ME"/>
        </w:rPr>
        <w:t xml:space="preserve"> 202</w:t>
      </w:r>
      <w:r>
        <w:rPr>
          <w:rFonts w:ascii="Arial" w:hAnsi="Arial" w:cs="Arial"/>
          <w:b/>
          <w:bCs/>
          <w:lang w:val="sr-Latn-ME"/>
        </w:rPr>
        <w:t>4</w:t>
      </w:r>
      <w:r w:rsidR="001F7DB2" w:rsidRPr="001302F9">
        <w:rPr>
          <w:rFonts w:ascii="Arial" w:hAnsi="Arial" w:cs="Arial"/>
          <w:b/>
          <w:bCs/>
          <w:lang w:val="sr-Latn-ME"/>
        </w:rPr>
        <w:t>–202</w:t>
      </w:r>
      <w:r>
        <w:rPr>
          <w:rFonts w:ascii="Arial" w:hAnsi="Arial" w:cs="Arial"/>
          <w:b/>
          <w:bCs/>
          <w:lang w:val="sr-Latn-ME"/>
        </w:rPr>
        <w:t>6</w:t>
      </w:r>
    </w:p>
    <w:p w:rsidR="001F7DB2" w:rsidRPr="001302F9" w:rsidRDefault="001F7DB2" w:rsidP="00D23BC2">
      <w:pPr>
        <w:spacing w:before="120" w:after="120" w:line="240" w:lineRule="auto"/>
        <w:jc w:val="both"/>
        <w:rPr>
          <w:rFonts w:ascii="Arial" w:hAnsi="Arial" w:cs="Arial"/>
          <w:lang w:val="sr-Latn-ME"/>
        </w:rPr>
      </w:pPr>
      <w:r w:rsidRPr="001302F9">
        <w:rPr>
          <w:rFonts w:ascii="Arial" w:hAnsi="Arial" w:cs="Arial"/>
          <w:i/>
          <w:iCs/>
          <w:lang w:val="sr-Latn-ME"/>
        </w:rPr>
        <w:t>Ekonomski reformski program 2023–2025</w:t>
      </w:r>
      <w:r w:rsidRPr="001302F9">
        <w:rPr>
          <w:rFonts w:ascii="Arial" w:hAnsi="Arial" w:cs="Arial"/>
          <w:lang w:val="sr-Latn-ME"/>
        </w:rPr>
        <w:t xml:space="preserve"> predstavlja najvažniji dokument Crne Gore u ekonomskom dijalogu s EU i ključni strateški okvir za srednjoročno makroekonomsko i fiskalno planiranje. Ovaj program uključuje i agendu strukturnih reformi usmjerenih na uklanjanje prepreka ekonomskom rastu i jačanje konkurentnosti zemlje. Jedna od ključnih prepreka privrednom razvoju je korupcija i ugrožavanje finansijskih interesa EU. Nov</w:t>
      </w:r>
      <w:r w:rsidR="00C267A5" w:rsidRPr="001302F9">
        <w:rPr>
          <w:rFonts w:ascii="Arial" w:hAnsi="Arial" w:cs="Arial"/>
          <w:lang w:val="sr-Latn-ME"/>
        </w:rPr>
        <w:t xml:space="preserve">a Strategija </w:t>
      </w:r>
      <w:r w:rsidRPr="001302F9">
        <w:rPr>
          <w:rFonts w:ascii="Arial" w:hAnsi="Arial" w:cs="Arial"/>
          <w:lang w:val="sr-Latn-ME"/>
        </w:rPr>
        <w:t xml:space="preserve">će doprinijeti jačanju finansijske discipline i transparentnosti, čime će se podržati ciljevi definisani u </w:t>
      </w:r>
      <w:r w:rsidR="00D942FE">
        <w:rPr>
          <w:rFonts w:ascii="Arial" w:hAnsi="Arial" w:cs="Arial"/>
          <w:i/>
          <w:iCs/>
          <w:lang w:val="sr-Latn-ME"/>
        </w:rPr>
        <w:t>Program ekonomskih reformi</w:t>
      </w:r>
      <w:r w:rsidRPr="001302F9">
        <w:rPr>
          <w:rFonts w:ascii="Arial" w:hAnsi="Arial" w:cs="Arial"/>
          <w:i/>
          <w:iCs/>
          <w:lang w:val="sr-Latn-ME"/>
        </w:rPr>
        <w:t xml:space="preserve"> 202</w:t>
      </w:r>
      <w:r w:rsidR="00D942FE">
        <w:rPr>
          <w:rFonts w:ascii="Arial" w:hAnsi="Arial" w:cs="Arial"/>
          <w:i/>
          <w:iCs/>
          <w:lang w:val="sr-Latn-ME"/>
        </w:rPr>
        <w:t>4</w:t>
      </w:r>
      <w:r w:rsidRPr="001302F9">
        <w:rPr>
          <w:rFonts w:ascii="Arial" w:hAnsi="Arial" w:cs="Arial"/>
          <w:i/>
          <w:iCs/>
          <w:lang w:val="sr-Latn-ME"/>
        </w:rPr>
        <w:t>–202</w:t>
      </w:r>
      <w:r w:rsidR="00D942FE">
        <w:rPr>
          <w:rFonts w:ascii="Arial" w:hAnsi="Arial" w:cs="Arial"/>
          <w:i/>
          <w:iCs/>
          <w:lang w:val="sr-Latn-ME"/>
        </w:rPr>
        <w:t>6</w:t>
      </w:r>
      <w:r w:rsidRPr="001302F9">
        <w:rPr>
          <w:rFonts w:ascii="Arial" w:hAnsi="Arial" w:cs="Arial"/>
          <w:lang w:val="sr-Latn-ME"/>
        </w:rPr>
        <w:t>.</w:t>
      </w:r>
    </w:p>
    <w:p w:rsidR="001F7DB2" w:rsidRPr="001302F9" w:rsidRDefault="007B2DA4" w:rsidP="00D23BC2">
      <w:pPr>
        <w:spacing w:before="120" w:after="120" w:line="240" w:lineRule="auto"/>
        <w:jc w:val="both"/>
        <w:rPr>
          <w:rFonts w:ascii="Arial" w:hAnsi="Arial" w:cs="Arial"/>
          <w:b/>
          <w:bCs/>
          <w:lang w:val="sr-Latn-ME"/>
        </w:rPr>
      </w:pPr>
      <w:r w:rsidRPr="001302F9">
        <w:rPr>
          <w:rFonts w:ascii="Arial" w:hAnsi="Arial" w:cs="Arial"/>
          <w:lang w:val="sr-Latn-ME"/>
        </w:rPr>
        <w:t>Takođe, j</w:t>
      </w:r>
      <w:r w:rsidR="001F7DB2" w:rsidRPr="001302F9">
        <w:rPr>
          <w:rFonts w:ascii="Arial" w:hAnsi="Arial" w:cs="Arial"/>
          <w:lang w:val="sr-Latn-ME"/>
        </w:rPr>
        <w:t xml:space="preserve">edna od prepreka ekonomskom rastu su finansijske prevare, zbog čega će </w:t>
      </w:r>
      <w:r w:rsidR="001F7DB2" w:rsidRPr="001302F9">
        <w:rPr>
          <w:rFonts w:ascii="Arial" w:hAnsi="Arial" w:cs="Arial"/>
          <w:i/>
          <w:iCs/>
          <w:lang w:val="sr-Latn-ME"/>
        </w:rPr>
        <w:t xml:space="preserve">Strategija </w:t>
      </w:r>
      <w:r w:rsidR="001F7DB2" w:rsidRPr="001302F9">
        <w:rPr>
          <w:rFonts w:ascii="Arial" w:hAnsi="Arial" w:cs="Arial"/>
          <w:lang w:val="sr-Latn-ME"/>
        </w:rPr>
        <w:t xml:space="preserve">doprinijeti ostvarenju glavnog strateškog cilja ekonomske politike Crne Gore: </w:t>
      </w:r>
      <w:r w:rsidR="001F7DB2" w:rsidRPr="001302F9">
        <w:rPr>
          <w:rFonts w:ascii="Arial" w:hAnsi="Arial" w:cs="Arial"/>
          <w:b/>
          <w:bCs/>
          <w:lang w:val="sr-Latn-ME"/>
        </w:rPr>
        <w:t>"postizanje pametnog, održivog i inkluzivnog ekonomskog rasta koji će poboljšati kvalitet života svih građana."</w:t>
      </w:r>
    </w:p>
    <w:p w:rsidR="00877B4C" w:rsidRPr="001302F9" w:rsidRDefault="00877B4C" w:rsidP="00D23BC2">
      <w:pPr>
        <w:spacing w:before="120" w:after="120" w:line="240" w:lineRule="auto"/>
        <w:jc w:val="both"/>
        <w:rPr>
          <w:rFonts w:ascii="Arial" w:hAnsi="Arial" w:cs="Arial"/>
          <w:lang w:val="sr-Latn-ME"/>
        </w:rPr>
      </w:pPr>
    </w:p>
    <w:p w:rsidR="001F7DB2" w:rsidRPr="001302F9" w:rsidRDefault="001F7DB2" w:rsidP="00D23BC2">
      <w:pPr>
        <w:spacing w:before="120" w:after="120" w:line="240" w:lineRule="auto"/>
        <w:jc w:val="both"/>
        <w:rPr>
          <w:rFonts w:ascii="Arial" w:hAnsi="Arial" w:cs="Arial"/>
          <w:b/>
          <w:bCs/>
          <w:lang w:val="sr-Latn-ME"/>
        </w:rPr>
      </w:pPr>
      <w:r w:rsidRPr="001302F9">
        <w:rPr>
          <w:rFonts w:ascii="Arial" w:hAnsi="Arial" w:cs="Arial"/>
          <w:b/>
          <w:bCs/>
          <w:lang w:val="sr-Latn-ME"/>
        </w:rPr>
        <w:t>Program pristupanja Crne Gore Evropskoj uniji 2024–2027</w:t>
      </w:r>
    </w:p>
    <w:p w:rsidR="001F7DB2" w:rsidRPr="001302F9" w:rsidRDefault="001F7DB2" w:rsidP="00D23BC2">
      <w:pPr>
        <w:spacing w:before="120" w:after="120" w:line="240" w:lineRule="auto"/>
        <w:jc w:val="both"/>
        <w:rPr>
          <w:rFonts w:ascii="Arial" w:hAnsi="Arial" w:cs="Arial"/>
          <w:lang w:val="sr-Latn-ME"/>
        </w:rPr>
      </w:pPr>
      <w:r w:rsidRPr="001302F9">
        <w:rPr>
          <w:rFonts w:ascii="Arial" w:hAnsi="Arial" w:cs="Arial"/>
          <w:i/>
          <w:iCs/>
          <w:lang w:val="sr-Latn-ME"/>
        </w:rPr>
        <w:t>Program pristupanja Crne Gore Evropskoj uniji 2024–2027</w:t>
      </w:r>
      <w:r w:rsidRPr="001302F9">
        <w:rPr>
          <w:rFonts w:ascii="Arial" w:hAnsi="Arial" w:cs="Arial"/>
          <w:lang w:val="sr-Latn-ME"/>
        </w:rPr>
        <w:t xml:space="preserve"> predstavlja sveobuhvatan strateški dokument koji prati reforme u procesu usklađivanja nacionalnog zakonodavstva s evropskim </w:t>
      </w:r>
      <w:r w:rsidRPr="001302F9">
        <w:rPr>
          <w:rFonts w:ascii="Arial" w:hAnsi="Arial" w:cs="Arial"/>
          <w:i/>
          <w:iCs/>
          <w:lang w:val="sr-Latn-ME"/>
        </w:rPr>
        <w:t>acquis</w:t>
      </w:r>
      <w:r w:rsidRPr="001302F9">
        <w:rPr>
          <w:rFonts w:ascii="Arial" w:hAnsi="Arial" w:cs="Arial"/>
          <w:lang w:val="sr-Latn-ME"/>
        </w:rPr>
        <w:t>-om. Takođe, obuhvata reforme u strateškom okviru, koje se odnose na sposobnost Crne Gore da preuzme obaveze proistekle iz članstva u EU u okviru svih 33 pregovaračka poglavlja, kao i na jačanje administrativnih kapaciteta institucija. Usvajanje nov</w:t>
      </w:r>
      <w:r w:rsidR="00D23BC2" w:rsidRPr="001302F9">
        <w:rPr>
          <w:rFonts w:ascii="Arial" w:hAnsi="Arial" w:cs="Arial"/>
          <w:lang w:val="sr-Latn-ME"/>
        </w:rPr>
        <w:t xml:space="preserve">e Strategije </w:t>
      </w:r>
      <w:r w:rsidRPr="001302F9">
        <w:rPr>
          <w:rFonts w:ascii="Arial" w:hAnsi="Arial" w:cs="Arial"/>
          <w:lang w:val="sr-Latn-ME"/>
        </w:rPr>
        <w:t xml:space="preserve">planirano je kroz </w:t>
      </w:r>
      <w:r w:rsidRPr="001302F9">
        <w:rPr>
          <w:rFonts w:ascii="Arial" w:hAnsi="Arial" w:cs="Arial"/>
          <w:b/>
          <w:bCs/>
          <w:lang w:val="sr-Latn-ME"/>
        </w:rPr>
        <w:t>Pregovaračko poglavlje 32 – Finansijska kontrola</w:t>
      </w:r>
      <w:r w:rsidRPr="001302F9">
        <w:rPr>
          <w:rFonts w:ascii="Arial" w:hAnsi="Arial" w:cs="Arial"/>
          <w:lang w:val="sr-Latn-ME"/>
        </w:rPr>
        <w:t>, koje obuhvata oblast zaštite finansijskih interesa EU.</w:t>
      </w:r>
    </w:p>
    <w:p w:rsidR="001F7DB2" w:rsidRPr="001302F9" w:rsidRDefault="00D942FE" w:rsidP="00D23BC2">
      <w:pPr>
        <w:spacing w:before="120" w:after="120" w:line="240" w:lineRule="auto"/>
        <w:jc w:val="both"/>
        <w:rPr>
          <w:rFonts w:ascii="Arial" w:hAnsi="Arial" w:cs="Arial"/>
          <w:b/>
          <w:bCs/>
          <w:lang w:val="sr-Latn-ME"/>
        </w:rPr>
      </w:pPr>
      <w:r>
        <w:rPr>
          <w:rFonts w:ascii="Arial" w:hAnsi="Arial" w:cs="Arial"/>
          <w:b/>
          <w:bCs/>
          <w:lang w:val="sr-Latn-ME"/>
        </w:rPr>
        <w:t xml:space="preserve">Ažurirani </w:t>
      </w:r>
      <w:r w:rsidR="001F7DB2" w:rsidRPr="001302F9">
        <w:rPr>
          <w:rFonts w:ascii="Arial" w:hAnsi="Arial" w:cs="Arial"/>
          <w:b/>
          <w:bCs/>
          <w:lang w:val="sr-Latn-ME"/>
        </w:rPr>
        <w:t>Program reforme upravljanja javnim finansijama 2022–2026</w:t>
      </w:r>
    </w:p>
    <w:p w:rsidR="001F7DB2" w:rsidRPr="001302F9" w:rsidRDefault="001F7DB2" w:rsidP="00D23BC2">
      <w:pPr>
        <w:spacing w:before="120" w:after="120" w:line="240" w:lineRule="auto"/>
        <w:jc w:val="both"/>
        <w:rPr>
          <w:rFonts w:ascii="Arial" w:hAnsi="Arial" w:cs="Arial"/>
          <w:lang w:val="sr-Latn-ME"/>
        </w:rPr>
      </w:pPr>
      <w:r w:rsidRPr="001302F9">
        <w:rPr>
          <w:rFonts w:ascii="Arial" w:hAnsi="Arial" w:cs="Arial"/>
          <w:lang w:val="sr-Latn-ME"/>
        </w:rPr>
        <w:t xml:space="preserve">Jedna od oblasti u okviru strateškog cilja </w:t>
      </w:r>
      <w:r w:rsidRPr="001302F9">
        <w:rPr>
          <w:rFonts w:ascii="Arial" w:hAnsi="Arial" w:cs="Arial"/>
          <w:b/>
          <w:bCs/>
          <w:lang w:val="sr-Latn-ME"/>
        </w:rPr>
        <w:t>"Finansijska kontrola"</w:t>
      </w:r>
      <w:r w:rsidRPr="001302F9">
        <w:rPr>
          <w:rFonts w:ascii="Arial" w:hAnsi="Arial" w:cs="Arial"/>
          <w:lang w:val="sr-Latn-ME"/>
        </w:rPr>
        <w:t xml:space="preserve"> jeste </w:t>
      </w:r>
      <w:r w:rsidRPr="001302F9">
        <w:rPr>
          <w:rFonts w:ascii="Arial" w:hAnsi="Arial" w:cs="Arial"/>
          <w:b/>
          <w:bCs/>
          <w:lang w:val="sr-Latn-ME"/>
        </w:rPr>
        <w:t>"Koordinacija borbe protiv prevara (AFCOS)"</w:t>
      </w:r>
      <w:r w:rsidRPr="001302F9">
        <w:rPr>
          <w:rFonts w:ascii="Arial" w:hAnsi="Arial" w:cs="Arial"/>
          <w:lang w:val="sr-Latn-ME"/>
        </w:rPr>
        <w:t xml:space="preserve">, koja predviđa izradu nove </w:t>
      </w:r>
      <w:r w:rsidRPr="001302F9">
        <w:rPr>
          <w:rFonts w:ascii="Arial" w:hAnsi="Arial" w:cs="Arial"/>
          <w:i/>
          <w:iCs/>
          <w:lang w:val="sr-Latn-ME"/>
        </w:rPr>
        <w:t>Strategije za borbu protiv prevara i upravljanje nepravilnostima radi zaštite finansijskih interesa EU</w:t>
      </w:r>
      <w:r w:rsidRPr="001302F9">
        <w:rPr>
          <w:rFonts w:ascii="Arial" w:hAnsi="Arial" w:cs="Arial"/>
          <w:lang w:val="sr-Latn-ME"/>
        </w:rPr>
        <w:t xml:space="preserve"> za period 202</w:t>
      </w:r>
      <w:r w:rsidR="00D23BC2" w:rsidRPr="001302F9">
        <w:rPr>
          <w:rFonts w:ascii="Arial" w:hAnsi="Arial" w:cs="Arial"/>
          <w:lang w:val="sr-Latn-ME"/>
        </w:rPr>
        <w:t>5</w:t>
      </w:r>
      <w:r w:rsidRPr="001302F9">
        <w:rPr>
          <w:rFonts w:ascii="Arial" w:hAnsi="Arial" w:cs="Arial"/>
          <w:lang w:val="sr-Latn-ME"/>
        </w:rPr>
        <w:t>–202</w:t>
      </w:r>
      <w:r w:rsidR="00D23BC2" w:rsidRPr="001302F9">
        <w:rPr>
          <w:rFonts w:ascii="Arial" w:hAnsi="Arial" w:cs="Arial"/>
          <w:lang w:val="sr-Latn-ME"/>
        </w:rPr>
        <w:t>8</w:t>
      </w:r>
      <w:r w:rsidRPr="001302F9">
        <w:rPr>
          <w:rFonts w:ascii="Arial" w:hAnsi="Arial" w:cs="Arial"/>
          <w:lang w:val="sr-Latn-ME"/>
        </w:rPr>
        <w:t xml:space="preserve">, zajedno s pratećim Akcionim planom. Ova strategija će dodatno ojačati pravni okvir i unaprijediti kapacitete </w:t>
      </w:r>
      <w:r w:rsidRPr="001302F9">
        <w:rPr>
          <w:rFonts w:ascii="Arial" w:hAnsi="Arial" w:cs="Arial"/>
          <w:i/>
          <w:iCs/>
          <w:lang w:val="sr-Latn-ME"/>
        </w:rPr>
        <w:t>AFCOS sistema</w:t>
      </w:r>
      <w:r w:rsidRPr="001302F9">
        <w:rPr>
          <w:rFonts w:ascii="Arial" w:hAnsi="Arial" w:cs="Arial"/>
          <w:lang w:val="sr-Latn-ME"/>
        </w:rPr>
        <w:t>, čime će se osigurati efikasnija zaštita finansijskih interesa EU u Crnoj Gori.</w:t>
      </w:r>
    </w:p>
    <w:p w:rsidR="00D960ED" w:rsidRPr="001302F9" w:rsidRDefault="00D960ED" w:rsidP="00D23BC2">
      <w:pPr>
        <w:spacing w:before="100" w:beforeAutospacing="1" w:after="100" w:afterAutospacing="1" w:line="240" w:lineRule="auto"/>
        <w:jc w:val="both"/>
        <w:outlineLvl w:val="2"/>
        <w:rPr>
          <w:rFonts w:ascii="Arial" w:hAnsi="Arial" w:cs="Arial"/>
          <w:lang w:val="sr-Latn-ME"/>
        </w:rPr>
      </w:pPr>
      <w:r w:rsidRPr="001302F9">
        <w:rPr>
          <w:rFonts w:ascii="Arial" w:hAnsi="Arial" w:cs="Arial"/>
          <w:lang w:val="sr-Latn-ME"/>
        </w:rPr>
        <w:t>Strategija bi obuhvatila:</w:t>
      </w:r>
    </w:p>
    <w:p w:rsidR="00D960ED" w:rsidRPr="001302F9" w:rsidRDefault="00D960ED" w:rsidP="009B6B3B">
      <w:pPr>
        <w:numPr>
          <w:ilvl w:val="0"/>
          <w:numId w:val="14"/>
        </w:numPr>
        <w:spacing w:before="100" w:beforeAutospacing="1" w:after="100" w:afterAutospacing="1" w:line="240" w:lineRule="auto"/>
        <w:jc w:val="both"/>
        <w:outlineLvl w:val="2"/>
        <w:rPr>
          <w:rFonts w:ascii="Arial" w:hAnsi="Arial" w:cs="Arial"/>
          <w:lang w:val="sr-Latn-ME"/>
        </w:rPr>
      </w:pPr>
      <w:r w:rsidRPr="001302F9">
        <w:rPr>
          <w:rFonts w:ascii="Arial" w:hAnsi="Arial" w:cs="Arial"/>
          <w:lang w:val="sr-Latn-ME"/>
        </w:rPr>
        <w:t>razvoj metodologije analize rizika u oblasti upravljanja nepravilnostima,</w:t>
      </w:r>
    </w:p>
    <w:p w:rsidR="00D960ED" w:rsidRPr="001302F9" w:rsidRDefault="00D960ED" w:rsidP="009B6B3B">
      <w:pPr>
        <w:numPr>
          <w:ilvl w:val="0"/>
          <w:numId w:val="14"/>
        </w:numPr>
        <w:spacing w:before="100" w:beforeAutospacing="1" w:after="100" w:afterAutospacing="1" w:line="240" w:lineRule="auto"/>
        <w:jc w:val="both"/>
        <w:outlineLvl w:val="2"/>
        <w:rPr>
          <w:rFonts w:ascii="Arial" w:hAnsi="Arial" w:cs="Arial"/>
          <w:lang w:val="sr-Latn-ME"/>
        </w:rPr>
      </w:pPr>
      <w:r w:rsidRPr="001302F9">
        <w:rPr>
          <w:rFonts w:ascii="Arial" w:hAnsi="Arial" w:cs="Arial"/>
          <w:lang w:val="sr-Latn-ME"/>
        </w:rPr>
        <w:t xml:space="preserve">izradu komunikacione strategije </w:t>
      </w:r>
      <w:r w:rsidR="00D23BC2" w:rsidRPr="001302F9">
        <w:rPr>
          <w:rFonts w:ascii="Arial" w:hAnsi="Arial" w:cs="Arial"/>
          <w:lang w:val="sr-Latn-ME"/>
        </w:rPr>
        <w:t xml:space="preserve">u cilju </w:t>
      </w:r>
      <w:r w:rsidRPr="001302F9">
        <w:rPr>
          <w:rFonts w:ascii="Arial" w:hAnsi="Arial" w:cs="Arial"/>
          <w:lang w:val="sr-Latn-ME"/>
        </w:rPr>
        <w:t>unapr</w:t>
      </w:r>
      <w:r w:rsidR="008F0CAD">
        <w:rPr>
          <w:rFonts w:ascii="Arial" w:hAnsi="Arial" w:cs="Arial"/>
          <w:lang w:val="sr-Latn-ME"/>
        </w:rPr>
        <w:t>ij</w:t>
      </w:r>
      <w:r w:rsidRPr="001302F9">
        <w:rPr>
          <w:rFonts w:ascii="Arial" w:hAnsi="Arial" w:cs="Arial"/>
          <w:lang w:val="sr-Latn-ME"/>
        </w:rPr>
        <w:t xml:space="preserve">eđenja saradnje između </w:t>
      </w:r>
      <w:r w:rsidR="00D23BC2" w:rsidRPr="001302F9">
        <w:rPr>
          <w:rFonts w:ascii="Arial" w:hAnsi="Arial" w:cs="Arial"/>
          <w:lang w:val="sr-Latn-ME"/>
        </w:rPr>
        <w:t>tijela</w:t>
      </w:r>
      <w:r w:rsidR="00D23BC2" w:rsidRPr="001302F9">
        <w:rPr>
          <w:rFonts w:ascii="Arial" w:hAnsi="Arial" w:cs="Arial"/>
          <w:i/>
          <w:iCs/>
          <w:lang w:val="sr-Latn-ME"/>
        </w:rPr>
        <w:t xml:space="preserve"> </w:t>
      </w:r>
      <w:r w:rsidRPr="001302F9">
        <w:rPr>
          <w:rFonts w:ascii="Arial" w:hAnsi="Arial" w:cs="Arial"/>
          <w:i/>
          <w:iCs/>
          <w:lang w:val="sr-Latn-ME"/>
        </w:rPr>
        <w:t>AFCOS</w:t>
      </w:r>
      <w:r w:rsidRPr="001302F9">
        <w:rPr>
          <w:rFonts w:ascii="Arial" w:hAnsi="Arial" w:cs="Arial"/>
          <w:lang w:val="sr-Latn-ME"/>
        </w:rPr>
        <w:t xml:space="preserve"> </w:t>
      </w:r>
      <w:r w:rsidR="00D23BC2" w:rsidRPr="001302F9">
        <w:rPr>
          <w:rFonts w:ascii="Arial" w:hAnsi="Arial" w:cs="Arial"/>
          <w:lang w:val="sr-Latn-ME"/>
        </w:rPr>
        <w:t xml:space="preserve">sistema </w:t>
      </w:r>
      <w:r w:rsidRPr="001302F9">
        <w:rPr>
          <w:rFonts w:ascii="Arial" w:hAnsi="Arial" w:cs="Arial"/>
          <w:lang w:val="sr-Latn-ME"/>
        </w:rPr>
        <w:t>i javnosti,</w:t>
      </w:r>
    </w:p>
    <w:p w:rsidR="00D960ED" w:rsidRPr="001302F9" w:rsidRDefault="00D960ED" w:rsidP="009B6B3B">
      <w:pPr>
        <w:numPr>
          <w:ilvl w:val="0"/>
          <w:numId w:val="14"/>
        </w:numPr>
        <w:spacing w:before="100" w:beforeAutospacing="1" w:after="100" w:afterAutospacing="1" w:line="240" w:lineRule="auto"/>
        <w:jc w:val="both"/>
        <w:outlineLvl w:val="2"/>
        <w:rPr>
          <w:rFonts w:ascii="Arial" w:hAnsi="Arial" w:cs="Arial"/>
          <w:lang w:val="sr-Latn-ME"/>
        </w:rPr>
      </w:pPr>
      <w:r w:rsidRPr="001302F9">
        <w:rPr>
          <w:rFonts w:ascii="Arial" w:hAnsi="Arial" w:cs="Arial"/>
          <w:lang w:val="sr-Latn-ME"/>
        </w:rPr>
        <w:t>sprovođenje obuka za jačanje kapaciteta relevantnih institucija.</w:t>
      </w:r>
    </w:p>
    <w:p w:rsidR="00D960ED" w:rsidRPr="001302F9" w:rsidRDefault="00D960ED" w:rsidP="00D23BC2">
      <w:pPr>
        <w:spacing w:before="100" w:beforeAutospacing="1" w:after="100" w:afterAutospacing="1" w:line="240" w:lineRule="auto"/>
        <w:jc w:val="both"/>
        <w:outlineLvl w:val="2"/>
        <w:rPr>
          <w:rFonts w:ascii="Arial" w:hAnsi="Arial" w:cs="Arial"/>
          <w:lang w:val="sr-Latn-ME"/>
        </w:rPr>
      </w:pPr>
      <w:r w:rsidRPr="001302F9">
        <w:rPr>
          <w:rFonts w:ascii="Arial" w:hAnsi="Arial" w:cs="Arial"/>
          <w:lang w:val="sr-Latn-ME"/>
        </w:rPr>
        <w:t>Nov</w:t>
      </w:r>
      <w:r w:rsidR="00D23BC2" w:rsidRPr="001302F9">
        <w:rPr>
          <w:rFonts w:ascii="Arial" w:hAnsi="Arial" w:cs="Arial"/>
          <w:lang w:val="sr-Latn-ME"/>
        </w:rPr>
        <w:t xml:space="preserve">a Strategija će </w:t>
      </w:r>
      <w:r w:rsidRPr="001302F9">
        <w:rPr>
          <w:rFonts w:ascii="Arial" w:hAnsi="Arial" w:cs="Arial"/>
          <w:lang w:val="sr-Latn-ME"/>
        </w:rPr>
        <w:t>ima</w:t>
      </w:r>
      <w:r w:rsidR="00D23BC2" w:rsidRPr="001302F9">
        <w:rPr>
          <w:rFonts w:ascii="Arial" w:hAnsi="Arial" w:cs="Arial"/>
          <w:lang w:val="sr-Latn-ME"/>
        </w:rPr>
        <w:t>ti</w:t>
      </w:r>
      <w:r w:rsidRPr="001302F9">
        <w:rPr>
          <w:rFonts w:ascii="Arial" w:hAnsi="Arial" w:cs="Arial"/>
          <w:lang w:val="sr-Latn-ME"/>
        </w:rPr>
        <w:t xml:space="preserve"> sinergiju sa svim aktivnostima definisanim u </w:t>
      </w:r>
      <w:r w:rsidRPr="001302F9">
        <w:rPr>
          <w:rFonts w:ascii="Arial" w:hAnsi="Arial" w:cs="Arial"/>
          <w:i/>
          <w:iCs/>
          <w:lang w:val="sr-Latn-ME"/>
        </w:rPr>
        <w:t>Programu reforme upravljanja javnim finansijama 2022–2026</w:t>
      </w:r>
      <w:r w:rsidRPr="001302F9">
        <w:rPr>
          <w:rFonts w:ascii="Arial" w:hAnsi="Arial" w:cs="Arial"/>
          <w:lang w:val="sr-Latn-ME"/>
        </w:rPr>
        <w:t xml:space="preserve">, u okviru oblasti </w:t>
      </w:r>
      <w:r w:rsidRPr="001302F9">
        <w:rPr>
          <w:rFonts w:ascii="Arial" w:hAnsi="Arial" w:cs="Arial"/>
          <w:b/>
          <w:bCs/>
          <w:lang w:val="sr-Latn-ME"/>
        </w:rPr>
        <w:t>"Koordinacija borbe protiv prevara (AFCOS)."</w:t>
      </w:r>
    </w:p>
    <w:p w:rsidR="00D960ED" w:rsidRPr="001302F9" w:rsidRDefault="00D960ED" w:rsidP="00D23BC2">
      <w:pPr>
        <w:spacing w:before="100" w:beforeAutospacing="1" w:after="100" w:afterAutospacing="1" w:line="240" w:lineRule="auto"/>
        <w:jc w:val="both"/>
        <w:outlineLvl w:val="2"/>
        <w:rPr>
          <w:rFonts w:ascii="Arial" w:hAnsi="Arial" w:cs="Arial"/>
          <w:b/>
          <w:bCs/>
          <w:lang w:val="sr-Latn-ME"/>
        </w:rPr>
      </w:pPr>
      <w:r w:rsidRPr="001302F9">
        <w:rPr>
          <w:rFonts w:ascii="Arial" w:hAnsi="Arial" w:cs="Arial"/>
          <w:b/>
          <w:bCs/>
          <w:lang w:val="sr-Latn-ME"/>
        </w:rPr>
        <w:t>Fiskalna strategija Crne Gore za period 2024–2027</w:t>
      </w:r>
    </w:p>
    <w:p w:rsidR="00D960ED" w:rsidRPr="001302F9" w:rsidRDefault="00D960ED" w:rsidP="00D23BC2">
      <w:pPr>
        <w:spacing w:before="100" w:beforeAutospacing="1" w:after="100" w:afterAutospacing="1" w:line="240" w:lineRule="auto"/>
        <w:jc w:val="both"/>
        <w:outlineLvl w:val="2"/>
        <w:rPr>
          <w:rFonts w:ascii="Arial" w:hAnsi="Arial" w:cs="Arial"/>
          <w:lang w:val="sr-Latn-ME"/>
        </w:rPr>
      </w:pPr>
      <w:r w:rsidRPr="001302F9">
        <w:rPr>
          <w:rFonts w:ascii="Arial" w:hAnsi="Arial" w:cs="Arial"/>
          <w:i/>
          <w:iCs/>
          <w:lang w:val="sr-Latn-ME"/>
        </w:rPr>
        <w:t>Fiskalna strategija Crne Gore za period 2024–2027</w:t>
      </w:r>
      <w:r w:rsidRPr="001302F9">
        <w:rPr>
          <w:rFonts w:ascii="Arial" w:hAnsi="Arial" w:cs="Arial"/>
          <w:lang w:val="sr-Latn-ME"/>
        </w:rPr>
        <w:t xml:space="preserve"> predviđa formiranje </w:t>
      </w:r>
      <w:r w:rsidRPr="001302F9">
        <w:rPr>
          <w:rFonts w:ascii="Arial" w:hAnsi="Arial" w:cs="Arial"/>
          <w:b/>
          <w:bCs/>
          <w:lang w:val="sr-Latn-ME"/>
        </w:rPr>
        <w:t>finansijske policije</w:t>
      </w:r>
      <w:r w:rsidRPr="001302F9">
        <w:rPr>
          <w:rFonts w:ascii="Arial" w:hAnsi="Arial" w:cs="Arial"/>
          <w:lang w:val="sr-Latn-ME"/>
        </w:rPr>
        <w:t xml:space="preserve">. Kako bi se stvorilo povoljnije poslovno okruženje kroz prevenciju ilegalnog poslovanja i suzbijanje korupcije, </w:t>
      </w:r>
      <w:r w:rsidRPr="001302F9">
        <w:rPr>
          <w:rFonts w:ascii="Arial" w:hAnsi="Arial" w:cs="Arial"/>
          <w:i/>
          <w:iCs/>
          <w:lang w:val="sr-Latn-ME"/>
        </w:rPr>
        <w:t>Ministarstvo finansija</w:t>
      </w:r>
      <w:r w:rsidRPr="001302F9">
        <w:rPr>
          <w:rFonts w:ascii="Arial" w:hAnsi="Arial" w:cs="Arial"/>
          <w:lang w:val="sr-Latn-ME"/>
        </w:rPr>
        <w:t xml:space="preserve"> će predložiti zakonsko rješenje koje će omogućiti formalne preduslove za osnivanje finansijske policije.</w:t>
      </w:r>
    </w:p>
    <w:p w:rsidR="00D960ED" w:rsidRPr="001302F9" w:rsidRDefault="00D960ED" w:rsidP="00D23BC2">
      <w:pPr>
        <w:spacing w:before="100" w:beforeAutospacing="1" w:after="100" w:afterAutospacing="1" w:line="240" w:lineRule="auto"/>
        <w:jc w:val="both"/>
        <w:outlineLvl w:val="2"/>
        <w:rPr>
          <w:rFonts w:ascii="Arial" w:hAnsi="Arial" w:cs="Arial"/>
          <w:lang w:val="sr-Latn-ME"/>
        </w:rPr>
      </w:pPr>
      <w:r w:rsidRPr="001302F9">
        <w:rPr>
          <w:rFonts w:ascii="Arial" w:hAnsi="Arial" w:cs="Arial"/>
          <w:lang w:val="sr-Latn-ME"/>
        </w:rPr>
        <w:t>S obzirom na trenutnu decentralizaciju institucija nadležnih za kontrolu u ovoj oblasti, Vlada Crne Gore smatra da bi osnivanjem finansijske policije ovaj organ mogao efikasnije suzbijati korupciju na najvišem nivou, kao i sve oblike finansijskih malverzacija.</w:t>
      </w:r>
    </w:p>
    <w:p w:rsidR="00D960ED" w:rsidRPr="001302F9" w:rsidRDefault="00D960ED" w:rsidP="00D23BC2">
      <w:pPr>
        <w:spacing w:before="100" w:beforeAutospacing="1" w:after="100" w:afterAutospacing="1" w:line="240" w:lineRule="auto"/>
        <w:jc w:val="both"/>
        <w:outlineLvl w:val="2"/>
        <w:rPr>
          <w:rFonts w:ascii="Arial" w:hAnsi="Arial" w:cs="Arial"/>
          <w:lang w:val="sr-Latn-ME"/>
        </w:rPr>
      </w:pPr>
      <w:r w:rsidRPr="001302F9">
        <w:rPr>
          <w:rFonts w:ascii="Arial" w:hAnsi="Arial" w:cs="Arial"/>
          <w:lang w:val="sr-Latn-ME"/>
        </w:rPr>
        <w:t xml:space="preserve">Uzimajući u obzir činjenicu da u mnogim državama članicama EU finansijska policija ima nadležnost za istrage prevara koje ugrožavaju finansijske interese EU, neophodno je da se saradnja između </w:t>
      </w:r>
      <w:r w:rsidRPr="001302F9">
        <w:rPr>
          <w:rFonts w:ascii="Arial" w:hAnsi="Arial" w:cs="Arial"/>
          <w:i/>
          <w:iCs/>
          <w:lang w:val="sr-Latn-ME"/>
        </w:rPr>
        <w:t>AFCOS-a</w:t>
      </w:r>
      <w:r w:rsidRPr="001302F9">
        <w:rPr>
          <w:rFonts w:ascii="Arial" w:hAnsi="Arial" w:cs="Arial"/>
          <w:lang w:val="sr-Latn-ME"/>
        </w:rPr>
        <w:t xml:space="preserve"> i finansijske policije uspostavi već tokom njenog formiranja i izrade pravnih akata koji će regulisati njeno funkcionisanje.</w:t>
      </w:r>
    </w:p>
    <w:p w:rsidR="000E2D8E" w:rsidRPr="001302F9" w:rsidRDefault="000E2D8E" w:rsidP="00D23BC2">
      <w:pPr>
        <w:spacing w:before="100" w:beforeAutospacing="1" w:after="100" w:afterAutospacing="1" w:line="240" w:lineRule="auto"/>
        <w:jc w:val="both"/>
        <w:outlineLvl w:val="2"/>
        <w:rPr>
          <w:rFonts w:ascii="Arial" w:eastAsia="Times New Roman" w:hAnsi="Arial" w:cs="Arial"/>
          <w:b/>
          <w:bCs/>
          <w:lang w:val="sr-Latn-ME" w:eastAsia="sr-Latn-ME"/>
        </w:rPr>
      </w:pPr>
      <w:r w:rsidRPr="001302F9">
        <w:rPr>
          <w:rFonts w:ascii="Arial" w:eastAsia="Times New Roman" w:hAnsi="Arial" w:cs="Arial"/>
          <w:b/>
          <w:bCs/>
          <w:lang w:val="sr-Latn-ME" w:eastAsia="sr-Latn-ME"/>
        </w:rPr>
        <w:t>Strategija borbe protiv korupcije 2024–2028</w:t>
      </w:r>
    </w:p>
    <w:p w:rsidR="000E2D8E" w:rsidRPr="001302F9" w:rsidRDefault="000E2D8E" w:rsidP="00D23BC2">
      <w:pPr>
        <w:spacing w:before="100" w:beforeAutospacing="1" w:after="100" w:afterAutospacing="1" w:line="240" w:lineRule="auto"/>
        <w:jc w:val="both"/>
        <w:outlineLvl w:val="2"/>
        <w:rPr>
          <w:rFonts w:ascii="Arial" w:eastAsia="Times New Roman" w:hAnsi="Arial" w:cs="Arial"/>
          <w:bCs/>
          <w:lang w:val="sr-Latn-ME" w:eastAsia="sr-Latn-ME"/>
        </w:rPr>
      </w:pPr>
      <w:r w:rsidRPr="001302F9">
        <w:rPr>
          <w:rFonts w:ascii="Arial" w:eastAsia="Times New Roman" w:hAnsi="Arial" w:cs="Arial"/>
          <w:bCs/>
          <w:lang w:val="sr-Latn-ME" w:eastAsia="sr-Latn-ME"/>
        </w:rPr>
        <w:t xml:space="preserve">U skladu sa </w:t>
      </w:r>
      <w:r w:rsidRPr="001302F9">
        <w:rPr>
          <w:rFonts w:ascii="Arial" w:eastAsia="Times New Roman" w:hAnsi="Arial" w:cs="Arial"/>
          <w:bCs/>
          <w:i/>
          <w:iCs/>
          <w:lang w:val="sr-Latn-ME" w:eastAsia="sr-Latn-ME"/>
        </w:rPr>
        <w:t>PIF Direktivom</w:t>
      </w:r>
      <w:r w:rsidRPr="001302F9">
        <w:rPr>
          <w:rFonts w:ascii="Arial" w:eastAsia="Times New Roman" w:hAnsi="Arial" w:cs="Arial"/>
          <w:bCs/>
          <w:lang w:val="sr-Latn-ME" w:eastAsia="sr-Latn-ME"/>
        </w:rPr>
        <w:t xml:space="preserve">, korupcija se smatra oblikom prevare koja utiče na finansijske interese EU, zbog čega se </w:t>
      </w:r>
      <w:r w:rsidRPr="001302F9">
        <w:rPr>
          <w:rFonts w:ascii="Arial" w:eastAsia="Times New Roman" w:hAnsi="Arial" w:cs="Arial"/>
          <w:bCs/>
          <w:i/>
          <w:iCs/>
          <w:lang w:val="sr-Latn-ME" w:eastAsia="sr-Latn-ME"/>
        </w:rPr>
        <w:t>Strategija borbe protiv korupcije 2024–2028</w:t>
      </w:r>
      <w:r w:rsidRPr="001302F9">
        <w:rPr>
          <w:rFonts w:ascii="Arial" w:eastAsia="Times New Roman" w:hAnsi="Arial" w:cs="Arial"/>
          <w:bCs/>
          <w:lang w:val="sr-Latn-ME" w:eastAsia="sr-Latn-ME"/>
        </w:rPr>
        <w:t xml:space="preserve"> posmatra kao dopuna novoj </w:t>
      </w:r>
      <w:r w:rsidR="00D23BC2" w:rsidRPr="001302F9">
        <w:rPr>
          <w:rFonts w:ascii="Arial" w:eastAsia="Times New Roman" w:hAnsi="Arial" w:cs="Arial"/>
          <w:bCs/>
          <w:lang w:val="sr-Latn-ME" w:eastAsia="sr-Latn-ME"/>
        </w:rPr>
        <w:t>S</w:t>
      </w:r>
      <w:r w:rsidRPr="001302F9">
        <w:rPr>
          <w:rFonts w:ascii="Arial" w:eastAsia="Times New Roman" w:hAnsi="Arial" w:cs="Arial"/>
          <w:bCs/>
          <w:lang w:val="sr-Latn-ME" w:eastAsia="sr-Latn-ME"/>
        </w:rPr>
        <w:t>trategiji. Osigurano je da se ove dvije strategije ne preklapaju, već da djeluju u istom pravcu i međusobno se nadopunjuju.</w:t>
      </w:r>
    </w:p>
    <w:p w:rsidR="000E2D8E" w:rsidRPr="001302F9" w:rsidRDefault="000E2D8E" w:rsidP="00D23BC2">
      <w:pPr>
        <w:spacing w:before="100" w:beforeAutospacing="1" w:after="100" w:afterAutospacing="1" w:line="240" w:lineRule="auto"/>
        <w:jc w:val="both"/>
        <w:outlineLvl w:val="2"/>
        <w:rPr>
          <w:rFonts w:ascii="Arial" w:eastAsia="Times New Roman" w:hAnsi="Arial" w:cs="Arial"/>
          <w:bCs/>
          <w:lang w:val="sr-Latn-ME" w:eastAsia="sr-Latn-ME"/>
        </w:rPr>
      </w:pPr>
      <w:r w:rsidRPr="001302F9">
        <w:rPr>
          <w:rFonts w:ascii="Arial" w:eastAsia="Times New Roman" w:hAnsi="Arial" w:cs="Arial"/>
          <w:bCs/>
          <w:i/>
          <w:iCs/>
          <w:lang w:val="sr-Latn-ME" w:eastAsia="sr-Latn-ME"/>
        </w:rPr>
        <w:t>Strategija borbe protiv korupcije</w:t>
      </w:r>
      <w:r w:rsidRPr="001302F9">
        <w:rPr>
          <w:rFonts w:ascii="Arial" w:eastAsia="Times New Roman" w:hAnsi="Arial" w:cs="Arial"/>
          <w:bCs/>
          <w:lang w:val="sr-Latn-ME" w:eastAsia="sr-Latn-ME"/>
        </w:rPr>
        <w:t xml:space="preserve"> definiše:</w:t>
      </w:r>
    </w:p>
    <w:p w:rsidR="000E2D8E" w:rsidRPr="001302F9" w:rsidRDefault="000E2D8E" w:rsidP="009B6B3B">
      <w:pPr>
        <w:numPr>
          <w:ilvl w:val="0"/>
          <w:numId w:val="15"/>
        </w:numPr>
        <w:spacing w:before="100" w:beforeAutospacing="1" w:after="100" w:afterAutospacing="1" w:line="240" w:lineRule="auto"/>
        <w:jc w:val="both"/>
        <w:outlineLvl w:val="2"/>
        <w:rPr>
          <w:rFonts w:ascii="Arial" w:eastAsia="Times New Roman" w:hAnsi="Arial" w:cs="Arial"/>
          <w:bCs/>
          <w:lang w:val="sr-Latn-ME" w:eastAsia="sr-Latn-ME"/>
        </w:rPr>
      </w:pPr>
      <w:r w:rsidRPr="001302F9">
        <w:rPr>
          <w:rFonts w:ascii="Arial" w:eastAsia="Times New Roman" w:hAnsi="Arial" w:cs="Arial"/>
          <w:bCs/>
          <w:lang w:val="sr-Latn-ME" w:eastAsia="sr-Latn-ME"/>
        </w:rPr>
        <w:t>strateške pravce i ciljeve u borbi protiv korupcije,</w:t>
      </w:r>
    </w:p>
    <w:p w:rsidR="000E2D8E" w:rsidRPr="001302F9" w:rsidRDefault="000E2D8E" w:rsidP="009B6B3B">
      <w:pPr>
        <w:numPr>
          <w:ilvl w:val="0"/>
          <w:numId w:val="15"/>
        </w:numPr>
        <w:spacing w:before="100" w:beforeAutospacing="1" w:after="100" w:afterAutospacing="1" w:line="240" w:lineRule="auto"/>
        <w:jc w:val="both"/>
        <w:outlineLvl w:val="2"/>
        <w:rPr>
          <w:rFonts w:ascii="Arial" w:eastAsia="Times New Roman" w:hAnsi="Arial" w:cs="Arial"/>
          <w:bCs/>
          <w:lang w:val="sr-Latn-ME" w:eastAsia="sr-Latn-ME"/>
        </w:rPr>
      </w:pPr>
      <w:r w:rsidRPr="001302F9">
        <w:rPr>
          <w:rFonts w:ascii="Arial" w:eastAsia="Times New Roman" w:hAnsi="Arial" w:cs="Arial"/>
          <w:bCs/>
          <w:lang w:val="sr-Latn-ME" w:eastAsia="sr-Latn-ME"/>
        </w:rPr>
        <w:t>prioritetne mjere za uspostavljanje efikasnog sistema za suzbijanje korupcije u javnom i privatnom sektoru,</w:t>
      </w:r>
    </w:p>
    <w:p w:rsidR="000E2D8E" w:rsidRPr="001302F9" w:rsidRDefault="000E2D8E" w:rsidP="009B6B3B">
      <w:pPr>
        <w:numPr>
          <w:ilvl w:val="0"/>
          <w:numId w:val="15"/>
        </w:numPr>
        <w:spacing w:before="100" w:beforeAutospacing="1" w:after="100" w:afterAutospacing="1" w:line="240" w:lineRule="auto"/>
        <w:jc w:val="both"/>
        <w:outlineLvl w:val="2"/>
        <w:rPr>
          <w:rFonts w:ascii="Arial" w:eastAsia="Times New Roman" w:hAnsi="Arial" w:cs="Arial"/>
          <w:bCs/>
          <w:lang w:val="sr-Latn-ME" w:eastAsia="sr-Latn-ME"/>
        </w:rPr>
      </w:pPr>
      <w:r w:rsidRPr="001302F9">
        <w:rPr>
          <w:rFonts w:ascii="Arial" w:eastAsia="Times New Roman" w:hAnsi="Arial" w:cs="Arial"/>
          <w:bCs/>
          <w:lang w:val="sr-Latn-ME" w:eastAsia="sr-Latn-ME"/>
        </w:rPr>
        <w:t>uloge i odgovornosti svih subjekata, čime se postavlja osnova za razvoj održivog sistema za praćenje i procjenu nacionalnog odgovora na korupciju.</w:t>
      </w:r>
    </w:p>
    <w:p w:rsidR="000E2D8E" w:rsidRPr="001302F9" w:rsidRDefault="00D23BC2" w:rsidP="002D662C">
      <w:pPr>
        <w:spacing w:before="100" w:beforeAutospacing="1" w:after="100" w:afterAutospacing="1" w:line="240" w:lineRule="auto"/>
        <w:jc w:val="both"/>
        <w:outlineLvl w:val="2"/>
        <w:rPr>
          <w:rFonts w:ascii="Arial" w:eastAsia="Times New Roman" w:hAnsi="Arial" w:cs="Arial"/>
          <w:bCs/>
          <w:lang w:val="sr-Latn-ME" w:eastAsia="sr-Latn-ME"/>
        </w:rPr>
      </w:pPr>
      <w:r w:rsidRPr="001302F9">
        <w:rPr>
          <w:rFonts w:ascii="Arial" w:eastAsia="Times New Roman" w:hAnsi="Arial" w:cs="Arial"/>
          <w:bCs/>
          <w:lang w:val="sr-Latn-ME" w:eastAsia="sr-Latn-ME"/>
        </w:rPr>
        <w:t xml:space="preserve">Takođe, </w:t>
      </w:r>
      <w:r w:rsidR="000E2D8E" w:rsidRPr="001302F9">
        <w:rPr>
          <w:rFonts w:ascii="Arial" w:eastAsia="Times New Roman" w:hAnsi="Arial" w:cs="Arial"/>
          <w:bCs/>
          <w:lang w:val="sr-Latn-ME" w:eastAsia="sr-Latn-ME"/>
        </w:rPr>
        <w:t xml:space="preserve">Strategija </w:t>
      </w:r>
      <w:r w:rsidRPr="001302F9">
        <w:rPr>
          <w:rFonts w:ascii="Arial" w:eastAsia="Times New Roman" w:hAnsi="Arial" w:cs="Arial"/>
          <w:bCs/>
          <w:lang w:val="sr-Latn-ME" w:eastAsia="sr-Latn-ME"/>
        </w:rPr>
        <w:t xml:space="preserve">borbe protiv korupcije 2024–2028 </w:t>
      </w:r>
      <w:r w:rsidR="000E2D8E" w:rsidRPr="001302F9">
        <w:rPr>
          <w:rFonts w:ascii="Arial" w:eastAsia="Times New Roman" w:hAnsi="Arial" w:cs="Arial"/>
          <w:bCs/>
          <w:lang w:val="sr-Latn-ME" w:eastAsia="sr-Latn-ME"/>
        </w:rPr>
        <w:t>se zasniva na tri ključna elementa:</w:t>
      </w:r>
    </w:p>
    <w:p w:rsidR="000E2D8E" w:rsidRPr="001302F9" w:rsidRDefault="000E2D8E" w:rsidP="009B6B3B">
      <w:pPr>
        <w:numPr>
          <w:ilvl w:val="0"/>
          <w:numId w:val="16"/>
        </w:numPr>
        <w:spacing w:before="100" w:beforeAutospacing="1" w:after="100" w:afterAutospacing="1" w:line="240" w:lineRule="auto"/>
        <w:jc w:val="both"/>
        <w:outlineLvl w:val="2"/>
        <w:rPr>
          <w:rFonts w:ascii="Arial" w:eastAsia="Times New Roman" w:hAnsi="Arial" w:cs="Arial"/>
          <w:bCs/>
          <w:lang w:val="sr-Latn-ME" w:eastAsia="sr-Latn-ME"/>
        </w:rPr>
      </w:pPr>
      <w:r w:rsidRPr="001302F9">
        <w:rPr>
          <w:rFonts w:ascii="Arial" w:eastAsia="Times New Roman" w:hAnsi="Arial" w:cs="Arial"/>
          <w:bCs/>
          <w:lang w:val="sr-Latn-ME" w:eastAsia="sr-Latn-ME"/>
        </w:rPr>
        <w:t>Efikasna primjena antikorupcijskih propisa</w:t>
      </w:r>
    </w:p>
    <w:p w:rsidR="000E2D8E" w:rsidRPr="001302F9" w:rsidRDefault="000E2D8E" w:rsidP="009B6B3B">
      <w:pPr>
        <w:numPr>
          <w:ilvl w:val="0"/>
          <w:numId w:val="16"/>
        </w:numPr>
        <w:spacing w:before="100" w:beforeAutospacing="1" w:after="100" w:afterAutospacing="1" w:line="240" w:lineRule="auto"/>
        <w:jc w:val="both"/>
        <w:outlineLvl w:val="2"/>
        <w:rPr>
          <w:rFonts w:ascii="Arial" w:eastAsia="Times New Roman" w:hAnsi="Arial" w:cs="Arial"/>
          <w:bCs/>
          <w:lang w:val="sr-Latn-ME" w:eastAsia="sr-Latn-ME"/>
        </w:rPr>
      </w:pPr>
      <w:r w:rsidRPr="001302F9">
        <w:rPr>
          <w:rFonts w:ascii="Arial" w:eastAsia="Times New Roman" w:hAnsi="Arial" w:cs="Arial"/>
          <w:bCs/>
          <w:lang w:val="sr-Latn-ME" w:eastAsia="sr-Latn-ME"/>
        </w:rPr>
        <w:t>Prevencija, odnosno uklanjanje uslova koji omogućavaju nastanak i razvoj korupcije</w:t>
      </w:r>
    </w:p>
    <w:p w:rsidR="000E2D8E" w:rsidRPr="001302F9" w:rsidRDefault="000E2D8E" w:rsidP="009B6B3B">
      <w:pPr>
        <w:numPr>
          <w:ilvl w:val="0"/>
          <w:numId w:val="16"/>
        </w:numPr>
        <w:spacing w:before="100" w:beforeAutospacing="1" w:after="100" w:afterAutospacing="1" w:line="240" w:lineRule="auto"/>
        <w:jc w:val="both"/>
        <w:outlineLvl w:val="2"/>
        <w:rPr>
          <w:rFonts w:ascii="Arial" w:eastAsia="Times New Roman" w:hAnsi="Arial" w:cs="Arial"/>
          <w:bCs/>
          <w:lang w:val="sr-Latn-ME" w:eastAsia="sr-Latn-ME"/>
        </w:rPr>
      </w:pPr>
      <w:r w:rsidRPr="001302F9">
        <w:rPr>
          <w:rFonts w:ascii="Arial" w:eastAsia="Times New Roman" w:hAnsi="Arial" w:cs="Arial"/>
          <w:bCs/>
          <w:lang w:val="sr-Latn-ME" w:eastAsia="sr-Latn-ME"/>
        </w:rPr>
        <w:t>Podizanje svijesti i edukacija javnosti radi jačanja podrške za sprovođenje strategije</w:t>
      </w:r>
    </w:p>
    <w:p w:rsidR="000E2D8E" w:rsidRPr="001302F9" w:rsidRDefault="000E2D8E" w:rsidP="002D662C">
      <w:pPr>
        <w:spacing w:before="100" w:beforeAutospacing="1" w:after="100" w:afterAutospacing="1" w:line="240" w:lineRule="auto"/>
        <w:jc w:val="both"/>
        <w:outlineLvl w:val="2"/>
        <w:rPr>
          <w:rFonts w:ascii="Arial" w:eastAsia="Times New Roman" w:hAnsi="Arial" w:cs="Arial"/>
          <w:b/>
          <w:bCs/>
          <w:lang w:val="sr-Latn-ME" w:eastAsia="sr-Latn-ME"/>
        </w:rPr>
      </w:pPr>
      <w:r w:rsidRPr="001302F9">
        <w:rPr>
          <w:rFonts w:ascii="Arial" w:eastAsia="Times New Roman" w:hAnsi="Arial" w:cs="Arial"/>
          <w:b/>
          <w:bCs/>
          <w:lang w:val="sr-Latn-ME" w:eastAsia="sr-Latn-ME"/>
        </w:rPr>
        <w:t>Strategija za prevenciju i suzbijanje terorizma, pranja novca i finansiranja terorizma 2022–2025</w:t>
      </w:r>
    </w:p>
    <w:p w:rsidR="000E2D8E" w:rsidRPr="001302F9" w:rsidRDefault="000E2D8E" w:rsidP="002D662C">
      <w:pPr>
        <w:spacing w:before="100" w:beforeAutospacing="1" w:after="100" w:afterAutospacing="1" w:line="240" w:lineRule="auto"/>
        <w:jc w:val="both"/>
        <w:outlineLvl w:val="2"/>
        <w:rPr>
          <w:rFonts w:ascii="Arial" w:eastAsia="Times New Roman" w:hAnsi="Arial" w:cs="Arial"/>
          <w:bCs/>
          <w:lang w:val="sr-Latn-ME" w:eastAsia="sr-Latn-ME"/>
        </w:rPr>
      </w:pPr>
      <w:r w:rsidRPr="001302F9">
        <w:rPr>
          <w:rFonts w:ascii="Arial" w:eastAsia="Times New Roman" w:hAnsi="Arial" w:cs="Arial"/>
          <w:bCs/>
          <w:lang w:val="sr-Latn-ME" w:eastAsia="sr-Latn-ME"/>
        </w:rPr>
        <w:t>Ova strategija ističe da su pranje novca i terorizam oblici organizovanog kriminala sa međunarodnim karakterom. Jedan od njenih ključnih operativnih ciljeva je: "Unaprijediti profesionalni razvoj i ojačati institucije radi povećanja saradnje i efikasnosti organa za sprovođenje zakona."</w:t>
      </w:r>
    </w:p>
    <w:p w:rsidR="000E2D8E" w:rsidRPr="001302F9" w:rsidRDefault="000E2D8E" w:rsidP="002D662C">
      <w:pPr>
        <w:spacing w:before="100" w:beforeAutospacing="1" w:after="100" w:afterAutospacing="1" w:line="240" w:lineRule="auto"/>
        <w:jc w:val="both"/>
        <w:outlineLvl w:val="2"/>
        <w:rPr>
          <w:rFonts w:ascii="Arial" w:eastAsia="Times New Roman" w:hAnsi="Arial" w:cs="Arial"/>
          <w:bCs/>
          <w:lang w:val="sr-Latn-ME" w:eastAsia="sr-Latn-ME"/>
        </w:rPr>
      </w:pPr>
      <w:r w:rsidRPr="001302F9">
        <w:rPr>
          <w:rFonts w:ascii="Arial" w:eastAsia="Times New Roman" w:hAnsi="Arial" w:cs="Arial"/>
          <w:bCs/>
          <w:lang w:val="sr-Latn-ME" w:eastAsia="sr-Latn-ME"/>
        </w:rPr>
        <w:t xml:space="preserve">S obzirom na to da su organi za sprovođenje zakona ključni dio </w:t>
      </w:r>
      <w:r w:rsidRPr="001302F9">
        <w:rPr>
          <w:rFonts w:ascii="Arial" w:eastAsia="Times New Roman" w:hAnsi="Arial" w:cs="Arial"/>
          <w:bCs/>
          <w:i/>
          <w:iCs/>
          <w:lang w:val="sr-Latn-ME" w:eastAsia="sr-Latn-ME"/>
        </w:rPr>
        <w:t>AFCOS</w:t>
      </w:r>
      <w:r w:rsidRPr="001302F9">
        <w:rPr>
          <w:rFonts w:ascii="Arial" w:eastAsia="Times New Roman" w:hAnsi="Arial" w:cs="Arial"/>
          <w:bCs/>
          <w:lang w:val="sr-Latn-ME" w:eastAsia="sr-Latn-ME"/>
        </w:rPr>
        <w:t xml:space="preserve"> sistema, sprovođenje ove strategije imaće pozitivan efekat na implementaciju nove </w:t>
      </w:r>
      <w:r w:rsidR="00D23BC2" w:rsidRPr="001302F9">
        <w:rPr>
          <w:rFonts w:ascii="Arial" w:eastAsia="Times New Roman" w:hAnsi="Arial" w:cs="Arial"/>
          <w:bCs/>
          <w:iCs/>
          <w:lang w:val="sr-Latn-ME" w:eastAsia="sr-Latn-ME"/>
        </w:rPr>
        <w:t>S</w:t>
      </w:r>
      <w:r w:rsidRPr="001302F9">
        <w:rPr>
          <w:rFonts w:ascii="Arial" w:eastAsia="Times New Roman" w:hAnsi="Arial" w:cs="Arial"/>
          <w:bCs/>
          <w:lang w:val="sr-Latn-ME" w:eastAsia="sr-Latn-ME"/>
        </w:rPr>
        <w:t>trategije. Takođe, budući da je pranje novca jedno od krivičnih djela koja mogu ugroziti finansijske interese EU, očekuje se da će postojati brojne sinergije između ove dvije strategije.</w:t>
      </w:r>
    </w:p>
    <w:p w:rsidR="003D2547" w:rsidRPr="001302F9" w:rsidRDefault="00A6693A" w:rsidP="00A6693A">
      <w:pPr>
        <w:spacing w:before="100" w:beforeAutospacing="1" w:after="100" w:afterAutospacing="1" w:line="240" w:lineRule="auto"/>
        <w:outlineLvl w:val="2"/>
        <w:rPr>
          <w:rFonts w:ascii="Arial" w:eastAsia="Times New Roman" w:hAnsi="Arial" w:cs="Arial"/>
          <w:b/>
          <w:bCs/>
          <w:lang w:val="sr-Latn-ME" w:eastAsia="sr-Latn-ME"/>
        </w:rPr>
      </w:pPr>
      <w:r w:rsidRPr="001302F9">
        <w:rPr>
          <w:rFonts w:ascii="Arial" w:eastAsia="Times New Roman" w:hAnsi="Arial" w:cs="Arial"/>
          <w:b/>
          <w:bCs/>
          <w:lang w:val="sr-Latn-ME" w:eastAsia="sr-Latn-ME"/>
        </w:rPr>
        <w:t>1.3. Usklađenost sa obavezama iz pregovaračkog procesa između Crne Gore i Evropske unije</w:t>
      </w:r>
    </w:p>
    <w:p w:rsidR="003D2547" w:rsidRPr="001302F9" w:rsidRDefault="003D2547" w:rsidP="00BC2EFA">
      <w:pPr>
        <w:spacing w:before="100" w:beforeAutospacing="1" w:after="100" w:afterAutospacing="1" w:line="240" w:lineRule="auto"/>
        <w:jc w:val="both"/>
        <w:outlineLvl w:val="2"/>
        <w:rPr>
          <w:rFonts w:ascii="Arial" w:eastAsia="Times New Roman" w:hAnsi="Arial" w:cs="Arial"/>
          <w:b/>
          <w:bCs/>
          <w:lang w:val="sr-Latn-ME" w:eastAsia="sr-Latn-ME"/>
        </w:rPr>
      </w:pPr>
      <w:r w:rsidRPr="001302F9">
        <w:rPr>
          <w:rFonts w:ascii="Arial" w:eastAsia="Times New Roman" w:hAnsi="Arial" w:cs="Arial"/>
          <w:b/>
          <w:bCs/>
          <w:lang w:val="sr-Latn-ME" w:eastAsia="sr-Latn-ME"/>
        </w:rPr>
        <w:t>Izvještaj Evropske komisije za</w:t>
      </w:r>
      <w:r w:rsidR="00F1070B">
        <w:rPr>
          <w:rFonts w:ascii="Arial" w:eastAsia="Times New Roman" w:hAnsi="Arial" w:cs="Arial"/>
          <w:b/>
          <w:bCs/>
          <w:lang w:val="sr-Latn-ME" w:eastAsia="sr-Latn-ME"/>
        </w:rPr>
        <w:t xml:space="preserve"> 2023 i</w:t>
      </w:r>
      <w:r w:rsidRPr="001302F9">
        <w:rPr>
          <w:rFonts w:ascii="Arial" w:eastAsia="Times New Roman" w:hAnsi="Arial" w:cs="Arial"/>
          <w:b/>
          <w:bCs/>
          <w:lang w:val="sr-Latn-ME" w:eastAsia="sr-Latn-ME"/>
        </w:rPr>
        <w:t xml:space="preserve"> 202</w:t>
      </w:r>
      <w:r w:rsidR="00D942FE">
        <w:rPr>
          <w:rFonts w:ascii="Arial" w:eastAsia="Times New Roman" w:hAnsi="Arial" w:cs="Arial"/>
          <w:b/>
          <w:bCs/>
          <w:lang w:val="sr-Latn-ME" w:eastAsia="sr-Latn-ME"/>
        </w:rPr>
        <w:t>4</w:t>
      </w:r>
      <w:r w:rsidRPr="001302F9">
        <w:rPr>
          <w:rFonts w:ascii="Arial" w:eastAsia="Times New Roman" w:hAnsi="Arial" w:cs="Arial"/>
          <w:b/>
          <w:bCs/>
          <w:lang w:val="sr-Latn-ME" w:eastAsia="sr-Latn-ME"/>
        </w:rPr>
        <w:t>. godinu (</w:t>
      </w:r>
      <w:r w:rsidRPr="001302F9">
        <w:rPr>
          <w:rFonts w:ascii="Arial" w:eastAsia="Times New Roman" w:hAnsi="Arial" w:cs="Arial"/>
          <w:b/>
          <w:bCs/>
          <w:i/>
          <w:iCs/>
          <w:lang w:val="sr-Latn-ME" w:eastAsia="sr-Latn-ME"/>
        </w:rPr>
        <w:t>Montenegro 202</w:t>
      </w:r>
      <w:r w:rsidR="00F1070B">
        <w:rPr>
          <w:rFonts w:ascii="Arial" w:eastAsia="Times New Roman" w:hAnsi="Arial" w:cs="Arial"/>
          <w:b/>
          <w:bCs/>
          <w:i/>
          <w:iCs/>
          <w:lang w:val="sr-Latn-ME" w:eastAsia="sr-Latn-ME"/>
        </w:rPr>
        <w:t>3</w:t>
      </w:r>
      <w:r w:rsidRPr="001302F9">
        <w:rPr>
          <w:rFonts w:ascii="Arial" w:eastAsia="Times New Roman" w:hAnsi="Arial" w:cs="Arial"/>
          <w:b/>
          <w:bCs/>
          <w:i/>
          <w:iCs/>
          <w:lang w:val="sr-Latn-ME" w:eastAsia="sr-Latn-ME"/>
        </w:rPr>
        <w:t xml:space="preserve"> Report</w:t>
      </w:r>
      <w:r w:rsidR="00F1070B">
        <w:rPr>
          <w:rFonts w:ascii="Arial" w:eastAsia="Times New Roman" w:hAnsi="Arial" w:cs="Arial"/>
          <w:b/>
          <w:bCs/>
          <w:i/>
          <w:iCs/>
          <w:lang w:val="sr-Latn-ME" w:eastAsia="sr-Latn-ME"/>
        </w:rPr>
        <w:t>,</w:t>
      </w:r>
      <w:r w:rsidR="00F1070B" w:rsidRPr="00F1070B">
        <w:rPr>
          <w:rFonts w:ascii="Arial" w:eastAsia="Times New Roman" w:hAnsi="Arial" w:cs="Arial"/>
          <w:b/>
          <w:bCs/>
          <w:i/>
          <w:iCs/>
          <w:lang w:val="sr-Latn-ME" w:eastAsia="sr-Latn-ME"/>
        </w:rPr>
        <w:t xml:space="preserve"> Montenegro 202</w:t>
      </w:r>
      <w:r w:rsidR="00F1070B">
        <w:rPr>
          <w:rFonts w:ascii="Arial" w:eastAsia="Times New Roman" w:hAnsi="Arial" w:cs="Arial"/>
          <w:b/>
          <w:bCs/>
          <w:i/>
          <w:iCs/>
          <w:lang w:val="sr-Latn-ME" w:eastAsia="sr-Latn-ME"/>
        </w:rPr>
        <w:t>4</w:t>
      </w:r>
      <w:r w:rsidR="00F1070B" w:rsidRPr="00F1070B">
        <w:rPr>
          <w:rFonts w:ascii="Arial" w:eastAsia="Times New Roman" w:hAnsi="Arial" w:cs="Arial"/>
          <w:b/>
          <w:bCs/>
          <w:i/>
          <w:iCs/>
          <w:lang w:val="sr-Latn-ME" w:eastAsia="sr-Latn-ME"/>
        </w:rPr>
        <w:t xml:space="preserve"> Report</w:t>
      </w:r>
      <w:r w:rsidR="00F1070B">
        <w:rPr>
          <w:rFonts w:ascii="Arial" w:eastAsia="Times New Roman" w:hAnsi="Arial" w:cs="Arial"/>
          <w:b/>
          <w:bCs/>
          <w:i/>
          <w:iCs/>
          <w:lang w:val="sr-Latn-ME" w:eastAsia="sr-Latn-ME"/>
        </w:rPr>
        <w:t xml:space="preserve">  </w:t>
      </w:r>
      <w:r w:rsidRPr="001302F9">
        <w:rPr>
          <w:rFonts w:ascii="Arial" w:eastAsia="Times New Roman" w:hAnsi="Arial" w:cs="Arial"/>
          <w:b/>
          <w:bCs/>
          <w:lang w:val="sr-Latn-ME" w:eastAsia="sr-Latn-ME"/>
        </w:rPr>
        <w:t>)</w:t>
      </w:r>
    </w:p>
    <w:p w:rsidR="003D2547" w:rsidRPr="001302F9" w:rsidRDefault="003D2547" w:rsidP="00BC2EFA">
      <w:pPr>
        <w:spacing w:before="100" w:beforeAutospacing="1" w:after="100" w:afterAutospacing="1" w:line="240" w:lineRule="auto"/>
        <w:jc w:val="both"/>
        <w:rPr>
          <w:rFonts w:ascii="Arial" w:eastAsia="Times New Roman" w:hAnsi="Arial" w:cs="Arial"/>
          <w:lang w:val="sr-Latn-ME" w:eastAsia="sr-Latn-ME"/>
        </w:rPr>
      </w:pPr>
      <w:r w:rsidRPr="001302F9">
        <w:rPr>
          <w:rFonts w:ascii="Arial" w:eastAsia="Times New Roman" w:hAnsi="Arial" w:cs="Arial"/>
          <w:lang w:val="sr-Latn-ME" w:eastAsia="sr-Latn-ME"/>
        </w:rPr>
        <w:t xml:space="preserve">U dijelu koji se odnosi na </w:t>
      </w:r>
      <w:r w:rsidRPr="001302F9">
        <w:rPr>
          <w:rFonts w:ascii="Arial" w:eastAsia="Times New Roman" w:hAnsi="Arial" w:cs="Arial"/>
          <w:b/>
          <w:bCs/>
          <w:lang w:val="sr-Latn-ME" w:eastAsia="sr-Latn-ME"/>
        </w:rPr>
        <w:t>Poglavlje 32: Finansijska kontrola</w:t>
      </w:r>
      <w:r w:rsidRPr="001302F9">
        <w:rPr>
          <w:rFonts w:ascii="Arial" w:eastAsia="Times New Roman" w:hAnsi="Arial" w:cs="Arial"/>
          <w:lang w:val="sr-Latn-ME" w:eastAsia="sr-Latn-ME"/>
        </w:rPr>
        <w:t>, Evropska komisija je konstatovala:</w:t>
      </w:r>
    </w:p>
    <w:p w:rsidR="003D2547" w:rsidRPr="001302F9" w:rsidRDefault="003D2547" w:rsidP="00BC2EFA">
      <w:pPr>
        <w:spacing w:before="100" w:beforeAutospacing="1" w:after="100" w:afterAutospacing="1" w:line="240" w:lineRule="auto"/>
        <w:jc w:val="both"/>
        <w:rPr>
          <w:rFonts w:ascii="Arial" w:eastAsia="Times New Roman" w:hAnsi="Arial" w:cs="Arial"/>
          <w:lang w:val="sr-Latn-ME" w:eastAsia="sr-Latn-ME"/>
        </w:rPr>
      </w:pPr>
      <w:r w:rsidRPr="001302F9">
        <w:rPr>
          <w:rFonts w:ascii="Arial" w:eastAsia="Times New Roman" w:hAnsi="Arial" w:cs="Arial"/>
          <w:b/>
          <w:bCs/>
          <w:lang w:val="sr-Latn-ME" w:eastAsia="sr-Latn-ME"/>
        </w:rPr>
        <w:t>"Uz podršku EU-finansiranog Twinning projekta, AFCOS je unaprijedio kapacitete za borbu protiv nepravilnosti i prevara te poboljšao koordinaciju AFCOS mreže za zaštitu finansijskih interesa EU."</w:t>
      </w:r>
    </w:p>
    <w:p w:rsidR="003D2547" w:rsidRPr="001302F9" w:rsidRDefault="003D2547" w:rsidP="00BC2EFA">
      <w:pPr>
        <w:spacing w:before="100" w:beforeAutospacing="1" w:after="100" w:afterAutospacing="1" w:line="240" w:lineRule="auto"/>
        <w:jc w:val="both"/>
        <w:rPr>
          <w:rFonts w:ascii="Arial" w:eastAsia="Times New Roman" w:hAnsi="Arial" w:cs="Arial"/>
          <w:lang w:val="sr-Latn-ME" w:eastAsia="sr-Latn-ME"/>
        </w:rPr>
      </w:pPr>
      <w:r w:rsidRPr="001302F9">
        <w:rPr>
          <w:rFonts w:ascii="Arial" w:eastAsia="Times New Roman" w:hAnsi="Arial" w:cs="Arial"/>
          <w:lang w:val="sr-Latn-ME" w:eastAsia="sr-Latn-ME"/>
        </w:rPr>
        <w:t>Izvještaj preporučuje da Crna Gora u narednom periodu:</w:t>
      </w:r>
    </w:p>
    <w:p w:rsidR="003D2547" w:rsidRPr="001302F9" w:rsidRDefault="003D2547" w:rsidP="009B6B3B">
      <w:pPr>
        <w:numPr>
          <w:ilvl w:val="0"/>
          <w:numId w:val="17"/>
        </w:numPr>
        <w:spacing w:before="100" w:beforeAutospacing="1" w:after="100" w:afterAutospacing="1" w:line="240" w:lineRule="auto"/>
        <w:jc w:val="both"/>
        <w:rPr>
          <w:rFonts w:ascii="Arial" w:eastAsia="Times New Roman" w:hAnsi="Arial" w:cs="Arial"/>
          <w:lang w:val="sr-Latn-ME" w:eastAsia="sr-Latn-ME"/>
        </w:rPr>
      </w:pPr>
      <w:r w:rsidRPr="001302F9">
        <w:rPr>
          <w:rFonts w:ascii="Arial" w:eastAsia="Times New Roman" w:hAnsi="Arial" w:cs="Arial"/>
          <w:lang w:val="sr-Latn-ME" w:eastAsia="sr-Latn-ME"/>
        </w:rPr>
        <w:t xml:space="preserve">dodatno uskladi zakonodavstvo sa </w:t>
      </w:r>
      <w:r w:rsidRPr="001302F9">
        <w:rPr>
          <w:rFonts w:ascii="Arial" w:eastAsia="Times New Roman" w:hAnsi="Arial" w:cs="Arial"/>
          <w:i/>
          <w:iCs/>
          <w:lang w:val="sr-Latn-ME" w:eastAsia="sr-Latn-ME"/>
        </w:rPr>
        <w:t>EU acquis</w:t>
      </w:r>
      <w:r w:rsidRPr="001302F9">
        <w:rPr>
          <w:rFonts w:ascii="Arial" w:eastAsia="Times New Roman" w:hAnsi="Arial" w:cs="Arial"/>
          <w:lang w:val="sr-Latn-ME" w:eastAsia="sr-Latn-ME"/>
        </w:rPr>
        <w:t>-om u oblasti borbe protiv prevara koje utiču na finansijske interese EU,</w:t>
      </w:r>
    </w:p>
    <w:p w:rsidR="003D2547" w:rsidRPr="001302F9" w:rsidRDefault="003D2547" w:rsidP="009B6B3B">
      <w:pPr>
        <w:numPr>
          <w:ilvl w:val="0"/>
          <w:numId w:val="17"/>
        </w:numPr>
        <w:spacing w:before="100" w:beforeAutospacing="1" w:after="100" w:afterAutospacing="1" w:line="240" w:lineRule="auto"/>
        <w:jc w:val="both"/>
        <w:rPr>
          <w:rFonts w:ascii="Arial" w:eastAsia="Times New Roman" w:hAnsi="Arial" w:cs="Arial"/>
          <w:lang w:val="sr-Latn-ME" w:eastAsia="sr-Latn-ME"/>
        </w:rPr>
      </w:pPr>
      <w:r w:rsidRPr="001302F9">
        <w:rPr>
          <w:rFonts w:ascii="Arial" w:eastAsia="Times New Roman" w:hAnsi="Arial" w:cs="Arial"/>
          <w:lang w:val="sr-Latn-ME" w:eastAsia="sr-Latn-ME"/>
        </w:rPr>
        <w:t xml:space="preserve">ojača </w:t>
      </w:r>
      <w:r w:rsidR="00D23BC2" w:rsidRPr="001302F9">
        <w:rPr>
          <w:rFonts w:ascii="Arial" w:eastAsia="Times New Roman" w:hAnsi="Arial" w:cs="Arial"/>
          <w:lang w:val="sr-Latn-ME" w:eastAsia="sr-Latn-ME"/>
        </w:rPr>
        <w:t xml:space="preserve">koordinacione </w:t>
      </w:r>
      <w:r w:rsidRPr="001302F9">
        <w:rPr>
          <w:rFonts w:ascii="Arial" w:eastAsia="Times New Roman" w:hAnsi="Arial" w:cs="Arial"/>
          <w:lang w:val="sr-Latn-ME" w:eastAsia="sr-Latn-ME"/>
        </w:rPr>
        <w:t>kapacitete AFCOS-a,</w:t>
      </w:r>
    </w:p>
    <w:p w:rsidR="003D2547" w:rsidRPr="001302F9" w:rsidRDefault="003D2547" w:rsidP="009B6B3B">
      <w:pPr>
        <w:numPr>
          <w:ilvl w:val="0"/>
          <w:numId w:val="17"/>
        </w:numPr>
        <w:spacing w:before="100" w:beforeAutospacing="1" w:after="100" w:afterAutospacing="1" w:line="240" w:lineRule="auto"/>
        <w:jc w:val="both"/>
        <w:rPr>
          <w:rFonts w:ascii="Arial" w:eastAsia="Times New Roman" w:hAnsi="Arial" w:cs="Arial"/>
          <w:lang w:val="sr-Latn-ME" w:eastAsia="sr-Latn-ME"/>
        </w:rPr>
      </w:pPr>
      <w:r w:rsidRPr="001302F9">
        <w:rPr>
          <w:rFonts w:ascii="Arial" w:eastAsia="Times New Roman" w:hAnsi="Arial" w:cs="Arial"/>
          <w:lang w:val="sr-Latn-ME" w:eastAsia="sr-Latn-ME"/>
        </w:rPr>
        <w:t xml:space="preserve">usvoji izmjene </w:t>
      </w:r>
      <w:r w:rsidRPr="001302F9">
        <w:rPr>
          <w:rFonts w:ascii="Arial" w:eastAsia="Times New Roman" w:hAnsi="Arial" w:cs="Arial"/>
          <w:b/>
          <w:bCs/>
          <w:lang w:val="sr-Latn-ME" w:eastAsia="sr-Latn-ME"/>
        </w:rPr>
        <w:t>Krivičnog zakonika</w:t>
      </w:r>
      <w:r w:rsidRPr="001302F9">
        <w:rPr>
          <w:rFonts w:ascii="Arial" w:eastAsia="Times New Roman" w:hAnsi="Arial" w:cs="Arial"/>
          <w:lang w:val="sr-Latn-ME" w:eastAsia="sr-Latn-ME"/>
        </w:rPr>
        <w:t xml:space="preserve"> i donese </w:t>
      </w:r>
      <w:r w:rsidRPr="001302F9">
        <w:rPr>
          <w:rFonts w:ascii="Arial" w:eastAsia="Times New Roman" w:hAnsi="Arial" w:cs="Arial"/>
          <w:b/>
          <w:bCs/>
          <w:lang w:val="sr-Latn-ME" w:eastAsia="sr-Latn-ME"/>
        </w:rPr>
        <w:t>novu nacionalnu strategiju za borbu protiv prevara</w:t>
      </w:r>
      <w:r w:rsidRPr="001302F9">
        <w:rPr>
          <w:rFonts w:ascii="Arial" w:eastAsia="Times New Roman" w:hAnsi="Arial" w:cs="Arial"/>
          <w:lang w:val="sr-Latn-ME" w:eastAsia="sr-Latn-ME"/>
        </w:rPr>
        <w:t>.</w:t>
      </w:r>
    </w:p>
    <w:p w:rsidR="003D2547" w:rsidRPr="001302F9" w:rsidRDefault="003D2547" w:rsidP="00BC2EFA">
      <w:pPr>
        <w:spacing w:before="100" w:beforeAutospacing="1" w:after="100" w:afterAutospacing="1" w:line="240" w:lineRule="auto"/>
        <w:jc w:val="both"/>
        <w:rPr>
          <w:rFonts w:ascii="Arial" w:eastAsia="Times New Roman" w:hAnsi="Arial" w:cs="Arial"/>
          <w:lang w:val="sr-Latn-ME" w:eastAsia="sr-Latn-ME"/>
        </w:rPr>
      </w:pPr>
      <w:r w:rsidRPr="001302F9">
        <w:rPr>
          <w:rFonts w:ascii="Arial" w:eastAsia="Times New Roman" w:hAnsi="Arial" w:cs="Arial"/>
          <w:lang w:val="sr-Latn-ME" w:eastAsia="sr-Latn-ME"/>
        </w:rPr>
        <w:t>Pored toga, Evropska komisija naglašava da crnogorske institucije treba da nastave sa:</w:t>
      </w:r>
    </w:p>
    <w:p w:rsidR="003D2547" w:rsidRPr="001302F9" w:rsidRDefault="003D2547" w:rsidP="009B6B3B">
      <w:pPr>
        <w:numPr>
          <w:ilvl w:val="0"/>
          <w:numId w:val="18"/>
        </w:numPr>
        <w:spacing w:before="100" w:beforeAutospacing="1" w:after="100" w:afterAutospacing="1" w:line="240" w:lineRule="auto"/>
        <w:jc w:val="both"/>
        <w:rPr>
          <w:rFonts w:ascii="Arial" w:eastAsia="Times New Roman" w:hAnsi="Arial" w:cs="Arial"/>
          <w:lang w:val="sr-Latn-ME" w:eastAsia="sr-Latn-ME"/>
        </w:rPr>
      </w:pPr>
      <w:r w:rsidRPr="001302F9">
        <w:rPr>
          <w:rFonts w:ascii="Arial" w:eastAsia="Times New Roman" w:hAnsi="Arial" w:cs="Arial"/>
          <w:b/>
          <w:bCs/>
          <w:lang w:val="sr-Latn-ME" w:eastAsia="sr-Latn-ME"/>
        </w:rPr>
        <w:t>jačanjem rezultata u prijavljivanju nepravilnosti</w:t>
      </w:r>
      <w:r w:rsidRPr="001302F9">
        <w:rPr>
          <w:rFonts w:ascii="Arial" w:eastAsia="Times New Roman" w:hAnsi="Arial" w:cs="Arial"/>
          <w:lang w:val="sr-Latn-ME" w:eastAsia="sr-Latn-ME"/>
        </w:rPr>
        <w:t>,</w:t>
      </w:r>
    </w:p>
    <w:p w:rsidR="003D2547" w:rsidRDefault="003D2547" w:rsidP="009B6B3B">
      <w:pPr>
        <w:numPr>
          <w:ilvl w:val="0"/>
          <w:numId w:val="18"/>
        </w:numPr>
        <w:spacing w:before="100" w:beforeAutospacing="1" w:after="100" w:afterAutospacing="1" w:line="240" w:lineRule="auto"/>
        <w:jc w:val="both"/>
        <w:rPr>
          <w:rFonts w:ascii="Arial" w:eastAsia="Times New Roman" w:hAnsi="Arial" w:cs="Arial"/>
          <w:lang w:val="sr-Latn-ME" w:eastAsia="sr-Latn-ME"/>
        </w:rPr>
      </w:pPr>
      <w:r w:rsidRPr="001302F9">
        <w:rPr>
          <w:rFonts w:ascii="Arial" w:eastAsia="Times New Roman" w:hAnsi="Arial" w:cs="Arial"/>
          <w:b/>
          <w:bCs/>
          <w:lang w:val="sr-Latn-ME" w:eastAsia="sr-Latn-ME"/>
        </w:rPr>
        <w:t>saradnjom sa OLAF-om</w:t>
      </w:r>
      <w:r w:rsidRPr="001302F9">
        <w:rPr>
          <w:rFonts w:ascii="Arial" w:eastAsia="Times New Roman" w:hAnsi="Arial" w:cs="Arial"/>
          <w:lang w:val="sr-Latn-ME" w:eastAsia="sr-Latn-ME"/>
        </w:rPr>
        <w:t xml:space="preserve"> u istragama.</w:t>
      </w:r>
    </w:p>
    <w:p w:rsidR="005B1FA8" w:rsidRPr="001302F9" w:rsidRDefault="005B1FA8" w:rsidP="005B1FA8">
      <w:pPr>
        <w:spacing w:before="100" w:beforeAutospacing="1" w:after="100" w:afterAutospacing="1" w:line="240" w:lineRule="auto"/>
        <w:jc w:val="both"/>
        <w:rPr>
          <w:rFonts w:ascii="Arial" w:eastAsia="Times New Roman" w:hAnsi="Arial" w:cs="Arial"/>
          <w:lang w:val="sr-Latn-ME" w:eastAsia="sr-Latn-ME"/>
        </w:rPr>
      </w:pPr>
    </w:p>
    <w:p w:rsidR="003D2547" w:rsidRPr="001302F9" w:rsidRDefault="003D2547" w:rsidP="00BC2EFA">
      <w:pPr>
        <w:spacing w:before="100" w:beforeAutospacing="1" w:after="100" w:afterAutospacing="1" w:line="240" w:lineRule="auto"/>
        <w:jc w:val="both"/>
        <w:outlineLvl w:val="2"/>
        <w:rPr>
          <w:rFonts w:ascii="Arial" w:eastAsia="Times New Roman" w:hAnsi="Arial" w:cs="Arial"/>
          <w:b/>
          <w:bCs/>
          <w:lang w:val="sr-Latn-ME" w:eastAsia="sr-Latn-ME"/>
        </w:rPr>
      </w:pPr>
      <w:r w:rsidRPr="001302F9">
        <w:rPr>
          <w:rFonts w:ascii="Arial" w:eastAsia="Times New Roman" w:hAnsi="Arial" w:cs="Arial"/>
          <w:b/>
          <w:bCs/>
          <w:lang w:val="sr-Latn-ME" w:eastAsia="sr-Latn-ME"/>
        </w:rPr>
        <w:t>Saopštenje Evropske komisije o politici proširenja EU iz 2023. godine</w:t>
      </w:r>
    </w:p>
    <w:p w:rsidR="003D2547" w:rsidRPr="001302F9" w:rsidRDefault="003D2547" w:rsidP="00BC2EFA">
      <w:pPr>
        <w:spacing w:before="100" w:beforeAutospacing="1" w:after="100" w:afterAutospacing="1" w:line="240" w:lineRule="auto"/>
        <w:jc w:val="both"/>
        <w:rPr>
          <w:rFonts w:ascii="Arial" w:eastAsia="Times New Roman" w:hAnsi="Arial" w:cs="Arial"/>
          <w:lang w:val="sr-Latn-ME" w:eastAsia="sr-Latn-ME"/>
        </w:rPr>
      </w:pPr>
      <w:r w:rsidRPr="001302F9">
        <w:rPr>
          <w:rFonts w:ascii="Arial" w:eastAsia="Times New Roman" w:hAnsi="Arial" w:cs="Arial"/>
          <w:lang w:val="sr-Latn-ME" w:eastAsia="sr-Latn-ME"/>
        </w:rPr>
        <w:t xml:space="preserve">U Komunikaciji Evropske komisije o politici proširenja EU iz 2023. godine istaknuto je da crnogorske vlasti treba da </w:t>
      </w:r>
      <w:r w:rsidRPr="001302F9">
        <w:rPr>
          <w:rFonts w:ascii="Arial" w:eastAsia="Times New Roman" w:hAnsi="Arial" w:cs="Arial"/>
          <w:b/>
          <w:bCs/>
          <w:lang w:val="sr-Latn-ME" w:eastAsia="sr-Latn-ME"/>
        </w:rPr>
        <w:t>pojačaju napore u borbi protiv pranja novca i finansijskog kriminala</w:t>
      </w:r>
      <w:r w:rsidRPr="001302F9">
        <w:rPr>
          <w:rFonts w:ascii="Arial" w:eastAsia="Times New Roman" w:hAnsi="Arial" w:cs="Arial"/>
          <w:lang w:val="sr-Latn-ME" w:eastAsia="sr-Latn-ME"/>
        </w:rPr>
        <w:t>.</w:t>
      </w:r>
    </w:p>
    <w:p w:rsidR="003D2547" w:rsidRPr="001302F9" w:rsidRDefault="003D2547" w:rsidP="00BC2EFA">
      <w:pPr>
        <w:spacing w:before="100" w:beforeAutospacing="1" w:after="100" w:afterAutospacing="1" w:line="240" w:lineRule="auto"/>
        <w:jc w:val="both"/>
        <w:rPr>
          <w:rFonts w:ascii="Arial" w:eastAsia="Times New Roman" w:hAnsi="Arial" w:cs="Arial"/>
          <w:lang w:val="sr-Latn-ME" w:eastAsia="sr-Latn-ME"/>
        </w:rPr>
      </w:pPr>
      <w:r w:rsidRPr="001302F9">
        <w:rPr>
          <w:rFonts w:ascii="Arial" w:eastAsia="Times New Roman" w:hAnsi="Arial" w:cs="Arial"/>
          <w:lang w:val="sr-Latn-ME" w:eastAsia="sr-Latn-ME"/>
        </w:rPr>
        <w:t xml:space="preserve">Crna Gora je pokazala ohrabrujuće pomake u borbi protiv organizovanog kriminala, uključujući hapšenja visokih članova organizovanih kriminalnih grupa i visokih funkcionera u agencijama za </w:t>
      </w:r>
      <w:r w:rsidR="00D23BC2" w:rsidRPr="001302F9">
        <w:rPr>
          <w:rFonts w:ascii="Arial" w:eastAsia="Times New Roman" w:hAnsi="Arial" w:cs="Arial"/>
          <w:lang w:val="sr-Latn-ME" w:eastAsia="sr-Latn-ME"/>
        </w:rPr>
        <w:t>s</w:t>
      </w:r>
      <w:r w:rsidRPr="001302F9">
        <w:rPr>
          <w:rFonts w:ascii="Arial" w:eastAsia="Times New Roman" w:hAnsi="Arial" w:cs="Arial"/>
          <w:lang w:val="sr-Latn-ME" w:eastAsia="sr-Latn-ME"/>
        </w:rPr>
        <w:t xml:space="preserve">provođenje zakona. Međutim, naglašena je potreba za </w:t>
      </w:r>
      <w:r w:rsidRPr="001302F9">
        <w:rPr>
          <w:rFonts w:ascii="Arial" w:eastAsia="Times New Roman" w:hAnsi="Arial" w:cs="Arial"/>
          <w:b/>
          <w:bCs/>
          <w:lang w:val="sr-Latn-ME" w:eastAsia="sr-Latn-ME"/>
        </w:rPr>
        <w:t>dosljednom i odlučnom borbom protiv infiltracije organizovanog kriminala u policiju i pravosuđe</w:t>
      </w:r>
      <w:r w:rsidRPr="001302F9">
        <w:rPr>
          <w:rFonts w:ascii="Arial" w:eastAsia="Times New Roman" w:hAnsi="Arial" w:cs="Arial"/>
          <w:lang w:val="sr-Latn-ME" w:eastAsia="sr-Latn-ME"/>
        </w:rPr>
        <w:t>.</w:t>
      </w:r>
    </w:p>
    <w:p w:rsidR="003D2547" w:rsidRPr="001302F9" w:rsidRDefault="003D2547" w:rsidP="00BC2EFA">
      <w:pPr>
        <w:spacing w:before="100" w:beforeAutospacing="1" w:after="100" w:afterAutospacing="1" w:line="240" w:lineRule="auto"/>
        <w:jc w:val="both"/>
        <w:rPr>
          <w:rFonts w:ascii="Arial" w:eastAsia="Times New Roman" w:hAnsi="Arial" w:cs="Arial"/>
          <w:lang w:val="sr-Latn-ME" w:eastAsia="sr-Latn-ME"/>
        </w:rPr>
      </w:pPr>
      <w:r w:rsidRPr="001302F9">
        <w:rPr>
          <w:rFonts w:ascii="Arial" w:eastAsia="Times New Roman" w:hAnsi="Arial" w:cs="Arial"/>
          <w:lang w:val="sr-Latn-ME" w:eastAsia="sr-Latn-ME"/>
        </w:rPr>
        <w:t>Evropska komisija izražava zabrinutost zbog:</w:t>
      </w:r>
    </w:p>
    <w:p w:rsidR="003D2547" w:rsidRPr="001302F9" w:rsidRDefault="003D2547" w:rsidP="009B6B3B">
      <w:pPr>
        <w:numPr>
          <w:ilvl w:val="0"/>
          <w:numId w:val="19"/>
        </w:numPr>
        <w:spacing w:before="100" w:beforeAutospacing="1" w:after="100" w:afterAutospacing="1" w:line="240" w:lineRule="auto"/>
        <w:jc w:val="both"/>
        <w:rPr>
          <w:rFonts w:ascii="Arial" w:eastAsia="Times New Roman" w:hAnsi="Arial" w:cs="Arial"/>
          <w:lang w:val="sr-Latn-ME" w:eastAsia="sr-Latn-ME"/>
        </w:rPr>
      </w:pPr>
      <w:r w:rsidRPr="001302F9">
        <w:rPr>
          <w:rFonts w:ascii="Arial" w:eastAsia="Times New Roman" w:hAnsi="Arial" w:cs="Arial"/>
          <w:b/>
          <w:bCs/>
          <w:lang w:val="sr-Latn-ME" w:eastAsia="sr-Latn-ME"/>
        </w:rPr>
        <w:t>nedostatka osuđujućih presuda</w:t>
      </w:r>
      <w:r w:rsidRPr="001302F9">
        <w:rPr>
          <w:rFonts w:ascii="Arial" w:eastAsia="Times New Roman" w:hAnsi="Arial" w:cs="Arial"/>
          <w:lang w:val="sr-Latn-ME" w:eastAsia="sr-Latn-ME"/>
        </w:rPr>
        <w:t xml:space="preserve"> u oblastima krijumčarenja duvana, pranja novca, trgovine ljudima i sajber kriminala,</w:t>
      </w:r>
    </w:p>
    <w:p w:rsidR="003D2547" w:rsidRPr="001302F9" w:rsidRDefault="003D2547" w:rsidP="009B6B3B">
      <w:pPr>
        <w:numPr>
          <w:ilvl w:val="0"/>
          <w:numId w:val="19"/>
        </w:numPr>
        <w:spacing w:before="100" w:beforeAutospacing="1" w:after="100" w:afterAutospacing="1" w:line="240" w:lineRule="auto"/>
        <w:jc w:val="both"/>
        <w:rPr>
          <w:rFonts w:ascii="Arial" w:eastAsia="Times New Roman" w:hAnsi="Arial" w:cs="Arial"/>
          <w:lang w:val="sr-Latn-ME" w:eastAsia="sr-Latn-ME"/>
        </w:rPr>
      </w:pPr>
      <w:r w:rsidRPr="001302F9">
        <w:rPr>
          <w:rFonts w:ascii="Arial" w:eastAsia="Times New Roman" w:hAnsi="Arial" w:cs="Arial"/>
          <w:b/>
          <w:bCs/>
          <w:lang w:val="sr-Latn-ME" w:eastAsia="sr-Latn-ME"/>
        </w:rPr>
        <w:t>veoma niskog nivoa oduzimanja imovine</w:t>
      </w:r>
      <w:r w:rsidRPr="001302F9">
        <w:rPr>
          <w:rFonts w:ascii="Arial" w:eastAsia="Times New Roman" w:hAnsi="Arial" w:cs="Arial"/>
          <w:lang w:val="sr-Latn-ME" w:eastAsia="sr-Latn-ME"/>
        </w:rPr>
        <w:t xml:space="preserve"> stečene kriminalnim aktivnostima.</w:t>
      </w:r>
    </w:p>
    <w:p w:rsidR="003D2547" w:rsidRPr="001302F9" w:rsidRDefault="003D2547" w:rsidP="00877882">
      <w:pPr>
        <w:spacing w:before="100" w:beforeAutospacing="1" w:after="100" w:afterAutospacing="1" w:line="240" w:lineRule="auto"/>
        <w:jc w:val="both"/>
        <w:rPr>
          <w:rFonts w:ascii="Arial" w:eastAsia="Times New Roman" w:hAnsi="Arial" w:cs="Arial"/>
          <w:lang w:val="sr-Latn-ME" w:eastAsia="sr-Latn-ME"/>
        </w:rPr>
      </w:pPr>
      <w:r w:rsidRPr="001302F9">
        <w:rPr>
          <w:rFonts w:ascii="Arial" w:eastAsia="Times New Roman" w:hAnsi="Arial" w:cs="Arial"/>
          <w:lang w:val="sr-Latn-ME" w:eastAsia="sr-Latn-ME"/>
        </w:rPr>
        <w:t xml:space="preserve">Iako je u 2022. godini povećan broj osuđujućih presuda za finansijske zločine, one su se </w:t>
      </w:r>
      <w:r w:rsidRPr="001302F9">
        <w:rPr>
          <w:rFonts w:ascii="Arial" w:eastAsia="Times New Roman" w:hAnsi="Arial" w:cs="Arial"/>
          <w:b/>
          <w:bCs/>
          <w:lang w:val="sr-Latn-ME" w:eastAsia="sr-Latn-ME"/>
        </w:rPr>
        <w:t>zasnivale isključivo na sporazumima o priznanju krivice</w:t>
      </w:r>
      <w:r w:rsidRPr="001302F9">
        <w:rPr>
          <w:rFonts w:ascii="Arial" w:eastAsia="Times New Roman" w:hAnsi="Arial" w:cs="Arial"/>
          <w:lang w:val="sr-Latn-ME" w:eastAsia="sr-Latn-ME"/>
        </w:rPr>
        <w:t>, što ukazuje na potrebu za jačanjem sudske prakse i efikasnijim procesuiranjem slučajeva.</w:t>
      </w:r>
    </w:p>
    <w:p w:rsidR="00DF5FEC" w:rsidRPr="001302F9" w:rsidRDefault="00DF5FEC" w:rsidP="00DF5FEC">
      <w:pPr>
        <w:spacing w:before="100" w:beforeAutospacing="1" w:after="100" w:afterAutospacing="1" w:line="240" w:lineRule="auto"/>
        <w:outlineLvl w:val="2"/>
        <w:rPr>
          <w:rFonts w:ascii="Arial" w:eastAsia="Times New Roman" w:hAnsi="Arial" w:cs="Arial"/>
          <w:b/>
          <w:bCs/>
          <w:lang w:val="sr-Latn-ME" w:eastAsia="sr-Latn-ME"/>
        </w:rPr>
      </w:pPr>
      <w:r w:rsidRPr="001302F9">
        <w:rPr>
          <w:rFonts w:ascii="Arial" w:eastAsia="Times New Roman" w:hAnsi="Arial" w:cs="Arial"/>
          <w:b/>
          <w:bCs/>
          <w:lang w:val="sr-Latn-ME" w:eastAsia="sr-Latn-ME"/>
        </w:rPr>
        <w:t>Akcioni plan Komisije za borbu protiv prevara – revizija 2023</w:t>
      </w:r>
    </w:p>
    <w:p w:rsidR="00DF5FEC" w:rsidRPr="001302F9" w:rsidRDefault="00DF5FEC" w:rsidP="00502D81">
      <w:pPr>
        <w:spacing w:before="100" w:beforeAutospacing="1" w:after="100" w:afterAutospacing="1" w:line="240" w:lineRule="auto"/>
        <w:jc w:val="both"/>
        <w:rPr>
          <w:rFonts w:ascii="Arial" w:eastAsia="Times New Roman" w:hAnsi="Arial" w:cs="Arial"/>
          <w:lang w:val="sr-Latn-ME" w:eastAsia="sr-Latn-ME"/>
        </w:rPr>
      </w:pPr>
      <w:r w:rsidRPr="001302F9">
        <w:rPr>
          <w:rFonts w:ascii="Arial" w:eastAsia="Times New Roman" w:hAnsi="Arial" w:cs="Arial"/>
          <w:lang w:val="sr-Latn-ME" w:eastAsia="sr-Latn-ME"/>
        </w:rPr>
        <w:t xml:space="preserve">Evropska komisija je 2019. godine usvojila </w:t>
      </w:r>
      <w:r w:rsidRPr="001302F9">
        <w:rPr>
          <w:rFonts w:ascii="Arial" w:eastAsia="Times New Roman" w:hAnsi="Arial" w:cs="Arial"/>
          <w:b/>
          <w:bCs/>
          <w:lang w:val="sr-Latn-ME" w:eastAsia="sr-Latn-ME"/>
        </w:rPr>
        <w:t>Strategiju Komisije za borbu protiv prevara</w:t>
      </w:r>
      <w:r w:rsidRPr="001302F9">
        <w:rPr>
          <w:rFonts w:ascii="Arial" w:eastAsia="Times New Roman" w:hAnsi="Arial" w:cs="Arial"/>
          <w:lang w:val="sr-Latn-ME" w:eastAsia="sr-Latn-ME"/>
        </w:rPr>
        <w:t>, koja je usmjerena na zaštitu finansijskih interesa EU od prevara, korupcije i drugih namjernih nepravilnosti.</w:t>
      </w:r>
    </w:p>
    <w:p w:rsidR="00DF5FEC" w:rsidRPr="001302F9" w:rsidRDefault="00DF5FEC" w:rsidP="00502D81">
      <w:pPr>
        <w:spacing w:before="100" w:beforeAutospacing="1" w:after="100" w:afterAutospacing="1" w:line="240" w:lineRule="auto"/>
        <w:jc w:val="both"/>
        <w:rPr>
          <w:rFonts w:ascii="Arial" w:eastAsia="Times New Roman" w:hAnsi="Arial" w:cs="Arial"/>
          <w:lang w:val="sr-Latn-ME" w:eastAsia="sr-Latn-ME"/>
        </w:rPr>
      </w:pPr>
      <w:r w:rsidRPr="001302F9">
        <w:rPr>
          <w:rFonts w:ascii="Arial" w:eastAsia="Times New Roman" w:hAnsi="Arial" w:cs="Arial"/>
          <w:lang w:val="sr-Latn-ME" w:eastAsia="sr-Latn-ME"/>
        </w:rPr>
        <w:t xml:space="preserve">U </w:t>
      </w:r>
      <w:r w:rsidRPr="001302F9">
        <w:rPr>
          <w:rFonts w:ascii="Arial" w:eastAsia="Times New Roman" w:hAnsi="Arial" w:cs="Arial"/>
          <w:b/>
          <w:bCs/>
          <w:lang w:val="sr-Latn-ME" w:eastAsia="sr-Latn-ME"/>
        </w:rPr>
        <w:t>2023. godini ažuriran je Akcioni plan</w:t>
      </w:r>
      <w:r w:rsidRPr="001302F9">
        <w:rPr>
          <w:rFonts w:ascii="Arial" w:eastAsia="Times New Roman" w:hAnsi="Arial" w:cs="Arial"/>
          <w:lang w:val="sr-Latn-ME" w:eastAsia="sr-Latn-ME"/>
        </w:rPr>
        <w:t xml:space="preserve"> ove strategije, koji, između ostalog, uključuje aktivnosti za </w:t>
      </w:r>
      <w:r w:rsidRPr="001302F9">
        <w:rPr>
          <w:rFonts w:ascii="Arial" w:eastAsia="Times New Roman" w:hAnsi="Arial" w:cs="Arial"/>
          <w:b/>
          <w:bCs/>
          <w:lang w:val="sr-Latn-ME" w:eastAsia="sr-Latn-ME"/>
        </w:rPr>
        <w:t>jačanje zaštite sredstava pod indirektnim upravljanjem</w:t>
      </w:r>
      <w:r w:rsidRPr="001302F9">
        <w:rPr>
          <w:rFonts w:ascii="Arial" w:eastAsia="Times New Roman" w:hAnsi="Arial" w:cs="Arial"/>
          <w:lang w:val="sr-Latn-ME" w:eastAsia="sr-Latn-ME"/>
        </w:rPr>
        <w:t xml:space="preserve">. Ta sredstva su povjerena partnerskim organizacijama, ali </w:t>
      </w:r>
      <w:r w:rsidRPr="001302F9">
        <w:rPr>
          <w:rFonts w:ascii="Arial" w:eastAsia="Times New Roman" w:hAnsi="Arial" w:cs="Arial"/>
          <w:b/>
          <w:bCs/>
          <w:lang w:val="sr-Latn-ME" w:eastAsia="sr-Latn-ME"/>
        </w:rPr>
        <w:t>Komisija i dalje snosi odgovornost</w:t>
      </w:r>
      <w:r w:rsidRPr="001302F9">
        <w:rPr>
          <w:rFonts w:ascii="Arial" w:eastAsia="Times New Roman" w:hAnsi="Arial" w:cs="Arial"/>
          <w:lang w:val="sr-Latn-ME" w:eastAsia="sr-Latn-ME"/>
        </w:rPr>
        <w:t xml:space="preserve"> i mora garantovati visok nivo njihove zaštite.</w:t>
      </w:r>
    </w:p>
    <w:p w:rsidR="00DF5FEC" w:rsidRPr="001302F9" w:rsidRDefault="00DF5FEC" w:rsidP="00502D81">
      <w:pPr>
        <w:spacing w:before="100" w:beforeAutospacing="1" w:after="100" w:afterAutospacing="1" w:line="240" w:lineRule="auto"/>
        <w:jc w:val="both"/>
        <w:rPr>
          <w:rFonts w:ascii="Arial" w:eastAsia="Times New Roman" w:hAnsi="Arial" w:cs="Arial"/>
          <w:lang w:val="sr-Latn-ME" w:eastAsia="sr-Latn-ME"/>
        </w:rPr>
      </w:pPr>
      <w:r w:rsidRPr="001302F9">
        <w:rPr>
          <w:rFonts w:ascii="Arial" w:eastAsia="Times New Roman" w:hAnsi="Arial" w:cs="Arial"/>
          <w:lang w:val="sr-Latn-ME" w:eastAsia="sr-Latn-ME"/>
        </w:rPr>
        <w:t xml:space="preserve">Zbog toga su </w:t>
      </w:r>
      <w:r w:rsidRPr="001302F9">
        <w:rPr>
          <w:rFonts w:ascii="Arial" w:eastAsia="Times New Roman" w:hAnsi="Arial" w:cs="Arial"/>
          <w:b/>
          <w:bCs/>
          <w:lang w:val="sr-Latn-ME" w:eastAsia="sr-Latn-ME"/>
        </w:rPr>
        <w:t>implementacioni partneri dužni da sistematski prijavljuju otkrivene prevare</w:t>
      </w:r>
      <w:r w:rsidRPr="001302F9">
        <w:rPr>
          <w:rFonts w:ascii="Arial" w:eastAsia="Times New Roman" w:hAnsi="Arial" w:cs="Arial"/>
          <w:lang w:val="sr-Latn-ME" w:eastAsia="sr-Latn-ME"/>
        </w:rPr>
        <w:t xml:space="preserve"> Komisiji. U tom cilju, Komisija pruža </w:t>
      </w:r>
      <w:r w:rsidRPr="001302F9">
        <w:rPr>
          <w:rFonts w:ascii="Arial" w:eastAsia="Times New Roman" w:hAnsi="Arial" w:cs="Arial"/>
          <w:b/>
          <w:bCs/>
          <w:lang w:val="sr-Latn-ME" w:eastAsia="sr-Latn-ME"/>
        </w:rPr>
        <w:t>povećanu podršku i podizanje svijesti</w:t>
      </w:r>
      <w:r w:rsidRPr="001302F9">
        <w:rPr>
          <w:rFonts w:ascii="Arial" w:eastAsia="Times New Roman" w:hAnsi="Arial" w:cs="Arial"/>
          <w:lang w:val="sr-Latn-ME" w:eastAsia="sr-Latn-ME"/>
        </w:rPr>
        <w:t xml:space="preserve"> među partnerima, uz insistiranje na njihovim zakonskim obavezama za saradnju.</w:t>
      </w:r>
    </w:p>
    <w:p w:rsidR="00DF5FEC" w:rsidRPr="001302F9" w:rsidRDefault="00DF5FEC" w:rsidP="00502D81">
      <w:pPr>
        <w:spacing w:before="100" w:beforeAutospacing="1" w:after="100" w:afterAutospacing="1" w:line="240" w:lineRule="auto"/>
        <w:jc w:val="both"/>
        <w:rPr>
          <w:rFonts w:ascii="Arial" w:eastAsia="Times New Roman" w:hAnsi="Arial" w:cs="Arial"/>
          <w:lang w:val="sr-Latn-ME" w:eastAsia="sr-Latn-ME"/>
        </w:rPr>
      </w:pPr>
      <w:r w:rsidRPr="001302F9">
        <w:rPr>
          <w:rFonts w:ascii="Arial" w:eastAsia="Times New Roman" w:hAnsi="Arial" w:cs="Arial"/>
          <w:lang w:val="sr-Latn-ME" w:eastAsia="sr-Latn-ME"/>
        </w:rPr>
        <w:t xml:space="preserve">Crna Gora, kao </w:t>
      </w:r>
      <w:r w:rsidRPr="001302F9">
        <w:rPr>
          <w:rFonts w:ascii="Arial" w:eastAsia="Times New Roman" w:hAnsi="Arial" w:cs="Arial"/>
          <w:b/>
          <w:bCs/>
          <w:lang w:val="sr-Latn-ME" w:eastAsia="sr-Latn-ME"/>
        </w:rPr>
        <w:t>zemlja korisnica IPA fondova</w:t>
      </w:r>
      <w:r w:rsidRPr="001302F9">
        <w:rPr>
          <w:rFonts w:ascii="Arial" w:eastAsia="Times New Roman" w:hAnsi="Arial" w:cs="Arial"/>
          <w:lang w:val="sr-Latn-ME" w:eastAsia="sr-Latn-ME"/>
        </w:rPr>
        <w:t xml:space="preserve">, takođe koristi </w:t>
      </w:r>
      <w:r w:rsidRPr="001302F9">
        <w:rPr>
          <w:rFonts w:ascii="Arial" w:eastAsia="Times New Roman" w:hAnsi="Arial" w:cs="Arial"/>
          <w:b/>
          <w:bCs/>
          <w:lang w:val="sr-Latn-ME" w:eastAsia="sr-Latn-ME"/>
        </w:rPr>
        <w:t>indirektno upravljanje</w:t>
      </w:r>
      <w:r w:rsidRPr="001302F9">
        <w:rPr>
          <w:rFonts w:ascii="Arial" w:eastAsia="Times New Roman" w:hAnsi="Arial" w:cs="Arial"/>
          <w:lang w:val="sr-Latn-ME" w:eastAsia="sr-Latn-ME"/>
        </w:rPr>
        <w:t xml:space="preserve">, što stvara sinergiju između ove strategije i </w:t>
      </w:r>
      <w:r w:rsidR="008068F3" w:rsidRPr="001302F9">
        <w:rPr>
          <w:rFonts w:ascii="Arial" w:eastAsia="Times New Roman" w:hAnsi="Arial" w:cs="Arial"/>
          <w:lang w:val="sr-Latn-ME" w:eastAsia="sr-Latn-ME"/>
        </w:rPr>
        <w:t>S</w:t>
      </w:r>
      <w:r w:rsidRPr="001302F9">
        <w:rPr>
          <w:rFonts w:ascii="Arial" w:eastAsia="Times New Roman" w:hAnsi="Arial" w:cs="Arial"/>
          <w:lang w:val="sr-Latn-ME" w:eastAsia="sr-Latn-ME"/>
        </w:rPr>
        <w:t>trategije za borbu protiv prevara.</w:t>
      </w:r>
    </w:p>
    <w:p w:rsidR="00DF5FEC" w:rsidRPr="001302F9" w:rsidRDefault="006B37FB" w:rsidP="00DF5FEC">
      <w:pPr>
        <w:spacing w:before="100" w:beforeAutospacing="1" w:after="100" w:afterAutospacing="1" w:line="240" w:lineRule="auto"/>
        <w:outlineLvl w:val="2"/>
        <w:rPr>
          <w:rFonts w:ascii="Arial" w:eastAsia="Times New Roman" w:hAnsi="Arial" w:cs="Arial"/>
          <w:b/>
          <w:bCs/>
          <w:lang w:val="sr-Latn-ME" w:eastAsia="sr-Latn-ME"/>
        </w:rPr>
      </w:pPr>
      <w:r w:rsidRPr="001302F9">
        <w:rPr>
          <w:rFonts w:ascii="Arial" w:eastAsia="Times New Roman" w:hAnsi="Arial" w:cs="Arial"/>
          <w:b/>
          <w:bCs/>
          <w:lang w:val="sr-Latn-ME" w:eastAsia="sr-Latn-ME"/>
        </w:rPr>
        <w:t xml:space="preserve">1.4 </w:t>
      </w:r>
      <w:r w:rsidR="00DF5FEC" w:rsidRPr="001302F9">
        <w:rPr>
          <w:rFonts w:ascii="Arial" w:eastAsia="Times New Roman" w:hAnsi="Arial" w:cs="Arial"/>
          <w:b/>
          <w:bCs/>
          <w:lang w:val="sr-Latn-ME" w:eastAsia="sr-Latn-ME"/>
        </w:rPr>
        <w:t>Nacionalna legislativa</w:t>
      </w:r>
    </w:p>
    <w:p w:rsidR="00DF5FEC" w:rsidRPr="001302F9" w:rsidRDefault="00DF5FEC" w:rsidP="00DF5FEC">
      <w:pPr>
        <w:spacing w:before="100" w:beforeAutospacing="1" w:after="100" w:afterAutospacing="1" w:line="240" w:lineRule="auto"/>
        <w:outlineLvl w:val="3"/>
        <w:rPr>
          <w:rFonts w:ascii="Arial" w:eastAsia="Times New Roman" w:hAnsi="Arial" w:cs="Arial"/>
          <w:b/>
          <w:bCs/>
          <w:lang w:val="sr-Latn-ME" w:eastAsia="sr-Latn-ME"/>
        </w:rPr>
      </w:pPr>
      <w:r w:rsidRPr="001302F9">
        <w:rPr>
          <w:rFonts w:ascii="Arial" w:eastAsia="Times New Roman" w:hAnsi="Arial" w:cs="Arial"/>
          <w:b/>
          <w:bCs/>
          <w:lang w:val="sr-Latn-ME" w:eastAsia="sr-Latn-ME"/>
        </w:rPr>
        <w:t>Okvirni sporazumi sa Evropskom komisijom</w:t>
      </w:r>
    </w:p>
    <w:p w:rsidR="00E007AD" w:rsidRPr="001302F9" w:rsidRDefault="006B37FB" w:rsidP="009B6B3B">
      <w:pPr>
        <w:numPr>
          <w:ilvl w:val="0"/>
          <w:numId w:val="20"/>
        </w:numPr>
        <w:spacing w:before="100" w:beforeAutospacing="1" w:after="100" w:afterAutospacing="1" w:line="240" w:lineRule="auto"/>
        <w:jc w:val="both"/>
        <w:rPr>
          <w:rFonts w:ascii="Arial" w:eastAsia="Times New Roman" w:hAnsi="Arial" w:cs="Arial"/>
          <w:bCs/>
          <w:lang w:val="sr-Latn-ME" w:eastAsia="sr-Latn-ME"/>
        </w:rPr>
      </w:pPr>
      <w:r w:rsidRPr="001302F9">
        <w:rPr>
          <w:rFonts w:ascii="Arial" w:eastAsia="Times New Roman" w:hAnsi="Arial" w:cs="Arial"/>
          <w:b/>
          <w:bCs/>
          <w:lang w:val="sr-Latn-ME" w:eastAsia="sr-Latn-ME"/>
        </w:rPr>
        <w:t>Zakon o potvr</w:t>
      </w:r>
      <w:r w:rsidR="00E007AD" w:rsidRPr="001302F9">
        <w:rPr>
          <w:rFonts w:ascii="Arial" w:eastAsia="Times New Roman" w:hAnsi="Arial" w:cs="Arial"/>
          <w:b/>
          <w:bCs/>
          <w:lang w:val="sr-Latn-ME" w:eastAsia="sr-Latn-ME"/>
        </w:rPr>
        <w:t>đ</w:t>
      </w:r>
      <w:r w:rsidRPr="001302F9">
        <w:rPr>
          <w:rFonts w:ascii="Arial" w:eastAsia="Times New Roman" w:hAnsi="Arial" w:cs="Arial"/>
          <w:b/>
          <w:bCs/>
          <w:lang w:val="sr-Latn-ME" w:eastAsia="sr-Latn-ME"/>
        </w:rPr>
        <w:t>ivanju Okvirnog sporazuma</w:t>
      </w:r>
      <w:r w:rsidRPr="001302F9">
        <w:rPr>
          <w:rFonts w:ascii="Arial" w:eastAsia="Times New Roman" w:hAnsi="Arial" w:cs="Arial"/>
          <w:bCs/>
          <w:lang w:val="sr-Latn-ME" w:eastAsia="sr-Latn-ME"/>
        </w:rPr>
        <w:t xml:space="preserve"> izme</w:t>
      </w:r>
      <w:r w:rsidR="00E007AD" w:rsidRPr="001302F9">
        <w:rPr>
          <w:rFonts w:ascii="Arial" w:eastAsia="Times New Roman" w:hAnsi="Arial" w:cs="Arial"/>
          <w:bCs/>
          <w:lang w:val="sr-Latn-ME" w:eastAsia="sr-Latn-ME"/>
        </w:rPr>
        <w:t>đ</w:t>
      </w:r>
      <w:r w:rsidRPr="001302F9">
        <w:rPr>
          <w:rFonts w:ascii="Arial" w:eastAsia="Times New Roman" w:hAnsi="Arial" w:cs="Arial"/>
          <w:bCs/>
          <w:lang w:val="sr-Latn-ME" w:eastAsia="sr-Latn-ME"/>
        </w:rPr>
        <w:t>u Crne Gore koju predstavlja Vlada Crne Gore i Evropske komisije o pravilima za sprovo</w:t>
      </w:r>
      <w:r w:rsidR="00E007AD" w:rsidRPr="001302F9">
        <w:rPr>
          <w:rFonts w:ascii="Arial" w:eastAsia="Times New Roman" w:hAnsi="Arial" w:cs="Arial"/>
          <w:bCs/>
          <w:lang w:val="sr-Latn-ME" w:eastAsia="sr-Latn-ME"/>
        </w:rPr>
        <w:t>đ</w:t>
      </w:r>
      <w:r w:rsidRPr="001302F9">
        <w:rPr>
          <w:rFonts w:ascii="Arial" w:eastAsia="Times New Roman" w:hAnsi="Arial" w:cs="Arial"/>
          <w:bCs/>
          <w:lang w:val="sr-Latn-ME" w:eastAsia="sr-Latn-ME"/>
        </w:rPr>
        <w:t xml:space="preserve">enje finansijske pomoći Unije Crnoj Gori u okviru instrumenta pretpristupne podrške </w:t>
      </w:r>
      <w:r w:rsidRPr="001302F9">
        <w:rPr>
          <w:rFonts w:ascii="Arial" w:eastAsia="Times New Roman" w:hAnsi="Arial" w:cs="Arial"/>
          <w:b/>
          <w:bCs/>
          <w:lang w:val="sr-Latn-ME" w:eastAsia="sr-Latn-ME"/>
        </w:rPr>
        <w:t>(IPA II)</w:t>
      </w:r>
      <w:r w:rsidRPr="001302F9">
        <w:rPr>
          <w:rFonts w:ascii="Arial" w:eastAsia="Times New Roman" w:hAnsi="Arial" w:cs="Arial"/>
          <w:bCs/>
          <w:lang w:val="sr-Latn-ME" w:eastAsia="sr-Latn-ME"/>
        </w:rPr>
        <w:t xml:space="preserve"> („Službeni list CG – Me</w:t>
      </w:r>
      <w:r w:rsidR="00E007AD" w:rsidRPr="001302F9">
        <w:rPr>
          <w:rFonts w:ascii="Arial" w:eastAsia="Times New Roman" w:hAnsi="Arial" w:cs="Arial"/>
          <w:bCs/>
          <w:lang w:val="sr-Latn-ME" w:eastAsia="sr-Latn-ME"/>
        </w:rPr>
        <w:t>đ</w:t>
      </w:r>
      <w:r w:rsidRPr="001302F9">
        <w:rPr>
          <w:rFonts w:ascii="Arial" w:eastAsia="Times New Roman" w:hAnsi="Arial" w:cs="Arial"/>
          <w:bCs/>
          <w:lang w:val="sr-Latn-ME" w:eastAsia="sr-Latn-ME"/>
        </w:rPr>
        <w:t>unarodni ugovori“, broj 5/15)</w:t>
      </w:r>
    </w:p>
    <w:p w:rsidR="00DF5FEC" w:rsidRPr="001302F9" w:rsidRDefault="006B37FB" w:rsidP="009B6B3B">
      <w:pPr>
        <w:numPr>
          <w:ilvl w:val="0"/>
          <w:numId w:val="20"/>
        </w:numPr>
        <w:spacing w:before="100" w:beforeAutospacing="1" w:after="100" w:afterAutospacing="1" w:line="240" w:lineRule="auto"/>
        <w:jc w:val="both"/>
        <w:rPr>
          <w:rFonts w:ascii="Arial" w:eastAsia="Times New Roman" w:hAnsi="Arial" w:cs="Arial"/>
          <w:lang w:val="sr-Latn-ME" w:eastAsia="sr-Latn-ME"/>
        </w:rPr>
      </w:pPr>
      <w:r w:rsidRPr="001302F9">
        <w:rPr>
          <w:rFonts w:ascii="Arial" w:eastAsia="Times New Roman" w:hAnsi="Arial" w:cs="Arial"/>
          <w:b/>
          <w:bCs/>
          <w:lang w:val="sr-Latn-ME" w:eastAsia="sr-Latn-ME"/>
        </w:rPr>
        <w:t xml:space="preserve">Zakon o potvrđivanju Okvirnog </w:t>
      </w:r>
      <w:r w:rsidR="00DF5FEC" w:rsidRPr="001302F9">
        <w:rPr>
          <w:rFonts w:ascii="Arial" w:eastAsia="Times New Roman" w:hAnsi="Arial" w:cs="Arial"/>
          <w:b/>
          <w:bCs/>
          <w:lang w:val="sr-Latn-ME" w:eastAsia="sr-Latn-ME"/>
        </w:rPr>
        <w:t>Finansijsk</w:t>
      </w:r>
      <w:r w:rsidRPr="001302F9">
        <w:rPr>
          <w:rFonts w:ascii="Arial" w:eastAsia="Times New Roman" w:hAnsi="Arial" w:cs="Arial"/>
          <w:b/>
          <w:bCs/>
          <w:lang w:val="sr-Latn-ME" w:eastAsia="sr-Latn-ME"/>
        </w:rPr>
        <w:t>og sporazuma o</w:t>
      </w:r>
      <w:r w:rsidR="00DF5FEC" w:rsidRPr="001302F9">
        <w:rPr>
          <w:rFonts w:ascii="Arial" w:eastAsia="Times New Roman" w:hAnsi="Arial" w:cs="Arial"/>
          <w:b/>
          <w:bCs/>
          <w:lang w:val="sr-Latn-ME" w:eastAsia="sr-Latn-ME"/>
        </w:rPr>
        <w:t xml:space="preserve"> partners</w:t>
      </w:r>
      <w:r w:rsidRPr="001302F9">
        <w:rPr>
          <w:rFonts w:ascii="Arial" w:eastAsia="Times New Roman" w:hAnsi="Arial" w:cs="Arial"/>
          <w:b/>
          <w:bCs/>
          <w:lang w:val="sr-Latn-ME" w:eastAsia="sr-Latn-ME"/>
        </w:rPr>
        <w:t>tvu</w:t>
      </w:r>
      <w:r w:rsidR="00DF5FEC" w:rsidRPr="001302F9">
        <w:rPr>
          <w:rFonts w:ascii="Arial" w:eastAsia="Times New Roman" w:hAnsi="Arial" w:cs="Arial"/>
          <w:lang w:val="sr-Latn-ME" w:eastAsia="sr-Latn-ME"/>
        </w:rPr>
        <w:t xml:space="preserve"> između Crne Gore i Evropske komisije </w:t>
      </w:r>
      <w:r w:rsidRPr="001302F9">
        <w:rPr>
          <w:rFonts w:ascii="Arial" w:eastAsia="Times New Roman" w:hAnsi="Arial" w:cs="Arial"/>
          <w:lang w:val="sr-Latn-ME" w:eastAsia="sr-Latn-ME"/>
        </w:rPr>
        <w:t xml:space="preserve">koju predstavlja Vlada Crne Gore </w:t>
      </w:r>
      <w:r w:rsidR="00DF5FEC" w:rsidRPr="001302F9">
        <w:rPr>
          <w:rFonts w:ascii="Arial" w:eastAsia="Times New Roman" w:hAnsi="Arial" w:cs="Arial"/>
          <w:lang w:val="sr-Latn-ME" w:eastAsia="sr-Latn-ME"/>
        </w:rPr>
        <w:t xml:space="preserve">o </w:t>
      </w:r>
      <w:r w:rsidRPr="001302F9">
        <w:rPr>
          <w:rFonts w:ascii="Arial" w:eastAsia="Times New Roman" w:hAnsi="Arial" w:cs="Arial"/>
          <w:lang w:val="sr-Latn-ME" w:eastAsia="sr-Latn-ME"/>
        </w:rPr>
        <w:t xml:space="preserve">modelima sprovođenja </w:t>
      </w:r>
      <w:r w:rsidR="00DF5FEC" w:rsidRPr="001302F9">
        <w:rPr>
          <w:rFonts w:ascii="Arial" w:eastAsia="Times New Roman" w:hAnsi="Arial" w:cs="Arial"/>
          <w:lang w:val="sr-Latn-ME" w:eastAsia="sr-Latn-ME"/>
        </w:rPr>
        <w:t xml:space="preserve">finansijske pomoći </w:t>
      </w:r>
      <w:r w:rsidRPr="001302F9">
        <w:rPr>
          <w:rFonts w:ascii="Arial" w:eastAsia="Times New Roman" w:hAnsi="Arial" w:cs="Arial"/>
          <w:lang w:val="sr-Latn-ME" w:eastAsia="sr-Latn-ME"/>
        </w:rPr>
        <w:t xml:space="preserve">EU Crnoj Gori u </w:t>
      </w:r>
      <w:r w:rsidR="00DF5FEC" w:rsidRPr="001302F9">
        <w:rPr>
          <w:rFonts w:ascii="Arial" w:eastAsia="Times New Roman" w:hAnsi="Arial" w:cs="Arial"/>
          <w:lang w:val="sr-Latn-ME" w:eastAsia="sr-Latn-ME"/>
        </w:rPr>
        <w:t xml:space="preserve">okviru </w:t>
      </w:r>
      <w:r w:rsidRPr="001302F9">
        <w:rPr>
          <w:rFonts w:ascii="Arial" w:eastAsia="Times New Roman" w:hAnsi="Arial" w:cs="Arial"/>
          <w:lang w:val="sr-Latn-ME" w:eastAsia="sr-Latn-ME"/>
        </w:rPr>
        <w:t xml:space="preserve">Instrumenta za pretpristupnu podršku </w:t>
      </w:r>
      <w:r w:rsidRPr="001302F9">
        <w:rPr>
          <w:rFonts w:ascii="Arial" w:eastAsia="Times New Roman" w:hAnsi="Arial" w:cs="Arial"/>
          <w:b/>
          <w:lang w:val="sr-Latn-ME" w:eastAsia="sr-Latn-ME"/>
        </w:rPr>
        <w:t>(</w:t>
      </w:r>
      <w:r w:rsidR="00DF5FEC" w:rsidRPr="001302F9">
        <w:rPr>
          <w:rFonts w:ascii="Arial" w:eastAsia="Times New Roman" w:hAnsi="Arial" w:cs="Arial"/>
          <w:b/>
          <w:bCs/>
          <w:lang w:val="sr-Latn-ME" w:eastAsia="sr-Latn-ME"/>
        </w:rPr>
        <w:t>IPA III</w:t>
      </w:r>
      <w:r w:rsidRPr="001302F9">
        <w:rPr>
          <w:rFonts w:ascii="Arial" w:eastAsia="Times New Roman" w:hAnsi="Arial" w:cs="Arial"/>
          <w:b/>
          <w:bCs/>
          <w:lang w:val="sr-Latn-ME" w:eastAsia="sr-Latn-ME"/>
        </w:rPr>
        <w:t>)</w:t>
      </w:r>
      <w:r w:rsidRPr="001302F9">
        <w:rPr>
          <w:rFonts w:ascii="Arial" w:eastAsia="Times New Roman" w:hAnsi="Arial" w:cs="Arial"/>
          <w:lang w:val="sr-Latn-ME" w:eastAsia="sr-Latn-ME"/>
        </w:rPr>
        <w:t xml:space="preserve"> (</w:t>
      </w:r>
      <w:r w:rsidR="00E007AD" w:rsidRPr="001302F9">
        <w:rPr>
          <w:rFonts w:ascii="Arial" w:eastAsia="Times New Roman" w:hAnsi="Arial" w:cs="Arial"/>
          <w:lang w:val="sr-Latn-ME" w:eastAsia="sr-Latn-ME"/>
        </w:rPr>
        <w:t>„</w:t>
      </w:r>
      <w:r w:rsidRPr="001302F9">
        <w:rPr>
          <w:rFonts w:ascii="Arial" w:eastAsia="Times New Roman" w:hAnsi="Arial" w:cs="Arial"/>
          <w:lang w:val="sr-Latn-ME" w:eastAsia="sr-Latn-ME"/>
        </w:rPr>
        <w:t>Službeni list CG</w:t>
      </w:r>
      <w:r w:rsidR="00E007AD" w:rsidRPr="001302F9">
        <w:rPr>
          <w:rFonts w:ascii="Arial" w:eastAsia="Times New Roman" w:hAnsi="Arial" w:cs="Arial"/>
          <w:lang w:val="sr-Latn-ME" w:eastAsia="sr-Latn-ME"/>
        </w:rPr>
        <w:t xml:space="preserve"> - </w:t>
      </w:r>
      <w:r w:rsidRPr="001302F9">
        <w:rPr>
          <w:rFonts w:ascii="Arial" w:eastAsia="Times New Roman" w:hAnsi="Arial" w:cs="Arial"/>
          <w:lang w:val="sr-Latn-ME" w:eastAsia="sr-Latn-ME"/>
        </w:rPr>
        <w:t>Međunarodni ugovori</w:t>
      </w:r>
      <w:r w:rsidR="00E007AD" w:rsidRPr="001302F9">
        <w:rPr>
          <w:rFonts w:ascii="Arial" w:eastAsia="Times New Roman" w:hAnsi="Arial" w:cs="Arial"/>
          <w:lang w:val="sr-Latn-ME" w:eastAsia="sr-Latn-ME"/>
        </w:rPr>
        <w:t>“,</w:t>
      </w:r>
      <w:r w:rsidRPr="001302F9">
        <w:rPr>
          <w:rFonts w:ascii="Arial" w:eastAsia="Times New Roman" w:hAnsi="Arial" w:cs="Arial"/>
          <w:lang w:val="sr-Latn-ME" w:eastAsia="sr-Latn-ME"/>
        </w:rPr>
        <w:t xml:space="preserve"> br</w:t>
      </w:r>
      <w:r w:rsidR="00E007AD" w:rsidRPr="001302F9">
        <w:rPr>
          <w:rFonts w:ascii="Arial" w:eastAsia="Times New Roman" w:hAnsi="Arial" w:cs="Arial"/>
          <w:lang w:val="sr-Latn-ME" w:eastAsia="sr-Latn-ME"/>
        </w:rPr>
        <w:t>oj</w:t>
      </w:r>
      <w:r w:rsidRPr="001302F9">
        <w:rPr>
          <w:rFonts w:ascii="Arial" w:eastAsia="Times New Roman" w:hAnsi="Arial" w:cs="Arial"/>
          <w:lang w:val="sr-Latn-ME" w:eastAsia="sr-Latn-ME"/>
        </w:rPr>
        <w:t xml:space="preserve"> 6/22)</w:t>
      </w:r>
    </w:p>
    <w:p w:rsidR="006B37FB" w:rsidRPr="001302F9" w:rsidRDefault="00DF5FEC" w:rsidP="00BC2EFA">
      <w:pPr>
        <w:spacing w:before="100" w:beforeAutospacing="1" w:after="100" w:afterAutospacing="1" w:line="240" w:lineRule="auto"/>
        <w:jc w:val="both"/>
        <w:rPr>
          <w:rFonts w:ascii="Arial" w:eastAsia="Times New Roman" w:hAnsi="Arial" w:cs="Arial"/>
          <w:lang w:val="sr-Latn-ME" w:eastAsia="sr-Latn-ME"/>
        </w:rPr>
      </w:pPr>
      <w:r w:rsidRPr="001302F9">
        <w:rPr>
          <w:rFonts w:ascii="Arial" w:eastAsia="Times New Roman" w:hAnsi="Arial" w:cs="Arial"/>
          <w:lang w:val="sr-Latn-ME" w:eastAsia="sr-Latn-ME"/>
        </w:rPr>
        <w:t xml:space="preserve">Članovi </w:t>
      </w:r>
      <w:r w:rsidRPr="001302F9">
        <w:rPr>
          <w:rFonts w:ascii="Arial" w:eastAsia="Times New Roman" w:hAnsi="Arial" w:cs="Arial"/>
          <w:b/>
          <w:bCs/>
          <w:lang w:val="sr-Latn-ME" w:eastAsia="sr-Latn-ME"/>
        </w:rPr>
        <w:t>50 i 51</w:t>
      </w:r>
      <w:r w:rsidRPr="001302F9">
        <w:rPr>
          <w:rFonts w:ascii="Arial" w:eastAsia="Times New Roman" w:hAnsi="Arial" w:cs="Arial"/>
          <w:lang w:val="sr-Latn-ME" w:eastAsia="sr-Latn-ME"/>
        </w:rPr>
        <w:t xml:space="preserve"> ovih sporazuma propisuju </w:t>
      </w:r>
      <w:r w:rsidRPr="001302F9">
        <w:rPr>
          <w:rFonts w:ascii="Arial" w:eastAsia="Times New Roman" w:hAnsi="Arial" w:cs="Arial"/>
          <w:b/>
          <w:bCs/>
          <w:lang w:val="sr-Latn-ME" w:eastAsia="sr-Latn-ME"/>
        </w:rPr>
        <w:t>obavezu Crne Gore da štiti finansijske interese EU</w:t>
      </w:r>
      <w:r w:rsidRPr="001302F9">
        <w:rPr>
          <w:rFonts w:ascii="Arial" w:eastAsia="Times New Roman" w:hAnsi="Arial" w:cs="Arial"/>
          <w:lang w:val="sr-Latn-ME" w:eastAsia="sr-Latn-ME"/>
        </w:rPr>
        <w:t xml:space="preserve"> i daju definicije koje treba primijeniti u tu svrhu.</w:t>
      </w:r>
    </w:p>
    <w:p w:rsidR="008C58AC" w:rsidRPr="005869C4" w:rsidRDefault="0089527D" w:rsidP="009B6B3B">
      <w:pPr>
        <w:pStyle w:val="ListParagraph"/>
        <w:numPr>
          <w:ilvl w:val="0"/>
          <w:numId w:val="24"/>
        </w:numPr>
        <w:spacing w:before="100" w:beforeAutospacing="1" w:after="100" w:afterAutospacing="1" w:line="240" w:lineRule="auto"/>
        <w:rPr>
          <w:rFonts w:cs="Arial"/>
          <w:sz w:val="22"/>
          <w:szCs w:val="22"/>
          <w:lang w:val="sr-Latn-ME" w:eastAsia="sr-Latn-ME"/>
        </w:rPr>
      </w:pPr>
      <w:r w:rsidRPr="005869C4">
        <w:rPr>
          <w:rFonts w:cs="Arial"/>
          <w:b/>
          <w:sz w:val="22"/>
          <w:szCs w:val="22"/>
          <w:lang w:val="sr-Latn-ME" w:eastAsia="sr-Latn-ME"/>
        </w:rPr>
        <w:t>Zakon o potvrđivanju Sporazuma o pristupanju Instrumentu</w:t>
      </w:r>
      <w:r w:rsidRPr="005869C4">
        <w:rPr>
          <w:rFonts w:cs="Arial"/>
          <w:sz w:val="22"/>
          <w:szCs w:val="22"/>
          <w:lang w:val="sr-Latn-ME" w:eastAsia="sr-Latn-ME"/>
        </w:rPr>
        <w:t xml:space="preserve"> između Evropske unije koju predstavlja Komisija i Crne Gore koju predstavlja Vlada Crne Gore o posebnim aranžmanima za sprovođenje podrške Unije Crnoj Gori u okviru Instrumenta za Reforme i Rast („Službeni list CG - Međunarodni ugovori“, broj </w:t>
      </w:r>
      <w:r w:rsidR="00D62564" w:rsidRPr="005869C4">
        <w:rPr>
          <w:rFonts w:cs="Arial"/>
          <w:sz w:val="22"/>
          <w:szCs w:val="22"/>
          <w:lang w:val="sr-Latn-ME" w:eastAsia="sr-Latn-ME"/>
        </w:rPr>
        <w:t>2</w:t>
      </w:r>
      <w:r w:rsidRPr="005869C4">
        <w:rPr>
          <w:rFonts w:cs="Arial"/>
          <w:sz w:val="22"/>
          <w:szCs w:val="22"/>
          <w:lang w:val="sr-Latn-ME" w:eastAsia="sr-Latn-ME"/>
        </w:rPr>
        <w:t>/25)</w:t>
      </w:r>
    </w:p>
    <w:p w:rsidR="006B37FB" w:rsidRPr="001302F9" w:rsidRDefault="00AB49CD" w:rsidP="00BC2EFA">
      <w:pPr>
        <w:spacing w:before="100" w:beforeAutospacing="1" w:after="100" w:afterAutospacing="1" w:line="240" w:lineRule="auto"/>
        <w:jc w:val="both"/>
        <w:outlineLvl w:val="3"/>
        <w:rPr>
          <w:rFonts w:ascii="Arial" w:eastAsia="Times New Roman" w:hAnsi="Arial" w:cs="Arial"/>
          <w:b/>
          <w:bCs/>
          <w:lang w:val="sr-Latn-ME" w:eastAsia="sr-Latn-ME"/>
        </w:rPr>
      </w:pPr>
      <w:r w:rsidRPr="005869C4">
        <w:rPr>
          <w:rFonts w:ascii="Arial" w:eastAsia="Times New Roman" w:hAnsi="Arial" w:cs="Arial"/>
          <w:bCs/>
          <w:lang w:val="sr-Latn-ME" w:eastAsia="sr-Latn-ME"/>
        </w:rPr>
        <w:t>Članovi</w:t>
      </w:r>
      <w:r w:rsidRPr="005869C4">
        <w:rPr>
          <w:rFonts w:ascii="Arial" w:eastAsia="Times New Roman" w:hAnsi="Arial" w:cs="Arial"/>
          <w:b/>
          <w:bCs/>
          <w:lang w:val="sr-Latn-ME" w:eastAsia="sr-Latn-ME"/>
        </w:rPr>
        <w:t xml:space="preserve"> 9, 10, 11 i 12  </w:t>
      </w:r>
      <w:r w:rsidRPr="005869C4">
        <w:rPr>
          <w:rFonts w:ascii="Arial" w:eastAsia="Times New Roman" w:hAnsi="Arial" w:cs="Arial"/>
          <w:bCs/>
          <w:lang w:val="sr-Latn-ME" w:eastAsia="sr-Latn-ME"/>
        </w:rPr>
        <w:t>ovog sporazuma</w:t>
      </w:r>
      <w:r w:rsidRPr="005869C4">
        <w:rPr>
          <w:rFonts w:ascii="Arial" w:eastAsia="Times New Roman" w:hAnsi="Arial" w:cs="Arial"/>
          <w:b/>
          <w:bCs/>
          <w:lang w:val="sr-Latn-ME" w:eastAsia="sr-Latn-ME"/>
        </w:rPr>
        <w:t xml:space="preserve"> </w:t>
      </w:r>
      <w:r w:rsidRPr="005869C4">
        <w:rPr>
          <w:rFonts w:ascii="Arial" w:eastAsia="Times New Roman" w:hAnsi="Arial" w:cs="Arial"/>
          <w:bCs/>
          <w:lang w:val="sr-Latn-ME" w:eastAsia="sr-Latn-ME"/>
        </w:rPr>
        <w:t>propisuju</w:t>
      </w:r>
      <w:r w:rsidRPr="005869C4">
        <w:rPr>
          <w:rFonts w:ascii="Arial" w:eastAsia="Times New Roman" w:hAnsi="Arial" w:cs="Arial"/>
          <w:b/>
          <w:bCs/>
          <w:lang w:val="sr-Latn-ME" w:eastAsia="sr-Latn-ME"/>
        </w:rPr>
        <w:t xml:space="preserve"> obavezu Crne Gore da štiti finansijske interese EU</w:t>
      </w:r>
      <w:r w:rsidR="0006174A" w:rsidRPr="005869C4">
        <w:rPr>
          <w:rFonts w:ascii="Arial" w:eastAsia="Times New Roman" w:hAnsi="Arial" w:cs="Arial"/>
          <w:b/>
          <w:bCs/>
          <w:lang w:val="sr-Latn-ME" w:eastAsia="sr-Latn-ME"/>
        </w:rPr>
        <w:t xml:space="preserve"> </w:t>
      </w:r>
      <w:r w:rsidR="0006174A" w:rsidRPr="005869C4">
        <w:rPr>
          <w:rFonts w:ascii="Arial" w:eastAsia="Times New Roman" w:hAnsi="Arial" w:cs="Arial"/>
          <w:bCs/>
          <w:lang w:val="sr-Latn-ME" w:eastAsia="sr-Latn-ME"/>
        </w:rPr>
        <w:t>i poboljšava efikasnost i efektivnost u kontekstu usklađivanja sa pravnom tekovinom EU, gdje ključnu, koordinativnu ulogu, ima Direkcija za suzbijanje nepravilnosti i prevara/AFCOS u Ministarstvu finansija.</w:t>
      </w:r>
    </w:p>
    <w:p w:rsidR="00DF5FEC" w:rsidRPr="001302F9" w:rsidRDefault="00DF5FEC" w:rsidP="00BC2EFA">
      <w:pPr>
        <w:spacing w:before="100" w:beforeAutospacing="1" w:after="100" w:afterAutospacing="1" w:line="240" w:lineRule="auto"/>
        <w:jc w:val="both"/>
        <w:outlineLvl w:val="3"/>
        <w:rPr>
          <w:rFonts w:ascii="Arial" w:eastAsia="Times New Roman" w:hAnsi="Arial" w:cs="Arial"/>
          <w:b/>
          <w:bCs/>
          <w:lang w:val="sr-Latn-ME" w:eastAsia="sr-Latn-ME"/>
        </w:rPr>
      </w:pPr>
      <w:r w:rsidRPr="001302F9">
        <w:rPr>
          <w:rFonts w:ascii="Arial" w:eastAsia="Times New Roman" w:hAnsi="Arial" w:cs="Arial"/>
          <w:b/>
          <w:bCs/>
          <w:lang w:val="sr-Latn-ME" w:eastAsia="sr-Latn-ME"/>
        </w:rPr>
        <w:t>Zakon o budžetu i fiskalnoj odgovornosti</w:t>
      </w:r>
    </w:p>
    <w:p w:rsidR="00DF5FEC" w:rsidRPr="001302F9" w:rsidRDefault="00DF5FEC" w:rsidP="003E485D">
      <w:pPr>
        <w:spacing w:before="100" w:beforeAutospacing="1" w:after="100" w:afterAutospacing="1" w:line="240" w:lineRule="auto"/>
        <w:jc w:val="both"/>
        <w:rPr>
          <w:rFonts w:ascii="Arial" w:eastAsia="Times New Roman" w:hAnsi="Arial" w:cs="Arial"/>
          <w:lang w:val="sr-Latn-ME" w:eastAsia="sr-Latn-ME"/>
        </w:rPr>
      </w:pPr>
      <w:r w:rsidRPr="001302F9">
        <w:rPr>
          <w:rFonts w:ascii="Arial" w:eastAsia="Times New Roman" w:hAnsi="Arial" w:cs="Arial"/>
          <w:lang w:val="sr-Latn-ME" w:eastAsia="sr-Latn-ME"/>
        </w:rPr>
        <w:t xml:space="preserve">Član </w:t>
      </w:r>
      <w:r w:rsidRPr="001302F9">
        <w:rPr>
          <w:rFonts w:ascii="Arial" w:eastAsia="Times New Roman" w:hAnsi="Arial" w:cs="Arial"/>
          <w:b/>
          <w:bCs/>
          <w:lang w:val="sr-Latn-ME" w:eastAsia="sr-Latn-ME"/>
        </w:rPr>
        <w:t>76a</w:t>
      </w:r>
      <w:r w:rsidRPr="001302F9">
        <w:rPr>
          <w:rFonts w:ascii="Arial" w:eastAsia="Times New Roman" w:hAnsi="Arial" w:cs="Arial"/>
          <w:lang w:val="sr-Latn-ME" w:eastAsia="sr-Latn-ME"/>
        </w:rPr>
        <w:t xml:space="preserve"> ovog zakona propisuje da Crna Gora, kao korisnik EU fondova, obezbjeđuje </w:t>
      </w:r>
      <w:r w:rsidRPr="001302F9">
        <w:rPr>
          <w:rFonts w:ascii="Arial" w:eastAsia="Times New Roman" w:hAnsi="Arial" w:cs="Arial"/>
          <w:b/>
          <w:bCs/>
          <w:lang w:val="sr-Latn-ME" w:eastAsia="sr-Latn-ME"/>
        </w:rPr>
        <w:t>indirektno upravljanje IPA fondovima</w:t>
      </w:r>
      <w:r w:rsidRPr="001302F9">
        <w:rPr>
          <w:rFonts w:ascii="Arial" w:eastAsia="Times New Roman" w:hAnsi="Arial" w:cs="Arial"/>
          <w:lang w:val="sr-Latn-ME" w:eastAsia="sr-Latn-ME"/>
        </w:rPr>
        <w:t xml:space="preserve"> i zaštitu finansijskih interesa EU kroz </w:t>
      </w:r>
      <w:r w:rsidRPr="001302F9">
        <w:rPr>
          <w:rFonts w:ascii="Arial" w:eastAsia="Times New Roman" w:hAnsi="Arial" w:cs="Arial"/>
          <w:b/>
          <w:bCs/>
          <w:lang w:val="sr-Latn-ME" w:eastAsia="sr-Latn-ME"/>
        </w:rPr>
        <w:t>uspostavljanje sistema za prevenciju nepravilnosti i prevara</w:t>
      </w:r>
      <w:r w:rsidR="003E485D" w:rsidRPr="001302F9">
        <w:rPr>
          <w:rFonts w:ascii="Arial" w:eastAsia="Times New Roman" w:hAnsi="Arial" w:cs="Arial"/>
          <w:lang w:val="sr-Latn-ME" w:eastAsia="sr-Latn-ME"/>
        </w:rPr>
        <w:t xml:space="preserve"> koji</w:t>
      </w:r>
      <w:r w:rsidRPr="001302F9">
        <w:rPr>
          <w:rFonts w:ascii="Arial" w:eastAsia="Times New Roman" w:hAnsi="Arial" w:cs="Arial"/>
          <w:lang w:val="sr-Latn-ME" w:eastAsia="sr-Latn-ME"/>
        </w:rPr>
        <w:t xml:space="preserve"> koordini</w:t>
      </w:r>
      <w:r w:rsidR="00846DC4" w:rsidRPr="001302F9">
        <w:rPr>
          <w:rFonts w:ascii="Arial" w:eastAsia="Times New Roman" w:hAnsi="Arial" w:cs="Arial"/>
          <w:lang w:val="sr-Latn-ME" w:eastAsia="sr-Latn-ME"/>
        </w:rPr>
        <w:t>še</w:t>
      </w:r>
      <w:r w:rsidRPr="001302F9">
        <w:rPr>
          <w:rFonts w:ascii="Arial" w:eastAsia="Times New Roman" w:hAnsi="Arial" w:cs="Arial"/>
          <w:lang w:val="sr-Latn-ME" w:eastAsia="sr-Latn-ME"/>
        </w:rPr>
        <w:t xml:space="preserve"> </w:t>
      </w:r>
      <w:r w:rsidRPr="001302F9">
        <w:rPr>
          <w:rFonts w:ascii="Arial" w:eastAsia="Times New Roman" w:hAnsi="Arial" w:cs="Arial"/>
          <w:b/>
          <w:bCs/>
          <w:lang w:val="sr-Latn-ME" w:eastAsia="sr-Latn-ME"/>
        </w:rPr>
        <w:t>pravne, administrativne i operativne aktivnosti</w:t>
      </w:r>
      <w:r w:rsidRPr="001302F9">
        <w:rPr>
          <w:rFonts w:ascii="Arial" w:eastAsia="Times New Roman" w:hAnsi="Arial" w:cs="Arial"/>
          <w:lang w:val="sr-Latn-ME" w:eastAsia="sr-Latn-ME"/>
        </w:rPr>
        <w:t xml:space="preserve"> i direktno sarađuje sa </w:t>
      </w:r>
      <w:r w:rsidRPr="001302F9">
        <w:rPr>
          <w:rFonts w:ascii="Arial" w:eastAsia="Times New Roman" w:hAnsi="Arial" w:cs="Arial"/>
          <w:b/>
          <w:bCs/>
          <w:lang w:val="sr-Latn-ME" w:eastAsia="sr-Latn-ME"/>
        </w:rPr>
        <w:t>OLAF-om</w:t>
      </w:r>
      <w:r w:rsidRPr="001302F9">
        <w:rPr>
          <w:rFonts w:ascii="Arial" w:eastAsia="Times New Roman" w:hAnsi="Arial" w:cs="Arial"/>
          <w:lang w:val="sr-Latn-ME" w:eastAsia="sr-Latn-ME"/>
        </w:rPr>
        <w:t xml:space="preserve"> (</w:t>
      </w:r>
      <w:r w:rsidRPr="001302F9">
        <w:rPr>
          <w:rFonts w:ascii="Arial" w:eastAsia="Times New Roman" w:hAnsi="Arial" w:cs="Arial"/>
          <w:i/>
          <w:iCs/>
          <w:lang w:val="sr-Latn-ME" w:eastAsia="sr-Latn-ME"/>
        </w:rPr>
        <w:t>Evropsk</w:t>
      </w:r>
      <w:r w:rsidR="00846DC4" w:rsidRPr="001302F9">
        <w:rPr>
          <w:rFonts w:ascii="Arial" w:eastAsia="Times New Roman" w:hAnsi="Arial" w:cs="Arial"/>
          <w:i/>
          <w:iCs/>
          <w:lang w:val="sr-Latn-ME" w:eastAsia="sr-Latn-ME"/>
        </w:rPr>
        <w:t>o</w:t>
      </w:r>
      <w:r w:rsidRPr="001302F9">
        <w:rPr>
          <w:rFonts w:ascii="Arial" w:eastAsia="Times New Roman" w:hAnsi="Arial" w:cs="Arial"/>
          <w:i/>
          <w:iCs/>
          <w:lang w:val="sr-Latn-ME" w:eastAsia="sr-Latn-ME"/>
        </w:rPr>
        <w:t xml:space="preserve">m </w:t>
      </w:r>
      <w:r w:rsidR="00846DC4" w:rsidRPr="001302F9">
        <w:rPr>
          <w:rFonts w:ascii="Arial" w:eastAsia="Times New Roman" w:hAnsi="Arial" w:cs="Arial"/>
          <w:i/>
          <w:iCs/>
          <w:lang w:val="sr-Latn-ME" w:eastAsia="sr-Latn-ME"/>
        </w:rPr>
        <w:t>kancelarijom</w:t>
      </w:r>
      <w:r w:rsidRPr="001302F9">
        <w:rPr>
          <w:rFonts w:ascii="Arial" w:eastAsia="Times New Roman" w:hAnsi="Arial" w:cs="Arial"/>
          <w:i/>
          <w:iCs/>
          <w:lang w:val="sr-Latn-ME" w:eastAsia="sr-Latn-ME"/>
        </w:rPr>
        <w:t xml:space="preserve"> za borbu protiv prevara</w:t>
      </w:r>
      <w:r w:rsidRPr="001302F9">
        <w:rPr>
          <w:rFonts w:ascii="Arial" w:eastAsia="Times New Roman" w:hAnsi="Arial" w:cs="Arial"/>
          <w:lang w:val="sr-Latn-ME" w:eastAsia="sr-Latn-ME"/>
        </w:rPr>
        <w:t>).</w:t>
      </w:r>
    </w:p>
    <w:p w:rsidR="00440094" w:rsidRPr="001302F9" w:rsidRDefault="00440094" w:rsidP="00BC2EFA">
      <w:pPr>
        <w:tabs>
          <w:tab w:val="num" w:pos="720"/>
        </w:tabs>
        <w:jc w:val="both"/>
        <w:rPr>
          <w:rFonts w:ascii="Arial" w:hAnsi="Arial" w:cs="Arial"/>
          <w:b/>
          <w:bCs/>
          <w:lang w:val="sr-Latn-ME" w:eastAsia="x-none"/>
        </w:rPr>
      </w:pPr>
      <w:r w:rsidRPr="001302F9">
        <w:rPr>
          <w:rFonts w:ascii="Arial" w:hAnsi="Arial" w:cs="Arial"/>
          <w:b/>
          <w:bCs/>
          <w:lang w:val="sr-Latn-ME" w:eastAsia="x-none"/>
        </w:rPr>
        <w:t xml:space="preserve">Odluka o izmjenama Odluke o osnivanju Koordinacionog tijela za praćenje i upravljanje politikom prevencije i borbe protiv nepravilnosti radi zaštite finansijskih interesa EU (AFCOS </w:t>
      </w:r>
      <w:r w:rsidR="008C55EB" w:rsidRPr="001302F9">
        <w:rPr>
          <w:rFonts w:ascii="Arial" w:hAnsi="Arial" w:cs="Arial"/>
          <w:b/>
          <w:bCs/>
          <w:lang w:val="sr-Latn-ME" w:eastAsia="x-none"/>
        </w:rPr>
        <w:t>m</w:t>
      </w:r>
      <w:r w:rsidRPr="001302F9">
        <w:rPr>
          <w:rFonts w:ascii="Arial" w:hAnsi="Arial" w:cs="Arial"/>
          <w:b/>
          <w:bCs/>
          <w:lang w:val="sr-Latn-ME" w:eastAsia="x-none"/>
        </w:rPr>
        <w:t>reža)</w:t>
      </w:r>
    </w:p>
    <w:p w:rsidR="00440094" w:rsidRPr="001302F9" w:rsidRDefault="00440094" w:rsidP="00BC2EFA">
      <w:pPr>
        <w:tabs>
          <w:tab w:val="num" w:pos="720"/>
        </w:tabs>
        <w:jc w:val="both"/>
        <w:rPr>
          <w:rFonts w:ascii="Arial" w:hAnsi="Arial" w:cs="Arial"/>
          <w:bCs/>
          <w:lang w:val="sr-Latn-ME" w:eastAsia="x-none"/>
        </w:rPr>
      </w:pPr>
      <w:r w:rsidRPr="001302F9">
        <w:rPr>
          <w:rFonts w:ascii="Arial" w:hAnsi="Arial" w:cs="Arial"/>
          <w:bCs/>
          <w:lang w:val="sr-Latn-ME" w:eastAsia="x-none"/>
        </w:rPr>
        <w:t xml:space="preserve">Ovom odlukom propisano je osnivanje Koordinacionog tijela, koje čine predstavnici različitih institucija, uključujući: Ministarstvo pravde, Ministarstvo unutrašnjih poslova, Upravu policije, </w:t>
      </w:r>
      <w:r w:rsidR="006F25E2" w:rsidRPr="001302F9">
        <w:rPr>
          <w:rFonts w:ascii="Arial" w:hAnsi="Arial" w:cs="Arial"/>
          <w:bCs/>
          <w:lang w:val="sr-Latn-ME" w:eastAsia="x-none"/>
        </w:rPr>
        <w:t>Upravu prihoda i carina</w:t>
      </w:r>
      <w:r w:rsidRPr="001302F9">
        <w:rPr>
          <w:rFonts w:ascii="Arial" w:hAnsi="Arial" w:cs="Arial"/>
          <w:bCs/>
          <w:lang w:val="sr-Latn-ME" w:eastAsia="x-none"/>
        </w:rPr>
        <w:t>,</w:t>
      </w:r>
      <w:r w:rsidR="006F25E2" w:rsidRPr="001302F9">
        <w:rPr>
          <w:rFonts w:ascii="Arial" w:hAnsi="Arial" w:cs="Arial"/>
          <w:bCs/>
          <w:lang w:val="sr-Latn-ME" w:eastAsia="x-none"/>
        </w:rPr>
        <w:t xml:space="preserve"> </w:t>
      </w:r>
      <w:r w:rsidRPr="001302F9">
        <w:rPr>
          <w:rFonts w:ascii="Arial" w:hAnsi="Arial" w:cs="Arial"/>
          <w:bCs/>
          <w:lang w:val="sr-Latn-ME" w:eastAsia="x-none"/>
        </w:rPr>
        <w:t>Vrhovno državno tužilaštvo, Agenciju za sprječavanje korupcije, Ministarstvo evropskih poslova, Ministarstvo finansija. U okviru ove odluke takođe su definisani zadaci ovih institucija.</w:t>
      </w:r>
    </w:p>
    <w:p w:rsidR="00440094" w:rsidRPr="001302F9" w:rsidRDefault="00440094" w:rsidP="00BC2EFA">
      <w:pPr>
        <w:tabs>
          <w:tab w:val="num" w:pos="720"/>
        </w:tabs>
        <w:jc w:val="both"/>
        <w:rPr>
          <w:rFonts w:ascii="Arial" w:hAnsi="Arial" w:cs="Arial"/>
          <w:bCs/>
          <w:lang w:val="sr-Latn-ME" w:eastAsia="x-none"/>
        </w:rPr>
      </w:pPr>
      <w:r w:rsidRPr="001302F9">
        <w:rPr>
          <w:rFonts w:ascii="Arial" w:hAnsi="Arial" w:cs="Arial"/>
          <w:b/>
          <w:bCs/>
          <w:lang w:val="sr-Latn-ME" w:eastAsia="x-none"/>
        </w:rPr>
        <w:t>Uredb</w:t>
      </w:r>
      <w:r w:rsidR="00D700DE" w:rsidRPr="001302F9">
        <w:rPr>
          <w:rFonts w:ascii="Arial" w:hAnsi="Arial" w:cs="Arial"/>
          <w:b/>
          <w:bCs/>
          <w:lang w:val="sr-Latn-ME" w:eastAsia="x-none"/>
        </w:rPr>
        <w:t>a</w:t>
      </w:r>
      <w:r w:rsidRPr="001302F9">
        <w:rPr>
          <w:rFonts w:ascii="Arial" w:hAnsi="Arial" w:cs="Arial"/>
          <w:b/>
          <w:bCs/>
          <w:lang w:val="sr-Latn-ME" w:eastAsia="x-none"/>
        </w:rPr>
        <w:t xml:space="preserve"> o detaljnom procesu organizacije indirektnog upravljanja za sprovođenje finansijske pomoći Unije u okviru Instrumenta za pretpristupnu pomoć (IPA III)</w:t>
      </w:r>
      <w:r w:rsidR="00D700DE" w:rsidRPr="001302F9">
        <w:rPr>
          <w:rFonts w:ascii="Arial" w:hAnsi="Arial" w:cs="Arial"/>
          <w:b/>
          <w:bCs/>
          <w:lang w:val="sr-Latn-ME" w:eastAsia="x-none"/>
        </w:rPr>
        <w:t>,</w:t>
      </w:r>
      <w:r w:rsidRPr="001302F9">
        <w:rPr>
          <w:rFonts w:ascii="Arial" w:hAnsi="Arial" w:cs="Arial"/>
          <w:bCs/>
          <w:lang w:val="sr-Latn-ME" w:eastAsia="x-none"/>
        </w:rPr>
        <w:t xml:space="preserve"> </w:t>
      </w:r>
      <w:r w:rsidR="00D700DE" w:rsidRPr="001302F9">
        <w:rPr>
          <w:rFonts w:ascii="Arial" w:hAnsi="Arial" w:cs="Arial"/>
          <w:bCs/>
          <w:lang w:val="sr-Latn-ME" w:eastAsia="x-none"/>
        </w:rPr>
        <w:t>poglavljem</w:t>
      </w:r>
      <w:r w:rsidR="00D700DE" w:rsidRPr="001302F9">
        <w:rPr>
          <w:rFonts w:ascii="Arial" w:hAnsi="Arial" w:cs="Arial"/>
          <w:b/>
          <w:bCs/>
          <w:lang w:val="sr-Latn-ME" w:eastAsia="x-none"/>
        </w:rPr>
        <w:t xml:space="preserve"> </w:t>
      </w:r>
      <w:r w:rsidR="00D700DE" w:rsidRPr="001302F9">
        <w:rPr>
          <w:rFonts w:ascii="Arial" w:hAnsi="Arial" w:cs="Arial"/>
          <w:bCs/>
          <w:lang w:val="sr-Latn-ME" w:eastAsia="x-none"/>
        </w:rPr>
        <w:t>9.2.</w:t>
      </w:r>
      <w:r w:rsidR="00D700DE" w:rsidRPr="001302F9">
        <w:rPr>
          <w:rFonts w:ascii="Arial" w:hAnsi="Arial" w:cs="Arial"/>
          <w:b/>
          <w:bCs/>
          <w:lang w:val="sr-Latn-ME" w:eastAsia="x-none"/>
        </w:rPr>
        <w:t xml:space="preserve"> </w:t>
      </w:r>
      <w:r w:rsidRPr="001302F9">
        <w:rPr>
          <w:rFonts w:ascii="Arial" w:hAnsi="Arial" w:cs="Arial"/>
          <w:bCs/>
          <w:lang w:val="sr-Latn-ME" w:eastAsia="x-none"/>
        </w:rPr>
        <w:t>propisuje zadat</w:t>
      </w:r>
      <w:r w:rsidR="00007A9E" w:rsidRPr="001302F9">
        <w:rPr>
          <w:rFonts w:ascii="Arial" w:hAnsi="Arial" w:cs="Arial"/>
          <w:bCs/>
          <w:lang w:val="sr-Latn-ME" w:eastAsia="x-none"/>
        </w:rPr>
        <w:t>k</w:t>
      </w:r>
      <w:r w:rsidRPr="001302F9">
        <w:rPr>
          <w:rFonts w:ascii="Arial" w:hAnsi="Arial" w:cs="Arial"/>
          <w:bCs/>
          <w:lang w:val="sr-Latn-ME" w:eastAsia="x-none"/>
        </w:rPr>
        <w:t>e AFCOS-a.</w:t>
      </w:r>
    </w:p>
    <w:p w:rsidR="00440094" w:rsidRPr="001302F9" w:rsidRDefault="00440094" w:rsidP="00440094">
      <w:pPr>
        <w:tabs>
          <w:tab w:val="num" w:pos="720"/>
        </w:tabs>
        <w:jc w:val="both"/>
        <w:rPr>
          <w:rFonts w:ascii="Arial" w:hAnsi="Arial" w:cs="Arial"/>
          <w:bCs/>
          <w:lang w:val="sr-Latn-ME" w:eastAsia="x-none"/>
        </w:rPr>
      </w:pPr>
      <w:r w:rsidRPr="001302F9">
        <w:rPr>
          <w:rFonts w:ascii="Arial" w:hAnsi="Arial" w:cs="Arial"/>
          <w:bCs/>
          <w:lang w:val="sr-Latn-ME" w:eastAsia="x-none"/>
        </w:rPr>
        <w:t xml:space="preserve">Dodatno, </w:t>
      </w:r>
      <w:r w:rsidRPr="001302F9">
        <w:rPr>
          <w:rFonts w:ascii="Arial" w:hAnsi="Arial" w:cs="Arial"/>
          <w:b/>
          <w:bCs/>
          <w:lang w:val="sr-Latn-ME" w:eastAsia="x-none"/>
        </w:rPr>
        <w:t>Pravilnik o unutrašnjoj organizaciji i sistematizaciji Ministarstva finansija</w:t>
      </w:r>
      <w:r w:rsidR="00D700DE" w:rsidRPr="001302F9">
        <w:rPr>
          <w:rFonts w:ascii="Arial" w:hAnsi="Arial" w:cs="Arial"/>
          <w:bCs/>
          <w:lang w:val="sr-Latn-ME" w:eastAsia="x-none"/>
        </w:rPr>
        <w:t xml:space="preserve">, </w:t>
      </w:r>
      <w:r w:rsidRPr="001302F9">
        <w:rPr>
          <w:rFonts w:ascii="Arial" w:hAnsi="Arial" w:cs="Arial"/>
          <w:bCs/>
          <w:lang w:val="sr-Latn-ME" w:eastAsia="x-none"/>
        </w:rPr>
        <w:t xml:space="preserve"> </w:t>
      </w:r>
      <w:r w:rsidR="00D700DE" w:rsidRPr="001302F9">
        <w:rPr>
          <w:rFonts w:ascii="Arial" w:hAnsi="Arial" w:cs="Arial"/>
          <w:bCs/>
          <w:lang w:val="sr-Latn-ME" w:eastAsia="x-none"/>
        </w:rPr>
        <w:t xml:space="preserve">članom 14. </w:t>
      </w:r>
      <w:r w:rsidRPr="001302F9">
        <w:rPr>
          <w:rFonts w:ascii="Arial" w:hAnsi="Arial" w:cs="Arial"/>
          <w:bCs/>
          <w:lang w:val="sr-Latn-ME" w:eastAsia="x-none"/>
        </w:rPr>
        <w:t>precizira nadležnosti AFCOS-a.</w:t>
      </w:r>
    </w:p>
    <w:p w:rsidR="00D700DE" w:rsidRPr="001302F9" w:rsidRDefault="00440094" w:rsidP="00440094">
      <w:pPr>
        <w:tabs>
          <w:tab w:val="num" w:pos="720"/>
        </w:tabs>
        <w:jc w:val="both"/>
        <w:rPr>
          <w:rFonts w:ascii="Arial" w:hAnsi="Arial" w:cs="Arial"/>
          <w:b/>
          <w:bCs/>
          <w:lang w:val="sr-Latn-ME" w:eastAsia="x-none"/>
        </w:rPr>
      </w:pPr>
      <w:r w:rsidRPr="001302F9">
        <w:rPr>
          <w:rFonts w:ascii="Arial" w:hAnsi="Arial" w:cs="Arial"/>
          <w:b/>
          <w:bCs/>
          <w:lang w:val="sr-Latn-ME" w:eastAsia="x-none"/>
        </w:rPr>
        <w:t>Krivični zakonik</w:t>
      </w:r>
      <w:r w:rsidR="00D700DE" w:rsidRPr="001302F9">
        <w:rPr>
          <w:rFonts w:ascii="Arial" w:hAnsi="Arial" w:cs="Arial"/>
          <w:b/>
          <w:bCs/>
          <w:lang w:val="sr-Latn-ME" w:eastAsia="x-none"/>
        </w:rPr>
        <w:t xml:space="preserve"> Crne Gore</w:t>
      </w:r>
    </w:p>
    <w:p w:rsidR="00D700DE" w:rsidRPr="001302F9" w:rsidRDefault="00440094" w:rsidP="00440094">
      <w:pPr>
        <w:tabs>
          <w:tab w:val="num" w:pos="720"/>
        </w:tabs>
        <w:jc w:val="both"/>
        <w:rPr>
          <w:rFonts w:ascii="Arial" w:hAnsi="Arial" w:cs="Arial"/>
          <w:bCs/>
          <w:lang w:val="sr-Latn-ME" w:eastAsia="x-none"/>
        </w:rPr>
      </w:pPr>
      <w:r w:rsidRPr="001302F9">
        <w:rPr>
          <w:rFonts w:ascii="Arial" w:hAnsi="Arial" w:cs="Arial"/>
          <w:bCs/>
          <w:lang w:val="sr-Latn-ME" w:eastAsia="x-none"/>
        </w:rPr>
        <w:t>Crna Gora osigurava zaštitu finansijskih interesa EU kroz Krivični zakonik, koji je djelimično usklađen sa Direktivom (EU) 2017/1371 Evropskog parlamenta i Savjeta od 5. jula 2017. godine o borbi protiv prevara koje štete finansijskim interesima EU putem krivičnog prava</w:t>
      </w:r>
      <w:r w:rsidR="00D700DE" w:rsidRPr="001302F9">
        <w:rPr>
          <w:rFonts w:ascii="Arial" w:hAnsi="Arial" w:cs="Arial"/>
          <w:bCs/>
          <w:lang w:val="sr-Latn-ME" w:eastAsia="x-none"/>
        </w:rPr>
        <w:t xml:space="preserve"> (PIF Direktiva)</w:t>
      </w:r>
      <w:r w:rsidRPr="001302F9">
        <w:rPr>
          <w:rFonts w:ascii="Arial" w:hAnsi="Arial" w:cs="Arial"/>
          <w:bCs/>
          <w:lang w:val="sr-Latn-ME" w:eastAsia="x-none"/>
        </w:rPr>
        <w:t>.</w:t>
      </w:r>
    </w:p>
    <w:p w:rsidR="00440094" w:rsidRPr="001302F9" w:rsidRDefault="00440094" w:rsidP="00440094">
      <w:pPr>
        <w:tabs>
          <w:tab w:val="num" w:pos="720"/>
        </w:tabs>
        <w:jc w:val="both"/>
        <w:rPr>
          <w:rFonts w:ascii="Arial" w:hAnsi="Arial" w:cs="Arial"/>
          <w:bCs/>
          <w:lang w:val="sr-Latn-ME" w:eastAsia="x-none"/>
        </w:rPr>
      </w:pPr>
      <w:r w:rsidRPr="001302F9">
        <w:rPr>
          <w:rFonts w:ascii="Arial" w:hAnsi="Arial" w:cs="Arial"/>
          <w:bCs/>
          <w:lang w:val="sr-Latn-ME" w:eastAsia="x-none"/>
        </w:rPr>
        <w:t>Krivični zakonik sadrži</w:t>
      </w:r>
      <w:r w:rsidR="00B00961" w:rsidRPr="001302F9">
        <w:rPr>
          <w:rFonts w:ascii="Arial" w:hAnsi="Arial" w:cs="Arial"/>
          <w:bCs/>
          <w:lang w:val="sr-Latn-ME" w:eastAsia="x-none"/>
        </w:rPr>
        <w:t xml:space="preserve"> d</w:t>
      </w:r>
      <w:r w:rsidRPr="001302F9">
        <w:rPr>
          <w:rFonts w:ascii="Arial" w:hAnsi="Arial" w:cs="Arial"/>
          <w:bCs/>
          <w:lang w:val="sr-Latn-ME" w:eastAsia="x-none"/>
        </w:rPr>
        <w:t>efiniciju prevare</w:t>
      </w:r>
      <w:r w:rsidR="00D700DE" w:rsidRPr="001302F9">
        <w:rPr>
          <w:rFonts w:ascii="Arial" w:hAnsi="Arial" w:cs="Arial"/>
          <w:bCs/>
          <w:lang w:val="sr-Latn-ME" w:eastAsia="x-none"/>
        </w:rPr>
        <w:t xml:space="preserve"> i </w:t>
      </w:r>
      <w:r w:rsidRPr="001302F9">
        <w:rPr>
          <w:rFonts w:ascii="Arial" w:hAnsi="Arial" w:cs="Arial"/>
          <w:bCs/>
          <w:lang w:val="sr-Latn-ME" w:eastAsia="x-none"/>
        </w:rPr>
        <w:t>krivične sankcije za izvršenje prevarnih radnji protiv finansijskih interesa EU.</w:t>
      </w:r>
    </w:p>
    <w:p w:rsidR="00071AA2" w:rsidRPr="001302F9" w:rsidRDefault="00EF43E5" w:rsidP="00071AA2">
      <w:pPr>
        <w:tabs>
          <w:tab w:val="num" w:pos="720"/>
        </w:tabs>
        <w:jc w:val="both"/>
        <w:rPr>
          <w:rFonts w:ascii="Arial" w:hAnsi="Arial" w:cs="Arial"/>
          <w:b/>
          <w:lang w:val="sr-Latn-ME" w:eastAsia="x-none"/>
        </w:rPr>
      </w:pPr>
      <w:r w:rsidRPr="001302F9">
        <w:rPr>
          <w:rFonts w:ascii="Arial" w:hAnsi="Arial" w:cs="Arial"/>
          <w:b/>
          <w:lang w:val="sr-Latn-ME" w:eastAsia="x-none"/>
        </w:rPr>
        <w:t>1.5. EU legislativa</w:t>
      </w:r>
    </w:p>
    <w:p w:rsidR="006D15B5" w:rsidRPr="001302F9" w:rsidRDefault="001A55EA" w:rsidP="004C07B1">
      <w:pPr>
        <w:spacing w:before="120" w:after="120" w:line="240" w:lineRule="auto"/>
        <w:jc w:val="both"/>
        <w:rPr>
          <w:rFonts w:ascii="Arial" w:hAnsi="Arial" w:cs="Arial"/>
          <w:lang w:val="sr-Latn-ME"/>
        </w:rPr>
      </w:pPr>
      <w:r w:rsidRPr="001302F9">
        <w:rPr>
          <w:rFonts w:ascii="Arial" w:hAnsi="Arial" w:cs="Arial"/>
          <w:b/>
          <w:bCs/>
          <w:lang w:val="sr-Latn-ME"/>
        </w:rPr>
        <w:t>Član 325. Ugovora o funkcioni</w:t>
      </w:r>
      <w:r w:rsidR="00A834A5" w:rsidRPr="001302F9">
        <w:rPr>
          <w:rFonts w:ascii="Arial" w:hAnsi="Arial" w:cs="Arial"/>
          <w:b/>
          <w:bCs/>
          <w:lang w:val="sr-Latn-ME"/>
        </w:rPr>
        <w:t>s</w:t>
      </w:r>
      <w:r w:rsidRPr="001302F9">
        <w:rPr>
          <w:rFonts w:ascii="Arial" w:hAnsi="Arial" w:cs="Arial"/>
          <w:b/>
          <w:bCs/>
          <w:lang w:val="sr-Latn-ME"/>
        </w:rPr>
        <w:t>anju EU</w:t>
      </w:r>
      <w:r w:rsidRPr="001302F9">
        <w:rPr>
          <w:rFonts w:ascii="Arial" w:hAnsi="Arial" w:cs="Arial"/>
          <w:bCs/>
          <w:lang w:val="sr-Latn-ME"/>
        </w:rPr>
        <w:t xml:space="preserve"> zahtijeva od država članica da štite finansijske interese </w:t>
      </w:r>
      <w:r w:rsidR="009C086E" w:rsidRPr="001302F9">
        <w:rPr>
          <w:rFonts w:ascii="Arial" w:hAnsi="Arial" w:cs="Arial"/>
          <w:bCs/>
          <w:lang w:val="sr-Latn-ME"/>
        </w:rPr>
        <w:t>Unije</w:t>
      </w:r>
      <w:r w:rsidRPr="001302F9">
        <w:rPr>
          <w:rFonts w:ascii="Arial" w:hAnsi="Arial" w:cs="Arial"/>
          <w:bCs/>
          <w:lang w:val="sr-Latn-ME"/>
        </w:rPr>
        <w:t xml:space="preserve"> na isti način kao i nacionalne finansijske interese:</w:t>
      </w:r>
    </w:p>
    <w:p w:rsidR="006D15B5" w:rsidRPr="001302F9" w:rsidRDefault="006D15B5" w:rsidP="004C07B1">
      <w:pPr>
        <w:spacing w:before="120" w:after="120" w:line="240" w:lineRule="auto"/>
        <w:jc w:val="both"/>
        <w:rPr>
          <w:rFonts w:ascii="Arial" w:hAnsi="Arial" w:cs="Arial"/>
          <w:lang w:val="sr-Latn-ME"/>
        </w:rPr>
      </w:pPr>
      <w:r w:rsidRPr="001302F9">
        <w:rPr>
          <w:rFonts w:ascii="Arial" w:hAnsi="Arial" w:cs="Arial"/>
          <w:lang w:val="sr-Latn-ME"/>
        </w:rPr>
        <w:t xml:space="preserve">“1. </w:t>
      </w:r>
      <w:r w:rsidR="001A55EA" w:rsidRPr="001302F9">
        <w:rPr>
          <w:rFonts w:ascii="Arial" w:hAnsi="Arial" w:cs="Arial"/>
          <w:lang w:val="sr-Latn-ME"/>
        </w:rPr>
        <w:t>Unija i države članice će se suprotstaviti prevari i svim drugim nezakonitim aktivnostima koje ut</w:t>
      </w:r>
      <w:r w:rsidR="00846DC4" w:rsidRPr="001302F9">
        <w:rPr>
          <w:rFonts w:ascii="Arial" w:hAnsi="Arial" w:cs="Arial"/>
          <w:lang w:val="sr-Latn-ME"/>
        </w:rPr>
        <w:t>i</w:t>
      </w:r>
      <w:r w:rsidR="001A55EA" w:rsidRPr="001302F9">
        <w:rPr>
          <w:rFonts w:ascii="Arial" w:hAnsi="Arial" w:cs="Arial"/>
          <w:lang w:val="sr-Latn-ME"/>
        </w:rPr>
        <w:t>ču na finansijske interese EU kroz mjere koje treba p</w:t>
      </w:r>
      <w:r w:rsidR="00846DC4" w:rsidRPr="001302F9">
        <w:rPr>
          <w:rFonts w:ascii="Arial" w:hAnsi="Arial" w:cs="Arial"/>
          <w:lang w:val="sr-Latn-ME"/>
        </w:rPr>
        <w:t>re</w:t>
      </w:r>
      <w:r w:rsidR="001A55EA" w:rsidRPr="001302F9">
        <w:rPr>
          <w:rFonts w:ascii="Arial" w:hAnsi="Arial" w:cs="Arial"/>
          <w:lang w:val="sr-Latn-ME"/>
        </w:rPr>
        <w:t xml:space="preserve">duzeti u skladu s ovim članom, koje će djelovati kao odvraćanje i biti takve da pružaju </w:t>
      </w:r>
      <w:r w:rsidR="00A834A5" w:rsidRPr="001302F9">
        <w:rPr>
          <w:rFonts w:ascii="Arial" w:hAnsi="Arial" w:cs="Arial"/>
          <w:lang w:val="sr-Latn-ME"/>
        </w:rPr>
        <w:t>efikasn</w:t>
      </w:r>
      <w:r w:rsidR="001A55EA" w:rsidRPr="001302F9">
        <w:rPr>
          <w:rFonts w:ascii="Arial" w:hAnsi="Arial" w:cs="Arial"/>
          <w:lang w:val="sr-Latn-ME"/>
        </w:rPr>
        <w:t xml:space="preserve">u zaštitu u državama članicama, </w:t>
      </w:r>
      <w:r w:rsidR="009C086E" w:rsidRPr="001302F9">
        <w:rPr>
          <w:rFonts w:ascii="Arial" w:hAnsi="Arial" w:cs="Arial"/>
          <w:lang w:val="sr-Latn-ME"/>
        </w:rPr>
        <w:t>kao i</w:t>
      </w:r>
      <w:r w:rsidR="001A55EA" w:rsidRPr="001302F9">
        <w:rPr>
          <w:rFonts w:ascii="Arial" w:hAnsi="Arial" w:cs="Arial"/>
          <w:lang w:val="sr-Latn-ME"/>
        </w:rPr>
        <w:t xml:space="preserve"> u svim institucijama, tijelima, </w:t>
      </w:r>
      <w:r w:rsidR="009C086E" w:rsidRPr="001302F9">
        <w:rPr>
          <w:rFonts w:ascii="Arial" w:hAnsi="Arial" w:cs="Arial"/>
          <w:lang w:val="sr-Latn-ME"/>
        </w:rPr>
        <w:t>kancelarijama</w:t>
      </w:r>
      <w:r w:rsidR="001A55EA" w:rsidRPr="001302F9">
        <w:rPr>
          <w:rFonts w:ascii="Arial" w:hAnsi="Arial" w:cs="Arial"/>
          <w:lang w:val="sr-Latn-ME"/>
        </w:rPr>
        <w:t xml:space="preserve"> i agencijama Unije.</w:t>
      </w:r>
    </w:p>
    <w:p w:rsidR="006D15B5" w:rsidRPr="001302F9" w:rsidRDefault="001A55EA" w:rsidP="00EE65EF">
      <w:pPr>
        <w:spacing w:before="120" w:after="120" w:line="240" w:lineRule="auto"/>
        <w:jc w:val="both"/>
        <w:rPr>
          <w:rFonts w:ascii="Arial" w:hAnsi="Arial" w:cs="Arial"/>
          <w:lang w:val="sr-Latn-ME"/>
        </w:rPr>
      </w:pPr>
      <w:r w:rsidRPr="001302F9">
        <w:rPr>
          <w:rFonts w:ascii="Arial" w:hAnsi="Arial" w:cs="Arial"/>
          <w:lang w:val="sr-Latn-ME"/>
        </w:rPr>
        <w:t>2. Države članice p</w:t>
      </w:r>
      <w:r w:rsidR="00A424FF" w:rsidRPr="001302F9">
        <w:rPr>
          <w:rFonts w:ascii="Arial" w:hAnsi="Arial" w:cs="Arial"/>
          <w:lang w:val="sr-Latn-ME"/>
        </w:rPr>
        <w:t>re</w:t>
      </w:r>
      <w:r w:rsidRPr="001302F9">
        <w:rPr>
          <w:rFonts w:ascii="Arial" w:hAnsi="Arial" w:cs="Arial"/>
          <w:lang w:val="sr-Latn-ME"/>
        </w:rPr>
        <w:t>duzimaju iste mjere za suzbijanje prevara koje pogađaju finansijske interese EU kao što p</w:t>
      </w:r>
      <w:r w:rsidR="00846DC4" w:rsidRPr="001302F9">
        <w:rPr>
          <w:rFonts w:ascii="Arial" w:hAnsi="Arial" w:cs="Arial"/>
          <w:lang w:val="sr-Latn-ME"/>
        </w:rPr>
        <w:t>re</w:t>
      </w:r>
      <w:r w:rsidRPr="001302F9">
        <w:rPr>
          <w:rFonts w:ascii="Arial" w:hAnsi="Arial" w:cs="Arial"/>
          <w:lang w:val="sr-Latn-ME"/>
        </w:rPr>
        <w:t>duzimaju za suzbijanje prevara koje pogađaju njihove finansijske interese</w:t>
      </w:r>
      <w:r w:rsidR="006D15B5" w:rsidRPr="001302F9">
        <w:rPr>
          <w:rFonts w:ascii="Arial" w:hAnsi="Arial" w:cs="Arial"/>
          <w:lang w:val="sr-Latn-ME"/>
        </w:rPr>
        <w:t>.</w:t>
      </w:r>
    </w:p>
    <w:p w:rsidR="001A55EA" w:rsidRPr="001302F9" w:rsidRDefault="006D15B5" w:rsidP="00EE65EF">
      <w:pPr>
        <w:spacing w:before="120" w:after="120" w:line="240" w:lineRule="auto"/>
        <w:jc w:val="both"/>
        <w:rPr>
          <w:rFonts w:ascii="Arial" w:hAnsi="Arial" w:cs="Arial"/>
          <w:lang w:val="sr-Latn-ME"/>
        </w:rPr>
      </w:pPr>
      <w:r w:rsidRPr="001302F9">
        <w:rPr>
          <w:rFonts w:ascii="Arial" w:hAnsi="Arial" w:cs="Arial"/>
          <w:lang w:val="sr-Latn-ME"/>
        </w:rPr>
        <w:t xml:space="preserve">3. </w:t>
      </w:r>
      <w:r w:rsidR="001A55EA" w:rsidRPr="001302F9">
        <w:rPr>
          <w:rFonts w:ascii="Arial" w:hAnsi="Arial" w:cs="Arial"/>
          <w:lang w:val="sr-Latn-ME"/>
        </w:rPr>
        <w:t>Ne dovodeći u pitanje druge odredbe Ugovora,</w:t>
      </w:r>
      <w:r w:rsidR="005B0DA1">
        <w:rPr>
          <w:rFonts w:ascii="Arial" w:hAnsi="Arial" w:cs="Arial"/>
          <w:lang w:val="sr-Latn-ME"/>
        </w:rPr>
        <w:t xml:space="preserve"> </w:t>
      </w:r>
      <w:r w:rsidR="001A55EA" w:rsidRPr="001302F9">
        <w:rPr>
          <w:rFonts w:ascii="Arial" w:hAnsi="Arial" w:cs="Arial"/>
          <w:lang w:val="sr-Latn-ME"/>
        </w:rPr>
        <w:t>države članice će koordinirati svoje djelovanje u cilju zaštite finansijskih interesa EU od prevare. U tu svrhu organizovaće, zajedno sa Komisijom, blisku i redovnu saradnju između nadležnih organa”.</w:t>
      </w:r>
    </w:p>
    <w:p w:rsidR="001A55EA" w:rsidRPr="001302F9" w:rsidRDefault="001A55EA" w:rsidP="00EE65EF">
      <w:pPr>
        <w:spacing w:before="120" w:after="120" w:line="240" w:lineRule="auto"/>
        <w:jc w:val="both"/>
        <w:rPr>
          <w:rFonts w:ascii="Arial" w:hAnsi="Arial" w:cs="Arial"/>
          <w:lang w:val="sr-Latn-ME"/>
        </w:rPr>
      </w:pPr>
      <w:r w:rsidRPr="001302F9">
        <w:rPr>
          <w:rFonts w:ascii="Arial" w:hAnsi="Arial" w:cs="Arial"/>
          <w:b/>
          <w:lang w:val="sr-Latn-ME"/>
        </w:rPr>
        <w:t>Uredba (EU, Euratom) br. 883/2013</w:t>
      </w:r>
      <w:r w:rsidRPr="001302F9">
        <w:rPr>
          <w:rFonts w:ascii="Arial" w:hAnsi="Arial" w:cs="Arial"/>
          <w:lang w:val="sr-Latn-ME"/>
        </w:rPr>
        <w:t xml:space="preserve"> Evropskog parlamenta i </w:t>
      </w:r>
      <w:r w:rsidR="00A424FF" w:rsidRPr="001302F9">
        <w:rPr>
          <w:rFonts w:ascii="Arial" w:hAnsi="Arial" w:cs="Arial"/>
          <w:lang w:val="sr-Latn-ME"/>
        </w:rPr>
        <w:t>Savjet</w:t>
      </w:r>
      <w:r w:rsidRPr="001302F9">
        <w:rPr>
          <w:rFonts w:ascii="Arial" w:hAnsi="Arial" w:cs="Arial"/>
          <w:lang w:val="sr-Latn-ME"/>
        </w:rPr>
        <w:t>a od 11. septembra 2013. o istragama koje vodi E</w:t>
      </w:r>
      <w:r w:rsidR="00A424FF" w:rsidRPr="001302F9">
        <w:rPr>
          <w:rFonts w:ascii="Arial" w:hAnsi="Arial" w:cs="Arial"/>
          <w:lang w:val="sr-Latn-ME"/>
        </w:rPr>
        <w:t>v</w:t>
      </w:r>
      <w:r w:rsidRPr="001302F9">
        <w:rPr>
          <w:rFonts w:ascii="Arial" w:hAnsi="Arial" w:cs="Arial"/>
          <w:lang w:val="sr-Latn-ME"/>
        </w:rPr>
        <w:t>ropsk</w:t>
      </w:r>
      <w:r w:rsidR="00A424FF" w:rsidRPr="001302F9">
        <w:rPr>
          <w:rFonts w:ascii="Arial" w:hAnsi="Arial" w:cs="Arial"/>
          <w:lang w:val="sr-Latn-ME"/>
        </w:rPr>
        <w:t xml:space="preserve">a kancelarija </w:t>
      </w:r>
      <w:r w:rsidRPr="001302F9">
        <w:rPr>
          <w:rFonts w:ascii="Arial" w:hAnsi="Arial" w:cs="Arial"/>
          <w:lang w:val="sr-Latn-ME"/>
        </w:rPr>
        <w:t xml:space="preserve">za borbu protiv prevara (OLAF) i stavljanju van snage Uredbe (EZ) br. Uredbom (EU, Euratom) 2016/2030 Evropskog parlamenta i </w:t>
      </w:r>
      <w:r w:rsidR="00A424FF" w:rsidRPr="001302F9">
        <w:rPr>
          <w:rFonts w:ascii="Arial" w:hAnsi="Arial" w:cs="Arial"/>
          <w:lang w:val="sr-Latn-ME"/>
        </w:rPr>
        <w:t>Savjet</w:t>
      </w:r>
      <w:r w:rsidRPr="001302F9">
        <w:rPr>
          <w:rFonts w:ascii="Arial" w:hAnsi="Arial" w:cs="Arial"/>
          <w:lang w:val="sr-Latn-ME"/>
        </w:rPr>
        <w:t xml:space="preserve">a od 26. oktobra 2016. i Uredbom (EU, Euratom) 2020/2223 Evropskog parlamenta i </w:t>
      </w:r>
      <w:r w:rsidR="00A424FF" w:rsidRPr="001302F9">
        <w:rPr>
          <w:rFonts w:ascii="Arial" w:hAnsi="Arial" w:cs="Arial"/>
          <w:lang w:val="sr-Latn-ME"/>
        </w:rPr>
        <w:t>Savjet</w:t>
      </w:r>
      <w:r w:rsidRPr="001302F9">
        <w:rPr>
          <w:rFonts w:ascii="Arial" w:hAnsi="Arial" w:cs="Arial"/>
          <w:lang w:val="sr-Latn-ME"/>
        </w:rPr>
        <w:t xml:space="preserve">a od 23. decembra 2020.) propisuje funkcije AFCOS-a i obavezu saradnje sa OLAF-om. </w:t>
      </w:r>
    </w:p>
    <w:p w:rsidR="001A55EA" w:rsidRPr="001302F9" w:rsidRDefault="001A55EA" w:rsidP="00EE65EF">
      <w:pPr>
        <w:spacing w:before="120" w:after="120" w:line="240" w:lineRule="auto"/>
        <w:jc w:val="both"/>
        <w:rPr>
          <w:rFonts w:ascii="Arial" w:hAnsi="Arial" w:cs="Arial"/>
          <w:lang w:val="sr-Latn-ME"/>
        </w:rPr>
      </w:pPr>
      <w:r w:rsidRPr="001302F9">
        <w:rPr>
          <w:rFonts w:ascii="Arial" w:hAnsi="Arial" w:cs="Arial"/>
          <w:b/>
          <w:lang w:val="sr-Latn-ME"/>
        </w:rPr>
        <w:t>Uredba (EC, Euratom) br. 2988/1995</w:t>
      </w:r>
      <w:r w:rsidRPr="001302F9">
        <w:rPr>
          <w:rFonts w:ascii="Arial" w:hAnsi="Arial" w:cs="Arial"/>
          <w:lang w:val="sr-Latn-ME"/>
        </w:rPr>
        <w:t xml:space="preserve"> od 18. decembra 1995. godine o zaštiti finansijskih interesa Evropske zajednice predviđa definiciju nepravilnosti i zajedničke odredbe u vezi sa administrativnim mjerama i kaznama koje treba primijeniti. </w:t>
      </w:r>
    </w:p>
    <w:p w:rsidR="00D90181" w:rsidRPr="001302F9" w:rsidRDefault="001A55EA" w:rsidP="00EE65EF">
      <w:pPr>
        <w:spacing w:before="120" w:after="120" w:line="240" w:lineRule="auto"/>
        <w:jc w:val="both"/>
        <w:rPr>
          <w:rFonts w:ascii="Arial" w:hAnsi="Arial" w:cs="Arial"/>
          <w:lang w:val="sr-Latn-ME"/>
        </w:rPr>
      </w:pPr>
      <w:r w:rsidRPr="001302F9">
        <w:rPr>
          <w:rFonts w:ascii="Arial" w:hAnsi="Arial" w:cs="Arial"/>
          <w:b/>
          <w:lang w:val="sr-Latn-ME"/>
        </w:rPr>
        <w:t>Uredba (EC, Euratom) br. 2185/1996</w:t>
      </w:r>
      <w:r w:rsidRPr="001302F9">
        <w:rPr>
          <w:rFonts w:ascii="Arial" w:hAnsi="Arial" w:cs="Arial"/>
          <w:lang w:val="sr-Latn-ME"/>
        </w:rPr>
        <w:t xml:space="preserve"> od 11. novembra 1996. odnosi se na provjere na licu mjesta i inspekcije koje </w:t>
      </w:r>
      <w:r w:rsidR="00A424FF" w:rsidRPr="001302F9">
        <w:rPr>
          <w:rFonts w:ascii="Arial" w:hAnsi="Arial" w:cs="Arial"/>
          <w:lang w:val="sr-Latn-ME"/>
        </w:rPr>
        <w:t>s</w:t>
      </w:r>
      <w:r w:rsidRPr="001302F9">
        <w:rPr>
          <w:rFonts w:ascii="Arial" w:hAnsi="Arial" w:cs="Arial"/>
          <w:lang w:val="sr-Latn-ME"/>
        </w:rPr>
        <w:t>provodi Komisija u cilju zaštite finansijskih interesa E</w:t>
      </w:r>
      <w:r w:rsidR="00A424FF" w:rsidRPr="001302F9">
        <w:rPr>
          <w:rFonts w:ascii="Arial" w:hAnsi="Arial" w:cs="Arial"/>
          <w:lang w:val="sr-Latn-ME"/>
        </w:rPr>
        <w:t>v</w:t>
      </w:r>
      <w:r w:rsidRPr="001302F9">
        <w:rPr>
          <w:rFonts w:ascii="Arial" w:hAnsi="Arial" w:cs="Arial"/>
          <w:lang w:val="sr-Latn-ME"/>
        </w:rPr>
        <w:t xml:space="preserve">ropske </w:t>
      </w:r>
      <w:r w:rsidR="009C086E" w:rsidRPr="001302F9">
        <w:rPr>
          <w:rFonts w:ascii="Arial" w:hAnsi="Arial" w:cs="Arial"/>
          <w:lang w:val="sr-Latn-ME"/>
        </w:rPr>
        <w:t>unije</w:t>
      </w:r>
      <w:r w:rsidRPr="001302F9">
        <w:rPr>
          <w:rFonts w:ascii="Arial" w:hAnsi="Arial" w:cs="Arial"/>
          <w:lang w:val="sr-Latn-ME"/>
        </w:rPr>
        <w:t xml:space="preserve"> od prevar</w:t>
      </w:r>
      <w:r w:rsidR="009C086E" w:rsidRPr="001302F9">
        <w:rPr>
          <w:rFonts w:ascii="Arial" w:hAnsi="Arial" w:cs="Arial"/>
          <w:lang w:val="sr-Latn-ME"/>
        </w:rPr>
        <w:t>a</w:t>
      </w:r>
      <w:r w:rsidRPr="001302F9">
        <w:rPr>
          <w:rFonts w:ascii="Arial" w:hAnsi="Arial" w:cs="Arial"/>
          <w:lang w:val="sr-Latn-ME"/>
        </w:rPr>
        <w:t xml:space="preserve"> i drugih nepravilnosti. On</w:t>
      </w:r>
      <w:r w:rsidR="009C086E" w:rsidRPr="001302F9">
        <w:rPr>
          <w:rFonts w:ascii="Arial" w:hAnsi="Arial" w:cs="Arial"/>
          <w:lang w:val="sr-Latn-ME"/>
        </w:rPr>
        <w:t>a</w:t>
      </w:r>
      <w:r w:rsidRPr="001302F9">
        <w:rPr>
          <w:rFonts w:ascii="Arial" w:hAnsi="Arial" w:cs="Arial"/>
          <w:lang w:val="sr-Latn-ME"/>
        </w:rPr>
        <w:t xml:space="preserve"> predviđa elemente koji se odnose na saradnju i koordinaciju između Komisije i država članica. </w:t>
      </w:r>
    </w:p>
    <w:p w:rsidR="00221075" w:rsidRPr="001302F9" w:rsidRDefault="001A55EA" w:rsidP="00EE65EF">
      <w:pPr>
        <w:spacing w:before="120" w:after="120" w:line="240" w:lineRule="auto"/>
        <w:jc w:val="both"/>
        <w:rPr>
          <w:rFonts w:ascii="Arial" w:hAnsi="Arial" w:cs="Arial"/>
          <w:lang w:val="sr-Latn-ME"/>
        </w:rPr>
      </w:pPr>
      <w:r w:rsidRPr="001302F9">
        <w:rPr>
          <w:rFonts w:ascii="Arial" w:hAnsi="Arial" w:cs="Arial"/>
          <w:b/>
          <w:lang w:val="sr-Latn-ME"/>
        </w:rPr>
        <w:t xml:space="preserve">Uredba </w:t>
      </w:r>
      <w:r w:rsidR="00A424FF" w:rsidRPr="001302F9">
        <w:rPr>
          <w:rFonts w:ascii="Arial" w:hAnsi="Arial" w:cs="Arial"/>
          <w:b/>
          <w:lang w:val="sr-Latn-ME"/>
        </w:rPr>
        <w:t>Savjet</w:t>
      </w:r>
      <w:r w:rsidRPr="001302F9">
        <w:rPr>
          <w:rFonts w:ascii="Arial" w:hAnsi="Arial" w:cs="Arial"/>
          <w:b/>
          <w:lang w:val="sr-Latn-ME"/>
        </w:rPr>
        <w:t>a (EU) 2017/1939</w:t>
      </w:r>
      <w:r w:rsidRPr="001302F9">
        <w:rPr>
          <w:rFonts w:ascii="Arial" w:hAnsi="Arial" w:cs="Arial"/>
          <w:lang w:val="sr-Latn-ME"/>
        </w:rPr>
        <w:t xml:space="preserve"> od 12. oktobra 2017. o </w:t>
      </w:r>
      <w:r w:rsidR="00061C22" w:rsidRPr="001302F9">
        <w:rPr>
          <w:rFonts w:ascii="Arial" w:hAnsi="Arial" w:cs="Arial"/>
          <w:lang w:val="sr-Latn-ME"/>
        </w:rPr>
        <w:t>s</w:t>
      </w:r>
      <w:r w:rsidRPr="001302F9">
        <w:rPr>
          <w:rFonts w:ascii="Arial" w:hAnsi="Arial" w:cs="Arial"/>
          <w:lang w:val="sr-Latn-ME"/>
        </w:rPr>
        <w:t xml:space="preserve">provođenju poboljšane saradnje na uspostavljanju </w:t>
      </w:r>
      <w:r w:rsidR="006A06BA" w:rsidRPr="001302F9">
        <w:rPr>
          <w:rFonts w:ascii="Arial" w:hAnsi="Arial" w:cs="Arial"/>
          <w:lang w:val="sr-Latn-ME"/>
        </w:rPr>
        <w:t>Kancelarije</w:t>
      </w:r>
      <w:r w:rsidRPr="001302F9">
        <w:rPr>
          <w:rFonts w:ascii="Arial" w:hAnsi="Arial" w:cs="Arial"/>
          <w:lang w:val="sr-Latn-ME"/>
        </w:rPr>
        <w:t xml:space="preserve"> Evropskog javnog tužilaštva (EPPO) defini</w:t>
      </w:r>
      <w:r w:rsidR="006A06BA" w:rsidRPr="001302F9">
        <w:rPr>
          <w:rFonts w:ascii="Arial" w:hAnsi="Arial" w:cs="Arial"/>
          <w:lang w:val="sr-Latn-ME"/>
        </w:rPr>
        <w:t>še</w:t>
      </w:r>
      <w:r w:rsidRPr="001302F9">
        <w:rPr>
          <w:rFonts w:ascii="Arial" w:hAnsi="Arial" w:cs="Arial"/>
          <w:lang w:val="sr-Latn-ME"/>
        </w:rPr>
        <w:t xml:space="preserve"> funkcije i nadležnosti EPPO-a. Evropski parlament i </w:t>
      </w:r>
      <w:r w:rsidR="006A06BA" w:rsidRPr="001302F9">
        <w:rPr>
          <w:rFonts w:ascii="Arial" w:hAnsi="Arial" w:cs="Arial"/>
          <w:lang w:val="sr-Latn-ME"/>
        </w:rPr>
        <w:t>Savjet</w:t>
      </w:r>
      <w:r w:rsidRPr="001302F9">
        <w:rPr>
          <w:rFonts w:ascii="Arial" w:hAnsi="Arial" w:cs="Arial"/>
          <w:lang w:val="sr-Latn-ME"/>
        </w:rPr>
        <w:t xml:space="preserve"> su 5. jula 2017. usvojili Direktivu (EU) 2017/1371 o borbi protiv prevare finansijskih interesa Unije putem krivičnog prava. Takozvana „PIF – Direktiva” daje definiciju prevare i definiše krivične sankcije za </w:t>
      </w:r>
      <w:r w:rsidR="0056601D" w:rsidRPr="001302F9">
        <w:rPr>
          <w:rFonts w:ascii="Arial" w:hAnsi="Arial" w:cs="Arial"/>
          <w:lang w:val="sr-Latn-ME"/>
        </w:rPr>
        <w:t>s</w:t>
      </w:r>
      <w:r w:rsidRPr="001302F9">
        <w:rPr>
          <w:rFonts w:ascii="Arial" w:hAnsi="Arial" w:cs="Arial"/>
          <w:lang w:val="sr-Latn-ME"/>
        </w:rPr>
        <w:t xml:space="preserve">provođenje </w:t>
      </w:r>
      <w:r w:rsidR="0056601D" w:rsidRPr="001302F9">
        <w:rPr>
          <w:rFonts w:ascii="Arial" w:hAnsi="Arial" w:cs="Arial"/>
          <w:lang w:val="sr-Latn-ME"/>
        </w:rPr>
        <w:t>krivič</w:t>
      </w:r>
      <w:r w:rsidRPr="001302F9">
        <w:rPr>
          <w:rFonts w:ascii="Arial" w:hAnsi="Arial" w:cs="Arial"/>
          <w:lang w:val="sr-Latn-ME"/>
        </w:rPr>
        <w:t>nih radnji protiv finansijskih interesa EU.</w:t>
      </w:r>
    </w:p>
    <w:p w:rsidR="00791AC7" w:rsidRPr="001302F9" w:rsidRDefault="005A35EB" w:rsidP="009B6B3B">
      <w:pPr>
        <w:pStyle w:val="Heading3"/>
        <w:numPr>
          <w:ilvl w:val="1"/>
          <w:numId w:val="10"/>
        </w:numPr>
        <w:spacing w:before="120" w:after="120"/>
        <w:rPr>
          <w:rFonts w:ascii="Arial" w:hAnsi="Arial" w:cs="Arial"/>
          <w:sz w:val="22"/>
          <w:szCs w:val="22"/>
          <w:lang w:val="sr-Latn-ME"/>
        </w:rPr>
      </w:pPr>
      <w:bookmarkStart w:id="3" w:name="_Toc191824741"/>
      <w:r w:rsidRPr="001302F9">
        <w:rPr>
          <w:rFonts w:ascii="Arial" w:hAnsi="Arial" w:cs="Arial"/>
          <w:sz w:val="22"/>
          <w:szCs w:val="22"/>
          <w:lang w:val="sr-Latn-ME"/>
        </w:rPr>
        <w:t>Institu</w:t>
      </w:r>
      <w:r w:rsidR="008602AD" w:rsidRPr="001302F9">
        <w:rPr>
          <w:rFonts w:ascii="Arial" w:hAnsi="Arial" w:cs="Arial"/>
          <w:sz w:val="22"/>
          <w:szCs w:val="22"/>
          <w:lang w:val="sr-Latn-ME"/>
        </w:rPr>
        <w:t>ci</w:t>
      </w:r>
      <w:r w:rsidRPr="001302F9">
        <w:rPr>
          <w:rFonts w:ascii="Arial" w:hAnsi="Arial" w:cs="Arial"/>
          <w:sz w:val="22"/>
          <w:szCs w:val="22"/>
          <w:lang w:val="sr-Latn-ME"/>
        </w:rPr>
        <w:t>onal</w:t>
      </w:r>
      <w:r w:rsidR="008602AD" w:rsidRPr="001302F9">
        <w:rPr>
          <w:rFonts w:ascii="Arial" w:hAnsi="Arial" w:cs="Arial"/>
          <w:sz w:val="22"/>
          <w:szCs w:val="22"/>
          <w:lang w:val="sr-Latn-ME"/>
        </w:rPr>
        <w:t>ni i zakonodavni okvir</w:t>
      </w:r>
      <w:r w:rsidRPr="001302F9">
        <w:rPr>
          <w:rFonts w:ascii="Arial" w:hAnsi="Arial" w:cs="Arial"/>
          <w:sz w:val="22"/>
          <w:szCs w:val="22"/>
          <w:lang w:val="sr-Latn-ME"/>
        </w:rPr>
        <w:t xml:space="preserve"> </w:t>
      </w:r>
      <w:bookmarkEnd w:id="3"/>
    </w:p>
    <w:p w:rsidR="00F23D60" w:rsidRPr="001302F9" w:rsidRDefault="00F23D60" w:rsidP="00F23D60">
      <w:pPr>
        <w:spacing w:before="60" w:after="60" w:line="240" w:lineRule="auto"/>
        <w:jc w:val="both"/>
        <w:rPr>
          <w:rFonts w:ascii="Arial" w:hAnsi="Arial" w:cs="Arial"/>
          <w:lang w:val="sr-Latn-ME"/>
        </w:rPr>
      </w:pPr>
      <w:bookmarkStart w:id="4" w:name="_Hlk185239678"/>
      <w:r w:rsidRPr="001302F9">
        <w:rPr>
          <w:rFonts w:ascii="Arial" w:hAnsi="Arial" w:cs="Arial"/>
          <w:lang w:val="sr-Latn-ME"/>
        </w:rPr>
        <w:t xml:space="preserve">U proteklih nekoliko godina učinjeni su značajni napori na uspostavljanju institucionalnog i pravnog okvira za zaštitu finansijskih interesa EU u Crnoj Gori. U članu 76a Zakona o budžetu i fiskalnoj odgovornosti propisano je da Crna Gora, kao korisnik sredstava EU, obezbjeđuje indirektno upravljanje IPA fondovima i zaštitu finansijskih interesa EU uspostavljanjem sistema za sprječavanje nepravilnosti i prevara </w:t>
      </w:r>
      <w:r w:rsidR="00BD0C7A">
        <w:rPr>
          <w:rFonts w:ascii="Arial" w:hAnsi="Arial" w:cs="Arial"/>
          <w:lang w:val="sr-Latn-ME"/>
        </w:rPr>
        <w:t>u okviru kojeg se vrši koordinacija,</w:t>
      </w:r>
      <w:r w:rsidRPr="001302F9">
        <w:rPr>
          <w:rFonts w:ascii="Arial" w:hAnsi="Arial" w:cs="Arial"/>
          <w:lang w:val="sr-Latn-ME"/>
        </w:rPr>
        <w:t xml:space="preserve"> pravn</w:t>
      </w:r>
      <w:r w:rsidR="00BD0C7A">
        <w:rPr>
          <w:rFonts w:ascii="Arial" w:hAnsi="Arial" w:cs="Arial"/>
          <w:lang w:val="sr-Latn-ME"/>
        </w:rPr>
        <w:t>ih</w:t>
      </w:r>
      <w:r w:rsidRPr="001302F9">
        <w:rPr>
          <w:rFonts w:ascii="Arial" w:hAnsi="Arial" w:cs="Arial"/>
          <w:lang w:val="sr-Latn-ME"/>
        </w:rPr>
        <w:t>, administrativn</w:t>
      </w:r>
      <w:r w:rsidR="00BD0C7A">
        <w:rPr>
          <w:rFonts w:ascii="Arial" w:hAnsi="Arial" w:cs="Arial"/>
          <w:lang w:val="sr-Latn-ME"/>
        </w:rPr>
        <w:t>ih</w:t>
      </w:r>
      <w:r w:rsidRPr="001302F9">
        <w:rPr>
          <w:rFonts w:ascii="Arial" w:hAnsi="Arial" w:cs="Arial"/>
          <w:lang w:val="sr-Latn-ME"/>
        </w:rPr>
        <w:t xml:space="preserve"> i operativn</w:t>
      </w:r>
      <w:r w:rsidR="00BD0C7A">
        <w:rPr>
          <w:rFonts w:ascii="Arial" w:hAnsi="Arial" w:cs="Arial"/>
          <w:lang w:val="sr-Latn-ME"/>
        </w:rPr>
        <w:t>ih</w:t>
      </w:r>
      <w:r w:rsidRPr="001302F9">
        <w:rPr>
          <w:rFonts w:ascii="Arial" w:hAnsi="Arial" w:cs="Arial"/>
          <w:lang w:val="sr-Latn-ME"/>
        </w:rPr>
        <w:t xml:space="preserve"> aktivnosti, te direktno sarađuje sa OLAF-om. Međutim, odredbe člana 76a Zakona o budžetu i fiskalnoj odgovornosti su nejasne kako i od kojih elemenata treba formirati ovaj sistem zaštite finansijskih interesa EU. </w:t>
      </w:r>
    </w:p>
    <w:p w:rsidR="00F23D60" w:rsidRPr="001302F9" w:rsidRDefault="00F23D60" w:rsidP="00F23D60">
      <w:pPr>
        <w:spacing w:before="60" w:after="60" w:line="240" w:lineRule="auto"/>
        <w:jc w:val="both"/>
        <w:rPr>
          <w:rFonts w:ascii="Arial" w:hAnsi="Arial" w:cs="Arial"/>
          <w:lang w:val="sr-Latn-ME"/>
        </w:rPr>
      </w:pPr>
      <w:r w:rsidRPr="001302F9">
        <w:rPr>
          <w:rFonts w:ascii="Arial" w:hAnsi="Arial" w:cs="Arial"/>
          <w:lang w:val="sr-Latn-ME"/>
        </w:rPr>
        <w:t>Generalno, sistem zaštite finansijskih interesa EU treba da se sastoji od sledeća tri elementa:</w:t>
      </w:r>
    </w:p>
    <w:bookmarkEnd w:id="4"/>
    <w:p w:rsidR="00DE17A8" w:rsidRPr="00EE1E09" w:rsidRDefault="00EE1E09" w:rsidP="00EE1E09">
      <w:pPr>
        <w:pStyle w:val="ListParagraph"/>
        <w:numPr>
          <w:ilvl w:val="0"/>
          <w:numId w:val="44"/>
        </w:numPr>
        <w:shd w:val="clear" w:color="auto" w:fill="auto"/>
        <w:spacing w:before="100" w:beforeAutospacing="1" w:after="100" w:afterAutospacing="1" w:line="240" w:lineRule="auto"/>
        <w:rPr>
          <w:rFonts w:cs="Arial"/>
          <w:sz w:val="22"/>
          <w:szCs w:val="22"/>
          <w:lang w:val="sr-Latn-BA"/>
        </w:rPr>
      </w:pPr>
      <w:r w:rsidRPr="00EE1E09">
        <w:rPr>
          <w:rFonts w:cs="Arial"/>
          <w:sz w:val="22"/>
          <w:szCs w:val="22"/>
          <w:lang w:val="sr-Latn-BA"/>
        </w:rPr>
        <w:t>Tijela sistema za upravljanje i kontrolu EU fondova (</w:t>
      </w:r>
      <w:bookmarkStart w:id="5" w:name="_Hlk194050217"/>
      <w:r w:rsidR="00E632D0">
        <w:rPr>
          <w:rFonts w:cs="Arial"/>
          <w:sz w:val="22"/>
          <w:szCs w:val="22"/>
          <w:lang w:val="sr-Latn-BA"/>
        </w:rPr>
        <w:t xml:space="preserve"> u daljem tekstu: s</w:t>
      </w:r>
      <w:r w:rsidRPr="00EE1E09">
        <w:rPr>
          <w:rFonts w:cs="Arial"/>
          <w:sz w:val="22"/>
          <w:szCs w:val="22"/>
          <w:lang w:val="sr-Latn-BA"/>
        </w:rPr>
        <w:t>truktura za izvještavanje o nepravilnostima)</w:t>
      </w:r>
      <w:r w:rsidRPr="00EE1E09">
        <w:rPr>
          <w:rFonts w:cs="Arial"/>
          <w:lang w:val="sr-Latn-ME"/>
        </w:rPr>
        <w:t xml:space="preserve"> </w:t>
      </w:r>
      <w:bookmarkEnd w:id="5"/>
    </w:p>
    <w:p w:rsidR="00E23E38" w:rsidRPr="00EE1E09" w:rsidRDefault="008703E5" w:rsidP="00EE1E09">
      <w:pPr>
        <w:pStyle w:val="ListParagraph"/>
        <w:numPr>
          <w:ilvl w:val="0"/>
          <w:numId w:val="44"/>
        </w:numPr>
        <w:spacing w:before="60" w:after="60" w:line="240" w:lineRule="auto"/>
        <w:rPr>
          <w:rFonts w:cs="Arial"/>
          <w:sz w:val="22"/>
          <w:szCs w:val="22"/>
          <w:lang w:val="sr-Latn-ME"/>
        </w:rPr>
      </w:pPr>
      <w:bookmarkStart w:id="6" w:name="_Hlk194051254"/>
      <w:r>
        <w:rPr>
          <w:rFonts w:cs="Arial"/>
          <w:bCs/>
          <w:sz w:val="22"/>
          <w:szCs w:val="22"/>
          <w:lang w:val="sr-Latn-BA"/>
        </w:rPr>
        <w:t>Institucija sistema zaduženih za borbu protiv prevara, korupcije i drugih oblika nezakonitih aktivnosti</w:t>
      </w:r>
      <w:bookmarkEnd w:id="6"/>
      <w:r w:rsidR="00E23E38" w:rsidRPr="00EE1E09">
        <w:rPr>
          <w:rFonts w:cs="Arial"/>
          <w:sz w:val="22"/>
          <w:szCs w:val="22"/>
          <w:lang w:val="sr-Latn-ME"/>
        </w:rPr>
        <w:t>: Ministarstvo pravde, Ministarstvo unutrašnjih poslova, Uprava policije, Poreska uprava, Uprava carina, Vrhovno državno tužilaštvo, Agencija za borbu protiv korupcije, Revizorsko tijelo, Ministarstvo evropskih poslova, Ministarstvo finansija</w:t>
      </w:r>
      <w:r w:rsidR="001302F9" w:rsidRPr="00EE1E09">
        <w:rPr>
          <w:rFonts w:cs="Arial"/>
          <w:sz w:val="22"/>
          <w:szCs w:val="22"/>
          <w:lang w:val="sr-Latn-ME"/>
        </w:rPr>
        <w:t xml:space="preserve"> (AFCOS mreža)</w:t>
      </w:r>
      <w:r w:rsidR="00E23E38" w:rsidRPr="00EE1E09">
        <w:rPr>
          <w:rFonts w:cs="Arial"/>
          <w:sz w:val="22"/>
          <w:szCs w:val="22"/>
          <w:lang w:val="sr-Latn-ME"/>
        </w:rPr>
        <w:t xml:space="preserve"> i</w:t>
      </w:r>
    </w:p>
    <w:p w:rsidR="00DE17A8" w:rsidRPr="00EE1E09" w:rsidRDefault="00073AB2" w:rsidP="00EE1E09">
      <w:pPr>
        <w:pStyle w:val="ListParagraph"/>
        <w:numPr>
          <w:ilvl w:val="0"/>
          <w:numId w:val="44"/>
        </w:numPr>
        <w:spacing w:before="60" w:after="60" w:line="240" w:lineRule="auto"/>
        <w:rPr>
          <w:rFonts w:cs="Arial"/>
          <w:sz w:val="22"/>
          <w:szCs w:val="22"/>
          <w:lang w:val="sr-Latn-ME"/>
        </w:rPr>
      </w:pPr>
      <w:r w:rsidRPr="00EE1E09">
        <w:rPr>
          <w:rFonts w:cs="Arial"/>
          <w:sz w:val="22"/>
          <w:szCs w:val="22"/>
          <w:lang w:val="sr-Latn-ME"/>
        </w:rPr>
        <w:t>Direkcija za zaštitu finansijskih interesa EU/</w:t>
      </w:r>
      <w:r w:rsidR="00754897" w:rsidRPr="00EE1E09">
        <w:rPr>
          <w:rFonts w:cs="Arial"/>
          <w:sz w:val="22"/>
          <w:szCs w:val="22"/>
          <w:lang w:val="sr-Latn-ME"/>
        </w:rPr>
        <w:t>AFCOS</w:t>
      </w:r>
      <w:r w:rsidR="005869C4" w:rsidRPr="00EE1E09">
        <w:rPr>
          <w:rFonts w:cs="Arial"/>
          <w:sz w:val="22"/>
          <w:szCs w:val="22"/>
          <w:lang w:val="sr-Latn-ME"/>
        </w:rPr>
        <w:t xml:space="preserve"> (AFCOS kancelarija)</w:t>
      </w:r>
    </w:p>
    <w:p w:rsidR="00EE1E09" w:rsidRDefault="00EE1E09" w:rsidP="00EE1E09">
      <w:pPr>
        <w:spacing w:before="60" w:after="60" w:line="240" w:lineRule="auto"/>
        <w:rPr>
          <w:rFonts w:cs="Arial"/>
          <w:lang w:val="sr-Latn-ME"/>
        </w:rPr>
      </w:pPr>
    </w:p>
    <w:p w:rsidR="00EE1E09" w:rsidRPr="00EE1E09" w:rsidRDefault="00EE1E09" w:rsidP="00EE1E09">
      <w:pPr>
        <w:spacing w:before="60" w:after="60" w:line="240" w:lineRule="auto"/>
        <w:rPr>
          <w:rFonts w:cs="Arial"/>
          <w:lang w:val="sr-Latn-ME"/>
        </w:rPr>
      </w:pPr>
    </w:p>
    <w:p w:rsidR="005869C4" w:rsidRDefault="005869C4" w:rsidP="005869C4">
      <w:pPr>
        <w:spacing w:before="60" w:after="60" w:line="240" w:lineRule="auto"/>
        <w:rPr>
          <w:rFonts w:cs="Arial"/>
          <w:lang w:val="sr-Latn-ME"/>
        </w:rPr>
      </w:pPr>
    </w:p>
    <w:p w:rsidR="005B0DA1" w:rsidRPr="005869C4" w:rsidRDefault="005B0DA1" w:rsidP="005869C4">
      <w:pPr>
        <w:spacing w:before="60" w:after="60" w:line="240" w:lineRule="auto"/>
        <w:rPr>
          <w:rFonts w:cs="Arial"/>
          <w:lang w:val="sr-Latn-ME"/>
        </w:rPr>
      </w:pPr>
    </w:p>
    <w:p w:rsidR="00EE1E09" w:rsidRPr="00A87DB2" w:rsidRDefault="00EE1E09" w:rsidP="00A87DB2">
      <w:pPr>
        <w:pStyle w:val="ListParagraph"/>
        <w:numPr>
          <w:ilvl w:val="0"/>
          <w:numId w:val="24"/>
        </w:numPr>
        <w:spacing w:before="120" w:after="120" w:line="240" w:lineRule="auto"/>
        <w:rPr>
          <w:rFonts w:cs="Arial"/>
          <w:b/>
          <w:bCs/>
          <w:lang w:val="sr-Latn-ME"/>
        </w:rPr>
      </w:pPr>
      <w:r w:rsidRPr="00A87DB2">
        <w:rPr>
          <w:rFonts w:cs="Arial"/>
          <w:b/>
          <w:bCs/>
          <w:lang w:val="sr-Latn-ME"/>
        </w:rPr>
        <w:t>Struktu</w:t>
      </w:r>
      <w:r w:rsidR="00A87DB2" w:rsidRPr="00A87DB2">
        <w:rPr>
          <w:rFonts w:cs="Arial"/>
          <w:b/>
          <w:bCs/>
          <w:lang w:val="sr-Latn-ME"/>
        </w:rPr>
        <w:t>ra za izvještavanje o nepravilnostima</w:t>
      </w:r>
    </w:p>
    <w:p w:rsidR="00F31D66" w:rsidRPr="001302F9" w:rsidRDefault="008F6C2B" w:rsidP="00EE65EF">
      <w:pPr>
        <w:spacing w:before="120" w:after="120" w:line="240" w:lineRule="auto"/>
        <w:jc w:val="both"/>
        <w:rPr>
          <w:rFonts w:ascii="Arial" w:hAnsi="Arial" w:cs="Arial"/>
          <w:lang w:val="sr-Latn-ME"/>
        </w:rPr>
      </w:pPr>
      <w:r w:rsidRPr="001302F9">
        <w:rPr>
          <w:rFonts w:ascii="Arial" w:hAnsi="Arial" w:cs="Arial"/>
          <w:lang w:val="sr-Latn-ME"/>
        </w:rPr>
        <w:t>IPA strukture tokom pretpristupnog perioda Crne Gore EU, koje uspostavlja korisnik IPA II/III za indirektno upravljanje sredstvima IPA II/III su sljedeć</w:t>
      </w:r>
      <w:r w:rsidR="00B152C5" w:rsidRPr="001302F9">
        <w:rPr>
          <w:rFonts w:ascii="Arial" w:hAnsi="Arial" w:cs="Arial"/>
          <w:lang w:val="sr-Latn-ME"/>
        </w:rPr>
        <w:t>e</w:t>
      </w:r>
      <w:r w:rsidRPr="001302F9">
        <w:rPr>
          <w:rFonts w:ascii="Arial" w:hAnsi="Arial" w:cs="Arial"/>
          <w:lang w:val="sr-Latn-ME"/>
        </w:rPr>
        <w:t>:</w:t>
      </w:r>
    </w:p>
    <w:p w:rsidR="003A193D" w:rsidRPr="001302F9" w:rsidRDefault="003A193D" w:rsidP="009B6B3B">
      <w:pPr>
        <w:pStyle w:val="ListParagraph"/>
        <w:numPr>
          <w:ilvl w:val="0"/>
          <w:numId w:val="5"/>
        </w:numPr>
        <w:spacing w:before="60" w:after="60" w:line="240" w:lineRule="auto"/>
        <w:ind w:left="714" w:hanging="357"/>
        <w:contextualSpacing w:val="0"/>
        <w:rPr>
          <w:rFonts w:cs="Arial"/>
          <w:sz w:val="22"/>
          <w:szCs w:val="22"/>
          <w:lang w:val="sr-Latn-ME"/>
        </w:rPr>
      </w:pPr>
      <w:r w:rsidRPr="001302F9">
        <w:rPr>
          <w:rFonts w:cs="Arial"/>
          <w:sz w:val="22"/>
          <w:szCs w:val="22"/>
          <w:lang w:val="sr-Latn-ME"/>
        </w:rPr>
        <w:t>Na</w:t>
      </w:r>
      <w:r w:rsidR="00E23E38" w:rsidRPr="001302F9">
        <w:rPr>
          <w:rFonts w:cs="Arial"/>
          <w:sz w:val="22"/>
          <w:szCs w:val="22"/>
          <w:lang w:val="sr-Latn-ME"/>
        </w:rPr>
        <w:t>c</w:t>
      </w:r>
      <w:r w:rsidRPr="001302F9">
        <w:rPr>
          <w:rFonts w:cs="Arial"/>
          <w:sz w:val="22"/>
          <w:szCs w:val="22"/>
          <w:lang w:val="sr-Latn-ME"/>
        </w:rPr>
        <w:t>ional</w:t>
      </w:r>
      <w:r w:rsidR="00E23E38" w:rsidRPr="001302F9">
        <w:rPr>
          <w:rFonts w:cs="Arial"/>
          <w:sz w:val="22"/>
          <w:szCs w:val="22"/>
          <w:lang w:val="sr-Latn-ME"/>
        </w:rPr>
        <w:t>ni</w:t>
      </w:r>
      <w:r w:rsidRPr="001302F9">
        <w:rPr>
          <w:rFonts w:cs="Arial"/>
          <w:sz w:val="22"/>
          <w:szCs w:val="22"/>
          <w:lang w:val="sr-Latn-ME"/>
        </w:rPr>
        <w:t xml:space="preserve"> IPA </w:t>
      </w:r>
      <w:r w:rsidR="00E23E38" w:rsidRPr="001302F9">
        <w:rPr>
          <w:rFonts w:cs="Arial"/>
          <w:sz w:val="22"/>
          <w:szCs w:val="22"/>
          <w:lang w:val="sr-Latn-ME"/>
        </w:rPr>
        <w:t>k</w:t>
      </w:r>
      <w:r w:rsidRPr="001302F9">
        <w:rPr>
          <w:rFonts w:cs="Arial"/>
          <w:sz w:val="22"/>
          <w:szCs w:val="22"/>
          <w:lang w:val="sr-Latn-ME"/>
        </w:rPr>
        <w:t>oordinator (NIPA</w:t>
      </w:r>
      <w:r w:rsidR="00CC5E5B" w:rsidRPr="001302F9">
        <w:rPr>
          <w:rFonts w:cs="Arial"/>
          <w:sz w:val="22"/>
          <w:szCs w:val="22"/>
          <w:lang w:val="sr-Latn-ME"/>
        </w:rPr>
        <w:t>C</w:t>
      </w:r>
      <w:r w:rsidRPr="001302F9">
        <w:rPr>
          <w:rFonts w:cs="Arial"/>
          <w:sz w:val="22"/>
          <w:szCs w:val="22"/>
          <w:lang w:val="sr-Latn-ME"/>
        </w:rPr>
        <w:t>);</w:t>
      </w:r>
    </w:p>
    <w:p w:rsidR="003A193D" w:rsidRPr="001302F9" w:rsidRDefault="003A193D" w:rsidP="009B6B3B">
      <w:pPr>
        <w:pStyle w:val="ListParagraph"/>
        <w:numPr>
          <w:ilvl w:val="0"/>
          <w:numId w:val="5"/>
        </w:numPr>
        <w:spacing w:before="60" w:after="60" w:line="240" w:lineRule="auto"/>
        <w:ind w:left="714" w:hanging="357"/>
        <w:contextualSpacing w:val="0"/>
        <w:rPr>
          <w:rFonts w:cs="Arial"/>
          <w:sz w:val="22"/>
          <w:szCs w:val="22"/>
          <w:lang w:val="sr-Latn-ME"/>
        </w:rPr>
      </w:pPr>
      <w:r w:rsidRPr="001302F9">
        <w:rPr>
          <w:rFonts w:cs="Arial"/>
          <w:sz w:val="22"/>
          <w:szCs w:val="22"/>
          <w:lang w:val="sr-Latn-ME"/>
        </w:rPr>
        <w:t>Na</w:t>
      </w:r>
      <w:r w:rsidR="00E23E38" w:rsidRPr="001302F9">
        <w:rPr>
          <w:rFonts w:cs="Arial"/>
          <w:sz w:val="22"/>
          <w:szCs w:val="22"/>
          <w:lang w:val="sr-Latn-ME"/>
        </w:rPr>
        <w:t>c</w:t>
      </w:r>
      <w:r w:rsidRPr="001302F9">
        <w:rPr>
          <w:rFonts w:cs="Arial"/>
          <w:sz w:val="22"/>
          <w:szCs w:val="22"/>
          <w:lang w:val="sr-Latn-ME"/>
        </w:rPr>
        <w:t>ional</w:t>
      </w:r>
      <w:r w:rsidR="00E23E38" w:rsidRPr="001302F9">
        <w:rPr>
          <w:rFonts w:cs="Arial"/>
          <w:sz w:val="22"/>
          <w:szCs w:val="22"/>
          <w:lang w:val="sr-Latn-ME"/>
        </w:rPr>
        <w:t>ni</w:t>
      </w:r>
      <w:r w:rsidRPr="001302F9">
        <w:rPr>
          <w:rFonts w:cs="Arial"/>
          <w:sz w:val="22"/>
          <w:szCs w:val="22"/>
          <w:lang w:val="sr-Latn-ME"/>
        </w:rPr>
        <w:t xml:space="preserve"> </w:t>
      </w:r>
      <w:r w:rsidR="00E23E38" w:rsidRPr="001302F9">
        <w:rPr>
          <w:rFonts w:cs="Arial"/>
          <w:sz w:val="22"/>
          <w:szCs w:val="22"/>
          <w:lang w:val="sr-Latn-ME"/>
        </w:rPr>
        <w:t>službenik za ovjeravanje</w:t>
      </w:r>
      <w:r w:rsidRPr="001302F9">
        <w:rPr>
          <w:rFonts w:cs="Arial"/>
          <w:sz w:val="22"/>
          <w:szCs w:val="22"/>
          <w:lang w:val="sr-Latn-ME"/>
        </w:rPr>
        <w:t xml:space="preserve"> (NAO);</w:t>
      </w:r>
    </w:p>
    <w:p w:rsidR="003A193D" w:rsidRPr="001302F9" w:rsidRDefault="00E23E38" w:rsidP="009B6B3B">
      <w:pPr>
        <w:pStyle w:val="ListParagraph"/>
        <w:numPr>
          <w:ilvl w:val="0"/>
          <w:numId w:val="5"/>
        </w:numPr>
        <w:spacing w:before="60" w:after="60" w:line="240" w:lineRule="auto"/>
        <w:ind w:left="714" w:hanging="357"/>
        <w:contextualSpacing w:val="0"/>
        <w:rPr>
          <w:rFonts w:cs="Arial"/>
          <w:sz w:val="22"/>
          <w:szCs w:val="22"/>
          <w:lang w:val="sr-Latn-ME"/>
        </w:rPr>
      </w:pPr>
      <w:r w:rsidRPr="001302F9">
        <w:rPr>
          <w:rFonts w:cs="Arial"/>
          <w:sz w:val="22"/>
          <w:szCs w:val="22"/>
          <w:lang w:val="sr-Latn-ME"/>
        </w:rPr>
        <w:t xml:space="preserve">Upravljačka struktura koja se sastoji od </w:t>
      </w:r>
      <w:r w:rsidR="00340A43" w:rsidRPr="001302F9">
        <w:rPr>
          <w:rFonts w:cs="Arial"/>
          <w:sz w:val="22"/>
          <w:szCs w:val="22"/>
          <w:lang w:val="sr-Latn-ME"/>
        </w:rPr>
        <w:t>Direkcije za upravljanje kontrolnim okvirom i nadgledanjem sistema i Direkcije za nacionalni fond i upravljanje računima</w:t>
      </w:r>
      <w:r w:rsidRPr="001302F9">
        <w:rPr>
          <w:rFonts w:cs="Arial"/>
          <w:sz w:val="22"/>
          <w:szCs w:val="22"/>
          <w:lang w:val="sr-Latn-ME"/>
        </w:rPr>
        <w:t>;</w:t>
      </w:r>
    </w:p>
    <w:p w:rsidR="00CC5E5B" w:rsidRPr="001302F9" w:rsidRDefault="00E23E38" w:rsidP="009B6B3B">
      <w:pPr>
        <w:pStyle w:val="ListParagraph"/>
        <w:numPr>
          <w:ilvl w:val="0"/>
          <w:numId w:val="5"/>
        </w:numPr>
        <w:spacing w:before="60" w:after="60" w:line="240" w:lineRule="auto"/>
        <w:ind w:left="714" w:hanging="357"/>
        <w:contextualSpacing w:val="0"/>
        <w:rPr>
          <w:rFonts w:cs="Arial"/>
          <w:sz w:val="22"/>
          <w:szCs w:val="22"/>
          <w:lang w:val="sr-Latn-ME"/>
        </w:rPr>
      </w:pPr>
      <w:r w:rsidRPr="001302F9">
        <w:rPr>
          <w:rFonts w:cs="Arial"/>
          <w:sz w:val="22"/>
          <w:szCs w:val="22"/>
          <w:lang w:val="sr-Latn-ME"/>
        </w:rPr>
        <w:t>Upravljačka tijela i posrednička tijela za finansijsko upravljanje/upravljanje politikom za IPA III i Jedinice za implementaciju projekta/</w:t>
      </w:r>
      <w:r w:rsidR="00B22027" w:rsidRPr="001302F9">
        <w:rPr>
          <w:rFonts w:cs="Arial"/>
          <w:sz w:val="22"/>
          <w:szCs w:val="22"/>
          <w:lang w:val="sr-Latn-ME"/>
        </w:rPr>
        <w:t>Implementacione</w:t>
      </w:r>
      <w:r w:rsidRPr="001302F9">
        <w:rPr>
          <w:rFonts w:cs="Arial"/>
          <w:sz w:val="22"/>
          <w:szCs w:val="22"/>
          <w:lang w:val="sr-Latn-ME"/>
        </w:rPr>
        <w:t xml:space="preserve"> agencije/HOS </w:t>
      </w:r>
      <w:r w:rsidR="00B22027" w:rsidRPr="001302F9">
        <w:rPr>
          <w:rFonts w:cs="Arial"/>
          <w:sz w:val="22"/>
          <w:szCs w:val="22"/>
          <w:lang w:val="sr-Latn-ME"/>
        </w:rPr>
        <w:t>kancelarija</w:t>
      </w:r>
      <w:r w:rsidRPr="001302F9">
        <w:rPr>
          <w:rFonts w:cs="Arial"/>
          <w:sz w:val="22"/>
          <w:szCs w:val="22"/>
          <w:lang w:val="sr-Latn-ME"/>
        </w:rPr>
        <w:t>/CBC tijelo za IPA II</w:t>
      </w:r>
      <w:r w:rsidR="00E02373" w:rsidRPr="001302F9">
        <w:rPr>
          <w:rFonts w:cs="Arial"/>
          <w:sz w:val="22"/>
          <w:szCs w:val="22"/>
          <w:lang w:val="sr-Latn-ME"/>
        </w:rPr>
        <w:t>;</w:t>
      </w:r>
    </w:p>
    <w:p w:rsidR="003A193D" w:rsidRPr="001302F9" w:rsidRDefault="00E23E38" w:rsidP="009B6B3B">
      <w:pPr>
        <w:pStyle w:val="ListParagraph"/>
        <w:numPr>
          <w:ilvl w:val="0"/>
          <w:numId w:val="5"/>
        </w:numPr>
        <w:spacing w:before="60" w:after="60" w:line="240" w:lineRule="auto"/>
        <w:ind w:left="714" w:hanging="357"/>
        <w:contextualSpacing w:val="0"/>
        <w:rPr>
          <w:rFonts w:cs="Arial"/>
          <w:sz w:val="22"/>
          <w:szCs w:val="22"/>
          <w:lang w:val="sr-Latn-ME"/>
        </w:rPr>
      </w:pPr>
      <w:r w:rsidRPr="001302F9">
        <w:rPr>
          <w:rFonts w:cs="Arial"/>
          <w:sz w:val="22"/>
          <w:szCs w:val="22"/>
          <w:lang w:val="sr-Latn-ME"/>
        </w:rPr>
        <w:t>Interna revizija EU fondova u javnom sektoru (u okviru Ministarstva finansija</w:t>
      </w:r>
      <w:r w:rsidR="00E12986" w:rsidRPr="001302F9">
        <w:rPr>
          <w:rFonts w:cs="Arial"/>
          <w:sz w:val="22"/>
          <w:szCs w:val="22"/>
          <w:lang w:val="sr-Latn-ME"/>
        </w:rPr>
        <w:t>) ;</w:t>
      </w:r>
    </w:p>
    <w:p w:rsidR="0039708F" w:rsidRPr="001302F9" w:rsidRDefault="0039708F" w:rsidP="0039708F">
      <w:pPr>
        <w:spacing w:before="120" w:after="120" w:line="240" w:lineRule="auto"/>
        <w:rPr>
          <w:rFonts w:ascii="Arial" w:hAnsi="Arial" w:cs="Arial"/>
          <w:b/>
          <w:bCs/>
          <w:lang w:val="sr-Latn-ME"/>
        </w:rPr>
      </w:pPr>
    </w:p>
    <w:p w:rsidR="00C86913" w:rsidRPr="001302F9" w:rsidRDefault="00C86913" w:rsidP="00EE65EF">
      <w:pPr>
        <w:pStyle w:val="ListParagraph"/>
        <w:numPr>
          <w:ilvl w:val="0"/>
          <w:numId w:val="2"/>
        </w:numPr>
        <w:spacing w:before="120" w:after="120" w:line="240" w:lineRule="auto"/>
        <w:contextualSpacing w:val="0"/>
        <w:rPr>
          <w:rFonts w:cs="Arial"/>
          <w:b/>
          <w:bCs/>
          <w:sz w:val="22"/>
          <w:szCs w:val="22"/>
          <w:lang w:val="sr-Latn-ME"/>
        </w:rPr>
      </w:pPr>
      <w:r w:rsidRPr="001302F9">
        <w:rPr>
          <w:rFonts w:cs="Arial"/>
          <w:b/>
          <w:bCs/>
          <w:sz w:val="22"/>
          <w:szCs w:val="22"/>
          <w:lang w:val="sr-Latn-ME"/>
        </w:rPr>
        <w:t xml:space="preserve">AFCOS </w:t>
      </w:r>
      <w:r w:rsidR="00901B07" w:rsidRPr="001302F9">
        <w:rPr>
          <w:rFonts w:cs="Arial"/>
          <w:b/>
          <w:bCs/>
          <w:sz w:val="22"/>
          <w:szCs w:val="22"/>
          <w:lang w:val="sr-Latn-ME"/>
        </w:rPr>
        <w:t>mreža</w:t>
      </w:r>
    </w:p>
    <w:p w:rsidR="003B61FD" w:rsidRPr="001302F9" w:rsidRDefault="003B61FD" w:rsidP="00B152C5">
      <w:pPr>
        <w:spacing w:before="120" w:after="120" w:line="240" w:lineRule="auto"/>
        <w:jc w:val="both"/>
        <w:rPr>
          <w:rFonts w:ascii="Arial" w:hAnsi="Arial" w:cs="Arial"/>
          <w:lang w:val="sr-Latn-ME"/>
        </w:rPr>
      </w:pPr>
      <w:r w:rsidRPr="001302F9">
        <w:rPr>
          <w:rFonts w:ascii="Arial" w:hAnsi="Arial" w:cs="Arial"/>
          <w:lang w:val="sr-Latn-ME"/>
        </w:rPr>
        <w:t xml:space="preserve">Odlukom o izmjenama i dopunama Odluke o obrazovanju Koordinacionog tijela za praćenje i vođenje politike prevencije i borbe protiv nepravilnosti radi zaštite finansijskih interesa EU (AFCOS mreža), propisano je formiranje Koordinacionog tijela koje čine predstavnici više institucija kao što su: Ministarstvo pravde, Ministarstvo unutrašnjih poslova, </w:t>
      </w:r>
      <w:r w:rsidR="005E0986" w:rsidRPr="001302F9">
        <w:rPr>
          <w:rFonts w:ascii="Arial" w:hAnsi="Arial" w:cs="Arial"/>
          <w:lang w:val="sr-Latn-ME"/>
        </w:rPr>
        <w:t>U</w:t>
      </w:r>
      <w:r w:rsidRPr="001302F9">
        <w:rPr>
          <w:rFonts w:ascii="Arial" w:hAnsi="Arial" w:cs="Arial"/>
          <w:lang w:val="sr-Latn-ME"/>
        </w:rPr>
        <w:t>prav</w:t>
      </w:r>
      <w:r w:rsidR="005E0986" w:rsidRPr="001302F9">
        <w:rPr>
          <w:rFonts w:ascii="Arial" w:hAnsi="Arial" w:cs="Arial"/>
          <w:lang w:val="sr-Latn-ME"/>
        </w:rPr>
        <w:t>a</w:t>
      </w:r>
      <w:r w:rsidRPr="001302F9">
        <w:rPr>
          <w:rFonts w:ascii="Arial" w:hAnsi="Arial" w:cs="Arial"/>
          <w:lang w:val="sr-Latn-ME"/>
        </w:rPr>
        <w:t xml:space="preserve"> </w:t>
      </w:r>
      <w:r w:rsidR="00B152C5" w:rsidRPr="001302F9">
        <w:rPr>
          <w:rFonts w:ascii="Arial" w:hAnsi="Arial" w:cs="Arial"/>
          <w:lang w:val="sr-Latn-ME"/>
        </w:rPr>
        <w:t xml:space="preserve">prihoda i </w:t>
      </w:r>
      <w:r w:rsidRPr="001302F9">
        <w:rPr>
          <w:rFonts w:ascii="Arial" w:hAnsi="Arial" w:cs="Arial"/>
          <w:lang w:val="sr-Latn-ME"/>
        </w:rPr>
        <w:t xml:space="preserve">carina, </w:t>
      </w:r>
      <w:r w:rsidR="005E0986" w:rsidRPr="001302F9">
        <w:rPr>
          <w:rFonts w:ascii="Arial" w:hAnsi="Arial" w:cs="Arial"/>
          <w:lang w:val="sr-Latn-ME"/>
        </w:rPr>
        <w:t>U</w:t>
      </w:r>
      <w:r w:rsidRPr="001302F9">
        <w:rPr>
          <w:rFonts w:ascii="Arial" w:hAnsi="Arial" w:cs="Arial"/>
          <w:lang w:val="sr-Latn-ME"/>
        </w:rPr>
        <w:t xml:space="preserve">prava policije, </w:t>
      </w:r>
      <w:r w:rsidR="005E0986" w:rsidRPr="001302F9">
        <w:rPr>
          <w:rFonts w:ascii="Arial" w:hAnsi="Arial" w:cs="Arial"/>
          <w:lang w:val="sr-Latn-ME"/>
        </w:rPr>
        <w:t>Vrhovno d</w:t>
      </w:r>
      <w:r w:rsidRPr="001302F9">
        <w:rPr>
          <w:rFonts w:ascii="Arial" w:hAnsi="Arial" w:cs="Arial"/>
          <w:lang w:val="sr-Latn-ME"/>
        </w:rPr>
        <w:t>ržavn</w:t>
      </w:r>
      <w:r w:rsidR="005E0986" w:rsidRPr="001302F9">
        <w:rPr>
          <w:rFonts w:ascii="Arial" w:hAnsi="Arial" w:cs="Arial"/>
          <w:lang w:val="sr-Latn-ME"/>
        </w:rPr>
        <w:t>o</w:t>
      </w:r>
      <w:r w:rsidRPr="001302F9">
        <w:rPr>
          <w:rFonts w:ascii="Arial" w:hAnsi="Arial" w:cs="Arial"/>
          <w:lang w:val="sr-Latn-ME"/>
        </w:rPr>
        <w:t xml:space="preserve"> Tužilaštvo, Agencija za borbu protiv korupcije, Revizorsko tijelo, Ministarstvo evropskih poslova i Ministarstvo finansija. U okviru ove odluke propisani su i zadaci tih organa.</w:t>
      </w:r>
    </w:p>
    <w:p w:rsidR="003B61FD" w:rsidRPr="001302F9" w:rsidRDefault="003B61FD" w:rsidP="00B152C5">
      <w:pPr>
        <w:spacing w:before="120" w:after="120" w:line="240" w:lineRule="auto"/>
        <w:jc w:val="both"/>
        <w:rPr>
          <w:rFonts w:ascii="Arial" w:hAnsi="Arial" w:cs="Arial"/>
          <w:lang w:val="sr-Latn-ME"/>
        </w:rPr>
      </w:pPr>
      <w:r w:rsidRPr="001302F9">
        <w:rPr>
          <w:rFonts w:ascii="Arial" w:hAnsi="Arial" w:cs="Arial"/>
          <w:lang w:val="sr-Latn-ME"/>
        </w:rPr>
        <w:t xml:space="preserve">Kao što se može vidjeti, u okviru pomenutog Koordinacionog tijela </w:t>
      </w:r>
      <w:r w:rsidR="00B152C5" w:rsidRPr="001302F9">
        <w:rPr>
          <w:rFonts w:ascii="Arial" w:hAnsi="Arial" w:cs="Arial"/>
          <w:lang w:val="sr-Latn-ME"/>
        </w:rPr>
        <w:t>nalaze se institucije</w:t>
      </w:r>
      <w:r w:rsidRPr="001302F9">
        <w:rPr>
          <w:rFonts w:ascii="Arial" w:hAnsi="Arial" w:cs="Arial"/>
          <w:lang w:val="sr-Latn-ME"/>
        </w:rPr>
        <w:t xml:space="preserve"> koj</w:t>
      </w:r>
      <w:r w:rsidR="00B152C5" w:rsidRPr="001302F9">
        <w:rPr>
          <w:rFonts w:ascii="Arial" w:hAnsi="Arial" w:cs="Arial"/>
          <w:lang w:val="sr-Latn-ME"/>
        </w:rPr>
        <w:t>e</w:t>
      </w:r>
      <w:r w:rsidRPr="001302F9">
        <w:rPr>
          <w:rFonts w:ascii="Arial" w:hAnsi="Arial" w:cs="Arial"/>
          <w:lang w:val="sr-Latn-ME"/>
        </w:rPr>
        <w:t xml:space="preserve"> su nezavisn</w:t>
      </w:r>
      <w:r w:rsidR="00B152C5" w:rsidRPr="001302F9">
        <w:rPr>
          <w:rFonts w:ascii="Arial" w:hAnsi="Arial" w:cs="Arial"/>
          <w:lang w:val="sr-Latn-ME"/>
        </w:rPr>
        <w:t>e</w:t>
      </w:r>
      <w:r w:rsidRPr="001302F9">
        <w:rPr>
          <w:rFonts w:ascii="Arial" w:hAnsi="Arial" w:cs="Arial"/>
          <w:lang w:val="sr-Latn-ME"/>
        </w:rPr>
        <w:t xml:space="preserve"> i van IPA struktura </w:t>
      </w:r>
      <w:r w:rsidR="008703E5">
        <w:rPr>
          <w:rFonts w:ascii="Arial" w:hAnsi="Arial" w:cs="Arial"/>
          <w:lang w:val="sr-Latn-ME"/>
        </w:rPr>
        <w:t xml:space="preserve">i </w:t>
      </w:r>
      <w:r w:rsidRPr="001302F9">
        <w:rPr>
          <w:rFonts w:ascii="Arial" w:hAnsi="Arial" w:cs="Arial"/>
          <w:lang w:val="sr-Latn-ME"/>
        </w:rPr>
        <w:t>imaju drugačiju ulogu u zaštiti finansijskih interesa EU od IPA struktura.</w:t>
      </w:r>
    </w:p>
    <w:p w:rsidR="003B61FD" w:rsidRPr="001302F9" w:rsidRDefault="003B61FD" w:rsidP="00B152C5">
      <w:pPr>
        <w:spacing w:before="120" w:after="120" w:line="240" w:lineRule="auto"/>
        <w:jc w:val="both"/>
        <w:rPr>
          <w:rFonts w:ascii="Arial" w:hAnsi="Arial" w:cs="Arial"/>
          <w:lang w:val="sr-Latn-ME"/>
        </w:rPr>
      </w:pPr>
      <w:r w:rsidRPr="001302F9">
        <w:rPr>
          <w:rFonts w:ascii="Arial" w:hAnsi="Arial" w:cs="Arial"/>
          <w:lang w:val="sr-Latn-ME"/>
        </w:rPr>
        <w:t xml:space="preserve">U tom smislu, </w:t>
      </w:r>
      <w:r w:rsidR="008703E5">
        <w:rPr>
          <w:rFonts w:ascii="Arial" w:hAnsi="Arial" w:cs="Arial"/>
          <w:lang w:val="sr-Latn-ME"/>
        </w:rPr>
        <w:t>ove institucije</w:t>
      </w:r>
      <w:r w:rsidRPr="001302F9">
        <w:rPr>
          <w:rFonts w:ascii="Arial" w:hAnsi="Arial" w:cs="Arial"/>
          <w:lang w:val="sr-Latn-ME"/>
        </w:rPr>
        <w:t xml:space="preserve"> nude specijalizovanu, stručnu podršku i olakšavaju razmjenu informacija sa  strukturama</w:t>
      </w:r>
      <w:r w:rsidR="00A76A38">
        <w:rPr>
          <w:rFonts w:ascii="Arial" w:hAnsi="Arial" w:cs="Arial"/>
          <w:lang w:val="sr-Latn-ME"/>
        </w:rPr>
        <w:t xml:space="preserve"> </w:t>
      </w:r>
      <w:r w:rsidR="005B0DA1">
        <w:rPr>
          <w:rFonts w:ascii="Arial" w:hAnsi="Arial" w:cs="Arial"/>
          <w:lang w:val="sr-Latn-ME"/>
        </w:rPr>
        <w:t>za izvještavanje o nepravilnostima</w:t>
      </w:r>
      <w:r w:rsidRPr="001302F9">
        <w:rPr>
          <w:rFonts w:ascii="Arial" w:hAnsi="Arial" w:cs="Arial"/>
          <w:lang w:val="sr-Latn-ME"/>
        </w:rPr>
        <w:t>, posebno u složenim, potencijalno lažnim, slučajevima gdje odgovornosti i ovlaš</w:t>
      </w:r>
      <w:r w:rsidR="005B0DA1">
        <w:rPr>
          <w:rFonts w:ascii="Arial" w:hAnsi="Arial" w:cs="Arial"/>
          <w:lang w:val="sr-Latn-ME"/>
        </w:rPr>
        <w:t>ć</w:t>
      </w:r>
      <w:r w:rsidRPr="001302F9">
        <w:rPr>
          <w:rFonts w:ascii="Arial" w:hAnsi="Arial" w:cs="Arial"/>
          <w:lang w:val="sr-Latn-ME"/>
        </w:rPr>
        <w:t>enja možda ni</w:t>
      </w:r>
      <w:r w:rsidR="005B0DA1">
        <w:rPr>
          <w:rFonts w:ascii="Arial" w:hAnsi="Arial" w:cs="Arial"/>
          <w:lang w:val="sr-Latn-ME"/>
        </w:rPr>
        <w:t>je</w:t>
      </w:r>
      <w:r w:rsidRPr="001302F9">
        <w:rPr>
          <w:rFonts w:ascii="Arial" w:hAnsi="Arial" w:cs="Arial"/>
          <w:lang w:val="sr-Latn-ME"/>
        </w:rPr>
        <w:t xml:space="preserve">su jasno razgraničeni. Pored toga, ovi organi nadležni su za doprinos procjeni rizika od nepravilnosti i prevara, predlaganje i učešće u </w:t>
      </w:r>
      <w:r w:rsidR="00FD52D5" w:rsidRPr="001302F9">
        <w:rPr>
          <w:rFonts w:ascii="Arial" w:hAnsi="Arial" w:cs="Arial"/>
          <w:lang w:val="sr-Latn-ME"/>
        </w:rPr>
        <w:t>s</w:t>
      </w:r>
      <w:r w:rsidRPr="001302F9">
        <w:rPr>
          <w:rFonts w:ascii="Arial" w:hAnsi="Arial" w:cs="Arial"/>
          <w:lang w:val="sr-Latn-ME"/>
        </w:rPr>
        <w:t>provođenju djelotvornih mjera zaštite finansijskih interesa EU, kao i za koordinaciju procjene potreba za obukom u organu koji predstavljaju, te obavještavaju svoje kolege o dostupnim edukativnim aktivnostima koje se odnose na zaštitu finansijskih interesa EU.</w:t>
      </w:r>
    </w:p>
    <w:p w:rsidR="003B61FD" w:rsidRPr="001302F9" w:rsidRDefault="003B61FD" w:rsidP="003B61FD">
      <w:pPr>
        <w:spacing w:before="120" w:after="120" w:line="240" w:lineRule="auto"/>
        <w:rPr>
          <w:rFonts w:ascii="Arial" w:hAnsi="Arial" w:cs="Arial"/>
          <w:b/>
          <w:bCs/>
          <w:lang w:val="sr-Latn-ME"/>
        </w:rPr>
      </w:pPr>
    </w:p>
    <w:p w:rsidR="00BB3B2A" w:rsidRPr="001302F9" w:rsidRDefault="00B61679" w:rsidP="009B6B3B">
      <w:pPr>
        <w:pStyle w:val="ListParagraph"/>
        <w:numPr>
          <w:ilvl w:val="0"/>
          <w:numId w:val="24"/>
        </w:numPr>
        <w:spacing w:before="120" w:after="120" w:line="240" w:lineRule="auto"/>
        <w:rPr>
          <w:rFonts w:cs="Arial"/>
          <w:b/>
          <w:bCs/>
          <w:sz w:val="22"/>
          <w:szCs w:val="22"/>
          <w:lang w:val="sr-Latn-ME"/>
        </w:rPr>
      </w:pPr>
      <w:r w:rsidRPr="001302F9">
        <w:rPr>
          <w:rFonts w:cs="Arial"/>
          <w:b/>
          <w:bCs/>
          <w:sz w:val="22"/>
          <w:szCs w:val="22"/>
          <w:lang w:val="sr-Latn-ME"/>
        </w:rPr>
        <w:t>Direkcija za zaštitu finansijskih interesa EU/</w:t>
      </w:r>
      <w:r w:rsidR="00754897" w:rsidRPr="001302F9">
        <w:rPr>
          <w:rFonts w:cs="Arial"/>
          <w:b/>
          <w:bCs/>
          <w:sz w:val="22"/>
          <w:szCs w:val="22"/>
          <w:lang w:val="sr-Latn-ME"/>
        </w:rPr>
        <w:t xml:space="preserve">AFCOS </w:t>
      </w:r>
      <w:r w:rsidR="00A87DB2">
        <w:rPr>
          <w:rFonts w:cs="Arial"/>
          <w:b/>
          <w:bCs/>
          <w:sz w:val="22"/>
          <w:szCs w:val="22"/>
          <w:lang w:val="sr-Latn-ME"/>
        </w:rPr>
        <w:t>( AFCOS kancelarija)</w:t>
      </w:r>
    </w:p>
    <w:p w:rsidR="00B61679" w:rsidRPr="001302F9" w:rsidRDefault="00B61679" w:rsidP="00B61679">
      <w:pPr>
        <w:spacing w:before="120" w:after="120" w:line="240" w:lineRule="auto"/>
        <w:jc w:val="both"/>
        <w:rPr>
          <w:rFonts w:ascii="Arial" w:hAnsi="Arial" w:cs="Arial"/>
          <w:lang w:val="sr-Latn-ME"/>
        </w:rPr>
      </w:pPr>
      <w:r w:rsidRPr="001302F9">
        <w:rPr>
          <w:rFonts w:ascii="Arial" w:hAnsi="Arial" w:cs="Arial"/>
          <w:lang w:val="sr-Latn-ME"/>
        </w:rPr>
        <w:t>U skladu sa Okvirnim sporazumima, član 50., korisnik IPA II/III će odrediti AFCOS, radi omogućavanja ef</w:t>
      </w:r>
      <w:r w:rsidR="00630A71" w:rsidRPr="001302F9">
        <w:rPr>
          <w:rFonts w:ascii="Arial" w:hAnsi="Arial" w:cs="Arial"/>
          <w:lang w:val="sr-Latn-ME"/>
        </w:rPr>
        <w:t>ikasne</w:t>
      </w:r>
      <w:r w:rsidRPr="001302F9">
        <w:rPr>
          <w:rFonts w:ascii="Arial" w:hAnsi="Arial" w:cs="Arial"/>
          <w:lang w:val="sr-Latn-ME"/>
        </w:rPr>
        <w:t xml:space="preserve"> saradnje i razmjene informacija, uključujući informacije operativne prirode, sa OLAF-om. Ovu obavezu Crna Gora je ispunila tako što je AFCOS pri </w:t>
      </w:r>
      <w:r w:rsidR="00182D2F" w:rsidRPr="001302F9">
        <w:rPr>
          <w:rFonts w:ascii="Arial" w:hAnsi="Arial" w:cs="Arial"/>
          <w:lang w:val="sr-Latn-ME"/>
        </w:rPr>
        <w:t>Direktoratu</w:t>
      </w:r>
      <w:r w:rsidRPr="001302F9">
        <w:rPr>
          <w:rFonts w:ascii="Arial" w:hAnsi="Arial" w:cs="Arial"/>
          <w:lang w:val="sr-Latn-ME"/>
        </w:rPr>
        <w:t xml:space="preserve"> za inspekcij</w:t>
      </w:r>
      <w:r w:rsidR="00677E00" w:rsidRPr="001302F9">
        <w:rPr>
          <w:rFonts w:ascii="Arial" w:hAnsi="Arial" w:cs="Arial"/>
          <w:lang w:val="sr-Latn-ME"/>
        </w:rPr>
        <w:t>ski nadzor</w:t>
      </w:r>
      <w:r w:rsidRPr="001302F9">
        <w:rPr>
          <w:rFonts w:ascii="Arial" w:hAnsi="Arial" w:cs="Arial"/>
          <w:lang w:val="sr-Latn-ME"/>
        </w:rPr>
        <w:t xml:space="preserve"> i zaštitu finansijskih interesa EU odredila kao Direkciju za zaštitu finansijskih interesa EU (AFCOS) pri Ministarstvu finansija. Na taj način je ispunjena i obaveza iz člana 12a Uredbe OLAF-a.</w:t>
      </w:r>
    </w:p>
    <w:p w:rsidR="00B61679" w:rsidRPr="001302F9" w:rsidRDefault="00B61679" w:rsidP="00B61679">
      <w:pPr>
        <w:spacing w:before="120" w:after="120" w:line="240" w:lineRule="auto"/>
        <w:jc w:val="both"/>
        <w:rPr>
          <w:rFonts w:ascii="Arial" w:hAnsi="Arial" w:cs="Arial"/>
          <w:lang w:val="sr-Latn-ME"/>
        </w:rPr>
      </w:pPr>
      <w:r w:rsidRPr="001302F9">
        <w:rPr>
          <w:rFonts w:ascii="Arial" w:hAnsi="Arial" w:cs="Arial"/>
          <w:lang w:val="sr-Latn-ME"/>
        </w:rPr>
        <w:t xml:space="preserve">U pogledu svoje uloge, Direkcija za zaštitu finansijskih interesa EU/ AFCOS-a predstavlja glavnu kontakt tačku za OLAF i osigurava efikasnu saradnju između </w:t>
      </w:r>
      <w:r w:rsidR="00972709" w:rsidRPr="00EE1E09">
        <w:rPr>
          <w:rFonts w:cs="Arial"/>
          <w:lang w:val="sr-Latn-BA"/>
        </w:rPr>
        <w:t>T</w:t>
      </w:r>
      <w:r w:rsidR="00972709" w:rsidRPr="00EE1E09">
        <w:rPr>
          <w:rFonts w:ascii="Arial" w:eastAsia="Times New Roman" w:hAnsi="Arial" w:cs="Arial"/>
          <w:lang w:val="sr-Latn-BA"/>
        </w:rPr>
        <w:t xml:space="preserve">ijela sistema za upravljanje i kontrolu EU fondova </w:t>
      </w:r>
      <w:r w:rsidRPr="001302F9">
        <w:rPr>
          <w:rFonts w:ascii="Arial" w:hAnsi="Arial" w:cs="Arial"/>
          <w:lang w:val="sr-Latn-ME"/>
        </w:rPr>
        <w:t xml:space="preserve">i </w:t>
      </w:r>
      <w:r w:rsidR="00677E00" w:rsidRPr="001302F9">
        <w:rPr>
          <w:rFonts w:ascii="Arial" w:hAnsi="Arial" w:cs="Arial"/>
          <w:lang w:val="sr-Latn-ME"/>
        </w:rPr>
        <w:t>institucija</w:t>
      </w:r>
      <w:r w:rsidR="00A76A38">
        <w:rPr>
          <w:rFonts w:ascii="Arial" w:hAnsi="Arial" w:cs="Arial"/>
          <w:lang w:val="sr-Latn-ME"/>
        </w:rPr>
        <w:t xml:space="preserve"> sistema za borbu protiv prevara i drugih oblika nezakonitih aktivnosti</w:t>
      </w:r>
      <w:r w:rsidRPr="001302F9">
        <w:rPr>
          <w:rFonts w:ascii="Arial" w:hAnsi="Arial" w:cs="Arial"/>
          <w:lang w:val="sr-Latn-ME"/>
        </w:rPr>
        <w:t>, kao i razmjenu informacija, uključujući informacije sa OLAF-om.</w:t>
      </w:r>
    </w:p>
    <w:p w:rsidR="003A193D" w:rsidRPr="001302F9" w:rsidRDefault="00B61679" w:rsidP="00B61679">
      <w:pPr>
        <w:spacing w:before="120" w:after="120" w:line="240" w:lineRule="auto"/>
        <w:jc w:val="both"/>
        <w:rPr>
          <w:rFonts w:ascii="Arial" w:hAnsi="Arial" w:cs="Arial"/>
          <w:lang w:val="sr-Latn-ME"/>
        </w:rPr>
      </w:pPr>
      <w:r w:rsidRPr="001302F9">
        <w:rPr>
          <w:rFonts w:ascii="Arial" w:hAnsi="Arial" w:cs="Arial"/>
          <w:lang w:val="sr-Latn-ME"/>
        </w:rPr>
        <w:t xml:space="preserve">Glavne </w:t>
      </w:r>
      <w:r w:rsidR="00EF0024" w:rsidRPr="001302F9">
        <w:rPr>
          <w:rFonts w:ascii="Arial" w:hAnsi="Arial" w:cs="Arial"/>
          <w:lang w:val="sr-Latn-ME"/>
        </w:rPr>
        <w:t>obaveze</w:t>
      </w:r>
      <w:r w:rsidRPr="001302F9">
        <w:rPr>
          <w:rFonts w:ascii="Arial" w:hAnsi="Arial" w:cs="Arial"/>
          <w:lang w:val="sr-Latn-ME"/>
        </w:rPr>
        <w:t xml:space="preserve"> Direkcije za zaštitu finansijskih interesa EU/ AFCOS zasnovane na zahtjevima navedenim u Okvirnim sporazumima su sljedeće</w:t>
      </w:r>
      <w:r w:rsidR="00EF5BA1" w:rsidRPr="001302F9">
        <w:rPr>
          <w:rFonts w:ascii="Arial" w:hAnsi="Arial" w:cs="Arial"/>
          <w:lang w:val="sr-Latn-ME"/>
        </w:rPr>
        <w:t>:</w:t>
      </w:r>
    </w:p>
    <w:p w:rsidR="00B61679" w:rsidRPr="001302F9" w:rsidRDefault="00B61679" w:rsidP="009B6B3B">
      <w:pPr>
        <w:pStyle w:val="ListParagraph"/>
        <w:numPr>
          <w:ilvl w:val="1"/>
          <w:numId w:val="5"/>
        </w:numPr>
        <w:spacing w:before="60" w:after="60" w:line="240" w:lineRule="auto"/>
        <w:ind w:left="709" w:hanging="284"/>
        <w:contextualSpacing w:val="0"/>
        <w:rPr>
          <w:rFonts w:cs="Arial"/>
          <w:sz w:val="22"/>
          <w:szCs w:val="22"/>
          <w:lang w:val="sr-Latn-ME"/>
        </w:rPr>
      </w:pPr>
      <w:r w:rsidRPr="001302F9">
        <w:rPr>
          <w:rFonts w:cs="Arial"/>
          <w:sz w:val="22"/>
          <w:szCs w:val="22"/>
          <w:lang w:val="sr-Latn-ME"/>
        </w:rPr>
        <w:t>kreiranje strategija za zaštitu finansijskih interesa EU;</w:t>
      </w:r>
    </w:p>
    <w:p w:rsidR="00B61679" w:rsidRPr="001302F9" w:rsidRDefault="00B61679" w:rsidP="009B6B3B">
      <w:pPr>
        <w:pStyle w:val="ListParagraph"/>
        <w:numPr>
          <w:ilvl w:val="1"/>
          <w:numId w:val="5"/>
        </w:numPr>
        <w:spacing w:before="60" w:after="60" w:line="240" w:lineRule="auto"/>
        <w:ind w:left="709" w:hanging="284"/>
        <w:contextualSpacing w:val="0"/>
        <w:rPr>
          <w:rFonts w:cs="Arial"/>
          <w:sz w:val="22"/>
          <w:szCs w:val="22"/>
          <w:lang w:val="sr-Latn-ME"/>
        </w:rPr>
      </w:pPr>
      <w:r w:rsidRPr="001302F9">
        <w:rPr>
          <w:rFonts w:cs="Arial"/>
          <w:sz w:val="22"/>
          <w:szCs w:val="22"/>
          <w:lang w:val="sr-Latn-ME"/>
        </w:rPr>
        <w:t>identifi</w:t>
      </w:r>
      <w:r w:rsidR="00FF79F6" w:rsidRPr="001302F9">
        <w:rPr>
          <w:rFonts w:cs="Arial"/>
          <w:sz w:val="22"/>
          <w:szCs w:val="22"/>
          <w:lang w:val="sr-Latn-ME"/>
        </w:rPr>
        <w:t>kovanje</w:t>
      </w:r>
      <w:r w:rsidRPr="001302F9">
        <w:rPr>
          <w:rFonts w:cs="Arial"/>
          <w:sz w:val="22"/>
          <w:szCs w:val="22"/>
          <w:lang w:val="sr-Latn-ME"/>
        </w:rPr>
        <w:t xml:space="preserve"> moguć</w:t>
      </w:r>
      <w:r w:rsidR="00CE0B15" w:rsidRPr="001302F9">
        <w:rPr>
          <w:rFonts w:cs="Arial"/>
          <w:sz w:val="22"/>
          <w:szCs w:val="22"/>
          <w:lang w:val="sr-Latn-ME"/>
        </w:rPr>
        <w:t>ih</w:t>
      </w:r>
      <w:r w:rsidRPr="001302F9">
        <w:rPr>
          <w:rFonts w:cs="Arial"/>
          <w:sz w:val="22"/>
          <w:szCs w:val="22"/>
          <w:lang w:val="sr-Latn-ME"/>
        </w:rPr>
        <w:t xml:space="preserve"> slabosti u sistemima korisnika IPA II/III za upravljanje fondovima Unije, uključujući pomoć IPA II/III;</w:t>
      </w:r>
    </w:p>
    <w:p w:rsidR="003C058F" w:rsidRPr="001302F9" w:rsidRDefault="00B61679" w:rsidP="009B6B3B">
      <w:pPr>
        <w:pStyle w:val="ListParagraph"/>
        <w:numPr>
          <w:ilvl w:val="1"/>
          <w:numId w:val="5"/>
        </w:numPr>
        <w:spacing w:before="60" w:after="60" w:line="240" w:lineRule="auto"/>
        <w:ind w:left="709" w:hanging="284"/>
        <w:contextualSpacing w:val="0"/>
        <w:rPr>
          <w:rFonts w:cs="Arial"/>
          <w:sz w:val="22"/>
          <w:szCs w:val="22"/>
          <w:lang w:val="sr-Latn-ME"/>
        </w:rPr>
      </w:pPr>
      <w:r w:rsidRPr="001302F9">
        <w:rPr>
          <w:rFonts w:cs="Arial"/>
          <w:sz w:val="22"/>
          <w:szCs w:val="22"/>
          <w:lang w:val="sr-Latn-ME"/>
        </w:rPr>
        <w:t>osigura</w:t>
      </w:r>
      <w:r w:rsidR="00CE0B15" w:rsidRPr="001302F9">
        <w:rPr>
          <w:rFonts w:cs="Arial"/>
          <w:sz w:val="22"/>
          <w:szCs w:val="22"/>
          <w:lang w:val="sr-Latn-ME"/>
        </w:rPr>
        <w:t>vanje</w:t>
      </w:r>
      <w:r w:rsidRPr="001302F9">
        <w:rPr>
          <w:rFonts w:cs="Arial"/>
          <w:sz w:val="22"/>
          <w:szCs w:val="22"/>
          <w:lang w:val="sr-Latn-ME"/>
        </w:rPr>
        <w:t xml:space="preserve"> dovoljn</w:t>
      </w:r>
      <w:r w:rsidR="00CE0B15" w:rsidRPr="001302F9">
        <w:rPr>
          <w:rFonts w:cs="Arial"/>
          <w:sz w:val="22"/>
          <w:szCs w:val="22"/>
          <w:lang w:val="sr-Latn-ME"/>
        </w:rPr>
        <w:t>og</w:t>
      </w:r>
      <w:r w:rsidRPr="001302F9">
        <w:rPr>
          <w:rFonts w:cs="Arial"/>
          <w:sz w:val="22"/>
          <w:szCs w:val="22"/>
          <w:lang w:val="sr-Latn-ME"/>
        </w:rPr>
        <w:t xml:space="preserve"> kapacitet</w:t>
      </w:r>
      <w:r w:rsidR="00CE0B15" w:rsidRPr="001302F9">
        <w:rPr>
          <w:rFonts w:cs="Arial"/>
          <w:sz w:val="22"/>
          <w:szCs w:val="22"/>
          <w:lang w:val="sr-Latn-ME"/>
        </w:rPr>
        <w:t>a</w:t>
      </w:r>
      <w:r w:rsidRPr="001302F9">
        <w:rPr>
          <w:rFonts w:cs="Arial"/>
          <w:sz w:val="22"/>
          <w:szCs w:val="22"/>
          <w:lang w:val="sr-Latn-ME"/>
        </w:rPr>
        <w:t xml:space="preserve"> ljudskih resursa za ove zadatke, uključujući obuku </w:t>
      </w:r>
      <w:r w:rsidR="00796246">
        <w:rPr>
          <w:rFonts w:cs="Arial"/>
          <w:sz w:val="22"/>
          <w:szCs w:val="22"/>
          <w:lang w:val="sr-Latn-ME"/>
        </w:rPr>
        <w:t xml:space="preserve">službenika </w:t>
      </w:r>
      <w:r w:rsidRPr="001302F9">
        <w:rPr>
          <w:rFonts w:cs="Arial"/>
          <w:sz w:val="22"/>
          <w:szCs w:val="22"/>
          <w:lang w:val="sr-Latn-ME"/>
        </w:rPr>
        <w:t xml:space="preserve"> za prevenciju</w:t>
      </w:r>
      <w:r w:rsidR="00796246">
        <w:rPr>
          <w:rFonts w:cs="Arial"/>
          <w:sz w:val="22"/>
          <w:szCs w:val="22"/>
          <w:lang w:val="sr-Latn-ME"/>
        </w:rPr>
        <w:t xml:space="preserve"> nepravilnosti i</w:t>
      </w:r>
      <w:r w:rsidRPr="001302F9">
        <w:rPr>
          <w:rFonts w:cs="Arial"/>
          <w:sz w:val="22"/>
          <w:szCs w:val="22"/>
          <w:lang w:val="sr-Latn-ME"/>
        </w:rPr>
        <w:t xml:space="preserve"> prevara</w:t>
      </w:r>
      <w:r w:rsidR="003C058F" w:rsidRPr="001302F9">
        <w:rPr>
          <w:rFonts w:cs="Arial"/>
          <w:sz w:val="22"/>
          <w:szCs w:val="22"/>
          <w:lang w:val="sr-Latn-ME"/>
        </w:rPr>
        <w:t>;</w:t>
      </w:r>
    </w:p>
    <w:p w:rsidR="003C058F" w:rsidRPr="001302F9" w:rsidRDefault="003C058F" w:rsidP="009B6B3B">
      <w:pPr>
        <w:pStyle w:val="ListParagraph"/>
        <w:numPr>
          <w:ilvl w:val="1"/>
          <w:numId w:val="5"/>
        </w:numPr>
        <w:spacing w:before="60" w:after="60" w:line="240" w:lineRule="auto"/>
        <w:ind w:left="709" w:hanging="284"/>
        <w:contextualSpacing w:val="0"/>
        <w:rPr>
          <w:rFonts w:cs="Arial"/>
          <w:sz w:val="22"/>
          <w:szCs w:val="22"/>
          <w:lang w:val="sr-Latn-ME"/>
        </w:rPr>
      </w:pPr>
      <w:r w:rsidRPr="001302F9">
        <w:rPr>
          <w:rFonts w:cs="Arial"/>
          <w:sz w:val="22"/>
          <w:szCs w:val="22"/>
          <w:lang w:val="sr-Latn-ME"/>
        </w:rPr>
        <w:tab/>
      </w:r>
      <w:r w:rsidR="00B61679" w:rsidRPr="001302F9">
        <w:rPr>
          <w:rFonts w:cs="Arial"/>
          <w:sz w:val="22"/>
          <w:szCs w:val="22"/>
          <w:lang w:val="sr-Latn-ME"/>
        </w:rPr>
        <w:t>podržava</w:t>
      </w:r>
      <w:r w:rsidR="00CE0B15" w:rsidRPr="001302F9">
        <w:rPr>
          <w:rFonts w:cs="Arial"/>
          <w:sz w:val="22"/>
          <w:szCs w:val="22"/>
          <w:lang w:val="sr-Latn-ME"/>
        </w:rPr>
        <w:t>nje</w:t>
      </w:r>
      <w:r w:rsidR="00B61679" w:rsidRPr="001302F9">
        <w:rPr>
          <w:rFonts w:cs="Arial"/>
          <w:sz w:val="22"/>
          <w:szCs w:val="22"/>
          <w:lang w:val="sr-Latn-ME"/>
        </w:rPr>
        <w:t xml:space="preserve"> saradnj</w:t>
      </w:r>
      <w:r w:rsidR="00CE0B15" w:rsidRPr="001302F9">
        <w:rPr>
          <w:rFonts w:cs="Arial"/>
          <w:sz w:val="22"/>
          <w:szCs w:val="22"/>
          <w:lang w:val="sr-Latn-ME"/>
        </w:rPr>
        <w:t>e</w:t>
      </w:r>
      <w:r w:rsidR="00B61679" w:rsidRPr="001302F9">
        <w:rPr>
          <w:rFonts w:cs="Arial"/>
          <w:sz w:val="22"/>
          <w:szCs w:val="22"/>
          <w:lang w:val="sr-Latn-ME"/>
        </w:rPr>
        <w:t xml:space="preserve"> između administracija korisnika IPA II/III, organa gonjenja i OLAF-a;</w:t>
      </w:r>
    </w:p>
    <w:p w:rsidR="003C058F" w:rsidRPr="001302F9" w:rsidRDefault="00B61679" w:rsidP="009B6B3B">
      <w:pPr>
        <w:pStyle w:val="ListParagraph"/>
        <w:numPr>
          <w:ilvl w:val="1"/>
          <w:numId w:val="5"/>
        </w:numPr>
        <w:spacing w:before="60" w:after="60" w:line="240" w:lineRule="auto"/>
        <w:ind w:left="709" w:hanging="284"/>
        <w:contextualSpacing w:val="0"/>
        <w:rPr>
          <w:rFonts w:cs="Arial"/>
          <w:sz w:val="22"/>
          <w:szCs w:val="22"/>
          <w:lang w:val="sr-Latn-ME"/>
        </w:rPr>
      </w:pPr>
      <w:r w:rsidRPr="001302F9">
        <w:rPr>
          <w:rFonts w:cs="Arial"/>
          <w:sz w:val="22"/>
          <w:szCs w:val="22"/>
          <w:lang w:val="sr-Latn-ME"/>
        </w:rPr>
        <w:t>dijel</w:t>
      </w:r>
      <w:r w:rsidR="00CE0B15" w:rsidRPr="001302F9">
        <w:rPr>
          <w:rFonts w:cs="Arial"/>
          <w:sz w:val="22"/>
          <w:szCs w:val="22"/>
          <w:lang w:val="sr-Latn-ME"/>
        </w:rPr>
        <w:t>jenje</w:t>
      </w:r>
      <w:r w:rsidRPr="001302F9">
        <w:rPr>
          <w:rFonts w:cs="Arial"/>
          <w:sz w:val="22"/>
          <w:szCs w:val="22"/>
          <w:lang w:val="sr-Latn-ME"/>
        </w:rPr>
        <w:t xml:space="preserve"> informacij</w:t>
      </w:r>
      <w:r w:rsidR="00CE0B15" w:rsidRPr="001302F9">
        <w:rPr>
          <w:rFonts w:cs="Arial"/>
          <w:sz w:val="22"/>
          <w:szCs w:val="22"/>
          <w:lang w:val="sr-Latn-ME"/>
        </w:rPr>
        <w:t>a</w:t>
      </w:r>
      <w:r w:rsidRPr="001302F9">
        <w:rPr>
          <w:rFonts w:cs="Arial"/>
          <w:sz w:val="22"/>
          <w:szCs w:val="22"/>
          <w:lang w:val="sr-Latn-ME"/>
        </w:rPr>
        <w:t xml:space="preserve"> o nepravilnostima i slučajevima sumnje na prevaru, uključujući one identifikovane u revizijama i provjerama koje vrše Revizorsko tijelo, službe interne revizije, upravljačka struktura, upravljačka tijela i posrednička tijela, sa administracijom korisnika IPA II/III i OLAF-om;</w:t>
      </w:r>
    </w:p>
    <w:p w:rsidR="00515401" w:rsidRPr="001302F9" w:rsidRDefault="007F5872" w:rsidP="009B6B3B">
      <w:pPr>
        <w:pStyle w:val="ListParagraph"/>
        <w:numPr>
          <w:ilvl w:val="1"/>
          <w:numId w:val="5"/>
        </w:numPr>
        <w:spacing w:before="60" w:after="60" w:line="240" w:lineRule="auto"/>
        <w:ind w:left="709" w:hanging="284"/>
        <w:contextualSpacing w:val="0"/>
        <w:rPr>
          <w:rFonts w:cs="Arial"/>
          <w:sz w:val="22"/>
          <w:szCs w:val="22"/>
          <w:lang w:val="sr-Latn-ME"/>
        </w:rPr>
      </w:pPr>
      <w:r w:rsidRPr="001302F9">
        <w:rPr>
          <w:rFonts w:cs="Arial"/>
          <w:sz w:val="22"/>
          <w:szCs w:val="22"/>
          <w:lang w:val="sr-Latn-ME"/>
        </w:rPr>
        <w:t>osigura</w:t>
      </w:r>
      <w:r w:rsidR="00CE0B15" w:rsidRPr="001302F9">
        <w:rPr>
          <w:rFonts w:cs="Arial"/>
          <w:sz w:val="22"/>
          <w:szCs w:val="22"/>
          <w:lang w:val="sr-Latn-ME"/>
        </w:rPr>
        <w:t>vanje</w:t>
      </w:r>
      <w:r w:rsidRPr="001302F9">
        <w:rPr>
          <w:rFonts w:cs="Arial"/>
          <w:sz w:val="22"/>
          <w:szCs w:val="22"/>
          <w:lang w:val="sr-Latn-ME"/>
        </w:rPr>
        <w:t xml:space="preserve"> ispunjenj</w:t>
      </w:r>
      <w:r w:rsidR="00CE0B15" w:rsidRPr="001302F9">
        <w:rPr>
          <w:rFonts w:cs="Arial"/>
          <w:sz w:val="22"/>
          <w:szCs w:val="22"/>
          <w:lang w:val="sr-Latn-ME"/>
        </w:rPr>
        <w:t>a</w:t>
      </w:r>
      <w:r w:rsidRPr="001302F9">
        <w:rPr>
          <w:rFonts w:cs="Arial"/>
          <w:sz w:val="22"/>
          <w:szCs w:val="22"/>
          <w:lang w:val="sr-Latn-ME"/>
        </w:rPr>
        <w:t xml:space="preserve"> svih obaveza iz Uredbe (EC, Euratom) br. 883/2013 Evropskog parlamenta i </w:t>
      </w:r>
      <w:r w:rsidR="00A97704" w:rsidRPr="001302F9">
        <w:rPr>
          <w:rFonts w:cs="Arial"/>
          <w:sz w:val="22"/>
          <w:szCs w:val="22"/>
          <w:lang w:val="sr-Latn-ME"/>
        </w:rPr>
        <w:t>Savjet</w:t>
      </w:r>
      <w:r w:rsidRPr="001302F9">
        <w:rPr>
          <w:rFonts w:cs="Arial"/>
          <w:sz w:val="22"/>
          <w:szCs w:val="22"/>
          <w:lang w:val="sr-Latn-ME"/>
        </w:rPr>
        <w:t xml:space="preserve">a, Uredbe </w:t>
      </w:r>
      <w:r w:rsidR="00A97704" w:rsidRPr="001302F9">
        <w:rPr>
          <w:rFonts w:cs="Arial"/>
          <w:sz w:val="22"/>
          <w:szCs w:val="22"/>
          <w:lang w:val="sr-Latn-ME"/>
        </w:rPr>
        <w:t>Savjeta</w:t>
      </w:r>
      <w:r w:rsidRPr="001302F9">
        <w:rPr>
          <w:rFonts w:cs="Arial"/>
          <w:sz w:val="22"/>
          <w:szCs w:val="22"/>
          <w:lang w:val="sr-Latn-ME"/>
        </w:rPr>
        <w:t xml:space="preserve"> (Euratom, EC) br. 2988/1995 i Uredbe </w:t>
      </w:r>
      <w:r w:rsidR="00A97704" w:rsidRPr="001302F9">
        <w:rPr>
          <w:rFonts w:cs="Arial"/>
          <w:sz w:val="22"/>
          <w:szCs w:val="22"/>
          <w:lang w:val="sr-Latn-ME"/>
        </w:rPr>
        <w:t>Savjet</w:t>
      </w:r>
      <w:r w:rsidRPr="001302F9">
        <w:rPr>
          <w:rFonts w:cs="Arial"/>
          <w:sz w:val="22"/>
          <w:szCs w:val="22"/>
          <w:lang w:val="sr-Latn-ME"/>
        </w:rPr>
        <w:t>a (EC, Euratom) br. 2185/1996</w:t>
      </w:r>
      <w:r w:rsidR="003C058F" w:rsidRPr="001302F9">
        <w:rPr>
          <w:rFonts w:cs="Arial"/>
          <w:sz w:val="22"/>
          <w:szCs w:val="22"/>
          <w:lang w:val="sr-Latn-ME"/>
        </w:rPr>
        <w:t>.</w:t>
      </w:r>
    </w:p>
    <w:p w:rsidR="007F5872" w:rsidRPr="001302F9" w:rsidRDefault="007F5872" w:rsidP="007F5872">
      <w:pPr>
        <w:pStyle w:val="ListParagraph"/>
        <w:spacing w:before="60" w:after="60" w:line="240" w:lineRule="auto"/>
        <w:ind w:left="709"/>
        <w:contextualSpacing w:val="0"/>
        <w:rPr>
          <w:rFonts w:cs="Arial"/>
          <w:sz w:val="22"/>
          <w:szCs w:val="22"/>
          <w:lang w:val="sr-Latn-ME"/>
        </w:rPr>
      </w:pPr>
    </w:p>
    <w:p w:rsidR="006F5625" w:rsidRPr="001302F9" w:rsidRDefault="006F5625" w:rsidP="009B6B3B">
      <w:pPr>
        <w:pStyle w:val="Heading3"/>
        <w:numPr>
          <w:ilvl w:val="1"/>
          <w:numId w:val="10"/>
        </w:numPr>
        <w:spacing w:before="120" w:after="120"/>
        <w:ind w:left="993" w:hanging="633"/>
        <w:rPr>
          <w:rFonts w:ascii="Arial" w:hAnsi="Arial" w:cs="Arial"/>
          <w:sz w:val="22"/>
          <w:szCs w:val="22"/>
          <w:lang w:val="sr-Latn-ME"/>
        </w:rPr>
      </w:pPr>
      <w:bookmarkStart w:id="7" w:name="_Toc191824742"/>
      <w:r w:rsidRPr="001302F9">
        <w:rPr>
          <w:rFonts w:ascii="Arial" w:hAnsi="Arial" w:cs="Arial"/>
          <w:sz w:val="22"/>
          <w:szCs w:val="22"/>
          <w:lang w:val="sr-Latn-ME"/>
        </w:rPr>
        <w:t>Metodolog</w:t>
      </w:r>
      <w:bookmarkEnd w:id="7"/>
      <w:r w:rsidR="00005851" w:rsidRPr="001302F9">
        <w:rPr>
          <w:rFonts w:ascii="Arial" w:hAnsi="Arial" w:cs="Arial"/>
          <w:sz w:val="22"/>
          <w:szCs w:val="22"/>
          <w:lang w:val="sr-Latn-ME"/>
        </w:rPr>
        <w:t>ija</w:t>
      </w:r>
    </w:p>
    <w:p w:rsidR="007F5872" w:rsidRPr="001302F9" w:rsidRDefault="007F5872" w:rsidP="007F5872">
      <w:pPr>
        <w:jc w:val="both"/>
        <w:rPr>
          <w:rFonts w:ascii="Arial" w:hAnsi="Arial" w:cs="Arial"/>
          <w:lang w:val="sr-Latn-ME" w:eastAsia="x-none"/>
        </w:rPr>
      </w:pPr>
      <w:r w:rsidRPr="001302F9">
        <w:rPr>
          <w:rFonts w:ascii="Arial" w:hAnsi="Arial" w:cs="Arial"/>
          <w:lang w:val="sr-Latn-ME" w:eastAsia="x-none"/>
        </w:rPr>
        <w:t>Ovaj nov</w:t>
      </w:r>
      <w:r w:rsidR="00CE0B15" w:rsidRPr="001302F9">
        <w:rPr>
          <w:rFonts w:ascii="Arial" w:hAnsi="Arial" w:cs="Arial"/>
          <w:lang w:val="sr-Latn-ME" w:eastAsia="x-none"/>
        </w:rPr>
        <w:t xml:space="preserve">a </w:t>
      </w:r>
      <w:r w:rsidRPr="001302F9">
        <w:rPr>
          <w:rFonts w:ascii="Arial" w:hAnsi="Arial" w:cs="Arial"/>
          <w:lang w:val="sr-Latn-ME" w:eastAsia="x-none"/>
        </w:rPr>
        <w:t>S</w:t>
      </w:r>
      <w:r w:rsidR="00CE0B15" w:rsidRPr="001302F9">
        <w:rPr>
          <w:rFonts w:ascii="Arial" w:hAnsi="Arial" w:cs="Arial"/>
          <w:lang w:val="sr-Latn-ME" w:eastAsia="x-none"/>
        </w:rPr>
        <w:t>trategija</w:t>
      </w:r>
      <w:r w:rsidRPr="001302F9">
        <w:rPr>
          <w:rFonts w:ascii="Arial" w:hAnsi="Arial" w:cs="Arial"/>
          <w:lang w:val="sr-Latn-ME" w:eastAsia="x-none"/>
        </w:rPr>
        <w:t xml:space="preserve"> za period 2025-2028. izrađen</w:t>
      </w:r>
      <w:r w:rsidR="00CE0B15" w:rsidRPr="001302F9">
        <w:rPr>
          <w:rFonts w:ascii="Arial" w:hAnsi="Arial" w:cs="Arial"/>
          <w:lang w:val="sr-Latn-ME" w:eastAsia="x-none"/>
        </w:rPr>
        <w:t>a</w:t>
      </w:r>
      <w:r w:rsidRPr="001302F9">
        <w:rPr>
          <w:rFonts w:ascii="Arial" w:hAnsi="Arial" w:cs="Arial"/>
          <w:lang w:val="sr-Latn-ME" w:eastAsia="x-none"/>
        </w:rPr>
        <w:t xml:space="preserve"> je u skladu sa „Metodologijom za izradu politika, izradu i praćenje sprovođenja strateških dokumenata” i „Sm</w:t>
      </w:r>
      <w:r w:rsidR="00391C42" w:rsidRPr="001302F9">
        <w:rPr>
          <w:rFonts w:ascii="Arial" w:hAnsi="Arial" w:cs="Arial"/>
          <w:lang w:val="sr-Latn-ME" w:eastAsia="x-none"/>
        </w:rPr>
        <w:t>j</w:t>
      </w:r>
      <w:r w:rsidRPr="001302F9">
        <w:rPr>
          <w:rFonts w:ascii="Arial" w:hAnsi="Arial" w:cs="Arial"/>
          <w:lang w:val="sr-Latn-ME" w:eastAsia="x-none"/>
        </w:rPr>
        <w:t>ernicama za pripremu strateških dokumenata” Generalnog sekretarijata Vlade, kao i „Sm</w:t>
      </w:r>
      <w:r w:rsidR="00391C42" w:rsidRPr="001302F9">
        <w:rPr>
          <w:rFonts w:ascii="Arial" w:hAnsi="Arial" w:cs="Arial"/>
          <w:lang w:val="sr-Latn-ME" w:eastAsia="x-none"/>
        </w:rPr>
        <w:t>j</w:t>
      </w:r>
      <w:r w:rsidRPr="001302F9">
        <w:rPr>
          <w:rFonts w:ascii="Arial" w:hAnsi="Arial" w:cs="Arial"/>
          <w:lang w:val="sr-Latn-ME" w:eastAsia="x-none"/>
        </w:rPr>
        <w:t>ernicama za izradu nacionalnih strategija za suzbijanje prevara na nacionalnom nivou” i „Sm</w:t>
      </w:r>
      <w:r w:rsidR="00391C42" w:rsidRPr="001302F9">
        <w:rPr>
          <w:rFonts w:ascii="Arial" w:hAnsi="Arial" w:cs="Arial"/>
          <w:lang w:val="sr-Latn-ME" w:eastAsia="x-none"/>
        </w:rPr>
        <w:t>j</w:t>
      </w:r>
      <w:r w:rsidRPr="001302F9">
        <w:rPr>
          <w:rFonts w:ascii="Arial" w:hAnsi="Arial" w:cs="Arial"/>
          <w:lang w:val="sr-Latn-ME" w:eastAsia="x-none"/>
        </w:rPr>
        <w:t>ernicama za borbu protiv prevara Nacionalne strategije” OLAF-a.</w:t>
      </w:r>
    </w:p>
    <w:p w:rsidR="002156CF" w:rsidRPr="001302F9" w:rsidRDefault="002156CF" w:rsidP="009B6B3B">
      <w:pPr>
        <w:pStyle w:val="Heading3"/>
        <w:numPr>
          <w:ilvl w:val="1"/>
          <w:numId w:val="10"/>
        </w:numPr>
        <w:spacing w:before="120" w:after="120"/>
        <w:ind w:left="993" w:hanging="633"/>
        <w:rPr>
          <w:rFonts w:ascii="Arial" w:hAnsi="Arial" w:cs="Arial"/>
          <w:sz w:val="22"/>
          <w:szCs w:val="22"/>
          <w:lang w:val="sr-Latn-ME"/>
        </w:rPr>
      </w:pPr>
      <w:bookmarkStart w:id="8" w:name="_Toc191824743"/>
      <w:r w:rsidRPr="001302F9">
        <w:rPr>
          <w:rFonts w:ascii="Arial" w:hAnsi="Arial" w:cs="Arial"/>
          <w:sz w:val="22"/>
          <w:szCs w:val="22"/>
          <w:lang w:val="sr-Latn-ME"/>
        </w:rPr>
        <w:t>Gender mainstreaming</w:t>
      </w:r>
      <w:bookmarkEnd w:id="8"/>
    </w:p>
    <w:p w:rsidR="002156CF" w:rsidRPr="001302F9" w:rsidRDefault="007F5872" w:rsidP="00EE65EF">
      <w:pPr>
        <w:spacing w:before="120" w:after="120" w:line="240" w:lineRule="auto"/>
        <w:jc w:val="both"/>
        <w:rPr>
          <w:rFonts w:ascii="Arial" w:hAnsi="Arial" w:cs="Arial"/>
          <w:lang w:val="sr-Latn-ME"/>
        </w:rPr>
      </w:pPr>
      <w:r w:rsidRPr="001302F9">
        <w:rPr>
          <w:rFonts w:ascii="Arial" w:hAnsi="Arial" w:cs="Arial"/>
          <w:lang w:val="sr-Latn-ME"/>
        </w:rPr>
        <w:t>Gender Mainstreaming je globalno prihvaćena strategija za promovi</w:t>
      </w:r>
      <w:r w:rsidR="007F3FFF" w:rsidRPr="001302F9">
        <w:rPr>
          <w:rFonts w:ascii="Arial" w:hAnsi="Arial" w:cs="Arial"/>
          <w:lang w:val="sr-Latn-ME"/>
        </w:rPr>
        <w:t>s</w:t>
      </w:r>
      <w:r w:rsidRPr="001302F9">
        <w:rPr>
          <w:rFonts w:ascii="Arial" w:hAnsi="Arial" w:cs="Arial"/>
          <w:lang w:val="sr-Latn-ME"/>
        </w:rPr>
        <w:t xml:space="preserve">anje rodne ravnopravnosti. Integracija je pristup i alat za postizanje cilja rodne ravnopravnosti. U Crnoj Gori je usvojen Zakon o rodnoj ravnopravnosti koji zahtijeva da svi nacionalni strateški dokumenti uzmu u obzir aspekte rodne ravnopravnosti. U okviru ovog koncepta osigurano je da se dužna pažnja posveti rodnoj ravnopravnosti prilikom definisanja mjera i aktivnosti uključenih u </w:t>
      </w:r>
      <w:r w:rsidR="00CE0B15" w:rsidRPr="001302F9">
        <w:rPr>
          <w:rFonts w:ascii="Arial" w:hAnsi="Arial" w:cs="Arial"/>
          <w:lang w:val="sr-Latn-ME"/>
        </w:rPr>
        <w:t>Strategiju</w:t>
      </w:r>
      <w:r w:rsidRPr="001302F9">
        <w:rPr>
          <w:rFonts w:ascii="Arial" w:hAnsi="Arial" w:cs="Arial"/>
          <w:lang w:val="sr-Latn-ME"/>
        </w:rPr>
        <w:t xml:space="preserve"> i Akcioni plan. U skladu sa Zakonom o rodnoj ravnopravnosti, član 13a treba koristiti pri prevođenju ove S</w:t>
      </w:r>
      <w:r w:rsidR="00BC0878" w:rsidRPr="001302F9">
        <w:rPr>
          <w:rFonts w:ascii="Arial" w:hAnsi="Arial" w:cs="Arial"/>
          <w:lang w:val="sr-Latn-ME"/>
        </w:rPr>
        <w:t>trategije</w:t>
      </w:r>
      <w:r w:rsidRPr="001302F9">
        <w:rPr>
          <w:rFonts w:ascii="Arial" w:hAnsi="Arial" w:cs="Arial"/>
          <w:lang w:val="sr-Latn-ME"/>
        </w:rPr>
        <w:t xml:space="preserve"> na crnogorski rodno osjetljiv jezik</w:t>
      </w:r>
      <w:r w:rsidR="002156CF" w:rsidRPr="001302F9">
        <w:rPr>
          <w:rFonts w:ascii="Arial" w:hAnsi="Arial" w:cs="Arial"/>
          <w:lang w:val="sr-Latn-ME"/>
        </w:rPr>
        <w:t xml:space="preserve">. </w:t>
      </w:r>
    </w:p>
    <w:p w:rsidR="00CE0B15" w:rsidRPr="001302F9" w:rsidRDefault="00CE0B15" w:rsidP="00EE65EF">
      <w:pPr>
        <w:spacing w:before="120" w:after="120" w:line="240" w:lineRule="auto"/>
        <w:jc w:val="both"/>
        <w:rPr>
          <w:rFonts w:ascii="Arial" w:hAnsi="Arial" w:cs="Arial"/>
          <w:lang w:val="sr-Latn-ME"/>
        </w:rPr>
      </w:pPr>
    </w:p>
    <w:p w:rsidR="00E337AC" w:rsidRPr="001302F9" w:rsidRDefault="007F3FFF" w:rsidP="009B6B3B">
      <w:pPr>
        <w:pStyle w:val="Heading1"/>
        <w:numPr>
          <w:ilvl w:val="0"/>
          <w:numId w:val="10"/>
        </w:numPr>
        <w:spacing w:before="120" w:after="120" w:line="240" w:lineRule="auto"/>
        <w:rPr>
          <w:rFonts w:ascii="Arial" w:hAnsi="Arial" w:cs="Arial"/>
          <w:sz w:val="22"/>
          <w:szCs w:val="22"/>
          <w:lang w:val="sr-Latn-ME"/>
        </w:rPr>
      </w:pPr>
      <w:r w:rsidRPr="001302F9">
        <w:rPr>
          <w:rFonts w:ascii="Arial" w:hAnsi="Arial" w:cs="Arial"/>
          <w:sz w:val="22"/>
          <w:szCs w:val="22"/>
          <w:lang w:val="sr-Latn-ME"/>
        </w:rPr>
        <w:t xml:space="preserve">TRENUTNO STANJE </w:t>
      </w:r>
    </w:p>
    <w:p w:rsidR="00573FDB" w:rsidRPr="001302F9" w:rsidRDefault="003A68B7" w:rsidP="004C07B1">
      <w:pPr>
        <w:spacing w:before="120" w:after="120" w:line="240" w:lineRule="auto"/>
        <w:jc w:val="both"/>
        <w:rPr>
          <w:rFonts w:ascii="Arial" w:hAnsi="Arial" w:cs="Arial"/>
          <w:lang w:val="sr-Latn-ME"/>
        </w:rPr>
      </w:pPr>
      <w:bookmarkStart w:id="9" w:name="_Toc377112821"/>
      <w:r w:rsidRPr="001302F9">
        <w:rPr>
          <w:rFonts w:ascii="Arial" w:hAnsi="Arial" w:cs="Arial"/>
          <w:lang w:val="sr-Latn-ME"/>
        </w:rPr>
        <w:t xml:space="preserve">Ovo poglavlje obuhvata trenutno stanje u oblasti zaštite finansijskih interesa EU u Crnoj Gori u trenutku izrade </w:t>
      </w:r>
      <w:r w:rsidR="00716ECF" w:rsidRPr="001302F9">
        <w:rPr>
          <w:rFonts w:ascii="Arial" w:hAnsi="Arial" w:cs="Arial"/>
          <w:lang w:val="sr-Latn-ME"/>
        </w:rPr>
        <w:t>Strategije</w:t>
      </w:r>
      <w:r w:rsidRPr="001302F9">
        <w:rPr>
          <w:rFonts w:ascii="Arial" w:hAnsi="Arial" w:cs="Arial"/>
          <w:lang w:val="sr-Latn-ME"/>
        </w:rPr>
        <w:t xml:space="preserve">. Obuhvata pregled ključnih postignuća iz implementacije prethodne strategije, glavne zaključke iz izvještaja o naknadnoj evaluaciji prethodne strategije (Strategija 2019 – 2022) i pregled analize rizika od prevare koju je pripremila </w:t>
      </w:r>
      <w:r w:rsidR="00716ECF" w:rsidRPr="001302F9">
        <w:rPr>
          <w:rFonts w:ascii="Arial" w:hAnsi="Arial" w:cs="Arial"/>
          <w:lang w:val="sr-Latn-ME"/>
        </w:rPr>
        <w:t>Direkcija za zaštitu finansijskih interesa EU/AFCOS</w:t>
      </w:r>
      <w:r w:rsidRPr="001302F9">
        <w:rPr>
          <w:rFonts w:ascii="Arial" w:hAnsi="Arial" w:cs="Arial"/>
          <w:lang w:val="sr-Latn-ME"/>
        </w:rPr>
        <w:t xml:space="preserve"> kako bi se identifikovala područja koja zahtijevaju dodatnu pažnju i korektivne mjere. Ovo poglavlje sadrži i zaključke iz PESTLE i SWOT analize. Nakon toga</w:t>
      </w:r>
      <w:r w:rsidR="00716ECF" w:rsidRPr="001302F9">
        <w:rPr>
          <w:rFonts w:ascii="Arial" w:hAnsi="Arial" w:cs="Arial"/>
          <w:lang w:val="sr-Latn-ME"/>
        </w:rPr>
        <w:t>,</w:t>
      </w:r>
      <w:r w:rsidRPr="001302F9">
        <w:rPr>
          <w:rFonts w:ascii="Arial" w:hAnsi="Arial" w:cs="Arial"/>
          <w:lang w:val="sr-Latn-ME"/>
        </w:rPr>
        <w:t xml:space="preserve"> analiza obuhvata čitav ciklus borbe protiv prevara i pod</w:t>
      </w:r>
      <w:r w:rsidR="00716ECF" w:rsidRPr="001302F9">
        <w:rPr>
          <w:rFonts w:ascii="Arial" w:hAnsi="Arial" w:cs="Arial"/>
          <w:lang w:val="sr-Latn-ME"/>
        </w:rPr>
        <w:t>ij</w:t>
      </w:r>
      <w:r w:rsidRPr="001302F9">
        <w:rPr>
          <w:rFonts w:ascii="Arial" w:hAnsi="Arial" w:cs="Arial"/>
          <w:lang w:val="sr-Latn-ME"/>
        </w:rPr>
        <w:t>eljena je na njegove glavne komponente definisane Sm</w:t>
      </w:r>
      <w:r w:rsidR="00716ECF" w:rsidRPr="001302F9">
        <w:rPr>
          <w:rFonts w:ascii="Arial" w:hAnsi="Arial" w:cs="Arial"/>
          <w:lang w:val="sr-Latn-ME"/>
        </w:rPr>
        <w:t>j</w:t>
      </w:r>
      <w:r w:rsidRPr="001302F9">
        <w:rPr>
          <w:rFonts w:ascii="Arial" w:hAnsi="Arial" w:cs="Arial"/>
          <w:lang w:val="sr-Latn-ME"/>
        </w:rPr>
        <w:t xml:space="preserve">ernicama EK o nacionalnim strategijama za borbu protiv prevara – prevencija, otkrivanje, istraga i krivično gonjenje, </w:t>
      </w:r>
      <w:r w:rsidR="00A50C33" w:rsidRPr="001302F9">
        <w:rPr>
          <w:rFonts w:ascii="Arial" w:hAnsi="Arial" w:cs="Arial"/>
          <w:lang w:val="sr-Latn-ME"/>
        </w:rPr>
        <w:t>povraćaj</w:t>
      </w:r>
      <w:r w:rsidRPr="001302F9">
        <w:rPr>
          <w:rFonts w:ascii="Arial" w:hAnsi="Arial" w:cs="Arial"/>
          <w:lang w:val="sr-Latn-ME"/>
        </w:rPr>
        <w:t xml:space="preserve"> i sankcije. Konačno, urađena je analiza zainteresovanih strana i n</w:t>
      </w:r>
      <w:r w:rsidR="00317D93">
        <w:rPr>
          <w:rFonts w:ascii="Arial" w:hAnsi="Arial" w:cs="Arial"/>
          <w:lang w:val="sr-Latn-ME"/>
        </w:rPr>
        <w:t>aglašena je</w:t>
      </w:r>
      <w:r w:rsidRPr="001302F9">
        <w:rPr>
          <w:rFonts w:ascii="Arial" w:hAnsi="Arial" w:cs="Arial"/>
          <w:lang w:val="sr-Latn-ME"/>
        </w:rPr>
        <w:t xml:space="preserve"> važnost koordinacije i saradnje unutar </w:t>
      </w:r>
      <w:r w:rsidR="008C0B72" w:rsidRPr="001302F9">
        <w:rPr>
          <w:rFonts w:ascii="Arial" w:hAnsi="Arial" w:cs="Arial"/>
          <w:lang w:val="sr-Latn-ME"/>
        </w:rPr>
        <w:t>čitavog</w:t>
      </w:r>
      <w:r w:rsidRPr="001302F9">
        <w:rPr>
          <w:rFonts w:ascii="Arial" w:hAnsi="Arial" w:cs="Arial"/>
          <w:lang w:val="sr-Latn-ME"/>
        </w:rPr>
        <w:t xml:space="preserve"> AFCOS </w:t>
      </w:r>
      <w:r w:rsidR="008C0B72" w:rsidRPr="001302F9">
        <w:rPr>
          <w:rFonts w:ascii="Arial" w:hAnsi="Arial" w:cs="Arial"/>
          <w:lang w:val="sr-Latn-ME"/>
        </w:rPr>
        <w:t>sistema</w:t>
      </w:r>
      <w:r w:rsidR="00916B05" w:rsidRPr="001302F9">
        <w:rPr>
          <w:rFonts w:ascii="Arial" w:hAnsi="Arial" w:cs="Arial"/>
          <w:lang w:val="sr-Latn-ME"/>
        </w:rPr>
        <w:t>.</w:t>
      </w:r>
    </w:p>
    <w:p w:rsidR="00E109D1" w:rsidRPr="001302F9" w:rsidRDefault="003A68B7" w:rsidP="009B6B3B">
      <w:pPr>
        <w:pStyle w:val="Heading3"/>
        <w:numPr>
          <w:ilvl w:val="1"/>
          <w:numId w:val="12"/>
        </w:numPr>
        <w:spacing w:before="120" w:after="120"/>
        <w:jc w:val="both"/>
        <w:rPr>
          <w:rFonts w:ascii="Arial" w:hAnsi="Arial" w:cs="Arial"/>
          <w:sz w:val="22"/>
          <w:szCs w:val="22"/>
          <w:lang w:val="sr-Latn-ME"/>
        </w:rPr>
      </w:pPr>
      <w:bookmarkStart w:id="10" w:name="_Toc191824745"/>
      <w:bookmarkStart w:id="11" w:name="_Hlk194406519"/>
      <w:r w:rsidRPr="001302F9">
        <w:rPr>
          <w:rFonts w:ascii="Arial" w:hAnsi="Arial" w:cs="Arial"/>
          <w:sz w:val="22"/>
          <w:szCs w:val="22"/>
          <w:lang w:val="sr-Latn-ME"/>
        </w:rPr>
        <w:t>Dostignuća i izazovi implementacije Strategije za borbu protiv prevara i upravljanja nepravilnostima za zaštitu finansijskih interesa EU 2019 – 2022.</w:t>
      </w:r>
      <w:bookmarkEnd w:id="10"/>
    </w:p>
    <w:bookmarkEnd w:id="11"/>
    <w:p w:rsidR="003A68B7" w:rsidRPr="001302F9" w:rsidRDefault="003A68B7" w:rsidP="003A68B7">
      <w:pPr>
        <w:spacing w:before="120" w:after="120" w:line="240" w:lineRule="auto"/>
        <w:jc w:val="both"/>
        <w:rPr>
          <w:rFonts w:ascii="Arial" w:hAnsi="Arial" w:cs="Arial"/>
          <w:highlight w:val="yellow"/>
          <w:lang w:val="sr-Latn-ME" w:eastAsia="x-none"/>
        </w:rPr>
      </w:pPr>
      <w:r w:rsidRPr="001302F9">
        <w:rPr>
          <w:rFonts w:ascii="Arial" w:hAnsi="Arial" w:cs="Arial"/>
          <w:lang w:val="sr-Latn-ME" w:eastAsia="x-none"/>
        </w:rPr>
        <w:t xml:space="preserve">U 2023. godini izvršena je eksterna ex-post evaluacija implementacije Strategije 2019 – 2022. Glavni zaključci ex-post evaluacije uključuju pregled postignuća i uspjeha u implementaciji Strategije 2019-2022, kao i osvrt na izazove sa kojima se suočavaju tokom pojedinih faza implementacije navedene strategije. </w:t>
      </w:r>
      <w:r w:rsidR="008C0B72" w:rsidRPr="001302F9">
        <w:rPr>
          <w:rFonts w:ascii="Arial" w:hAnsi="Arial" w:cs="Arial"/>
          <w:lang w:val="sr-Latn-ME" w:eastAsia="x-none"/>
        </w:rPr>
        <w:t>Dodatno</w:t>
      </w:r>
      <w:r w:rsidRPr="001302F9">
        <w:rPr>
          <w:rFonts w:ascii="Arial" w:hAnsi="Arial" w:cs="Arial"/>
          <w:lang w:val="sr-Latn-ME" w:eastAsia="x-none"/>
        </w:rPr>
        <w:t>, navod</w:t>
      </w:r>
      <w:r w:rsidR="008C0B72" w:rsidRPr="001302F9">
        <w:rPr>
          <w:rFonts w:ascii="Arial" w:hAnsi="Arial" w:cs="Arial"/>
          <w:lang w:val="sr-Latn-ME" w:eastAsia="x-none"/>
        </w:rPr>
        <w:t>e</w:t>
      </w:r>
      <w:r w:rsidRPr="001302F9">
        <w:rPr>
          <w:rFonts w:ascii="Arial" w:hAnsi="Arial" w:cs="Arial"/>
          <w:lang w:val="sr-Latn-ME" w:eastAsia="x-none"/>
        </w:rPr>
        <w:t xml:space="preserve"> se preporuke koje treba uzeti u obzir prilikom razvoja </w:t>
      </w:r>
      <w:r w:rsidR="008C0B72" w:rsidRPr="001302F9">
        <w:rPr>
          <w:rFonts w:ascii="Arial" w:hAnsi="Arial" w:cs="Arial"/>
          <w:lang w:val="sr-Latn-ME" w:eastAsia="x-none"/>
        </w:rPr>
        <w:t>nove Strategije</w:t>
      </w:r>
      <w:r w:rsidRPr="001302F9">
        <w:rPr>
          <w:rFonts w:ascii="Arial" w:hAnsi="Arial" w:cs="Arial"/>
          <w:lang w:val="sr-Latn-ME" w:eastAsia="x-none"/>
        </w:rPr>
        <w:t>. Oba aspekta su detaljnije opisana u sljedeća dva pododjeljka.</w:t>
      </w:r>
    </w:p>
    <w:p w:rsidR="00A711FD" w:rsidRPr="001302F9" w:rsidRDefault="003A68B7" w:rsidP="009B6B3B">
      <w:pPr>
        <w:pStyle w:val="Heading3"/>
        <w:numPr>
          <w:ilvl w:val="2"/>
          <w:numId w:val="12"/>
        </w:numPr>
        <w:spacing w:before="120" w:after="120"/>
        <w:rPr>
          <w:rFonts w:ascii="Arial" w:hAnsi="Arial" w:cs="Arial"/>
          <w:sz w:val="22"/>
          <w:szCs w:val="22"/>
          <w:lang w:val="sr-Latn-ME"/>
        </w:rPr>
      </w:pPr>
      <w:r w:rsidRPr="001302F9">
        <w:rPr>
          <w:rFonts w:ascii="Arial" w:hAnsi="Arial" w:cs="Arial"/>
          <w:sz w:val="22"/>
          <w:szCs w:val="22"/>
          <w:lang w:val="sr-Latn-ME"/>
        </w:rPr>
        <w:t xml:space="preserve"> Glavni zaključci</w:t>
      </w:r>
    </w:p>
    <w:p w:rsidR="003A68B7" w:rsidRPr="001302F9" w:rsidRDefault="003A68B7" w:rsidP="000C5591">
      <w:pPr>
        <w:spacing w:before="240"/>
        <w:jc w:val="both"/>
        <w:rPr>
          <w:rFonts w:ascii="Arial" w:hAnsi="Arial" w:cs="Arial"/>
          <w:lang w:val="sr-Latn-ME"/>
        </w:rPr>
      </w:pPr>
      <w:r w:rsidRPr="001302F9">
        <w:rPr>
          <w:rFonts w:ascii="Arial" w:hAnsi="Arial" w:cs="Arial"/>
          <w:lang w:val="sr-Latn-ME"/>
        </w:rPr>
        <w:t>Strategiju 2019-2022 usvojila je Vlada Crne Gore kao glavni strateški dokument koji sadrži prioritete i ciljeve Crne Gore u odgovarajućim oblastima politike</w:t>
      </w:r>
      <w:r w:rsidR="008C0B72" w:rsidRPr="001302F9">
        <w:rPr>
          <w:rFonts w:ascii="Arial" w:hAnsi="Arial" w:cs="Arial"/>
          <w:lang w:val="sr-Latn-ME"/>
        </w:rPr>
        <w:t xml:space="preserve"> zaštite finansijskih interesa EU</w:t>
      </w:r>
      <w:r w:rsidRPr="001302F9">
        <w:rPr>
          <w:rFonts w:ascii="Arial" w:hAnsi="Arial" w:cs="Arial"/>
          <w:lang w:val="sr-Latn-ME"/>
        </w:rPr>
        <w:t>, kao i mjere za njihovo postizanje. Strateški cilj „Osigurati efikasnu zaštitu finansijskih interesa EU jačanjem AFCOS sistema u Crnoj Gori u oblasti upravljanja nepravilnosti</w:t>
      </w:r>
      <w:r w:rsidR="008C0B72" w:rsidRPr="001302F9">
        <w:rPr>
          <w:rFonts w:ascii="Arial" w:hAnsi="Arial" w:cs="Arial"/>
          <w:lang w:val="sr-Latn-ME"/>
        </w:rPr>
        <w:t>ma</w:t>
      </w:r>
      <w:r w:rsidR="00F808A6" w:rsidRPr="001302F9">
        <w:rPr>
          <w:rFonts w:ascii="Arial" w:hAnsi="Arial" w:cs="Arial"/>
          <w:lang w:val="sr-Latn-ME"/>
        </w:rPr>
        <w:t>“</w:t>
      </w:r>
      <w:r w:rsidR="00815E8E" w:rsidRPr="001302F9">
        <w:rPr>
          <w:rFonts w:ascii="Arial" w:hAnsi="Arial" w:cs="Arial"/>
          <w:lang w:val="sr-Latn-ME"/>
        </w:rPr>
        <w:t xml:space="preserve"> </w:t>
      </w:r>
      <w:r w:rsidRPr="001302F9">
        <w:rPr>
          <w:rFonts w:ascii="Arial" w:hAnsi="Arial" w:cs="Arial"/>
          <w:lang w:val="sr-Latn-ME"/>
        </w:rPr>
        <w:t>podijeljen je na tri operativna cilja:</w:t>
      </w:r>
    </w:p>
    <w:p w:rsidR="003A32D7" w:rsidRPr="001302F9" w:rsidRDefault="003A32D7" w:rsidP="000C5591">
      <w:pPr>
        <w:spacing w:before="240"/>
        <w:jc w:val="both"/>
        <w:rPr>
          <w:rFonts w:ascii="Arial" w:hAnsi="Arial" w:cs="Arial"/>
          <w:lang w:val="sr-Latn-ME"/>
        </w:rPr>
      </w:pPr>
      <w:r w:rsidRPr="001302F9">
        <w:rPr>
          <w:rFonts w:ascii="Arial" w:hAnsi="Arial" w:cs="Arial"/>
          <w:noProof/>
          <w:lang w:val="sr-Latn-ME" w:eastAsia="hr-HR"/>
        </w:rPr>
        <w:drawing>
          <wp:inline distT="0" distB="0" distL="0" distR="0" wp14:anchorId="58D11B96" wp14:editId="23FFD5CB">
            <wp:extent cx="6228080" cy="2968831"/>
            <wp:effectExtent l="0" t="0" r="0" b="22225"/>
            <wp:docPr id="208252552"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DB56A0" w:rsidRPr="001302F9" w:rsidRDefault="00DB56A0" w:rsidP="00F808A6">
      <w:pPr>
        <w:spacing w:before="120" w:after="120" w:line="240" w:lineRule="auto"/>
        <w:jc w:val="both"/>
        <w:rPr>
          <w:rFonts w:ascii="Arial" w:hAnsi="Arial" w:cs="Arial"/>
          <w:lang w:val="sr-Latn-ME"/>
        </w:rPr>
      </w:pPr>
      <w:r w:rsidRPr="001302F9">
        <w:rPr>
          <w:rFonts w:ascii="Arial" w:hAnsi="Arial" w:cs="Arial"/>
          <w:lang w:val="sr-Latn-ME"/>
        </w:rPr>
        <w:t>U okviru ova 3 operativna cilja</w:t>
      </w:r>
      <w:r w:rsidR="00F808A6" w:rsidRPr="001302F9">
        <w:rPr>
          <w:rFonts w:ascii="Arial" w:hAnsi="Arial" w:cs="Arial"/>
          <w:lang w:val="sr-Latn-ME"/>
        </w:rPr>
        <w:t>,</w:t>
      </w:r>
      <w:r w:rsidRPr="001302F9">
        <w:rPr>
          <w:rFonts w:ascii="Arial" w:hAnsi="Arial" w:cs="Arial"/>
          <w:lang w:val="sr-Latn-ME"/>
        </w:rPr>
        <w:t xml:space="preserve"> razrađeno je 20 aktivnosti</w:t>
      </w:r>
      <w:r w:rsidR="00F808A6" w:rsidRPr="001302F9">
        <w:rPr>
          <w:rFonts w:ascii="Arial" w:hAnsi="Arial" w:cs="Arial"/>
          <w:lang w:val="sr-Latn-ME"/>
        </w:rPr>
        <w:t xml:space="preserve"> i</w:t>
      </w:r>
      <w:r w:rsidRPr="001302F9">
        <w:rPr>
          <w:rFonts w:ascii="Arial" w:hAnsi="Arial" w:cs="Arial"/>
          <w:lang w:val="sr-Latn-ME"/>
        </w:rPr>
        <w:t xml:space="preserve"> </w:t>
      </w:r>
      <w:r w:rsidR="00F808A6" w:rsidRPr="001302F9">
        <w:rPr>
          <w:rFonts w:ascii="Arial" w:hAnsi="Arial" w:cs="Arial"/>
          <w:lang w:val="sr-Latn-ME"/>
        </w:rPr>
        <w:t>k</w:t>
      </w:r>
      <w:r w:rsidRPr="001302F9">
        <w:rPr>
          <w:rFonts w:ascii="Arial" w:hAnsi="Arial" w:cs="Arial"/>
          <w:lang w:val="sr-Latn-ME"/>
        </w:rPr>
        <w:t>onstatovano je da je</w:t>
      </w:r>
      <w:r w:rsidR="00F808A6" w:rsidRPr="001302F9">
        <w:rPr>
          <w:rFonts w:ascii="Arial" w:hAnsi="Arial" w:cs="Arial"/>
          <w:lang w:val="sr-Latn-ME"/>
        </w:rPr>
        <w:t xml:space="preserve"> </w:t>
      </w:r>
      <w:r w:rsidRPr="001302F9">
        <w:rPr>
          <w:rFonts w:ascii="Arial" w:hAnsi="Arial" w:cs="Arial"/>
          <w:lang w:val="sr-Latn-ME"/>
        </w:rPr>
        <w:t xml:space="preserve">14 aktivnosti (70%) </w:t>
      </w:r>
      <w:r w:rsidR="00F808A6" w:rsidRPr="001302F9">
        <w:rPr>
          <w:rFonts w:ascii="Arial" w:hAnsi="Arial" w:cs="Arial"/>
          <w:lang w:val="sr-Latn-ME"/>
        </w:rPr>
        <w:t>realizovano</w:t>
      </w:r>
      <w:r w:rsidRPr="001302F9">
        <w:rPr>
          <w:rFonts w:ascii="Arial" w:hAnsi="Arial" w:cs="Arial"/>
          <w:lang w:val="sr-Latn-ME"/>
        </w:rPr>
        <w:t>, 2 aktivnosti (10%) djelimično realizovane, a 4 aktivnosti (20%) nisu realizovane.</w:t>
      </w:r>
    </w:p>
    <w:p w:rsidR="00921FEB" w:rsidRPr="001302F9" w:rsidRDefault="00921FEB" w:rsidP="00EE65EF">
      <w:pPr>
        <w:spacing w:before="120" w:after="120" w:line="240" w:lineRule="auto"/>
        <w:jc w:val="both"/>
        <w:rPr>
          <w:rFonts w:ascii="Arial" w:hAnsi="Arial" w:cs="Arial"/>
          <w:b/>
          <w:lang w:val="sr-Latn-ME"/>
        </w:rPr>
      </w:pPr>
      <w:r w:rsidRPr="001302F9">
        <w:rPr>
          <w:rFonts w:ascii="Arial" w:hAnsi="Arial" w:cs="Arial"/>
          <w:b/>
          <w:lang w:val="sr-Latn-ME"/>
        </w:rPr>
        <w:t>Dostignuća</w:t>
      </w:r>
    </w:p>
    <w:p w:rsidR="00921FEB" w:rsidRDefault="00921FEB" w:rsidP="00921FEB">
      <w:pPr>
        <w:spacing w:before="240"/>
        <w:jc w:val="both"/>
        <w:rPr>
          <w:rFonts w:ascii="Arial" w:hAnsi="Arial" w:cs="Arial"/>
          <w:lang w:val="sr-Latn-ME"/>
        </w:rPr>
      </w:pPr>
      <w:r w:rsidRPr="001302F9">
        <w:rPr>
          <w:rFonts w:ascii="Arial" w:hAnsi="Arial" w:cs="Arial"/>
          <w:lang w:val="sr-Latn-ME"/>
        </w:rPr>
        <w:t>Ukupna stopa implementacije Strategije 2019-2022 je izračunata na 70%, što se generalno može smatrati prepoznatljivim dostignućem.</w:t>
      </w:r>
    </w:p>
    <w:p w:rsidR="003B0CFE" w:rsidRPr="001302F9" w:rsidRDefault="003B0CFE" w:rsidP="00921FEB">
      <w:pPr>
        <w:spacing w:before="240"/>
        <w:jc w:val="both"/>
        <w:rPr>
          <w:rFonts w:ascii="Arial" w:hAnsi="Arial" w:cs="Arial"/>
          <w:lang w:val="sr-Latn-ME"/>
        </w:rPr>
      </w:pPr>
    </w:p>
    <w:p w:rsidR="00CA325E" w:rsidRDefault="003B0CFE" w:rsidP="009F76A6">
      <w:pPr>
        <w:spacing w:before="240"/>
        <w:jc w:val="center"/>
        <w:rPr>
          <w:rFonts w:ascii="Arial" w:hAnsi="Arial" w:cs="Arial"/>
          <w:lang w:val="sr-Latn-ME"/>
        </w:rPr>
      </w:pPr>
      <w:r w:rsidRPr="003B0CFE">
        <w:rPr>
          <w:noProof/>
        </w:rPr>
        <w:drawing>
          <wp:inline distT="0" distB="0" distL="0" distR="0" wp14:anchorId="4A9625C4" wp14:editId="0C80464E">
            <wp:extent cx="3308410" cy="2291428"/>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318931" cy="2298715"/>
                    </a:xfrm>
                    <a:prstGeom prst="rect">
                      <a:avLst/>
                    </a:prstGeom>
                  </pic:spPr>
                </pic:pic>
              </a:graphicData>
            </a:graphic>
          </wp:inline>
        </w:drawing>
      </w:r>
    </w:p>
    <w:p w:rsidR="003B0CFE" w:rsidRPr="001302F9" w:rsidRDefault="003B0CFE" w:rsidP="009F76A6">
      <w:pPr>
        <w:spacing w:before="240"/>
        <w:jc w:val="center"/>
        <w:rPr>
          <w:rFonts w:ascii="Arial" w:hAnsi="Arial" w:cs="Arial"/>
          <w:lang w:val="sr-Latn-ME"/>
        </w:rPr>
      </w:pPr>
    </w:p>
    <w:p w:rsidR="00917635" w:rsidRPr="001302F9" w:rsidRDefault="00775860" w:rsidP="00EE65EF">
      <w:pPr>
        <w:spacing w:before="120" w:after="120" w:line="240" w:lineRule="auto"/>
        <w:jc w:val="both"/>
        <w:rPr>
          <w:rFonts w:ascii="Arial" w:hAnsi="Arial" w:cs="Arial"/>
          <w:lang w:val="sr-Latn-ME"/>
        </w:rPr>
      </w:pPr>
      <w:r w:rsidRPr="001302F9">
        <w:rPr>
          <w:rFonts w:ascii="Arial" w:hAnsi="Arial" w:cs="Arial"/>
          <w:lang w:val="sr-Latn-ME"/>
        </w:rPr>
        <w:t xml:space="preserve">Detaljna analiza </w:t>
      </w:r>
      <w:r w:rsidR="006E5877" w:rsidRPr="001302F9">
        <w:rPr>
          <w:rFonts w:ascii="Arial" w:hAnsi="Arial" w:cs="Arial"/>
          <w:lang w:val="sr-Latn-ME"/>
        </w:rPr>
        <w:t>realizovanih aktivnosti po operativnim ciljevima ukazuje na sljedeće</w:t>
      </w:r>
      <w:r w:rsidRPr="001302F9">
        <w:rPr>
          <w:rFonts w:ascii="Arial" w:hAnsi="Arial" w:cs="Arial"/>
          <w:lang w:val="sr-Latn-ME"/>
        </w:rPr>
        <w:t>:</w:t>
      </w:r>
    </w:p>
    <w:p w:rsidR="005624FF" w:rsidRPr="001302F9" w:rsidRDefault="00443C96" w:rsidP="000B64E3">
      <w:pPr>
        <w:pStyle w:val="ListParagraph"/>
        <w:numPr>
          <w:ilvl w:val="0"/>
          <w:numId w:val="3"/>
        </w:numPr>
        <w:spacing w:before="120" w:after="120" w:line="240" w:lineRule="auto"/>
        <w:ind w:left="714" w:hanging="357"/>
        <w:contextualSpacing w:val="0"/>
        <w:rPr>
          <w:rFonts w:cs="Arial"/>
          <w:sz w:val="22"/>
          <w:szCs w:val="22"/>
          <w:lang w:val="sr-Latn-ME"/>
        </w:rPr>
      </w:pPr>
      <w:r w:rsidRPr="001302F9">
        <w:rPr>
          <w:rFonts w:cs="Arial"/>
          <w:sz w:val="22"/>
          <w:szCs w:val="22"/>
          <w:lang w:val="sr-Latn-ME"/>
        </w:rPr>
        <w:t>k</w:t>
      </w:r>
      <w:r w:rsidR="006E5877" w:rsidRPr="001302F9">
        <w:rPr>
          <w:rFonts w:cs="Arial"/>
          <w:sz w:val="22"/>
          <w:szCs w:val="22"/>
          <w:lang w:val="sr-Latn-ME"/>
        </w:rPr>
        <w:t>ada je u pitanju prvi operativni cilj, realizovane su dvije važne aktivnosti</w:t>
      </w:r>
      <w:r w:rsidR="00794128" w:rsidRPr="001302F9">
        <w:rPr>
          <w:rFonts w:cs="Arial"/>
          <w:sz w:val="22"/>
          <w:szCs w:val="22"/>
          <w:lang w:val="sr-Latn-ME"/>
        </w:rPr>
        <w:t xml:space="preserve"> koje se odnose na neophodne promjene zakonske osnove. Naime, done</w:t>
      </w:r>
      <w:r w:rsidR="00281F6A">
        <w:rPr>
          <w:rFonts w:cs="Arial"/>
          <w:sz w:val="22"/>
          <w:szCs w:val="22"/>
          <w:lang w:val="sr-Latn-ME"/>
        </w:rPr>
        <w:t>š</w:t>
      </w:r>
      <w:r w:rsidR="00794128" w:rsidRPr="001302F9">
        <w:rPr>
          <w:rFonts w:cs="Arial"/>
          <w:sz w:val="22"/>
          <w:szCs w:val="22"/>
          <w:lang w:val="sr-Latn-ME"/>
        </w:rPr>
        <w:t xml:space="preserve">ena je Odluka o </w:t>
      </w:r>
      <w:r w:rsidR="00ED7CBA" w:rsidRPr="001302F9">
        <w:rPr>
          <w:rFonts w:cs="Arial"/>
          <w:sz w:val="22"/>
          <w:szCs w:val="22"/>
          <w:lang w:val="sr-Latn-ME"/>
        </w:rPr>
        <w:t>obrazovanju</w:t>
      </w:r>
      <w:r w:rsidR="00794128" w:rsidRPr="001302F9">
        <w:rPr>
          <w:rFonts w:cs="Arial"/>
          <w:sz w:val="22"/>
          <w:szCs w:val="22"/>
          <w:lang w:val="sr-Latn-ME"/>
        </w:rPr>
        <w:t xml:space="preserve"> AFCOS mreže u Crnoj Gori i razrađene </w:t>
      </w:r>
      <w:r w:rsidR="00ED7CBA" w:rsidRPr="001302F9">
        <w:rPr>
          <w:rFonts w:cs="Arial"/>
          <w:sz w:val="22"/>
          <w:szCs w:val="22"/>
          <w:lang w:val="sr-Latn-ME"/>
        </w:rPr>
        <w:t xml:space="preserve">su </w:t>
      </w:r>
      <w:r w:rsidR="00794128" w:rsidRPr="001302F9">
        <w:rPr>
          <w:rFonts w:cs="Arial"/>
          <w:sz w:val="22"/>
          <w:szCs w:val="22"/>
          <w:lang w:val="sr-Latn-ME"/>
        </w:rPr>
        <w:t>interne procedure za rad AFCOS kancelarije</w:t>
      </w:r>
      <w:r w:rsidR="006B7F27" w:rsidRPr="001302F9">
        <w:rPr>
          <w:rFonts w:cs="Arial"/>
          <w:sz w:val="22"/>
          <w:szCs w:val="22"/>
          <w:lang w:val="sr-Latn-ME"/>
        </w:rPr>
        <w:t>;</w:t>
      </w:r>
    </w:p>
    <w:p w:rsidR="00ED6FE9" w:rsidRPr="001302F9" w:rsidRDefault="00794128" w:rsidP="000B64E3">
      <w:pPr>
        <w:pStyle w:val="ListParagraph"/>
        <w:numPr>
          <w:ilvl w:val="0"/>
          <w:numId w:val="3"/>
        </w:numPr>
        <w:spacing w:before="120" w:after="120" w:line="240" w:lineRule="auto"/>
        <w:ind w:left="714" w:hanging="357"/>
        <w:contextualSpacing w:val="0"/>
        <w:rPr>
          <w:rFonts w:cs="Arial"/>
          <w:sz w:val="22"/>
          <w:szCs w:val="22"/>
          <w:lang w:val="sr-Latn-ME"/>
        </w:rPr>
      </w:pPr>
      <w:r w:rsidRPr="001302F9">
        <w:rPr>
          <w:rFonts w:cs="Arial"/>
          <w:sz w:val="22"/>
          <w:szCs w:val="22"/>
          <w:lang w:val="sr-Latn-ME"/>
        </w:rPr>
        <w:t xml:space="preserve">aktivnosti koje se odnose na </w:t>
      </w:r>
      <w:r w:rsidR="00443C96" w:rsidRPr="001302F9">
        <w:rPr>
          <w:rFonts w:cs="Arial"/>
          <w:sz w:val="22"/>
          <w:szCs w:val="22"/>
          <w:lang w:val="sr-Latn-ME"/>
        </w:rPr>
        <w:t>drugi operativni cilj su u potpunosti realizovane</w:t>
      </w:r>
      <w:r w:rsidR="00281F6A">
        <w:rPr>
          <w:rFonts w:cs="Arial"/>
          <w:sz w:val="22"/>
          <w:szCs w:val="22"/>
          <w:lang w:val="sr-Latn-ME"/>
        </w:rPr>
        <w:t>,</w:t>
      </w:r>
      <w:r w:rsidR="00443C96" w:rsidRPr="001302F9">
        <w:rPr>
          <w:rFonts w:cs="Arial"/>
          <w:sz w:val="22"/>
          <w:szCs w:val="22"/>
          <w:lang w:val="sr-Latn-ME"/>
        </w:rPr>
        <w:t xml:space="preserve"> </w:t>
      </w:r>
      <w:r w:rsidR="008E3FEB" w:rsidRPr="001302F9">
        <w:rPr>
          <w:rFonts w:cs="Arial"/>
          <w:sz w:val="22"/>
          <w:szCs w:val="22"/>
          <w:lang w:val="sr-Latn-ME"/>
        </w:rPr>
        <w:t>a</w:t>
      </w:r>
      <w:r w:rsidRPr="001302F9">
        <w:rPr>
          <w:rFonts w:cs="Arial"/>
          <w:sz w:val="22"/>
          <w:szCs w:val="22"/>
          <w:lang w:val="sr-Latn-ME"/>
        </w:rPr>
        <w:t xml:space="preserve"> zaht</w:t>
      </w:r>
      <w:r w:rsidR="00ED7CBA" w:rsidRPr="001302F9">
        <w:rPr>
          <w:rFonts w:cs="Arial"/>
          <w:sz w:val="22"/>
          <w:szCs w:val="22"/>
          <w:lang w:val="sr-Latn-ME"/>
        </w:rPr>
        <w:t>ij</w:t>
      </w:r>
      <w:r w:rsidRPr="001302F9">
        <w:rPr>
          <w:rFonts w:cs="Arial"/>
          <w:sz w:val="22"/>
          <w:szCs w:val="22"/>
          <w:lang w:val="sr-Latn-ME"/>
        </w:rPr>
        <w:t>eva</w:t>
      </w:r>
      <w:r w:rsidR="008E3FEB" w:rsidRPr="001302F9">
        <w:rPr>
          <w:rFonts w:cs="Arial"/>
          <w:sz w:val="22"/>
          <w:szCs w:val="22"/>
          <w:lang w:val="sr-Latn-ME"/>
        </w:rPr>
        <w:t xml:space="preserve">le su prevashodno </w:t>
      </w:r>
      <w:r w:rsidRPr="001302F9">
        <w:rPr>
          <w:rFonts w:cs="Arial"/>
          <w:sz w:val="22"/>
          <w:szCs w:val="22"/>
          <w:lang w:val="sr-Latn-ME"/>
        </w:rPr>
        <w:t xml:space="preserve">učešće </w:t>
      </w:r>
      <w:r w:rsidR="00ED7CBA" w:rsidRPr="001302F9">
        <w:rPr>
          <w:rFonts w:cs="Arial"/>
          <w:sz w:val="22"/>
          <w:szCs w:val="22"/>
          <w:lang w:val="sr-Latn-ME"/>
        </w:rPr>
        <w:t>Direkcije za zaštitu finansijskih interesa EU/</w:t>
      </w:r>
      <w:r w:rsidRPr="001302F9">
        <w:rPr>
          <w:rFonts w:cs="Arial"/>
          <w:sz w:val="22"/>
          <w:szCs w:val="22"/>
          <w:lang w:val="sr-Latn-ME"/>
        </w:rPr>
        <w:t xml:space="preserve">AFCOS i </w:t>
      </w:r>
      <w:r w:rsidR="00972709" w:rsidRPr="00EE1E09">
        <w:rPr>
          <w:rFonts w:cs="Arial"/>
          <w:sz w:val="22"/>
          <w:szCs w:val="22"/>
          <w:lang w:val="sr-Latn-BA"/>
        </w:rPr>
        <w:t xml:space="preserve">Tijela sistema za upravljanje i kontrolu EU fondova </w:t>
      </w:r>
      <w:r w:rsidRPr="001302F9">
        <w:rPr>
          <w:rFonts w:cs="Arial"/>
          <w:sz w:val="22"/>
          <w:szCs w:val="22"/>
          <w:lang w:val="sr-Latn-ME"/>
        </w:rPr>
        <w:t xml:space="preserve">u </w:t>
      </w:r>
      <w:r w:rsidR="008E3FEB" w:rsidRPr="001302F9">
        <w:rPr>
          <w:rFonts w:cs="Arial"/>
          <w:sz w:val="22"/>
          <w:szCs w:val="22"/>
          <w:lang w:val="sr-Latn-ME"/>
        </w:rPr>
        <w:t xml:space="preserve">unapređenju </w:t>
      </w:r>
      <w:r w:rsidRPr="001302F9">
        <w:rPr>
          <w:rFonts w:cs="Arial"/>
          <w:sz w:val="22"/>
          <w:szCs w:val="22"/>
          <w:lang w:val="sr-Latn-ME"/>
        </w:rPr>
        <w:t>operativni</w:t>
      </w:r>
      <w:r w:rsidR="008E3FEB" w:rsidRPr="001302F9">
        <w:rPr>
          <w:rFonts w:cs="Arial"/>
          <w:sz w:val="22"/>
          <w:szCs w:val="22"/>
          <w:lang w:val="sr-Latn-ME"/>
        </w:rPr>
        <w:t>h</w:t>
      </w:r>
      <w:r w:rsidRPr="001302F9">
        <w:rPr>
          <w:rFonts w:cs="Arial"/>
          <w:sz w:val="22"/>
          <w:szCs w:val="22"/>
          <w:lang w:val="sr-Latn-ME"/>
        </w:rPr>
        <w:t xml:space="preserve"> </w:t>
      </w:r>
      <w:r w:rsidR="00EE0F44" w:rsidRPr="001302F9">
        <w:rPr>
          <w:rFonts w:cs="Arial"/>
          <w:sz w:val="22"/>
          <w:szCs w:val="22"/>
          <w:lang w:val="sr-Latn-ME"/>
        </w:rPr>
        <w:t>zadataka vezanih za izvještavanje i</w:t>
      </w:r>
      <w:r w:rsidRPr="001302F9">
        <w:rPr>
          <w:rFonts w:cs="Arial"/>
          <w:sz w:val="22"/>
          <w:szCs w:val="22"/>
          <w:lang w:val="sr-Latn-ME"/>
        </w:rPr>
        <w:t xml:space="preserve"> upravljanj</w:t>
      </w:r>
      <w:r w:rsidR="00EE0F44" w:rsidRPr="001302F9">
        <w:rPr>
          <w:rFonts w:cs="Arial"/>
          <w:sz w:val="22"/>
          <w:szCs w:val="22"/>
          <w:lang w:val="sr-Latn-ME"/>
        </w:rPr>
        <w:t>e</w:t>
      </w:r>
      <w:r w:rsidRPr="001302F9">
        <w:rPr>
          <w:rFonts w:cs="Arial"/>
          <w:sz w:val="22"/>
          <w:szCs w:val="22"/>
          <w:lang w:val="sr-Latn-ME"/>
        </w:rPr>
        <w:t xml:space="preserve"> nepravilnostima. </w:t>
      </w:r>
      <w:r w:rsidR="00EE0F44" w:rsidRPr="001302F9">
        <w:rPr>
          <w:rFonts w:cs="Arial"/>
          <w:sz w:val="22"/>
          <w:szCs w:val="22"/>
          <w:lang w:val="sr-Latn-ME"/>
        </w:rPr>
        <w:t>Tako su u</w:t>
      </w:r>
      <w:r w:rsidRPr="001302F9">
        <w:rPr>
          <w:rFonts w:cs="Arial"/>
          <w:sz w:val="22"/>
          <w:szCs w:val="22"/>
          <w:lang w:val="sr-Latn-ME"/>
        </w:rPr>
        <w:t>vedeni novi alati i poboljšane procedure, započeta digitalizacija prijavljivanja, razvijena metodologija upravljanja rizicima</w:t>
      </w:r>
      <w:r w:rsidR="007A57CC" w:rsidRPr="001302F9">
        <w:rPr>
          <w:rFonts w:cs="Arial"/>
          <w:sz w:val="22"/>
          <w:szCs w:val="22"/>
          <w:lang w:val="sr-Latn-ME"/>
        </w:rPr>
        <w:t xml:space="preserve"> </w:t>
      </w:r>
      <w:r w:rsidRPr="001302F9">
        <w:rPr>
          <w:rFonts w:cs="Arial"/>
          <w:sz w:val="22"/>
          <w:szCs w:val="22"/>
          <w:lang w:val="sr-Latn-ME"/>
        </w:rPr>
        <w:t xml:space="preserve">nepravilnosti i prevara, izrađene smjernice o nepravilnostima, izvršeno ažuriranje Priručnika o procedurama za prijavu nepravilnosti, </w:t>
      </w:r>
      <w:r w:rsidR="007A57CC" w:rsidRPr="001302F9">
        <w:rPr>
          <w:rFonts w:cs="Arial"/>
          <w:sz w:val="22"/>
          <w:szCs w:val="22"/>
          <w:lang w:val="sr-Latn-ME"/>
        </w:rPr>
        <w:t xml:space="preserve">kao i kreirana </w:t>
      </w:r>
      <w:r w:rsidRPr="001302F9">
        <w:rPr>
          <w:rFonts w:cs="Arial"/>
          <w:sz w:val="22"/>
          <w:szCs w:val="22"/>
          <w:lang w:val="sr-Latn-ME"/>
        </w:rPr>
        <w:t xml:space="preserve">e-mail adresa za anonimne </w:t>
      </w:r>
      <w:r w:rsidR="007A57CC" w:rsidRPr="001302F9">
        <w:rPr>
          <w:rFonts w:cs="Arial"/>
          <w:sz w:val="22"/>
          <w:szCs w:val="22"/>
          <w:lang w:val="sr-Latn-ME"/>
        </w:rPr>
        <w:t>prijave</w:t>
      </w:r>
      <w:r w:rsidR="006B7F27" w:rsidRPr="001302F9">
        <w:rPr>
          <w:rFonts w:cs="Arial"/>
          <w:sz w:val="22"/>
          <w:szCs w:val="22"/>
          <w:lang w:val="sr-Latn-ME"/>
        </w:rPr>
        <w:t>;</w:t>
      </w:r>
    </w:p>
    <w:p w:rsidR="009C73C2" w:rsidRPr="001302F9" w:rsidRDefault="00E57A4A" w:rsidP="000B64E3">
      <w:pPr>
        <w:pStyle w:val="ListParagraph"/>
        <w:numPr>
          <w:ilvl w:val="0"/>
          <w:numId w:val="3"/>
        </w:numPr>
        <w:spacing w:before="120" w:after="120" w:line="240" w:lineRule="auto"/>
        <w:contextualSpacing w:val="0"/>
        <w:rPr>
          <w:rFonts w:cs="Arial"/>
          <w:sz w:val="22"/>
          <w:szCs w:val="22"/>
          <w:lang w:val="sr-Latn-ME"/>
        </w:rPr>
      </w:pPr>
      <w:r w:rsidRPr="001302F9">
        <w:rPr>
          <w:rFonts w:cs="Arial"/>
          <w:sz w:val="22"/>
          <w:szCs w:val="22"/>
          <w:lang w:val="sr-Latn-ME"/>
        </w:rPr>
        <w:t xml:space="preserve"> sve </w:t>
      </w:r>
      <w:r w:rsidR="007A57CC" w:rsidRPr="001302F9">
        <w:rPr>
          <w:rFonts w:cs="Arial"/>
          <w:sz w:val="22"/>
          <w:szCs w:val="22"/>
          <w:lang w:val="sr-Latn-ME"/>
        </w:rPr>
        <w:t>aktivnosti koje su</w:t>
      </w:r>
      <w:r w:rsidR="00794128" w:rsidRPr="001302F9">
        <w:rPr>
          <w:rFonts w:cs="Arial"/>
          <w:sz w:val="22"/>
          <w:szCs w:val="22"/>
          <w:lang w:val="sr-Latn-ME"/>
        </w:rPr>
        <w:t xml:space="preserve"> predviđen</w:t>
      </w:r>
      <w:r w:rsidR="007A57CC" w:rsidRPr="001302F9">
        <w:rPr>
          <w:rFonts w:cs="Arial"/>
          <w:sz w:val="22"/>
          <w:szCs w:val="22"/>
          <w:lang w:val="sr-Latn-ME"/>
        </w:rPr>
        <w:t>e</w:t>
      </w:r>
      <w:r w:rsidR="00794128" w:rsidRPr="001302F9">
        <w:rPr>
          <w:rFonts w:cs="Arial"/>
          <w:sz w:val="22"/>
          <w:szCs w:val="22"/>
          <w:lang w:val="sr-Latn-ME"/>
        </w:rPr>
        <w:t xml:space="preserve"> </w:t>
      </w:r>
      <w:r w:rsidRPr="001302F9">
        <w:rPr>
          <w:rFonts w:cs="Arial"/>
          <w:sz w:val="22"/>
          <w:szCs w:val="22"/>
          <w:lang w:val="sr-Latn-ME"/>
        </w:rPr>
        <w:t>trećim operativnim c</w:t>
      </w:r>
      <w:r w:rsidR="00794128" w:rsidRPr="001302F9">
        <w:rPr>
          <w:rFonts w:cs="Arial"/>
          <w:sz w:val="22"/>
          <w:szCs w:val="22"/>
          <w:lang w:val="sr-Latn-ME"/>
        </w:rPr>
        <w:t xml:space="preserve">iljem </w:t>
      </w:r>
      <w:r w:rsidRPr="001302F9">
        <w:rPr>
          <w:rFonts w:cs="Arial"/>
          <w:sz w:val="22"/>
          <w:szCs w:val="22"/>
          <w:lang w:val="sr-Latn-ME"/>
        </w:rPr>
        <w:t>su</w:t>
      </w:r>
      <w:r w:rsidR="00794128" w:rsidRPr="001302F9">
        <w:rPr>
          <w:rFonts w:cs="Arial"/>
          <w:sz w:val="22"/>
          <w:szCs w:val="22"/>
          <w:lang w:val="sr-Latn-ME"/>
        </w:rPr>
        <w:t xml:space="preserve"> implementiran</w:t>
      </w:r>
      <w:r w:rsidR="00277198" w:rsidRPr="001302F9">
        <w:rPr>
          <w:rFonts w:cs="Arial"/>
          <w:sz w:val="22"/>
          <w:szCs w:val="22"/>
          <w:lang w:val="sr-Latn-ME"/>
        </w:rPr>
        <w:t>e</w:t>
      </w:r>
      <w:r w:rsidR="00B9613B" w:rsidRPr="001302F9">
        <w:rPr>
          <w:rFonts w:cs="Arial"/>
          <w:sz w:val="22"/>
          <w:szCs w:val="22"/>
          <w:lang w:val="sr-Latn-ME"/>
        </w:rPr>
        <w:t>.</w:t>
      </w:r>
      <w:r w:rsidR="00794128" w:rsidRPr="001302F9">
        <w:rPr>
          <w:rFonts w:cs="Arial"/>
          <w:sz w:val="22"/>
          <w:szCs w:val="22"/>
          <w:lang w:val="sr-Latn-ME"/>
        </w:rPr>
        <w:t xml:space="preserve"> </w:t>
      </w:r>
      <w:r w:rsidRPr="001302F9">
        <w:rPr>
          <w:rFonts w:cs="Arial"/>
          <w:sz w:val="22"/>
          <w:szCs w:val="22"/>
          <w:lang w:val="sr-Latn-ME"/>
        </w:rPr>
        <w:t>E</w:t>
      </w:r>
      <w:r w:rsidR="00794128" w:rsidRPr="001302F9">
        <w:rPr>
          <w:rFonts w:cs="Arial"/>
          <w:sz w:val="22"/>
          <w:szCs w:val="22"/>
          <w:lang w:val="sr-Latn-ME"/>
        </w:rPr>
        <w:t xml:space="preserve">x-post evaluacija </w:t>
      </w:r>
      <w:r w:rsidRPr="001302F9">
        <w:rPr>
          <w:rFonts w:cs="Arial"/>
          <w:sz w:val="22"/>
          <w:szCs w:val="22"/>
          <w:lang w:val="sr-Latn-ME"/>
        </w:rPr>
        <w:t xml:space="preserve">je </w:t>
      </w:r>
      <w:r w:rsidR="00B9613B" w:rsidRPr="001302F9">
        <w:rPr>
          <w:rFonts w:cs="Arial"/>
          <w:sz w:val="22"/>
          <w:szCs w:val="22"/>
          <w:lang w:val="sr-Latn-ME"/>
        </w:rPr>
        <w:t>pokazala</w:t>
      </w:r>
      <w:r w:rsidR="00794128" w:rsidRPr="001302F9">
        <w:rPr>
          <w:rFonts w:cs="Arial"/>
          <w:sz w:val="22"/>
          <w:szCs w:val="22"/>
          <w:lang w:val="sr-Latn-ME"/>
        </w:rPr>
        <w:t xml:space="preserve"> da je usvojen sistemski pristup u identifikaciji potreba za obukom i osmišljavanju programa obuke</w:t>
      </w:r>
      <w:r w:rsidR="00B9613B" w:rsidRPr="001302F9">
        <w:rPr>
          <w:rFonts w:cs="Arial"/>
          <w:sz w:val="22"/>
          <w:szCs w:val="22"/>
          <w:lang w:val="sr-Latn-ME"/>
        </w:rPr>
        <w:t>, a u</w:t>
      </w:r>
      <w:r w:rsidR="00794128" w:rsidRPr="001302F9">
        <w:rPr>
          <w:rFonts w:cs="Arial"/>
          <w:sz w:val="22"/>
          <w:szCs w:val="22"/>
          <w:lang w:val="sr-Latn-ME"/>
        </w:rPr>
        <w:t xml:space="preserve"> okviru Twinning Light projekta „Jačanje kapaciteta AFCOS </w:t>
      </w:r>
      <w:r w:rsidR="000904DD" w:rsidRPr="001302F9">
        <w:rPr>
          <w:rFonts w:cs="Arial"/>
          <w:sz w:val="22"/>
          <w:szCs w:val="22"/>
          <w:lang w:val="sr-Latn-ME"/>
        </w:rPr>
        <w:t>sistema“</w:t>
      </w:r>
      <w:r w:rsidR="00815E8E" w:rsidRPr="001302F9">
        <w:rPr>
          <w:rFonts w:cs="Arial"/>
          <w:sz w:val="22"/>
          <w:szCs w:val="22"/>
          <w:lang w:val="sr-Latn-ME"/>
        </w:rPr>
        <w:t xml:space="preserve"> </w:t>
      </w:r>
      <w:r w:rsidR="000904DD" w:rsidRPr="001302F9">
        <w:rPr>
          <w:rFonts w:cs="Arial"/>
          <w:sz w:val="22"/>
          <w:szCs w:val="22"/>
          <w:lang w:val="sr-Latn-ME"/>
        </w:rPr>
        <w:t>koji</w:t>
      </w:r>
      <w:r w:rsidR="00794128" w:rsidRPr="001302F9">
        <w:rPr>
          <w:rFonts w:cs="Arial"/>
          <w:sz w:val="22"/>
          <w:szCs w:val="22"/>
          <w:lang w:val="sr-Latn-ME"/>
        </w:rPr>
        <w:t xml:space="preserve"> je pokrenula </w:t>
      </w:r>
      <w:r w:rsidR="000904DD" w:rsidRPr="001302F9">
        <w:rPr>
          <w:rFonts w:cs="Arial"/>
          <w:sz w:val="22"/>
          <w:szCs w:val="22"/>
          <w:lang w:val="sr-Latn-ME"/>
        </w:rPr>
        <w:t>Direkcija za zaštitu finansijskih interesa EU/</w:t>
      </w:r>
      <w:r w:rsidR="00794128" w:rsidRPr="001302F9">
        <w:rPr>
          <w:rFonts w:cs="Arial"/>
          <w:sz w:val="22"/>
          <w:szCs w:val="22"/>
          <w:lang w:val="sr-Latn-ME"/>
        </w:rPr>
        <w:t xml:space="preserve">AFCOS, izvršena je analiza potreba za obukom u </w:t>
      </w:r>
      <w:r w:rsidR="00B9613B" w:rsidRPr="001302F9">
        <w:rPr>
          <w:rFonts w:cs="Arial"/>
          <w:sz w:val="22"/>
          <w:szCs w:val="22"/>
          <w:lang w:val="sr-Latn-ME"/>
        </w:rPr>
        <w:t>institucijama</w:t>
      </w:r>
      <w:r w:rsidR="00794128" w:rsidRPr="001302F9">
        <w:rPr>
          <w:rFonts w:cs="Arial"/>
          <w:sz w:val="22"/>
          <w:szCs w:val="22"/>
          <w:lang w:val="sr-Latn-ME"/>
        </w:rPr>
        <w:t xml:space="preserve"> zaduženim za zaštitu finansijskih interesa EU i razvijen program obuke za 2019-2021</w:t>
      </w:r>
      <w:r w:rsidR="008979B9" w:rsidRPr="001302F9">
        <w:rPr>
          <w:rFonts w:cs="Arial"/>
          <w:sz w:val="22"/>
          <w:szCs w:val="22"/>
          <w:lang w:val="sr-Latn-ME"/>
        </w:rPr>
        <w:t>.</w:t>
      </w:r>
    </w:p>
    <w:p w:rsidR="00E57A4A" w:rsidRPr="001302F9" w:rsidRDefault="00794128" w:rsidP="00EE65EF">
      <w:pPr>
        <w:spacing w:before="120" w:after="120" w:line="240" w:lineRule="auto"/>
        <w:jc w:val="both"/>
        <w:rPr>
          <w:rFonts w:ascii="Arial" w:hAnsi="Arial" w:cs="Arial"/>
          <w:lang w:val="sr-Latn-ME"/>
        </w:rPr>
      </w:pPr>
      <w:r w:rsidRPr="001302F9">
        <w:rPr>
          <w:rFonts w:ascii="Arial" w:hAnsi="Arial" w:cs="Arial"/>
          <w:i/>
          <w:lang w:val="sr-Latn-ME"/>
        </w:rPr>
        <w:t>Konstatovano je da je Strategija 2019-2022 uspješno implementirana na zadovoljavajući način, posebno aktivnosti koje se odnose na operativne zadatke AFCOS</w:t>
      </w:r>
      <w:r w:rsidR="00AB65ED" w:rsidRPr="001302F9">
        <w:rPr>
          <w:rFonts w:ascii="Arial" w:hAnsi="Arial" w:cs="Arial"/>
          <w:i/>
          <w:lang w:val="sr-Latn-ME"/>
        </w:rPr>
        <w:t>-a</w:t>
      </w:r>
      <w:r w:rsidRPr="001302F9">
        <w:rPr>
          <w:rFonts w:ascii="Arial" w:hAnsi="Arial" w:cs="Arial"/>
          <w:i/>
          <w:lang w:val="sr-Latn-ME"/>
        </w:rPr>
        <w:t xml:space="preserve"> i </w:t>
      </w:r>
      <w:r w:rsidR="00A76A38">
        <w:rPr>
          <w:rFonts w:ascii="Arial" w:eastAsia="Times New Roman" w:hAnsi="Arial" w:cs="Arial"/>
          <w:lang w:val="sr-Latn-BA"/>
        </w:rPr>
        <w:t>Strukture</w:t>
      </w:r>
      <w:r w:rsidR="00972709" w:rsidRPr="00EE1E09">
        <w:rPr>
          <w:rFonts w:ascii="Arial" w:eastAsia="Times New Roman" w:hAnsi="Arial" w:cs="Arial"/>
          <w:lang w:val="sr-Latn-BA"/>
        </w:rPr>
        <w:t xml:space="preserve"> za izvještavanje o nepravilnostima</w:t>
      </w:r>
      <w:r w:rsidRPr="001302F9">
        <w:rPr>
          <w:rFonts w:ascii="Arial" w:hAnsi="Arial" w:cs="Arial"/>
          <w:i/>
          <w:lang w:val="sr-Latn-ME"/>
        </w:rPr>
        <w:t>.</w:t>
      </w:r>
      <w:r w:rsidRPr="001302F9">
        <w:rPr>
          <w:rFonts w:ascii="Arial" w:hAnsi="Arial" w:cs="Arial"/>
          <w:lang w:val="sr-Latn-ME"/>
        </w:rPr>
        <w:t xml:space="preserve"> </w:t>
      </w:r>
    </w:p>
    <w:p w:rsidR="005D6FCE" w:rsidRPr="001302F9" w:rsidRDefault="00794128" w:rsidP="00EE65EF">
      <w:pPr>
        <w:spacing w:before="120" w:after="120" w:line="240" w:lineRule="auto"/>
        <w:jc w:val="both"/>
        <w:rPr>
          <w:rFonts w:ascii="Arial" w:hAnsi="Arial" w:cs="Arial"/>
          <w:b/>
          <w:i/>
          <w:lang w:val="sr-Latn-ME"/>
        </w:rPr>
      </w:pPr>
      <w:r w:rsidRPr="001302F9">
        <w:rPr>
          <w:rFonts w:ascii="Arial" w:hAnsi="Arial" w:cs="Arial"/>
          <w:b/>
          <w:i/>
          <w:lang w:val="sr-Latn-ME"/>
        </w:rPr>
        <w:t>Takođe, treba priznati sposobnost AFCOS</w:t>
      </w:r>
      <w:r w:rsidR="00AB65ED" w:rsidRPr="001302F9">
        <w:rPr>
          <w:rFonts w:ascii="Arial" w:hAnsi="Arial" w:cs="Arial"/>
          <w:b/>
          <w:i/>
          <w:lang w:val="sr-Latn-ME"/>
        </w:rPr>
        <w:t>-a</w:t>
      </w:r>
      <w:r w:rsidRPr="001302F9">
        <w:rPr>
          <w:rFonts w:ascii="Arial" w:hAnsi="Arial" w:cs="Arial"/>
          <w:b/>
          <w:i/>
          <w:lang w:val="sr-Latn-ME"/>
        </w:rPr>
        <w:t xml:space="preserve"> da privuče dodatna finansijska sredstva van državnog budžeta Crne Gore. Na ovaj način se podstiče razmjena stručnosti i iskustva, </w:t>
      </w:r>
      <w:r w:rsidR="00AB65ED" w:rsidRPr="001302F9">
        <w:rPr>
          <w:rFonts w:ascii="Arial" w:hAnsi="Arial" w:cs="Arial"/>
          <w:b/>
          <w:i/>
          <w:lang w:val="sr-Latn-ME"/>
        </w:rPr>
        <w:t>a</w:t>
      </w:r>
      <w:r w:rsidRPr="001302F9">
        <w:rPr>
          <w:rFonts w:ascii="Arial" w:hAnsi="Arial" w:cs="Arial"/>
          <w:b/>
          <w:i/>
          <w:lang w:val="sr-Latn-ME"/>
        </w:rPr>
        <w:t xml:space="preserve"> aktivnosti se</w:t>
      </w:r>
      <w:r w:rsidR="00AB65ED" w:rsidRPr="001302F9">
        <w:rPr>
          <w:rFonts w:ascii="Arial" w:hAnsi="Arial" w:cs="Arial"/>
          <w:b/>
          <w:i/>
          <w:lang w:val="sr-Latn-ME"/>
        </w:rPr>
        <w:t>,</w:t>
      </w:r>
      <w:r w:rsidRPr="001302F9">
        <w:rPr>
          <w:rFonts w:ascii="Arial" w:hAnsi="Arial" w:cs="Arial"/>
          <w:b/>
          <w:i/>
          <w:lang w:val="sr-Latn-ME"/>
        </w:rPr>
        <w:t xml:space="preserve"> </w:t>
      </w:r>
      <w:r w:rsidR="00AB65ED" w:rsidRPr="001302F9">
        <w:rPr>
          <w:rFonts w:ascii="Arial" w:hAnsi="Arial" w:cs="Arial"/>
          <w:b/>
          <w:i/>
          <w:lang w:val="sr-Latn-ME"/>
        </w:rPr>
        <w:t>gdje je to izvodljivo, s</w:t>
      </w:r>
      <w:r w:rsidRPr="001302F9">
        <w:rPr>
          <w:rFonts w:ascii="Arial" w:hAnsi="Arial" w:cs="Arial"/>
          <w:b/>
          <w:i/>
          <w:lang w:val="sr-Latn-ME"/>
        </w:rPr>
        <w:t>provode brže</w:t>
      </w:r>
      <w:r w:rsidR="00AB65ED" w:rsidRPr="001302F9">
        <w:rPr>
          <w:rFonts w:ascii="Arial" w:hAnsi="Arial" w:cs="Arial"/>
          <w:b/>
          <w:i/>
          <w:lang w:val="sr-Latn-ME"/>
        </w:rPr>
        <w:t xml:space="preserve"> </w:t>
      </w:r>
      <w:r w:rsidR="00E57A4A" w:rsidRPr="001302F9">
        <w:rPr>
          <w:rFonts w:ascii="Arial" w:hAnsi="Arial" w:cs="Arial"/>
          <w:b/>
          <w:i/>
          <w:lang w:val="sr-Latn-ME"/>
        </w:rPr>
        <w:t>i</w:t>
      </w:r>
      <w:r w:rsidR="00AB65ED" w:rsidRPr="001302F9">
        <w:rPr>
          <w:rFonts w:ascii="Arial" w:hAnsi="Arial" w:cs="Arial"/>
          <w:b/>
          <w:i/>
          <w:lang w:val="sr-Latn-ME"/>
        </w:rPr>
        <w:t xml:space="preserve"> efikasnije</w:t>
      </w:r>
      <w:r w:rsidRPr="001302F9">
        <w:rPr>
          <w:rFonts w:ascii="Arial" w:hAnsi="Arial" w:cs="Arial"/>
          <w:b/>
          <w:i/>
          <w:lang w:val="sr-Latn-ME"/>
        </w:rPr>
        <w:t>.</w:t>
      </w:r>
      <w:r w:rsidR="005D6FCE" w:rsidRPr="001302F9">
        <w:rPr>
          <w:rFonts w:ascii="Arial" w:hAnsi="Arial" w:cs="Arial"/>
          <w:b/>
          <w:i/>
          <w:lang w:val="sr-Latn-ME"/>
        </w:rPr>
        <w:t xml:space="preserve"> </w:t>
      </w:r>
    </w:p>
    <w:p w:rsidR="00E57A4A" w:rsidRPr="001302F9" w:rsidRDefault="00E57A4A" w:rsidP="00EE65EF">
      <w:pPr>
        <w:spacing w:before="120" w:after="120" w:line="240" w:lineRule="auto"/>
        <w:jc w:val="both"/>
        <w:rPr>
          <w:rFonts w:ascii="Arial" w:hAnsi="Arial" w:cs="Arial"/>
          <w:b/>
          <w:i/>
          <w:lang w:val="sr-Latn-ME"/>
        </w:rPr>
      </w:pPr>
    </w:p>
    <w:p w:rsidR="00ED6FE9" w:rsidRPr="001302F9" w:rsidRDefault="00794128" w:rsidP="00EE65EF">
      <w:pPr>
        <w:pStyle w:val="ListParagraph"/>
        <w:numPr>
          <w:ilvl w:val="0"/>
          <w:numId w:val="2"/>
        </w:numPr>
        <w:spacing w:before="120" w:after="120" w:line="240" w:lineRule="auto"/>
        <w:ind w:left="714" w:hanging="357"/>
        <w:contextualSpacing w:val="0"/>
        <w:rPr>
          <w:rFonts w:cs="Arial"/>
          <w:b/>
          <w:sz w:val="22"/>
          <w:szCs w:val="22"/>
          <w:lang w:val="sr-Latn-ME"/>
        </w:rPr>
      </w:pPr>
      <w:r w:rsidRPr="001302F9">
        <w:rPr>
          <w:rFonts w:cs="Arial"/>
          <w:b/>
          <w:sz w:val="22"/>
          <w:szCs w:val="22"/>
          <w:lang w:val="sr-Latn-ME"/>
        </w:rPr>
        <w:t>Izazovi</w:t>
      </w:r>
    </w:p>
    <w:p w:rsidR="00E57A4A" w:rsidRPr="001302F9" w:rsidRDefault="00794128" w:rsidP="00EE65EF">
      <w:pPr>
        <w:spacing w:before="120" w:after="120" w:line="240" w:lineRule="auto"/>
        <w:jc w:val="both"/>
        <w:rPr>
          <w:rFonts w:ascii="Arial" w:hAnsi="Arial" w:cs="Arial"/>
          <w:lang w:val="sr-Latn-ME"/>
        </w:rPr>
      </w:pPr>
      <w:r w:rsidRPr="001302F9">
        <w:rPr>
          <w:rFonts w:ascii="Arial" w:hAnsi="Arial" w:cs="Arial"/>
          <w:lang w:val="sr-Latn-ME"/>
        </w:rPr>
        <w:t>Međutim, 30% aktivnosti u okviru Strategije 2019-2022 nisu realizovane (4 aktivnosti)</w:t>
      </w:r>
      <w:r w:rsidR="00E57A4A" w:rsidRPr="001302F9">
        <w:rPr>
          <w:rFonts w:ascii="Arial" w:hAnsi="Arial" w:cs="Arial"/>
          <w:lang w:val="sr-Latn-ME"/>
        </w:rPr>
        <w:t>, a</w:t>
      </w:r>
      <w:r w:rsidRPr="001302F9">
        <w:rPr>
          <w:rFonts w:ascii="Arial" w:hAnsi="Arial" w:cs="Arial"/>
          <w:lang w:val="sr-Latn-ME"/>
        </w:rPr>
        <w:t xml:space="preserve"> 2 aktivnosti</w:t>
      </w:r>
      <w:r w:rsidR="00E57A4A" w:rsidRPr="001302F9">
        <w:rPr>
          <w:rFonts w:ascii="Arial" w:hAnsi="Arial" w:cs="Arial"/>
          <w:lang w:val="sr-Latn-ME"/>
        </w:rPr>
        <w:t xml:space="preserve"> su realizovane samo djelimično. </w:t>
      </w:r>
    </w:p>
    <w:p w:rsidR="00FB5D36" w:rsidRPr="001302F9" w:rsidRDefault="00794128" w:rsidP="00EE65EF">
      <w:pPr>
        <w:spacing w:before="120" w:after="120" w:line="240" w:lineRule="auto"/>
        <w:jc w:val="both"/>
        <w:rPr>
          <w:rFonts w:ascii="Arial" w:hAnsi="Arial" w:cs="Arial"/>
          <w:lang w:val="sr-Latn-ME"/>
        </w:rPr>
      </w:pPr>
      <w:r w:rsidRPr="001302F9">
        <w:rPr>
          <w:rFonts w:ascii="Arial" w:hAnsi="Arial" w:cs="Arial"/>
          <w:lang w:val="sr-Latn-ME"/>
        </w:rPr>
        <w:t>Ovo je uključivalo:</w:t>
      </w:r>
    </w:p>
    <w:p w:rsidR="00794128" w:rsidRPr="001302F9" w:rsidRDefault="00794128" w:rsidP="000B64E3">
      <w:pPr>
        <w:pStyle w:val="ListParagraph"/>
        <w:numPr>
          <w:ilvl w:val="0"/>
          <w:numId w:val="4"/>
        </w:numPr>
        <w:spacing w:before="120" w:after="120" w:line="240" w:lineRule="auto"/>
        <w:ind w:left="714" w:hanging="357"/>
        <w:contextualSpacing w:val="0"/>
        <w:rPr>
          <w:rFonts w:cs="Arial"/>
          <w:sz w:val="22"/>
          <w:szCs w:val="22"/>
          <w:lang w:val="sr-Latn-ME"/>
        </w:rPr>
      </w:pPr>
      <w:r w:rsidRPr="001302F9">
        <w:rPr>
          <w:rFonts w:cs="Arial"/>
          <w:sz w:val="22"/>
          <w:szCs w:val="22"/>
          <w:lang w:val="sr-Latn-ME"/>
        </w:rPr>
        <w:t xml:space="preserve">nisu usvojene </w:t>
      </w:r>
      <w:r w:rsidR="00E57A4A" w:rsidRPr="001302F9">
        <w:rPr>
          <w:rFonts w:cs="Arial"/>
          <w:sz w:val="22"/>
          <w:szCs w:val="22"/>
          <w:lang w:val="sr-Latn-ME"/>
        </w:rPr>
        <w:t xml:space="preserve">određene </w:t>
      </w:r>
      <w:r w:rsidRPr="001302F9">
        <w:rPr>
          <w:rFonts w:cs="Arial"/>
          <w:sz w:val="22"/>
          <w:szCs w:val="22"/>
          <w:lang w:val="sr-Latn-ME"/>
        </w:rPr>
        <w:t xml:space="preserve">izmjene i dopune Zakona o budžetu i fiskalnoj odgovornosti (izmjene su usvojene </w:t>
      </w:r>
      <w:r w:rsidR="00E57A4A" w:rsidRPr="001302F9">
        <w:rPr>
          <w:rFonts w:cs="Arial"/>
          <w:sz w:val="22"/>
          <w:szCs w:val="22"/>
          <w:lang w:val="sr-Latn-ME"/>
        </w:rPr>
        <w:t>nakon isteka perioda implementacije Strategije, tačnije u martu</w:t>
      </w:r>
      <w:r w:rsidRPr="001302F9">
        <w:rPr>
          <w:rFonts w:cs="Arial"/>
          <w:sz w:val="22"/>
          <w:szCs w:val="22"/>
          <w:lang w:val="sr-Latn-ME"/>
        </w:rPr>
        <w:t xml:space="preserve"> 2023. godine);</w:t>
      </w:r>
    </w:p>
    <w:p w:rsidR="00162ADA" w:rsidRPr="001302F9" w:rsidRDefault="00794128" w:rsidP="00162ADA">
      <w:pPr>
        <w:pStyle w:val="ListParagraph"/>
        <w:numPr>
          <w:ilvl w:val="0"/>
          <w:numId w:val="4"/>
        </w:numPr>
        <w:spacing w:before="120" w:after="120" w:line="240" w:lineRule="auto"/>
        <w:ind w:left="714" w:hanging="357"/>
        <w:contextualSpacing w:val="0"/>
        <w:rPr>
          <w:rFonts w:cs="Arial"/>
          <w:sz w:val="22"/>
          <w:szCs w:val="22"/>
          <w:lang w:val="sr-Latn-ME"/>
        </w:rPr>
      </w:pPr>
      <w:r w:rsidRPr="001302F9">
        <w:rPr>
          <w:rFonts w:cs="Arial"/>
          <w:sz w:val="22"/>
          <w:szCs w:val="22"/>
          <w:lang w:val="sr-Latn-ME"/>
        </w:rPr>
        <w:t xml:space="preserve">nije usvojena Uredba o institucionalnom okviru za funkcionisanje sistema za suzbijanje prevara i nepravilnosti (AFCOS sistem) u Crnoj Gori i nije usvojena Odluka o uspostavljanju AFCOS mreže </w:t>
      </w:r>
      <w:r w:rsidR="00E57A4A" w:rsidRPr="001302F9">
        <w:rPr>
          <w:rFonts w:cs="Arial"/>
          <w:sz w:val="22"/>
          <w:szCs w:val="22"/>
          <w:lang w:val="sr-Latn-ME"/>
        </w:rPr>
        <w:t>na način kako je izrađena</w:t>
      </w:r>
      <w:r w:rsidRPr="001302F9">
        <w:rPr>
          <w:rFonts w:cs="Arial"/>
          <w:sz w:val="22"/>
          <w:szCs w:val="22"/>
          <w:lang w:val="sr-Latn-ME"/>
        </w:rPr>
        <w:t xml:space="preserve"> u okviru Twinning Light projekta „Razvoj kapaciteta za AFCOS kancelariju u Crnoj Gori“</w:t>
      </w:r>
      <w:r w:rsidR="00E57A4A" w:rsidRPr="001302F9">
        <w:rPr>
          <w:rFonts w:cs="Arial"/>
          <w:sz w:val="22"/>
          <w:szCs w:val="22"/>
          <w:lang w:val="sr-Latn-ME"/>
        </w:rPr>
        <w:t>.</w:t>
      </w:r>
    </w:p>
    <w:p w:rsidR="00DC57D9" w:rsidRPr="001302F9" w:rsidRDefault="00A22543" w:rsidP="007430BE">
      <w:pPr>
        <w:pStyle w:val="ListParagraph"/>
        <w:numPr>
          <w:ilvl w:val="0"/>
          <w:numId w:val="4"/>
        </w:numPr>
        <w:spacing w:before="120" w:after="120" w:line="240" w:lineRule="auto"/>
        <w:rPr>
          <w:rFonts w:cs="Arial"/>
          <w:sz w:val="22"/>
          <w:szCs w:val="22"/>
          <w:lang w:val="sr-Latn-ME"/>
        </w:rPr>
      </w:pPr>
      <w:r w:rsidRPr="001302F9">
        <w:rPr>
          <w:rFonts w:cs="Arial"/>
          <w:sz w:val="22"/>
          <w:szCs w:val="22"/>
          <w:lang w:val="sr-Latn-ME"/>
        </w:rPr>
        <w:t xml:space="preserve">djelimično </w:t>
      </w:r>
      <w:r w:rsidR="007430BE" w:rsidRPr="001302F9">
        <w:rPr>
          <w:rFonts w:cs="Arial"/>
          <w:sz w:val="22"/>
          <w:szCs w:val="22"/>
          <w:lang w:val="sr-Latn-ME"/>
        </w:rPr>
        <w:t>je realizovano potpisivanje</w:t>
      </w:r>
      <w:r w:rsidRPr="001302F9">
        <w:rPr>
          <w:rFonts w:cs="Arial"/>
          <w:sz w:val="22"/>
          <w:szCs w:val="22"/>
          <w:lang w:val="sr-Latn-ME"/>
        </w:rPr>
        <w:t xml:space="preserve"> protokola o saradnji između Ministarstva finansija i odabranih ti</w:t>
      </w:r>
      <w:r w:rsidR="007430BE" w:rsidRPr="001302F9">
        <w:rPr>
          <w:rFonts w:cs="Arial"/>
          <w:sz w:val="22"/>
          <w:szCs w:val="22"/>
          <w:lang w:val="sr-Latn-ME"/>
        </w:rPr>
        <w:t>jela</w:t>
      </w:r>
      <w:r w:rsidRPr="001302F9">
        <w:rPr>
          <w:rFonts w:cs="Arial"/>
          <w:sz w:val="22"/>
          <w:szCs w:val="22"/>
          <w:lang w:val="sr-Latn-ME"/>
        </w:rPr>
        <w:t xml:space="preserve"> AFCOS mreže (Revizorsko tijelo, Ministarstvo unutrašnjih poslova, Državno tužilaštvo) radi jačanja međuinstitucionalne saradnje.</w:t>
      </w:r>
      <w:r w:rsidR="00FA7774" w:rsidRPr="001302F9">
        <w:rPr>
          <w:rFonts w:cs="Arial"/>
          <w:sz w:val="22"/>
          <w:szCs w:val="22"/>
          <w:lang w:val="sr-Latn-ME"/>
        </w:rPr>
        <w:t xml:space="preserve"> </w:t>
      </w:r>
      <w:r w:rsidRPr="001302F9">
        <w:rPr>
          <w:rFonts w:cs="Arial"/>
          <w:sz w:val="22"/>
          <w:szCs w:val="22"/>
          <w:lang w:val="sr-Latn-ME"/>
        </w:rPr>
        <w:t>Trenutno su potpisana 2 Protokola o saradnji – sa Revizorskim tijelom i Ministarstvom unutrašnjih poslova.</w:t>
      </w:r>
      <w:r w:rsidR="00A75B7D" w:rsidRPr="001302F9">
        <w:rPr>
          <w:rFonts w:cs="Arial"/>
          <w:sz w:val="22"/>
          <w:szCs w:val="22"/>
          <w:lang w:val="sr-Latn-ME"/>
        </w:rPr>
        <w:t xml:space="preserve"> </w:t>
      </w:r>
    </w:p>
    <w:p w:rsidR="00A22543" w:rsidRPr="001302F9" w:rsidRDefault="00A22543" w:rsidP="00EE65EF">
      <w:pPr>
        <w:spacing w:before="120" w:after="120" w:line="240" w:lineRule="auto"/>
        <w:jc w:val="both"/>
        <w:rPr>
          <w:rFonts w:ascii="Arial" w:hAnsi="Arial" w:cs="Arial"/>
          <w:lang w:val="sr-Latn-ME"/>
        </w:rPr>
      </w:pPr>
      <w:r w:rsidRPr="001302F9">
        <w:rPr>
          <w:rFonts w:ascii="Arial" w:hAnsi="Arial" w:cs="Arial"/>
          <w:lang w:val="sr-Latn-ME"/>
        </w:rPr>
        <w:t>Glavni izazovi u realizaciji gore navedenih aktivnosti bili su nedostatak političke podrške zakonodavnim promjenama, što je dalje rezultiralo nedostatkom volje za saradnj</w:t>
      </w:r>
      <w:r w:rsidR="00281F6A">
        <w:rPr>
          <w:rFonts w:ascii="Arial" w:hAnsi="Arial" w:cs="Arial"/>
          <w:lang w:val="sr-Latn-ME"/>
        </w:rPr>
        <w:t>om</w:t>
      </w:r>
      <w:r w:rsidRPr="001302F9">
        <w:rPr>
          <w:rFonts w:ascii="Arial" w:hAnsi="Arial" w:cs="Arial"/>
          <w:lang w:val="sr-Latn-ME"/>
        </w:rPr>
        <w:t xml:space="preserve"> među institucijama. U zemlji je postojala stalna politička nestabilnost u vremenskom periodu Strategije 2019-2022, što je odlagalo planirane zakonske i administrativne reforme. Promjene političkog rukovodstva i ministara u vladi često su praćene promjenama u najvišem i srednjem rukovodstvu organa javne uprave. Institucionalni kontinuitet i timska motivacija u različitim institucijama, uključujući IPA strukturu, pretrpjeli su štetu i rezultirali visokim stopama fluktuacije tokom posljednjih godina.</w:t>
      </w:r>
    </w:p>
    <w:p w:rsidR="007C55B6" w:rsidRPr="001302F9" w:rsidRDefault="002D058A" w:rsidP="00EE65EF">
      <w:pPr>
        <w:spacing w:before="120" w:after="120" w:line="240" w:lineRule="auto"/>
        <w:jc w:val="both"/>
        <w:rPr>
          <w:rFonts w:ascii="Arial" w:hAnsi="Arial" w:cs="Arial"/>
          <w:lang w:val="sr-Latn-ME"/>
        </w:rPr>
      </w:pPr>
      <w:r w:rsidRPr="001302F9">
        <w:rPr>
          <w:rFonts w:ascii="Arial" w:hAnsi="Arial" w:cs="Arial"/>
          <w:lang w:val="sr-Latn-ME"/>
        </w:rPr>
        <w:t>Još jedan neočekivani izazov bilo je izbijanje pandemije COVID-a, što se poklopilo s planom aktivnosti za izvođenje obuk</w:t>
      </w:r>
      <w:r w:rsidR="009E46E8" w:rsidRPr="001302F9">
        <w:rPr>
          <w:rFonts w:ascii="Arial" w:hAnsi="Arial" w:cs="Arial"/>
          <w:lang w:val="sr-Latn-ME"/>
        </w:rPr>
        <w:t xml:space="preserve">a, koje su </w:t>
      </w:r>
      <w:r w:rsidRPr="001302F9">
        <w:rPr>
          <w:rFonts w:ascii="Arial" w:hAnsi="Arial" w:cs="Arial"/>
          <w:lang w:val="sr-Latn-ME"/>
        </w:rPr>
        <w:t>zbog toga moral</w:t>
      </w:r>
      <w:r w:rsidR="009E46E8" w:rsidRPr="001302F9">
        <w:rPr>
          <w:rFonts w:ascii="Arial" w:hAnsi="Arial" w:cs="Arial"/>
          <w:lang w:val="sr-Latn-ME"/>
        </w:rPr>
        <w:t>e</w:t>
      </w:r>
      <w:r w:rsidRPr="001302F9">
        <w:rPr>
          <w:rFonts w:ascii="Arial" w:hAnsi="Arial" w:cs="Arial"/>
          <w:lang w:val="sr-Latn-ME"/>
        </w:rPr>
        <w:t xml:space="preserve"> biti odgođen</w:t>
      </w:r>
      <w:r w:rsidR="009E46E8" w:rsidRPr="001302F9">
        <w:rPr>
          <w:rFonts w:ascii="Arial" w:hAnsi="Arial" w:cs="Arial"/>
          <w:lang w:val="sr-Latn-ME"/>
        </w:rPr>
        <w:t>e</w:t>
      </w:r>
      <w:r w:rsidRPr="001302F9">
        <w:rPr>
          <w:rFonts w:ascii="Arial" w:hAnsi="Arial" w:cs="Arial"/>
          <w:lang w:val="sr-Latn-ME"/>
        </w:rPr>
        <w:t xml:space="preserve">, </w:t>
      </w:r>
      <w:r w:rsidR="009E46E8" w:rsidRPr="001302F9">
        <w:rPr>
          <w:rFonts w:ascii="Arial" w:hAnsi="Arial" w:cs="Arial"/>
          <w:lang w:val="sr-Latn-ME"/>
        </w:rPr>
        <w:t xml:space="preserve">a </w:t>
      </w:r>
      <w:r w:rsidRPr="001302F9">
        <w:rPr>
          <w:rFonts w:ascii="Arial" w:hAnsi="Arial" w:cs="Arial"/>
          <w:lang w:val="sr-Latn-ME"/>
        </w:rPr>
        <w:t xml:space="preserve">što je </w:t>
      </w:r>
      <w:r w:rsidR="009E46E8" w:rsidRPr="001302F9">
        <w:rPr>
          <w:rFonts w:ascii="Arial" w:hAnsi="Arial" w:cs="Arial"/>
          <w:lang w:val="sr-Latn-ME"/>
        </w:rPr>
        <w:t xml:space="preserve">uticalo na određeno </w:t>
      </w:r>
      <w:r w:rsidRPr="001302F9">
        <w:rPr>
          <w:rFonts w:ascii="Arial" w:hAnsi="Arial" w:cs="Arial"/>
          <w:lang w:val="sr-Latn-ME"/>
        </w:rPr>
        <w:t>kašnjenje u implementaciji Strategije 2019-2022.</w:t>
      </w:r>
    </w:p>
    <w:p w:rsidR="002D058A" w:rsidRPr="001302F9" w:rsidRDefault="002D058A" w:rsidP="00EE65EF">
      <w:pPr>
        <w:spacing w:before="120" w:after="120" w:line="240" w:lineRule="auto"/>
        <w:jc w:val="both"/>
        <w:rPr>
          <w:rFonts w:ascii="Arial" w:hAnsi="Arial" w:cs="Arial"/>
          <w:lang w:val="sr-Latn-ME"/>
        </w:rPr>
      </w:pPr>
    </w:p>
    <w:p w:rsidR="00EB688B" w:rsidRPr="001302F9" w:rsidRDefault="005A26C8" w:rsidP="009B6B3B">
      <w:pPr>
        <w:pStyle w:val="Heading3"/>
        <w:numPr>
          <w:ilvl w:val="2"/>
          <w:numId w:val="12"/>
        </w:numPr>
        <w:spacing w:before="120" w:after="120"/>
        <w:rPr>
          <w:rFonts w:ascii="Arial" w:hAnsi="Arial" w:cs="Arial"/>
          <w:sz w:val="22"/>
          <w:szCs w:val="22"/>
          <w:lang w:val="sr-Latn-ME"/>
        </w:rPr>
      </w:pPr>
      <w:r w:rsidRPr="001302F9">
        <w:rPr>
          <w:rFonts w:ascii="Arial" w:hAnsi="Arial" w:cs="Arial"/>
          <w:sz w:val="22"/>
          <w:szCs w:val="22"/>
          <w:lang w:val="sr-Latn-ME"/>
        </w:rPr>
        <w:t xml:space="preserve">Glavne preporuke za </w:t>
      </w:r>
      <w:r w:rsidR="000904DD" w:rsidRPr="001302F9">
        <w:rPr>
          <w:rFonts w:ascii="Arial" w:hAnsi="Arial" w:cs="Arial"/>
          <w:sz w:val="22"/>
          <w:szCs w:val="22"/>
          <w:lang w:val="sr-Latn-ME"/>
        </w:rPr>
        <w:t>Strategiju</w:t>
      </w:r>
      <w:r w:rsidRPr="001302F9">
        <w:rPr>
          <w:rFonts w:ascii="Arial" w:hAnsi="Arial" w:cs="Arial"/>
          <w:sz w:val="22"/>
          <w:szCs w:val="22"/>
          <w:lang w:val="sr-Latn-ME"/>
        </w:rPr>
        <w:t xml:space="preserve"> 2025-2028</w:t>
      </w:r>
    </w:p>
    <w:p w:rsidR="00BE26A5" w:rsidRDefault="007848D1" w:rsidP="000556FC">
      <w:pPr>
        <w:spacing w:before="120" w:after="120" w:line="240" w:lineRule="auto"/>
        <w:jc w:val="both"/>
        <w:rPr>
          <w:rFonts w:ascii="Arial" w:hAnsi="Arial" w:cs="Arial"/>
          <w:lang w:val="sr-Latn-ME"/>
        </w:rPr>
      </w:pPr>
      <w:r w:rsidRPr="001302F9">
        <w:rPr>
          <w:rFonts w:ascii="Arial" w:hAnsi="Arial" w:cs="Arial"/>
          <w:lang w:val="sr-Latn-ME"/>
        </w:rPr>
        <w:t>Glavne preporuke razvijene tokom ex-post evaluacije za nov</w:t>
      </w:r>
      <w:r w:rsidR="000904DD" w:rsidRPr="001302F9">
        <w:rPr>
          <w:rFonts w:ascii="Arial" w:hAnsi="Arial" w:cs="Arial"/>
          <w:lang w:val="sr-Latn-ME"/>
        </w:rPr>
        <w:t>u Strategiju</w:t>
      </w:r>
      <w:r w:rsidRPr="001302F9">
        <w:rPr>
          <w:rFonts w:ascii="Arial" w:hAnsi="Arial" w:cs="Arial"/>
          <w:lang w:val="sr-Latn-ME"/>
        </w:rPr>
        <w:t xml:space="preserve"> uključuju različite aspekte planiranja i dizajna strateškog dokumenta</w:t>
      </w:r>
      <w:r w:rsidR="008C728E" w:rsidRPr="001302F9">
        <w:rPr>
          <w:rFonts w:ascii="Arial" w:hAnsi="Arial" w:cs="Arial"/>
          <w:lang w:val="sr-Latn-ME"/>
        </w:rPr>
        <w:t>.</w:t>
      </w:r>
    </w:p>
    <w:p w:rsidR="00F353C6" w:rsidRPr="001302F9" w:rsidRDefault="008C728E" w:rsidP="000556FC">
      <w:pPr>
        <w:spacing w:before="120" w:after="120" w:line="240" w:lineRule="auto"/>
        <w:jc w:val="both"/>
        <w:rPr>
          <w:rFonts w:ascii="Arial" w:hAnsi="Arial" w:cs="Arial"/>
          <w:lang w:val="sr-Latn-ME"/>
        </w:rPr>
      </w:pPr>
      <w:r w:rsidRPr="001302F9">
        <w:rPr>
          <w:rFonts w:ascii="Arial" w:hAnsi="Arial" w:cs="Arial"/>
          <w:lang w:val="sr-Latn-ME"/>
        </w:rPr>
        <w:t xml:space="preserve"> </w:t>
      </w:r>
    </w:p>
    <w:p w:rsidR="00EA06C8" w:rsidRDefault="00C91833" w:rsidP="00EA06C8">
      <w:pPr>
        <w:spacing w:before="120" w:after="120" w:line="240" w:lineRule="auto"/>
        <w:jc w:val="center"/>
        <w:rPr>
          <w:rFonts w:ascii="Arial" w:hAnsi="Arial" w:cs="Arial"/>
          <w:lang w:val="sr-Latn-ME"/>
        </w:rPr>
      </w:pPr>
      <w:r w:rsidRPr="00C91833">
        <w:rPr>
          <w:noProof/>
        </w:rPr>
        <w:drawing>
          <wp:inline distT="0" distB="0" distL="0" distR="0" wp14:anchorId="4187163D" wp14:editId="6E3B9757">
            <wp:extent cx="5731510" cy="2773680"/>
            <wp:effectExtent l="0" t="0" r="254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2773680"/>
                    </a:xfrm>
                    <a:prstGeom prst="rect">
                      <a:avLst/>
                    </a:prstGeom>
                  </pic:spPr>
                </pic:pic>
              </a:graphicData>
            </a:graphic>
          </wp:inline>
        </w:drawing>
      </w:r>
    </w:p>
    <w:p w:rsidR="00BE26A5" w:rsidRPr="001302F9" w:rsidRDefault="00BE26A5" w:rsidP="00EA06C8">
      <w:pPr>
        <w:spacing w:before="120" w:after="120" w:line="240" w:lineRule="auto"/>
        <w:jc w:val="center"/>
        <w:rPr>
          <w:rFonts w:ascii="Arial" w:hAnsi="Arial" w:cs="Arial"/>
          <w:lang w:val="sr-Latn-ME"/>
        </w:rPr>
      </w:pPr>
    </w:p>
    <w:p w:rsidR="00996C8A" w:rsidRPr="001302F9" w:rsidRDefault="007848D1" w:rsidP="00FE30F4">
      <w:pPr>
        <w:spacing w:before="120" w:after="120" w:line="240" w:lineRule="auto"/>
        <w:jc w:val="both"/>
        <w:rPr>
          <w:rFonts w:ascii="Arial" w:hAnsi="Arial" w:cs="Arial"/>
          <w:bCs/>
          <w:lang w:val="sr-Latn-ME"/>
        </w:rPr>
      </w:pPr>
      <w:r w:rsidRPr="001302F9">
        <w:rPr>
          <w:rFonts w:ascii="Arial" w:hAnsi="Arial" w:cs="Arial"/>
          <w:b/>
          <w:bCs/>
          <w:lang w:val="sr-Latn-ME"/>
        </w:rPr>
        <w:t xml:space="preserve">Sa metodološkog aspekta - </w:t>
      </w:r>
      <w:r w:rsidRPr="001302F9">
        <w:rPr>
          <w:rFonts w:ascii="Arial" w:hAnsi="Arial" w:cs="Arial"/>
          <w:bCs/>
          <w:lang w:val="sr-Latn-ME"/>
        </w:rPr>
        <w:t xml:space="preserve">preporučeno je konsultovati OLAF-ove </w:t>
      </w:r>
      <w:r w:rsidR="00BD101B" w:rsidRPr="001302F9">
        <w:rPr>
          <w:rFonts w:ascii="Arial" w:hAnsi="Arial" w:cs="Arial"/>
          <w:bCs/>
          <w:lang w:val="sr-Latn-ME"/>
        </w:rPr>
        <w:t xml:space="preserve">dokumente „Smjernice za nacionalne strategije suzbijanja prevara“ i </w:t>
      </w:r>
      <w:r w:rsidR="00FE30F4" w:rsidRPr="001302F9">
        <w:rPr>
          <w:rFonts w:ascii="Arial" w:hAnsi="Arial" w:cs="Arial"/>
          <w:bCs/>
          <w:lang w:val="sr-Latn-ME"/>
        </w:rPr>
        <w:t>„Praktični koraci za izradu Nacionalne strategije suzbijanja prevara“</w:t>
      </w:r>
      <w:r w:rsidRPr="001302F9">
        <w:rPr>
          <w:rFonts w:ascii="Arial" w:hAnsi="Arial" w:cs="Arial"/>
          <w:bCs/>
          <w:lang w:val="sr-Latn-ME"/>
        </w:rPr>
        <w:t xml:space="preserve">, </w:t>
      </w:r>
      <w:r w:rsidR="00FE30F4" w:rsidRPr="001302F9">
        <w:rPr>
          <w:rFonts w:ascii="Arial" w:hAnsi="Arial" w:cs="Arial"/>
          <w:bCs/>
          <w:lang w:val="sr-Latn-ME"/>
        </w:rPr>
        <w:t xml:space="preserve">kao i </w:t>
      </w:r>
      <w:r w:rsidRPr="001302F9">
        <w:rPr>
          <w:rFonts w:ascii="Arial" w:hAnsi="Arial" w:cs="Arial"/>
          <w:bCs/>
          <w:lang w:val="sr-Latn-ME"/>
        </w:rPr>
        <w:t xml:space="preserve">primijeniti teoriju principa promjene i razviti set </w:t>
      </w:r>
      <w:r w:rsidR="00FE30F4" w:rsidRPr="001302F9">
        <w:rPr>
          <w:rFonts w:ascii="Arial" w:hAnsi="Arial" w:cs="Arial"/>
          <w:bCs/>
          <w:lang w:val="sr-Latn-ME"/>
        </w:rPr>
        <w:t xml:space="preserve">SMART </w:t>
      </w:r>
      <w:r w:rsidRPr="001302F9">
        <w:rPr>
          <w:rFonts w:ascii="Arial" w:hAnsi="Arial" w:cs="Arial"/>
          <w:bCs/>
          <w:lang w:val="sr-Latn-ME"/>
        </w:rPr>
        <w:t>indikatora rezultata</w:t>
      </w:r>
      <w:r w:rsidR="00FE30F4" w:rsidRPr="001302F9">
        <w:rPr>
          <w:rFonts w:ascii="Arial" w:hAnsi="Arial" w:cs="Arial"/>
          <w:bCs/>
          <w:lang w:val="sr-Latn-ME"/>
        </w:rPr>
        <w:t xml:space="preserve"> </w:t>
      </w:r>
      <w:r w:rsidRPr="001302F9">
        <w:rPr>
          <w:rFonts w:ascii="Arial" w:hAnsi="Arial" w:cs="Arial"/>
          <w:bCs/>
          <w:lang w:val="sr-Latn-ME"/>
        </w:rPr>
        <w:t>i ishoda</w:t>
      </w:r>
      <w:r w:rsidR="001173B0" w:rsidRPr="001302F9">
        <w:rPr>
          <w:rFonts w:ascii="Arial" w:hAnsi="Arial" w:cs="Arial"/>
          <w:lang w:val="sr-Latn-ME"/>
        </w:rPr>
        <w:t>.</w:t>
      </w:r>
    </w:p>
    <w:p w:rsidR="007848D1" w:rsidRPr="001302F9" w:rsidRDefault="007848D1" w:rsidP="00B21D9C">
      <w:pPr>
        <w:spacing w:before="120" w:after="120" w:line="240" w:lineRule="auto"/>
        <w:jc w:val="both"/>
        <w:rPr>
          <w:rFonts w:ascii="Arial" w:hAnsi="Arial" w:cs="Arial"/>
          <w:b/>
          <w:bCs/>
          <w:lang w:val="sr-Latn-ME"/>
        </w:rPr>
      </w:pPr>
      <w:r w:rsidRPr="001302F9">
        <w:rPr>
          <w:rFonts w:ascii="Arial" w:hAnsi="Arial" w:cs="Arial"/>
          <w:b/>
          <w:bCs/>
          <w:lang w:val="sr-Latn-ME"/>
        </w:rPr>
        <w:t>Što se tiče sadržaja</w:t>
      </w:r>
      <w:r w:rsidRPr="001302F9">
        <w:rPr>
          <w:rFonts w:ascii="Arial" w:hAnsi="Arial" w:cs="Arial"/>
          <w:bCs/>
          <w:lang w:val="sr-Latn-ME"/>
        </w:rPr>
        <w:t xml:space="preserve"> – glavne preporuke za nov</w:t>
      </w:r>
      <w:r w:rsidR="000904DD" w:rsidRPr="001302F9">
        <w:rPr>
          <w:rFonts w:ascii="Arial" w:hAnsi="Arial" w:cs="Arial"/>
          <w:bCs/>
          <w:lang w:val="sr-Latn-ME"/>
        </w:rPr>
        <w:t>u Strategiju</w:t>
      </w:r>
      <w:r w:rsidRPr="001302F9">
        <w:rPr>
          <w:rFonts w:ascii="Arial" w:hAnsi="Arial" w:cs="Arial"/>
          <w:bCs/>
          <w:lang w:val="sr-Latn-ME"/>
        </w:rPr>
        <w:t xml:space="preserve"> uključivale su primjenu kontinuiranog pristupa nadogradnj</w:t>
      </w:r>
      <w:r w:rsidR="00B62214" w:rsidRPr="001302F9">
        <w:rPr>
          <w:rFonts w:ascii="Arial" w:hAnsi="Arial" w:cs="Arial"/>
          <w:bCs/>
          <w:lang w:val="sr-Latn-ME"/>
        </w:rPr>
        <w:t>e</w:t>
      </w:r>
      <w:r w:rsidRPr="001302F9">
        <w:rPr>
          <w:rFonts w:ascii="Arial" w:hAnsi="Arial" w:cs="Arial"/>
          <w:bCs/>
          <w:lang w:val="sr-Latn-ME"/>
        </w:rPr>
        <w:t xml:space="preserve"> postignut</w:t>
      </w:r>
      <w:r w:rsidR="007E4799" w:rsidRPr="001302F9">
        <w:rPr>
          <w:rFonts w:ascii="Arial" w:hAnsi="Arial" w:cs="Arial"/>
          <w:bCs/>
          <w:lang w:val="sr-Latn-ME"/>
        </w:rPr>
        <w:t>ih rezultata</w:t>
      </w:r>
      <w:r w:rsidR="00B62214" w:rsidRPr="001302F9">
        <w:rPr>
          <w:rFonts w:ascii="Arial" w:hAnsi="Arial" w:cs="Arial"/>
          <w:bCs/>
          <w:lang w:val="sr-Latn-ME"/>
        </w:rPr>
        <w:t xml:space="preserve">, </w:t>
      </w:r>
      <w:r w:rsidRPr="001302F9">
        <w:rPr>
          <w:rFonts w:ascii="Arial" w:hAnsi="Arial" w:cs="Arial"/>
          <w:bCs/>
          <w:lang w:val="sr-Latn-ME"/>
        </w:rPr>
        <w:t xml:space="preserve">prikupljanjem </w:t>
      </w:r>
      <w:r w:rsidR="007E4799" w:rsidRPr="001302F9">
        <w:rPr>
          <w:rFonts w:ascii="Arial" w:hAnsi="Arial" w:cs="Arial"/>
          <w:bCs/>
          <w:lang w:val="sr-Latn-ME"/>
        </w:rPr>
        <w:t xml:space="preserve">i korišćenjem </w:t>
      </w:r>
      <w:r w:rsidRPr="001302F9">
        <w:rPr>
          <w:rFonts w:ascii="Arial" w:hAnsi="Arial" w:cs="Arial"/>
          <w:bCs/>
          <w:lang w:val="sr-Latn-ME"/>
        </w:rPr>
        <w:t xml:space="preserve">naučenih lekcija. Kao ključni elementi uspjeha istaknuta su dva faktora – vidljivost i promocija zajedničkog razumijevanja važnosti izrade </w:t>
      </w:r>
      <w:r w:rsidR="000904DD" w:rsidRPr="001302F9">
        <w:rPr>
          <w:rFonts w:ascii="Arial" w:hAnsi="Arial" w:cs="Arial"/>
          <w:bCs/>
          <w:lang w:val="sr-Latn-ME"/>
        </w:rPr>
        <w:t>Strategije</w:t>
      </w:r>
      <w:r w:rsidRPr="001302F9">
        <w:rPr>
          <w:rFonts w:ascii="Arial" w:hAnsi="Arial" w:cs="Arial"/>
          <w:bCs/>
          <w:lang w:val="sr-Latn-ME"/>
        </w:rPr>
        <w:t xml:space="preserve"> i pravilna međuinstitucionalna saradnja u svakoj fazi ciklusa Strategije – konsultacije, dizajn, implementacija, praćenje i evaluacija. Takođe, savjetovana je razmjena najboljih praksi među institucijama na nacionalnom nivou i razvoj standardizovanih obrazaca i dokumenata</w:t>
      </w:r>
      <w:r w:rsidR="00A26A9C" w:rsidRPr="001302F9">
        <w:rPr>
          <w:rFonts w:ascii="Arial" w:hAnsi="Arial" w:cs="Arial"/>
          <w:bCs/>
          <w:lang w:val="sr-Latn-ME"/>
        </w:rPr>
        <w:t xml:space="preserve">, a </w:t>
      </w:r>
      <w:r w:rsidRPr="001302F9">
        <w:rPr>
          <w:rFonts w:ascii="Arial" w:hAnsi="Arial" w:cs="Arial"/>
          <w:bCs/>
          <w:lang w:val="sr-Latn-ME"/>
        </w:rPr>
        <w:t>naglašen je i značaj ulaganja u jačanje ljudskih resursa IPA upravljačke strukture. Neki od prijedloga su već uzeti u obzir u fazi planiranja</w:t>
      </w:r>
      <w:r w:rsidR="00A26A9C" w:rsidRPr="001302F9">
        <w:rPr>
          <w:rFonts w:ascii="Arial" w:hAnsi="Arial" w:cs="Arial"/>
          <w:bCs/>
          <w:lang w:val="sr-Latn-ME"/>
        </w:rPr>
        <w:t xml:space="preserve"> i </w:t>
      </w:r>
      <w:r w:rsidRPr="001302F9">
        <w:rPr>
          <w:rFonts w:ascii="Arial" w:hAnsi="Arial" w:cs="Arial"/>
          <w:bCs/>
          <w:lang w:val="sr-Latn-ME"/>
        </w:rPr>
        <w:t xml:space="preserve">priprema za proces razvoja </w:t>
      </w:r>
      <w:r w:rsidR="00A26A9C" w:rsidRPr="001302F9">
        <w:rPr>
          <w:rFonts w:ascii="Arial" w:hAnsi="Arial" w:cs="Arial"/>
          <w:bCs/>
          <w:lang w:val="sr-Latn-ME"/>
        </w:rPr>
        <w:t xml:space="preserve">ove </w:t>
      </w:r>
      <w:r w:rsidR="000904DD" w:rsidRPr="001302F9">
        <w:rPr>
          <w:rFonts w:ascii="Arial" w:hAnsi="Arial" w:cs="Arial"/>
          <w:bCs/>
          <w:lang w:val="sr-Latn-ME"/>
        </w:rPr>
        <w:t>Strategije</w:t>
      </w:r>
      <w:r w:rsidRPr="001302F9">
        <w:rPr>
          <w:rFonts w:ascii="Arial" w:hAnsi="Arial" w:cs="Arial"/>
          <w:bCs/>
          <w:lang w:val="sr-Latn-ME"/>
        </w:rPr>
        <w:t>. Drugi su uključeni u dizajn i razvoj nov</w:t>
      </w:r>
      <w:r w:rsidR="000904DD" w:rsidRPr="001302F9">
        <w:rPr>
          <w:rFonts w:ascii="Arial" w:hAnsi="Arial" w:cs="Arial"/>
          <w:bCs/>
          <w:lang w:val="sr-Latn-ME"/>
        </w:rPr>
        <w:t>e</w:t>
      </w:r>
      <w:r w:rsidRPr="001302F9">
        <w:rPr>
          <w:rFonts w:ascii="Arial" w:hAnsi="Arial" w:cs="Arial"/>
          <w:bCs/>
          <w:lang w:val="sr-Latn-ME"/>
        </w:rPr>
        <w:t xml:space="preserve"> </w:t>
      </w:r>
      <w:r w:rsidR="000904DD" w:rsidRPr="001302F9">
        <w:rPr>
          <w:rFonts w:ascii="Arial" w:hAnsi="Arial" w:cs="Arial"/>
          <w:bCs/>
          <w:lang w:val="sr-Latn-ME"/>
        </w:rPr>
        <w:t>Strategije</w:t>
      </w:r>
      <w:r w:rsidRPr="001302F9">
        <w:rPr>
          <w:rFonts w:ascii="Arial" w:hAnsi="Arial" w:cs="Arial"/>
          <w:b/>
          <w:bCs/>
          <w:lang w:val="sr-Latn-ME"/>
        </w:rPr>
        <w:t>.</w:t>
      </w:r>
    </w:p>
    <w:p w:rsidR="00D1589C" w:rsidRPr="001302F9" w:rsidRDefault="00D1589C" w:rsidP="00D1589C">
      <w:pPr>
        <w:spacing w:before="120" w:after="120" w:line="240" w:lineRule="auto"/>
        <w:jc w:val="both"/>
        <w:rPr>
          <w:rFonts w:ascii="Arial" w:hAnsi="Arial" w:cs="Arial"/>
          <w:lang w:val="sr-Latn-ME"/>
        </w:rPr>
      </w:pPr>
      <w:r w:rsidRPr="001302F9">
        <w:rPr>
          <w:rFonts w:ascii="Arial" w:hAnsi="Arial" w:cs="Arial"/>
          <w:lang w:val="sr-Latn-ME"/>
        </w:rPr>
        <w:t xml:space="preserve">Na primjer, </w:t>
      </w:r>
      <w:r w:rsidR="00CA4A5B" w:rsidRPr="001302F9">
        <w:rPr>
          <w:rFonts w:ascii="Arial" w:hAnsi="Arial" w:cs="Arial"/>
          <w:lang w:val="sr-Latn-ME"/>
        </w:rPr>
        <w:t xml:space="preserve">pomenuta </w:t>
      </w:r>
      <w:r w:rsidRPr="001302F9">
        <w:rPr>
          <w:rFonts w:ascii="Arial" w:hAnsi="Arial" w:cs="Arial"/>
          <w:lang w:val="sr-Latn-ME"/>
        </w:rPr>
        <w:t>OLAF-ov</w:t>
      </w:r>
      <w:r w:rsidR="00CA4A5B" w:rsidRPr="001302F9">
        <w:rPr>
          <w:rFonts w:ascii="Arial" w:hAnsi="Arial" w:cs="Arial"/>
          <w:lang w:val="sr-Latn-ME"/>
        </w:rPr>
        <w:t>a</w:t>
      </w:r>
      <w:r w:rsidRPr="001302F9">
        <w:rPr>
          <w:rFonts w:ascii="Arial" w:hAnsi="Arial" w:cs="Arial"/>
          <w:lang w:val="sr-Latn-ME"/>
        </w:rPr>
        <w:t xml:space="preserve"> </w:t>
      </w:r>
      <w:r w:rsidR="00CA4A5B" w:rsidRPr="001302F9">
        <w:rPr>
          <w:rFonts w:ascii="Arial" w:hAnsi="Arial" w:cs="Arial"/>
          <w:lang w:val="sr-Latn-ME"/>
        </w:rPr>
        <w:t xml:space="preserve">dokumenta za izradu strategija su </w:t>
      </w:r>
      <w:r w:rsidRPr="001302F9">
        <w:rPr>
          <w:rFonts w:ascii="Arial" w:hAnsi="Arial" w:cs="Arial"/>
          <w:lang w:val="sr-Latn-ME"/>
        </w:rPr>
        <w:t>koriš</w:t>
      </w:r>
      <w:r w:rsidR="00CA4A5B" w:rsidRPr="001302F9">
        <w:rPr>
          <w:rFonts w:ascii="Arial" w:hAnsi="Arial" w:cs="Arial"/>
          <w:lang w:val="sr-Latn-ME"/>
        </w:rPr>
        <w:t>tena</w:t>
      </w:r>
      <w:r w:rsidRPr="001302F9">
        <w:rPr>
          <w:rFonts w:ascii="Arial" w:hAnsi="Arial" w:cs="Arial"/>
          <w:lang w:val="sr-Latn-ME"/>
        </w:rPr>
        <w:t xml:space="preserve"> i za strukturu i za sadržaj</w:t>
      </w:r>
      <w:r w:rsidR="00CA4A5B" w:rsidRPr="001302F9">
        <w:rPr>
          <w:rFonts w:ascii="Arial" w:hAnsi="Arial" w:cs="Arial"/>
          <w:lang w:val="sr-Latn-ME"/>
        </w:rPr>
        <w:t xml:space="preserve"> Strategije</w:t>
      </w:r>
      <w:r w:rsidRPr="001302F9">
        <w:rPr>
          <w:rFonts w:ascii="Arial" w:hAnsi="Arial" w:cs="Arial"/>
          <w:lang w:val="sr-Latn-ME"/>
        </w:rPr>
        <w:t xml:space="preserve">, dok su principi Teorije promjene primijenjeni kroz usklađenost sa smjernicama crnogorskih strateških dokumenata. </w:t>
      </w:r>
    </w:p>
    <w:p w:rsidR="00D1589C" w:rsidRPr="001302F9" w:rsidRDefault="00D1589C" w:rsidP="00D02F61">
      <w:pPr>
        <w:spacing w:before="120" w:after="120" w:line="240" w:lineRule="auto"/>
        <w:jc w:val="both"/>
        <w:rPr>
          <w:rFonts w:ascii="Arial" w:hAnsi="Arial" w:cs="Arial"/>
          <w:lang w:val="sr-Latn-ME"/>
        </w:rPr>
      </w:pPr>
      <w:r w:rsidRPr="001302F9">
        <w:rPr>
          <w:rFonts w:ascii="Arial" w:hAnsi="Arial" w:cs="Arial"/>
          <w:lang w:val="sr-Latn-ME"/>
        </w:rPr>
        <w:t xml:space="preserve">Takođe, </w:t>
      </w:r>
      <w:r w:rsidR="00C832B6" w:rsidRPr="001302F9">
        <w:rPr>
          <w:rFonts w:ascii="Arial" w:hAnsi="Arial" w:cs="Arial"/>
          <w:lang w:val="sr-Latn-ME"/>
        </w:rPr>
        <w:t>u skladu sa najboljim praksama opisanim u pomenutim OLAF-ovim dokumentima</w:t>
      </w:r>
      <w:r w:rsidRPr="001302F9">
        <w:rPr>
          <w:rFonts w:ascii="Arial" w:hAnsi="Arial" w:cs="Arial"/>
          <w:lang w:val="sr-Latn-ME"/>
        </w:rPr>
        <w:t xml:space="preserve">, </w:t>
      </w:r>
      <w:r w:rsidR="00C832B6" w:rsidRPr="001302F9">
        <w:rPr>
          <w:rFonts w:ascii="Arial" w:hAnsi="Arial" w:cs="Arial"/>
          <w:lang w:val="sr-Latn-ME"/>
        </w:rPr>
        <w:t xml:space="preserve">prije započinjanja procesa izrade Strategije, Direkcija za zaštitu finansijskih interesa EU/AFCOS je </w:t>
      </w:r>
      <w:r w:rsidRPr="001302F9">
        <w:rPr>
          <w:rFonts w:ascii="Arial" w:hAnsi="Arial" w:cs="Arial"/>
          <w:lang w:val="sr-Latn-ME"/>
        </w:rPr>
        <w:t>izvrš</w:t>
      </w:r>
      <w:r w:rsidR="00C832B6" w:rsidRPr="001302F9">
        <w:rPr>
          <w:rFonts w:ascii="Arial" w:hAnsi="Arial" w:cs="Arial"/>
          <w:lang w:val="sr-Latn-ME"/>
        </w:rPr>
        <w:t xml:space="preserve">ila </w:t>
      </w:r>
      <w:r w:rsidRPr="001302F9">
        <w:rPr>
          <w:rFonts w:ascii="Arial" w:hAnsi="Arial" w:cs="Arial"/>
          <w:lang w:val="sr-Latn-ME"/>
        </w:rPr>
        <w:t>sveobuhvatn</w:t>
      </w:r>
      <w:r w:rsidR="00C832B6" w:rsidRPr="001302F9">
        <w:rPr>
          <w:rFonts w:ascii="Arial" w:hAnsi="Arial" w:cs="Arial"/>
          <w:lang w:val="sr-Latn-ME"/>
        </w:rPr>
        <w:t>u</w:t>
      </w:r>
      <w:r w:rsidRPr="001302F9">
        <w:rPr>
          <w:rFonts w:ascii="Arial" w:hAnsi="Arial" w:cs="Arial"/>
          <w:lang w:val="sr-Latn-ME"/>
        </w:rPr>
        <w:t xml:space="preserve"> proc</w:t>
      </w:r>
      <w:r w:rsidR="00CA4A5B" w:rsidRPr="001302F9">
        <w:rPr>
          <w:rFonts w:ascii="Arial" w:hAnsi="Arial" w:cs="Arial"/>
          <w:lang w:val="sr-Latn-ME"/>
        </w:rPr>
        <w:t>j</w:t>
      </w:r>
      <w:r w:rsidRPr="001302F9">
        <w:rPr>
          <w:rFonts w:ascii="Arial" w:hAnsi="Arial" w:cs="Arial"/>
          <w:lang w:val="sr-Latn-ME"/>
        </w:rPr>
        <w:t>en</w:t>
      </w:r>
      <w:r w:rsidR="00C832B6" w:rsidRPr="001302F9">
        <w:rPr>
          <w:rFonts w:ascii="Arial" w:hAnsi="Arial" w:cs="Arial"/>
          <w:lang w:val="sr-Latn-ME"/>
        </w:rPr>
        <w:t>u</w:t>
      </w:r>
      <w:r w:rsidRPr="001302F9">
        <w:rPr>
          <w:rFonts w:ascii="Arial" w:hAnsi="Arial" w:cs="Arial"/>
          <w:lang w:val="sr-Latn-ME"/>
        </w:rPr>
        <w:t xml:space="preserve"> rizika od prevar</w:t>
      </w:r>
      <w:r w:rsidR="00C832B6" w:rsidRPr="001302F9">
        <w:rPr>
          <w:rFonts w:ascii="Arial" w:hAnsi="Arial" w:cs="Arial"/>
          <w:lang w:val="sr-Latn-ME"/>
        </w:rPr>
        <w:t>a</w:t>
      </w:r>
      <w:r w:rsidRPr="001302F9">
        <w:rPr>
          <w:rFonts w:ascii="Arial" w:hAnsi="Arial" w:cs="Arial"/>
          <w:lang w:val="sr-Latn-ME"/>
        </w:rPr>
        <w:t xml:space="preserve"> (vid</w:t>
      </w:r>
      <w:r w:rsidR="00C832B6" w:rsidRPr="001302F9">
        <w:rPr>
          <w:rFonts w:ascii="Arial" w:hAnsi="Arial" w:cs="Arial"/>
          <w:lang w:val="sr-Latn-ME"/>
        </w:rPr>
        <w:t>j</w:t>
      </w:r>
      <w:r w:rsidRPr="001302F9">
        <w:rPr>
          <w:rFonts w:ascii="Arial" w:hAnsi="Arial" w:cs="Arial"/>
          <w:lang w:val="sr-Latn-ME"/>
        </w:rPr>
        <w:t>eti Poglavlje 2.2.)</w:t>
      </w:r>
      <w:r w:rsidR="00C832B6" w:rsidRPr="001302F9">
        <w:rPr>
          <w:rFonts w:ascii="Arial" w:hAnsi="Arial" w:cs="Arial"/>
          <w:lang w:val="sr-Latn-ME"/>
        </w:rPr>
        <w:t>. Ova</w:t>
      </w:r>
      <w:r w:rsidRPr="001302F9">
        <w:rPr>
          <w:rFonts w:ascii="Arial" w:hAnsi="Arial" w:cs="Arial"/>
          <w:lang w:val="sr-Latn-ME"/>
        </w:rPr>
        <w:t xml:space="preserve"> </w:t>
      </w:r>
      <w:r w:rsidR="00C832B6" w:rsidRPr="001302F9">
        <w:rPr>
          <w:rFonts w:ascii="Arial" w:hAnsi="Arial" w:cs="Arial"/>
          <w:lang w:val="sr-Latn-ME"/>
        </w:rPr>
        <w:t xml:space="preserve">analiza omogućava uvid u efikasnost finansijskog sistema upravljanja i kontrole u </w:t>
      </w:r>
      <w:r w:rsidR="00347FA0" w:rsidRPr="00EE1E09">
        <w:rPr>
          <w:rFonts w:ascii="Arial" w:eastAsia="Times New Roman" w:hAnsi="Arial" w:cs="Arial"/>
          <w:lang w:val="sr-Latn-BA"/>
        </w:rPr>
        <w:t>struktura</w:t>
      </w:r>
      <w:r w:rsidR="00347FA0">
        <w:rPr>
          <w:rFonts w:ascii="Arial" w:eastAsia="Times New Roman" w:hAnsi="Arial" w:cs="Arial"/>
          <w:lang w:val="sr-Latn-BA"/>
        </w:rPr>
        <w:t>ma</w:t>
      </w:r>
      <w:r w:rsidR="00347FA0" w:rsidRPr="00EE1E09">
        <w:rPr>
          <w:rFonts w:ascii="Arial" w:eastAsia="Times New Roman" w:hAnsi="Arial" w:cs="Arial"/>
          <w:lang w:val="sr-Latn-BA"/>
        </w:rPr>
        <w:t xml:space="preserve"> za izvještavanje o nepravilnostima</w:t>
      </w:r>
      <w:r w:rsidR="00347FA0" w:rsidRPr="001302F9">
        <w:rPr>
          <w:rFonts w:ascii="Arial" w:hAnsi="Arial" w:cs="Arial"/>
          <w:lang w:val="sr-Latn-ME"/>
        </w:rPr>
        <w:t xml:space="preserve"> </w:t>
      </w:r>
      <w:r w:rsidR="00C832B6" w:rsidRPr="001302F9">
        <w:rPr>
          <w:rFonts w:ascii="Arial" w:hAnsi="Arial" w:cs="Arial"/>
          <w:lang w:val="sr-Latn-ME"/>
        </w:rPr>
        <w:t xml:space="preserve">i identifikuje oblasti koje zahtijevaju dodatnu pažnju i korektivne mjere. Takođe, omogućava kontinuirano praćenje performansi i efikasnosti kontrolnih mehanizama kako bi se osiguralo da se sredstva EU koriste na transparentan, odgovoran i efikasan način, te tako predstavlja početnu bazu za izradu efikasne nacionalne Strategije za borbu protiv prevara. Dodatno, prilikom izrade Akcionog plana 2025-2026, </w:t>
      </w:r>
      <w:r w:rsidRPr="001302F9">
        <w:rPr>
          <w:rFonts w:ascii="Arial" w:hAnsi="Arial" w:cs="Arial"/>
          <w:lang w:val="sr-Latn-ME"/>
        </w:rPr>
        <w:t xml:space="preserve">razvijen </w:t>
      </w:r>
      <w:r w:rsidR="00C832B6" w:rsidRPr="001302F9">
        <w:rPr>
          <w:rFonts w:ascii="Arial" w:hAnsi="Arial" w:cs="Arial"/>
          <w:lang w:val="sr-Latn-ME"/>
        </w:rPr>
        <w:t xml:space="preserve">je </w:t>
      </w:r>
      <w:r w:rsidRPr="001302F9">
        <w:rPr>
          <w:rFonts w:ascii="Arial" w:hAnsi="Arial" w:cs="Arial"/>
          <w:lang w:val="sr-Latn-ME"/>
        </w:rPr>
        <w:t xml:space="preserve">set indikatora </w:t>
      </w:r>
      <w:r w:rsidR="00BE26A5">
        <w:rPr>
          <w:rFonts w:ascii="Arial" w:hAnsi="Arial" w:cs="Arial"/>
          <w:lang w:val="sr-Latn-ME"/>
        </w:rPr>
        <w:t>uspjeha</w:t>
      </w:r>
      <w:r w:rsidRPr="001302F9">
        <w:rPr>
          <w:rFonts w:ascii="Arial" w:hAnsi="Arial" w:cs="Arial"/>
          <w:lang w:val="sr-Latn-ME"/>
        </w:rPr>
        <w:t xml:space="preserve"> i </w:t>
      </w:r>
      <w:r w:rsidR="00C832B6" w:rsidRPr="001302F9">
        <w:rPr>
          <w:rFonts w:ascii="Arial" w:hAnsi="Arial" w:cs="Arial"/>
          <w:lang w:val="sr-Latn-ME"/>
        </w:rPr>
        <w:t>učinka</w:t>
      </w:r>
      <w:r w:rsidRPr="001302F9">
        <w:rPr>
          <w:rFonts w:ascii="Arial" w:hAnsi="Arial" w:cs="Arial"/>
          <w:lang w:val="sr-Latn-ME"/>
        </w:rPr>
        <w:t xml:space="preserve"> (</w:t>
      </w:r>
      <w:r w:rsidR="00C832B6" w:rsidRPr="001302F9">
        <w:rPr>
          <w:rFonts w:ascii="Arial" w:hAnsi="Arial" w:cs="Arial"/>
          <w:lang w:val="sr-Latn-ME"/>
        </w:rPr>
        <w:t>vidjeti</w:t>
      </w:r>
      <w:r w:rsidRPr="001302F9">
        <w:rPr>
          <w:rFonts w:ascii="Arial" w:hAnsi="Arial" w:cs="Arial"/>
          <w:lang w:val="sr-Latn-ME"/>
        </w:rPr>
        <w:t xml:space="preserve"> Poglavlje 3) i uzete su u obzir aktivnosti koje ni</w:t>
      </w:r>
      <w:r w:rsidR="00BE26A5">
        <w:rPr>
          <w:rFonts w:ascii="Arial" w:hAnsi="Arial" w:cs="Arial"/>
          <w:lang w:val="sr-Latn-ME"/>
        </w:rPr>
        <w:t>je</w:t>
      </w:r>
      <w:r w:rsidRPr="001302F9">
        <w:rPr>
          <w:rFonts w:ascii="Arial" w:hAnsi="Arial" w:cs="Arial"/>
          <w:lang w:val="sr-Latn-ME"/>
        </w:rPr>
        <w:t xml:space="preserve">su sprovedene ili </w:t>
      </w:r>
      <w:r w:rsidR="00C832B6" w:rsidRPr="001302F9">
        <w:rPr>
          <w:rFonts w:ascii="Arial" w:hAnsi="Arial" w:cs="Arial"/>
          <w:lang w:val="sr-Latn-ME"/>
        </w:rPr>
        <w:t xml:space="preserve">su </w:t>
      </w:r>
      <w:r w:rsidRPr="001302F9">
        <w:rPr>
          <w:rFonts w:ascii="Arial" w:hAnsi="Arial" w:cs="Arial"/>
          <w:lang w:val="sr-Latn-ME"/>
        </w:rPr>
        <w:t>sprovedene samo d</w:t>
      </w:r>
      <w:r w:rsidR="00C832B6" w:rsidRPr="001302F9">
        <w:rPr>
          <w:rFonts w:ascii="Arial" w:hAnsi="Arial" w:cs="Arial"/>
          <w:lang w:val="sr-Latn-ME"/>
        </w:rPr>
        <w:t>j</w:t>
      </w:r>
      <w:r w:rsidRPr="001302F9">
        <w:rPr>
          <w:rFonts w:ascii="Arial" w:hAnsi="Arial" w:cs="Arial"/>
          <w:lang w:val="sr-Latn-ME"/>
        </w:rPr>
        <w:t>elimično u vremenskom periodu prethodne Strategije 2019-2020.</w:t>
      </w:r>
    </w:p>
    <w:p w:rsidR="00D1589C" w:rsidRPr="001302F9" w:rsidRDefault="00D1589C" w:rsidP="00D02F61">
      <w:pPr>
        <w:spacing w:before="120" w:after="120" w:line="240" w:lineRule="auto"/>
        <w:jc w:val="both"/>
        <w:rPr>
          <w:rFonts w:ascii="Arial" w:hAnsi="Arial" w:cs="Arial"/>
          <w:lang w:val="sr-Latn-ME"/>
        </w:rPr>
      </w:pPr>
      <w:r w:rsidRPr="001302F9">
        <w:rPr>
          <w:rFonts w:ascii="Arial" w:hAnsi="Arial" w:cs="Arial"/>
          <w:lang w:val="sr-Latn-ME"/>
        </w:rPr>
        <w:t xml:space="preserve">Međuinstitucionalna saradnja je unaprijeđena stvaranjem Radne grupe i vrijednim inputom dobijenim od različitih institucija AFCOS sistema, što </w:t>
      </w:r>
      <w:r w:rsidR="000D3128" w:rsidRPr="001302F9">
        <w:rPr>
          <w:rFonts w:ascii="Arial" w:hAnsi="Arial" w:cs="Arial"/>
          <w:lang w:val="sr-Latn-ME"/>
        </w:rPr>
        <w:t>ukazuje</w:t>
      </w:r>
      <w:r w:rsidRPr="001302F9">
        <w:rPr>
          <w:rFonts w:ascii="Arial" w:hAnsi="Arial" w:cs="Arial"/>
          <w:lang w:val="sr-Latn-ME"/>
        </w:rPr>
        <w:t xml:space="preserve"> da će one aktivno učestvovati u implementaciji nov</w:t>
      </w:r>
      <w:r w:rsidR="000904DD" w:rsidRPr="001302F9">
        <w:rPr>
          <w:rFonts w:ascii="Arial" w:hAnsi="Arial" w:cs="Arial"/>
          <w:lang w:val="sr-Latn-ME"/>
        </w:rPr>
        <w:t>e</w:t>
      </w:r>
      <w:r w:rsidRPr="001302F9">
        <w:rPr>
          <w:rFonts w:ascii="Arial" w:hAnsi="Arial" w:cs="Arial"/>
          <w:lang w:val="sr-Latn-ME"/>
        </w:rPr>
        <w:t xml:space="preserve"> </w:t>
      </w:r>
      <w:r w:rsidR="000904DD" w:rsidRPr="001302F9">
        <w:rPr>
          <w:rFonts w:ascii="Arial" w:hAnsi="Arial" w:cs="Arial"/>
          <w:lang w:val="sr-Latn-ME"/>
        </w:rPr>
        <w:t>Strategije</w:t>
      </w:r>
      <w:r w:rsidRPr="001302F9">
        <w:rPr>
          <w:rFonts w:ascii="Arial" w:hAnsi="Arial" w:cs="Arial"/>
          <w:lang w:val="sr-Latn-ME"/>
        </w:rPr>
        <w:t>.</w:t>
      </w:r>
    </w:p>
    <w:p w:rsidR="00BA5651" w:rsidRPr="001302F9" w:rsidRDefault="00D1589C" w:rsidP="00D02F61">
      <w:pPr>
        <w:spacing w:before="120" w:after="120" w:line="240" w:lineRule="auto"/>
        <w:jc w:val="both"/>
        <w:rPr>
          <w:rFonts w:ascii="Arial" w:hAnsi="Arial" w:cs="Arial"/>
          <w:lang w:val="sr-Latn-ME"/>
        </w:rPr>
      </w:pPr>
      <w:r w:rsidRPr="001302F9">
        <w:rPr>
          <w:rFonts w:ascii="Arial" w:hAnsi="Arial" w:cs="Arial"/>
          <w:lang w:val="sr-Latn-ME"/>
        </w:rPr>
        <w:t xml:space="preserve">Takođe, treba napomenuti da je saradnja između </w:t>
      </w:r>
      <w:r w:rsidR="000D3128" w:rsidRPr="001302F9">
        <w:rPr>
          <w:rFonts w:ascii="Arial" w:hAnsi="Arial" w:cs="Arial"/>
          <w:lang w:val="sr-Latn-ME"/>
        </w:rPr>
        <w:t xml:space="preserve">Direkcije za zaštitu finansijskih interesa EU/AFCOS </w:t>
      </w:r>
      <w:r w:rsidRPr="001302F9">
        <w:rPr>
          <w:rFonts w:ascii="Arial" w:hAnsi="Arial" w:cs="Arial"/>
          <w:lang w:val="sr-Latn-ME"/>
        </w:rPr>
        <w:t xml:space="preserve">i Uprave za </w:t>
      </w:r>
      <w:r w:rsidR="000D3128" w:rsidRPr="001302F9">
        <w:rPr>
          <w:rFonts w:ascii="Arial" w:hAnsi="Arial" w:cs="Arial"/>
          <w:lang w:val="sr-Latn-ME"/>
        </w:rPr>
        <w:t xml:space="preserve">ljudske resurse </w:t>
      </w:r>
      <w:r w:rsidRPr="001302F9">
        <w:rPr>
          <w:rFonts w:ascii="Arial" w:hAnsi="Arial" w:cs="Arial"/>
          <w:lang w:val="sr-Latn-ME"/>
        </w:rPr>
        <w:t>Crne Gore, kako se navodi u ex-post evaluaciji, već aktivno uspostavljena i rezultirala je prvim IPA obukama o nepravilnostima u periodu 2024 – 2025. godine.</w:t>
      </w:r>
      <w:r w:rsidR="00CF5175" w:rsidRPr="001302F9">
        <w:rPr>
          <w:rStyle w:val="FootnoteReference"/>
          <w:rFonts w:ascii="Arial" w:hAnsi="Arial" w:cs="Arial"/>
          <w:lang w:val="sr-Latn-ME"/>
        </w:rPr>
        <w:footnoteReference w:id="1"/>
      </w:r>
      <w:r w:rsidR="00117F99" w:rsidRPr="001302F9">
        <w:rPr>
          <w:rFonts w:ascii="Arial" w:hAnsi="Arial" w:cs="Arial"/>
          <w:lang w:val="sr-Latn-ME"/>
        </w:rPr>
        <w:t>.</w:t>
      </w:r>
    </w:p>
    <w:p w:rsidR="009616E8" w:rsidRPr="001302F9" w:rsidRDefault="00CF7FC0" w:rsidP="00EE65EF">
      <w:pPr>
        <w:spacing w:before="120" w:after="120" w:line="240" w:lineRule="auto"/>
        <w:jc w:val="both"/>
        <w:rPr>
          <w:rFonts w:ascii="Arial" w:hAnsi="Arial" w:cs="Arial"/>
          <w:lang w:val="sr-Latn-ME"/>
        </w:rPr>
      </w:pPr>
      <w:r w:rsidRPr="001302F9">
        <w:rPr>
          <w:rFonts w:ascii="Arial" w:hAnsi="Arial" w:cs="Arial"/>
          <w:lang w:val="sr-Latn-ME"/>
        </w:rPr>
        <w:t>Naglasak na obukama i jačanju ljudskih kapaciteta je ključan, jer visoka fluktuacija službenika dovodi do gubitka institucionalne memorije i kontinuiteta znanja unutar IPA strukturnih fondova. Ovo negativno utiče na uspostavljanje efikasnog sistema upravljanja nepravilnostima, koji uključuje sveobuhvatne preventivne aktivnosti i odgovarajuće vještine za otkrivanje, istraživanje i povraćaj neopravdano plaćenih sredstava</w:t>
      </w:r>
      <w:r w:rsidR="00D1589C" w:rsidRPr="001302F9">
        <w:rPr>
          <w:rFonts w:ascii="Arial" w:hAnsi="Arial" w:cs="Arial"/>
          <w:lang w:val="sr-Latn-ME"/>
        </w:rPr>
        <w:t>.</w:t>
      </w:r>
      <w:r w:rsidRPr="001302F9">
        <w:rPr>
          <w:rFonts w:ascii="Arial" w:hAnsi="Arial" w:cs="Arial"/>
          <w:lang w:val="sr-Latn-ME"/>
        </w:rPr>
        <w:t xml:space="preserve"> </w:t>
      </w:r>
      <w:r w:rsidR="00D1589C" w:rsidRPr="001302F9">
        <w:rPr>
          <w:rFonts w:ascii="Arial" w:hAnsi="Arial" w:cs="Arial"/>
          <w:lang w:val="sr-Latn-ME"/>
        </w:rPr>
        <w:t xml:space="preserve">Ako strukturi i administraciji IPA fondova nedostaju resursi, malo je vjerovatno da će uspostaviti čvrst i potpuno operativan sistem u svim institucijama uključenim u zaštitu finansijskih interesa EU. Važno je obezbijediti nesmetano funkcionisanje IPA sistema bez obzira na fluktuaciju kadrova, kroz adekvatne procese </w:t>
      </w:r>
      <w:r w:rsidRPr="001302F9">
        <w:rPr>
          <w:rFonts w:ascii="Arial" w:hAnsi="Arial" w:cs="Arial"/>
          <w:lang w:val="sr-Latn-ME"/>
        </w:rPr>
        <w:t>zamjene, kao</w:t>
      </w:r>
      <w:r w:rsidR="00D1589C" w:rsidRPr="001302F9">
        <w:rPr>
          <w:rFonts w:ascii="Arial" w:hAnsi="Arial" w:cs="Arial"/>
          <w:lang w:val="sr-Latn-ME"/>
        </w:rPr>
        <w:t xml:space="preserve"> i imenovanje novih osoba koje će biti zadužene za </w:t>
      </w:r>
      <w:r w:rsidRPr="001302F9">
        <w:rPr>
          <w:rFonts w:ascii="Arial" w:hAnsi="Arial" w:cs="Arial"/>
          <w:lang w:val="sr-Latn-ME"/>
        </w:rPr>
        <w:t>ovu</w:t>
      </w:r>
      <w:r w:rsidR="00D1589C" w:rsidRPr="001302F9">
        <w:rPr>
          <w:rFonts w:ascii="Arial" w:hAnsi="Arial" w:cs="Arial"/>
          <w:lang w:val="sr-Latn-ME"/>
        </w:rPr>
        <w:t xml:space="preserve"> oblast</w:t>
      </w:r>
      <w:r w:rsidR="00733751" w:rsidRPr="001302F9">
        <w:rPr>
          <w:rFonts w:ascii="Arial" w:hAnsi="Arial" w:cs="Arial"/>
          <w:lang w:val="sr-Latn-ME"/>
        </w:rPr>
        <w:t xml:space="preserve">. </w:t>
      </w:r>
    </w:p>
    <w:p w:rsidR="00133DEE" w:rsidRPr="001302F9" w:rsidRDefault="00CF7FC0" w:rsidP="00EE65EF">
      <w:pPr>
        <w:spacing w:before="120" w:after="120" w:line="240" w:lineRule="auto"/>
        <w:jc w:val="both"/>
        <w:rPr>
          <w:rFonts w:ascii="Arial" w:hAnsi="Arial" w:cs="Arial"/>
          <w:lang w:val="sr-Latn-ME"/>
        </w:rPr>
      </w:pPr>
      <w:r w:rsidRPr="001302F9">
        <w:rPr>
          <w:rFonts w:ascii="Arial" w:hAnsi="Arial" w:cs="Arial"/>
          <w:lang w:val="sr-Latn-ME"/>
        </w:rPr>
        <w:t>Shodno navedenom je i predviđeno dalje</w:t>
      </w:r>
      <w:r w:rsidR="005B3E65" w:rsidRPr="001302F9">
        <w:rPr>
          <w:rFonts w:ascii="Arial" w:hAnsi="Arial" w:cs="Arial"/>
          <w:lang w:val="sr-Latn-ME"/>
        </w:rPr>
        <w:t xml:space="preserve"> jačanje kapaciteta </w:t>
      </w:r>
      <w:r w:rsidR="00BE26A5">
        <w:rPr>
          <w:rFonts w:ascii="Arial" w:hAnsi="Arial" w:cs="Arial"/>
          <w:lang w:val="sr-Latn-ME"/>
        </w:rPr>
        <w:t>službenika</w:t>
      </w:r>
      <w:r w:rsidR="005B3E65" w:rsidRPr="001302F9">
        <w:rPr>
          <w:rFonts w:ascii="Arial" w:hAnsi="Arial" w:cs="Arial"/>
          <w:lang w:val="sr-Latn-ME"/>
        </w:rPr>
        <w:t xml:space="preserve"> u institucijama koje učestvuju u zaštiti finansijskih interesa EU u vezi sa nepravilnostima i upravljanjem prevarama i koriš</w:t>
      </w:r>
      <w:r w:rsidRPr="001302F9">
        <w:rPr>
          <w:rFonts w:ascii="Arial" w:hAnsi="Arial" w:cs="Arial"/>
          <w:lang w:val="sr-Latn-ME"/>
        </w:rPr>
        <w:t>ć</w:t>
      </w:r>
      <w:r w:rsidR="005B3E65" w:rsidRPr="001302F9">
        <w:rPr>
          <w:rFonts w:ascii="Arial" w:hAnsi="Arial" w:cs="Arial"/>
          <w:lang w:val="sr-Latn-ME"/>
        </w:rPr>
        <w:t>enjem IMS-a</w:t>
      </w:r>
      <w:r w:rsidRPr="001302F9">
        <w:rPr>
          <w:rFonts w:ascii="Arial" w:hAnsi="Arial" w:cs="Arial"/>
          <w:lang w:val="sr-Latn-ME"/>
        </w:rPr>
        <w:t xml:space="preserve">, kroz </w:t>
      </w:r>
      <w:r w:rsidR="005B3E65" w:rsidRPr="001302F9">
        <w:rPr>
          <w:rFonts w:ascii="Arial" w:hAnsi="Arial" w:cs="Arial"/>
          <w:lang w:val="sr-Latn-ME"/>
        </w:rPr>
        <w:t xml:space="preserve">niz aktivnosti kao što </w:t>
      </w:r>
      <w:r w:rsidRPr="001302F9">
        <w:rPr>
          <w:rFonts w:ascii="Arial" w:hAnsi="Arial" w:cs="Arial"/>
          <w:lang w:val="sr-Latn-ME"/>
        </w:rPr>
        <w:t>su:</w:t>
      </w:r>
      <w:r w:rsidR="005B3E65" w:rsidRPr="001302F9">
        <w:rPr>
          <w:rFonts w:ascii="Arial" w:hAnsi="Arial" w:cs="Arial"/>
          <w:lang w:val="sr-Latn-ME"/>
        </w:rPr>
        <w:t xml:space="preserve"> ažuriranje programa i planova obuke</w:t>
      </w:r>
      <w:r w:rsidRPr="001302F9">
        <w:rPr>
          <w:rFonts w:ascii="Arial" w:hAnsi="Arial" w:cs="Arial"/>
          <w:lang w:val="sr-Latn-ME"/>
        </w:rPr>
        <w:t>;</w:t>
      </w:r>
      <w:r w:rsidR="005B3E65" w:rsidRPr="001302F9">
        <w:rPr>
          <w:rFonts w:ascii="Arial" w:hAnsi="Arial" w:cs="Arial"/>
          <w:lang w:val="sr-Latn-ME"/>
        </w:rPr>
        <w:t xml:space="preserve"> materijala za obuku</w:t>
      </w:r>
      <w:r w:rsidRPr="001302F9">
        <w:rPr>
          <w:rFonts w:ascii="Arial" w:hAnsi="Arial" w:cs="Arial"/>
          <w:lang w:val="sr-Latn-ME"/>
        </w:rPr>
        <w:t>;</w:t>
      </w:r>
      <w:r w:rsidR="005B3E65" w:rsidRPr="001302F9">
        <w:rPr>
          <w:rFonts w:ascii="Arial" w:hAnsi="Arial" w:cs="Arial"/>
          <w:lang w:val="sr-Latn-ME"/>
        </w:rPr>
        <w:t xml:space="preserve"> seminara i obuk</w:t>
      </w:r>
      <w:r w:rsidRPr="001302F9">
        <w:rPr>
          <w:rFonts w:ascii="Arial" w:hAnsi="Arial" w:cs="Arial"/>
          <w:lang w:val="sr-Latn-ME"/>
        </w:rPr>
        <w:t>a</w:t>
      </w:r>
      <w:r w:rsidR="005B3E65" w:rsidRPr="001302F9">
        <w:rPr>
          <w:rFonts w:ascii="Arial" w:hAnsi="Arial" w:cs="Arial"/>
          <w:lang w:val="sr-Latn-ME"/>
        </w:rPr>
        <w:t xml:space="preserve"> o upravljanju nepravilnostima i prevarama</w:t>
      </w:r>
      <w:r w:rsidR="006C3765" w:rsidRPr="001302F9">
        <w:rPr>
          <w:rFonts w:ascii="Arial" w:hAnsi="Arial" w:cs="Arial"/>
          <w:lang w:val="sr-Latn-ME"/>
        </w:rPr>
        <w:t>.</w:t>
      </w:r>
      <w:r w:rsidR="00BF7537" w:rsidRPr="001302F9">
        <w:rPr>
          <w:rFonts w:ascii="Arial" w:hAnsi="Arial" w:cs="Arial"/>
          <w:lang w:val="sr-Latn-ME"/>
        </w:rPr>
        <w:t xml:space="preserve"> </w:t>
      </w:r>
    </w:p>
    <w:p w:rsidR="00526D51" w:rsidRPr="001302F9" w:rsidRDefault="00526D51" w:rsidP="00EE65EF">
      <w:pPr>
        <w:spacing w:before="120" w:after="120" w:line="240" w:lineRule="auto"/>
        <w:jc w:val="both"/>
        <w:rPr>
          <w:rFonts w:ascii="Arial" w:hAnsi="Arial" w:cs="Arial"/>
          <w:lang w:val="sr-Latn-ME"/>
        </w:rPr>
      </w:pPr>
    </w:p>
    <w:p w:rsidR="001A08E1" w:rsidRPr="001302F9" w:rsidRDefault="00B21E98" w:rsidP="009B6B3B">
      <w:pPr>
        <w:pStyle w:val="Heading3"/>
        <w:numPr>
          <w:ilvl w:val="1"/>
          <w:numId w:val="12"/>
        </w:numPr>
        <w:spacing w:before="120" w:after="120"/>
        <w:ind w:left="993" w:hanging="633"/>
        <w:rPr>
          <w:rFonts w:ascii="Arial" w:hAnsi="Arial" w:cs="Arial"/>
          <w:sz w:val="22"/>
          <w:szCs w:val="22"/>
          <w:lang w:val="sr-Latn-ME"/>
        </w:rPr>
      </w:pPr>
      <w:r w:rsidRPr="001302F9">
        <w:rPr>
          <w:rFonts w:ascii="Arial" w:hAnsi="Arial" w:cs="Arial"/>
          <w:sz w:val="22"/>
          <w:szCs w:val="22"/>
          <w:lang w:val="sr-Latn-ME"/>
        </w:rPr>
        <w:t>Rezultati Analize rizika od prevara</w:t>
      </w:r>
    </w:p>
    <w:p w:rsidR="00A30025" w:rsidRPr="001302F9" w:rsidRDefault="00A30025" w:rsidP="00EE65EF">
      <w:pPr>
        <w:spacing w:before="120" w:after="120" w:line="240" w:lineRule="auto"/>
        <w:jc w:val="both"/>
        <w:rPr>
          <w:rFonts w:ascii="Arial" w:hAnsi="Arial" w:cs="Arial"/>
          <w:bCs/>
          <w:lang w:val="sr-Latn-ME"/>
        </w:rPr>
      </w:pPr>
      <w:r w:rsidRPr="001302F9">
        <w:rPr>
          <w:rFonts w:ascii="Arial" w:hAnsi="Arial" w:cs="Arial"/>
          <w:bCs/>
          <w:lang w:val="sr-Latn-ME"/>
        </w:rPr>
        <w:t>Zakonodavstvo Evropske unije definiše prevaru kao namjernu povredu koja je, ili bi mogla biti, štetna za budžet EU. Zbog toga je zajednička odgovornost svih država članica i zemalja kandidata da se aktivno bore protiv prevara i drugih nezakonitih aktivnosti koje ugrožavaju finansijske interese Unije. U tom kontekstu, procjena rizika, a posebno procjena rizika od prevara, uključujući ranjivost na korupciju i sukobe interesa, od suštinskog je značaja za identifikaciju najslabijih tačaka u sistemu i prepoznavanje oblasti koje treba poboljšati. Stoga, procjena rizika od prevara, zajedno sa statističkom analizom podataka o nepravilnostima i sumnjama na prevare u realizaciji projekata finansiranih iz budžeta EU, predstavlja osnovu za razvoj svake nacionalne strategije u borbi protiv prevara.</w:t>
      </w:r>
    </w:p>
    <w:p w:rsidR="00077669" w:rsidRPr="001302F9" w:rsidRDefault="005B3E65" w:rsidP="00EE65EF">
      <w:pPr>
        <w:spacing w:before="120" w:after="120" w:line="240" w:lineRule="auto"/>
        <w:jc w:val="both"/>
        <w:rPr>
          <w:rFonts w:ascii="Arial" w:hAnsi="Arial" w:cs="Arial"/>
          <w:bCs/>
          <w:lang w:val="sr-Latn-ME"/>
        </w:rPr>
      </w:pPr>
      <w:r w:rsidRPr="001302F9">
        <w:rPr>
          <w:rFonts w:ascii="Arial" w:hAnsi="Arial" w:cs="Arial"/>
          <w:bCs/>
          <w:lang w:val="sr-Latn-ME"/>
        </w:rPr>
        <w:t>U pripremnoj fazi nov</w:t>
      </w:r>
      <w:r w:rsidR="000904DD" w:rsidRPr="001302F9">
        <w:rPr>
          <w:rFonts w:ascii="Arial" w:hAnsi="Arial" w:cs="Arial"/>
          <w:bCs/>
          <w:lang w:val="sr-Latn-ME"/>
        </w:rPr>
        <w:t>e</w:t>
      </w:r>
      <w:r w:rsidRPr="001302F9">
        <w:rPr>
          <w:rFonts w:ascii="Arial" w:hAnsi="Arial" w:cs="Arial"/>
          <w:bCs/>
          <w:lang w:val="sr-Latn-ME"/>
        </w:rPr>
        <w:t xml:space="preserve"> S</w:t>
      </w:r>
      <w:r w:rsidR="000904DD" w:rsidRPr="001302F9">
        <w:rPr>
          <w:rFonts w:ascii="Arial" w:hAnsi="Arial" w:cs="Arial"/>
          <w:bCs/>
          <w:lang w:val="sr-Latn-ME"/>
        </w:rPr>
        <w:t>trategije</w:t>
      </w:r>
      <w:r w:rsidRPr="001302F9">
        <w:rPr>
          <w:rFonts w:ascii="Arial" w:hAnsi="Arial" w:cs="Arial"/>
          <w:bCs/>
          <w:lang w:val="sr-Latn-ME"/>
        </w:rPr>
        <w:t xml:space="preserve"> izvršena je </w:t>
      </w:r>
      <w:r w:rsidR="00921D43" w:rsidRPr="001302F9">
        <w:rPr>
          <w:rFonts w:ascii="Arial" w:hAnsi="Arial" w:cs="Arial"/>
          <w:bCs/>
          <w:lang w:val="sr-Latn-ME"/>
        </w:rPr>
        <w:t>A</w:t>
      </w:r>
      <w:r w:rsidRPr="001302F9">
        <w:rPr>
          <w:rFonts w:ascii="Arial" w:hAnsi="Arial" w:cs="Arial"/>
          <w:bCs/>
          <w:lang w:val="sr-Latn-ME"/>
        </w:rPr>
        <w:t>naliza rizika od prevara</w:t>
      </w:r>
      <w:r w:rsidR="00963D6C" w:rsidRPr="001302F9">
        <w:rPr>
          <w:rStyle w:val="FootnoteReference"/>
          <w:rFonts w:ascii="Arial" w:hAnsi="Arial" w:cs="Arial"/>
          <w:bCs/>
          <w:lang w:val="sr-Latn-ME"/>
        </w:rPr>
        <w:footnoteReference w:id="2"/>
      </w:r>
      <w:r w:rsidR="00963D6C" w:rsidRPr="001302F9">
        <w:rPr>
          <w:rFonts w:ascii="Arial" w:hAnsi="Arial" w:cs="Arial"/>
          <w:bCs/>
          <w:lang w:val="sr-Latn-ME"/>
        </w:rPr>
        <w:t xml:space="preserve"> </w:t>
      </w:r>
      <w:r w:rsidRPr="001302F9">
        <w:rPr>
          <w:rFonts w:ascii="Arial" w:hAnsi="Arial" w:cs="Arial"/>
          <w:bCs/>
          <w:lang w:val="sr-Latn-ME"/>
        </w:rPr>
        <w:t xml:space="preserve">koja daje uvid u efikasnost finansijskog sistema upravljanja i kontrole u </w:t>
      </w:r>
      <w:r w:rsidR="00347FA0" w:rsidRPr="00EE1E09">
        <w:rPr>
          <w:rFonts w:ascii="Arial" w:eastAsia="Times New Roman" w:hAnsi="Arial" w:cs="Arial"/>
          <w:lang w:val="sr-Latn-BA"/>
        </w:rPr>
        <w:t>struktura</w:t>
      </w:r>
      <w:r w:rsidR="00347FA0">
        <w:rPr>
          <w:rFonts w:ascii="Arial" w:eastAsia="Times New Roman" w:hAnsi="Arial" w:cs="Arial"/>
          <w:lang w:val="sr-Latn-BA"/>
        </w:rPr>
        <w:t>ma</w:t>
      </w:r>
      <w:r w:rsidR="00347FA0" w:rsidRPr="00EE1E09">
        <w:rPr>
          <w:rFonts w:ascii="Arial" w:eastAsia="Times New Roman" w:hAnsi="Arial" w:cs="Arial"/>
          <w:lang w:val="sr-Latn-BA"/>
        </w:rPr>
        <w:t xml:space="preserve"> za izvještavanje o nepravilnostima</w:t>
      </w:r>
      <w:r w:rsidR="00347FA0" w:rsidRPr="001302F9">
        <w:rPr>
          <w:rFonts w:ascii="Arial" w:hAnsi="Arial" w:cs="Arial"/>
          <w:bCs/>
          <w:lang w:val="sr-Latn-ME"/>
        </w:rPr>
        <w:t xml:space="preserve"> </w:t>
      </w:r>
      <w:r w:rsidRPr="001302F9">
        <w:rPr>
          <w:rFonts w:ascii="Arial" w:hAnsi="Arial" w:cs="Arial"/>
          <w:bCs/>
          <w:lang w:val="sr-Latn-ME"/>
        </w:rPr>
        <w:t>i identifikuje oblasti koje zahtijevaju dodatnu pažnju i korektivne mjere. Zasnovan</w:t>
      </w:r>
      <w:r w:rsidR="00A974C0" w:rsidRPr="001302F9">
        <w:rPr>
          <w:rFonts w:ascii="Arial" w:hAnsi="Arial" w:cs="Arial"/>
          <w:bCs/>
          <w:lang w:val="sr-Latn-ME"/>
        </w:rPr>
        <w:t>a</w:t>
      </w:r>
      <w:r w:rsidRPr="001302F9">
        <w:rPr>
          <w:rFonts w:ascii="Arial" w:hAnsi="Arial" w:cs="Arial"/>
          <w:bCs/>
          <w:lang w:val="sr-Latn-ME"/>
        </w:rPr>
        <w:t xml:space="preserve"> je na </w:t>
      </w:r>
      <w:r w:rsidR="00A974C0" w:rsidRPr="001302F9">
        <w:rPr>
          <w:rFonts w:ascii="Arial" w:hAnsi="Arial" w:cs="Arial"/>
          <w:bCs/>
          <w:lang w:val="sr-Latn-ME"/>
        </w:rPr>
        <w:t xml:space="preserve"> statističkoj analizi slučajeva prijavljenih putem IMS-a, kao i na </w:t>
      </w:r>
      <w:r w:rsidRPr="001302F9">
        <w:rPr>
          <w:rFonts w:ascii="Arial" w:hAnsi="Arial" w:cs="Arial"/>
          <w:bCs/>
          <w:lang w:val="sr-Latn-ME"/>
        </w:rPr>
        <w:t>samoprocjeni izloženosti rizicima od prevara koje vrše sve institucije u okviru AFCOS sistema koristeći objedinjeni alat razvijen u skladu sa smjernicama EK</w:t>
      </w:r>
      <w:r w:rsidR="001B6BA7" w:rsidRPr="001302F9">
        <w:rPr>
          <w:rStyle w:val="FootnoteReference"/>
          <w:rFonts w:ascii="Arial" w:hAnsi="Arial" w:cs="Arial"/>
          <w:bCs/>
          <w:lang w:val="sr-Latn-ME"/>
        </w:rPr>
        <w:footnoteReference w:id="3"/>
      </w:r>
      <w:r w:rsidR="004B231B" w:rsidRPr="001302F9">
        <w:rPr>
          <w:rFonts w:ascii="Arial" w:hAnsi="Arial" w:cs="Arial"/>
          <w:bCs/>
          <w:lang w:val="sr-Latn-ME"/>
        </w:rPr>
        <w:t>.</w:t>
      </w:r>
    </w:p>
    <w:p w:rsidR="005E4736" w:rsidRPr="001302F9" w:rsidRDefault="005B3E65" w:rsidP="00EE65EF">
      <w:pPr>
        <w:spacing w:before="120" w:after="120" w:line="240" w:lineRule="auto"/>
        <w:jc w:val="both"/>
        <w:rPr>
          <w:rFonts w:ascii="Arial" w:hAnsi="Arial" w:cs="Arial"/>
          <w:bCs/>
          <w:lang w:val="sr-Latn-ME"/>
        </w:rPr>
      </w:pPr>
      <w:r w:rsidRPr="001302F9">
        <w:rPr>
          <w:rFonts w:ascii="Arial" w:hAnsi="Arial" w:cs="Arial"/>
          <w:bCs/>
          <w:lang w:val="sr-Latn-ME"/>
        </w:rPr>
        <w:t xml:space="preserve">Procijenjeni su rizici od prevare za one poslovne procese implementacije EU fondova koji su najrizičniji sa stanovišta vršenja prevare – </w:t>
      </w:r>
      <w:r w:rsidR="00A974C0" w:rsidRPr="001302F9">
        <w:rPr>
          <w:rFonts w:ascii="Arial" w:hAnsi="Arial" w:cs="Arial"/>
          <w:bCs/>
          <w:lang w:val="sr-Latn-ME"/>
        </w:rPr>
        <w:t xml:space="preserve">to jest prilikom procesa </w:t>
      </w:r>
      <w:r w:rsidRPr="001302F9">
        <w:rPr>
          <w:rFonts w:ascii="Arial" w:hAnsi="Arial" w:cs="Arial"/>
          <w:bCs/>
          <w:lang w:val="sr-Latn-ME"/>
        </w:rPr>
        <w:t>gdje se donose finansijske odluke i gdje pojedinci imaju odlučujuću ulogu u donošenju odluka.</w:t>
      </w:r>
      <w:r w:rsidR="00883730" w:rsidRPr="001302F9">
        <w:rPr>
          <w:rFonts w:ascii="Arial" w:hAnsi="Arial" w:cs="Arial"/>
          <w:bCs/>
          <w:lang w:val="sr-Latn-ME"/>
        </w:rPr>
        <w:t xml:space="preserve"> </w:t>
      </w:r>
      <w:r w:rsidRPr="001302F9">
        <w:rPr>
          <w:rFonts w:ascii="Arial" w:hAnsi="Arial" w:cs="Arial"/>
          <w:bCs/>
          <w:lang w:val="sr-Latn-ME"/>
        </w:rPr>
        <w:t>Ovi poslovni procesi za IPA strukture su identifikovani kao:</w:t>
      </w:r>
    </w:p>
    <w:p w:rsidR="005E4736" w:rsidRPr="001302F9" w:rsidRDefault="005B3E65" w:rsidP="009B6B3B">
      <w:pPr>
        <w:pStyle w:val="ListParagraph"/>
        <w:numPr>
          <w:ilvl w:val="0"/>
          <w:numId w:val="6"/>
        </w:numPr>
        <w:spacing w:before="60" w:after="60" w:line="240" w:lineRule="auto"/>
        <w:ind w:left="714" w:hanging="357"/>
        <w:contextualSpacing w:val="0"/>
        <w:rPr>
          <w:rFonts w:cs="Arial"/>
          <w:bCs/>
          <w:sz w:val="22"/>
          <w:szCs w:val="22"/>
          <w:lang w:val="sr-Latn-ME"/>
        </w:rPr>
      </w:pPr>
      <w:r w:rsidRPr="001302F9">
        <w:rPr>
          <w:rFonts w:cs="Arial"/>
          <w:b/>
          <w:sz w:val="22"/>
          <w:szCs w:val="22"/>
          <w:lang w:val="sr-Latn-ME"/>
        </w:rPr>
        <w:t xml:space="preserve">selekcija projekata, </w:t>
      </w:r>
      <w:r w:rsidRPr="001302F9">
        <w:rPr>
          <w:rFonts w:cs="Arial"/>
          <w:sz w:val="22"/>
          <w:szCs w:val="22"/>
          <w:lang w:val="sr-Latn-ME"/>
        </w:rPr>
        <w:t xml:space="preserve">koja uključuje rangiranje projektnih prijava prema određenim kriterijumima i donošenje odluke o tome koji </w:t>
      </w:r>
      <w:r w:rsidR="00A974C0" w:rsidRPr="001302F9">
        <w:rPr>
          <w:rFonts w:cs="Arial"/>
          <w:sz w:val="22"/>
          <w:szCs w:val="22"/>
          <w:lang w:val="sr-Latn-ME"/>
        </w:rPr>
        <w:t>će</w:t>
      </w:r>
      <w:r w:rsidRPr="001302F9">
        <w:rPr>
          <w:rFonts w:cs="Arial"/>
          <w:sz w:val="22"/>
          <w:szCs w:val="22"/>
          <w:lang w:val="sr-Latn-ME"/>
        </w:rPr>
        <w:t>kandidati dobiti sredstva iz EU fondova</w:t>
      </w:r>
      <w:r w:rsidR="005E4736" w:rsidRPr="001302F9">
        <w:rPr>
          <w:rFonts w:cs="Arial"/>
          <w:bCs/>
          <w:sz w:val="22"/>
          <w:szCs w:val="22"/>
          <w:lang w:val="sr-Latn-ME"/>
        </w:rPr>
        <w:t>;</w:t>
      </w:r>
    </w:p>
    <w:p w:rsidR="0018162D" w:rsidRPr="001302F9" w:rsidRDefault="005B3E65" w:rsidP="009B6B3B">
      <w:pPr>
        <w:pStyle w:val="ListParagraph"/>
        <w:numPr>
          <w:ilvl w:val="0"/>
          <w:numId w:val="6"/>
        </w:numPr>
        <w:spacing w:before="60" w:after="60" w:line="240" w:lineRule="auto"/>
        <w:ind w:left="714" w:hanging="357"/>
        <w:contextualSpacing w:val="0"/>
        <w:rPr>
          <w:rFonts w:cs="Arial"/>
          <w:bCs/>
          <w:sz w:val="22"/>
          <w:szCs w:val="22"/>
          <w:lang w:val="sr-Latn-ME"/>
        </w:rPr>
      </w:pPr>
      <w:r w:rsidRPr="001302F9">
        <w:rPr>
          <w:rFonts w:cs="Arial"/>
          <w:b/>
          <w:sz w:val="22"/>
          <w:szCs w:val="22"/>
          <w:lang w:val="sr-Latn-ME"/>
        </w:rPr>
        <w:t xml:space="preserve">realizacija i verifikacija projekata, </w:t>
      </w:r>
      <w:r w:rsidRPr="001302F9">
        <w:rPr>
          <w:rFonts w:cs="Arial"/>
          <w:sz w:val="22"/>
          <w:szCs w:val="22"/>
          <w:lang w:val="sr-Latn-ME"/>
        </w:rPr>
        <w:t xml:space="preserve">sa posebnim akcentom na postupke javnih nabavki koje </w:t>
      </w:r>
      <w:r w:rsidR="008A1E8E" w:rsidRPr="001302F9">
        <w:rPr>
          <w:rFonts w:cs="Arial"/>
          <w:sz w:val="22"/>
          <w:szCs w:val="22"/>
          <w:lang w:val="sr-Latn-ME"/>
        </w:rPr>
        <w:t>s</w:t>
      </w:r>
      <w:r w:rsidRPr="001302F9">
        <w:rPr>
          <w:rFonts w:cs="Arial"/>
          <w:sz w:val="22"/>
          <w:szCs w:val="22"/>
          <w:lang w:val="sr-Latn-ME"/>
        </w:rPr>
        <w:t xml:space="preserve">provode korisnici grantova EU fondova i troškove radova koji se finansiraju iz </w:t>
      </w:r>
      <w:r w:rsidR="008A1E8E" w:rsidRPr="001302F9">
        <w:rPr>
          <w:rFonts w:cs="Arial"/>
          <w:sz w:val="22"/>
          <w:szCs w:val="22"/>
          <w:lang w:val="sr-Latn-ME"/>
        </w:rPr>
        <w:t xml:space="preserve">EU </w:t>
      </w:r>
      <w:r w:rsidRPr="001302F9">
        <w:rPr>
          <w:rFonts w:cs="Arial"/>
          <w:sz w:val="22"/>
          <w:szCs w:val="22"/>
          <w:lang w:val="sr-Latn-ME"/>
        </w:rPr>
        <w:t>fondova</w:t>
      </w:r>
      <w:r w:rsidR="00927793" w:rsidRPr="001302F9">
        <w:rPr>
          <w:rFonts w:cs="Arial"/>
          <w:bCs/>
          <w:sz w:val="22"/>
          <w:szCs w:val="22"/>
          <w:lang w:val="sr-Latn-ME"/>
        </w:rPr>
        <w:t>;</w:t>
      </w:r>
    </w:p>
    <w:p w:rsidR="00F33325" w:rsidRPr="001302F9" w:rsidRDefault="008A1E8E" w:rsidP="009B6B3B">
      <w:pPr>
        <w:pStyle w:val="ListParagraph"/>
        <w:numPr>
          <w:ilvl w:val="0"/>
          <w:numId w:val="6"/>
        </w:numPr>
        <w:spacing w:before="60" w:after="60" w:line="240" w:lineRule="auto"/>
        <w:ind w:left="714" w:hanging="357"/>
        <w:contextualSpacing w:val="0"/>
        <w:rPr>
          <w:rFonts w:cs="Arial"/>
          <w:b/>
          <w:sz w:val="22"/>
          <w:szCs w:val="22"/>
          <w:lang w:val="sr-Latn-ME"/>
        </w:rPr>
      </w:pPr>
      <w:r w:rsidRPr="001302F9">
        <w:rPr>
          <w:rFonts w:cs="Arial"/>
          <w:b/>
          <w:sz w:val="22"/>
          <w:szCs w:val="22"/>
          <w:lang w:val="sr-Latn-ME"/>
        </w:rPr>
        <w:t>sertifikacija</w:t>
      </w:r>
      <w:r w:rsidR="005B3E65" w:rsidRPr="001302F9">
        <w:rPr>
          <w:rFonts w:cs="Arial"/>
          <w:b/>
          <w:sz w:val="22"/>
          <w:szCs w:val="22"/>
          <w:lang w:val="sr-Latn-ME"/>
        </w:rPr>
        <w:t xml:space="preserve"> i plaćanje </w:t>
      </w:r>
      <w:r w:rsidR="005B3E65" w:rsidRPr="001302F9">
        <w:rPr>
          <w:rFonts w:cs="Arial"/>
          <w:sz w:val="22"/>
          <w:szCs w:val="22"/>
          <w:lang w:val="sr-Latn-ME"/>
        </w:rPr>
        <w:t>–</w:t>
      </w:r>
      <w:r w:rsidRPr="001302F9">
        <w:rPr>
          <w:rFonts w:cs="Arial"/>
          <w:sz w:val="22"/>
          <w:szCs w:val="22"/>
          <w:lang w:val="sr-Latn-ME"/>
        </w:rPr>
        <w:t xml:space="preserve"> proces </w:t>
      </w:r>
      <w:r w:rsidR="005B3E65" w:rsidRPr="001302F9">
        <w:rPr>
          <w:rFonts w:cs="Arial"/>
          <w:sz w:val="22"/>
          <w:szCs w:val="22"/>
          <w:lang w:val="sr-Latn-ME"/>
        </w:rPr>
        <w:t xml:space="preserve">provjere </w:t>
      </w:r>
      <w:r w:rsidRPr="001302F9">
        <w:rPr>
          <w:rFonts w:cs="Arial"/>
          <w:sz w:val="22"/>
          <w:szCs w:val="22"/>
          <w:lang w:val="sr-Latn-ME"/>
        </w:rPr>
        <w:t xml:space="preserve">koju vrši </w:t>
      </w:r>
      <w:r w:rsidR="005B3E65" w:rsidRPr="001302F9">
        <w:rPr>
          <w:rFonts w:cs="Arial"/>
          <w:sz w:val="22"/>
          <w:szCs w:val="22"/>
          <w:lang w:val="sr-Latn-ME"/>
        </w:rPr>
        <w:t>menadžment možda neće pružiti adekvatnu sigurnost da prevara nije počinjena</w:t>
      </w:r>
      <w:r w:rsidR="00632CF9" w:rsidRPr="001302F9">
        <w:rPr>
          <w:rFonts w:cs="Arial"/>
          <w:bCs/>
          <w:sz w:val="22"/>
          <w:szCs w:val="22"/>
          <w:lang w:val="sr-Latn-ME"/>
        </w:rPr>
        <w:t>;</w:t>
      </w:r>
    </w:p>
    <w:p w:rsidR="00056FA6" w:rsidRPr="001302F9" w:rsidRDefault="005B3E65" w:rsidP="009B6B3B">
      <w:pPr>
        <w:pStyle w:val="ListParagraph"/>
        <w:numPr>
          <w:ilvl w:val="0"/>
          <w:numId w:val="6"/>
        </w:numPr>
        <w:spacing w:before="60" w:after="60" w:line="240" w:lineRule="auto"/>
        <w:ind w:left="714" w:hanging="357"/>
        <w:contextualSpacing w:val="0"/>
        <w:rPr>
          <w:rFonts w:cs="Arial"/>
          <w:bCs/>
          <w:sz w:val="22"/>
          <w:szCs w:val="22"/>
          <w:lang w:val="sr-Latn-ME"/>
        </w:rPr>
      </w:pPr>
      <w:r w:rsidRPr="001302F9">
        <w:rPr>
          <w:rFonts w:cs="Arial"/>
          <w:b/>
          <w:sz w:val="22"/>
          <w:szCs w:val="22"/>
          <w:lang w:val="sr-Latn-ME"/>
        </w:rPr>
        <w:t xml:space="preserve">direktna nabavka – </w:t>
      </w:r>
      <w:r w:rsidRPr="001302F9">
        <w:rPr>
          <w:rFonts w:cs="Arial"/>
          <w:sz w:val="22"/>
          <w:szCs w:val="22"/>
          <w:lang w:val="sr-Latn-ME"/>
        </w:rPr>
        <w:t xml:space="preserve">nabavka finansirana sredstvima EU koja se sprovodi za potrebe </w:t>
      </w:r>
      <w:r w:rsidR="008A1E8E" w:rsidRPr="001302F9">
        <w:rPr>
          <w:rFonts w:cs="Arial"/>
          <w:sz w:val="22"/>
          <w:szCs w:val="22"/>
          <w:lang w:val="sr-Latn-ME"/>
        </w:rPr>
        <w:t>tijela</w:t>
      </w:r>
      <w:r w:rsidRPr="001302F9">
        <w:rPr>
          <w:rFonts w:cs="Arial"/>
          <w:sz w:val="22"/>
          <w:szCs w:val="22"/>
          <w:lang w:val="sr-Latn-ME"/>
        </w:rPr>
        <w:t xml:space="preserve"> sistema upravljanja i kontrole</w:t>
      </w:r>
      <w:r w:rsidR="002B4262" w:rsidRPr="001302F9">
        <w:rPr>
          <w:rFonts w:cs="Arial"/>
          <w:bCs/>
          <w:sz w:val="22"/>
          <w:szCs w:val="22"/>
          <w:lang w:val="sr-Latn-ME"/>
        </w:rPr>
        <w:t>.</w:t>
      </w:r>
    </w:p>
    <w:p w:rsidR="005B3E65" w:rsidRPr="001302F9" w:rsidRDefault="00347FA0" w:rsidP="00EE65EF">
      <w:pPr>
        <w:spacing w:before="120" w:after="120" w:line="240" w:lineRule="auto"/>
        <w:jc w:val="both"/>
        <w:rPr>
          <w:rFonts w:ascii="Arial" w:hAnsi="Arial" w:cs="Arial"/>
          <w:bCs/>
          <w:lang w:val="sr-Latn-ME"/>
        </w:rPr>
      </w:pPr>
      <w:r>
        <w:rPr>
          <w:rFonts w:ascii="Arial" w:hAnsi="Arial" w:cs="Arial"/>
          <w:bCs/>
          <w:lang w:val="sr-Latn-ME"/>
        </w:rPr>
        <w:t>Institucije sistema zadužene za borbu protiv prevara</w:t>
      </w:r>
      <w:r w:rsidR="007F046D">
        <w:rPr>
          <w:rFonts w:ascii="Arial" w:hAnsi="Arial" w:cs="Arial"/>
          <w:bCs/>
          <w:lang w:val="sr-Latn-ME"/>
        </w:rPr>
        <w:t>, korupcije</w:t>
      </w:r>
      <w:r>
        <w:rPr>
          <w:rFonts w:ascii="Arial" w:hAnsi="Arial" w:cs="Arial"/>
          <w:bCs/>
          <w:lang w:val="sr-Latn-ME"/>
        </w:rPr>
        <w:t xml:space="preserve"> i drugih oblika</w:t>
      </w:r>
      <w:r w:rsidR="00991A22">
        <w:rPr>
          <w:rFonts w:ascii="Arial" w:hAnsi="Arial" w:cs="Arial"/>
          <w:bCs/>
          <w:lang w:val="sr-Latn-ME"/>
        </w:rPr>
        <w:t xml:space="preserve"> </w:t>
      </w:r>
      <w:r>
        <w:rPr>
          <w:rFonts w:ascii="Arial" w:hAnsi="Arial" w:cs="Arial"/>
          <w:bCs/>
          <w:lang w:val="sr-Latn-ME"/>
        </w:rPr>
        <w:t xml:space="preserve">nezakonitih aktivnosti </w:t>
      </w:r>
      <w:r w:rsidR="005B3E65" w:rsidRPr="001302F9">
        <w:rPr>
          <w:rFonts w:ascii="Arial" w:hAnsi="Arial" w:cs="Arial"/>
          <w:bCs/>
          <w:lang w:val="sr-Latn-ME"/>
        </w:rPr>
        <w:t xml:space="preserve"> </w:t>
      </w:r>
      <w:r w:rsidR="001302F9">
        <w:rPr>
          <w:rFonts w:ascii="Arial" w:hAnsi="Arial" w:cs="Arial"/>
          <w:bCs/>
          <w:lang w:val="sr-Latn-ME"/>
        </w:rPr>
        <w:t xml:space="preserve">(AFCOS mreža) </w:t>
      </w:r>
      <w:r w:rsidR="005B3E65" w:rsidRPr="001302F9">
        <w:rPr>
          <w:rFonts w:ascii="Arial" w:hAnsi="Arial" w:cs="Arial"/>
          <w:bCs/>
          <w:lang w:val="sr-Latn-ME"/>
        </w:rPr>
        <w:t xml:space="preserve">izvršila je procjenu rizika od prevara u okviru </w:t>
      </w:r>
      <w:r w:rsidR="001302F9">
        <w:rPr>
          <w:rFonts w:ascii="Arial" w:hAnsi="Arial" w:cs="Arial"/>
          <w:bCs/>
          <w:lang w:val="sr-Latn-ME"/>
        </w:rPr>
        <w:t>s</w:t>
      </w:r>
      <w:r w:rsidR="005B3E65" w:rsidRPr="001302F9">
        <w:rPr>
          <w:rFonts w:ascii="Arial" w:hAnsi="Arial" w:cs="Arial"/>
          <w:bCs/>
          <w:lang w:val="sr-Latn-ME"/>
        </w:rPr>
        <w:t>istemskog alata za procjenu rizika. Ovaj alat sadrži unapr</w:t>
      </w:r>
      <w:r w:rsidR="001302F9">
        <w:rPr>
          <w:rFonts w:ascii="Arial" w:hAnsi="Arial" w:cs="Arial"/>
          <w:bCs/>
          <w:lang w:val="sr-Latn-ME"/>
        </w:rPr>
        <w:t>ij</w:t>
      </w:r>
      <w:r w:rsidR="005B3E65" w:rsidRPr="001302F9">
        <w:rPr>
          <w:rFonts w:ascii="Arial" w:hAnsi="Arial" w:cs="Arial"/>
          <w:bCs/>
          <w:lang w:val="sr-Latn-ME"/>
        </w:rPr>
        <w:t xml:space="preserve">ed identifikovane </w:t>
      </w:r>
      <w:r w:rsidR="001302F9" w:rsidRPr="001302F9">
        <w:rPr>
          <w:rFonts w:ascii="Arial" w:hAnsi="Arial" w:cs="Arial"/>
          <w:bCs/>
          <w:lang w:val="sr-Latn-ME"/>
        </w:rPr>
        <w:t xml:space="preserve">najčešće </w:t>
      </w:r>
      <w:r w:rsidR="005B3E65" w:rsidRPr="001302F9">
        <w:rPr>
          <w:rFonts w:ascii="Arial" w:hAnsi="Arial" w:cs="Arial"/>
          <w:bCs/>
          <w:lang w:val="sr-Latn-ME"/>
        </w:rPr>
        <w:t>rizike, strukturisane prema fazama</w:t>
      </w:r>
      <w:r w:rsidR="00C46202">
        <w:rPr>
          <w:rFonts w:ascii="Arial" w:hAnsi="Arial" w:cs="Arial"/>
          <w:bCs/>
          <w:lang w:val="sr-Latn-ME"/>
        </w:rPr>
        <w:t xml:space="preserve"> </w:t>
      </w:r>
      <w:r w:rsidR="005B3E65" w:rsidRPr="001302F9">
        <w:rPr>
          <w:rFonts w:ascii="Arial" w:hAnsi="Arial" w:cs="Arial"/>
          <w:bCs/>
          <w:lang w:val="sr-Latn-ME"/>
        </w:rPr>
        <w:t>ciklusa upravljanja nepravilnostima – prevencija</w:t>
      </w:r>
      <w:r w:rsidR="00C46202">
        <w:rPr>
          <w:rFonts w:ascii="Arial" w:hAnsi="Arial" w:cs="Arial"/>
          <w:bCs/>
          <w:lang w:val="sr-Latn-ME"/>
        </w:rPr>
        <w:t>,</w:t>
      </w:r>
      <w:r w:rsidR="005B3E65" w:rsidRPr="001302F9">
        <w:rPr>
          <w:rFonts w:ascii="Arial" w:hAnsi="Arial" w:cs="Arial"/>
          <w:bCs/>
          <w:lang w:val="sr-Latn-ME"/>
        </w:rPr>
        <w:t xml:space="preserve">otkrivanje, postupanje, prijavljivanje, sankcionisanje i </w:t>
      </w:r>
      <w:r w:rsidR="00C46202">
        <w:rPr>
          <w:rFonts w:ascii="Arial" w:hAnsi="Arial" w:cs="Arial"/>
          <w:bCs/>
          <w:lang w:val="sr-Latn-ME"/>
        </w:rPr>
        <w:t>povraćaj</w:t>
      </w:r>
      <w:r w:rsidR="005B3E65" w:rsidRPr="001302F9">
        <w:rPr>
          <w:rFonts w:ascii="Arial" w:hAnsi="Arial" w:cs="Arial"/>
          <w:bCs/>
          <w:lang w:val="sr-Latn-ME"/>
        </w:rPr>
        <w:t>. Njihov zadatak je bio da identifikuju sistemske rizike, izvještavaju o sprovedenim kontrolama za njihovo ublažavanje i predlažu dodatne kontrole za dalje smanjenje preostal</w:t>
      </w:r>
      <w:r w:rsidR="00C46202">
        <w:rPr>
          <w:rFonts w:ascii="Arial" w:hAnsi="Arial" w:cs="Arial"/>
          <w:bCs/>
          <w:lang w:val="sr-Latn-ME"/>
        </w:rPr>
        <w:t>ih (rezidualnih)</w:t>
      </w:r>
      <w:r w:rsidR="005B3E65" w:rsidRPr="001302F9">
        <w:rPr>
          <w:rFonts w:ascii="Arial" w:hAnsi="Arial" w:cs="Arial"/>
          <w:bCs/>
          <w:lang w:val="sr-Latn-ME"/>
        </w:rPr>
        <w:t xml:space="preserve"> rizika.</w:t>
      </w:r>
    </w:p>
    <w:p w:rsidR="005B3E65" w:rsidRDefault="00C46202" w:rsidP="00534772">
      <w:pPr>
        <w:spacing w:before="120" w:after="60" w:line="240" w:lineRule="auto"/>
        <w:jc w:val="both"/>
        <w:rPr>
          <w:rFonts w:ascii="Arial" w:hAnsi="Arial" w:cs="Arial"/>
          <w:bCs/>
          <w:lang w:val="sr-Latn-ME"/>
        </w:rPr>
      </w:pPr>
      <w:r>
        <w:rPr>
          <w:rFonts w:ascii="Arial" w:hAnsi="Arial" w:cs="Arial"/>
          <w:bCs/>
          <w:lang w:val="sr-Latn-ME"/>
        </w:rPr>
        <w:t xml:space="preserve">Analiza rizika </w:t>
      </w:r>
      <w:r w:rsidR="005B3E65" w:rsidRPr="001302F9">
        <w:rPr>
          <w:rFonts w:ascii="Arial" w:hAnsi="Arial" w:cs="Arial"/>
          <w:bCs/>
          <w:lang w:val="sr-Latn-ME"/>
        </w:rPr>
        <w:t xml:space="preserve">je usvojena odlukom Vlade Crne Gore u julu 2024. godine i služi kao osnova za razvoj </w:t>
      </w:r>
      <w:r>
        <w:rPr>
          <w:rFonts w:ascii="Arial" w:hAnsi="Arial" w:cs="Arial"/>
          <w:bCs/>
          <w:lang w:val="sr-Latn-ME"/>
        </w:rPr>
        <w:t>ove Strategije</w:t>
      </w:r>
      <w:r w:rsidR="005B3E65" w:rsidRPr="001302F9">
        <w:rPr>
          <w:rFonts w:ascii="Arial" w:hAnsi="Arial" w:cs="Arial"/>
          <w:bCs/>
          <w:lang w:val="sr-Latn-ME"/>
        </w:rPr>
        <w:t xml:space="preserve"> sa prilagođenim, specifičnim i ciljanim</w:t>
      </w:r>
      <w:r>
        <w:rPr>
          <w:rFonts w:ascii="Arial" w:hAnsi="Arial" w:cs="Arial"/>
          <w:bCs/>
          <w:lang w:val="sr-Latn-ME"/>
        </w:rPr>
        <w:t>,</w:t>
      </w:r>
      <w:r w:rsidR="005B3E65" w:rsidRPr="001302F9">
        <w:rPr>
          <w:rFonts w:ascii="Arial" w:hAnsi="Arial" w:cs="Arial"/>
          <w:bCs/>
          <w:lang w:val="sr-Latn-ME"/>
        </w:rPr>
        <w:t xml:space="preserve"> akcijama u oblasti zaštite finansijskih interesa EU.</w:t>
      </w:r>
    </w:p>
    <w:p w:rsidR="00C46202" w:rsidRPr="001302F9" w:rsidRDefault="00C46202" w:rsidP="00534772">
      <w:pPr>
        <w:spacing w:before="120" w:after="60" w:line="240" w:lineRule="auto"/>
        <w:jc w:val="both"/>
        <w:rPr>
          <w:rFonts w:ascii="Arial" w:hAnsi="Arial" w:cs="Arial"/>
          <w:bCs/>
          <w:lang w:val="sr-Latn-ME"/>
        </w:rPr>
      </w:pPr>
    </w:p>
    <w:p w:rsidR="00B572FA" w:rsidRPr="001302F9" w:rsidRDefault="005B3E65" w:rsidP="00534772">
      <w:pPr>
        <w:spacing w:before="120" w:after="60" w:line="240" w:lineRule="auto"/>
        <w:jc w:val="both"/>
        <w:rPr>
          <w:rFonts w:ascii="Arial" w:hAnsi="Arial" w:cs="Arial"/>
          <w:bCs/>
          <w:lang w:val="sr-Latn-ME"/>
        </w:rPr>
      </w:pPr>
      <w:r w:rsidRPr="001302F9">
        <w:rPr>
          <w:rFonts w:ascii="Arial" w:hAnsi="Arial" w:cs="Arial"/>
          <w:b/>
          <w:lang w:val="sr-Latn-ME"/>
        </w:rPr>
        <w:t xml:space="preserve">Glavni identifikovani rizici i preporučene </w:t>
      </w:r>
      <w:r w:rsidR="00FC1277">
        <w:rPr>
          <w:rFonts w:ascii="Arial" w:hAnsi="Arial" w:cs="Arial"/>
          <w:b/>
          <w:lang w:val="sr-Latn-ME"/>
        </w:rPr>
        <w:t>mjere</w:t>
      </w:r>
      <w:r w:rsidRPr="001302F9">
        <w:rPr>
          <w:rFonts w:ascii="Arial" w:hAnsi="Arial" w:cs="Arial"/>
          <w:b/>
          <w:lang w:val="sr-Latn-ME"/>
        </w:rPr>
        <w:t xml:space="preserve"> za nov</w:t>
      </w:r>
      <w:r w:rsidR="00FC1277">
        <w:rPr>
          <w:rFonts w:ascii="Arial" w:hAnsi="Arial" w:cs="Arial"/>
          <w:b/>
          <w:lang w:val="sr-Latn-ME"/>
        </w:rPr>
        <w:t>u</w:t>
      </w:r>
      <w:r w:rsidRPr="001302F9">
        <w:rPr>
          <w:rFonts w:ascii="Arial" w:hAnsi="Arial" w:cs="Arial"/>
          <w:b/>
          <w:lang w:val="sr-Latn-ME"/>
        </w:rPr>
        <w:t xml:space="preserve"> </w:t>
      </w:r>
      <w:r w:rsidR="00F7528C" w:rsidRPr="001302F9">
        <w:rPr>
          <w:rFonts w:ascii="Arial" w:hAnsi="Arial" w:cs="Arial"/>
          <w:b/>
          <w:lang w:val="sr-Latn-ME"/>
        </w:rPr>
        <w:t>Strategij</w:t>
      </w:r>
      <w:r w:rsidR="00FC1277">
        <w:rPr>
          <w:rFonts w:ascii="Arial" w:hAnsi="Arial" w:cs="Arial"/>
          <w:b/>
          <w:lang w:val="sr-Latn-ME"/>
        </w:rPr>
        <w:t>u</w:t>
      </w:r>
      <w:r w:rsidRPr="001302F9">
        <w:rPr>
          <w:rFonts w:ascii="Arial" w:hAnsi="Arial" w:cs="Arial"/>
          <w:b/>
          <w:lang w:val="sr-Latn-ME"/>
        </w:rPr>
        <w:t xml:space="preserve"> </w:t>
      </w:r>
      <w:r w:rsidR="00FC1277">
        <w:rPr>
          <w:rFonts w:ascii="Arial" w:hAnsi="Arial" w:cs="Arial"/>
          <w:b/>
          <w:lang w:val="sr-Latn-ME"/>
        </w:rPr>
        <w:t>su</w:t>
      </w:r>
      <w:r w:rsidR="00B572FA" w:rsidRPr="001302F9">
        <w:rPr>
          <w:rFonts w:ascii="Arial" w:hAnsi="Arial" w:cs="Arial"/>
          <w:bCs/>
          <w:lang w:val="sr-Latn-ME"/>
        </w:rPr>
        <w:t>:</w:t>
      </w:r>
    </w:p>
    <w:p w:rsidR="00B95E30" w:rsidRPr="001302F9" w:rsidRDefault="005B3E65" w:rsidP="009B6B3B">
      <w:pPr>
        <w:pStyle w:val="ListParagraph"/>
        <w:numPr>
          <w:ilvl w:val="0"/>
          <w:numId w:val="7"/>
        </w:numPr>
        <w:spacing w:before="60" w:after="60" w:line="240" w:lineRule="auto"/>
        <w:ind w:left="567" w:hanging="283"/>
        <w:contextualSpacing w:val="0"/>
        <w:rPr>
          <w:rFonts w:cs="Arial"/>
          <w:bCs/>
          <w:sz w:val="22"/>
          <w:szCs w:val="22"/>
          <w:lang w:val="sr-Latn-ME"/>
        </w:rPr>
      </w:pPr>
      <w:r w:rsidRPr="001302F9">
        <w:rPr>
          <w:rFonts w:cs="Arial"/>
          <w:bCs/>
          <w:sz w:val="22"/>
          <w:szCs w:val="22"/>
          <w:lang w:val="sr-Latn-ME"/>
        </w:rPr>
        <w:t>Ljudski resursi</w:t>
      </w:r>
    </w:p>
    <w:p w:rsidR="003D66C6" w:rsidRDefault="003D66C6" w:rsidP="009B6B3B">
      <w:pPr>
        <w:pStyle w:val="ListParagraph"/>
        <w:numPr>
          <w:ilvl w:val="0"/>
          <w:numId w:val="25"/>
        </w:numPr>
        <w:spacing w:before="60" w:after="60" w:line="240" w:lineRule="auto"/>
        <w:contextualSpacing w:val="0"/>
        <w:rPr>
          <w:rFonts w:cs="Arial"/>
          <w:bCs/>
          <w:sz w:val="22"/>
          <w:szCs w:val="22"/>
          <w:lang w:val="sr-Latn-ME"/>
        </w:rPr>
      </w:pPr>
      <w:r w:rsidRPr="001302F9">
        <w:rPr>
          <w:rFonts w:cs="Arial"/>
          <w:bCs/>
          <w:sz w:val="22"/>
          <w:szCs w:val="22"/>
          <w:lang w:val="sr-Latn-ME"/>
        </w:rPr>
        <w:t xml:space="preserve">Neadekvatno planiranje i odlasci zaposlenih na bolje </w:t>
      </w:r>
      <w:r w:rsidR="00FC1277">
        <w:rPr>
          <w:rFonts w:cs="Arial"/>
          <w:bCs/>
          <w:sz w:val="22"/>
          <w:szCs w:val="22"/>
          <w:lang w:val="sr-Latn-ME"/>
        </w:rPr>
        <w:t xml:space="preserve">plaćene </w:t>
      </w:r>
      <w:r w:rsidRPr="001302F9">
        <w:rPr>
          <w:rFonts w:cs="Arial"/>
          <w:bCs/>
          <w:sz w:val="22"/>
          <w:szCs w:val="22"/>
          <w:lang w:val="sr-Latn-ME"/>
        </w:rPr>
        <w:t xml:space="preserve">poslove mogu dovesti do preopterećenja postojećih zaposlenih, </w:t>
      </w:r>
      <w:r w:rsidR="00FC1277">
        <w:rPr>
          <w:rFonts w:cs="Arial"/>
          <w:bCs/>
          <w:sz w:val="22"/>
          <w:szCs w:val="22"/>
          <w:lang w:val="sr-Latn-ME"/>
        </w:rPr>
        <w:t xml:space="preserve">kao i </w:t>
      </w:r>
      <w:r w:rsidRPr="001302F9">
        <w:rPr>
          <w:rFonts w:cs="Arial"/>
          <w:bCs/>
          <w:sz w:val="22"/>
          <w:szCs w:val="22"/>
          <w:lang w:val="sr-Latn-ME"/>
        </w:rPr>
        <w:t>kašnjenja i grešaka u procesu upravljanja nepravilnostima</w:t>
      </w:r>
      <w:r w:rsidR="000A3BA9">
        <w:rPr>
          <w:rFonts w:cs="Arial"/>
          <w:bCs/>
          <w:sz w:val="22"/>
          <w:szCs w:val="22"/>
          <w:lang w:val="sr-Latn-ME"/>
        </w:rPr>
        <w:t>;</w:t>
      </w:r>
    </w:p>
    <w:p w:rsidR="00471F30" w:rsidRPr="00471F30" w:rsidRDefault="00471F30" w:rsidP="009B6B3B">
      <w:pPr>
        <w:pStyle w:val="ListParagraph"/>
        <w:numPr>
          <w:ilvl w:val="0"/>
          <w:numId w:val="25"/>
        </w:numPr>
        <w:rPr>
          <w:rFonts w:cs="Arial"/>
          <w:bCs/>
          <w:sz w:val="22"/>
          <w:szCs w:val="22"/>
          <w:lang w:val="sr-Latn-ME"/>
        </w:rPr>
      </w:pPr>
      <w:r w:rsidRPr="00471F30">
        <w:rPr>
          <w:rFonts w:cs="Arial"/>
          <w:bCs/>
          <w:sz w:val="22"/>
          <w:szCs w:val="22"/>
          <w:lang w:val="sr-Latn-ME"/>
        </w:rPr>
        <w:t>Neotkrivanje i nepravilna klasifikacija nepravilnosti zbog nepoznavanja propisa, nedostatka iskustva i smanjene saradnje među službenicima</w:t>
      </w:r>
    </w:p>
    <w:p w:rsidR="008B3EFE" w:rsidRPr="001302F9" w:rsidRDefault="003D66C6" w:rsidP="009B6B3B">
      <w:pPr>
        <w:pStyle w:val="ListParagraph"/>
        <w:numPr>
          <w:ilvl w:val="0"/>
          <w:numId w:val="26"/>
        </w:numPr>
        <w:spacing w:before="60" w:after="60" w:line="240" w:lineRule="auto"/>
        <w:contextualSpacing w:val="0"/>
        <w:rPr>
          <w:rFonts w:cs="Arial"/>
          <w:bCs/>
          <w:sz w:val="22"/>
          <w:szCs w:val="22"/>
          <w:lang w:val="sr-Latn-ME"/>
        </w:rPr>
      </w:pPr>
      <w:r w:rsidRPr="001302F9">
        <w:rPr>
          <w:rFonts w:cs="Arial"/>
          <w:bCs/>
          <w:sz w:val="22"/>
          <w:szCs w:val="22"/>
          <w:lang w:val="sr-Latn-ME"/>
        </w:rPr>
        <w:t>Izrada procjene potrebnih kadrova, popunjavanje upražnjenih radnih mjesta i usvajanje Strategije razvoja ljudskih resursa na institucionalnom nivou, te podizanje svijesti i obuka o nepravilnostima u cijelom sistemu zaštite finansijskih interesa EU</w:t>
      </w:r>
      <w:r w:rsidR="00B91772" w:rsidRPr="001302F9">
        <w:rPr>
          <w:rFonts w:cs="Arial"/>
          <w:bCs/>
          <w:sz w:val="22"/>
          <w:szCs w:val="22"/>
          <w:lang w:val="sr-Latn-ME"/>
        </w:rPr>
        <w:t>;</w:t>
      </w:r>
    </w:p>
    <w:p w:rsidR="003D66C6" w:rsidRPr="001302F9" w:rsidRDefault="003D66C6" w:rsidP="009B6B3B">
      <w:pPr>
        <w:pStyle w:val="ListParagraph"/>
        <w:numPr>
          <w:ilvl w:val="0"/>
          <w:numId w:val="26"/>
        </w:numPr>
        <w:spacing w:before="60" w:after="60" w:line="240" w:lineRule="auto"/>
        <w:contextualSpacing w:val="0"/>
        <w:rPr>
          <w:rFonts w:cs="Arial"/>
          <w:bCs/>
          <w:sz w:val="22"/>
          <w:szCs w:val="22"/>
          <w:lang w:val="sr-Latn-ME"/>
        </w:rPr>
      </w:pPr>
      <w:r w:rsidRPr="001302F9">
        <w:rPr>
          <w:rFonts w:cs="Arial"/>
          <w:bCs/>
          <w:sz w:val="22"/>
          <w:szCs w:val="22"/>
          <w:lang w:val="sr-Latn-ME"/>
        </w:rPr>
        <w:t>Kreira</w:t>
      </w:r>
      <w:r w:rsidR="00FC1277">
        <w:rPr>
          <w:rFonts w:cs="Arial"/>
          <w:bCs/>
          <w:sz w:val="22"/>
          <w:szCs w:val="22"/>
          <w:lang w:val="sr-Latn-ME"/>
        </w:rPr>
        <w:t>nje</w:t>
      </w:r>
      <w:r w:rsidRPr="001302F9">
        <w:rPr>
          <w:rFonts w:cs="Arial"/>
          <w:bCs/>
          <w:sz w:val="22"/>
          <w:szCs w:val="22"/>
          <w:lang w:val="sr-Latn-ME"/>
        </w:rPr>
        <w:t xml:space="preserve"> nov</w:t>
      </w:r>
      <w:r w:rsidR="00FC1277">
        <w:rPr>
          <w:rFonts w:cs="Arial"/>
          <w:bCs/>
          <w:sz w:val="22"/>
          <w:szCs w:val="22"/>
          <w:lang w:val="sr-Latn-ME"/>
        </w:rPr>
        <w:t>og</w:t>
      </w:r>
      <w:r w:rsidRPr="001302F9">
        <w:rPr>
          <w:rFonts w:cs="Arial"/>
          <w:bCs/>
          <w:sz w:val="22"/>
          <w:szCs w:val="22"/>
          <w:lang w:val="sr-Latn-ME"/>
        </w:rPr>
        <w:t xml:space="preserve"> Katalog</w:t>
      </w:r>
      <w:r w:rsidR="00FC1277">
        <w:rPr>
          <w:rFonts w:cs="Arial"/>
          <w:bCs/>
          <w:sz w:val="22"/>
          <w:szCs w:val="22"/>
          <w:lang w:val="sr-Latn-ME"/>
        </w:rPr>
        <w:t>a i</w:t>
      </w:r>
      <w:r w:rsidRPr="001302F9">
        <w:rPr>
          <w:rFonts w:cs="Arial"/>
          <w:bCs/>
          <w:sz w:val="22"/>
          <w:szCs w:val="22"/>
          <w:lang w:val="sr-Latn-ME"/>
        </w:rPr>
        <w:t xml:space="preserve"> </w:t>
      </w:r>
      <w:r w:rsidR="00FC1277" w:rsidRPr="001302F9">
        <w:rPr>
          <w:rFonts w:cs="Arial"/>
          <w:bCs/>
          <w:sz w:val="22"/>
          <w:szCs w:val="22"/>
          <w:lang w:val="sr-Latn-ME"/>
        </w:rPr>
        <w:t>Plan</w:t>
      </w:r>
      <w:r w:rsidR="00FC1277">
        <w:rPr>
          <w:rFonts w:cs="Arial"/>
          <w:bCs/>
          <w:sz w:val="22"/>
          <w:szCs w:val="22"/>
          <w:lang w:val="sr-Latn-ME"/>
        </w:rPr>
        <w:t>a</w:t>
      </w:r>
      <w:r w:rsidR="00FC1277" w:rsidRPr="001302F9">
        <w:rPr>
          <w:rFonts w:cs="Arial"/>
          <w:bCs/>
          <w:sz w:val="22"/>
          <w:szCs w:val="22"/>
          <w:lang w:val="sr-Latn-ME"/>
        </w:rPr>
        <w:t xml:space="preserve"> </w:t>
      </w:r>
      <w:r w:rsidRPr="001302F9">
        <w:rPr>
          <w:rFonts w:cs="Arial"/>
          <w:bCs/>
          <w:sz w:val="22"/>
          <w:szCs w:val="22"/>
          <w:lang w:val="sr-Latn-ME"/>
        </w:rPr>
        <w:t>obuk</w:t>
      </w:r>
      <w:r w:rsidR="00FC1277">
        <w:rPr>
          <w:rFonts w:cs="Arial"/>
          <w:bCs/>
          <w:sz w:val="22"/>
          <w:szCs w:val="22"/>
          <w:lang w:val="sr-Latn-ME"/>
        </w:rPr>
        <w:t>a</w:t>
      </w:r>
      <w:r w:rsidRPr="001302F9">
        <w:rPr>
          <w:rFonts w:cs="Arial"/>
          <w:bCs/>
          <w:sz w:val="22"/>
          <w:szCs w:val="22"/>
          <w:lang w:val="sr-Latn-ME"/>
        </w:rPr>
        <w:t xml:space="preserve">. Direkcija za upravljanje ljudskim resursima, u saradnji sa </w:t>
      </w:r>
      <w:r w:rsidR="00FC1277">
        <w:rPr>
          <w:rFonts w:cs="Arial"/>
          <w:bCs/>
          <w:sz w:val="22"/>
          <w:szCs w:val="22"/>
          <w:lang w:val="sr-Latn-ME"/>
        </w:rPr>
        <w:t>Direkcijom za zaštitu finansijskih interesa EU</w:t>
      </w:r>
      <w:r w:rsidR="000A3BA9">
        <w:rPr>
          <w:rFonts w:cs="Arial"/>
          <w:bCs/>
          <w:sz w:val="22"/>
          <w:szCs w:val="22"/>
          <w:lang w:val="sr-Latn-ME"/>
        </w:rPr>
        <w:t>/AFCOS</w:t>
      </w:r>
      <w:r w:rsidRPr="001302F9">
        <w:rPr>
          <w:rFonts w:cs="Arial"/>
          <w:bCs/>
          <w:sz w:val="22"/>
          <w:szCs w:val="22"/>
          <w:lang w:val="sr-Latn-ME"/>
        </w:rPr>
        <w:t xml:space="preserve">, treba da uključi modul obuke o prevarama i nepravilnostima koje se javljaju tokom realizacije IPA projekata, korišćenju IMS-a, upravljanju rizikom od prevara i drugim </w:t>
      </w:r>
      <w:r w:rsidR="00730DB2">
        <w:rPr>
          <w:rFonts w:cs="Arial"/>
          <w:bCs/>
          <w:sz w:val="22"/>
          <w:szCs w:val="22"/>
          <w:lang w:val="sr-Latn-ME"/>
        </w:rPr>
        <w:t xml:space="preserve">korisnim </w:t>
      </w:r>
      <w:r w:rsidRPr="001302F9">
        <w:rPr>
          <w:rFonts w:cs="Arial"/>
          <w:bCs/>
          <w:sz w:val="22"/>
          <w:szCs w:val="22"/>
          <w:lang w:val="sr-Latn-ME"/>
        </w:rPr>
        <w:t>temama</w:t>
      </w:r>
      <w:r w:rsidR="00730DB2">
        <w:rPr>
          <w:rFonts w:cs="Arial"/>
          <w:bCs/>
          <w:sz w:val="22"/>
          <w:szCs w:val="22"/>
          <w:lang w:val="sr-Latn-ME"/>
        </w:rPr>
        <w:t xml:space="preserve"> iz ove oblasti</w:t>
      </w:r>
      <w:r w:rsidRPr="001302F9">
        <w:rPr>
          <w:rFonts w:cs="Arial"/>
          <w:bCs/>
          <w:sz w:val="22"/>
          <w:szCs w:val="22"/>
          <w:lang w:val="sr-Latn-ME"/>
        </w:rPr>
        <w:t>.</w:t>
      </w:r>
    </w:p>
    <w:p w:rsidR="00395E5A" w:rsidRPr="001302F9" w:rsidRDefault="003D66C6" w:rsidP="009B6B3B">
      <w:pPr>
        <w:pStyle w:val="ListParagraph"/>
        <w:numPr>
          <w:ilvl w:val="0"/>
          <w:numId w:val="13"/>
        </w:numPr>
        <w:spacing w:before="60" w:after="60" w:line="240" w:lineRule="auto"/>
        <w:contextualSpacing w:val="0"/>
        <w:rPr>
          <w:rFonts w:cs="Arial"/>
          <w:bCs/>
          <w:sz w:val="22"/>
          <w:szCs w:val="22"/>
          <w:lang w:val="sr-Latn-ME"/>
        </w:rPr>
      </w:pPr>
      <w:r w:rsidRPr="001302F9">
        <w:rPr>
          <w:rFonts w:cs="Arial"/>
          <w:bCs/>
          <w:sz w:val="22"/>
          <w:szCs w:val="22"/>
          <w:lang w:val="sr-Latn-ME"/>
        </w:rPr>
        <w:t xml:space="preserve">Pravna osnova </w:t>
      </w:r>
      <w:r w:rsidR="00730DB2">
        <w:rPr>
          <w:rFonts w:cs="Arial"/>
          <w:bCs/>
          <w:sz w:val="22"/>
          <w:szCs w:val="22"/>
          <w:lang w:val="sr-Latn-ME"/>
        </w:rPr>
        <w:t>i</w:t>
      </w:r>
      <w:r w:rsidRPr="001302F9">
        <w:rPr>
          <w:rFonts w:cs="Arial"/>
          <w:bCs/>
          <w:sz w:val="22"/>
          <w:szCs w:val="22"/>
          <w:lang w:val="sr-Latn-ME"/>
        </w:rPr>
        <w:t xml:space="preserve"> komunikacija</w:t>
      </w:r>
    </w:p>
    <w:p w:rsidR="00E824A0" w:rsidRPr="00471F30" w:rsidRDefault="003D66C6" w:rsidP="009B6B3B">
      <w:pPr>
        <w:pStyle w:val="ListParagraph"/>
        <w:numPr>
          <w:ilvl w:val="0"/>
          <w:numId w:val="33"/>
        </w:numPr>
        <w:spacing w:before="60" w:after="60" w:line="240" w:lineRule="auto"/>
        <w:rPr>
          <w:rFonts w:cs="Arial"/>
          <w:bCs/>
          <w:sz w:val="22"/>
          <w:szCs w:val="22"/>
          <w:lang w:val="sr-Latn-ME"/>
        </w:rPr>
      </w:pPr>
      <w:r w:rsidRPr="00471F30">
        <w:rPr>
          <w:rFonts w:cs="Arial"/>
          <w:bCs/>
          <w:sz w:val="22"/>
          <w:szCs w:val="22"/>
          <w:lang w:val="sr-Latn-ME"/>
        </w:rPr>
        <w:t>Neadekvatna provjera dvostrukog finansiranja EU projekata, zbog nepostojanja jedinstvene baze EU projekata, što može dovesti do zloupotrebe, uz finansiranje iz više izvora</w:t>
      </w:r>
    </w:p>
    <w:p w:rsidR="009F1319" w:rsidRPr="001302F9" w:rsidRDefault="003D66C6" w:rsidP="009B6B3B">
      <w:pPr>
        <w:pStyle w:val="ListParagraph"/>
        <w:numPr>
          <w:ilvl w:val="0"/>
          <w:numId w:val="27"/>
        </w:numPr>
        <w:spacing w:before="60" w:after="60" w:line="240" w:lineRule="auto"/>
        <w:contextualSpacing w:val="0"/>
        <w:rPr>
          <w:rFonts w:cs="Arial"/>
          <w:bCs/>
          <w:sz w:val="22"/>
          <w:szCs w:val="22"/>
          <w:lang w:val="sr-Latn-ME"/>
        </w:rPr>
      </w:pPr>
      <w:r w:rsidRPr="001302F9">
        <w:rPr>
          <w:rFonts w:cs="Arial"/>
          <w:bCs/>
          <w:sz w:val="22"/>
          <w:szCs w:val="22"/>
          <w:lang w:val="sr-Latn-ME"/>
        </w:rPr>
        <w:t xml:space="preserve">Stvaranje jedinstvene elektronske baze podataka projekata finansiranih iz podrške EU i omogućavanje pristupa </w:t>
      </w:r>
      <w:r w:rsidR="00730DB2">
        <w:rPr>
          <w:rFonts w:cs="Arial"/>
          <w:bCs/>
          <w:sz w:val="22"/>
          <w:szCs w:val="22"/>
          <w:lang w:val="sr-Latn-ME"/>
        </w:rPr>
        <w:t>istoj</w:t>
      </w:r>
      <w:r w:rsidRPr="001302F9">
        <w:rPr>
          <w:rFonts w:cs="Arial"/>
          <w:bCs/>
          <w:sz w:val="22"/>
          <w:szCs w:val="22"/>
          <w:lang w:val="sr-Latn-ME"/>
        </w:rPr>
        <w:t xml:space="preserve"> službenicima IPA strukture koji rade na provjeravanju dvostrukog finansiranja. Uvođenje u Priručnik o </w:t>
      </w:r>
      <w:r w:rsidR="00730DB2">
        <w:rPr>
          <w:rFonts w:cs="Arial"/>
          <w:bCs/>
          <w:sz w:val="22"/>
          <w:szCs w:val="22"/>
          <w:lang w:val="sr-Latn-ME"/>
        </w:rPr>
        <w:t xml:space="preserve">procedurama </w:t>
      </w:r>
      <w:r w:rsidRPr="001302F9">
        <w:rPr>
          <w:rFonts w:cs="Arial"/>
          <w:bCs/>
          <w:sz w:val="22"/>
          <w:szCs w:val="22"/>
          <w:lang w:val="sr-Latn-ME"/>
        </w:rPr>
        <w:t>obaveze službenika IPA strukture da vrše ovu vrstu kontrole</w:t>
      </w:r>
      <w:r w:rsidR="002B4757" w:rsidRPr="001302F9">
        <w:rPr>
          <w:rFonts w:cs="Arial"/>
          <w:bCs/>
          <w:sz w:val="22"/>
          <w:szCs w:val="22"/>
          <w:lang w:val="sr-Latn-ME"/>
        </w:rPr>
        <w:t>.</w:t>
      </w:r>
    </w:p>
    <w:p w:rsidR="00223DA3" w:rsidRPr="00471F30" w:rsidRDefault="003D66C6" w:rsidP="009B6B3B">
      <w:pPr>
        <w:pStyle w:val="ListParagraph"/>
        <w:numPr>
          <w:ilvl w:val="0"/>
          <w:numId w:val="33"/>
        </w:numPr>
        <w:spacing w:before="60" w:after="60" w:line="240" w:lineRule="auto"/>
        <w:rPr>
          <w:rFonts w:cs="Arial"/>
          <w:bCs/>
          <w:sz w:val="22"/>
          <w:szCs w:val="22"/>
          <w:lang w:val="sr-Latn-ME"/>
        </w:rPr>
      </w:pPr>
      <w:r w:rsidRPr="00471F30">
        <w:rPr>
          <w:rFonts w:cs="Arial"/>
          <w:bCs/>
          <w:sz w:val="22"/>
          <w:szCs w:val="22"/>
          <w:lang w:val="sr-Latn-ME"/>
        </w:rPr>
        <w:t xml:space="preserve">Uloga i zadaci pojedinih </w:t>
      </w:r>
      <w:r w:rsidR="00730DB2" w:rsidRPr="00471F30">
        <w:rPr>
          <w:rFonts w:cs="Arial"/>
          <w:bCs/>
          <w:sz w:val="22"/>
          <w:szCs w:val="22"/>
          <w:lang w:val="sr-Latn-ME"/>
        </w:rPr>
        <w:t>institucija</w:t>
      </w:r>
      <w:r w:rsidRPr="00471F30">
        <w:rPr>
          <w:rFonts w:cs="Arial"/>
          <w:bCs/>
          <w:sz w:val="22"/>
          <w:szCs w:val="22"/>
          <w:lang w:val="sr-Latn-ME"/>
        </w:rPr>
        <w:t xml:space="preserve"> izvan IPA strukture u pogledu zaštite finansijskih interesa EU su nejasni, što može dovesti do otežane komunikacije među njima, a samim tim i do smanjenja efikasnosti u borbi protiv prevara i nepravilnosti</w:t>
      </w:r>
    </w:p>
    <w:p w:rsidR="00471F30" w:rsidRDefault="003D66C6" w:rsidP="009B6B3B">
      <w:pPr>
        <w:pStyle w:val="ListParagraph"/>
        <w:numPr>
          <w:ilvl w:val="0"/>
          <w:numId w:val="28"/>
        </w:numPr>
        <w:spacing w:before="60" w:after="60" w:line="240" w:lineRule="auto"/>
        <w:contextualSpacing w:val="0"/>
        <w:rPr>
          <w:rFonts w:cs="Arial"/>
          <w:bCs/>
          <w:sz w:val="22"/>
          <w:szCs w:val="22"/>
          <w:lang w:val="sr-Latn-ME"/>
        </w:rPr>
      </w:pPr>
      <w:r w:rsidRPr="001302F9">
        <w:rPr>
          <w:rFonts w:cs="Arial"/>
          <w:bCs/>
          <w:sz w:val="22"/>
          <w:szCs w:val="22"/>
          <w:lang w:val="sr-Latn-ME"/>
        </w:rPr>
        <w:t xml:space="preserve">Potpisivanje Protokola o saradnji sa Vrhovnim državnim tužilaštvom i kreiranje jasnih procedura o dužnostima svih </w:t>
      </w:r>
      <w:r w:rsidR="00730DB2">
        <w:rPr>
          <w:rFonts w:cs="Arial"/>
          <w:bCs/>
          <w:sz w:val="22"/>
          <w:szCs w:val="22"/>
          <w:lang w:val="sr-Latn-ME"/>
        </w:rPr>
        <w:t>institucija</w:t>
      </w:r>
      <w:r w:rsidRPr="001302F9">
        <w:rPr>
          <w:rFonts w:cs="Arial"/>
          <w:bCs/>
          <w:sz w:val="22"/>
          <w:szCs w:val="22"/>
          <w:lang w:val="sr-Latn-ME"/>
        </w:rPr>
        <w:t xml:space="preserve"> AFCOS mreže</w:t>
      </w:r>
      <w:r w:rsidR="00730DB2">
        <w:rPr>
          <w:rFonts w:cs="Arial"/>
          <w:bCs/>
          <w:sz w:val="22"/>
          <w:szCs w:val="22"/>
          <w:lang w:val="sr-Latn-ME"/>
        </w:rPr>
        <w:t xml:space="preserve">, sa naglaskom na slučaj dolaska </w:t>
      </w:r>
      <w:r w:rsidRPr="001302F9">
        <w:rPr>
          <w:rFonts w:cs="Arial"/>
          <w:bCs/>
          <w:sz w:val="22"/>
          <w:szCs w:val="22"/>
          <w:lang w:val="sr-Latn-ME"/>
        </w:rPr>
        <w:t>OLAF-ovih istražitelja u kontrolu privrednih subjekata u Crnoj Gori</w:t>
      </w:r>
      <w:r w:rsidR="00156DAB" w:rsidRPr="001302F9">
        <w:rPr>
          <w:rFonts w:cs="Arial"/>
          <w:bCs/>
          <w:sz w:val="22"/>
          <w:szCs w:val="22"/>
          <w:lang w:val="sr-Latn-ME"/>
        </w:rPr>
        <w:t>.</w:t>
      </w:r>
    </w:p>
    <w:p w:rsidR="00B85A6D" w:rsidRPr="00471F30" w:rsidRDefault="00B85A6D" w:rsidP="009B6B3B">
      <w:pPr>
        <w:pStyle w:val="ListParagraph"/>
        <w:numPr>
          <w:ilvl w:val="0"/>
          <w:numId w:val="34"/>
        </w:numPr>
        <w:spacing w:before="60" w:after="60" w:line="240" w:lineRule="auto"/>
        <w:rPr>
          <w:rFonts w:cs="Arial"/>
          <w:bCs/>
          <w:sz w:val="22"/>
          <w:szCs w:val="22"/>
          <w:lang w:val="sr-Latn-ME"/>
        </w:rPr>
      </w:pPr>
      <w:r w:rsidRPr="00471F30">
        <w:rPr>
          <w:rFonts w:cs="Arial"/>
          <w:bCs/>
          <w:sz w:val="22"/>
          <w:szCs w:val="22"/>
          <w:lang w:val="sr-Latn-ME"/>
        </w:rPr>
        <w:t>Zbog nedovoljne prepoznatljivosti uloge AFCOS</w:t>
      </w:r>
      <w:r w:rsidR="000A3BA9">
        <w:rPr>
          <w:rFonts w:cs="Arial"/>
          <w:bCs/>
          <w:sz w:val="22"/>
          <w:szCs w:val="22"/>
          <w:lang w:val="sr-Latn-ME"/>
        </w:rPr>
        <w:t>-a</w:t>
      </w:r>
      <w:r w:rsidRPr="00471F30">
        <w:rPr>
          <w:rFonts w:cs="Arial"/>
          <w:bCs/>
          <w:sz w:val="22"/>
          <w:szCs w:val="22"/>
          <w:lang w:val="sr-Latn-ME"/>
        </w:rPr>
        <w:t xml:space="preserve"> u javnosti, </w:t>
      </w:r>
      <w:r w:rsidR="00471F30" w:rsidRPr="00471F30">
        <w:rPr>
          <w:rFonts w:cs="Arial"/>
          <w:bCs/>
          <w:sz w:val="22"/>
          <w:szCs w:val="22"/>
          <w:lang w:val="sr-Latn-ME"/>
        </w:rPr>
        <w:t xml:space="preserve"> </w:t>
      </w:r>
      <w:r w:rsidRPr="00471F30">
        <w:rPr>
          <w:rFonts w:cs="Arial"/>
          <w:bCs/>
          <w:sz w:val="22"/>
          <w:szCs w:val="22"/>
          <w:lang w:val="sr-Latn-ME"/>
        </w:rPr>
        <w:t>nedovoljnog povjerenja u institucije ili nepoznavanja mehanizma prijave sumnji na nepravilnost anonimnim putem, potencijalni prijavitelji nisu skloni prijaviti nepravilnosti, odnosno sumnje na prevaru, ili ne pružaju adekvatne informacije kako bi se mogao započeti postupak utvrđivanja nepravilnosti</w:t>
      </w:r>
    </w:p>
    <w:p w:rsidR="00471F30" w:rsidRDefault="003D66C6" w:rsidP="009B6B3B">
      <w:pPr>
        <w:pStyle w:val="ListParagraph"/>
        <w:numPr>
          <w:ilvl w:val="0"/>
          <w:numId w:val="29"/>
        </w:numPr>
        <w:spacing w:before="60" w:after="60" w:line="240" w:lineRule="auto"/>
        <w:contextualSpacing w:val="0"/>
        <w:rPr>
          <w:rFonts w:cs="Arial"/>
          <w:bCs/>
          <w:sz w:val="22"/>
          <w:szCs w:val="22"/>
          <w:lang w:val="sr-Latn-ME"/>
        </w:rPr>
      </w:pPr>
      <w:r w:rsidRPr="001302F9">
        <w:rPr>
          <w:rFonts w:cs="Arial"/>
          <w:bCs/>
          <w:sz w:val="22"/>
          <w:szCs w:val="22"/>
          <w:lang w:val="sr-Latn-ME"/>
        </w:rPr>
        <w:t xml:space="preserve">Izrada </w:t>
      </w:r>
      <w:r w:rsidR="00B85A6D" w:rsidRPr="00B85A6D">
        <w:rPr>
          <w:rFonts w:cs="Arial"/>
          <w:bCs/>
          <w:sz w:val="22"/>
          <w:szCs w:val="22"/>
          <w:lang w:val="sr-Latn-ME"/>
        </w:rPr>
        <w:t>Komunikacione</w:t>
      </w:r>
      <w:r w:rsidRPr="001302F9">
        <w:rPr>
          <w:rFonts w:cs="Arial"/>
          <w:bCs/>
          <w:sz w:val="22"/>
          <w:szCs w:val="22"/>
          <w:lang w:val="sr-Latn-ME"/>
        </w:rPr>
        <w:t xml:space="preserve"> strategije, izrada brošura i letaka za informi</w:t>
      </w:r>
      <w:r w:rsidR="00B85A6D">
        <w:rPr>
          <w:rFonts w:cs="Arial"/>
          <w:bCs/>
          <w:sz w:val="22"/>
          <w:szCs w:val="22"/>
          <w:lang w:val="sr-Latn-ME"/>
        </w:rPr>
        <w:t>s</w:t>
      </w:r>
      <w:r w:rsidRPr="001302F9">
        <w:rPr>
          <w:rFonts w:cs="Arial"/>
          <w:bCs/>
          <w:sz w:val="22"/>
          <w:szCs w:val="22"/>
          <w:lang w:val="sr-Latn-ME"/>
        </w:rPr>
        <w:t>anje javnosti s primjerima prevara i nepravilnosti i drugim važnim informacijama</w:t>
      </w:r>
      <w:r w:rsidR="00C71CCD" w:rsidRPr="001302F9">
        <w:rPr>
          <w:rFonts w:cs="Arial"/>
          <w:bCs/>
          <w:sz w:val="22"/>
          <w:szCs w:val="22"/>
          <w:lang w:val="sr-Latn-ME"/>
        </w:rPr>
        <w:t>.</w:t>
      </w:r>
    </w:p>
    <w:p w:rsidR="00C71CCD" w:rsidRPr="00471F30" w:rsidRDefault="003D66C6" w:rsidP="009B6B3B">
      <w:pPr>
        <w:pStyle w:val="ListParagraph"/>
        <w:numPr>
          <w:ilvl w:val="0"/>
          <w:numId w:val="35"/>
        </w:numPr>
        <w:spacing w:before="60" w:after="60" w:line="240" w:lineRule="auto"/>
        <w:rPr>
          <w:rFonts w:cs="Arial"/>
          <w:bCs/>
          <w:sz w:val="22"/>
          <w:szCs w:val="22"/>
          <w:lang w:val="sr-Latn-ME"/>
        </w:rPr>
      </w:pPr>
      <w:r w:rsidRPr="00471F30">
        <w:rPr>
          <w:rFonts w:cs="Arial"/>
          <w:bCs/>
          <w:sz w:val="22"/>
          <w:szCs w:val="22"/>
          <w:lang w:val="sr-Latn-ME"/>
        </w:rPr>
        <w:t>Zbog nedovoljno uspostavljenog zakonskog okvira, koji se, između ostalog, manifestuje i u neadekvatnom opisu krivičnog djela, nemoguće je efikasno procesuirati slučajeve sumnje na prevaru na štetu finansijskih interesa EU. Rezultat navedenog može se negativno odraziti kako na državni budžet, tako i na ugled države</w:t>
      </w:r>
    </w:p>
    <w:p w:rsidR="00E9761A" w:rsidRPr="001302F9" w:rsidRDefault="003D66C6" w:rsidP="009B6B3B">
      <w:pPr>
        <w:pStyle w:val="ListParagraph"/>
        <w:numPr>
          <w:ilvl w:val="0"/>
          <w:numId w:val="30"/>
        </w:numPr>
        <w:spacing w:before="60" w:after="60" w:line="240" w:lineRule="auto"/>
        <w:contextualSpacing w:val="0"/>
        <w:rPr>
          <w:rFonts w:cs="Arial"/>
          <w:bCs/>
          <w:sz w:val="22"/>
          <w:szCs w:val="22"/>
          <w:lang w:val="sr-Latn-ME"/>
        </w:rPr>
      </w:pPr>
      <w:r w:rsidRPr="001302F9">
        <w:rPr>
          <w:rFonts w:cs="Arial"/>
          <w:bCs/>
          <w:sz w:val="22"/>
          <w:szCs w:val="22"/>
          <w:lang w:val="sr-Latn-ME"/>
        </w:rPr>
        <w:t>Potrebno je preduzeti niz aktivnosti kako bi se izvršila analiza usklađenosti relevantnih zakona, podzakonskih akata i drugih odredbi sa tzv. PIF direktivom. Na osnovu rezultata analize utvrditi potrebu unapređenja zakonskog okvira u cilju usklađivanja Krivičnog zakonika Crne Gore sa Direktivom o PIF-u, odnosno donošenja izmjena postojećih propisa.</w:t>
      </w:r>
    </w:p>
    <w:p w:rsidR="00683D04" w:rsidRPr="00471F30" w:rsidRDefault="003D66C6" w:rsidP="009B6B3B">
      <w:pPr>
        <w:pStyle w:val="ListParagraph"/>
        <w:numPr>
          <w:ilvl w:val="0"/>
          <w:numId w:val="36"/>
        </w:numPr>
        <w:spacing w:before="60" w:after="60" w:line="240" w:lineRule="auto"/>
        <w:rPr>
          <w:rFonts w:cs="Arial"/>
          <w:bCs/>
          <w:sz w:val="22"/>
          <w:szCs w:val="22"/>
          <w:lang w:val="sr-Latn-ME"/>
        </w:rPr>
      </w:pPr>
      <w:r w:rsidRPr="00471F30">
        <w:rPr>
          <w:rFonts w:cs="Arial"/>
          <w:bCs/>
          <w:sz w:val="22"/>
          <w:szCs w:val="22"/>
          <w:lang w:val="sr-Latn-ME"/>
        </w:rPr>
        <w:t xml:space="preserve">Provjera povezanosti lica u pogledu sukoba interesa, kada je u pitanju </w:t>
      </w:r>
      <w:r w:rsidR="00683D04" w:rsidRPr="00471F30">
        <w:rPr>
          <w:rFonts w:cs="Arial"/>
          <w:bCs/>
          <w:sz w:val="22"/>
          <w:szCs w:val="22"/>
          <w:lang w:val="sr-Latn-ME"/>
        </w:rPr>
        <w:t>s</w:t>
      </w:r>
      <w:r w:rsidRPr="00471F30">
        <w:rPr>
          <w:rFonts w:cs="Arial"/>
          <w:bCs/>
          <w:sz w:val="22"/>
          <w:szCs w:val="22"/>
          <w:lang w:val="sr-Latn-ME"/>
        </w:rPr>
        <w:t>provođenje kontrola na licu mjesta, nije adekvatna i može dovesti do prihvatanja neopravdanih troškova i drugih nepravilnosti</w:t>
      </w:r>
    </w:p>
    <w:p w:rsidR="003D66C6" w:rsidRPr="00683D04" w:rsidRDefault="003D66C6" w:rsidP="009B6B3B">
      <w:pPr>
        <w:pStyle w:val="ListParagraph"/>
        <w:numPr>
          <w:ilvl w:val="0"/>
          <w:numId w:val="31"/>
        </w:numPr>
        <w:spacing w:before="60" w:after="60" w:line="240" w:lineRule="auto"/>
        <w:rPr>
          <w:rFonts w:cs="Arial"/>
          <w:bCs/>
          <w:sz w:val="22"/>
          <w:szCs w:val="22"/>
          <w:lang w:val="sr-Latn-ME"/>
        </w:rPr>
      </w:pPr>
      <w:r w:rsidRPr="00683D04">
        <w:rPr>
          <w:rFonts w:cs="Arial"/>
          <w:bCs/>
          <w:sz w:val="22"/>
          <w:szCs w:val="22"/>
          <w:lang w:val="sr-Latn-ME"/>
        </w:rPr>
        <w:t>Propisivanje postupka komunikacije između IPA struktura radi provjere povezanosti lica koja vrše kontrolu na licu mjesta sa licima koja su predmet kontrole, prije službenog izdavanja ovlašćenog obrasca za sprovođenje kontrole. Uvođenje u procedure Izjave da lica koja vrše kontrole i lica čiji je rad predmet kontrole nisu povezana.</w:t>
      </w:r>
    </w:p>
    <w:p w:rsidR="001379CE" w:rsidRPr="001302F9" w:rsidRDefault="006D219D" w:rsidP="003D66C6">
      <w:pPr>
        <w:spacing w:before="60" w:after="60" w:line="240" w:lineRule="auto"/>
        <w:rPr>
          <w:rFonts w:ascii="Arial" w:hAnsi="Arial" w:cs="Arial"/>
          <w:bCs/>
          <w:lang w:val="sr-Latn-ME"/>
        </w:rPr>
      </w:pPr>
      <w:r w:rsidRPr="001302F9">
        <w:rPr>
          <w:rFonts w:ascii="Arial" w:hAnsi="Arial" w:cs="Arial"/>
          <w:bCs/>
          <w:lang w:val="sr-Latn-ME"/>
        </w:rPr>
        <w:t>3. Kultura organizacije</w:t>
      </w:r>
    </w:p>
    <w:p w:rsidR="00683D04" w:rsidRPr="00471F30" w:rsidRDefault="00AD33A2" w:rsidP="009B6B3B">
      <w:pPr>
        <w:pStyle w:val="ListParagraph"/>
        <w:numPr>
          <w:ilvl w:val="0"/>
          <w:numId w:val="37"/>
        </w:numPr>
        <w:spacing w:before="60" w:after="60" w:line="240" w:lineRule="auto"/>
        <w:rPr>
          <w:rFonts w:cs="Arial"/>
          <w:bCs/>
          <w:sz w:val="22"/>
          <w:szCs w:val="22"/>
          <w:lang w:val="sr-Latn-ME"/>
        </w:rPr>
      </w:pPr>
      <w:r w:rsidRPr="00471F30">
        <w:rPr>
          <w:rFonts w:cs="Arial"/>
          <w:bCs/>
          <w:sz w:val="22"/>
          <w:szCs w:val="22"/>
          <w:lang w:val="sr-Latn-ME"/>
        </w:rPr>
        <w:t>Nedostatak etičkih vrijednosti i svijesti o odgovornosti među zaposlenima može dovesti do sukoba interesa i prevare</w:t>
      </w:r>
    </w:p>
    <w:p w:rsidR="00AD33A2" w:rsidRPr="00683D04" w:rsidRDefault="00AD33A2" w:rsidP="009B6B3B">
      <w:pPr>
        <w:pStyle w:val="ListParagraph"/>
        <w:numPr>
          <w:ilvl w:val="0"/>
          <w:numId w:val="32"/>
        </w:numPr>
        <w:spacing w:before="60" w:after="60" w:line="240" w:lineRule="auto"/>
        <w:rPr>
          <w:rFonts w:cs="Arial"/>
          <w:bCs/>
          <w:sz w:val="22"/>
          <w:szCs w:val="22"/>
          <w:lang w:val="sr-Latn-ME"/>
        </w:rPr>
      </w:pPr>
      <w:r w:rsidRPr="00683D04">
        <w:rPr>
          <w:rFonts w:cs="Arial"/>
          <w:bCs/>
          <w:sz w:val="22"/>
          <w:szCs w:val="22"/>
          <w:lang w:val="sr-Latn-ME"/>
        </w:rPr>
        <w:t>Imenovanje službenika odgovornog za praćenje primjen</w:t>
      </w:r>
      <w:r w:rsidR="00683D04">
        <w:rPr>
          <w:rFonts w:cs="Arial"/>
          <w:bCs/>
          <w:sz w:val="22"/>
          <w:szCs w:val="22"/>
          <w:lang w:val="sr-Latn-ME"/>
        </w:rPr>
        <w:t>u</w:t>
      </w:r>
      <w:r w:rsidRPr="00683D04">
        <w:rPr>
          <w:rFonts w:cs="Arial"/>
          <w:bCs/>
          <w:sz w:val="22"/>
          <w:szCs w:val="22"/>
          <w:lang w:val="sr-Latn-ME"/>
        </w:rPr>
        <w:t xml:space="preserve"> Etičkog kodeksa, promovi</w:t>
      </w:r>
      <w:r w:rsidR="00683D04">
        <w:rPr>
          <w:rFonts w:cs="Arial"/>
          <w:bCs/>
          <w:sz w:val="22"/>
          <w:szCs w:val="22"/>
          <w:lang w:val="sr-Latn-ME"/>
        </w:rPr>
        <w:t>sanje</w:t>
      </w:r>
      <w:r w:rsidRPr="00683D04">
        <w:rPr>
          <w:rFonts w:cs="Arial"/>
          <w:bCs/>
          <w:sz w:val="22"/>
          <w:szCs w:val="22"/>
          <w:lang w:val="sr-Latn-ME"/>
        </w:rPr>
        <w:t xml:space="preserve"> etičkog ponašanja i rješavanje pritužbi na neetičko ponašanje. Ovdje treba napomenuti da na nivou svakog IPA tijela postoji jedna osoba, koja nadgleda oblast upravljanja ljudskim resursima kroz dodijeljeni opis posla, a njeni specifični zadaci uključuju i implementaciju Etičkog kodeksa.</w:t>
      </w:r>
    </w:p>
    <w:bookmarkEnd w:id="9"/>
    <w:p w:rsidR="000F471C" w:rsidRPr="001302F9" w:rsidRDefault="000F471C" w:rsidP="000F471C">
      <w:pPr>
        <w:spacing w:before="100" w:beforeAutospacing="1" w:after="100" w:afterAutospacing="1" w:line="240" w:lineRule="auto"/>
        <w:rPr>
          <w:rFonts w:ascii="Arial" w:eastAsia="Times New Roman" w:hAnsi="Arial" w:cs="Arial"/>
          <w:lang w:val="sr-Latn-ME"/>
        </w:rPr>
      </w:pPr>
      <w:r w:rsidRPr="001302F9">
        <w:rPr>
          <w:rFonts w:ascii="Arial" w:eastAsia="Times New Roman" w:hAnsi="Arial" w:cs="Arial"/>
          <w:b/>
          <w:bCs/>
          <w:lang w:val="sr-Latn-ME"/>
        </w:rPr>
        <w:t>2.3. Rezultati PESTLE analize</w:t>
      </w:r>
    </w:p>
    <w:p w:rsidR="000F471C" w:rsidRPr="001302F9" w:rsidRDefault="000F471C" w:rsidP="000F471C">
      <w:pPr>
        <w:spacing w:before="100" w:beforeAutospacing="1" w:after="100" w:afterAutospacing="1" w:line="240" w:lineRule="auto"/>
        <w:rPr>
          <w:rFonts w:ascii="Arial" w:eastAsia="Times New Roman" w:hAnsi="Arial" w:cs="Arial"/>
          <w:lang w:val="sr-Latn-ME"/>
        </w:rPr>
      </w:pPr>
      <w:r w:rsidRPr="001302F9">
        <w:rPr>
          <w:rFonts w:ascii="Arial" w:eastAsia="Times New Roman" w:hAnsi="Arial" w:cs="Arial"/>
          <w:lang w:val="sr-Latn-ME"/>
        </w:rPr>
        <w:t xml:space="preserve">PESTLE analiza sprovedena je od strane </w:t>
      </w:r>
      <w:r w:rsidR="002B1E99">
        <w:rPr>
          <w:rFonts w:ascii="Arial" w:eastAsia="Times New Roman" w:hAnsi="Arial" w:cs="Arial"/>
          <w:lang w:val="sr-Latn-ME"/>
        </w:rPr>
        <w:t>Direkcije za zaštitu finansijskih interesa/</w:t>
      </w:r>
      <w:r w:rsidRPr="001302F9">
        <w:rPr>
          <w:rFonts w:ascii="Arial" w:eastAsia="Times New Roman" w:hAnsi="Arial" w:cs="Arial"/>
          <w:lang w:val="sr-Latn-ME"/>
        </w:rPr>
        <w:t>AFCOS krajem 2024. godine, a glavni rezultati ove analize sažeti su u sledećoj matrici.</w:t>
      </w:r>
    </w:p>
    <w:tbl>
      <w:tblPr>
        <w:tblStyle w:val="GridTable6Colorful-Accent5"/>
        <w:tblW w:w="9330" w:type="dxa"/>
        <w:shd w:val="clear" w:color="auto" w:fill="DEEAF6" w:themeFill="accent1" w:themeFillTint="33"/>
        <w:tblLook w:val="04A0" w:firstRow="1" w:lastRow="0" w:firstColumn="1" w:lastColumn="0" w:noHBand="0" w:noVBand="1"/>
      </w:tblPr>
      <w:tblGrid>
        <w:gridCol w:w="1933"/>
        <w:gridCol w:w="3732"/>
        <w:gridCol w:w="3665"/>
      </w:tblGrid>
      <w:tr w:rsidR="000F471C" w:rsidRPr="001302F9" w:rsidTr="00CB5F79">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933" w:type="dxa"/>
            <w:shd w:val="clear" w:color="auto" w:fill="DEEAF6" w:themeFill="accent1" w:themeFillTint="33"/>
            <w:vAlign w:val="center"/>
          </w:tcPr>
          <w:p w:rsidR="000F471C" w:rsidRPr="001302F9" w:rsidRDefault="000F471C" w:rsidP="00CB5F79">
            <w:pPr>
              <w:jc w:val="center"/>
              <w:rPr>
                <w:rFonts w:ascii="Arial" w:eastAsia="Times New Roman" w:hAnsi="Arial" w:cs="Arial"/>
                <w:color w:val="1F4E79" w:themeColor="accent1" w:themeShade="80"/>
                <w:lang w:val="sr-Latn-ME"/>
              </w:rPr>
            </w:pPr>
            <w:r w:rsidRPr="001302F9">
              <w:rPr>
                <w:rFonts w:ascii="Arial" w:eastAsia="Times New Roman" w:hAnsi="Arial" w:cs="Arial"/>
                <w:color w:val="1F4E79" w:themeColor="accent1" w:themeShade="80"/>
                <w:lang w:val="sr-Latn-ME"/>
              </w:rPr>
              <w:t>Kriterijum</w:t>
            </w:r>
          </w:p>
        </w:tc>
        <w:tc>
          <w:tcPr>
            <w:tcW w:w="3732" w:type="dxa"/>
            <w:shd w:val="clear" w:color="auto" w:fill="DEEAF6" w:themeFill="accent1" w:themeFillTint="33"/>
            <w:vAlign w:val="center"/>
            <w:hideMark/>
          </w:tcPr>
          <w:p w:rsidR="000F471C" w:rsidRPr="001302F9" w:rsidRDefault="000F471C" w:rsidP="00CB5F7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1F4E79" w:themeColor="accent1" w:themeShade="80"/>
                <w:lang w:val="sr-Latn-ME"/>
              </w:rPr>
            </w:pPr>
            <w:r w:rsidRPr="001302F9">
              <w:rPr>
                <w:rFonts w:ascii="Arial" w:eastAsia="Times New Roman" w:hAnsi="Arial" w:cs="Arial"/>
                <w:color w:val="1F4E79" w:themeColor="accent1" w:themeShade="80"/>
                <w:lang w:val="sr-Latn-ME"/>
              </w:rPr>
              <w:t>Snage i mogućnosti</w:t>
            </w:r>
          </w:p>
        </w:tc>
        <w:tc>
          <w:tcPr>
            <w:tcW w:w="3665" w:type="dxa"/>
            <w:shd w:val="clear" w:color="auto" w:fill="DEEAF6" w:themeFill="accent1" w:themeFillTint="33"/>
            <w:vAlign w:val="center"/>
            <w:hideMark/>
          </w:tcPr>
          <w:p w:rsidR="000F471C" w:rsidRPr="001302F9" w:rsidRDefault="000F471C" w:rsidP="00CB5F7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1F4E79" w:themeColor="accent1" w:themeShade="80"/>
                <w:lang w:val="sr-Latn-ME"/>
              </w:rPr>
            </w:pPr>
            <w:r w:rsidRPr="001302F9">
              <w:rPr>
                <w:rFonts w:ascii="Arial" w:eastAsia="Times New Roman" w:hAnsi="Arial" w:cs="Arial"/>
                <w:color w:val="1F4E79" w:themeColor="accent1" w:themeShade="80"/>
                <w:lang w:val="sr-Latn-ME"/>
              </w:rPr>
              <w:t>Slabosti, izazovi i rizici</w:t>
            </w:r>
          </w:p>
        </w:tc>
      </w:tr>
      <w:tr w:rsidR="000F471C" w:rsidRPr="001302F9" w:rsidTr="007E0998">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1933" w:type="dxa"/>
            <w:shd w:val="clear" w:color="auto" w:fill="DEEAF6" w:themeFill="accent1" w:themeFillTint="33"/>
            <w:vAlign w:val="center"/>
            <w:hideMark/>
          </w:tcPr>
          <w:p w:rsidR="000F471C" w:rsidRPr="001302F9" w:rsidRDefault="000F471C" w:rsidP="00CB5F79">
            <w:pPr>
              <w:rPr>
                <w:rFonts w:ascii="Arial" w:eastAsia="Times New Roman" w:hAnsi="Arial" w:cs="Arial"/>
                <w:color w:val="1F4E79" w:themeColor="accent1" w:themeShade="80"/>
                <w:lang w:val="sr-Latn-ME"/>
              </w:rPr>
            </w:pPr>
            <w:r w:rsidRPr="001302F9">
              <w:rPr>
                <w:rFonts w:ascii="Arial" w:eastAsia="Times New Roman" w:hAnsi="Arial" w:cs="Arial"/>
                <w:color w:val="1F4E79" w:themeColor="accent1" w:themeShade="80"/>
                <w:lang w:val="sr-Latn-ME"/>
              </w:rPr>
              <w:t>1. Političko okruženje</w:t>
            </w:r>
          </w:p>
        </w:tc>
        <w:tc>
          <w:tcPr>
            <w:tcW w:w="3732" w:type="dxa"/>
            <w:shd w:val="clear" w:color="auto" w:fill="DEEAF6" w:themeFill="accent1" w:themeFillTint="33"/>
            <w:vAlign w:val="center"/>
          </w:tcPr>
          <w:p w:rsidR="000F471C" w:rsidRPr="001302F9" w:rsidRDefault="000F471C" w:rsidP="00CB5F7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F4E79" w:themeColor="accent1" w:themeShade="80"/>
                <w:lang w:val="sr-Latn-ME"/>
              </w:rPr>
            </w:pPr>
            <w:r w:rsidRPr="001302F9">
              <w:rPr>
                <w:rFonts w:ascii="Arial" w:eastAsia="Times New Roman" w:hAnsi="Arial" w:cs="Arial"/>
                <w:color w:val="1F4E79" w:themeColor="accent1" w:themeShade="80"/>
                <w:lang w:val="sr-Latn-ME"/>
              </w:rPr>
              <w:t xml:space="preserve">Snažna posvećenost integraciji u EU, poštovanje preuzetih međunarodnih obaveza i regionalna saradnja. </w:t>
            </w:r>
          </w:p>
          <w:p w:rsidR="00331265" w:rsidRDefault="000F471C" w:rsidP="00CB5F7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F4E79" w:themeColor="accent1" w:themeShade="80"/>
                <w:lang w:val="sr-Latn-ME"/>
              </w:rPr>
            </w:pPr>
            <w:r w:rsidRPr="001302F9">
              <w:rPr>
                <w:rFonts w:ascii="Arial" w:eastAsia="Times New Roman" w:hAnsi="Arial" w:cs="Arial"/>
                <w:color w:val="1F4E79" w:themeColor="accent1" w:themeShade="80"/>
                <w:lang w:val="sr-Latn-ME"/>
              </w:rPr>
              <w:t>Zajednička orijentacija ka ekonomskom oporavku, socijalnoj pravdi i inkluzivnom tržištu rada.</w:t>
            </w:r>
          </w:p>
          <w:p w:rsidR="000F471C" w:rsidRPr="001302F9" w:rsidRDefault="000F471C" w:rsidP="00CB5F7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F4E79" w:themeColor="accent1" w:themeShade="80"/>
                <w:lang w:val="sr-Latn-ME"/>
              </w:rPr>
            </w:pPr>
            <w:r w:rsidRPr="001302F9">
              <w:rPr>
                <w:rFonts w:ascii="Arial" w:eastAsia="Times New Roman" w:hAnsi="Arial" w:cs="Arial"/>
                <w:color w:val="1F4E79" w:themeColor="accent1" w:themeShade="80"/>
                <w:lang w:val="sr-Latn-ME"/>
              </w:rPr>
              <w:t xml:space="preserve"> Unapr</w:t>
            </w:r>
            <w:r w:rsidR="007E0998">
              <w:rPr>
                <w:rFonts w:ascii="Arial" w:eastAsia="Times New Roman" w:hAnsi="Arial" w:cs="Arial"/>
                <w:color w:val="1F4E79" w:themeColor="accent1" w:themeShade="80"/>
                <w:lang w:val="sr-Latn-ME"/>
              </w:rPr>
              <w:t>e</w:t>
            </w:r>
            <w:r w:rsidRPr="001302F9">
              <w:rPr>
                <w:rFonts w:ascii="Arial" w:eastAsia="Times New Roman" w:hAnsi="Arial" w:cs="Arial"/>
                <w:color w:val="1F4E79" w:themeColor="accent1" w:themeShade="80"/>
                <w:lang w:val="sr-Latn-ME"/>
              </w:rPr>
              <w:t>đenje regionalne saradnje i razvijanje dobrosusjedskih odnosa.</w:t>
            </w:r>
          </w:p>
        </w:tc>
        <w:tc>
          <w:tcPr>
            <w:tcW w:w="3665" w:type="dxa"/>
            <w:shd w:val="clear" w:color="auto" w:fill="DEEAF6" w:themeFill="accent1" w:themeFillTint="33"/>
            <w:vAlign w:val="center"/>
            <w:hideMark/>
          </w:tcPr>
          <w:p w:rsidR="007E0998" w:rsidRDefault="007E0998" w:rsidP="007E099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1F4E79" w:themeColor="accent1" w:themeShade="80"/>
                <w:lang w:val="sr-Latn-ME"/>
              </w:rPr>
            </w:pPr>
            <w:r>
              <w:rPr>
                <w:rFonts w:ascii="Arial" w:hAnsi="Arial" w:cs="Arial"/>
                <w:color w:val="1F4E79" w:themeColor="accent1" w:themeShade="80"/>
                <w:lang w:val="sr-Latn-ME"/>
              </w:rPr>
              <w:t xml:space="preserve">             </w:t>
            </w:r>
          </w:p>
          <w:p w:rsidR="007E0998" w:rsidRDefault="007E0998" w:rsidP="007E099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1F4E79" w:themeColor="accent1" w:themeShade="80"/>
                <w:lang w:val="sr-Latn-ME"/>
              </w:rPr>
            </w:pPr>
          </w:p>
          <w:p w:rsidR="007E0998" w:rsidRDefault="007E0998" w:rsidP="007E099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1F4E79" w:themeColor="accent1" w:themeShade="80"/>
                <w:lang w:val="sr-Latn-ME"/>
              </w:rPr>
            </w:pPr>
          </w:p>
          <w:p w:rsidR="000F471C" w:rsidRPr="001302F9" w:rsidRDefault="007E0998" w:rsidP="007E0998">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sr-Latn-ME"/>
              </w:rPr>
            </w:pPr>
            <w:r>
              <w:rPr>
                <w:rFonts w:ascii="Arial" w:hAnsi="Arial" w:cs="Arial"/>
                <w:color w:val="1F4E79" w:themeColor="accent1" w:themeShade="80"/>
                <w:lang w:val="sr-Latn-ME"/>
              </w:rPr>
              <w:t xml:space="preserve">          </w:t>
            </w:r>
            <w:r w:rsidR="000F471C" w:rsidRPr="001302F9">
              <w:rPr>
                <w:rFonts w:ascii="Arial" w:hAnsi="Arial" w:cs="Arial"/>
                <w:color w:val="1F4E79" w:themeColor="accent1" w:themeShade="80"/>
                <w:lang w:val="sr-Latn-ME"/>
              </w:rPr>
              <w:t>Politička nestabilnost</w:t>
            </w:r>
            <w:r>
              <w:rPr>
                <w:rFonts w:ascii="Arial" w:hAnsi="Arial" w:cs="Arial"/>
                <w:color w:val="1F4E79" w:themeColor="accent1" w:themeShade="80"/>
                <w:lang w:val="sr-Latn-ME"/>
              </w:rPr>
              <w:t>.</w:t>
            </w:r>
          </w:p>
          <w:p w:rsidR="000F471C" w:rsidRPr="001302F9" w:rsidRDefault="000F471C" w:rsidP="00CB5F79">
            <w:pPr>
              <w:cnfStyle w:val="000000100000" w:firstRow="0" w:lastRow="0" w:firstColumn="0" w:lastColumn="0" w:oddVBand="0" w:evenVBand="0" w:oddHBand="1" w:evenHBand="0" w:firstRowFirstColumn="0" w:firstRowLastColumn="0" w:lastRowFirstColumn="0" w:lastRowLastColumn="0"/>
              <w:rPr>
                <w:rFonts w:ascii="Arial" w:hAnsi="Arial" w:cs="Arial"/>
                <w:lang w:val="sr-Latn-ME"/>
              </w:rPr>
            </w:pPr>
          </w:p>
          <w:p w:rsidR="000F471C" w:rsidRPr="001302F9" w:rsidRDefault="000F471C" w:rsidP="00CB5F79">
            <w:pPr>
              <w:cnfStyle w:val="000000100000" w:firstRow="0" w:lastRow="0" w:firstColumn="0" w:lastColumn="0" w:oddVBand="0" w:evenVBand="0" w:oddHBand="1" w:evenHBand="0" w:firstRowFirstColumn="0" w:firstRowLastColumn="0" w:lastRowFirstColumn="0" w:lastRowLastColumn="0"/>
              <w:rPr>
                <w:rFonts w:ascii="Arial" w:hAnsi="Arial" w:cs="Arial"/>
                <w:lang w:val="sr-Latn-ME"/>
              </w:rPr>
            </w:pPr>
          </w:p>
          <w:p w:rsidR="000F471C" w:rsidRPr="001302F9" w:rsidRDefault="000F471C" w:rsidP="00CB5F79">
            <w:pPr>
              <w:cnfStyle w:val="000000100000" w:firstRow="0" w:lastRow="0" w:firstColumn="0" w:lastColumn="0" w:oddVBand="0" w:evenVBand="0" w:oddHBand="1" w:evenHBand="0" w:firstRowFirstColumn="0" w:firstRowLastColumn="0" w:lastRowFirstColumn="0" w:lastRowLastColumn="0"/>
              <w:rPr>
                <w:rFonts w:ascii="Arial" w:hAnsi="Arial" w:cs="Arial"/>
                <w:lang w:val="sr-Latn-ME"/>
              </w:rPr>
            </w:pPr>
          </w:p>
          <w:p w:rsidR="000F471C" w:rsidRPr="001302F9" w:rsidRDefault="000F471C" w:rsidP="00CB5F79">
            <w:pPr>
              <w:cnfStyle w:val="000000100000" w:firstRow="0" w:lastRow="0" w:firstColumn="0" w:lastColumn="0" w:oddVBand="0" w:evenVBand="0" w:oddHBand="1" w:evenHBand="0" w:firstRowFirstColumn="0" w:firstRowLastColumn="0" w:lastRowFirstColumn="0" w:lastRowLastColumn="0"/>
              <w:rPr>
                <w:rFonts w:ascii="Arial" w:hAnsi="Arial" w:cs="Arial"/>
                <w:lang w:val="sr-Latn-ME"/>
              </w:rPr>
            </w:pPr>
          </w:p>
          <w:p w:rsidR="000F471C" w:rsidRPr="001302F9" w:rsidRDefault="000F471C" w:rsidP="00CB5F79">
            <w:pPr>
              <w:cnfStyle w:val="000000100000" w:firstRow="0" w:lastRow="0" w:firstColumn="0" w:lastColumn="0" w:oddVBand="0" w:evenVBand="0" w:oddHBand="1" w:evenHBand="0" w:firstRowFirstColumn="0" w:firstRowLastColumn="0" w:lastRowFirstColumn="0" w:lastRowLastColumn="0"/>
              <w:rPr>
                <w:rFonts w:ascii="Arial" w:hAnsi="Arial" w:cs="Arial"/>
                <w:lang w:val="sr-Latn-ME"/>
              </w:rPr>
            </w:pPr>
          </w:p>
          <w:p w:rsidR="000F471C" w:rsidRPr="001302F9" w:rsidRDefault="000F471C" w:rsidP="00CB5F79">
            <w:pPr>
              <w:cnfStyle w:val="000000100000" w:firstRow="0" w:lastRow="0" w:firstColumn="0" w:lastColumn="0" w:oddVBand="0" w:evenVBand="0" w:oddHBand="1" w:evenHBand="0" w:firstRowFirstColumn="0" w:firstRowLastColumn="0" w:lastRowFirstColumn="0" w:lastRowLastColumn="0"/>
              <w:rPr>
                <w:rFonts w:ascii="Arial" w:hAnsi="Arial" w:cs="Arial"/>
                <w:lang w:val="sr-Latn-ME"/>
              </w:rPr>
            </w:pPr>
          </w:p>
        </w:tc>
      </w:tr>
      <w:tr w:rsidR="000F471C" w:rsidRPr="007E0998" w:rsidTr="00CB5F79">
        <w:trPr>
          <w:trHeight w:val="70"/>
        </w:trPr>
        <w:tc>
          <w:tcPr>
            <w:cnfStyle w:val="001000000000" w:firstRow="0" w:lastRow="0" w:firstColumn="1" w:lastColumn="0" w:oddVBand="0" w:evenVBand="0" w:oddHBand="0" w:evenHBand="0" w:firstRowFirstColumn="0" w:firstRowLastColumn="0" w:lastRowFirstColumn="0" w:lastRowLastColumn="0"/>
            <w:tcW w:w="1933" w:type="dxa"/>
            <w:shd w:val="clear" w:color="auto" w:fill="DEEAF6" w:themeFill="accent1" w:themeFillTint="33"/>
            <w:vAlign w:val="center"/>
            <w:hideMark/>
          </w:tcPr>
          <w:p w:rsidR="000F471C" w:rsidRPr="001302F9" w:rsidRDefault="000F471C" w:rsidP="00CB5F79">
            <w:pPr>
              <w:rPr>
                <w:rFonts w:ascii="Arial" w:eastAsia="Times New Roman" w:hAnsi="Arial" w:cs="Arial"/>
                <w:color w:val="1F4E79" w:themeColor="accent1" w:themeShade="80"/>
                <w:lang w:val="sr-Latn-ME"/>
              </w:rPr>
            </w:pPr>
            <w:r w:rsidRPr="001302F9">
              <w:rPr>
                <w:rFonts w:ascii="Arial" w:eastAsia="Times New Roman" w:hAnsi="Arial" w:cs="Arial"/>
                <w:color w:val="1F4E79" w:themeColor="accent1" w:themeShade="80"/>
                <w:lang w:val="sr-Latn-ME"/>
              </w:rPr>
              <w:t>2. Ekonomsko okruženje</w:t>
            </w:r>
          </w:p>
        </w:tc>
        <w:tc>
          <w:tcPr>
            <w:tcW w:w="3732" w:type="dxa"/>
            <w:shd w:val="clear" w:color="auto" w:fill="DEEAF6" w:themeFill="accent1" w:themeFillTint="33"/>
            <w:vAlign w:val="center"/>
          </w:tcPr>
          <w:p w:rsidR="000F471C" w:rsidRPr="001302F9" w:rsidRDefault="000F471C" w:rsidP="00CB5F7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F4E79" w:themeColor="accent1" w:themeShade="80"/>
                <w:lang w:val="sr-Latn-ME"/>
              </w:rPr>
            </w:pPr>
            <w:r w:rsidRPr="001302F9">
              <w:rPr>
                <w:rFonts w:ascii="Arial" w:eastAsia="Times New Roman" w:hAnsi="Arial" w:cs="Arial"/>
                <w:color w:val="1F4E79" w:themeColor="accent1" w:themeShade="80"/>
                <w:lang w:val="sr-Latn-ME"/>
              </w:rPr>
              <w:t xml:space="preserve">Razvijen strateški okvir. </w:t>
            </w:r>
          </w:p>
          <w:p w:rsidR="000F471C" w:rsidRPr="001302F9" w:rsidRDefault="000F471C" w:rsidP="00CB5F7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F4E79" w:themeColor="accent1" w:themeShade="80"/>
                <w:lang w:val="sr-Latn-ME"/>
              </w:rPr>
            </w:pPr>
            <w:r w:rsidRPr="001302F9">
              <w:rPr>
                <w:rFonts w:ascii="Arial" w:eastAsia="Times New Roman" w:hAnsi="Arial" w:cs="Arial"/>
                <w:color w:val="1F4E79" w:themeColor="accent1" w:themeShade="80"/>
                <w:lang w:val="sr-Latn-ME"/>
              </w:rPr>
              <w:t>Očuvana makroekonomska stabilnost i stabilnost finansijskog sistema.</w:t>
            </w:r>
          </w:p>
          <w:p w:rsidR="000F471C" w:rsidRPr="001302F9" w:rsidRDefault="000F471C" w:rsidP="00CB5F7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F4E79" w:themeColor="accent1" w:themeShade="80"/>
                <w:lang w:val="sr-Latn-ME"/>
              </w:rPr>
            </w:pPr>
            <w:r w:rsidRPr="001302F9">
              <w:rPr>
                <w:rFonts w:ascii="Arial" w:eastAsia="Times New Roman" w:hAnsi="Arial" w:cs="Arial"/>
                <w:color w:val="1F4E79" w:themeColor="accent1" w:themeShade="80"/>
                <w:lang w:val="sr-Latn-ME"/>
              </w:rPr>
              <w:t>Povoljan geografski položaj i veliki prirodni potencijal.</w:t>
            </w:r>
          </w:p>
          <w:p w:rsidR="000F471C" w:rsidRPr="001302F9" w:rsidRDefault="000F471C" w:rsidP="00CB5F7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F4E79" w:themeColor="accent1" w:themeShade="80"/>
                <w:lang w:val="sr-Latn-ME"/>
              </w:rPr>
            </w:pPr>
            <w:r w:rsidRPr="001302F9">
              <w:rPr>
                <w:rFonts w:ascii="Arial" w:eastAsia="Times New Roman" w:hAnsi="Arial" w:cs="Arial"/>
                <w:color w:val="1F4E79" w:themeColor="accent1" w:themeShade="80"/>
                <w:lang w:val="sr-Latn-ME"/>
              </w:rPr>
              <w:t xml:space="preserve">Dostupnost EU sredstava koja pomažu jačanju javne uprave, infrastrukture, zaštite životne sredine, obrazovanja, zdravstva i pravde, </w:t>
            </w:r>
            <w:r w:rsidR="007E0998">
              <w:rPr>
                <w:rFonts w:ascii="Arial" w:eastAsia="Times New Roman" w:hAnsi="Arial" w:cs="Arial"/>
                <w:color w:val="1F4E79" w:themeColor="accent1" w:themeShade="80"/>
                <w:lang w:val="sr-Latn-ME"/>
              </w:rPr>
              <w:t>a</w:t>
            </w:r>
            <w:r w:rsidRPr="001302F9">
              <w:rPr>
                <w:rFonts w:ascii="Arial" w:eastAsia="Times New Roman" w:hAnsi="Arial" w:cs="Arial"/>
                <w:color w:val="1F4E79" w:themeColor="accent1" w:themeShade="80"/>
                <w:lang w:val="sr-Latn-ME"/>
              </w:rPr>
              <w:t xml:space="preserve"> koja su nam</w:t>
            </w:r>
            <w:r w:rsidR="007E0998">
              <w:rPr>
                <w:rFonts w:ascii="Arial" w:eastAsia="Times New Roman" w:hAnsi="Arial" w:cs="Arial"/>
                <w:color w:val="1F4E79" w:themeColor="accent1" w:themeShade="80"/>
                <w:lang w:val="sr-Latn-ME"/>
              </w:rPr>
              <w:t>ije</w:t>
            </w:r>
            <w:r w:rsidRPr="001302F9">
              <w:rPr>
                <w:rFonts w:ascii="Arial" w:eastAsia="Times New Roman" w:hAnsi="Arial" w:cs="Arial"/>
                <w:color w:val="1F4E79" w:themeColor="accent1" w:themeShade="80"/>
                <w:lang w:val="sr-Latn-ME"/>
              </w:rPr>
              <w:t xml:space="preserve">njena podršci ekonomskim, političkim i socijalnim reformama sa ciljem ubrzanja procesa </w:t>
            </w:r>
            <w:r w:rsidR="007E0998">
              <w:rPr>
                <w:rFonts w:ascii="Arial" w:eastAsia="Times New Roman" w:hAnsi="Arial" w:cs="Arial"/>
                <w:color w:val="1F4E79" w:themeColor="accent1" w:themeShade="80"/>
                <w:lang w:val="sr-Latn-ME"/>
              </w:rPr>
              <w:t>EU</w:t>
            </w:r>
            <w:r w:rsidRPr="001302F9">
              <w:rPr>
                <w:rFonts w:ascii="Arial" w:eastAsia="Times New Roman" w:hAnsi="Arial" w:cs="Arial"/>
                <w:color w:val="1F4E79" w:themeColor="accent1" w:themeShade="80"/>
                <w:lang w:val="sr-Latn-ME"/>
              </w:rPr>
              <w:t xml:space="preserve"> integracija.</w:t>
            </w:r>
          </w:p>
          <w:p w:rsidR="000F471C" w:rsidRPr="001302F9" w:rsidRDefault="000F471C" w:rsidP="00CB5F7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F4E79" w:themeColor="accent1" w:themeShade="80"/>
                <w:lang w:val="sr-Latn-ME"/>
              </w:rPr>
            </w:pPr>
          </w:p>
          <w:p w:rsidR="000F471C" w:rsidRPr="001302F9" w:rsidRDefault="000F471C" w:rsidP="00CB5F7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F4E79" w:themeColor="accent1" w:themeShade="80"/>
                <w:lang w:val="sr-Latn-ME"/>
              </w:rPr>
            </w:pPr>
          </w:p>
        </w:tc>
        <w:tc>
          <w:tcPr>
            <w:tcW w:w="3665" w:type="dxa"/>
            <w:shd w:val="clear" w:color="auto" w:fill="DEEAF6" w:themeFill="accent1" w:themeFillTint="33"/>
            <w:vAlign w:val="center"/>
          </w:tcPr>
          <w:p w:rsidR="000F471C" w:rsidRPr="001302F9" w:rsidRDefault="000F471C" w:rsidP="00CB5F7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F4E79" w:themeColor="accent1" w:themeShade="80"/>
                <w:lang w:val="sr-Latn-ME"/>
              </w:rPr>
            </w:pPr>
            <w:r w:rsidRPr="001302F9">
              <w:rPr>
                <w:rFonts w:ascii="Arial" w:eastAsia="Times New Roman" w:hAnsi="Arial" w:cs="Arial"/>
                <w:color w:val="1F4E79" w:themeColor="accent1" w:themeShade="80"/>
                <w:lang w:val="sr-Latn-ME"/>
              </w:rPr>
              <w:t xml:space="preserve">Nedovoljno diversifikovana ekonomska struktura sa prekomjernom zavisnošću od turizma kao glavnog pokretača privrede. </w:t>
            </w:r>
          </w:p>
          <w:p w:rsidR="000F471C" w:rsidRPr="001302F9" w:rsidRDefault="000F471C" w:rsidP="00CB5F7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F4E79" w:themeColor="accent1" w:themeShade="80"/>
                <w:lang w:val="sr-Latn-ME"/>
              </w:rPr>
            </w:pPr>
            <w:r w:rsidRPr="001302F9">
              <w:rPr>
                <w:rFonts w:ascii="Arial" w:eastAsia="Times New Roman" w:hAnsi="Arial" w:cs="Arial"/>
                <w:color w:val="1F4E79" w:themeColor="accent1" w:themeShade="80"/>
                <w:lang w:val="sr-Latn-ME"/>
              </w:rPr>
              <w:t>Visok nivo javnog duga. Nedovoljan rast stranih direktnih investicija.</w:t>
            </w:r>
          </w:p>
          <w:p w:rsidR="000F471C" w:rsidRPr="001302F9" w:rsidRDefault="000F471C" w:rsidP="00CB5F7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F4E79" w:themeColor="accent1" w:themeShade="80"/>
                <w:lang w:val="sr-Latn-ME"/>
              </w:rPr>
            </w:pPr>
            <w:r w:rsidRPr="001302F9">
              <w:rPr>
                <w:rFonts w:ascii="Arial" w:eastAsia="Times New Roman" w:hAnsi="Arial" w:cs="Arial"/>
                <w:color w:val="1F4E79" w:themeColor="accent1" w:themeShade="80"/>
                <w:lang w:val="sr-Latn-ME"/>
              </w:rPr>
              <w:t>Nedovoljna iskorišćenost ljudskih resursa.</w:t>
            </w:r>
          </w:p>
          <w:p w:rsidR="00331265" w:rsidRDefault="000F471C" w:rsidP="00CB5F7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F4E79" w:themeColor="accent1" w:themeShade="80"/>
                <w:lang w:val="sr-Latn-ME"/>
              </w:rPr>
            </w:pPr>
            <w:r w:rsidRPr="001302F9">
              <w:rPr>
                <w:rFonts w:ascii="Arial" w:eastAsia="Times New Roman" w:hAnsi="Arial" w:cs="Arial"/>
                <w:color w:val="1F4E79" w:themeColor="accent1" w:themeShade="80"/>
                <w:lang w:val="sr-Latn-ME"/>
              </w:rPr>
              <w:t>Nedovoljno obučeni kadar za specifične zadatke, uključujući implementaciju projekata finansiranih iz EU fondova.</w:t>
            </w:r>
          </w:p>
          <w:p w:rsidR="000F471C" w:rsidRPr="001302F9" w:rsidRDefault="000F471C" w:rsidP="00CB5F7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F4E79" w:themeColor="accent1" w:themeShade="80"/>
                <w:lang w:val="sr-Latn-ME"/>
              </w:rPr>
            </w:pPr>
            <w:r w:rsidRPr="001302F9">
              <w:rPr>
                <w:rFonts w:ascii="Arial" w:eastAsia="Times New Roman" w:hAnsi="Arial" w:cs="Arial"/>
                <w:color w:val="1F4E79" w:themeColor="accent1" w:themeShade="80"/>
                <w:lang w:val="sr-Latn-ME"/>
              </w:rPr>
              <w:t xml:space="preserve"> Regionalne razlike u indeksu razvoja. </w:t>
            </w:r>
          </w:p>
          <w:p w:rsidR="000F471C" w:rsidRPr="001302F9" w:rsidRDefault="000F471C" w:rsidP="00CB5F7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F4E79" w:themeColor="accent1" w:themeShade="80"/>
                <w:lang w:val="sr-Latn-ME"/>
              </w:rPr>
            </w:pPr>
            <w:r w:rsidRPr="001302F9">
              <w:rPr>
                <w:rFonts w:ascii="Arial" w:eastAsia="Times New Roman" w:hAnsi="Arial" w:cs="Arial"/>
                <w:color w:val="1F4E79" w:themeColor="accent1" w:themeShade="80"/>
                <w:lang w:val="sr-Latn-ME"/>
              </w:rPr>
              <w:t>Visok nivo nezaposlenosti.</w:t>
            </w:r>
          </w:p>
        </w:tc>
      </w:tr>
      <w:tr w:rsidR="000F471C" w:rsidRPr="0050642E" w:rsidTr="00CB5F7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933" w:type="dxa"/>
            <w:shd w:val="clear" w:color="auto" w:fill="DEEAF6" w:themeFill="accent1" w:themeFillTint="33"/>
            <w:vAlign w:val="center"/>
            <w:hideMark/>
          </w:tcPr>
          <w:p w:rsidR="000F471C" w:rsidRPr="001302F9" w:rsidRDefault="000F471C" w:rsidP="00CB5F79">
            <w:pPr>
              <w:rPr>
                <w:rFonts w:ascii="Arial" w:eastAsia="Times New Roman" w:hAnsi="Arial" w:cs="Arial"/>
                <w:b w:val="0"/>
                <w:bCs w:val="0"/>
                <w:color w:val="1F4E79" w:themeColor="accent1" w:themeShade="80"/>
                <w:lang w:val="sr-Latn-ME"/>
              </w:rPr>
            </w:pPr>
            <w:r w:rsidRPr="001302F9">
              <w:rPr>
                <w:rFonts w:ascii="Arial" w:eastAsia="Times New Roman" w:hAnsi="Arial" w:cs="Arial"/>
                <w:color w:val="1F4E79" w:themeColor="accent1" w:themeShade="80"/>
                <w:lang w:val="sr-Latn-ME"/>
              </w:rPr>
              <w:t>3. Socijalno okruženje (demografija, obrazovanje, zdravstvo, socijalna zaštita)</w:t>
            </w:r>
          </w:p>
          <w:p w:rsidR="000F471C" w:rsidRPr="001302F9" w:rsidRDefault="000F471C" w:rsidP="00CB5F79">
            <w:pPr>
              <w:rPr>
                <w:rFonts w:ascii="Arial" w:eastAsia="Times New Roman" w:hAnsi="Arial" w:cs="Arial"/>
                <w:b w:val="0"/>
                <w:bCs w:val="0"/>
                <w:color w:val="1F4E79" w:themeColor="accent1" w:themeShade="80"/>
                <w:lang w:val="sr-Latn-ME"/>
              </w:rPr>
            </w:pPr>
          </w:p>
          <w:p w:rsidR="000F471C" w:rsidRPr="001302F9" w:rsidRDefault="000F471C" w:rsidP="00CB5F79">
            <w:pPr>
              <w:rPr>
                <w:rFonts w:ascii="Arial" w:eastAsia="Times New Roman" w:hAnsi="Arial" w:cs="Arial"/>
                <w:b w:val="0"/>
                <w:bCs w:val="0"/>
                <w:color w:val="1F4E79" w:themeColor="accent1" w:themeShade="80"/>
                <w:lang w:val="sr-Latn-ME"/>
              </w:rPr>
            </w:pPr>
          </w:p>
          <w:p w:rsidR="000F471C" w:rsidRPr="001302F9" w:rsidRDefault="000F471C" w:rsidP="00CB5F79">
            <w:pPr>
              <w:rPr>
                <w:rFonts w:ascii="Arial" w:eastAsia="Times New Roman" w:hAnsi="Arial" w:cs="Arial"/>
                <w:b w:val="0"/>
                <w:bCs w:val="0"/>
                <w:color w:val="1F4E79" w:themeColor="accent1" w:themeShade="80"/>
                <w:lang w:val="sr-Latn-ME"/>
              </w:rPr>
            </w:pPr>
          </w:p>
          <w:p w:rsidR="000F471C" w:rsidRPr="001302F9" w:rsidRDefault="000F471C" w:rsidP="00CB5F79">
            <w:pPr>
              <w:rPr>
                <w:rFonts w:ascii="Arial" w:eastAsia="Times New Roman" w:hAnsi="Arial" w:cs="Arial"/>
                <w:b w:val="0"/>
                <w:bCs w:val="0"/>
                <w:color w:val="1F4E79" w:themeColor="accent1" w:themeShade="80"/>
                <w:lang w:val="sr-Latn-ME"/>
              </w:rPr>
            </w:pPr>
          </w:p>
          <w:p w:rsidR="000F471C" w:rsidRPr="001302F9" w:rsidRDefault="000F471C" w:rsidP="00CB5F79">
            <w:pPr>
              <w:rPr>
                <w:rFonts w:ascii="Arial" w:eastAsia="Times New Roman" w:hAnsi="Arial" w:cs="Arial"/>
                <w:color w:val="1F4E79" w:themeColor="accent1" w:themeShade="80"/>
                <w:lang w:val="sr-Latn-ME"/>
              </w:rPr>
            </w:pPr>
          </w:p>
        </w:tc>
        <w:tc>
          <w:tcPr>
            <w:tcW w:w="3732" w:type="dxa"/>
            <w:shd w:val="clear" w:color="auto" w:fill="DEEAF6" w:themeFill="accent1" w:themeFillTint="33"/>
            <w:vAlign w:val="center"/>
          </w:tcPr>
          <w:p w:rsidR="000F471C" w:rsidRPr="001302F9" w:rsidRDefault="000F471C" w:rsidP="00CB5F7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F4E79" w:themeColor="accent1" w:themeShade="80"/>
                <w:lang w:val="sr-Latn-ME"/>
              </w:rPr>
            </w:pPr>
            <w:r w:rsidRPr="001302F9">
              <w:rPr>
                <w:rFonts w:ascii="Arial" w:eastAsia="Times New Roman" w:hAnsi="Arial" w:cs="Arial"/>
                <w:color w:val="1F4E79" w:themeColor="accent1" w:themeShade="80"/>
                <w:lang w:val="sr-Latn-ME"/>
              </w:rPr>
              <w:t xml:space="preserve">Relativno stabilna demografska ravnoteža. </w:t>
            </w:r>
          </w:p>
          <w:p w:rsidR="00331265" w:rsidRDefault="007E0998" w:rsidP="00CB5F7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F4E79" w:themeColor="accent1" w:themeShade="80"/>
                <w:lang w:val="sr-Latn-ME"/>
              </w:rPr>
            </w:pPr>
            <w:r w:rsidRPr="001302F9">
              <w:rPr>
                <w:rFonts w:ascii="Arial" w:eastAsia="Times New Roman" w:hAnsi="Arial" w:cs="Arial"/>
                <w:color w:val="1F4E79" w:themeColor="accent1" w:themeShade="80"/>
                <w:lang w:val="sr-Latn-ME"/>
              </w:rPr>
              <w:t>Investicije u obrazovni kadar</w:t>
            </w:r>
            <w:r>
              <w:rPr>
                <w:rFonts w:ascii="Arial" w:eastAsia="Times New Roman" w:hAnsi="Arial" w:cs="Arial"/>
                <w:color w:val="1F4E79" w:themeColor="accent1" w:themeShade="80"/>
                <w:lang w:val="sr-Latn-ME"/>
              </w:rPr>
              <w:t>, r</w:t>
            </w:r>
            <w:r w:rsidR="000F471C" w:rsidRPr="001302F9">
              <w:rPr>
                <w:rFonts w:ascii="Arial" w:eastAsia="Times New Roman" w:hAnsi="Arial" w:cs="Arial"/>
                <w:color w:val="1F4E79" w:themeColor="accent1" w:themeShade="80"/>
                <w:lang w:val="sr-Latn-ME"/>
              </w:rPr>
              <w:t>azvoj i unaprijeđenje obrazovanja na odgovarajućem nivou.</w:t>
            </w:r>
          </w:p>
          <w:p w:rsidR="000F471C" w:rsidRPr="001302F9" w:rsidRDefault="000F471C" w:rsidP="00CB5F7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F4E79" w:themeColor="accent1" w:themeShade="80"/>
                <w:lang w:val="sr-Latn-ME"/>
              </w:rPr>
            </w:pPr>
            <w:r w:rsidRPr="001302F9">
              <w:rPr>
                <w:rFonts w:ascii="Arial" w:eastAsia="Times New Roman" w:hAnsi="Arial" w:cs="Arial"/>
                <w:color w:val="1F4E79" w:themeColor="accent1" w:themeShade="80"/>
                <w:lang w:val="sr-Latn-ME"/>
              </w:rPr>
              <w:t xml:space="preserve"> Orijentacija ka jačanju kapitalnih ulaganja u zdravstvo.</w:t>
            </w:r>
          </w:p>
          <w:p w:rsidR="000F471C" w:rsidRPr="001302F9" w:rsidRDefault="000F471C" w:rsidP="00CB5F7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F4E79" w:themeColor="accent1" w:themeShade="80"/>
                <w:lang w:val="sr-Latn-ME"/>
              </w:rPr>
            </w:pPr>
            <w:r w:rsidRPr="001302F9">
              <w:rPr>
                <w:rFonts w:ascii="Arial" w:eastAsia="Times New Roman" w:hAnsi="Arial" w:cs="Arial"/>
                <w:color w:val="1F4E79" w:themeColor="accent1" w:themeShade="80"/>
                <w:lang w:val="sr-Latn-ME"/>
              </w:rPr>
              <w:t>Povećenje izdvajanja za socijalnu zaštitu.</w:t>
            </w:r>
          </w:p>
          <w:p w:rsidR="000F471C" w:rsidRPr="001302F9" w:rsidRDefault="000F471C" w:rsidP="00CB5F7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F4E79" w:themeColor="accent1" w:themeShade="80"/>
                <w:lang w:val="sr-Latn-ME"/>
              </w:rPr>
            </w:pPr>
          </w:p>
          <w:p w:rsidR="000F471C" w:rsidRPr="001302F9" w:rsidRDefault="000F471C" w:rsidP="00CB5F7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F4E79" w:themeColor="accent1" w:themeShade="80"/>
                <w:lang w:val="sr-Latn-ME"/>
              </w:rPr>
            </w:pPr>
          </w:p>
          <w:p w:rsidR="000F471C" w:rsidRPr="001302F9" w:rsidRDefault="000F471C" w:rsidP="00CB5F7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F4E79" w:themeColor="accent1" w:themeShade="80"/>
                <w:lang w:val="sr-Latn-ME"/>
              </w:rPr>
            </w:pPr>
          </w:p>
          <w:p w:rsidR="000F471C" w:rsidRPr="001302F9" w:rsidRDefault="000F471C" w:rsidP="00CB5F7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F4E79" w:themeColor="accent1" w:themeShade="80"/>
                <w:lang w:val="sr-Latn-ME"/>
              </w:rPr>
            </w:pPr>
          </w:p>
          <w:p w:rsidR="000F471C" w:rsidRPr="001302F9" w:rsidRDefault="000F471C" w:rsidP="00CB5F7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F4E79" w:themeColor="accent1" w:themeShade="80"/>
                <w:lang w:val="sr-Latn-ME"/>
              </w:rPr>
            </w:pPr>
          </w:p>
        </w:tc>
        <w:tc>
          <w:tcPr>
            <w:tcW w:w="3665" w:type="dxa"/>
            <w:shd w:val="clear" w:color="auto" w:fill="DEEAF6" w:themeFill="accent1" w:themeFillTint="33"/>
            <w:vAlign w:val="center"/>
          </w:tcPr>
          <w:p w:rsidR="000F471C" w:rsidRPr="001302F9" w:rsidRDefault="000F471C" w:rsidP="00CB5F7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F4E79" w:themeColor="accent1" w:themeShade="80"/>
                <w:lang w:val="sr-Latn-ME"/>
              </w:rPr>
            </w:pPr>
            <w:r w:rsidRPr="001302F9">
              <w:rPr>
                <w:rFonts w:ascii="Arial" w:eastAsia="Times New Roman" w:hAnsi="Arial" w:cs="Arial"/>
                <w:color w:val="1F4E79" w:themeColor="accent1" w:themeShade="80"/>
                <w:lang w:val="sr-Latn-ME"/>
              </w:rPr>
              <w:t xml:space="preserve">Migracije, naročito emigracija mladih u zapadnoevropske zemlje. Mladi često odlaze u potrazi za boljim ekonomskim prilikama, što doprinosi problemu "odliva mozgova". </w:t>
            </w:r>
          </w:p>
          <w:p w:rsidR="000F471C" w:rsidRPr="001302F9" w:rsidRDefault="000F471C" w:rsidP="00CB5F7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F4E79" w:themeColor="accent1" w:themeShade="80"/>
                <w:lang w:val="sr-Latn-ME"/>
              </w:rPr>
            </w:pPr>
            <w:r w:rsidRPr="001302F9">
              <w:rPr>
                <w:rFonts w:ascii="Arial" w:eastAsia="Times New Roman" w:hAnsi="Arial" w:cs="Arial"/>
                <w:color w:val="1F4E79" w:themeColor="accent1" w:themeShade="80"/>
                <w:lang w:val="sr-Latn-ME"/>
              </w:rPr>
              <w:t>Depopulacija i starenje stanovništva utiču na radnu snagu i opterećuju socijalni sistem. Nedovoljna digitalizacija zdravstvenog sistema.</w:t>
            </w:r>
          </w:p>
          <w:p w:rsidR="000F471C" w:rsidRPr="001302F9" w:rsidRDefault="000F471C" w:rsidP="00CB5F7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F4E79" w:themeColor="accent1" w:themeShade="80"/>
                <w:lang w:val="sr-Latn-ME"/>
              </w:rPr>
            </w:pPr>
            <w:r w:rsidRPr="001302F9">
              <w:rPr>
                <w:rFonts w:ascii="Arial" w:eastAsia="Times New Roman" w:hAnsi="Arial" w:cs="Arial"/>
                <w:color w:val="1F4E79" w:themeColor="accent1" w:themeShade="80"/>
                <w:lang w:val="sr-Latn-ME"/>
              </w:rPr>
              <w:t>Domaćinstva u sjevernim regionima i ruralnim područjima i dalje imaju povećanu vjerovatnoću siromaštva i lošije tržišne ishode od onih u centralnim djelovima Crne Gore i priobalnom regionu.</w:t>
            </w:r>
          </w:p>
        </w:tc>
      </w:tr>
      <w:tr w:rsidR="000F471C" w:rsidRPr="0050642E" w:rsidTr="00CB5F79">
        <w:trPr>
          <w:trHeight w:val="980"/>
        </w:trPr>
        <w:tc>
          <w:tcPr>
            <w:cnfStyle w:val="001000000000" w:firstRow="0" w:lastRow="0" w:firstColumn="1" w:lastColumn="0" w:oddVBand="0" w:evenVBand="0" w:oddHBand="0" w:evenHBand="0" w:firstRowFirstColumn="0" w:firstRowLastColumn="0" w:lastRowFirstColumn="0" w:lastRowLastColumn="0"/>
            <w:tcW w:w="1933" w:type="dxa"/>
            <w:shd w:val="clear" w:color="auto" w:fill="DEEAF6" w:themeFill="accent1" w:themeFillTint="33"/>
            <w:vAlign w:val="center"/>
            <w:hideMark/>
          </w:tcPr>
          <w:p w:rsidR="000F471C" w:rsidRPr="001302F9" w:rsidRDefault="000F471C" w:rsidP="00CB5F79">
            <w:pPr>
              <w:rPr>
                <w:rFonts w:ascii="Arial" w:eastAsia="Times New Roman" w:hAnsi="Arial" w:cs="Arial"/>
                <w:color w:val="1F4E79" w:themeColor="accent1" w:themeShade="80"/>
                <w:lang w:val="sr-Latn-ME"/>
              </w:rPr>
            </w:pPr>
            <w:r w:rsidRPr="001302F9">
              <w:rPr>
                <w:rFonts w:ascii="Arial" w:eastAsia="Times New Roman" w:hAnsi="Arial" w:cs="Arial"/>
                <w:color w:val="1F4E79" w:themeColor="accent1" w:themeShade="80"/>
                <w:lang w:val="sr-Latn-ME"/>
              </w:rPr>
              <w:t>4. Tehnološko okruženje</w:t>
            </w:r>
          </w:p>
        </w:tc>
        <w:tc>
          <w:tcPr>
            <w:tcW w:w="3732" w:type="dxa"/>
            <w:shd w:val="clear" w:color="auto" w:fill="DEEAF6" w:themeFill="accent1" w:themeFillTint="33"/>
            <w:vAlign w:val="center"/>
          </w:tcPr>
          <w:p w:rsidR="000F471C" w:rsidRPr="001302F9" w:rsidRDefault="000F471C" w:rsidP="00CB5F7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F4E79" w:themeColor="accent1" w:themeShade="80"/>
                <w:lang w:val="sr-Latn-ME"/>
              </w:rPr>
            </w:pPr>
            <w:r w:rsidRPr="001302F9">
              <w:rPr>
                <w:rFonts w:ascii="Arial" w:eastAsia="Times New Roman" w:hAnsi="Arial" w:cs="Arial"/>
                <w:color w:val="1F4E79" w:themeColor="accent1" w:themeShade="80"/>
                <w:lang w:val="sr-Latn-ME"/>
              </w:rPr>
              <w:t xml:space="preserve">Digitalna transformacija i tehnološko okruženje u Crnoj Gori postaju sve važniji faktori razvoja zemlje, kako u javnom, tako i u privatnom sektoru. </w:t>
            </w:r>
          </w:p>
          <w:p w:rsidR="000F471C" w:rsidRPr="001302F9" w:rsidRDefault="000F471C" w:rsidP="00CB5F7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F4E79" w:themeColor="accent1" w:themeShade="80"/>
                <w:lang w:val="sr-Latn-ME"/>
              </w:rPr>
            </w:pPr>
            <w:r w:rsidRPr="001302F9">
              <w:rPr>
                <w:rFonts w:ascii="Arial" w:eastAsia="Times New Roman" w:hAnsi="Arial" w:cs="Arial"/>
                <w:color w:val="1F4E79" w:themeColor="accent1" w:themeShade="80"/>
                <w:lang w:val="sr-Latn-ME"/>
              </w:rPr>
              <w:t xml:space="preserve">Inicijative usmjerene na poboljšanje digitalne infrastrukture, uvođenje inovativnih tehnologija i poboljšanje usluga u oblastima e-uprave, obrazovanja, zdravstva i privrede. </w:t>
            </w:r>
          </w:p>
          <w:p w:rsidR="000F471C" w:rsidRDefault="000F471C" w:rsidP="00CB5F7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F4E79" w:themeColor="accent1" w:themeShade="80"/>
                <w:lang w:val="sr-Latn-ME"/>
              </w:rPr>
            </w:pPr>
            <w:r w:rsidRPr="001302F9">
              <w:rPr>
                <w:rFonts w:ascii="Arial" w:eastAsia="Times New Roman" w:hAnsi="Arial" w:cs="Arial"/>
                <w:color w:val="1F4E79" w:themeColor="accent1" w:themeShade="80"/>
                <w:lang w:val="sr-Latn-ME"/>
              </w:rPr>
              <w:t>Napredan proces strateške infrastrukture (Strategije pametne specijalizacije i Strategija digitalne transformacije). Postojanje relativno razvijene IT zajednice.</w:t>
            </w:r>
          </w:p>
          <w:p w:rsidR="00331265" w:rsidRDefault="00331265" w:rsidP="00CB5F7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F4E79" w:themeColor="accent1" w:themeShade="80"/>
                <w:lang w:val="sr-Latn-ME"/>
              </w:rPr>
            </w:pPr>
          </w:p>
          <w:p w:rsidR="00331265" w:rsidRDefault="00331265" w:rsidP="00CB5F7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F4E79" w:themeColor="accent1" w:themeShade="80"/>
                <w:lang w:val="sr-Latn-ME"/>
              </w:rPr>
            </w:pPr>
          </w:p>
          <w:p w:rsidR="00331265" w:rsidRPr="001302F9" w:rsidRDefault="00331265" w:rsidP="00CB5F7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F4E79" w:themeColor="accent1" w:themeShade="80"/>
                <w:lang w:val="sr-Latn-ME"/>
              </w:rPr>
            </w:pPr>
          </w:p>
        </w:tc>
        <w:tc>
          <w:tcPr>
            <w:tcW w:w="3665" w:type="dxa"/>
            <w:shd w:val="clear" w:color="auto" w:fill="DEEAF6" w:themeFill="accent1" w:themeFillTint="33"/>
            <w:vAlign w:val="center"/>
          </w:tcPr>
          <w:p w:rsidR="000F471C" w:rsidRPr="001302F9" w:rsidRDefault="000F471C" w:rsidP="00CB5F7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F4E79" w:themeColor="accent1" w:themeShade="80"/>
                <w:lang w:val="sr-Latn-ME"/>
              </w:rPr>
            </w:pPr>
            <w:r w:rsidRPr="001302F9">
              <w:rPr>
                <w:rFonts w:ascii="Arial" w:eastAsia="Times New Roman" w:hAnsi="Arial" w:cs="Arial"/>
                <w:color w:val="1F4E79" w:themeColor="accent1" w:themeShade="80"/>
                <w:lang w:val="sr-Latn-ME"/>
              </w:rPr>
              <w:t xml:space="preserve">Lošija digitalna infrastruktura u ruralnim područjima. </w:t>
            </w:r>
          </w:p>
          <w:p w:rsidR="000F471C" w:rsidRPr="001302F9" w:rsidRDefault="000F471C" w:rsidP="00CB5F7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F4E79" w:themeColor="accent1" w:themeShade="80"/>
                <w:lang w:val="sr-Latn-ME"/>
              </w:rPr>
            </w:pPr>
            <w:r w:rsidRPr="001302F9">
              <w:rPr>
                <w:rFonts w:ascii="Arial" w:eastAsia="Times New Roman" w:hAnsi="Arial" w:cs="Arial"/>
                <w:color w:val="1F4E79" w:themeColor="accent1" w:themeShade="80"/>
                <w:lang w:val="sr-Latn-ME"/>
              </w:rPr>
              <w:t xml:space="preserve">Nedovoljno razvijene digitalne veštine u široj populaciji. </w:t>
            </w:r>
          </w:p>
          <w:p w:rsidR="000F471C" w:rsidRDefault="000F471C" w:rsidP="00CB5F7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F4E79" w:themeColor="accent1" w:themeShade="80"/>
                <w:lang w:val="sr-Latn-ME"/>
              </w:rPr>
            </w:pPr>
            <w:r w:rsidRPr="001302F9">
              <w:rPr>
                <w:rFonts w:ascii="Arial" w:eastAsia="Times New Roman" w:hAnsi="Arial" w:cs="Arial"/>
                <w:color w:val="1F4E79" w:themeColor="accent1" w:themeShade="80"/>
                <w:lang w:val="sr-Latn-ME"/>
              </w:rPr>
              <w:t>U pogledu zaštite finansijskih interesa EU, slaba je uključenost službenika u korišćenje IMS-a (Sistem za upravljanje nepravilnostima), digitalne platforme za prijavu nepravilnosti.</w:t>
            </w:r>
          </w:p>
          <w:p w:rsidR="00331265" w:rsidRPr="001302F9" w:rsidRDefault="00331265" w:rsidP="00CB5F7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F4E79" w:themeColor="accent1" w:themeShade="80"/>
                <w:lang w:val="sr-Latn-ME"/>
              </w:rPr>
            </w:pPr>
          </w:p>
          <w:p w:rsidR="000F471C" w:rsidRPr="001302F9" w:rsidRDefault="000F471C" w:rsidP="00CB5F7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F4E79" w:themeColor="accent1" w:themeShade="80"/>
                <w:lang w:val="sr-Latn-ME"/>
              </w:rPr>
            </w:pPr>
          </w:p>
          <w:p w:rsidR="000F471C" w:rsidRPr="001302F9" w:rsidRDefault="000F471C" w:rsidP="00CB5F7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F4E79" w:themeColor="accent1" w:themeShade="80"/>
                <w:lang w:val="sr-Latn-ME"/>
              </w:rPr>
            </w:pPr>
          </w:p>
          <w:p w:rsidR="000F471C" w:rsidRPr="001302F9" w:rsidRDefault="000F471C" w:rsidP="00CB5F7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F4E79" w:themeColor="accent1" w:themeShade="80"/>
                <w:lang w:val="sr-Latn-ME"/>
              </w:rPr>
            </w:pPr>
          </w:p>
          <w:p w:rsidR="000F471C" w:rsidRPr="001302F9" w:rsidRDefault="000F471C" w:rsidP="00CB5F7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F4E79" w:themeColor="accent1" w:themeShade="80"/>
                <w:lang w:val="sr-Latn-ME"/>
              </w:rPr>
            </w:pPr>
          </w:p>
          <w:p w:rsidR="000F471C" w:rsidRPr="001302F9" w:rsidRDefault="000F471C" w:rsidP="00CB5F7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F4E79" w:themeColor="accent1" w:themeShade="80"/>
                <w:lang w:val="sr-Latn-ME"/>
              </w:rPr>
            </w:pPr>
          </w:p>
        </w:tc>
      </w:tr>
      <w:tr w:rsidR="000F471C" w:rsidRPr="0050642E" w:rsidTr="00CB5F79">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1933" w:type="dxa"/>
            <w:shd w:val="clear" w:color="auto" w:fill="DEEAF6" w:themeFill="accent1" w:themeFillTint="33"/>
            <w:vAlign w:val="center"/>
            <w:hideMark/>
          </w:tcPr>
          <w:p w:rsidR="000F471C" w:rsidRPr="001302F9" w:rsidRDefault="000F471C" w:rsidP="00CB5F79">
            <w:pPr>
              <w:rPr>
                <w:rFonts w:ascii="Arial" w:eastAsia="Times New Roman" w:hAnsi="Arial" w:cs="Arial"/>
                <w:color w:val="1F4E79" w:themeColor="accent1" w:themeShade="80"/>
                <w:lang w:val="sr-Latn-ME"/>
              </w:rPr>
            </w:pPr>
            <w:r w:rsidRPr="001302F9">
              <w:rPr>
                <w:rFonts w:ascii="Arial" w:eastAsia="Times New Roman" w:hAnsi="Arial" w:cs="Arial"/>
                <w:color w:val="1F4E79" w:themeColor="accent1" w:themeShade="80"/>
                <w:lang w:val="sr-Latn-ME"/>
              </w:rPr>
              <w:t>5. Regulatorno i institucionalno okruženje</w:t>
            </w:r>
          </w:p>
        </w:tc>
        <w:tc>
          <w:tcPr>
            <w:tcW w:w="3732" w:type="dxa"/>
            <w:shd w:val="clear" w:color="auto" w:fill="DEEAF6" w:themeFill="accent1" w:themeFillTint="33"/>
            <w:vAlign w:val="center"/>
          </w:tcPr>
          <w:p w:rsidR="00331265" w:rsidRDefault="000F471C" w:rsidP="00CB5F7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F4E79" w:themeColor="accent1" w:themeShade="80"/>
                <w:lang w:val="sr-Latn-ME"/>
              </w:rPr>
            </w:pPr>
            <w:r w:rsidRPr="001302F9">
              <w:rPr>
                <w:rFonts w:ascii="Arial" w:eastAsia="Times New Roman" w:hAnsi="Arial" w:cs="Arial"/>
                <w:color w:val="1F4E79" w:themeColor="accent1" w:themeShade="80"/>
                <w:lang w:val="sr-Latn-ME"/>
              </w:rPr>
              <w:t>Napredan proces usvajanja EU acquis-a u relevantnim poglavljima.</w:t>
            </w:r>
          </w:p>
          <w:p w:rsidR="000F471C" w:rsidRPr="001302F9" w:rsidRDefault="000F471C" w:rsidP="00CB5F7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F4E79" w:themeColor="accent1" w:themeShade="80"/>
                <w:lang w:val="sr-Latn-ME"/>
              </w:rPr>
            </w:pPr>
            <w:r w:rsidRPr="001302F9">
              <w:rPr>
                <w:rFonts w:ascii="Arial" w:eastAsia="Times New Roman" w:hAnsi="Arial" w:cs="Arial"/>
                <w:color w:val="1F4E79" w:themeColor="accent1" w:themeShade="80"/>
                <w:lang w:val="sr-Latn-ME"/>
              </w:rPr>
              <w:t xml:space="preserve"> Razvijena infrastruktura javne uprave.</w:t>
            </w:r>
          </w:p>
          <w:p w:rsidR="000F471C" w:rsidRPr="001302F9" w:rsidRDefault="000F471C" w:rsidP="00CB5F7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F4E79" w:themeColor="accent1" w:themeShade="80"/>
                <w:lang w:val="sr-Latn-ME"/>
              </w:rPr>
            </w:pPr>
          </w:p>
          <w:p w:rsidR="000F471C" w:rsidRPr="001302F9" w:rsidRDefault="000F471C" w:rsidP="00CB5F7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F4E79" w:themeColor="accent1" w:themeShade="80"/>
                <w:lang w:val="sr-Latn-ME"/>
              </w:rPr>
            </w:pPr>
          </w:p>
          <w:p w:rsidR="000F471C" w:rsidRPr="001302F9" w:rsidRDefault="000F471C" w:rsidP="00CB5F7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F4E79" w:themeColor="accent1" w:themeShade="80"/>
                <w:lang w:val="sr-Latn-ME"/>
              </w:rPr>
            </w:pPr>
          </w:p>
        </w:tc>
        <w:tc>
          <w:tcPr>
            <w:tcW w:w="3665" w:type="dxa"/>
            <w:shd w:val="clear" w:color="auto" w:fill="DEEAF6" w:themeFill="accent1" w:themeFillTint="33"/>
            <w:vAlign w:val="center"/>
          </w:tcPr>
          <w:p w:rsidR="000F471C" w:rsidRPr="001302F9" w:rsidRDefault="000F471C" w:rsidP="00CB5F7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F4E79" w:themeColor="accent1" w:themeShade="80"/>
                <w:lang w:val="sr-Latn-ME"/>
              </w:rPr>
            </w:pPr>
            <w:r w:rsidRPr="001302F9">
              <w:rPr>
                <w:rFonts w:ascii="Arial" w:eastAsia="Times New Roman" w:hAnsi="Arial" w:cs="Arial"/>
                <w:color w:val="1F4E79" w:themeColor="accent1" w:themeShade="80"/>
                <w:lang w:val="sr-Latn-ME"/>
              </w:rPr>
              <w:t>Nedovoljna usklađenost sa EU regulativama.</w:t>
            </w:r>
          </w:p>
          <w:p w:rsidR="00331265" w:rsidRDefault="000F471C" w:rsidP="00CB5F7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F4E79" w:themeColor="accent1" w:themeShade="80"/>
                <w:lang w:val="sr-Latn-ME"/>
              </w:rPr>
            </w:pPr>
            <w:r w:rsidRPr="001302F9">
              <w:rPr>
                <w:rFonts w:ascii="Arial" w:eastAsia="Times New Roman" w:hAnsi="Arial" w:cs="Arial"/>
                <w:color w:val="1F4E79" w:themeColor="accent1" w:themeShade="80"/>
                <w:lang w:val="sr-Latn-ME"/>
              </w:rPr>
              <w:t>Nedovoljna efikasnost u funkcionisanju tijela javne uprave.</w:t>
            </w:r>
          </w:p>
          <w:p w:rsidR="000F471C" w:rsidRPr="001302F9" w:rsidRDefault="000F471C" w:rsidP="00CB5F7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F4E79" w:themeColor="accent1" w:themeShade="80"/>
                <w:lang w:val="sr-Latn-ME"/>
              </w:rPr>
            </w:pPr>
            <w:r w:rsidRPr="001302F9">
              <w:rPr>
                <w:rFonts w:ascii="Arial" w:eastAsia="Times New Roman" w:hAnsi="Arial" w:cs="Arial"/>
                <w:color w:val="1F4E79" w:themeColor="accent1" w:themeShade="80"/>
                <w:lang w:val="sr-Latn-ME"/>
              </w:rPr>
              <w:t xml:space="preserve"> Nedovoljno angažovanje institucija u oblasti zaštite finansijskih interesa EU.</w:t>
            </w:r>
          </w:p>
        </w:tc>
      </w:tr>
      <w:tr w:rsidR="000F471C" w:rsidRPr="0050642E" w:rsidTr="00CB5F79">
        <w:trPr>
          <w:trHeight w:val="728"/>
        </w:trPr>
        <w:tc>
          <w:tcPr>
            <w:cnfStyle w:val="001000000000" w:firstRow="0" w:lastRow="0" w:firstColumn="1" w:lastColumn="0" w:oddVBand="0" w:evenVBand="0" w:oddHBand="0" w:evenHBand="0" w:firstRowFirstColumn="0" w:firstRowLastColumn="0" w:lastRowFirstColumn="0" w:lastRowLastColumn="0"/>
            <w:tcW w:w="1933" w:type="dxa"/>
            <w:shd w:val="clear" w:color="auto" w:fill="DEEAF6" w:themeFill="accent1" w:themeFillTint="33"/>
            <w:vAlign w:val="center"/>
            <w:hideMark/>
          </w:tcPr>
          <w:p w:rsidR="000F471C" w:rsidRPr="001302F9" w:rsidRDefault="000F471C" w:rsidP="00CB5F79">
            <w:pPr>
              <w:rPr>
                <w:rFonts w:ascii="Arial" w:eastAsia="Times New Roman" w:hAnsi="Arial" w:cs="Arial"/>
                <w:color w:val="1F4E79" w:themeColor="accent1" w:themeShade="80"/>
                <w:lang w:val="sr-Latn-ME"/>
              </w:rPr>
            </w:pPr>
            <w:r w:rsidRPr="001302F9">
              <w:rPr>
                <w:rFonts w:ascii="Arial" w:eastAsia="Times New Roman" w:hAnsi="Arial" w:cs="Arial"/>
                <w:color w:val="1F4E79" w:themeColor="accent1" w:themeShade="80"/>
                <w:lang w:val="sr-Latn-ME"/>
              </w:rPr>
              <w:t>6. Ekološko okruženje</w:t>
            </w:r>
          </w:p>
        </w:tc>
        <w:tc>
          <w:tcPr>
            <w:tcW w:w="3732" w:type="dxa"/>
            <w:shd w:val="clear" w:color="auto" w:fill="DEEAF6" w:themeFill="accent1" w:themeFillTint="33"/>
            <w:vAlign w:val="center"/>
          </w:tcPr>
          <w:p w:rsidR="000F471C" w:rsidRPr="001302F9" w:rsidRDefault="000F471C" w:rsidP="00CB5F7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F4E79" w:themeColor="accent1" w:themeShade="80"/>
                <w:lang w:val="sr-Latn-ME"/>
              </w:rPr>
            </w:pPr>
            <w:r w:rsidRPr="001302F9">
              <w:rPr>
                <w:rFonts w:ascii="Arial" w:eastAsia="Times New Roman" w:hAnsi="Arial" w:cs="Arial"/>
                <w:color w:val="1F4E79" w:themeColor="accent1" w:themeShade="80"/>
                <w:lang w:val="sr-Latn-ME"/>
              </w:rPr>
              <w:t xml:space="preserve">Jasno izražena strateška posvećenost ekološki prihvatljivom ekonomskom razvoju. </w:t>
            </w:r>
          </w:p>
          <w:p w:rsidR="000F471C" w:rsidRPr="001302F9" w:rsidRDefault="000F471C" w:rsidP="00CB5F7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F4E79" w:themeColor="accent1" w:themeShade="80"/>
                <w:lang w:val="sr-Latn-ME"/>
              </w:rPr>
            </w:pPr>
            <w:r w:rsidRPr="001302F9">
              <w:rPr>
                <w:rFonts w:ascii="Arial" w:eastAsia="Times New Roman" w:hAnsi="Arial" w:cs="Arial"/>
                <w:color w:val="1F4E79" w:themeColor="accent1" w:themeShade="80"/>
                <w:lang w:val="sr-Latn-ME"/>
              </w:rPr>
              <w:t>Prepoznata kao ekološka zemlja. Usvojena Strategija održivog razvoja do 2030. godine.</w:t>
            </w:r>
          </w:p>
          <w:p w:rsidR="000F471C" w:rsidRPr="001302F9" w:rsidRDefault="000F471C" w:rsidP="00CB5F7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F4E79" w:themeColor="accent1" w:themeShade="80"/>
                <w:lang w:val="sr-Latn-ME"/>
              </w:rPr>
            </w:pPr>
          </w:p>
          <w:p w:rsidR="000F471C" w:rsidRPr="001302F9" w:rsidRDefault="000F471C" w:rsidP="00CB5F7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F4E79" w:themeColor="accent1" w:themeShade="80"/>
                <w:lang w:val="sr-Latn-ME"/>
              </w:rPr>
            </w:pPr>
          </w:p>
        </w:tc>
        <w:tc>
          <w:tcPr>
            <w:tcW w:w="3665" w:type="dxa"/>
            <w:shd w:val="clear" w:color="auto" w:fill="DEEAF6" w:themeFill="accent1" w:themeFillTint="33"/>
            <w:vAlign w:val="center"/>
          </w:tcPr>
          <w:p w:rsidR="000F471C" w:rsidRPr="001302F9" w:rsidRDefault="000F471C" w:rsidP="00CB5F7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F4E79" w:themeColor="accent1" w:themeShade="80"/>
                <w:lang w:val="sr-Latn-ME"/>
              </w:rPr>
            </w:pPr>
            <w:r w:rsidRPr="001302F9">
              <w:rPr>
                <w:rFonts w:ascii="Arial" w:eastAsia="Times New Roman" w:hAnsi="Arial" w:cs="Arial"/>
                <w:color w:val="1F4E79" w:themeColor="accent1" w:themeShade="80"/>
                <w:lang w:val="sr-Latn-ME"/>
              </w:rPr>
              <w:t xml:space="preserve">Nekontrolisana urbanizacija i prekomjerna gradnja utiču na nivo industrijskog zagađenja, otpadnih voda, kao i neadekvatno upravljanje otpadom. </w:t>
            </w:r>
          </w:p>
          <w:p w:rsidR="000F471C" w:rsidRPr="001302F9" w:rsidRDefault="000F471C" w:rsidP="00CB5F7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F4E79" w:themeColor="accent1" w:themeShade="80"/>
                <w:lang w:val="sr-Latn-ME"/>
              </w:rPr>
            </w:pPr>
            <w:r w:rsidRPr="001302F9">
              <w:rPr>
                <w:rFonts w:ascii="Arial" w:eastAsia="Times New Roman" w:hAnsi="Arial" w:cs="Arial"/>
                <w:color w:val="1F4E79" w:themeColor="accent1" w:themeShade="80"/>
                <w:lang w:val="sr-Latn-ME"/>
              </w:rPr>
              <w:t>Problem zagađenje životne sredine i energetska efikasnost.</w:t>
            </w:r>
          </w:p>
          <w:p w:rsidR="000F471C" w:rsidRPr="001302F9" w:rsidRDefault="000F471C" w:rsidP="00CB5F7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F4E79" w:themeColor="accent1" w:themeShade="80"/>
                <w:lang w:val="sr-Latn-ME"/>
              </w:rPr>
            </w:pPr>
            <w:r w:rsidRPr="001302F9">
              <w:rPr>
                <w:rFonts w:ascii="Arial" w:eastAsia="Times New Roman" w:hAnsi="Arial" w:cs="Arial"/>
                <w:color w:val="1F4E79" w:themeColor="accent1" w:themeShade="80"/>
                <w:lang w:val="sr-Latn-ME"/>
              </w:rPr>
              <w:t>Nedovoljna upotreba obnovljivih izvora energije.</w:t>
            </w:r>
          </w:p>
        </w:tc>
      </w:tr>
    </w:tbl>
    <w:p w:rsidR="000F471C" w:rsidRPr="001302F9" w:rsidRDefault="000F471C" w:rsidP="000F471C">
      <w:pPr>
        <w:rPr>
          <w:rFonts w:ascii="Arial" w:hAnsi="Arial" w:cs="Arial"/>
          <w:lang w:val="sr-Latn-ME"/>
        </w:rPr>
      </w:pPr>
    </w:p>
    <w:p w:rsidR="000F471C" w:rsidRPr="001302F9" w:rsidRDefault="000F471C" w:rsidP="000F471C">
      <w:pPr>
        <w:rPr>
          <w:rFonts w:ascii="Arial" w:hAnsi="Arial" w:cs="Arial"/>
          <w:lang w:val="sr-Latn-ME"/>
        </w:rPr>
      </w:pPr>
    </w:p>
    <w:p w:rsidR="000F471C" w:rsidRPr="001302F9" w:rsidRDefault="000F471C" w:rsidP="000F471C">
      <w:pPr>
        <w:spacing w:before="100" w:beforeAutospacing="1" w:after="100" w:afterAutospacing="1" w:line="240" w:lineRule="auto"/>
        <w:rPr>
          <w:rFonts w:ascii="Arial" w:eastAsia="Times New Roman" w:hAnsi="Arial" w:cs="Arial"/>
          <w:lang w:val="sr-Latn-ME"/>
        </w:rPr>
      </w:pPr>
      <w:r w:rsidRPr="001302F9">
        <w:rPr>
          <w:rFonts w:ascii="Arial" w:eastAsia="Times New Roman" w:hAnsi="Arial" w:cs="Arial"/>
          <w:b/>
          <w:bCs/>
          <w:lang w:val="sr-Latn-ME"/>
        </w:rPr>
        <w:t>2.4. Rezultati SWOT analize</w:t>
      </w:r>
    </w:p>
    <w:p w:rsidR="000F471C" w:rsidRPr="001302F9" w:rsidRDefault="000F471C" w:rsidP="000F471C">
      <w:pPr>
        <w:spacing w:before="100" w:beforeAutospacing="1" w:after="100" w:afterAutospacing="1" w:line="240" w:lineRule="auto"/>
        <w:rPr>
          <w:rFonts w:ascii="Arial" w:eastAsia="Times New Roman" w:hAnsi="Arial" w:cs="Arial"/>
          <w:lang w:val="sr-Latn-ME"/>
        </w:rPr>
      </w:pPr>
      <w:r w:rsidRPr="001302F9">
        <w:rPr>
          <w:rFonts w:ascii="Arial" w:eastAsia="Times New Roman" w:hAnsi="Arial" w:cs="Arial"/>
          <w:lang w:val="sr-Latn-ME"/>
        </w:rPr>
        <w:t xml:space="preserve">SWOT analiza sprovedena je od strane </w:t>
      </w:r>
      <w:r w:rsidR="00573BAF" w:rsidRPr="00573BAF">
        <w:rPr>
          <w:rFonts w:ascii="Arial" w:eastAsia="Times New Roman" w:hAnsi="Arial" w:cs="Arial"/>
          <w:lang w:val="sr-Latn-ME"/>
        </w:rPr>
        <w:t xml:space="preserve">Direkcije za zaštitu finansijskih interesa/AFCOS </w:t>
      </w:r>
      <w:r w:rsidRPr="001302F9">
        <w:rPr>
          <w:rFonts w:ascii="Arial" w:eastAsia="Times New Roman" w:hAnsi="Arial" w:cs="Arial"/>
          <w:lang w:val="sr-Latn-ME"/>
        </w:rPr>
        <w:t>krajem 2024. godine, a glavni rezultati ove analize sažeti su u sledećoj matrici:</w:t>
      </w:r>
    </w:p>
    <w:p w:rsidR="000F471C" w:rsidRPr="001302F9" w:rsidRDefault="000F471C" w:rsidP="000F471C">
      <w:pPr>
        <w:rPr>
          <w:rFonts w:ascii="Arial" w:hAnsi="Arial" w:cs="Arial"/>
          <w:lang w:val="sr-Latn-ME"/>
        </w:rPr>
      </w:pPr>
    </w:p>
    <w:tbl>
      <w:tblPr>
        <w:tblStyle w:val="GridTable6Colorful-Accent5"/>
        <w:tblW w:w="9448" w:type="dxa"/>
        <w:tblLook w:val="04A0" w:firstRow="1" w:lastRow="0" w:firstColumn="1" w:lastColumn="0" w:noHBand="0" w:noVBand="1"/>
      </w:tblPr>
      <w:tblGrid>
        <w:gridCol w:w="4724"/>
        <w:gridCol w:w="4724"/>
      </w:tblGrid>
      <w:tr w:rsidR="000F471C" w:rsidRPr="0050642E" w:rsidTr="00CB5F79">
        <w:trPr>
          <w:cnfStyle w:val="100000000000" w:firstRow="1" w:lastRow="0" w:firstColumn="0" w:lastColumn="0" w:oddVBand="0" w:evenVBand="0" w:oddHBand="0" w:evenHBand="0" w:firstRowFirstColumn="0" w:firstRowLastColumn="0" w:lastRowFirstColumn="0" w:lastRowLastColumn="0"/>
          <w:trHeight w:val="1691"/>
        </w:trPr>
        <w:tc>
          <w:tcPr>
            <w:cnfStyle w:val="001000000000" w:firstRow="0" w:lastRow="0" w:firstColumn="1" w:lastColumn="0" w:oddVBand="0" w:evenVBand="0" w:oddHBand="0" w:evenHBand="0" w:firstRowFirstColumn="0" w:firstRowLastColumn="0" w:lastRowFirstColumn="0" w:lastRowLastColumn="0"/>
            <w:tcW w:w="4724" w:type="dxa"/>
            <w:shd w:val="clear" w:color="auto" w:fill="DEEAF6" w:themeFill="accent1" w:themeFillTint="33"/>
          </w:tcPr>
          <w:p w:rsidR="00573BAF" w:rsidRPr="00573BAF" w:rsidRDefault="00573BAF" w:rsidP="00573BAF">
            <w:pPr>
              <w:spacing w:after="0" w:line="240" w:lineRule="auto"/>
              <w:contextualSpacing/>
              <w:jc w:val="both"/>
              <w:rPr>
                <w:rFonts w:ascii="Arial" w:hAnsi="Arial" w:cs="Arial"/>
                <w:color w:val="1F4E79" w:themeColor="accent1" w:themeShade="80"/>
                <w:lang w:val="sr-Latn-ME" w:eastAsia="x-none"/>
              </w:rPr>
            </w:pPr>
            <w:r w:rsidRPr="00573BAF">
              <w:rPr>
                <w:rFonts w:ascii="Arial" w:hAnsi="Arial" w:cs="Arial"/>
                <w:color w:val="1F4E79" w:themeColor="accent1" w:themeShade="80"/>
                <w:lang w:val="sr-Latn-ME" w:eastAsia="x-none"/>
              </w:rPr>
              <w:t>Snage</w:t>
            </w:r>
          </w:p>
          <w:p w:rsidR="00573BAF" w:rsidRPr="00573BAF" w:rsidRDefault="00573BAF" w:rsidP="00573BAF">
            <w:pPr>
              <w:spacing w:after="0" w:line="240" w:lineRule="auto"/>
              <w:contextualSpacing/>
              <w:jc w:val="both"/>
              <w:rPr>
                <w:rFonts w:ascii="Arial" w:hAnsi="Arial" w:cs="Arial"/>
                <w:color w:val="1F4E79" w:themeColor="accent1" w:themeShade="80"/>
                <w:lang w:val="sr-Latn-ME" w:eastAsia="x-none"/>
              </w:rPr>
            </w:pPr>
          </w:p>
          <w:p w:rsidR="00573BAF" w:rsidRPr="00573BAF" w:rsidRDefault="00573BAF" w:rsidP="00573BAF">
            <w:pPr>
              <w:spacing w:after="0" w:line="240" w:lineRule="auto"/>
              <w:contextualSpacing/>
              <w:jc w:val="both"/>
              <w:rPr>
                <w:rFonts w:ascii="Arial" w:hAnsi="Arial" w:cs="Arial"/>
                <w:b w:val="0"/>
                <w:color w:val="1F4E79" w:themeColor="accent1" w:themeShade="80"/>
                <w:lang w:val="sr-Latn-ME" w:eastAsia="x-none"/>
              </w:rPr>
            </w:pPr>
            <w:r w:rsidRPr="00573BAF">
              <w:rPr>
                <w:rFonts w:ascii="Arial" w:hAnsi="Arial" w:cs="Arial"/>
                <w:b w:val="0"/>
                <w:color w:val="1F4E79" w:themeColor="accent1" w:themeShade="80"/>
                <w:lang w:val="sr-Latn-ME" w:eastAsia="x-none"/>
              </w:rPr>
              <w:t>Crna Gora ima značajnu podršku iz EU fondova, što može ojačati kapacitet zemlje za zaštitu finansijskih interesa.</w:t>
            </w:r>
          </w:p>
          <w:p w:rsidR="00573BAF" w:rsidRDefault="00573BAF" w:rsidP="00573BAF">
            <w:pPr>
              <w:spacing w:after="0" w:line="240" w:lineRule="auto"/>
              <w:contextualSpacing/>
              <w:jc w:val="both"/>
              <w:rPr>
                <w:rFonts w:ascii="Arial" w:hAnsi="Arial" w:cs="Arial"/>
                <w:bCs w:val="0"/>
                <w:color w:val="1F4E79" w:themeColor="accent1" w:themeShade="80"/>
                <w:lang w:val="sr-Latn-ME" w:eastAsia="x-none"/>
              </w:rPr>
            </w:pPr>
          </w:p>
          <w:p w:rsidR="00573BAF" w:rsidRPr="00573BAF" w:rsidRDefault="00573BAF" w:rsidP="00573BAF">
            <w:pPr>
              <w:spacing w:after="0" w:line="240" w:lineRule="auto"/>
              <w:contextualSpacing/>
              <w:jc w:val="both"/>
              <w:rPr>
                <w:rFonts w:ascii="Arial" w:hAnsi="Arial" w:cs="Arial"/>
                <w:b w:val="0"/>
                <w:color w:val="1F4E79" w:themeColor="accent1" w:themeShade="80"/>
                <w:lang w:val="sr-Latn-ME" w:eastAsia="x-none"/>
              </w:rPr>
            </w:pPr>
            <w:r w:rsidRPr="00573BAF">
              <w:rPr>
                <w:rFonts w:ascii="Arial" w:hAnsi="Arial" w:cs="Arial"/>
                <w:b w:val="0"/>
                <w:color w:val="1F4E79" w:themeColor="accent1" w:themeShade="80"/>
                <w:lang w:val="sr-Latn-ME" w:eastAsia="x-none"/>
              </w:rPr>
              <w:t>Neupitna posvećenost političkih struktura pristupanju i članstvu u EU, kao i ispunjavanju obaveza kroz članstvo u NATO i drugim međunarodnim organizacijama.</w:t>
            </w:r>
          </w:p>
          <w:p w:rsidR="00573BAF" w:rsidRDefault="00573BAF" w:rsidP="00573BAF">
            <w:pPr>
              <w:spacing w:after="0" w:line="240" w:lineRule="auto"/>
              <w:contextualSpacing/>
              <w:jc w:val="both"/>
              <w:rPr>
                <w:rFonts w:ascii="Arial" w:hAnsi="Arial" w:cs="Arial"/>
                <w:bCs w:val="0"/>
                <w:color w:val="1F4E79" w:themeColor="accent1" w:themeShade="80"/>
                <w:lang w:val="sr-Latn-ME" w:eastAsia="x-none"/>
              </w:rPr>
            </w:pPr>
          </w:p>
          <w:p w:rsidR="00573BAF" w:rsidRPr="00573BAF" w:rsidRDefault="00573BAF" w:rsidP="00573BAF">
            <w:pPr>
              <w:spacing w:after="0" w:line="240" w:lineRule="auto"/>
              <w:contextualSpacing/>
              <w:jc w:val="both"/>
              <w:rPr>
                <w:rFonts w:ascii="Arial" w:hAnsi="Arial" w:cs="Arial"/>
                <w:b w:val="0"/>
                <w:color w:val="1F4E79" w:themeColor="accent1" w:themeShade="80"/>
                <w:lang w:val="sr-Latn-ME" w:eastAsia="x-none"/>
              </w:rPr>
            </w:pPr>
            <w:r w:rsidRPr="00573BAF">
              <w:rPr>
                <w:rFonts w:ascii="Arial" w:hAnsi="Arial" w:cs="Arial"/>
                <w:b w:val="0"/>
                <w:color w:val="1F4E79" w:themeColor="accent1" w:themeShade="80"/>
                <w:lang w:val="sr-Latn-ME" w:eastAsia="x-none"/>
              </w:rPr>
              <w:t>Postojanje institucija odgovornih za borbu protiv korupcije i upravljanje EU fondovima.</w:t>
            </w:r>
          </w:p>
          <w:p w:rsidR="00573BAF" w:rsidRDefault="00573BAF" w:rsidP="00573BAF">
            <w:pPr>
              <w:spacing w:after="0" w:line="240" w:lineRule="auto"/>
              <w:contextualSpacing/>
              <w:jc w:val="both"/>
              <w:rPr>
                <w:rFonts w:ascii="Arial" w:hAnsi="Arial" w:cs="Arial"/>
                <w:bCs w:val="0"/>
                <w:color w:val="1F4E79" w:themeColor="accent1" w:themeShade="80"/>
                <w:lang w:val="sr-Latn-ME" w:eastAsia="x-none"/>
              </w:rPr>
            </w:pPr>
          </w:p>
          <w:p w:rsidR="000F471C" w:rsidRPr="00573BAF" w:rsidRDefault="00573BAF" w:rsidP="00573BAF">
            <w:pPr>
              <w:spacing w:after="0" w:line="240" w:lineRule="auto"/>
              <w:contextualSpacing/>
              <w:jc w:val="both"/>
              <w:rPr>
                <w:rFonts w:ascii="Arial" w:hAnsi="Arial" w:cs="Arial"/>
                <w:b w:val="0"/>
                <w:color w:val="1F4E79" w:themeColor="accent1" w:themeShade="80"/>
                <w:lang w:val="sr-Latn-ME" w:eastAsia="x-none"/>
              </w:rPr>
            </w:pPr>
            <w:r w:rsidRPr="00573BAF">
              <w:rPr>
                <w:rFonts w:ascii="Arial" w:hAnsi="Arial" w:cs="Arial"/>
                <w:b w:val="0"/>
                <w:color w:val="1F4E79" w:themeColor="accent1" w:themeShade="80"/>
                <w:lang w:val="sr-Latn-ME" w:eastAsia="x-none"/>
              </w:rPr>
              <w:t>Razvijeni sistemi za praćenje i izv</w:t>
            </w:r>
            <w:r>
              <w:rPr>
                <w:rFonts w:ascii="Arial" w:hAnsi="Arial" w:cs="Arial"/>
                <w:b w:val="0"/>
                <w:color w:val="1F4E79" w:themeColor="accent1" w:themeShade="80"/>
                <w:lang w:val="sr-Latn-ME" w:eastAsia="x-none"/>
              </w:rPr>
              <w:t>j</w:t>
            </w:r>
            <w:r w:rsidRPr="00573BAF">
              <w:rPr>
                <w:rFonts w:ascii="Arial" w:hAnsi="Arial" w:cs="Arial"/>
                <w:b w:val="0"/>
                <w:color w:val="1F4E79" w:themeColor="accent1" w:themeShade="80"/>
                <w:lang w:val="sr-Latn-ME" w:eastAsia="x-none"/>
              </w:rPr>
              <w:t>eštavanje o korišćenju EU fondova, kao i izv</w:t>
            </w:r>
            <w:r>
              <w:rPr>
                <w:rFonts w:ascii="Arial" w:hAnsi="Arial" w:cs="Arial"/>
                <w:b w:val="0"/>
                <w:color w:val="1F4E79" w:themeColor="accent1" w:themeShade="80"/>
                <w:lang w:val="sr-Latn-ME" w:eastAsia="x-none"/>
              </w:rPr>
              <w:t>j</w:t>
            </w:r>
            <w:r w:rsidRPr="00573BAF">
              <w:rPr>
                <w:rFonts w:ascii="Arial" w:hAnsi="Arial" w:cs="Arial"/>
                <w:b w:val="0"/>
                <w:color w:val="1F4E79" w:themeColor="accent1" w:themeShade="80"/>
                <w:lang w:val="sr-Latn-ME" w:eastAsia="x-none"/>
              </w:rPr>
              <w:t>eštavanje o ne</w:t>
            </w:r>
            <w:r>
              <w:rPr>
                <w:rFonts w:ascii="Arial" w:hAnsi="Arial" w:cs="Arial"/>
                <w:b w:val="0"/>
                <w:color w:val="1F4E79" w:themeColor="accent1" w:themeShade="80"/>
                <w:lang w:val="sr-Latn-ME" w:eastAsia="x-none"/>
              </w:rPr>
              <w:t>pravilno</w:t>
            </w:r>
            <w:r w:rsidRPr="00573BAF">
              <w:rPr>
                <w:rFonts w:ascii="Arial" w:hAnsi="Arial" w:cs="Arial"/>
                <w:b w:val="0"/>
                <w:color w:val="1F4E79" w:themeColor="accent1" w:themeShade="80"/>
                <w:lang w:val="sr-Latn-ME" w:eastAsia="x-none"/>
              </w:rPr>
              <w:t xml:space="preserve"> potrošenim sredstvima.</w:t>
            </w:r>
            <w:r w:rsidRPr="00573BAF">
              <w:rPr>
                <w:rFonts w:ascii="Arial" w:hAnsi="Arial" w:cs="Arial"/>
                <w:color w:val="1F4E79" w:themeColor="accent1" w:themeShade="80"/>
                <w:lang w:val="sr-Latn-ME" w:eastAsia="x-none"/>
              </w:rPr>
              <w:tab/>
            </w:r>
          </w:p>
        </w:tc>
        <w:tc>
          <w:tcPr>
            <w:tcW w:w="4724" w:type="dxa"/>
            <w:shd w:val="clear" w:color="auto" w:fill="DEEAF6" w:themeFill="accent1" w:themeFillTint="33"/>
          </w:tcPr>
          <w:p w:rsidR="000F471C" w:rsidRPr="001302F9" w:rsidRDefault="000F471C" w:rsidP="00573BAF">
            <w:pPr>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1F4E79" w:themeColor="accent1" w:themeShade="80"/>
                <w:lang w:val="sr-Latn-ME" w:eastAsia="x-none"/>
              </w:rPr>
            </w:pPr>
            <w:r w:rsidRPr="001302F9">
              <w:rPr>
                <w:rFonts w:ascii="Arial" w:hAnsi="Arial" w:cs="Arial"/>
                <w:color w:val="1F4E79" w:themeColor="accent1" w:themeShade="80"/>
                <w:lang w:val="sr-Latn-ME" w:eastAsia="x-none"/>
              </w:rPr>
              <w:t>Slabosti</w:t>
            </w:r>
          </w:p>
          <w:p w:rsidR="00573BAF" w:rsidRDefault="00573BAF" w:rsidP="00573BAF">
            <w:pPr>
              <w:spacing w:after="0"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bCs w:val="0"/>
                <w:color w:val="1F4E79" w:themeColor="accent1" w:themeShade="80"/>
                <w:lang w:val="sr-Latn-ME" w:eastAsia="x-none"/>
              </w:rPr>
            </w:pPr>
          </w:p>
          <w:p w:rsidR="00573BAF" w:rsidRPr="00573BAF" w:rsidRDefault="00573BAF" w:rsidP="00573BAF">
            <w:pPr>
              <w:spacing w:after="0"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1F4E79" w:themeColor="accent1" w:themeShade="80"/>
                <w:lang w:val="sr-Latn-ME" w:eastAsia="x-none"/>
              </w:rPr>
            </w:pPr>
            <w:r w:rsidRPr="00573BAF">
              <w:rPr>
                <w:rFonts w:ascii="Arial" w:hAnsi="Arial" w:cs="Arial"/>
                <w:b w:val="0"/>
                <w:color w:val="1F4E79" w:themeColor="accent1" w:themeShade="80"/>
                <w:lang w:val="sr-Latn-ME" w:eastAsia="x-none"/>
              </w:rPr>
              <w:t>Visoki stepen</w:t>
            </w:r>
            <w:r>
              <w:rPr>
                <w:rFonts w:ascii="Arial" w:hAnsi="Arial" w:cs="Arial"/>
                <w:b w:val="0"/>
                <w:color w:val="1F4E79" w:themeColor="accent1" w:themeShade="80"/>
                <w:lang w:val="sr-Latn-ME" w:eastAsia="x-none"/>
              </w:rPr>
              <w:t xml:space="preserve"> </w:t>
            </w:r>
            <w:r w:rsidRPr="00573BAF">
              <w:rPr>
                <w:rFonts w:ascii="Arial" w:hAnsi="Arial" w:cs="Arial"/>
                <w:b w:val="0"/>
                <w:color w:val="1F4E79" w:themeColor="accent1" w:themeShade="80"/>
                <w:lang w:val="sr-Latn-ME" w:eastAsia="x-none"/>
              </w:rPr>
              <w:t>korupcije može oslabiti povjerenje u institucije i otežati zaštitu finansijskih interesa.</w:t>
            </w:r>
          </w:p>
          <w:p w:rsidR="00573BAF" w:rsidRDefault="00573BAF" w:rsidP="00573BAF">
            <w:pPr>
              <w:spacing w:after="0"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bCs w:val="0"/>
                <w:color w:val="1F4E79" w:themeColor="accent1" w:themeShade="80"/>
                <w:lang w:val="sr-Latn-ME" w:eastAsia="x-none"/>
              </w:rPr>
            </w:pPr>
          </w:p>
          <w:p w:rsidR="00573BAF" w:rsidRPr="00573BAF" w:rsidRDefault="00573BAF" w:rsidP="00573BAF">
            <w:pPr>
              <w:spacing w:after="0"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1F4E79" w:themeColor="accent1" w:themeShade="80"/>
                <w:lang w:val="sr-Latn-ME" w:eastAsia="x-none"/>
              </w:rPr>
            </w:pPr>
            <w:r w:rsidRPr="00573BAF">
              <w:rPr>
                <w:rFonts w:ascii="Arial" w:hAnsi="Arial" w:cs="Arial"/>
                <w:b w:val="0"/>
                <w:color w:val="1F4E79" w:themeColor="accent1" w:themeShade="80"/>
                <w:lang w:val="sr-Latn-ME" w:eastAsia="x-none"/>
              </w:rPr>
              <w:t>Nedovoljna obuka službenika koji upravljaju EU fondovima može dovesti do grešaka i nepravilnog korišćenja EU fondova.</w:t>
            </w:r>
          </w:p>
          <w:p w:rsidR="00573BAF" w:rsidRDefault="00573BAF" w:rsidP="00573BAF">
            <w:pPr>
              <w:spacing w:after="0"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bCs w:val="0"/>
                <w:color w:val="1F4E79" w:themeColor="accent1" w:themeShade="80"/>
                <w:lang w:val="sr-Latn-ME" w:eastAsia="x-none"/>
              </w:rPr>
            </w:pPr>
          </w:p>
          <w:p w:rsidR="00573BAF" w:rsidRPr="00573BAF" w:rsidRDefault="00573BAF" w:rsidP="00573BAF">
            <w:pPr>
              <w:spacing w:after="0"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1F4E79" w:themeColor="accent1" w:themeShade="80"/>
                <w:lang w:val="sr-Latn-ME" w:eastAsia="x-none"/>
              </w:rPr>
            </w:pPr>
            <w:r w:rsidRPr="00573BAF">
              <w:rPr>
                <w:rFonts w:ascii="Arial" w:hAnsi="Arial" w:cs="Arial"/>
                <w:b w:val="0"/>
                <w:color w:val="1F4E79" w:themeColor="accent1" w:themeShade="80"/>
                <w:lang w:val="sr-Latn-ME" w:eastAsia="x-none"/>
              </w:rPr>
              <w:t>Nea</w:t>
            </w:r>
            <w:r>
              <w:rPr>
                <w:rFonts w:ascii="Arial" w:hAnsi="Arial" w:cs="Arial"/>
                <w:b w:val="0"/>
                <w:color w:val="1F4E79" w:themeColor="accent1" w:themeShade="80"/>
                <w:lang w:val="sr-Latn-ME" w:eastAsia="x-none"/>
              </w:rPr>
              <w:t>dekvatna</w:t>
            </w:r>
            <w:r w:rsidRPr="00573BAF">
              <w:rPr>
                <w:rFonts w:ascii="Arial" w:hAnsi="Arial" w:cs="Arial"/>
                <w:b w:val="0"/>
                <w:color w:val="1F4E79" w:themeColor="accent1" w:themeShade="80"/>
                <w:lang w:val="sr-Latn-ME" w:eastAsia="x-none"/>
              </w:rPr>
              <w:t xml:space="preserve"> pravna osnova u vezi sa zaštitom finansijskih interesa EU.</w:t>
            </w:r>
          </w:p>
          <w:p w:rsidR="00573BAF" w:rsidRDefault="00573BAF" w:rsidP="00573BAF">
            <w:pPr>
              <w:spacing w:after="0"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bCs w:val="0"/>
                <w:color w:val="1F4E79" w:themeColor="accent1" w:themeShade="80"/>
                <w:lang w:val="sr-Latn-ME" w:eastAsia="x-none"/>
              </w:rPr>
            </w:pPr>
          </w:p>
          <w:p w:rsidR="00573BAF" w:rsidRPr="00573BAF" w:rsidRDefault="00573BAF" w:rsidP="00573BAF">
            <w:pPr>
              <w:spacing w:after="0"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1F4E79" w:themeColor="accent1" w:themeShade="80"/>
                <w:lang w:val="sr-Latn-ME" w:eastAsia="x-none"/>
              </w:rPr>
            </w:pPr>
            <w:r w:rsidRPr="00573BAF">
              <w:rPr>
                <w:rFonts w:ascii="Arial" w:hAnsi="Arial" w:cs="Arial"/>
                <w:b w:val="0"/>
                <w:color w:val="1F4E79" w:themeColor="accent1" w:themeShade="80"/>
                <w:lang w:val="sr-Latn-ME" w:eastAsia="x-none"/>
              </w:rPr>
              <w:t>Nedovoljno razvijeni postupci vezani za ovu oblast i neusaglašenost sa EU regulativama.</w:t>
            </w:r>
          </w:p>
          <w:p w:rsidR="00573BAF" w:rsidRDefault="00573BAF" w:rsidP="00573BAF">
            <w:pPr>
              <w:spacing w:after="0"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bCs w:val="0"/>
                <w:color w:val="1F4E79" w:themeColor="accent1" w:themeShade="80"/>
                <w:lang w:val="sr-Latn-ME" w:eastAsia="x-none"/>
              </w:rPr>
            </w:pPr>
          </w:p>
          <w:p w:rsidR="00573BAF" w:rsidRPr="00573BAF" w:rsidRDefault="00573BAF" w:rsidP="00573BAF">
            <w:pPr>
              <w:spacing w:after="0"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1F4E79" w:themeColor="accent1" w:themeShade="80"/>
                <w:lang w:val="sr-Latn-ME" w:eastAsia="x-none"/>
              </w:rPr>
            </w:pPr>
            <w:r w:rsidRPr="00573BAF">
              <w:rPr>
                <w:rFonts w:ascii="Arial" w:hAnsi="Arial" w:cs="Arial"/>
                <w:b w:val="0"/>
                <w:color w:val="1F4E79" w:themeColor="accent1" w:themeShade="80"/>
                <w:lang w:val="sr-Latn-ME" w:eastAsia="x-none"/>
              </w:rPr>
              <w:t>Nedovoljno znanje službenika van IPA struktura o procesima i problemima vezanim za korišćenje IPA fondova.</w:t>
            </w:r>
          </w:p>
          <w:p w:rsidR="00573BAF" w:rsidRDefault="00573BAF" w:rsidP="00573BAF">
            <w:pPr>
              <w:spacing w:after="0"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bCs w:val="0"/>
                <w:color w:val="1F4E79" w:themeColor="accent1" w:themeShade="80"/>
                <w:lang w:val="sr-Latn-ME" w:eastAsia="x-none"/>
              </w:rPr>
            </w:pPr>
          </w:p>
          <w:p w:rsidR="000F471C" w:rsidRPr="001302F9" w:rsidRDefault="00573BAF" w:rsidP="00573BAF">
            <w:pPr>
              <w:spacing w:after="0"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color w:val="1F4E79" w:themeColor="accent1" w:themeShade="80"/>
                <w:lang w:val="sr-Latn-ME" w:eastAsia="x-none"/>
              </w:rPr>
            </w:pPr>
            <w:r w:rsidRPr="00573BAF">
              <w:rPr>
                <w:rFonts w:ascii="Arial" w:hAnsi="Arial" w:cs="Arial"/>
                <w:b w:val="0"/>
                <w:color w:val="1F4E79" w:themeColor="accent1" w:themeShade="80"/>
                <w:lang w:val="sr-Latn-ME" w:eastAsia="x-none"/>
              </w:rPr>
              <w:t>Česte promjene i fluktuacija službenika koji se bave ovom oblašću.</w:t>
            </w:r>
          </w:p>
        </w:tc>
      </w:tr>
      <w:tr w:rsidR="000F471C" w:rsidRPr="001302F9" w:rsidTr="00CB5F79">
        <w:trPr>
          <w:cnfStyle w:val="000000100000" w:firstRow="0" w:lastRow="0" w:firstColumn="0" w:lastColumn="0" w:oddVBand="0" w:evenVBand="0" w:oddHBand="1" w:evenHBand="0" w:firstRowFirstColumn="0" w:firstRowLastColumn="0" w:lastRowFirstColumn="0" w:lastRowLastColumn="0"/>
          <w:trHeight w:val="5402"/>
        </w:trPr>
        <w:tc>
          <w:tcPr>
            <w:cnfStyle w:val="001000000000" w:firstRow="0" w:lastRow="0" w:firstColumn="1" w:lastColumn="0" w:oddVBand="0" w:evenVBand="0" w:oddHBand="0" w:evenHBand="0" w:firstRowFirstColumn="0" w:firstRowLastColumn="0" w:lastRowFirstColumn="0" w:lastRowLastColumn="0"/>
            <w:tcW w:w="4724" w:type="dxa"/>
            <w:shd w:val="clear" w:color="auto" w:fill="DEEAF6" w:themeFill="accent1" w:themeFillTint="33"/>
            <w:vAlign w:val="center"/>
          </w:tcPr>
          <w:p w:rsidR="00573BAF" w:rsidRPr="00573BAF" w:rsidRDefault="00573BAF" w:rsidP="00573BAF">
            <w:pPr>
              <w:jc w:val="both"/>
              <w:rPr>
                <w:rFonts w:ascii="Arial" w:eastAsia="Times New Roman" w:hAnsi="Arial" w:cs="Arial"/>
                <w:color w:val="1F4E79" w:themeColor="accent1" w:themeShade="80"/>
                <w:lang w:val="sr-Latn-ME"/>
              </w:rPr>
            </w:pPr>
            <w:r w:rsidRPr="00573BAF">
              <w:rPr>
                <w:rFonts w:ascii="Arial" w:eastAsia="Times New Roman" w:hAnsi="Arial" w:cs="Arial"/>
                <w:color w:val="1F4E79" w:themeColor="accent1" w:themeShade="80"/>
                <w:lang w:val="sr-Latn-ME"/>
              </w:rPr>
              <w:t>Mogućnosti</w:t>
            </w:r>
          </w:p>
          <w:p w:rsidR="00573BAF" w:rsidRDefault="00573BAF" w:rsidP="00573BAF">
            <w:pPr>
              <w:jc w:val="both"/>
              <w:rPr>
                <w:rFonts w:ascii="Arial" w:eastAsia="Times New Roman" w:hAnsi="Arial" w:cs="Arial"/>
                <w:bCs w:val="0"/>
                <w:color w:val="1F4E79" w:themeColor="accent1" w:themeShade="80"/>
                <w:lang w:val="sr-Latn-ME"/>
              </w:rPr>
            </w:pPr>
            <w:r w:rsidRPr="00573BAF">
              <w:rPr>
                <w:rFonts w:ascii="Arial" w:eastAsia="Times New Roman" w:hAnsi="Arial" w:cs="Arial"/>
                <w:b w:val="0"/>
                <w:color w:val="1F4E79" w:themeColor="accent1" w:themeShade="80"/>
                <w:lang w:val="sr-Latn-ME"/>
              </w:rPr>
              <w:t>Mogućnost jačanja transparentnosti kroz digitalizaciju i razvoj komunikacionih strategija.</w:t>
            </w:r>
          </w:p>
          <w:p w:rsidR="00573BAF" w:rsidRPr="00573BAF" w:rsidRDefault="00573BAF" w:rsidP="00573BAF">
            <w:pPr>
              <w:jc w:val="both"/>
              <w:rPr>
                <w:rFonts w:ascii="Arial" w:eastAsia="Times New Roman" w:hAnsi="Arial" w:cs="Arial"/>
                <w:b w:val="0"/>
                <w:color w:val="1F4E79" w:themeColor="accent1" w:themeShade="80"/>
                <w:lang w:val="sr-Latn-ME"/>
              </w:rPr>
            </w:pPr>
            <w:r w:rsidRPr="00573BAF">
              <w:rPr>
                <w:rFonts w:ascii="Arial" w:eastAsia="Times New Roman" w:hAnsi="Arial" w:cs="Arial"/>
                <w:b w:val="0"/>
                <w:color w:val="1F4E79" w:themeColor="accent1" w:themeShade="80"/>
                <w:lang w:val="sr-Latn-ME"/>
              </w:rPr>
              <w:t>Investiranje u obuku može poboljšati kapacitet institucija za zaštitu finansijskih interesa.</w:t>
            </w:r>
          </w:p>
          <w:p w:rsidR="00573BAF" w:rsidRPr="00573BAF" w:rsidRDefault="00573BAF" w:rsidP="00573BAF">
            <w:pPr>
              <w:jc w:val="both"/>
              <w:rPr>
                <w:rFonts w:ascii="Arial" w:eastAsia="Times New Roman" w:hAnsi="Arial" w:cs="Arial"/>
                <w:b w:val="0"/>
                <w:color w:val="1F4E79" w:themeColor="accent1" w:themeShade="80"/>
                <w:lang w:val="sr-Latn-ME"/>
              </w:rPr>
            </w:pPr>
            <w:r w:rsidRPr="00573BAF">
              <w:rPr>
                <w:rFonts w:ascii="Arial" w:eastAsia="Times New Roman" w:hAnsi="Arial" w:cs="Arial"/>
                <w:b w:val="0"/>
                <w:color w:val="1F4E79" w:themeColor="accent1" w:themeShade="80"/>
                <w:lang w:val="sr-Latn-ME"/>
              </w:rPr>
              <w:t>Mogućnost jačanja saradnje sa EU kroz korišćenje fondova kroz različite programe i projekte dostupne zemljama kandidatima za članstvo.</w:t>
            </w:r>
          </w:p>
          <w:p w:rsidR="00573BAF" w:rsidRPr="00573BAF" w:rsidRDefault="00573BAF" w:rsidP="00573BAF">
            <w:pPr>
              <w:jc w:val="both"/>
              <w:rPr>
                <w:rFonts w:ascii="Arial" w:eastAsia="Times New Roman" w:hAnsi="Arial" w:cs="Arial"/>
                <w:b w:val="0"/>
                <w:color w:val="1F4E79" w:themeColor="accent1" w:themeShade="80"/>
                <w:lang w:val="sr-Latn-ME"/>
              </w:rPr>
            </w:pPr>
            <w:r w:rsidRPr="00573BAF">
              <w:rPr>
                <w:rFonts w:ascii="Arial" w:eastAsia="Times New Roman" w:hAnsi="Arial" w:cs="Arial"/>
                <w:b w:val="0"/>
                <w:color w:val="1F4E79" w:themeColor="accent1" w:themeShade="80"/>
                <w:lang w:val="sr-Latn-ME"/>
              </w:rPr>
              <w:t>Saradnja sa državama članicama koje imaju dobro uspostavljene sisteme zaštite finansijskih interesa.</w:t>
            </w:r>
          </w:p>
          <w:p w:rsidR="000F471C" w:rsidRPr="001302F9" w:rsidRDefault="00573BAF" w:rsidP="00573BAF">
            <w:pPr>
              <w:jc w:val="both"/>
              <w:rPr>
                <w:rFonts w:ascii="Arial" w:eastAsia="Times New Roman" w:hAnsi="Arial" w:cs="Arial"/>
                <w:color w:val="1F4E79" w:themeColor="accent1" w:themeShade="80"/>
                <w:lang w:val="sr-Latn-ME"/>
              </w:rPr>
            </w:pPr>
            <w:r w:rsidRPr="00573BAF">
              <w:rPr>
                <w:rFonts w:ascii="Arial" w:eastAsia="Times New Roman" w:hAnsi="Arial" w:cs="Arial"/>
                <w:b w:val="0"/>
                <w:color w:val="1F4E79" w:themeColor="accent1" w:themeShade="80"/>
                <w:lang w:val="sr-Latn-ME"/>
              </w:rPr>
              <w:t>EU fondovi pružaju Crnoj Gori mogućnost da ubrza ekonomski razvoj, smanji regionalne razlike, poboljša infrastrukturu i poveća konkurentnost tržišta.</w:t>
            </w:r>
          </w:p>
        </w:tc>
        <w:tc>
          <w:tcPr>
            <w:tcW w:w="4724" w:type="dxa"/>
            <w:shd w:val="clear" w:color="auto" w:fill="DEEAF6" w:themeFill="accent1" w:themeFillTint="33"/>
          </w:tcPr>
          <w:p w:rsidR="00573BAF" w:rsidRPr="00573BAF" w:rsidRDefault="00573BAF" w:rsidP="00573BAF">
            <w:pPr>
              <w:jc w:val="both"/>
              <w:cnfStyle w:val="000000100000" w:firstRow="0" w:lastRow="0" w:firstColumn="0" w:lastColumn="0" w:oddVBand="0" w:evenVBand="0" w:oddHBand="1" w:evenHBand="0" w:firstRowFirstColumn="0" w:firstRowLastColumn="0" w:lastRowFirstColumn="0" w:lastRowLastColumn="0"/>
              <w:rPr>
                <w:rFonts w:ascii="Arial" w:hAnsi="Arial" w:cs="Arial"/>
                <w:b/>
                <w:color w:val="1F4E79" w:themeColor="accent1" w:themeShade="80"/>
                <w:lang w:val="sr-Latn-ME"/>
              </w:rPr>
            </w:pPr>
            <w:r w:rsidRPr="00573BAF">
              <w:rPr>
                <w:rFonts w:ascii="Arial" w:hAnsi="Arial" w:cs="Arial"/>
                <w:b/>
                <w:color w:val="1F4E79" w:themeColor="accent1" w:themeShade="80"/>
                <w:lang w:val="sr-Latn-ME"/>
              </w:rPr>
              <w:t>Prijetnje</w:t>
            </w:r>
          </w:p>
          <w:p w:rsidR="00573BAF" w:rsidRPr="00573BAF" w:rsidRDefault="00573BAF" w:rsidP="00573BA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1F4E79" w:themeColor="accent1" w:themeShade="80"/>
                <w:lang w:val="sr-Latn-ME"/>
              </w:rPr>
            </w:pPr>
            <w:r w:rsidRPr="00573BAF">
              <w:rPr>
                <w:rFonts w:ascii="Arial" w:hAnsi="Arial" w:cs="Arial"/>
                <w:color w:val="1F4E79" w:themeColor="accent1" w:themeShade="80"/>
                <w:lang w:val="sr-Latn-ME"/>
              </w:rPr>
              <w:t>Politička nestabilnost i promjene</w:t>
            </w:r>
            <w:r>
              <w:rPr>
                <w:rFonts w:ascii="Arial" w:hAnsi="Arial" w:cs="Arial"/>
                <w:color w:val="1F4E79" w:themeColor="accent1" w:themeShade="80"/>
                <w:lang w:val="sr-Latn-ME"/>
              </w:rPr>
              <w:t xml:space="preserve"> </w:t>
            </w:r>
            <w:r w:rsidRPr="00573BAF">
              <w:rPr>
                <w:rFonts w:ascii="Arial" w:hAnsi="Arial" w:cs="Arial"/>
                <w:color w:val="1F4E79" w:themeColor="accent1" w:themeShade="80"/>
                <w:lang w:val="sr-Latn-ME"/>
              </w:rPr>
              <w:t>političk</w:t>
            </w:r>
            <w:r>
              <w:rPr>
                <w:rFonts w:ascii="Arial" w:hAnsi="Arial" w:cs="Arial"/>
                <w:color w:val="1F4E79" w:themeColor="accent1" w:themeShade="80"/>
                <w:lang w:val="sr-Latn-ME"/>
              </w:rPr>
              <w:t xml:space="preserve">e </w:t>
            </w:r>
            <w:r w:rsidRPr="00573BAF">
              <w:rPr>
                <w:rFonts w:ascii="Arial" w:hAnsi="Arial" w:cs="Arial"/>
                <w:color w:val="1F4E79" w:themeColor="accent1" w:themeShade="80"/>
                <w:lang w:val="sr-Latn-ME"/>
              </w:rPr>
              <w:t>situacij</w:t>
            </w:r>
            <w:r>
              <w:rPr>
                <w:rFonts w:ascii="Arial" w:hAnsi="Arial" w:cs="Arial"/>
                <w:color w:val="1F4E79" w:themeColor="accent1" w:themeShade="80"/>
                <w:lang w:val="sr-Latn-ME"/>
              </w:rPr>
              <w:t>e</w:t>
            </w:r>
            <w:r w:rsidRPr="00573BAF">
              <w:rPr>
                <w:rFonts w:ascii="Arial" w:hAnsi="Arial" w:cs="Arial"/>
                <w:color w:val="1F4E79" w:themeColor="accent1" w:themeShade="80"/>
                <w:lang w:val="sr-Latn-ME"/>
              </w:rPr>
              <w:t xml:space="preserve"> mogu uticati na dosl</w:t>
            </w:r>
            <w:r>
              <w:rPr>
                <w:rFonts w:ascii="Arial" w:hAnsi="Arial" w:cs="Arial"/>
                <w:color w:val="1F4E79" w:themeColor="accent1" w:themeShade="80"/>
                <w:lang w:val="sr-Latn-ME"/>
              </w:rPr>
              <w:t>j</w:t>
            </w:r>
            <w:r w:rsidRPr="00573BAF">
              <w:rPr>
                <w:rFonts w:ascii="Arial" w:hAnsi="Arial" w:cs="Arial"/>
                <w:color w:val="1F4E79" w:themeColor="accent1" w:themeShade="80"/>
                <w:lang w:val="sr-Latn-ME"/>
              </w:rPr>
              <w:t>ednost i implementaciju m</w:t>
            </w:r>
            <w:r>
              <w:rPr>
                <w:rFonts w:ascii="Arial" w:hAnsi="Arial" w:cs="Arial"/>
                <w:color w:val="1F4E79" w:themeColor="accent1" w:themeShade="80"/>
                <w:lang w:val="sr-Latn-ME"/>
              </w:rPr>
              <w:t>j</w:t>
            </w:r>
            <w:r w:rsidRPr="00573BAF">
              <w:rPr>
                <w:rFonts w:ascii="Arial" w:hAnsi="Arial" w:cs="Arial"/>
                <w:color w:val="1F4E79" w:themeColor="accent1" w:themeShade="80"/>
                <w:lang w:val="sr-Latn-ME"/>
              </w:rPr>
              <w:t>era.</w:t>
            </w:r>
          </w:p>
          <w:p w:rsidR="00573BAF" w:rsidRPr="00573BAF" w:rsidRDefault="00573BAF" w:rsidP="00573BA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1F4E79" w:themeColor="accent1" w:themeShade="80"/>
                <w:lang w:val="sr-Latn-ME"/>
              </w:rPr>
            </w:pPr>
            <w:r w:rsidRPr="00573BAF">
              <w:rPr>
                <w:rFonts w:ascii="Arial" w:hAnsi="Arial" w:cs="Arial"/>
                <w:color w:val="1F4E79" w:themeColor="accent1" w:themeShade="80"/>
                <w:lang w:val="sr-Latn-ME"/>
              </w:rPr>
              <w:t>Nizak nivo podrške i uključenosti instituci</w:t>
            </w:r>
            <w:r>
              <w:rPr>
                <w:rFonts w:ascii="Arial" w:hAnsi="Arial" w:cs="Arial"/>
                <w:color w:val="1F4E79" w:themeColor="accent1" w:themeShade="80"/>
                <w:lang w:val="sr-Latn-ME"/>
              </w:rPr>
              <w:t xml:space="preserve">ja sistema </w:t>
            </w:r>
            <w:r w:rsidRPr="00573BAF">
              <w:rPr>
                <w:rFonts w:ascii="Arial" w:hAnsi="Arial" w:cs="Arial"/>
                <w:color w:val="1F4E79" w:themeColor="accent1" w:themeShade="80"/>
                <w:lang w:val="sr-Latn-ME"/>
              </w:rPr>
              <w:t>u proces zaštite finansijskih interesa EU i svijest</w:t>
            </w:r>
            <w:r>
              <w:rPr>
                <w:rFonts w:ascii="Arial" w:hAnsi="Arial" w:cs="Arial"/>
                <w:color w:val="1F4E79" w:themeColor="accent1" w:themeShade="80"/>
                <w:lang w:val="sr-Latn-ME"/>
              </w:rPr>
              <w:t>i</w:t>
            </w:r>
            <w:r w:rsidRPr="00573BAF">
              <w:rPr>
                <w:rFonts w:ascii="Arial" w:hAnsi="Arial" w:cs="Arial"/>
                <w:color w:val="1F4E79" w:themeColor="accent1" w:themeShade="80"/>
                <w:lang w:val="sr-Latn-ME"/>
              </w:rPr>
              <w:t xml:space="preserve"> o važnosti ovih pitanja za dalje pregovaračke procese.</w:t>
            </w:r>
          </w:p>
          <w:p w:rsidR="000F471C" w:rsidRPr="001302F9" w:rsidRDefault="00573BAF" w:rsidP="00573BA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1F4E79" w:themeColor="accent1" w:themeShade="80"/>
                <w:lang w:val="sr-Latn-ME"/>
              </w:rPr>
            </w:pPr>
            <w:r w:rsidRPr="00573BAF">
              <w:rPr>
                <w:rFonts w:ascii="Arial" w:hAnsi="Arial" w:cs="Arial"/>
                <w:color w:val="1F4E79" w:themeColor="accent1" w:themeShade="80"/>
                <w:lang w:val="sr-Latn-ME"/>
              </w:rPr>
              <w:t>Cyber napadi i gubitak dokumenata.</w:t>
            </w:r>
          </w:p>
          <w:p w:rsidR="000F471C" w:rsidRPr="001302F9" w:rsidRDefault="000F471C" w:rsidP="00573BAF">
            <w:p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1F4E79" w:themeColor="accent1" w:themeShade="80"/>
                <w:lang w:val="sr-Latn-ME" w:eastAsia="x-none"/>
              </w:rPr>
            </w:pPr>
          </w:p>
        </w:tc>
      </w:tr>
    </w:tbl>
    <w:p w:rsidR="000F471C" w:rsidRPr="001302F9" w:rsidRDefault="000F471C" w:rsidP="000F471C">
      <w:pPr>
        <w:rPr>
          <w:rFonts w:ascii="Arial" w:hAnsi="Arial" w:cs="Arial"/>
          <w:lang w:val="sr-Latn-ME"/>
        </w:rPr>
      </w:pPr>
    </w:p>
    <w:p w:rsidR="000F471C" w:rsidRPr="001302F9" w:rsidRDefault="000F471C" w:rsidP="000F471C">
      <w:pPr>
        <w:pStyle w:val="NormalWeb"/>
        <w:rPr>
          <w:rFonts w:ascii="Arial" w:hAnsi="Arial" w:cs="Arial"/>
          <w:sz w:val="22"/>
          <w:szCs w:val="22"/>
          <w:lang w:val="sr-Latn-ME"/>
        </w:rPr>
      </w:pPr>
      <w:r w:rsidRPr="001302F9">
        <w:rPr>
          <w:rStyle w:val="Strong"/>
          <w:rFonts w:ascii="Arial" w:hAnsi="Arial" w:cs="Arial"/>
          <w:sz w:val="22"/>
          <w:szCs w:val="22"/>
          <w:lang w:val="sr-Latn-ME"/>
        </w:rPr>
        <w:t xml:space="preserve">2.5. </w:t>
      </w:r>
      <w:bookmarkStart w:id="12" w:name="_Hlk194406729"/>
      <w:r w:rsidRPr="001302F9">
        <w:rPr>
          <w:rStyle w:val="Strong"/>
          <w:rFonts w:ascii="Arial" w:hAnsi="Arial" w:cs="Arial"/>
          <w:sz w:val="22"/>
          <w:szCs w:val="22"/>
          <w:lang w:val="sr-Latn-ME"/>
        </w:rPr>
        <w:t>Analiza zainteresovanih strana (stakeholdera)</w:t>
      </w:r>
      <w:bookmarkEnd w:id="12"/>
    </w:p>
    <w:p w:rsidR="000F471C" w:rsidRPr="001302F9" w:rsidRDefault="000F471C" w:rsidP="000F471C">
      <w:pPr>
        <w:pStyle w:val="NormalWeb"/>
        <w:jc w:val="both"/>
        <w:rPr>
          <w:rFonts w:ascii="Arial" w:hAnsi="Arial" w:cs="Arial"/>
          <w:sz w:val="22"/>
          <w:szCs w:val="22"/>
          <w:lang w:val="sr-Latn-ME"/>
        </w:rPr>
      </w:pPr>
      <w:r w:rsidRPr="001302F9">
        <w:rPr>
          <w:rFonts w:ascii="Arial" w:hAnsi="Arial" w:cs="Arial"/>
          <w:sz w:val="22"/>
          <w:szCs w:val="22"/>
          <w:lang w:val="sr-Latn-ME"/>
        </w:rPr>
        <w:t xml:space="preserve">U kontekstu implementacije nove Strategije, neophodno je razmotriti mjesto i ulogu zainteresovanih strana, koje će igrati ključnu ulogu u ovom procesu, a </w:t>
      </w:r>
      <w:r w:rsidR="00431F88">
        <w:rPr>
          <w:rFonts w:ascii="Arial" w:hAnsi="Arial" w:cs="Arial"/>
          <w:sz w:val="22"/>
          <w:szCs w:val="22"/>
          <w:lang w:val="sr-Latn-ME"/>
        </w:rPr>
        <w:t xml:space="preserve">od </w:t>
      </w:r>
      <w:r w:rsidRPr="001302F9">
        <w:rPr>
          <w:rFonts w:ascii="Arial" w:hAnsi="Arial" w:cs="Arial"/>
          <w:sz w:val="22"/>
          <w:szCs w:val="22"/>
          <w:lang w:val="sr-Latn-ME"/>
        </w:rPr>
        <w:t>čij</w:t>
      </w:r>
      <w:r w:rsidR="00431F88">
        <w:rPr>
          <w:rFonts w:ascii="Arial" w:hAnsi="Arial" w:cs="Arial"/>
          <w:sz w:val="22"/>
          <w:szCs w:val="22"/>
          <w:lang w:val="sr-Latn-ME"/>
        </w:rPr>
        <w:t>eg</w:t>
      </w:r>
      <w:r w:rsidRPr="001302F9">
        <w:rPr>
          <w:rFonts w:ascii="Arial" w:hAnsi="Arial" w:cs="Arial"/>
          <w:sz w:val="22"/>
          <w:szCs w:val="22"/>
          <w:lang w:val="sr-Latn-ME"/>
        </w:rPr>
        <w:t xml:space="preserve"> uspjeh</w:t>
      </w:r>
      <w:r w:rsidR="00431F88">
        <w:rPr>
          <w:rFonts w:ascii="Arial" w:hAnsi="Arial" w:cs="Arial"/>
          <w:sz w:val="22"/>
          <w:szCs w:val="22"/>
          <w:lang w:val="sr-Latn-ME"/>
        </w:rPr>
        <w:t>a</w:t>
      </w:r>
      <w:r w:rsidRPr="001302F9">
        <w:rPr>
          <w:rFonts w:ascii="Arial" w:hAnsi="Arial" w:cs="Arial"/>
          <w:sz w:val="22"/>
          <w:szCs w:val="22"/>
          <w:lang w:val="sr-Latn-ME"/>
        </w:rPr>
        <w:t xml:space="preserve"> će</w:t>
      </w:r>
      <w:r w:rsidR="00646BB2">
        <w:rPr>
          <w:rFonts w:ascii="Arial" w:hAnsi="Arial" w:cs="Arial"/>
          <w:sz w:val="22"/>
          <w:szCs w:val="22"/>
          <w:lang w:val="sr-Latn-ME"/>
        </w:rPr>
        <w:t xml:space="preserve"> </w:t>
      </w:r>
      <w:r w:rsidRPr="001302F9">
        <w:rPr>
          <w:rFonts w:ascii="Arial" w:hAnsi="Arial" w:cs="Arial"/>
          <w:sz w:val="22"/>
          <w:szCs w:val="22"/>
          <w:lang w:val="sr-Latn-ME"/>
        </w:rPr>
        <w:t>najviše zavisiti postizanj</w:t>
      </w:r>
      <w:r w:rsidR="00431F88">
        <w:rPr>
          <w:rFonts w:ascii="Arial" w:hAnsi="Arial" w:cs="Arial"/>
          <w:sz w:val="22"/>
          <w:szCs w:val="22"/>
          <w:lang w:val="sr-Latn-ME"/>
        </w:rPr>
        <w:t>e</w:t>
      </w:r>
      <w:r w:rsidRPr="001302F9">
        <w:rPr>
          <w:rFonts w:ascii="Arial" w:hAnsi="Arial" w:cs="Arial"/>
          <w:sz w:val="22"/>
          <w:szCs w:val="22"/>
          <w:lang w:val="sr-Latn-ME"/>
        </w:rPr>
        <w:t xml:space="preserve"> definisanih ciljeva u narednom periodu. Ova analiza daje uvid u to koji akteri</w:t>
      </w:r>
      <w:r w:rsidR="00431F88">
        <w:rPr>
          <w:rFonts w:ascii="Arial" w:hAnsi="Arial" w:cs="Arial"/>
          <w:sz w:val="22"/>
          <w:szCs w:val="22"/>
          <w:lang w:val="sr-Latn-ME"/>
        </w:rPr>
        <w:t>, u</w:t>
      </w:r>
      <w:r w:rsidRPr="001302F9">
        <w:rPr>
          <w:rFonts w:ascii="Arial" w:hAnsi="Arial" w:cs="Arial"/>
          <w:sz w:val="22"/>
          <w:szCs w:val="22"/>
          <w:lang w:val="sr-Latn-ME"/>
        </w:rPr>
        <w:t xml:space="preserve"> ciklus</w:t>
      </w:r>
      <w:r w:rsidR="00431F88">
        <w:rPr>
          <w:rFonts w:ascii="Arial" w:hAnsi="Arial" w:cs="Arial"/>
          <w:sz w:val="22"/>
          <w:szCs w:val="22"/>
          <w:lang w:val="sr-Latn-ME"/>
        </w:rPr>
        <w:t>u</w:t>
      </w:r>
      <w:r w:rsidRPr="001302F9">
        <w:rPr>
          <w:rFonts w:ascii="Arial" w:hAnsi="Arial" w:cs="Arial"/>
          <w:sz w:val="22"/>
          <w:szCs w:val="22"/>
          <w:lang w:val="sr-Latn-ME"/>
        </w:rPr>
        <w:t xml:space="preserve"> borbe protiv prevara, moraju biti uključeni </w:t>
      </w:r>
      <w:r w:rsidR="00431F88">
        <w:rPr>
          <w:rFonts w:ascii="Arial" w:hAnsi="Arial" w:cs="Arial"/>
          <w:sz w:val="22"/>
          <w:szCs w:val="22"/>
          <w:lang w:val="sr-Latn-ME"/>
        </w:rPr>
        <w:t xml:space="preserve">u </w:t>
      </w:r>
      <w:r w:rsidRPr="001302F9">
        <w:rPr>
          <w:rFonts w:ascii="Arial" w:hAnsi="Arial" w:cs="Arial"/>
          <w:sz w:val="22"/>
          <w:szCs w:val="22"/>
          <w:lang w:val="sr-Latn-ME"/>
        </w:rPr>
        <w:t>razvoj i implementaciju ove Strategije.</w:t>
      </w:r>
    </w:p>
    <w:p w:rsidR="000F471C" w:rsidRPr="001302F9" w:rsidRDefault="000F471C" w:rsidP="000F471C">
      <w:pPr>
        <w:pStyle w:val="NormalWeb"/>
        <w:jc w:val="both"/>
        <w:rPr>
          <w:rFonts w:ascii="Arial" w:hAnsi="Arial" w:cs="Arial"/>
          <w:sz w:val="22"/>
          <w:szCs w:val="22"/>
          <w:lang w:val="sr-Latn-ME"/>
        </w:rPr>
      </w:pPr>
      <w:r w:rsidRPr="001302F9">
        <w:rPr>
          <w:rStyle w:val="Strong"/>
          <w:rFonts w:ascii="Arial" w:hAnsi="Arial" w:cs="Arial"/>
          <w:sz w:val="22"/>
          <w:szCs w:val="22"/>
          <w:lang w:val="sr-Latn-ME"/>
        </w:rPr>
        <w:t>2.5.1. Identifikovanje zainteresovanih strana</w:t>
      </w:r>
    </w:p>
    <w:p w:rsidR="000F471C" w:rsidRPr="001302F9" w:rsidRDefault="000F471C" w:rsidP="000F471C">
      <w:pPr>
        <w:pStyle w:val="NormalWeb"/>
        <w:jc w:val="both"/>
        <w:rPr>
          <w:rFonts w:ascii="Arial" w:hAnsi="Arial" w:cs="Arial"/>
          <w:sz w:val="22"/>
          <w:szCs w:val="22"/>
          <w:lang w:val="sr-Latn-ME"/>
        </w:rPr>
      </w:pPr>
      <w:r w:rsidRPr="001302F9">
        <w:rPr>
          <w:rFonts w:ascii="Arial" w:hAnsi="Arial" w:cs="Arial"/>
          <w:sz w:val="22"/>
          <w:szCs w:val="22"/>
          <w:lang w:val="sr-Latn-ME"/>
        </w:rPr>
        <w:t xml:space="preserve">Ministarstvo finansija igra ključnu ulogu u promociji i zaštiti finansijskih interesa EU, unutar njega je uspostavljena Direkcija za zaštitu finansijskih interesa EU/ AFCOS kao glavno koordinaciono tijelo AFCOS sistema u Crnoj Gori i kontakt tačka za OLAF. Shodno svojim nadležnostima, </w:t>
      </w:r>
      <w:r w:rsidR="00430041" w:rsidRPr="00430041">
        <w:rPr>
          <w:rFonts w:ascii="Arial" w:hAnsi="Arial" w:cs="Arial"/>
          <w:sz w:val="22"/>
          <w:szCs w:val="22"/>
          <w:lang w:val="sr-Latn-ME"/>
        </w:rPr>
        <w:t xml:space="preserve">Direkcija za zaštitu finansijskih interesa EU/ AFCOS </w:t>
      </w:r>
      <w:r w:rsidRPr="001302F9">
        <w:rPr>
          <w:rFonts w:ascii="Arial" w:hAnsi="Arial" w:cs="Arial"/>
          <w:sz w:val="22"/>
          <w:szCs w:val="22"/>
          <w:lang w:val="sr-Latn-ME"/>
        </w:rPr>
        <w:t>je operativni nosilac politike zaštite finansijskih interesa EU u Crnoj Gori i u tom kontekstu odgovorn</w:t>
      </w:r>
      <w:r w:rsidR="00430041">
        <w:rPr>
          <w:rFonts w:ascii="Arial" w:hAnsi="Arial" w:cs="Arial"/>
          <w:sz w:val="22"/>
          <w:szCs w:val="22"/>
          <w:lang w:val="sr-Latn-ME"/>
        </w:rPr>
        <w:t>a</w:t>
      </w:r>
      <w:r w:rsidRPr="001302F9">
        <w:rPr>
          <w:rFonts w:ascii="Arial" w:hAnsi="Arial" w:cs="Arial"/>
          <w:sz w:val="22"/>
          <w:szCs w:val="22"/>
          <w:lang w:val="sr-Latn-ME"/>
        </w:rPr>
        <w:t xml:space="preserve"> je za koordinaciju procesa razvoja, implementacije i praćenja Strategije u saradnji sa svim zainteresovanim stranama.</w:t>
      </w:r>
    </w:p>
    <w:p w:rsidR="00430041" w:rsidRDefault="000F471C" w:rsidP="000F471C">
      <w:pPr>
        <w:pStyle w:val="NormalWeb"/>
        <w:jc w:val="both"/>
        <w:rPr>
          <w:rFonts w:ascii="Arial" w:hAnsi="Arial" w:cs="Arial"/>
          <w:sz w:val="22"/>
          <w:szCs w:val="22"/>
          <w:lang w:val="sr-Latn-ME"/>
        </w:rPr>
      </w:pPr>
      <w:r w:rsidRPr="001302F9">
        <w:rPr>
          <w:rFonts w:ascii="Arial" w:hAnsi="Arial" w:cs="Arial"/>
          <w:sz w:val="22"/>
          <w:szCs w:val="22"/>
          <w:lang w:val="sr-Latn-ME"/>
        </w:rPr>
        <w:t xml:space="preserve">Posebno je važno naglasiti da, u kontekstu implementacije ove Strategije, pored Direkcije za zaštitu finansijskih interesa EU /AFCOS, posebnu ulogu igraju </w:t>
      </w:r>
      <w:r w:rsidR="00430041">
        <w:rPr>
          <w:rFonts w:ascii="Arial" w:hAnsi="Arial" w:cs="Arial"/>
          <w:sz w:val="22"/>
          <w:szCs w:val="22"/>
          <w:lang w:val="sr-Latn-ME"/>
        </w:rPr>
        <w:t>sledeće institucije</w:t>
      </w:r>
      <w:r w:rsidRPr="001302F9">
        <w:rPr>
          <w:rFonts w:ascii="Arial" w:hAnsi="Arial" w:cs="Arial"/>
          <w:sz w:val="22"/>
          <w:szCs w:val="22"/>
          <w:lang w:val="sr-Latn-ME"/>
        </w:rPr>
        <w:t xml:space="preserve"> AFCOS sistema: </w:t>
      </w:r>
    </w:p>
    <w:p w:rsidR="00A76A38" w:rsidRPr="00EE1E09" w:rsidRDefault="00A76A38" w:rsidP="00A76A38">
      <w:pPr>
        <w:pStyle w:val="ListParagraph"/>
        <w:numPr>
          <w:ilvl w:val="0"/>
          <w:numId w:val="38"/>
        </w:numPr>
        <w:shd w:val="clear" w:color="auto" w:fill="auto"/>
        <w:spacing w:before="100" w:beforeAutospacing="1" w:after="100" w:afterAutospacing="1" w:line="240" w:lineRule="auto"/>
        <w:rPr>
          <w:rFonts w:cs="Arial"/>
          <w:sz w:val="22"/>
          <w:szCs w:val="22"/>
          <w:lang w:val="sr-Latn-BA"/>
        </w:rPr>
      </w:pPr>
      <w:r w:rsidRPr="00EE1E09">
        <w:rPr>
          <w:rFonts w:cs="Arial"/>
          <w:sz w:val="22"/>
          <w:szCs w:val="22"/>
          <w:lang w:val="sr-Latn-BA"/>
        </w:rPr>
        <w:t>Tijela sistema za upravljanje i kontrolu EU fondova (struktura za izvještavanje o nepravilnostima)</w:t>
      </w:r>
      <w:r w:rsidRPr="00EE1E09">
        <w:rPr>
          <w:rFonts w:cs="Arial"/>
          <w:lang w:val="sr-Latn-ME"/>
        </w:rPr>
        <w:t xml:space="preserve"> </w:t>
      </w:r>
    </w:p>
    <w:p w:rsidR="00A71ABA" w:rsidRPr="00A76A38" w:rsidRDefault="00A76A38" w:rsidP="00A76A38">
      <w:pPr>
        <w:pStyle w:val="NormalWeb"/>
        <w:numPr>
          <w:ilvl w:val="0"/>
          <w:numId w:val="38"/>
        </w:numPr>
        <w:jc w:val="both"/>
        <w:rPr>
          <w:rFonts w:ascii="Arial" w:hAnsi="Arial" w:cs="Arial"/>
          <w:sz w:val="22"/>
          <w:szCs w:val="22"/>
          <w:lang w:val="sr-Latn-ME"/>
        </w:rPr>
      </w:pPr>
      <w:r w:rsidRPr="00A76A38">
        <w:rPr>
          <w:rFonts w:ascii="Arial" w:hAnsi="Arial" w:cs="Arial"/>
          <w:bCs/>
          <w:lang w:val="sr-Latn-BA"/>
        </w:rPr>
        <w:t>I</w:t>
      </w:r>
      <w:r w:rsidRPr="00A76A38">
        <w:rPr>
          <w:rFonts w:ascii="Arial" w:hAnsi="Arial" w:cs="Arial"/>
          <w:bCs/>
          <w:sz w:val="22"/>
          <w:szCs w:val="22"/>
          <w:lang w:val="sr-Latn-BA"/>
        </w:rPr>
        <w:t>nstitucija sistema zaduženih za borbu protiv prevara, korupcije i drugih oblika nezakonitih aktivnosti</w:t>
      </w:r>
      <w:r w:rsidRPr="00A76A38">
        <w:rPr>
          <w:rFonts w:ascii="Arial" w:hAnsi="Arial" w:cs="Arial"/>
          <w:sz w:val="22"/>
          <w:szCs w:val="22"/>
          <w:lang w:val="sr-Latn-ME"/>
        </w:rPr>
        <w:t>: Ministarstvo pravde, Ministarstvo unutrašnjih poslova, Uprava policije, Poreska uprava, Uprava carina, Vrhovno državno tužilaštvo, Agencija za borbu protiv korupcije, Revizorsko tijelo, Ministarstvo evropskih poslova, Ministarstvo finansija (AFCOS mreža</w:t>
      </w:r>
      <w:r w:rsidRPr="00EE1E09">
        <w:rPr>
          <w:rFonts w:cs="Arial"/>
          <w:sz w:val="22"/>
          <w:szCs w:val="22"/>
          <w:lang w:val="sr-Latn-ME"/>
        </w:rPr>
        <w:t>)</w:t>
      </w:r>
      <w:r>
        <w:rPr>
          <w:rFonts w:cs="Arial"/>
          <w:sz w:val="22"/>
          <w:szCs w:val="22"/>
          <w:lang w:val="sr-Latn-ME"/>
        </w:rPr>
        <w:t>.</w:t>
      </w:r>
      <w:r w:rsidRPr="00EE1E09">
        <w:rPr>
          <w:rFonts w:cs="Arial"/>
          <w:sz w:val="22"/>
          <w:szCs w:val="22"/>
          <w:lang w:val="sr-Latn-ME"/>
        </w:rPr>
        <w:t xml:space="preserve"> </w:t>
      </w:r>
      <w:r w:rsidR="000F471C" w:rsidRPr="00430041">
        <w:rPr>
          <w:rFonts w:ascii="Arial" w:hAnsi="Arial" w:cs="Arial"/>
          <w:sz w:val="22"/>
          <w:szCs w:val="22"/>
          <w:lang w:val="sr-Latn-ME"/>
        </w:rPr>
        <w:t>Ov</w:t>
      </w:r>
      <w:r w:rsidR="00430041">
        <w:rPr>
          <w:rFonts w:ascii="Arial" w:hAnsi="Arial" w:cs="Arial"/>
          <w:sz w:val="22"/>
          <w:szCs w:val="22"/>
          <w:lang w:val="sr-Latn-ME"/>
        </w:rPr>
        <w:t xml:space="preserve">e institucije </w:t>
      </w:r>
      <w:r w:rsidR="000F471C" w:rsidRPr="00430041">
        <w:rPr>
          <w:rFonts w:ascii="Arial" w:hAnsi="Arial" w:cs="Arial"/>
          <w:sz w:val="22"/>
          <w:szCs w:val="22"/>
          <w:lang w:val="sr-Latn-ME"/>
        </w:rPr>
        <w:t>pružaju specijalizovanu stručnu podršku i olakšavaju razmjenu informacija sa IPA strukturama, posebno u složenim</w:t>
      </w:r>
      <w:r w:rsidR="00430041">
        <w:rPr>
          <w:rFonts w:ascii="Arial" w:hAnsi="Arial" w:cs="Arial"/>
          <w:sz w:val="22"/>
          <w:szCs w:val="22"/>
          <w:lang w:val="sr-Latn-ME"/>
        </w:rPr>
        <w:t xml:space="preserve"> i</w:t>
      </w:r>
      <w:r w:rsidR="000F471C" w:rsidRPr="00430041">
        <w:rPr>
          <w:rFonts w:ascii="Arial" w:hAnsi="Arial" w:cs="Arial"/>
          <w:sz w:val="22"/>
          <w:szCs w:val="22"/>
          <w:lang w:val="sr-Latn-ME"/>
        </w:rPr>
        <w:t xml:space="preserve"> slučajevima </w:t>
      </w:r>
      <w:r w:rsidR="00430041" w:rsidRPr="00430041">
        <w:rPr>
          <w:rFonts w:ascii="Arial" w:hAnsi="Arial" w:cs="Arial"/>
          <w:sz w:val="22"/>
          <w:szCs w:val="22"/>
          <w:lang w:val="sr-Latn-ME"/>
        </w:rPr>
        <w:t>potencijaln</w:t>
      </w:r>
      <w:r w:rsidR="00430041">
        <w:rPr>
          <w:rFonts w:ascii="Arial" w:hAnsi="Arial" w:cs="Arial"/>
          <w:sz w:val="22"/>
          <w:szCs w:val="22"/>
          <w:lang w:val="sr-Latn-ME"/>
        </w:rPr>
        <w:t>e</w:t>
      </w:r>
      <w:r w:rsidR="00430041" w:rsidRPr="00430041">
        <w:rPr>
          <w:rFonts w:ascii="Arial" w:hAnsi="Arial" w:cs="Arial"/>
          <w:sz w:val="22"/>
          <w:szCs w:val="22"/>
          <w:lang w:val="sr-Latn-ME"/>
        </w:rPr>
        <w:t xml:space="preserve"> prevar</w:t>
      </w:r>
      <w:r w:rsidR="00430041">
        <w:rPr>
          <w:rFonts w:ascii="Arial" w:hAnsi="Arial" w:cs="Arial"/>
          <w:sz w:val="22"/>
          <w:szCs w:val="22"/>
          <w:lang w:val="sr-Latn-ME"/>
        </w:rPr>
        <w:t>e</w:t>
      </w:r>
      <w:r w:rsidR="00430041" w:rsidRPr="00430041">
        <w:rPr>
          <w:rFonts w:ascii="Arial" w:hAnsi="Arial" w:cs="Arial"/>
          <w:sz w:val="22"/>
          <w:szCs w:val="22"/>
          <w:lang w:val="sr-Latn-ME"/>
        </w:rPr>
        <w:t xml:space="preserve"> </w:t>
      </w:r>
      <w:r w:rsidR="000F471C" w:rsidRPr="00430041">
        <w:rPr>
          <w:rFonts w:ascii="Arial" w:hAnsi="Arial" w:cs="Arial"/>
          <w:sz w:val="22"/>
          <w:szCs w:val="22"/>
          <w:lang w:val="sr-Latn-ME"/>
        </w:rPr>
        <w:t xml:space="preserve">u kojima nadležnosti i ovlašćenja možda nisu jasno razgraničena. Pored toga, </w:t>
      </w:r>
      <w:r w:rsidR="00430041">
        <w:rPr>
          <w:rFonts w:ascii="Arial" w:hAnsi="Arial" w:cs="Arial"/>
          <w:sz w:val="22"/>
          <w:szCs w:val="22"/>
          <w:lang w:val="sr-Latn-ME"/>
        </w:rPr>
        <w:t>ove institucije</w:t>
      </w:r>
      <w:r w:rsidR="000F471C" w:rsidRPr="00430041">
        <w:rPr>
          <w:rFonts w:ascii="Arial" w:hAnsi="Arial" w:cs="Arial"/>
          <w:sz w:val="22"/>
          <w:szCs w:val="22"/>
          <w:lang w:val="sr-Latn-ME"/>
        </w:rPr>
        <w:t xml:space="preserve"> su odgovorn</w:t>
      </w:r>
      <w:r w:rsidR="00430041">
        <w:rPr>
          <w:rFonts w:ascii="Arial" w:hAnsi="Arial" w:cs="Arial"/>
          <w:sz w:val="22"/>
          <w:szCs w:val="22"/>
          <w:lang w:val="sr-Latn-ME"/>
        </w:rPr>
        <w:t>e</w:t>
      </w:r>
      <w:r w:rsidR="000F471C" w:rsidRPr="00430041">
        <w:rPr>
          <w:rFonts w:ascii="Arial" w:hAnsi="Arial" w:cs="Arial"/>
          <w:sz w:val="22"/>
          <w:szCs w:val="22"/>
          <w:lang w:val="sr-Latn-ME"/>
        </w:rPr>
        <w:t xml:space="preserve"> za doprinos u procjeni rizika </w:t>
      </w:r>
      <w:r w:rsidR="006C1A8C">
        <w:rPr>
          <w:rFonts w:ascii="Arial" w:hAnsi="Arial" w:cs="Arial"/>
          <w:sz w:val="22"/>
          <w:szCs w:val="22"/>
          <w:lang w:val="sr-Latn-ME"/>
        </w:rPr>
        <w:t xml:space="preserve">od </w:t>
      </w:r>
      <w:r w:rsidR="00C26CC5" w:rsidRPr="00430041">
        <w:rPr>
          <w:rFonts w:ascii="Arial" w:hAnsi="Arial" w:cs="Arial"/>
          <w:sz w:val="22"/>
          <w:szCs w:val="22"/>
          <w:lang w:val="sr-Latn-ME"/>
        </w:rPr>
        <w:t xml:space="preserve">prevara i </w:t>
      </w:r>
      <w:r w:rsidR="000F471C" w:rsidRPr="00430041">
        <w:rPr>
          <w:rFonts w:ascii="Arial" w:hAnsi="Arial" w:cs="Arial"/>
          <w:sz w:val="22"/>
          <w:szCs w:val="22"/>
          <w:lang w:val="sr-Latn-ME"/>
        </w:rPr>
        <w:t>nepravilnosti, predlaganje i učešće u implementaciji efektivnih m</w:t>
      </w:r>
      <w:r w:rsidR="00C26CC5">
        <w:rPr>
          <w:rFonts w:ascii="Arial" w:hAnsi="Arial" w:cs="Arial"/>
          <w:sz w:val="22"/>
          <w:szCs w:val="22"/>
          <w:lang w:val="sr-Latn-ME"/>
        </w:rPr>
        <w:t>j</w:t>
      </w:r>
      <w:r w:rsidR="000F471C" w:rsidRPr="00430041">
        <w:rPr>
          <w:rFonts w:ascii="Arial" w:hAnsi="Arial" w:cs="Arial"/>
          <w:sz w:val="22"/>
          <w:szCs w:val="22"/>
          <w:lang w:val="sr-Latn-ME"/>
        </w:rPr>
        <w:t xml:space="preserve">era za zaštitu finansijskih interesa EU, kao i za koordinaciju procjene potreba za obukom </w:t>
      </w:r>
      <w:r w:rsidR="00C26CC5">
        <w:rPr>
          <w:rFonts w:ascii="Arial" w:hAnsi="Arial" w:cs="Arial"/>
          <w:sz w:val="22"/>
          <w:szCs w:val="22"/>
          <w:lang w:val="sr-Latn-ME"/>
        </w:rPr>
        <w:t>u institucijama koje</w:t>
      </w:r>
      <w:r w:rsidR="000F471C" w:rsidRPr="00430041">
        <w:rPr>
          <w:rFonts w:ascii="Arial" w:hAnsi="Arial" w:cs="Arial"/>
          <w:sz w:val="22"/>
          <w:szCs w:val="22"/>
          <w:lang w:val="sr-Latn-ME"/>
        </w:rPr>
        <w:t xml:space="preserve"> predstavljaju i informišu svoje kolege o dostupnim edukativnim aktivnostima koje se odnose na zaštitu finansijskih interesa EU.</w:t>
      </w:r>
    </w:p>
    <w:p w:rsidR="00A71ABA" w:rsidRPr="00EE1E09" w:rsidRDefault="00A71ABA" w:rsidP="00A71ABA">
      <w:pPr>
        <w:pStyle w:val="ListParagraph"/>
        <w:numPr>
          <w:ilvl w:val="0"/>
          <w:numId w:val="38"/>
        </w:numPr>
        <w:spacing w:before="60" w:after="60" w:line="240" w:lineRule="auto"/>
        <w:rPr>
          <w:rFonts w:cs="Arial"/>
          <w:sz w:val="22"/>
          <w:szCs w:val="22"/>
          <w:lang w:val="sr-Latn-ME"/>
        </w:rPr>
      </w:pPr>
      <w:r w:rsidRPr="00EE1E09">
        <w:rPr>
          <w:rFonts w:cs="Arial"/>
          <w:sz w:val="22"/>
          <w:szCs w:val="22"/>
          <w:lang w:val="sr-Latn-ME"/>
        </w:rPr>
        <w:t>Direkcija za zaštitu finansijskih interesa EU/AFCOS (AFCOS kancelarija)</w:t>
      </w:r>
    </w:p>
    <w:p w:rsidR="00A71ABA" w:rsidRPr="00430041" w:rsidRDefault="00A71ABA" w:rsidP="00A71ABA">
      <w:pPr>
        <w:pStyle w:val="NormalWeb"/>
        <w:jc w:val="both"/>
        <w:rPr>
          <w:rFonts w:ascii="Arial" w:hAnsi="Arial" w:cs="Arial"/>
          <w:sz w:val="22"/>
          <w:szCs w:val="22"/>
          <w:lang w:val="sr-Latn-ME"/>
        </w:rPr>
      </w:pPr>
    </w:p>
    <w:p w:rsidR="000F471C" w:rsidRPr="001302F9" w:rsidRDefault="000F471C" w:rsidP="000F471C">
      <w:pPr>
        <w:pStyle w:val="NormalWeb"/>
        <w:jc w:val="both"/>
        <w:rPr>
          <w:rFonts w:ascii="Arial" w:hAnsi="Arial" w:cs="Arial"/>
          <w:sz w:val="22"/>
          <w:szCs w:val="22"/>
          <w:lang w:val="sr-Latn-ME"/>
        </w:rPr>
      </w:pPr>
      <w:r w:rsidRPr="001302F9">
        <w:rPr>
          <w:rFonts w:ascii="Arial" w:hAnsi="Arial" w:cs="Arial"/>
          <w:sz w:val="22"/>
          <w:szCs w:val="22"/>
          <w:lang w:val="sr-Latn-ME"/>
        </w:rPr>
        <w:t>Takođe, identifikovane su i druge nezavisne institucije kao zainteresovane strane - na nacionalnom nivou</w:t>
      </w:r>
      <w:r w:rsidR="00C26CC5">
        <w:rPr>
          <w:rFonts w:ascii="Arial" w:hAnsi="Arial" w:cs="Arial"/>
          <w:sz w:val="22"/>
          <w:szCs w:val="22"/>
          <w:lang w:val="sr-Latn-ME"/>
        </w:rPr>
        <w:t xml:space="preserve"> to su</w:t>
      </w:r>
      <w:r w:rsidRPr="001302F9">
        <w:rPr>
          <w:rFonts w:ascii="Arial" w:hAnsi="Arial" w:cs="Arial"/>
          <w:sz w:val="22"/>
          <w:szCs w:val="22"/>
          <w:lang w:val="sr-Latn-ME"/>
        </w:rPr>
        <w:t>: Direk</w:t>
      </w:r>
      <w:r w:rsidR="004F657E">
        <w:rPr>
          <w:rFonts w:ascii="Arial" w:hAnsi="Arial" w:cs="Arial"/>
          <w:sz w:val="22"/>
          <w:szCs w:val="22"/>
          <w:lang w:val="sr-Latn-ME"/>
        </w:rPr>
        <w:t>torat za politiku javnih nabavki</w:t>
      </w:r>
      <w:r w:rsidR="00C26CC5">
        <w:rPr>
          <w:rFonts w:ascii="Arial" w:hAnsi="Arial" w:cs="Arial"/>
          <w:sz w:val="22"/>
          <w:szCs w:val="22"/>
          <w:lang w:val="sr-Latn-ME"/>
        </w:rPr>
        <w:t>;</w:t>
      </w:r>
      <w:r w:rsidRPr="001302F9">
        <w:rPr>
          <w:rFonts w:ascii="Arial" w:hAnsi="Arial" w:cs="Arial"/>
          <w:sz w:val="22"/>
          <w:szCs w:val="22"/>
          <w:lang w:val="sr-Latn-ME"/>
        </w:rPr>
        <w:t xml:space="preserve"> Centralna harmonizacij</w:t>
      </w:r>
      <w:r w:rsidR="00C26CC5">
        <w:rPr>
          <w:rFonts w:ascii="Arial" w:hAnsi="Arial" w:cs="Arial"/>
          <w:sz w:val="22"/>
          <w:szCs w:val="22"/>
          <w:lang w:val="sr-Latn-ME"/>
        </w:rPr>
        <w:t>ska</w:t>
      </w:r>
      <w:r w:rsidRPr="001302F9">
        <w:rPr>
          <w:rFonts w:ascii="Arial" w:hAnsi="Arial" w:cs="Arial"/>
          <w:sz w:val="22"/>
          <w:szCs w:val="22"/>
          <w:lang w:val="sr-Latn-ME"/>
        </w:rPr>
        <w:t xml:space="preserve"> jedinica</w:t>
      </w:r>
      <w:r w:rsidR="00C26CC5">
        <w:rPr>
          <w:rFonts w:ascii="Arial" w:hAnsi="Arial" w:cs="Arial"/>
          <w:sz w:val="22"/>
          <w:szCs w:val="22"/>
          <w:lang w:val="sr-Latn-ME"/>
        </w:rPr>
        <w:t xml:space="preserve"> i</w:t>
      </w:r>
      <w:r w:rsidRPr="001302F9">
        <w:rPr>
          <w:rFonts w:ascii="Arial" w:hAnsi="Arial" w:cs="Arial"/>
          <w:sz w:val="22"/>
          <w:szCs w:val="22"/>
          <w:lang w:val="sr-Latn-ME"/>
        </w:rPr>
        <w:t xml:space="preserve"> Direkcija za budžetsku inspekciju,</w:t>
      </w:r>
      <w:r w:rsidR="00C26CC5">
        <w:rPr>
          <w:rFonts w:ascii="Arial" w:hAnsi="Arial" w:cs="Arial"/>
          <w:sz w:val="22"/>
          <w:szCs w:val="22"/>
          <w:lang w:val="sr-Latn-ME"/>
        </w:rPr>
        <w:t xml:space="preserve"> </w:t>
      </w:r>
      <w:r w:rsidRPr="001302F9">
        <w:rPr>
          <w:rFonts w:ascii="Arial" w:hAnsi="Arial" w:cs="Arial"/>
          <w:sz w:val="22"/>
          <w:szCs w:val="22"/>
          <w:lang w:val="sr-Latn-ME"/>
        </w:rPr>
        <w:t>a na EU nivou</w:t>
      </w:r>
      <w:r w:rsidR="00C26CC5">
        <w:rPr>
          <w:rFonts w:ascii="Arial" w:hAnsi="Arial" w:cs="Arial"/>
          <w:sz w:val="22"/>
          <w:szCs w:val="22"/>
          <w:lang w:val="sr-Latn-ME"/>
        </w:rPr>
        <w:t xml:space="preserve"> su</w:t>
      </w:r>
      <w:r w:rsidRPr="001302F9">
        <w:rPr>
          <w:rFonts w:ascii="Arial" w:hAnsi="Arial" w:cs="Arial"/>
          <w:sz w:val="22"/>
          <w:szCs w:val="22"/>
          <w:lang w:val="sr-Latn-ME"/>
        </w:rPr>
        <w:t>: OLAF</w:t>
      </w:r>
      <w:r w:rsidR="00C26CC5">
        <w:rPr>
          <w:rFonts w:ascii="Arial" w:hAnsi="Arial" w:cs="Arial"/>
          <w:sz w:val="22"/>
          <w:szCs w:val="22"/>
          <w:lang w:val="sr-Latn-ME"/>
        </w:rPr>
        <w:t>;</w:t>
      </w:r>
      <w:r w:rsidRPr="001302F9">
        <w:rPr>
          <w:rFonts w:ascii="Arial" w:hAnsi="Arial" w:cs="Arial"/>
          <w:sz w:val="22"/>
          <w:szCs w:val="22"/>
          <w:lang w:val="sr-Latn-ME"/>
        </w:rPr>
        <w:t xml:space="preserve"> EPPO</w:t>
      </w:r>
      <w:r w:rsidR="00C26CC5">
        <w:rPr>
          <w:rFonts w:ascii="Arial" w:hAnsi="Arial" w:cs="Arial"/>
          <w:sz w:val="22"/>
          <w:szCs w:val="22"/>
          <w:lang w:val="sr-Latn-ME"/>
        </w:rPr>
        <w:t>;</w:t>
      </w:r>
      <w:r w:rsidRPr="001302F9">
        <w:rPr>
          <w:rFonts w:ascii="Arial" w:hAnsi="Arial" w:cs="Arial"/>
          <w:sz w:val="22"/>
          <w:szCs w:val="22"/>
          <w:lang w:val="sr-Latn-ME"/>
        </w:rPr>
        <w:t xml:space="preserve"> službe Evropske komisije i Evropski revizorski sud.</w:t>
      </w:r>
    </w:p>
    <w:p w:rsidR="003E6985" w:rsidRDefault="000F471C" w:rsidP="003E6985">
      <w:pPr>
        <w:pStyle w:val="NormalWeb"/>
        <w:jc w:val="both"/>
        <w:rPr>
          <w:rFonts w:ascii="Arial" w:hAnsi="Arial" w:cs="Arial"/>
          <w:sz w:val="22"/>
          <w:szCs w:val="22"/>
          <w:lang w:val="sr-Latn-ME"/>
        </w:rPr>
      </w:pPr>
      <w:r w:rsidRPr="001302F9">
        <w:rPr>
          <w:rFonts w:ascii="Arial" w:hAnsi="Arial" w:cs="Arial"/>
          <w:sz w:val="22"/>
          <w:szCs w:val="22"/>
          <w:lang w:val="sr-Latn-ME"/>
        </w:rPr>
        <w:t>Za potrebe razvoja ove Strategije, sve zainteresovane strane su grupisane u dv</w:t>
      </w:r>
      <w:r w:rsidR="00C26CC5">
        <w:rPr>
          <w:rFonts w:ascii="Arial" w:hAnsi="Arial" w:cs="Arial"/>
          <w:sz w:val="22"/>
          <w:szCs w:val="22"/>
          <w:lang w:val="sr-Latn-ME"/>
        </w:rPr>
        <w:t>ij</w:t>
      </w:r>
      <w:r w:rsidRPr="001302F9">
        <w:rPr>
          <w:rFonts w:ascii="Arial" w:hAnsi="Arial" w:cs="Arial"/>
          <w:sz w:val="22"/>
          <w:szCs w:val="22"/>
          <w:lang w:val="sr-Latn-ME"/>
        </w:rPr>
        <w:t>e kategorije</w:t>
      </w:r>
      <w:r w:rsidR="00DB2E45">
        <w:rPr>
          <w:rFonts w:ascii="Arial" w:hAnsi="Arial" w:cs="Arial"/>
          <w:sz w:val="22"/>
          <w:szCs w:val="22"/>
          <w:lang w:val="sr-Latn-ME"/>
        </w:rPr>
        <w:t xml:space="preserve"> </w:t>
      </w:r>
      <w:r w:rsidRPr="001302F9">
        <w:rPr>
          <w:rFonts w:ascii="Arial" w:hAnsi="Arial" w:cs="Arial"/>
          <w:sz w:val="22"/>
          <w:szCs w:val="22"/>
          <w:lang w:val="sr-Latn-ME"/>
        </w:rPr>
        <w:t xml:space="preserve">– </w:t>
      </w:r>
      <w:r w:rsidR="00DB2E45">
        <w:rPr>
          <w:rFonts w:ascii="Arial" w:hAnsi="Arial" w:cs="Arial"/>
          <w:sz w:val="22"/>
          <w:szCs w:val="22"/>
          <w:lang w:val="sr-Latn-ME"/>
        </w:rPr>
        <w:t xml:space="preserve"> </w:t>
      </w:r>
      <w:r w:rsidR="008C4A74">
        <w:rPr>
          <w:rFonts w:ascii="Arial" w:hAnsi="Arial" w:cs="Arial"/>
          <w:sz w:val="22"/>
          <w:szCs w:val="22"/>
          <w:lang w:val="sr-Latn-ME"/>
        </w:rPr>
        <w:t xml:space="preserve">interni </w:t>
      </w:r>
      <w:r w:rsidRPr="001302F9">
        <w:rPr>
          <w:rFonts w:ascii="Arial" w:hAnsi="Arial" w:cs="Arial"/>
          <w:sz w:val="22"/>
          <w:szCs w:val="22"/>
          <w:lang w:val="sr-Latn-ME"/>
        </w:rPr>
        <w:t xml:space="preserve">subjekti i </w:t>
      </w:r>
      <w:r w:rsidR="008C4A74">
        <w:rPr>
          <w:rFonts w:ascii="Arial" w:hAnsi="Arial" w:cs="Arial"/>
          <w:sz w:val="22"/>
          <w:szCs w:val="22"/>
          <w:lang w:val="sr-Latn-ME"/>
        </w:rPr>
        <w:t>eksterni</w:t>
      </w:r>
      <w:r w:rsidRPr="001302F9">
        <w:rPr>
          <w:rFonts w:ascii="Arial" w:hAnsi="Arial" w:cs="Arial"/>
          <w:sz w:val="22"/>
          <w:szCs w:val="22"/>
          <w:lang w:val="sr-Latn-ME"/>
        </w:rPr>
        <w:t xml:space="preserve"> subjekti, </w:t>
      </w:r>
      <w:r w:rsidR="008C4A74">
        <w:rPr>
          <w:rFonts w:ascii="Arial" w:hAnsi="Arial" w:cs="Arial"/>
          <w:sz w:val="22"/>
          <w:szCs w:val="22"/>
          <w:lang w:val="sr-Latn-ME"/>
        </w:rPr>
        <w:t xml:space="preserve">a </w:t>
      </w:r>
      <w:r w:rsidRPr="001302F9">
        <w:rPr>
          <w:rFonts w:ascii="Arial" w:hAnsi="Arial" w:cs="Arial"/>
          <w:sz w:val="22"/>
          <w:szCs w:val="22"/>
          <w:lang w:val="sr-Latn-ME"/>
        </w:rPr>
        <w:t>što je prikazano u sljedećoj tabeli</w:t>
      </w:r>
      <w:r w:rsidR="008C4A74">
        <w:rPr>
          <w:rFonts w:ascii="Arial" w:hAnsi="Arial" w:cs="Arial"/>
          <w:sz w:val="22"/>
          <w:szCs w:val="22"/>
          <w:lang w:val="sr-Latn-ME"/>
        </w:rPr>
        <w:t>:</w:t>
      </w:r>
    </w:p>
    <w:p w:rsidR="000F471C" w:rsidRPr="003E6985" w:rsidRDefault="003E6985" w:rsidP="003E6985">
      <w:pPr>
        <w:pStyle w:val="NormalWeb"/>
        <w:jc w:val="both"/>
        <w:rPr>
          <w:rFonts w:ascii="Arial" w:hAnsi="Arial" w:cs="Arial"/>
          <w:sz w:val="22"/>
          <w:szCs w:val="22"/>
          <w:lang w:val="sr-Latn-ME"/>
        </w:rPr>
      </w:pPr>
      <w:r w:rsidRPr="003E6985">
        <w:rPr>
          <w:noProof/>
        </w:rPr>
        <w:drawing>
          <wp:inline distT="0" distB="0" distL="0" distR="0" wp14:anchorId="29D05724" wp14:editId="449BBC16">
            <wp:extent cx="5731510" cy="186309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1863090"/>
                    </a:xfrm>
                    <a:prstGeom prst="rect">
                      <a:avLst/>
                    </a:prstGeom>
                  </pic:spPr>
                </pic:pic>
              </a:graphicData>
            </a:graphic>
          </wp:inline>
        </w:drawing>
      </w:r>
      <w:r w:rsidR="00C91833" w:rsidRPr="00C91833">
        <w:t xml:space="preserve"> </w:t>
      </w:r>
    </w:p>
    <w:p w:rsidR="000F471C" w:rsidRPr="001302F9" w:rsidRDefault="00A330B0" w:rsidP="000F471C">
      <w:pPr>
        <w:pStyle w:val="NormalWeb"/>
        <w:jc w:val="both"/>
        <w:rPr>
          <w:rFonts w:ascii="Arial" w:hAnsi="Arial" w:cs="Arial"/>
          <w:sz w:val="22"/>
          <w:szCs w:val="22"/>
          <w:lang w:val="sr-Latn-ME"/>
        </w:rPr>
      </w:pPr>
      <w:r>
        <w:rPr>
          <w:rStyle w:val="Strong"/>
          <w:rFonts w:ascii="Arial" w:hAnsi="Arial" w:cs="Arial"/>
          <w:sz w:val="22"/>
          <w:szCs w:val="22"/>
          <w:lang w:val="sr-Latn-ME"/>
        </w:rPr>
        <w:t>Interni</w:t>
      </w:r>
      <w:r w:rsidR="000F471C" w:rsidRPr="001302F9">
        <w:rPr>
          <w:rStyle w:val="Strong"/>
          <w:rFonts w:ascii="Arial" w:hAnsi="Arial" w:cs="Arial"/>
          <w:sz w:val="22"/>
          <w:szCs w:val="22"/>
          <w:lang w:val="sr-Latn-ME"/>
        </w:rPr>
        <w:t xml:space="preserve"> subjekti</w:t>
      </w:r>
      <w:r w:rsidR="000F471C" w:rsidRPr="001302F9">
        <w:rPr>
          <w:rFonts w:ascii="Arial" w:hAnsi="Arial" w:cs="Arial"/>
          <w:sz w:val="22"/>
          <w:szCs w:val="22"/>
          <w:lang w:val="sr-Latn-ME"/>
        </w:rPr>
        <w:t xml:space="preserve"> su institucije i organizacije AFCOS sistema, </w:t>
      </w:r>
      <w:r>
        <w:rPr>
          <w:rFonts w:ascii="Arial" w:hAnsi="Arial" w:cs="Arial"/>
          <w:sz w:val="22"/>
          <w:szCs w:val="22"/>
          <w:lang w:val="sr-Latn-ME"/>
        </w:rPr>
        <w:t>koje su</w:t>
      </w:r>
      <w:r w:rsidR="000F471C" w:rsidRPr="001302F9">
        <w:rPr>
          <w:rFonts w:ascii="Arial" w:hAnsi="Arial" w:cs="Arial"/>
          <w:sz w:val="22"/>
          <w:szCs w:val="22"/>
          <w:lang w:val="sr-Latn-ME"/>
        </w:rPr>
        <w:t xml:space="preserve"> direktno uključen</w:t>
      </w:r>
      <w:r>
        <w:rPr>
          <w:rFonts w:ascii="Arial" w:hAnsi="Arial" w:cs="Arial"/>
          <w:sz w:val="22"/>
          <w:szCs w:val="22"/>
          <w:lang w:val="sr-Latn-ME"/>
        </w:rPr>
        <w:t>e</w:t>
      </w:r>
      <w:r w:rsidR="000F471C" w:rsidRPr="001302F9">
        <w:rPr>
          <w:rFonts w:ascii="Arial" w:hAnsi="Arial" w:cs="Arial"/>
          <w:sz w:val="22"/>
          <w:szCs w:val="22"/>
          <w:lang w:val="sr-Latn-ME"/>
        </w:rPr>
        <w:t xml:space="preserve"> u razvoj i implementaciju Strategije  i njenog Akcionog plana.</w:t>
      </w:r>
    </w:p>
    <w:p w:rsidR="000F471C" w:rsidRPr="001302F9" w:rsidRDefault="00A330B0" w:rsidP="000F471C">
      <w:pPr>
        <w:pStyle w:val="NormalWeb"/>
        <w:jc w:val="both"/>
        <w:rPr>
          <w:rFonts w:ascii="Arial" w:hAnsi="Arial" w:cs="Arial"/>
          <w:sz w:val="22"/>
          <w:szCs w:val="22"/>
          <w:lang w:val="sr-Latn-ME"/>
        </w:rPr>
      </w:pPr>
      <w:r>
        <w:rPr>
          <w:rStyle w:val="Strong"/>
          <w:rFonts w:ascii="Arial" w:hAnsi="Arial" w:cs="Arial"/>
          <w:sz w:val="22"/>
          <w:szCs w:val="22"/>
          <w:lang w:val="sr-Latn-ME"/>
        </w:rPr>
        <w:t>Eksterni</w:t>
      </w:r>
      <w:r w:rsidR="000F471C" w:rsidRPr="001302F9">
        <w:rPr>
          <w:rStyle w:val="Strong"/>
          <w:rFonts w:ascii="Arial" w:hAnsi="Arial" w:cs="Arial"/>
          <w:sz w:val="22"/>
          <w:szCs w:val="22"/>
          <w:lang w:val="sr-Latn-ME"/>
        </w:rPr>
        <w:t xml:space="preserve"> subjekti</w:t>
      </w:r>
      <w:r w:rsidR="000F471C" w:rsidRPr="001302F9">
        <w:rPr>
          <w:rFonts w:ascii="Arial" w:hAnsi="Arial" w:cs="Arial"/>
          <w:sz w:val="22"/>
          <w:szCs w:val="22"/>
          <w:lang w:val="sr-Latn-ME"/>
        </w:rPr>
        <w:t xml:space="preserve"> su </w:t>
      </w:r>
      <w:r w:rsidRPr="001302F9">
        <w:rPr>
          <w:rFonts w:ascii="Arial" w:hAnsi="Arial" w:cs="Arial"/>
          <w:sz w:val="22"/>
          <w:szCs w:val="22"/>
          <w:lang w:val="sr-Latn-ME"/>
        </w:rPr>
        <w:t xml:space="preserve">institucije i </w:t>
      </w:r>
      <w:r w:rsidR="000F471C" w:rsidRPr="001302F9">
        <w:rPr>
          <w:rFonts w:ascii="Arial" w:hAnsi="Arial" w:cs="Arial"/>
          <w:sz w:val="22"/>
          <w:szCs w:val="22"/>
          <w:lang w:val="sr-Latn-ME"/>
        </w:rPr>
        <w:t>organizacije kojima su t</w:t>
      </w:r>
      <w:r w:rsidR="00213EC0">
        <w:rPr>
          <w:rFonts w:ascii="Arial" w:hAnsi="Arial" w:cs="Arial"/>
          <w:sz w:val="22"/>
          <w:szCs w:val="22"/>
          <w:lang w:val="sr-Latn-ME"/>
        </w:rPr>
        <w:t>ij</w:t>
      </w:r>
      <w:r w:rsidR="000F471C" w:rsidRPr="001302F9">
        <w:rPr>
          <w:rFonts w:ascii="Arial" w:hAnsi="Arial" w:cs="Arial"/>
          <w:sz w:val="22"/>
          <w:szCs w:val="22"/>
          <w:lang w:val="sr-Latn-ME"/>
        </w:rPr>
        <w:t>ela AFCOS sistema na neki način odgovorna za zaštitu finansijskih interesa EU.</w:t>
      </w:r>
    </w:p>
    <w:p w:rsidR="000F471C" w:rsidRPr="001302F9" w:rsidRDefault="000F471C" w:rsidP="000F471C">
      <w:pPr>
        <w:pStyle w:val="NormalWeb"/>
        <w:jc w:val="both"/>
        <w:rPr>
          <w:rFonts w:ascii="Arial" w:hAnsi="Arial" w:cs="Arial"/>
          <w:sz w:val="22"/>
          <w:szCs w:val="22"/>
          <w:lang w:val="sr-Latn-ME"/>
        </w:rPr>
      </w:pPr>
      <w:r w:rsidRPr="001302F9">
        <w:rPr>
          <w:rFonts w:ascii="Arial" w:hAnsi="Arial" w:cs="Arial"/>
          <w:sz w:val="22"/>
          <w:szCs w:val="22"/>
          <w:lang w:val="sr-Latn-ME"/>
        </w:rPr>
        <w:t>Izvođači</w:t>
      </w:r>
      <w:r w:rsidR="007D4E1A">
        <w:rPr>
          <w:rFonts w:ascii="Arial" w:hAnsi="Arial" w:cs="Arial"/>
          <w:sz w:val="22"/>
          <w:szCs w:val="22"/>
          <w:lang w:val="sr-Latn-ME"/>
        </w:rPr>
        <w:t>,</w:t>
      </w:r>
      <w:r w:rsidRPr="001302F9">
        <w:rPr>
          <w:rFonts w:ascii="Arial" w:hAnsi="Arial" w:cs="Arial"/>
          <w:sz w:val="22"/>
          <w:szCs w:val="22"/>
          <w:lang w:val="sr-Latn-ME"/>
        </w:rPr>
        <w:t xml:space="preserve"> korisnici </w:t>
      </w:r>
      <w:r w:rsidR="007D4E1A" w:rsidRPr="001302F9">
        <w:rPr>
          <w:rFonts w:ascii="Arial" w:hAnsi="Arial" w:cs="Arial"/>
          <w:sz w:val="22"/>
          <w:szCs w:val="22"/>
          <w:lang w:val="sr-Latn-ME"/>
        </w:rPr>
        <w:t xml:space="preserve">projekata finansiranih </w:t>
      </w:r>
      <w:r w:rsidRPr="001302F9">
        <w:rPr>
          <w:rFonts w:ascii="Arial" w:hAnsi="Arial" w:cs="Arial"/>
          <w:sz w:val="22"/>
          <w:szCs w:val="22"/>
          <w:lang w:val="sr-Latn-ME"/>
        </w:rPr>
        <w:t>EU</w:t>
      </w:r>
      <w:r w:rsidR="007D4E1A" w:rsidRPr="007D4E1A">
        <w:rPr>
          <w:rFonts w:ascii="Arial" w:hAnsi="Arial" w:cs="Arial"/>
          <w:sz w:val="22"/>
          <w:szCs w:val="22"/>
          <w:lang w:val="sr-Latn-ME"/>
        </w:rPr>
        <w:t xml:space="preserve"> </w:t>
      </w:r>
      <w:r w:rsidR="007D4E1A">
        <w:rPr>
          <w:rFonts w:ascii="Arial" w:hAnsi="Arial" w:cs="Arial"/>
          <w:sz w:val="22"/>
          <w:szCs w:val="22"/>
          <w:lang w:val="sr-Latn-ME"/>
        </w:rPr>
        <w:t>sredstvima</w:t>
      </w:r>
      <w:r w:rsidRPr="001302F9">
        <w:rPr>
          <w:rFonts w:ascii="Arial" w:hAnsi="Arial" w:cs="Arial"/>
          <w:sz w:val="22"/>
          <w:szCs w:val="22"/>
          <w:lang w:val="sr-Latn-ME"/>
        </w:rPr>
        <w:t xml:space="preserve">, poreski obveznici EU i Crne Gore, kao i crnogorsko društvo uopšte, nisu smatrani zainteresovanim stranama u odnosu na Strategiju, jer nisu direktno odgovorni </w:t>
      </w:r>
      <w:r w:rsidR="007D4E1A">
        <w:rPr>
          <w:rFonts w:ascii="Arial" w:hAnsi="Arial" w:cs="Arial"/>
          <w:sz w:val="22"/>
          <w:szCs w:val="22"/>
          <w:lang w:val="sr-Latn-ME"/>
        </w:rPr>
        <w:t>za njenu implementaciju i</w:t>
      </w:r>
      <w:r w:rsidRPr="001302F9">
        <w:rPr>
          <w:rFonts w:ascii="Arial" w:hAnsi="Arial" w:cs="Arial"/>
          <w:sz w:val="22"/>
          <w:szCs w:val="22"/>
          <w:lang w:val="sr-Latn-ME"/>
        </w:rPr>
        <w:t xml:space="preserve"> ispunjavanj</w:t>
      </w:r>
      <w:r w:rsidR="007D4E1A">
        <w:rPr>
          <w:rFonts w:ascii="Arial" w:hAnsi="Arial" w:cs="Arial"/>
          <w:sz w:val="22"/>
          <w:szCs w:val="22"/>
          <w:lang w:val="sr-Latn-ME"/>
        </w:rPr>
        <w:t>e</w:t>
      </w:r>
      <w:r w:rsidRPr="001302F9">
        <w:rPr>
          <w:rFonts w:ascii="Arial" w:hAnsi="Arial" w:cs="Arial"/>
          <w:sz w:val="22"/>
          <w:szCs w:val="22"/>
          <w:lang w:val="sr-Latn-ME"/>
        </w:rPr>
        <w:t xml:space="preserve"> zadataka iz</w:t>
      </w:r>
      <w:r w:rsidR="007D4E1A">
        <w:rPr>
          <w:rFonts w:ascii="Arial" w:hAnsi="Arial" w:cs="Arial"/>
          <w:sz w:val="22"/>
          <w:szCs w:val="22"/>
          <w:lang w:val="sr-Latn-ME"/>
        </w:rPr>
        <w:t xml:space="preserve"> </w:t>
      </w:r>
      <w:r w:rsidRPr="001302F9">
        <w:rPr>
          <w:rFonts w:ascii="Arial" w:hAnsi="Arial" w:cs="Arial"/>
          <w:sz w:val="22"/>
          <w:szCs w:val="22"/>
          <w:lang w:val="sr-Latn-ME"/>
        </w:rPr>
        <w:t>njenog Akcionog plana.</w:t>
      </w:r>
    </w:p>
    <w:p w:rsidR="000F471C" w:rsidRPr="001302F9" w:rsidRDefault="000F471C" w:rsidP="000F471C">
      <w:pPr>
        <w:rPr>
          <w:rFonts w:ascii="Arial" w:hAnsi="Arial" w:cs="Arial"/>
          <w:lang w:val="sr-Latn-ME"/>
        </w:rPr>
      </w:pPr>
      <w:r w:rsidRPr="001302F9">
        <w:rPr>
          <w:rFonts w:ascii="Arial" w:hAnsi="Arial" w:cs="Arial"/>
          <w:b/>
          <w:bCs/>
          <w:lang w:val="sr-Latn-ME"/>
        </w:rPr>
        <w:t>2.5.2. Mapa zainteresovanih strana</w:t>
      </w:r>
    </w:p>
    <w:p w:rsidR="000F471C" w:rsidRPr="001302F9" w:rsidRDefault="000F471C" w:rsidP="00346C60">
      <w:pPr>
        <w:jc w:val="both"/>
        <w:rPr>
          <w:rFonts w:ascii="Arial" w:hAnsi="Arial" w:cs="Arial"/>
          <w:lang w:val="sr-Latn-ME"/>
        </w:rPr>
      </w:pPr>
      <w:r w:rsidRPr="001302F9">
        <w:rPr>
          <w:rFonts w:ascii="Arial" w:hAnsi="Arial" w:cs="Arial"/>
          <w:lang w:val="sr-Latn-ME"/>
        </w:rPr>
        <w:t xml:space="preserve">U ovom </w:t>
      </w:r>
      <w:r w:rsidR="00503B80">
        <w:rPr>
          <w:rFonts w:ascii="Arial" w:hAnsi="Arial" w:cs="Arial"/>
          <w:lang w:val="sr-Latn-ME"/>
        </w:rPr>
        <w:t>poglavlju</w:t>
      </w:r>
      <w:r w:rsidRPr="001302F9">
        <w:rPr>
          <w:rFonts w:ascii="Arial" w:hAnsi="Arial" w:cs="Arial"/>
          <w:lang w:val="sr-Latn-ME"/>
        </w:rPr>
        <w:t xml:space="preserve"> izvršena je procjena svih identifikovanih zainteresovanih strana. Prvo je sprovedena procjena</w:t>
      </w:r>
      <w:r w:rsidR="00346C60">
        <w:rPr>
          <w:rFonts w:ascii="Arial" w:hAnsi="Arial" w:cs="Arial"/>
          <w:lang w:val="sr-Latn-ME"/>
        </w:rPr>
        <w:t xml:space="preserve">, </w:t>
      </w:r>
      <w:r w:rsidRPr="001302F9">
        <w:rPr>
          <w:rFonts w:ascii="Arial" w:hAnsi="Arial" w:cs="Arial"/>
          <w:lang w:val="sr-Latn-ME"/>
        </w:rPr>
        <w:t>kako bi se odredio nivo interesa i potencijalnog uticaja svake zainteresovane strane. Ocjena je data na skali od 1 do 5, gde je 1 najniža, a 5 najviša oc</w:t>
      </w:r>
      <w:r w:rsidR="00346C60">
        <w:rPr>
          <w:rFonts w:ascii="Arial" w:hAnsi="Arial" w:cs="Arial"/>
          <w:lang w:val="sr-Latn-ME"/>
        </w:rPr>
        <w:t>j</w:t>
      </w:r>
      <w:r w:rsidRPr="001302F9">
        <w:rPr>
          <w:rFonts w:ascii="Arial" w:hAnsi="Arial" w:cs="Arial"/>
          <w:lang w:val="sr-Latn-ME"/>
        </w:rPr>
        <w:t>ena, kao što je prikazano u sljedećoj tabeli.</w:t>
      </w:r>
    </w:p>
    <w:tbl>
      <w:tblPr>
        <w:tblpPr w:leftFromText="180" w:rightFromText="180" w:vertAnchor="text" w:tblpX="-10" w:tblpY="1"/>
        <w:tblOverlap w:val="never"/>
        <w:tblW w:w="9445" w:type="dxa"/>
        <w:tblCellSpacing w:w="15" w:type="dxa"/>
        <w:tblCellMar>
          <w:top w:w="15" w:type="dxa"/>
          <w:left w:w="15" w:type="dxa"/>
          <w:bottom w:w="15" w:type="dxa"/>
          <w:right w:w="15" w:type="dxa"/>
        </w:tblCellMar>
        <w:tblLook w:val="04A0" w:firstRow="1" w:lastRow="0" w:firstColumn="1" w:lastColumn="0" w:noHBand="0" w:noVBand="1"/>
      </w:tblPr>
      <w:tblGrid>
        <w:gridCol w:w="3259"/>
        <w:gridCol w:w="4613"/>
        <w:gridCol w:w="830"/>
        <w:gridCol w:w="743"/>
      </w:tblGrid>
      <w:tr w:rsidR="000F471C" w:rsidRPr="001302F9" w:rsidTr="00CB5F79">
        <w:trPr>
          <w:tblHeader/>
          <w:tblCellSpacing w:w="15" w:type="dxa"/>
        </w:trPr>
        <w:tc>
          <w:tcPr>
            <w:tcW w:w="3214" w:type="dxa"/>
            <w:tcBorders>
              <w:top w:val="single" w:sz="4" w:space="0" w:color="auto"/>
              <w:left w:val="single" w:sz="4" w:space="0" w:color="auto"/>
              <w:bottom w:val="single" w:sz="4" w:space="0" w:color="auto"/>
            </w:tcBorders>
            <w:shd w:val="clear" w:color="auto" w:fill="DEEAF6" w:themeFill="accent1" w:themeFillTint="33"/>
            <w:vAlign w:val="center"/>
            <w:hideMark/>
          </w:tcPr>
          <w:p w:rsidR="000F471C" w:rsidRPr="001302F9" w:rsidRDefault="000F471C" w:rsidP="00CB5F79">
            <w:pPr>
              <w:rPr>
                <w:rFonts w:ascii="Arial" w:hAnsi="Arial" w:cs="Arial"/>
                <w:b/>
                <w:bCs/>
                <w:color w:val="1F4E79" w:themeColor="accent1" w:themeShade="80"/>
                <w:lang w:val="sr-Latn-ME"/>
              </w:rPr>
            </w:pPr>
            <w:r w:rsidRPr="001302F9">
              <w:rPr>
                <w:rFonts w:ascii="Arial" w:hAnsi="Arial" w:cs="Arial"/>
                <w:b/>
                <w:bCs/>
                <w:color w:val="1F4E79" w:themeColor="accent1" w:themeShade="80"/>
                <w:lang w:val="sr-Latn-ME"/>
              </w:rPr>
              <w:t>Zainteresovana strana</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F471C" w:rsidRPr="001302F9" w:rsidRDefault="000F471C" w:rsidP="00CB5F79">
            <w:pPr>
              <w:rPr>
                <w:rFonts w:ascii="Arial" w:hAnsi="Arial" w:cs="Arial"/>
                <w:b/>
                <w:bCs/>
                <w:color w:val="1F4E79" w:themeColor="accent1" w:themeShade="80"/>
                <w:lang w:val="sr-Latn-ME"/>
              </w:rPr>
            </w:pPr>
            <w:r w:rsidRPr="001302F9">
              <w:rPr>
                <w:rFonts w:ascii="Arial" w:hAnsi="Arial" w:cs="Arial"/>
                <w:b/>
                <w:bCs/>
                <w:color w:val="1F4E79" w:themeColor="accent1" w:themeShade="80"/>
                <w:lang w:val="sr-Latn-ME"/>
              </w:rPr>
              <w:t>Veza sa strate</w:t>
            </w:r>
            <w:r w:rsidR="00346C60">
              <w:rPr>
                <w:rFonts w:ascii="Arial" w:hAnsi="Arial" w:cs="Arial"/>
                <w:b/>
                <w:bCs/>
                <w:color w:val="1F4E79" w:themeColor="accent1" w:themeShade="80"/>
                <w:lang w:val="sr-Latn-ME"/>
              </w:rPr>
              <w:t>škim</w:t>
            </w:r>
            <w:r w:rsidRPr="001302F9">
              <w:rPr>
                <w:rFonts w:ascii="Arial" w:hAnsi="Arial" w:cs="Arial"/>
                <w:b/>
                <w:bCs/>
                <w:color w:val="1F4E79" w:themeColor="accent1" w:themeShade="80"/>
                <w:lang w:val="sr-Latn-ME"/>
              </w:rPr>
              <w:t xml:space="preserve"> dokumentom</w:t>
            </w:r>
          </w:p>
        </w:tc>
        <w:tc>
          <w:tcPr>
            <w:tcW w:w="0" w:type="auto"/>
            <w:tcBorders>
              <w:top w:val="single" w:sz="4" w:space="0" w:color="auto"/>
              <w:bottom w:val="single" w:sz="4" w:space="0" w:color="auto"/>
            </w:tcBorders>
            <w:shd w:val="clear" w:color="auto" w:fill="DEEAF6" w:themeFill="accent1" w:themeFillTint="33"/>
            <w:vAlign w:val="center"/>
            <w:hideMark/>
          </w:tcPr>
          <w:p w:rsidR="000F471C" w:rsidRPr="001302F9" w:rsidRDefault="000F471C" w:rsidP="00CB5F79">
            <w:pPr>
              <w:rPr>
                <w:rFonts w:ascii="Arial" w:hAnsi="Arial" w:cs="Arial"/>
                <w:b/>
                <w:bCs/>
                <w:color w:val="1F4E79" w:themeColor="accent1" w:themeShade="80"/>
                <w:lang w:val="sr-Latn-ME"/>
              </w:rPr>
            </w:pPr>
            <w:r w:rsidRPr="001302F9">
              <w:rPr>
                <w:rFonts w:ascii="Arial" w:hAnsi="Arial" w:cs="Arial"/>
                <w:b/>
                <w:bCs/>
                <w:color w:val="1F4E79" w:themeColor="accent1" w:themeShade="80"/>
                <w:lang w:val="sr-Latn-ME"/>
              </w:rPr>
              <w:t>Interes (1-5)</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F471C" w:rsidRPr="001302F9" w:rsidRDefault="000F471C" w:rsidP="00CB5F79">
            <w:pPr>
              <w:rPr>
                <w:rFonts w:ascii="Arial" w:hAnsi="Arial" w:cs="Arial"/>
                <w:b/>
                <w:bCs/>
                <w:color w:val="1F4E79" w:themeColor="accent1" w:themeShade="80"/>
                <w:lang w:val="sr-Latn-ME"/>
              </w:rPr>
            </w:pPr>
            <w:r w:rsidRPr="001302F9">
              <w:rPr>
                <w:rFonts w:ascii="Arial" w:hAnsi="Arial" w:cs="Arial"/>
                <w:b/>
                <w:bCs/>
                <w:color w:val="1F4E79" w:themeColor="accent1" w:themeShade="80"/>
                <w:lang w:val="sr-Latn-ME"/>
              </w:rPr>
              <w:t>Uticaj (1-5)</w:t>
            </w:r>
          </w:p>
        </w:tc>
      </w:tr>
      <w:tr w:rsidR="000F471C" w:rsidRPr="001302F9" w:rsidTr="00CB5F79">
        <w:trPr>
          <w:tblCellSpacing w:w="15" w:type="dxa"/>
        </w:trPr>
        <w:tc>
          <w:tcPr>
            <w:tcW w:w="3214" w:type="dxa"/>
            <w:tcBorders>
              <w:left w:val="single" w:sz="4" w:space="0" w:color="auto"/>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b/>
                <w:bCs/>
                <w:color w:val="1F4E79" w:themeColor="accent1" w:themeShade="80"/>
                <w:lang w:val="sr-Latn-ME"/>
              </w:rPr>
              <w:t>Direkcija za zaštitu finansijskih interesa EU/AFCOS</w:t>
            </w:r>
          </w:p>
        </w:tc>
        <w:tc>
          <w:tcPr>
            <w:tcW w:w="0" w:type="auto"/>
            <w:tcBorders>
              <w:left w:val="single" w:sz="4" w:space="0" w:color="auto"/>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Koordinacija razvoja i implementacije Strategije u Crnoj Gori</w:t>
            </w:r>
          </w:p>
        </w:tc>
        <w:tc>
          <w:tcPr>
            <w:tcW w:w="0" w:type="auto"/>
            <w:tcBorders>
              <w:bottom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5</w:t>
            </w:r>
          </w:p>
        </w:tc>
        <w:tc>
          <w:tcPr>
            <w:tcW w:w="0" w:type="auto"/>
            <w:tcBorders>
              <w:left w:val="single" w:sz="4" w:space="0" w:color="auto"/>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2</w:t>
            </w:r>
          </w:p>
        </w:tc>
      </w:tr>
      <w:tr w:rsidR="000F471C" w:rsidRPr="001302F9" w:rsidTr="00CB5F79">
        <w:trPr>
          <w:tblCellSpacing w:w="15" w:type="dxa"/>
        </w:trPr>
        <w:tc>
          <w:tcPr>
            <w:tcW w:w="3214" w:type="dxa"/>
            <w:tcBorders>
              <w:left w:val="single" w:sz="4" w:space="0" w:color="auto"/>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b/>
                <w:bCs/>
                <w:color w:val="1F4E79" w:themeColor="accent1" w:themeShade="80"/>
                <w:lang w:val="sr-Latn-ME"/>
              </w:rPr>
              <w:t>EU Delegacija</w:t>
            </w:r>
            <w:r w:rsidRPr="001302F9">
              <w:rPr>
                <w:rFonts w:ascii="Arial" w:hAnsi="Arial" w:cs="Arial"/>
                <w:color w:val="1F4E79" w:themeColor="accent1" w:themeShade="80"/>
                <w:lang w:val="sr-Latn-ME"/>
              </w:rPr>
              <w:t xml:space="preserve"> - Delegacija Evropske unije u Crnoj Gori</w:t>
            </w:r>
          </w:p>
        </w:tc>
        <w:tc>
          <w:tcPr>
            <w:tcW w:w="0" w:type="auto"/>
            <w:tcBorders>
              <w:top w:val="single" w:sz="4" w:space="0" w:color="auto"/>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Nadzor i upravljanje EU fondovima (IPA ) u Crnoj Gori, sa stavom o nultoj toleranciji prema prevarama</w:t>
            </w:r>
          </w:p>
        </w:tc>
        <w:tc>
          <w:tcPr>
            <w:tcW w:w="0" w:type="auto"/>
            <w:tcBorders>
              <w:top w:val="single" w:sz="4" w:space="0" w:color="auto"/>
              <w:left w:val="single" w:sz="4" w:space="0" w:color="auto"/>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4</w:t>
            </w:r>
          </w:p>
        </w:tc>
      </w:tr>
      <w:tr w:rsidR="000F471C" w:rsidRPr="0050642E" w:rsidTr="00CB5F79">
        <w:trPr>
          <w:tblCellSpacing w:w="15" w:type="dxa"/>
        </w:trPr>
        <w:tc>
          <w:tcPr>
            <w:tcW w:w="3214" w:type="dxa"/>
            <w:tcBorders>
              <w:left w:val="single" w:sz="4" w:space="0" w:color="auto"/>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b/>
                <w:bCs/>
                <w:color w:val="1F4E79" w:themeColor="accent1" w:themeShade="80"/>
                <w:lang w:val="sr-Latn-ME"/>
              </w:rPr>
              <w:t>IPA II / IPA III Strukture</w:t>
            </w:r>
            <w:r w:rsidRPr="001302F9">
              <w:rPr>
                <w:rFonts w:ascii="Arial" w:hAnsi="Arial" w:cs="Arial"/>
                <w:color w:val="1F4E79" w:themeColor="accent1" w:themeShade="80"/>
                <w:lang w:val="sr-Latn-ME"/>
              </w:rPr>
              <w:t>:</w:t>
            </w:r>
          </w:p>
        </w:tc>
        <w:tc>
          <w:tcPr>
            <w:tcW w:w="0" w:type="auto"/>
            <w:tcBorders>
              <w:bottom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p>
        </w:tc>
        <w:tc>
          <w:tcPr>
            <w:tcW w:w="0" w:type="auto"/>
            <w:tcBorders>
              <w:left w:val="single" w:sz="4" w:space="0" w:color="auto"/>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p>
        </w:tc>
        <w:tc>
          <w:tcPr>
            <w:tcW w:w="0" w:type="auto"/>
            <w:tcBorders>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p>
        </w:tc>
      </w:tr>
      <w:tr w:rsidR="000F471C" w:rsidRPr="001302F9" w:rsidTr="00CB5F79">
        <w:trPr>
          <w:tblCellSpacing w:w="15" w:type="dxa"/>
        </w:trPr>
        <w:tc>
          <w:tcPr>
            <w:tcW w:w="3214" w:type="dxa"/>
            <w:tcBorders>
              <w:left w:val="single" w:sz="4" w:space="0" w:color="auto"/>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b/>
                <w:bCs/>
                <w:color w:val="1F4E79" w:themeColor="accent1" w:themeShade="80"/>
                <w:lang w:val="sr-Latn-ME"/>
              </w:rPr>
              <w:t>NIPAC</w:t>
            </w:r>
            <w:r w:rsidRPr="001302F9">
              <w:rPr>
                <w:rFonts w:ascii="Arial" w:hAnsi="Arial" w:cs="Arial"/>
                <w:color w:val="1F4E79" w:themeColor="accent1" w:themeShade="80"/>
                <w:lang w:val="sr-Latn-ME"/>
              </w:rPr>
              <w:t xml:space="preserve"> - Nacionalni IPA Koordinator</w:t>
            </w:r>
          </w:p>
        </w:tc>
        <w:tc>
          <w:tcPr>
            <w:tcW w:w="0" w:type="auto"/>
            <w:tcBorders>
              <w:bottom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Odgovoran za cjelokupno strateško planiranje, koordinaciju programiranja, praćenje implementacije, evaluaciju i izv</w:t>
            </w:r>
            <w:r w:rsidR="00032D9C">
              <w:rPr>
                <w:rFonts w:ascii="Arial" w:hAnsi="Arial" w:cs="Arial"/>
                <w:color w:val="1F4E79" w:themeColor="accent1" w:themeShade="80"/>
                <w:lang w:val="sr-Latn-ME"/>
              </w:rPr>
              <w:t>j</w:t>
            </w:r>
            <w:r w:rsidRPr="001302F9">
              <w:rPr>
                <w:rFonts w:ascii="Arial" w:hAnsi="Arial" w:cs="Arial"/>
                <w:color w:val="1F4E79" w:themeColor="accent1" w:themeShade="80"/>
                <w:lang w:val="sr-Latn-ME"/>
              </w:rPr>
              <w:t>eštavanje o IPA pomoći i saradnji sa Evropskom komisijom u vezi sa korišćenjem EU fondova</w:t>
            </w:r>
          </w:p>
        </w:tc>
        <w:tc>
          <w:tcPr>
            <w:tcW w:w="0" w:type="auto"/>
            <w:tcBorders>
              <w:left w:val="single" w:sz="4" w:space="0" w:color="auto"/>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3</w:t>
            </w:r>
          </w:p>
        </w:tc>
        <w:tc>
          <w:tcPr>
            <w:tcW w:w="0" w:type="auto"/>
            <w:tcBorders>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4</w:t>
            </w:r>
          </w:p>
        </w:tc>
      </w:tr>
      <w:tr w:rsidR="000F471C" w:rsidRPr="001302F9" w:rsidTr="00CB5F79">
        <w:trPr>
          <w:tblCellSpacing w:w="15" w:type="dxa"/>
        </w:trPr>
        <w:tc>
          <w:tcPr>
            <w:tcW w:w="3214" w:type="dxa"/>
            <w:tcBorders>
              <w:left w:val="single" w:sz="4" w:space="0" w:color="auto"/>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b/>
                <w:bCs/>
                <w:color w:val="1F4E79" w:themeColor="accent1" w:themeShade="80"/>
                <w:lang w:val="sr-Latn-ME"/>
              </w:rPr>
              <w:t>NAO</w:t>
            </w:r>
            <w:r w:rsidRPr="001302F9">
              <w:rPr>
                <w:rFonts w:ascii="Arial" w:hAnsi="Arial" w:cs="Arial"/>
                <w:color w:val="1F4E79" w:themeColor="accent1" w:themeShade="80"/>
                <w:lang w:val="sr-Latn-ME"/>
              </w:rPr>
              <w:t xml:space="preserve"> – Nacionalni službenik za ovjeravanje</w:t>
            </w:r>
          </w:p>
        </w:tc>
        <w:tc>
          <w:tcPr>
            <w:tcW w:w="0" w:type="auto"/>
            <w:tcBorders>
              <w:bottom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Odgovoran za upravljanje IPA računima i finansijskim transakcijama i efikasno funkcionisanje sistema unutrašnje kontrole</w:t>
            </w:r>
            <w:r w:rsidR="00E273C6">
              <w:rPr>
                <w:rFonts w:ascii="Arial" w:hAnsi="Arial" w:cs="Arial"/>
                <w:color w:val="1F4E79" w:themeColor="accent1" w:themeShade="80"/>
                <w:lang w:val="sr-Latn-ME"/>
              </w:rPr>
              <w:t>:</w:t>
            </w:r>
            <w:r w:rsidRPr="001302F9">
              <w:rPr>
                <w:rFonts w:ascii="Arial" w:hAnsi="Arial" w:cs="Arial"/>
                <w:color w:val="1F4E79" w:themeColor="accent1" w:themeShade="80"/>
                <w:lang w:val="sr-Latn-ME"/>
              </w:rPr>
              <w:t xml:space="preserve"> </w:t>
            </w:r>
            <w:r w:rsidR="00E273C6">
              <w:rPr>
                <w:rFonts w:ascii="Arial" w:hAnsi="Arial" w:cs="Arial"/>
                <w:color w:val="1F4E79" w:themeColor="accent1" w:themeShade="80"/>
                <w:lang w:val="sr-Latn-ME"/>
              </w:rPr>
              <w:t>p</w:t>
            </w:r>
            <w:r w:rsidRPr="001302F9">
              <w:rPr>
                <w:rFonts w:ascii="Arial" w:hAnsi="Arial" w:cs="Arial"/>
                <w:color w:val="1F4E79" w:themeColor="accent1" w:themeShade="80"/>
                <w:lang w:val="sr-Latn-ME"/>
              </w:rPr>
              <w:t>rijem, kontrolisanje i konsolidacij</w:t>
            </w:r>
            <w:r w:rsidR="00E273C6">
              <w:rPr>
                <w:rFonts w:ascii="Arial" w:hAnsi="Arial" w:cs="Arial"/>
                <w:color w:val="1F4E79" w:themeColor="accent1" w:themeShade="80"/>
                <w:lang w:val="sr-Latn-ME"/>
              </w:rPr>
              <w:t>u</w:t>
            </w:r>
            <w:r w:rsidRPr="001302F9">
              <w:rPr>
                <w:rFonts w:ascii="Arial" w:hAnsi="Arial" w:cs="Arial"/>
                <w:color w:val="1F4E79" w:themeColor="accent1" w:themeShade="80"/>
                <w:lang w:val="sr-Latn-ME"/>
              </w:rPr>
              <w:t xml:space="preserve"> izv</w:t>
            </w:r>
            <w:r w:rsidR="00E273C6">
              <w:rPr>
                <w:rFonts w:ascii="Arial" w:hAnsi="Arial" w:cs="Arial"/>
                <w:color w:val="1F4E79" w:themeColor="accent1" w:themeShade="80"/>
                <w:lang w:val="sr-Latn-ME"/>
              </w:rPr>
              <w:t>j</w:t>
            </w:r>
            <w:r w:rsidRPr="001302F9">
              <w:rPr>
                <w:rFonts w:ascii="Arial" w:hAnsi="Arial" w:cs="Arial"/>
                <w:color w:val="1F4E79" w:themeColor="accent1" w:themeShade="80"/>
                <w:lang w:val="sr-Latn-ME"/>
              </w:rPr>
              <w:t>eštaja o nepravilnostima u upravljanju i korišćenju EU fondova</w:t>
            </w:r>
          </w:p>
        </w:tc>
        <w:tc>
          <w:tcPr>
            <w:tcW w:w="0" w:type="auto"/>
            <w:tcBorders>
              <w:left w:val="single" w:sz="4" w:space="0" w:color="auto"/>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4</w:t>
            </w:r>
          </w:p>
        </w:tc>
        <w:tc>
          <w:tcPr>
            <w:tcW w:w="0" w:type="auto"/>
            <w:tcBorders>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4</w:t>
            </w:r>
          </w:p>
        </w:tc>
      </w:tr>
      <w:tr w:rsidR="000F471C" w:rsidRPr="001302F9" w:rsidTr="00CB5F79">
        <w:trPr>
          <w:tblCellSpacing w:w="15" w:type="dxa"/>
        </w:trPr>
        <w:tc>
          <w:tcPr>
            <w:tcW w:w="3214" w:type="dxa"/>
            <w:tcBorders>
              <w:left w:val="single" w:sz="4" w:space="0" w:color="auto"/>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b/>
                <w:bCs/>
                <w:color w:val="1F4E79" w:themeColor="accent1" w:themeShade="80"/>
                <w:lang w:val="sr-Latn-ME"/>
              </w:rPr>
              <w:t>Struktura za upravljanje</w:t>
            </w:r>
            <w:r w:rsidRPr="001302F9">
              <w:rPr>
                <w:rFonts w:ascii="Arial" w:hAnsi="Arial" w:cs="Arial"/>
                <w:color w:val="1F4E79" w:themeColor="accent1" w:themeShade="80"/>
                <w:lang w:val="sr-Latn-ME"/>
              </w:rPr>
              <w:t xml:space="preserve"> (uključujući NAO i Direkcij</w:t>
            </w:r>
            <w:r w:rsidR="00E273C6">
              <w:rPr>
                <w:rFonts w:ascii="Arial" w:hAnsi="Arial" w:cs="Arial"/>
                <w:color w:val="1F4E79" w:themeColor="accent1" w:themeShade="80"/>
                <w:lang w:val="sr-Latn-ME"/>
              </w:rPr>
              <w:t>u</w:t>
            </w:r>
            <w:r w:rsidRPr="001302F9">
              <w:rPr>
                <w:rFonts w:ascii="Arial" w:hAnsi="Arial" w:cs="Arial"/>
                <w:color w:val="1F4E79" w:themeColor="accent1" w:themeShade="80"/>
                <w:lang w:val="sr-Latn-ME"/>
              </w:rPr>
              <w:t xml:space="preserve"> za nacionalni fond i upravljanje računima)</w:t>
            </w:r>
          </w:p>
        </w:tc>
        <w:tc>
          <w:tcPr>
            <w:tcW w:w="0" w:type="auto"/>
            <w:tcBorders>
              <w:bottom w:val="single" w:sz="4" w:space="0" w:color="auto"/>
            </w:tcBorders>
            <w:vAlign w:val="center"/>
            <w:hideMark/>
          </w:tcPr>
          <w:p w:rsidR="000F471C" w:rsidRPr="001302F9" w:rsidRDefault="00E273C6" w:rsidP="00CB5F79">
            <w:pPr>
              <w:rPr>
                <w:rFonts w:ascii="Arial" w:hAnsi="Arial" w:cs="Arial"/>
                <w:color w:val="1F4E79" w:themeColor="accent1" w:themeShade="80"/>
                <w:lang w:val="sr-Latn-ME"/>
              </w:rPr>
            </w:pPr>
            <w:r>
              <w:rPr>
                <w:rFonts w:ascii="Arial" w:hAnsi="Arial" w:cs="Arial"/>
                <w:color w:val="1F4E79" w:themeColor="accent1" w:themeShade="80"/>
                <w:lang w:val="sr-Latn-ME"/>
              </w:rPr>
              <w:t>Us</w:t>
            </w:r>
            <w:r w:rsidR="000F471C" w:rsidRPr="001302F9">
              <w:rPr>
                <w:rFonts w:ascii="Arial" w:hAnsi="Arial" w:cs="Arial"/>
                <w:color w:val="1F4E79" w:themeColor="accent1" w:themeShade="80"/>
                <w:lang w:val="sr-Latn-ME"/>
              </w:rPr>
              <w:t>ostavljanje sistema unutrašnje kontrole za IPA fondove, razvoj unutrašnjih procedura i distribuciju informacija, definisanje zahtjeva za izvještavanje o nepravilnostima i sumnjama na prevaru</w:t>
            </w:r>
          </w:p>
        </w:tc>
        <w:tc>
          <w:tcPr>
            <w:tcW w:w="0" w:type="auto"/>
            <w:tcBorders>
              <w:left w:val="single" w:sz="4" w:space="0" w:color="auto"/>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4</w:t>
            </w:r>
          </w:p>
        </w:tc>
        <w:tc>
          <w:tcPr>
            <w:tcW w:w="0" w:type="auto"/>
            <w:tcBorders>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4</w:t>
            </w:r>
          </w:p>
        </w:tc>
      </w:tr>
      <w:tr w:rsidR="000F471C" w:rsidRPr="001302F9" w:rsidTr="00CB5F79">
        <w:trPr>
          <w:tblCellSpacing w:w="15" w:type="dxa"/>
        </w:trPr>
        <w:tc>
          <w:tcPr>
            <w:tcW w:w="3214" w:type="dxa"/>
            <w:tcBorders>
              <w:top w:val="single" w:sz="4" w:space="0" w:color="auto"/>
              <w:left w:val="single" w:sz="4" w:space="0" w:color="auto"/>
              <w:bottom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b/>
                <w:bCs/>
                <w:color w:val="1F4E79" w:themeColor="accent1" w:themeShade="80"/>
                <w:lang w:val="sr-Latn-ME"/>
              </w:rPr>
              <w:t>Posrednička tijela za finansijsko ili političko upravljanje za IPA III</w:t>
            </w:r>
          </w:p>
        </w:tc>
        <w:tc>
          <w:tcPr>
            <w:tcW w:w="0" w:type="auto"/>
            <w:tcBorders>
              <w:top w:val="single" w:sz="4" w:space="0" w:color="auto"/>
              <w:left w:val="single" w:sz="4" w:space="0" w:color="auto"/>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 xml:space="preserve">Kontrola pravilne upotrebe EU fondova vršenjem provjera i kontrola na nivou izvođača/korisnika grantova, uključujući </w:t>
            </w:r>
            <w:r w:rsidR="00E273C6">
              <w:rPr>
                <w:rFonts w:ascii="Arial" w:hAnsi="Arial" w:cs="Arial"/>
                <w:color w:val="1F4E79" w:themeColor="accent1" w:themeShade="80"/>
                <w:lang w:val="sr-Latn-ME"/>
              </w:rPr>
              <w:t>kontrole</w:t>
            </w:r>
            <w:r w:rsidRPr="001302F9">
              <w:rPr>
                <w:rFonts w:ascii="Arial" w:hAnsi="Arial" w:cs="Arial"/>
                <w:color w:val="1F4E79" w:themeColor="accent1" w:themeShade="80"/>
                <w:lang w:val="sr-Latn-ME"/>
              </w:rPr>
              <w:t xml:space="preserve"> na licu mjesta, identifikovanje neopravdanih izdataka </w:t>
            </w:r>
            <w:r w:rsidR="00E273C6">
              <w:rPr>
                <w:rFonts w:ascii="Arial" w:hAnsi="Arial" w:cs="Arial"/>
                <w:color w:val="1F4E79" w:themeColor="accent1" w:themeShade="80"/>
                <w:lang w:val="sr-Latn-ME"/>
              </w:rPr>
              <w:t>i/</w:t>
            </w:r>
            <w:r w:rsidRPr="001302F9">
              <w:rPr>
                <w:rFonts w:ascii="Arial" w:hAnsi="Arial" w:cs="Arial"/>
                <w:color w:val="1F4E79" w:themeColor="accent1" w:themeShade="80"/>
                <w:lang w:val="sr-Latn-ME"/>
              </w:rPr>
              <w:t>ili prevarnih radnji</w:t>
            </w:r>
          </w:p>
        </w:tc>
        <w:tc>
          <w:tcPr>
            <w:tcW w:w="0" w:type="auto"/>
            <w:tcBorders>
              <w:top w:val="single" w:sz="4" w:space="0" w:color="auto"/>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5</w:t>
            </w:r>
          </w:p>
        </w:tc>
        <w:tc>
          <w:tcPr>
            <w:tcW w:w="0" w:type="auto"/>
            <w:tcBorders>
              <w:top w:val="single" w:sz="4" w:space="0" w:color="auto"/>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4</w:t>
            </w:r>
          </w:p>
        </w:tc>
      </w:tr>
      <w:tr w:rsidR="000F471C" w:rsidRPr="001302F9" w:rsidTr="00CB5F79">
        <w:trPr>
          <w:tblCellSpacing w:w="15" w:type="dxa"/>
        </w:trPr>
        <w:tc>
          <w:tcPr>
            <w:tcW w:w="3214" w:type="dxa"/>
            <w:tcBorders>
              <w:lef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b/>
                <w:bCs/>
                <w:color w:val="1F4E79" w:themeColor="accent1" w:themeShade="80"/>
                <w:lang w:val="sr-Latn-ME"/>
              </w:rPr>
              <w:t>Interna revizija EU fondova u javnom sektoru</w:t>
            </w:r>
          </w:p>
        </w:tc>
        <w:tc>
          <w:tcPr>
            <w:tcW w:w="0" w:type="auto"/>
            <w:tcBorders>
              <w:left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Centralizovana jedinica za internu reviziju unutar Ministarstva finansija koja obavlja revizije EU fondov</w:t>
            </w:r>
            <w:r w:rsidR="00E273C6">
              <w:rPr>
                <w:rFonts w:ascii="Arial" w:hAnsi="Arial" w:cs="Arial"/>
                <w:color w:val="1F4E79" w:themeColor="accent1" w:themeShade="80"/>
                <w:lang w:val="sr-Latn-ME"/>
              </w:rPr>
              <w:t>a</w:t>
            </w:r>
          </w:p>
        </w:tc>
        <w:tc>
          <w:tcPr>
            <w:tcW w:w="0" w:type="auto"/>
            <w:tcBorders>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4</w:t>
            </w:r>
          </w:p>
        </w:tc>
        <w:tc>
          <w:tcPr>
            <w:tcW w:w="0" w:type="auto"/>
            <w:tcBorders>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2</w:t>
            </w:r>
          </w:p>
        </w:tc>
      </w:tr>
      <w:tr w:rsidR="000F471C" w:rsidRPr="001302F9" w:rsidTr="00CB5F79">
        <w:trPr>
          <w:tblCellSpacing w:w="15" w:type="dxa"/>
        </w:trPr>
        <w:tc>
          <w:tcPr>
            <w:tcW w:w="3214" w:type="dxa"/>
            <w:tcBorders>
              <w:top w:val="single" w:sz="4" w:space="0" w:color="auto"/>
              <w:left w:val="single" w:sz="4" w:space="0" w:color="auto"/>
              <w:bottom w:val="single" w:sz="4" w:space="0" w:color="auto"/>
            </w:tcBorders>
            <w:vAlign w:val="center"/>
            <w:hideMark/>
          </w:tcPr>
          <w:p w:rsidR="000F471C" w:rsidRPr="001302F9" w:rsidRDefault="00A76A38" w:rsidP="00CB5F79">
            <w:pPr>
              <w:rPr>
                <w:rFonts w:ascii="Arial" w:hAnsi="Arial" w:cs="Arial"/>
                <w:color w:val="1F4E79" w:themeColor="accent1" w:themeShade="80"/>
                <w:lang w:val="sr-Latn-ME"/>
              </w:rPr>
            </w:pPr>
            <w:r>
              <w:rPr>
                <w:rFonts w:ascii="Arial" w:hAnsi="Arial" w:cs="Arial"/>
                <w:b/>
                <w:bCs/>
                <w:color w:val="1F4E79" w:themeColor="accent1" w:themeShade="80"/>
                <w:lang w:val="sr-Latn-ME"/>
              </w:rPr>
              <w:t>Institucije sistema zadužene za borbu</w:t>
            </w:r>
            <w:r w:rsidR="007F046D">
              <w:rPr>
                <w:rFonts w:ascii="Arial" w:hAnsi="Arial" w:cs="Arial"/>
                <w:b/>
                <w:bCs/>
                <w:color w:val="1F4E79" w:themeColor="accent1" w:themeShade="80"/>
                <w:lang w:val="sr-Latn-ME"/>
              </w:rPr>
              <w:t xml:space="preserve"> </w:t>
            </w:r>
            <w:r>
              <w:rPr>
                <w:rFonts w:ascii="Arial" w:hAnsi="Arial" w:cs="Arial"/>
                <w:b/>
                <w:bCs/>
                <w:color w:val="1F4E79" w:themeColor="accent1" w:themeShade="80"/>
                <w:lang w:val="sr-Latn-ME"/>
              </w:rPr>
              <w:t>protiv prevara</w:t>
            </w:r>
            <w:r w:rsidR="007F046D">
              <w:rPr>
                <w:rFonts w:ascii="Arial" w:hAnsi="Arial" w:cs="Arial"/>
                <w:b/>
                <w:bCs/>
                <w:color w:val="1F4E79" w:themeColor="accent1" w:themeShade="80"/>
                <w:lang w:val="sr-Latn-ME"/>
              </w:rPr>
              <w:t>, korupcije</w:t>
            </w:r>
            <w:r>
              <w:rPr>
                <w:rFonts w:ascii="Arial" w:hAnsi="Arial" w:cs="Arial"/>
                <w:b/>
                <w:bCs/>
                <w:color w:val="1F4E79" w:themeColor="accent1" w:themeShade="80"/>
                <w:lang w:val="sr-Latn-ME"/>
              </w:rPr>
              <w:t xml:space="preserve"> i drugi</w:t>
            </w:r>
            <w:r w:rsidR="006C43DF">
              <w:rPr>
                <w:rFonts w:ascii="Arial" w:hAnsi="Arial" w:cs="Arial"/>
                <w:b/>
                <w:bCs/>
                <w:color w:val="1F4E79" w:themeColor="accent1" w:themeShade="80"/>
                <w:lang w:val="sr-Latn-ME"/>
              </w:rPr>
              <w:t>h</w:t>
            </w:r>
            <w:r>
              <w:rPr>
                <w:rFonts w:ascii="Arial" w:hAnsi="Arial" w:cs="Arial"/>
                <w:b/>
                <w:bCs/>
                <w:color w:val="1F4E79" w:themeColor="accent1" w:themeShade="80"/>
                <w:lang w:val="sr-Latn-ME"/>
              </w:rPr>
              <w:t xml:space="preserve"> oblika nezakonitih aktivnosti</w:t>
            </w:r>
            <w:r w:rsidR="000F471C" w:rsidRPr="001302F9">
              <w:rPr>
                <w:rFonts w:ascii="Arial" w:hAnsi="Arial" w:cs="Arial"/>
                <w:color w:val="1F4E79" w:themeColor="accent1" w:themeShade="80"/>
                <w:lang w:val="sr-Latn-ME"/>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p>
        </w:tc>
        <w:tc>
          <w:tcPr>
            <w:tcW w:w="0" w:type="auto"/>
            <w:tcBorders>
              <w:top w:val="single" w:sz="4" w:space="0" w:color="auto"/>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p>
        </w:tc>
        <w:tc>
          <w:tcPr>
            <w:tcW w:w="0" w:type="auto"/>
            <w:tcBorders>
              <w:top w:val="single" w:sz="4" w:space="0" w:color="auto"/>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p>
        </w:tc>
      </w:tr>
      <w:tr w:rsidR="000F471C" w:rsidRPr="001302F9" w:rsidTr="00CB5F79">
        <w:trPr>
          <w:tblCellSpacing w:w="15" w:type="dxa"/>
        </w:trPr>
        <w:tc>
          <w:tcPr>
            <w:tcW w:w="3214" w:type="dxa"/>
            <w:tcBorders>
              <w:left w:val="single" w:sz="4" w:space="0" w:color="auto"/>
              <w:bottom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b/>
                <w:bCs/>
                <w:color w:val="1F4E79" w:themeColor="accent1" w:themeShade="80"/>
                <w:lang w:val="sr-Latn-ME"/>
              </w:rPr>
              <w:t>Ministarstvo pravde</w:t>
            </w:r>
          </w:p>
        </w:tc>
        <w:tc>
          <w:tcPr>
            <w:tcW w:w="0" w:type="auto"/>
            <w:tcBorders>
              <w:left w:val="single" w:sz="4" w:space="0" w:color="auto"/>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 xml:space="preserve">Član koordinacionog tijela za nadgledanje i upravljanje politikom prevencije i borbe protiv nepravilnosti </w:t>
            </w:r>
            <w:r w:rsidR="00E273C6">
              <w:rPr>
                <w:rFonts w:ascii="Arial" w:hAnsi="Arial" w:cs="Arial"/>
                <w:color w:val="1F4E79" w:themeColor="accent1" w:themeShade="80"/>
                <w:lang w:val="sr-Latn-ME"/>
              </w:rPr>
              <w:t>u cilju</w:t>
            </w:r>
            <w:r w:rsidRPr="001302F9">
              <w:rPr>
                <w:rFonts w:ascii="Arial" w:hAnsi="Arial" w:cs="Arial"/>
                <w:color w:val="1F4E79" w:themeColor="accent1" w:themeShade="80"/>
                <w:lang w:val="sr-Latn-ME"/>
              </w:rPr>
              <w:t xml:space="preserve"> zaštite finansijskih interesa EU – AFCOS mreža</w:t>
            </w:r>
          </w:p>
        </w:tc>
        <w:tc>
          <w:tcPr>
            <w:tcW w:w="0" w:type="auto"/>
            <w:tcBorders>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2</w:t>
            </w:r>
          </w:p>
        </w:tc>
        <w:tc>
          <w:tcPr>
            <w:tcW w:w="0" w:type="auto"/>
            <w:tcBorders>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4</w:t>
            </w:r>
          </w:p>
        </w:tc>
      </w:tr>
      <w:tr w:rsidR="000F471C" w:rsidRPr="001302F9" w:rsidTr="00CB5F79">
        <w:trPr>
          <w:tblCellSpacing w:w="15" w:type="dxa"/>
        </w:trPr>
        <w:tc>
          <w:tcPr>
            <w:tcW w:w="3214" w:type="dxa"/>
            <w:tcBorders>
              <w:left w:val="single" w:sz="4" w:space="0" w:color="auto"/>
              <w:bottom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b/>
                <w:bCs/>
                <w:color w:val="1F4E79" w:themeColor="accent1" w:themeShade="80"/>
                <w:lang w:val="sr-Latn-ME"/>
              </w:rPr>
              <w:t>Ministarstvo unutrašnjih poslova</w:t>
            </w:r>
          </w:p>
        </w:tc>
        <w:tc>
          <w:tcPr>
            <w:tcW w:w="0" w:type="auto"/>
            <w:tcBorders>
              <w:left w:val="single" w:sz="4" w:space="0" w:color="auto"/>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Član koordinacionog t</w:t>
            </w:r>
            <w:r w:rsidR="00E273C6">
              <w:rPr>
                <w:rFonts w:ascii="Arial" w:hAnsi="Arial" w:cs="Arial"/>
                <w:color w:val="1F4E79" w:themeColor="accent1" w:themeShade="80"/>
                <w:lang w:val="sr-Latn-ME"/>
              </w:rPr>
              <w:t>i</w:t>
            </w:r>
            <w:r w:rsidRPr="001302F9">
              <w:rPr>
                <w:rFonts w:ascii="Arial" w:hAnsi="Arial" w:cs="Arial"/>
                <w:color w:val="1F4E79" w:themeColor="accent1" w:themeShade="80"/>
                <w:lang w:val="sr-Latn-ME"/>
              </w:rPr>
              <w:t xml:space="preserve">ela za nadgledanje i upravljanje politikom prevencije i borbe protiv nepravilnosti </w:t>
            </w:r>
            <w:r w:rsidR="00E273C6" w:rsidRPr="0050642E">
              <w:rPr>
                <w:lang w:val="sr-Latn-ME"/>
              </w:rPr>
              <w:t xml:space="preserve"> </w:t>
            </w:r>
            <w:r w:rsidR="00E273C6" w:rsidRPr="00E273C6">
              <w:rPr>
                <w:rFonts w:ascii="Arial" w:hAnsi="Arial" w:cs="Arial"/>
                <w:color w:val="1F4E79" w:themeColor="accent1" w:themeShade="80"/>
                <w:lang w:val="sr-Latn-ME"/>
              </w:rPr>
              <w:t xml:space="preserve">u cilju </w:t>
            </w:r>
            <w:r w:rsidRPr="001302F9">
              <w:rPr>
                <w:rFonts w:ascii="Arial" w:hAnsi="Arial" w:cs="Arial"/>
                <w:color w:val="1F4E79" w:themeColor="accent1" w:themeShade="80"/>
                <w:lang w:val="sr-Latn-ME"/>
              </w:rPr>
              <w:t xml:space="preserve"> zaštite finansijskih interesa EU – AFCOS mreža</w:t>
            </w:r>
          </w:p>
        </w:tc>
        <w:tc>
          <w:tcPr>
            <w:tcW w:w="0" w:type="auto"/>
            <w:tcBorders>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2</w:t>
            </w:r>
          </w:p>
        </w:tc>
        <w:tc>
          <w:tcPr>
            <w:tcW w:w="0" w:type="auto"/>
            <w:tcBorders>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5</w:t>
            </w:r>
          </w:p>
        </w:tc>
      </w:tr>
      <w:tr w:rsidR="000F471C" w:rsidRPr="001302F9" w:rsidTr="00CB5F79">
        <w:trPr>
          <w:tblCellSpacing w:w="15" w:type="dxa"/>
        </w:trPr>
        <w:tc>
          <w:tcPr>
            <w:tcW w:w="3214" w:type="dxa"/>
            <w:tcBorders>
              <w:left w:val="single" w:sz="4" w:space="0" w:color="auto"/>
              <w:bottom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b/>
                <w:bCs/>
                <w:color w:val="1F4E79" w:themeColor="accent1" w:themeShade="80"/>
                <w:lang w:val="sr-Latn-ME"/>
              </w:rPr>
              <w:t>Uprava policije</w:t>
            </w:r>
          </w:p>
        </w:tc>
        <w:tc>
          <w:tcPr>
            <w:tcW w:w="0" w:type="auto"/>
            <w:tcBorders>
              <w:left w:val="single" w:sz="4" w:space="0" w:color="auto"/>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Član koordinacionog t</w:t>
            </w:r>
            <w:r w:rsidR="00E273C6">
              <w:rPr>
                <w:rFonts w:ascii="Arial" w:hAnsi="Arial" w:cs="Arial"/>
                <w:color w:val="1F4E79" w:themeColor="accent1" w:themeShade="80"/>
                <w:lang w:val="sr-Latn-ME"/>
              </w:rPr>
              <w:t>ij</w:t>
            </w:r>
            <w:r w:rsidRPr="001302F9">
              <w:rPr>
                <w:rFonts w:ascii="Arial" w:hAnsi="Arial" w:cs="Arial"/>
                <w:color w:val="1F4E79" w:themeColor="accent1" w:themeShade="80"/>
                <w:lang w:val="sr-Latn-ME"/>
              </w:rPr>
              <w:t xml:space="preserve">ela za nadgledanje i upravljanje politikom prevencije i borbe protiv nepravilnosti </w:t>
            </w:r>
            <w:r w:rsidR="00E273C6" w:rsidRPr="0050642E">
              <w:rPr>
                <w:lang w:val="sr-Latn-ME"/>
              </w:rPr>
              <w:t xml:space="preserve"> </w:t>
            </w:r>
            <w:r w:rsidR="00E273C6" w:rsidRPr="00E273C6">
              <w:rPr>
                <w:rFonts w:ascii="Arial" w:hAnsi="Arial" w:cs="Arial"/>
                <w:color w:val="1F4E79" w:themeColor="accent1" w:themeShade="80"/>
                <w:lang w:val="sr-Latn-ME"/>
              </w:rPr>
              <w:t xml:space="preserve">u cilju </w:t>
            </w:r>
            <w:r w:rsidRPr="001302F9">
              <w:rPr>
                <w:rFonts w:ascii="Arial" w:hAnsi="Arial" w:cs="Arial"/>
                <w:color w:val="1F4E79" w:themeColor="accent1" w:themeShade="80"/>
                <w:lang w:val="sr-Latn-ME"/>
              </w:rPr>
              <w:t xml:space="preserve"> zaštite finansijskih interesa EU – AFCOS mreža</w:t>
            </w:r>
          </w:p>
        </w:tc>
        <w:tc>
          <w:tcPr>
            <w:tcW w:w="0" w:type="auto"/>
            <w:tcBorders>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2</w:t>
            </w:r>
          </w:p>
        </w:tc>
        <w:tc>
          <w:tcPr>
            <w:tcW w:w="0" w:type="auto"/>
            <w:tcBorders>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5</w:t>
            </w:r>
          </w:p>
        </w:tc>
      </w:tr>
      <w:tr w:rsidR="000F471C" w:rsidRPr="001302F9" w:rsidTr="00CB5F79">
        <w:trPr>
          <w:tblCellSpacing w:w="15" w:type="dxa"/>
        </w:trPr>
        <w:tc>
          <w:tcPr>
            <w:tcW w:w="3214" w:type="dxa"/>
            <w:tcBorders>
              <w:left w:val="single" w:sz="4" w:space="0" w:color="auto"/>
              <w:bottom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b/>
                <w:bCs/>
                <w:color w:val="1F4E79" w:themeColor="accent1" w:themeShade="80"/>
                <w:lang w:val="sr-Latn-ME"/>
              </w:rPr>
              <w:t>Poreska uprava</w:t>
            </w:r>
          </w:p>
        </w:tc>
        <w:tc>
          <w:tcPr>
            <w:tcW w:w="0" w:type="auto"/>
            <w:tcBorders>
              <w:left w:val="single" w:sz="4" w:space="0" w:color="auto"/>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Član koordinacionog t</w:t>
            </w:r>
            <w:r w:rsidR="00E273C6">
              <w:rPr>
                <w:rFonts w:ascii="Arial" w:hAnsi="Arial" w:cs="Arial"/>
                <w:color w:val="1F4E79" w:themeColor="accent1" w:themeShade="80"/>
                <w:lang w:val="sr-Latn-ME"/>
              </w:rPr>
              <w:t>ij</w:t>
            </w:r>
            <w:r w:rsidRPr="001302F9">
              <w:rPr>
                <w:rFonts w:ascii="Arial" w:hAnsi="Arial" w:cs="Arial"/>
                <w:color w:val="1F4E79" w:themeColor="accent1" w:themeShade="80"/>
                <w:lang w:val="sr-Latn-ME"/>
              </w:rPr>
              <w:t xml:space="preserve">ela za nadgledanje i upravljanje politikom prevencije i borbe protiv nepravilnosti </w:t>
            </w:r>
            <w:r w:rsidR="00E273C6" w:rsidRPr="0050642E">
              <w:rPr>
                <w:lang w:val="sr-Latn-ME"/>
              </w:rPr>
              <w:t xml:space="preserve"> </w:t>
            </w:r>
            <w:r w:rsidR="00E273C6" w:rsidRPr="00E273C6">
              <w:rPr>
                <w:rFonts w:ascii="Arial" w:hAnsi="Arial" w:cs="Arial"/>
                <w:color w:val="1F4E79" w:themeColor="accent1" w:themeShade="80"/>
                <w:lang w:val="sr-Latn-ME"/>
              </w:rPr>
              <w:t xml:space="preserve">u cilju </w:t>
            </w:r>
            <w:r w:rsidRPr="001302F9">
              <w:rPr>
                <w:rFonts w:ascii="Arial" w:hAnsi="Arial" w:cs="Arial"/>
                <w:color w:val="1F4E79" w:themeColor="accent1" w:themeShade="80"/>
                <w:lang w:val="sr-Latn-ME"/>
              </w:rPr>
              <w:t xml:space="preserve"> zaštite finansijskih interesa EU – AFCOS mreža</w:t>
            </w:r>
          </w:p>
        </w:tc>
        <w:tc>
          <w:tcPr>
            <w:tcW w:w="0" w:type="auto"/>
            <w:tcBorders>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2</w:t>
            </w:r>
          </w:p>
        </w:tc>
        <w:tc>
          <w:tcPr>
            <w:tcW w:w="0" w:type="auto"/>
            <w:tcBorders>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4</w:t>
            </w:r>
          </w:p>
        </w:tc>
      </w:tr>
      <w:tr w:rsidR="000F471C" w:rsidRPr="001302F9" w:rsidTr="00CB5F79">
        <w:trPr>
          <w:tblCellSpacing w:w="15" w:type="dxa"/>
        </w:trPr>
        <w:tc>
          <w:tcPr>
            <w:tcW w:w="3214" w:type="dxa"/>
            <w:tcBorders>
              <w:left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b/>
                <w:bCs/>
                <w:color w:val="1F4E79" w:themeColor="accent1" w:themeShade="80"/>
                <w:lang w:val="sr-Latn-ME"/>
              </w:rPr>
              <w:t>Uprava carina</w:t>
            </w:r>
          </w:p>
        </w:tc>
        <w:tc>
          <w:tcPr>
            <w:tcW w:w="0" w:type="auto"/>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Član koordinacionog t</w:t>
            </w:r>
            <w:r w:rsidR="00E273C6">
              <w:rPr>
                <w:rFonts w:ascii="Arial" w:hAnsi="Arial" w:cs="Arial"/>
                <w:color w:val="1F4E79" w:themeColor="accent1" w:themeShade="80"/>
                <w:lang w:val="sr-Latn-ME"/>
              </w:rPr>
              <w:t>ij</w:t>
            </w:r>
            <w:r w:rsidRPr="001302F9">
              <w:rPr>
                <w:rFonts w:ascii="Arial" w:hAnsi="Arial" w:cs="Arial"/>
                <w:color w:val="1F4E79" w:themeColor="accent1" w:themeShade="80"/>
                <w:lang w:val="sr-Latn-ME"/>
              </w:rPr>
              <w:t xml:space="preserve">ela za nadgledanje i upravljanje politikom prevencije i borbe protiv nepravilnosti </w:t>
            </w:r>
            <w:r w:rsidR="00E273C6" w:rsidRPr="0050642E">
              <w:rPr>
                <w:lang w:val="sr-Latn-ME"/>
              </w:rPr>
              <w:t xml:space="preserve"> </w:t>
            </w:r>
            <w:r w:rsidR="00E273C6" w:rsidRPr="00E273C6">
              <w:rPr>
                <w:rFonts w:ascii="Arial" w:hAnsi="Arial" w:cs="Arial"/>
                <w:color w:val="1F4E79" w:themeColor="accent1" w:themeShade="80"/>
                <w:lang w:val="sr-Latn-ME"/>
              </w:rPr>
              <w:t xml:space="preserve">u cilju </w:t>
            </w:r>
            <w:r w:rsidRPr="001302F9">
              <w:rPr>
                <w:rFonts w:ascii="Arial" w:hAnsi="Arial" w:cs="Arial"/>
                <w:color w:val="1F4E79" w:themeColor="accent1" w:themeShade="80"/>
                <w:lang w:val="sr-Latn-ME"/>
              </w:rPr>
              <w:t xml:space="preserve"> zaštite finansijskih interesa EU – AFCOS mreža</w:t>
            </w:r>
          </w:p>
        </w:tc>
        <w:tc>
          <w:tcPr>
            <w:tcW w:w="0" w:type="auto"/>
            <w:tcBorders>
              <w:left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2</w:t>
            </w:r>
          </w:p>
        </w:tc>
        <w:tc>
          <w:tcPr>
            <w:tcW w:w="0" w:type="auto"/>
            <w:tcBorders>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4</w:t>
            </w:r>
          </w:p>
        </w:tc>
      </w:tr>
      <w:tr w:rsidR="000F471C" w:rsidRPr="001302F9" w:rsidTr="00CB5F79">
        <w:trPr>
          <w:tblCellSpacing w:w="15" w:type="dxa"/>
        </w:trPr>
        <w:tc>
          <w:tcPr>
            <w:tcW w:w="3214" w:type="dxa"/>
            <w:tcBorders>
              <w:top w:val="single" w:sz="4" w:space="0" w:color="auto"/>
              <w:left w:val="single" w:sz="4" w:space="0" w:color="auto"/>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b/>
                <w:bCs/>
                <w:color w:val="1F4E79" w:themeColor="accent1" w:themeShade="80"/>
                <w:lang w:val="sr-Latn-ME"/>
              </w:rPr>
              <w:t>Vrhovno državno tužilaštvo</w:t>
            </w:r>
          </w:p>
        </w:tc>
        <w:tc>
          <w:tcPr>
            <w:tcW w:w="0" w:type="auto"/>
            <w:tcBorders>
              <w:top w:val="single" w:sz="4" w:space="0" w:color="auto"/>
              <w:bottom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Član koordinacionog t</w:t>
            </w:r>
            <w:r w:rsidR="00E273C6">
              <w:rPr>
                <w:rFonts w:ascii="Arial" w:hAnsi="Arial" w:cs="Arial"/>
                <w:color w:val="1F4E79" w:themeColor="accent1" w:themeShade="80"/>
                <w:lang w:val="sr-Latn-ME"/>
              </w:rPr>
              <w:t>ij</w:t>
            </w:r>
            <w:r w:rsidRPr="001302F9">
              <w:rPr>
                <w:rFonts w:ascii="Arial" w:hAnsi="Arial" w:cs="Arial"/>
                <w:color w:val="1F4E79" w:themeColor="accent1" w:themeShade="80"/>
                <w:lang w:val="sr-Latn-ME"/>
              </w:rPr>
              <w:t xml:space="preserve">ela za nadgledanje i upravljanje politikom prevencije i borbe protiv nepravilnosti </w:t>
            </w:r>
            <w:r w:rsidR="00E273C6" w:rsidRPr="0050642E">
              <w:rPr>
                <w:lang w:val="sr-Latn-ME"/>
              </w:rPr>
              <w:t xml:space="preserve"> </w:t>
            </w:r>
            <w:r w:rsidR="00E273C6" w:rsidRPr="00E273C6">
              <w:rPr>
                <w:rFonts w:ascii="Arial" w:hAnsi="Arial" w:cs="Arial"/>
                <w:color w:val="1F4E79" w:themeColor="accent1" w:themeShade="80"/>
                <w:lang w:val="sr-Latn-ME"/>
              </w:rPr>
              <w:t xml:space="preserve">u cilju </w:t>
            </w:r>
            <w:r w:rsidRPr="001302F9">
              <w:rPr>
                <w:rFonts w:ascii="Arial" w:hAnsi="Arial" w:cs="Arial"/>
                <w:color w:val="1F4E79" w:themeColor="accent1" w:themeShade="80"/>
                <w:lang w:val="sr-Latn-ME"/>
              </w:rPr>
              <w:t xml:space="preserve"> zaštite finansijskih interesa EU – AFCOS mreža</w:t>
            </w:r>
          </w:p>
        </w:tc>
        <w:tc>
          <w:tcPr>
            <w:tcW w:w="0" w:type="auto"/>
            <w:tcBorders>
              <w:top w:val="single" w:sz="4" w:space="0" w:color="auto"/>
              <w:left w:val="single" w:sz="4" w:space="0" w:color="auto"/>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2</w:t>
            </w:r>
          </w:p>
        </w:tc>
        <w:tc>
          <w:tcPr>
            <w:tcW w:w="0" w:type="auto"/>
            <w:tcBorders>
              <w:top w:val="single" w:sz="4" w:space="0" w:color="auto"/>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5</w:t>
            </w:r>
          </w:p>
        </w:tc>
      </w:tr>
      <w:tr w:rsidR="000F471C" w:rsidRPr="001302F9" w:rsidTr="00CB5F79">
        <w:trPr>
          <w:trHeight w:val="2119"/>
          <w:tblCellSpacing w:w="15" w:type="dxa"/>
        </w:trPr>
        <w:tc>
          <w:tcPr>
            <w:tcW w:w="3214" w:type="dxa"/>
            <w:tcBorders>
              <w:top w:val="single" w:sz="4" w:space="0" w:color="auto"/>
              <w:lef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b/>
                <w:bCs/>
                <w:color w:val="1F4E79" w:themeColor="accent1" w:themeShade="80"/>
                <w:lang w:val="sr-Latn-ME"/>
              </w:rPr>
              <w:t>Agencija za borbu protiv korupcije</w:t>
            </w:r>
          </w:p>
        </w:tc>
        <w:tc>
          <w:tcPr>
            <w:tcW w:w="0" w:type="auto"/>
            <w:tcBorders>
              <w:top w:val="single" w:sz="4" w:space="0" w:color="auto"/>
              <w:lef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Član koordinacionog t</w:t>
            </w:r>
            <w:r w:rsidR="00E273C6">
              <w:rPr>
                <w:rFonts w:ascii="Arial" w:hAnsi="Arial" w:cs="Arial"/>
                <w:color w:val="1F4E79" w:themeColor="accent1" w:themeShade="80"/>
                <w:lang w:val="sr-Latn-ME"/>
              </w:rPr>
              <w:t>ij</w:t>
            </w:r>
            <w:r w:rsidRPr="001302F9">
              <w:rPr>
                <w:rFonts w:ascii="Arial" w:hAnsi="Arial" w:cs="Arial"/>
                <w:color w:val="1F4E79" w:themeColor="accent1" w:themeShade="80"/>
                <w:lang w:val="sr-Latn-ME"/>
              </w:rPr>
              <w:t xml:space="preserve">ela za nadgledanje i upravljanje politikom prevencije i borbe protiv nepravilnosti </w:t>
            </w:r>
            <w:r w:rsidR="00E273C6" w:rsidRPr="0050642E">
              <w:rPr>
                <w:lang w:val="sr-Latn-ME"/>
              </w:rPr>
              <w:t xml:space="preserve"> </w:t>
            </w:r>
            <w:r w:rsidR="00E273C6" w:rsidRPr="00E273C6">
              <w:rPr>
                <w:rFonts w:ascii="Arial" w:hAnsi="Arial" w:cs="Arial"/>
                <w:color w:val="1F4E79" w:themeColor="accent1" w:themeShade="80"/>
                <w:lang w:val="sr-Latn-ME"/>
              </w:rPr>
              <w:t xml:space="preserve">u cilju </w:t>
            </w:r>
            <w:r w:rsidRPr="001302F9">
              <w:rPr>
                <w:rFonts w:ascii="Arial" w:hAnsi="Arial" w:cs="Arial"/>
                <w:color w:val="1F4E79" w:themeColor="accent1" w:themeShade="80"/>
                <w:lang w:val="sr-Latn-ME"/>
              </w:rPr>
              <w:t xml:space="preserve"> zaštite finansijskih interesa  EU-AFCOS mreža</w:t>
            </w:r>
          </w:p>
        </w:tc>
        <w:tc>
          <w:tcPr>
            <w:tcW w:w="0" w:type="auto"/>
            <w:tcBorders>
              <w:top w:val="single" w:sz="4" w:space="0" w:color="auto"/>
              <w:left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5</w:t>
            </w:r>
          </w:p>
        </w:tc>
        <w:tc>
          <w:tcPr>
            <w:tcW w:w="0" w:type="auto"/>
            <w:tcBorders>
              <w:top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4</w:t>
            </w:r>
          </w:p>
        </w:tc>
      </w:tr>
      <w:tr w:rsidR="000F471C" w:rsidRPr="001302F9" w:rsidTr="00CB5F79">
        <w:trPr>
          <w:tblCellSpacing w:w="15" w:type="dxa"/>
        </w:trPr>
        <w:tc>
          <w:tcPr>
            <w:tcW w:w="3214" w:type="dxa"/>
            <w:tcBorders>
              <w:left w:val="single" w:sz="4" w:space="0" w:color="auto"/>
              <w:bottom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b/>
                <w:bCs/>
                <w:color w:val="1F4E79" w:themeColor="accent1" w:themeShade="80"/>
                <w:lang w:val="sr-Latn-ME"/>
              </w:rPr>
              <w:t>Revizorsko tijelo</w:t>
            </w:r>
          </w:p>
        </w:tc>
        <w:tc>
          <w:tcPr>
            <w:tcW w:w="0" w:type="auto"/>
            <w:tcBorders>
              <w:left w:val="single" w:sz="4" w:space="0" w:color="auto"/>
              <w:bottom w:val="single" w:sz="4" w:space="0" w:color="auto"/>
            </w:tcBorders>
            <w:vAlign w:val="center"/>
            <w:hideMark/>
          </w:tcPr>
          <w:p w:rsidR="000F471C" w:rsidRDefault="00C07A09" w:rsidP="00CB5F79">
            <w:pPr>
              <w:rPr>
                <w:rFonts w:ascii="Arial" w:hAnsi="Arial" w:cs="Arial"/>
                <w:color w:val="1F4E79" w:themeColor="accent1" w:themeShade="80"/>
                <w:lang w:val="sr-Latn-ME"/>
              </w:rPr>
            </w:pPr>
            <w:r>
              <w:rPr>
                <w:rFonts w:ascii="Arial" w:hAnsi="Arial" w:cs="Arial"/>
                <w:color w:val="1F4E79" w:themeColor="accent1" w:themeShade="80"/>
                <w:lang w:val="sr-Latn-ME"/>
              </w:rPr>
              <w:t>Eksterni</w:t>
            </w:r>
            <w:r w:rsidR="000F471C" w:rsidRPr="001302F9">
              <w:rPr>
                <w:rFonts w:ascii="Arial" w:hAnsi="Arial" w:cs="Arial"/>
                <w:color w:val="1F4E79" w:themeColor="accent1" w:themeShade="80"/>
                <w:lang w:val="sr-Latn-ME"/>
              </w:rPr>
              <w:t xml:space="preserve"> revizor nakon završetka drugih nacionalnih kontrola za upravljanje indirektnim EU fondovima, identifikovanje preostalih nepravilnosti </w:t>
            </w:r>
            <w:r>
              <w:rPr>
                <w:rFonts w:ascii="Arial" w:hAnsi="Arial" w:cs="Arial"/>
                <w:color w:val="1F4E79" w:themeColor="accent1" w:themeShade="80"/>
                <w:lang w:val="sr-Latn-ME"/>
              </w:rPr>
              <w:t>i/</w:t>
            </w:r>
            <w:r w:rsidR="000F471C" w:rsidRPr="001302F9">
              <w:rPr>
                <w:rFonts w:ascii="Arial" w:hAnsi="Arial" w:cs="Arial"/>
                <w:color w:val="1F4E79" w:themeColor="accent1" w:themeShade="80"/>
                <w:lang w:val="sr-Latn-ME"/>
              </w:rPr>
              <w:t>ili potencijalnih prevara</w:t>
            </w:r>
          </w:p>
          <w:p w:rsidR="00C07A09" w:rsidRPr="001302F9" w:rsidRDefault="00C07A09" w:rsidP="00CB5F79">
            <w:pPr>
              <w:rPr>
                <w:rFonts w:ascii="Arial" w:hAnsi="Arial" w:cs="Arial"/>
                <w:color w:val="1F4E79" w:themeColor="accent1" w:themeShade="80"/>
                <w:lang w:val="sr-Latn-ME"/>
              </w:rPr>
            </w:pPr>
            <w:r>
              <w:rPr>
                <w:rFonts w:ascii="Arial" w:hAnsi="Arial" w:cs="Arial"/>
                <w:color w:val="1F4E79" w:themeColor="accent1" w:themeShade="80"/>
                <w:lang w:val="sr-Latn-ME"/>
              </w:rPr>
              <w:t>Takođe, član AFCOS mreže</w:t>
            </w:r>
          </w:p>
        </w:tc>
        <w:tc>
          <w:tcPr>
            <w:tcW w:w="0" w:type="auto"/>
            <w:tcBorders>
              <w:left w:val="single" w:sz="4" w:space="0" w:color="auto"/>
              <w:bottom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5</w:t>
            </w:r>
          </w:p>
        </w:tc>
        <w:tc>
          <w:tcPr>
            <w:tcW w:w="0" w:type="auto"/>
            <w:tcBorders>
              <w:left w:val="single" w:sz="4" w:space="0" w:color="auto"/>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2</w:t>
            </w:r>
          </w:p>
        </w:tc>
      </w:tr>
      <w:tr w:rsidR="000F471C" w:rsidRPr="001302F9" w:rsidTr="00CB5F79">
        <w:trPr>
          <w:tblCellSpacing w:w="15" w:type="dxa"/>
        </w:trPr>
        <w:tc>
          <w:tcPr>
            <w:tcW w:w="3214" w:type="dxa"/>
            <w:tcBorders>
              <w:left w:val="single" w:sz="4" w:space="0" w:color="auto"/>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b/>
                <w:bCs/>
                <w:color w:val="1F4E79" w:themeColor="accent1" w:themeShade="80"/>
                <w:lang w:val="sr-Latn-ME"/>
              </w:rPr>
              <w:t>Ministarstvo finansija</w:t>
            </w:r>
          </w:p>
        </w:tc>
        <w:tc>
          <w:tcPr>
            <w:tcW w:w="0" w:type="auto"/>
            <w:tcBorders>
              <w:bottom w:val="single" w:sz="4" w:space="0" w:color="auto"/>
            </w:tcBorders>
            <w:vAlign w:val="center"/>
            <w:hideMark/>
          </w:tcPr>
          <w:p w:rsidR="000F471C" w:rsidRPr="001302F9" w:rsidRDefault="00FC7DF5" w:rsidP="00CB5F79">
            <w:pPr>
              <w:rPr>
                <w:rFonts w:ascii="Arial" w:hAnsi="Arial" w:cs="Arial"/>
                <w:color w:val="1F4E79" w:themeColor="accent1" w:themeShade="80"/>
                <w:lang w:val="sr-Latn-ME"/>
              </w:rPr>
            </w:pPr>
            <w:r>
              <w:rPr>
                <w:rFonts w:ascii="Arial" w:hAnsi="Arial" w:cs="Arial"/>
                <w:color w:val="1F4E79" w:themeColor="accent1" w:themeShade="80"/>
                <w:lang w:val="sr-Latn-ME"/>
              </w:rPr>
              <w:t>O</w:t>
            </w:r>
            <w:r w:rsidR="000F471C" w:rsidRPr="001302F9">
              <w:rPr>
                <w:rFonts w:ascii="Arial" w:hAnsi="Arial" w:cs="Arial"/>
                <w:color w:val="1F4E79" w:themeColor="accent1" w:themeShade="80"/>
                <w:lang w:val="sr-Latn-ME"/>
              </w:rPr>
              <w:t xml:space="preserve">perativni nosilac odgovornosti za planiranje i zaštitu kako nacionalnog budžeta tako i </w:t>
            </w:r>
            <w:r>
              <w:rPr>
                <w:rFonts w:ascii="Arial" w:hAnsi="Arial" w:cs="Arial"/>
                <w:color w:val="1F4E79" w:themeColor="accent1" w:themeShade="80"/>
                <w:lang w:val="sr-Latn-ME"/>
              </w:rPr>
              <w:t>budžeta</w:t>
            </w:r>
            <w:r w:rsidR="000F471C" w:rsidRPr="001302F9">
              <w:rPr>
                <w:rFonts w:ascii="Arial" w:hAnsi="Arial" w:cs="Arial"/>
                <w:color w:val="1F4E79" w:themeColor="accent1" w:themeShade="80"/>
                <w:lang w:val="sr-Latn-ME"/>
              </w:rPr>
              <w:t xml:space="preserve"> EU, kao i za koordinaciju procesa razvoja Strategije</w:t>
            </w:r>
          </w:p>
        </w:tc>
        <w:tc>
          <w:tcPr>
            <w:tcW w:w="0" w:type="auto"/>
            <w:tcBorders>
              <w:left w:val="single" w:sz="4" w:space="0" w:color="auto"/>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4</w:t>
            </w:r>
          </w:p>
        </w:tc>
        <w:tc>
          <w:tcPr>
            <w:tcW w:w="0" w:type="auto"/>
            <w:tcBorders>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3</w:t>
            </w:r>
          </w:p>
        </w:tc>
      </w:tr>
      <w:tr w:rsidR="000F471C" w:rsidRPr="001302F9" w:rsidTr="00CB5F79">
        <w:trPr>
          <w:tblCellSpacing w:w="15" w:type="dxa"/>
        </w:trPr>
        <w:tc>
          <w:tcPr>
            <w:tcW w:w="3214" w:type="dxa"/>
            <w:tcBorders>
              <w:left w:val="single" w:sz="4" w:space="0" w:color="auto"/>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b/>
                <w:bCs/>
                <w:color w:val="1F4E79" w:themeColor="accent1" w:themeShade="80"/>
                <w:lang w:val="sr-Latn-ME"/>
              </w:rPr>
              <w:t>Ostala tijela koja imaju interese i uticaj u vezi sa ovom Strategijom</w:t>
            </w:r>
            <w:r w:rsidRPr="001302F9">
              <w:rPr>
                <w:rFonts w:ascii="Arial" w:hAnsi="Arial" w:cs="Arial"/>
                <w:color w:val="1F4E79" w:themeColor="accent1" w:themeShade="80"/>
                <w:lang w:val="sr-Latn-ME"/>
              </w:rPr>
              <w:t>:</w:t>
            </w:r>
          </w:p>
        </w:tc>
        <w:tc>
          <w:tcPr>
            <w:tcW w:w="0" w:type="auto"/>
            <w:tcBorders>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p>
        </w:tc>
        <w:tc>
          <w:tcPr>
            <w:tcW w:w="0" w:type="auto"/>
            <w:tcBorders>
              <w:left w:val="single" w:sz="4" w:space="0" w:color="auto"/>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p>
        </w:tc>
        <w:tc>
          <w:tcPr>
            <w:tcW w:w="0" w:type="auto"/>
            <w:tcBorders>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p>
        </w:tc>
      </w:tr>
      <w:tr w:rsidR="004F657E" w:rsidRPr="001302F9" w:rsidTr="00CB4234">
        <w:trPr>
          <w:tblCellSpacing w:w="15" w:type="dxa"/>
        </w:trPr>
        <w:tc>
          <w:tcPr>
            <w:tcW w:w="3214" w:type="dxa"/>
            <w:tcBorders>
              <w:left w:val="single" w:sz="4" w:space="0" w:color="auto"/>
              <w:bottom w:val="single" w:sz="4" w:space="0" w:color="auto"/>
            </w:tcBorders>
            <w:vAlign w:val="center"/>
          </w:tcPr>
          <w:p w:rsidR="004F657E" w:rsidRPr="001302F9" w:rsidRDefault="004F657E" w:rsidP="004F657E">
            <w:pPr>
              <w:rPr>
                <w:rFonts w:ascii="Arial" w:hAnsi="Arial" w:cs="Arial"/>
                <w:color w:val="1F4E79" w:themeColor="accent1" w:themeShade="80"/>
                <w:lang w:val="sr-Latn-ME"/>
              </w:rPr>
            </w:pPr>
            <w:r w:rsidRPr="001302F9">
              <w:rPr>
                <w:rFonts w:ascii="Arial" w:hAnsi="Arial" w:cs="Arial"/>
                <w:b/>
                <w:bCs/>
                <w:color w:val="1F4E79" w:themeColor="accent1" w:themeShade="80"/>
                <w:lang w:val="sr-Latn-ME"/>
              </w:rPr>
              <w:t>Ministarstvo evropsk</w:t>
            </w:r>
            <w:r>
              <w:rPr>
                <w:rFonts w:ascii="Arial" w:hAnsi="Arial" w:cs="Arial"/>
                <w:b/>
                <w:bCs/>
                <w:color w:val="1F4E79" w:themeColor="accent1" w:themeShade="80"/>
                <w:lang w:val="sr-Latn-ME"/>
              </w:rPr>
              <w:t>ih</w:t>
            </w:r>
            <w:r w:rsidRPr="001302F9">
              <w:rPr>
                <w:rFonts w:ascii="Arial" w:hAnsi="Arial" w:cs="Arial"/>
                <w:b/>
                <w:bCs/>
                <w:color w:val="1F4E79" w:themeColor="accent1" w:themeShade="80"/>
                <w:lang w:val="sr-Latn-ME"/>
              </w:rPr>
              <w:t xml:space="preserve"> poslov</w:t>
            </w:r>
            <w:r>
              <w:rPr>
                <w:rFonts w:ascii="Arial" w:hAnsi="Arial" w:cs="Arial"/>
                <w:b/>
                <w:bCs/>
                <w:color w:val="1F4E79" w:themeColor="accent1" w:themeShade="80"/>
                <w:lang w:val="sr-Latn-ME"/>
              </w:rPr>
              <w:t>a</w:t>
            </w:r>
          </w:p>
        </w:tc>
        <w:tc>
          <w:tcPr>
            <w:tcW w:w="0" w:type="auto"/>
            <w:tcBorders>
              <w:left w:val="single" w:sz="4" w:space="0" w:color="auto"/>
              <w:bottom w:val="single" w:sz="4" w:space="0" w:color="auto"/>
              <w:right w:val="single" w:sz="4" w:space="0" w:color="auto"/>
            </w:tcBorders>
            <w:vAlign w:val="center"/>
          </w:tcPr>
          <w:p w:rsidR="004F657E" w:rsidRPr="001302F9" w:rsidRDefault="004F657E" w:rsidP="004F657E">
            <w:pPr>
              <w:rPr>
                <w:rFonts w:ascii="Arial" w:hAnsi="Arial" w:cs="Arial"/>
                <w:color w:val="1F4E79" w:themeColor="accent1" w:themeShade="80"/>
                <w:lang w:val="sr-Latn-ME"/>
              </w:rPr>
            </w:pPr>
            <w:r>
              <w:rPr>
                <w:rFonts w:ascii="Arial" w:hAnsi="Arial" w:cs="Arial"/>
                <w:color w:val="1F4E79" w:themeColor="accent1" w:themeShade="80"/>
                <w:lang w:val="sr-Latn-ME"/>
              </w:rPr>
              <w:t>O</w:t>
            </w:r>
            <w:r w:rsidRPr="001302F9">
              <w:rPr>
                <w:rFonts w:ascii="Arial" w:hAnsi="Arial" w:cs="Arial"/>
                <w:color w:val="1F4E79" w:themeColor="accent1" w:themeShade="80"/>
                <w:lang w:val="sr-Latn-ME"/>
              </w:rPr>
              <w:t>dgovorno za upravljanje i koordinaciju procesa pristupanja Crne Gore Evropskoj uniji</w:t>
            </w:r>
          </w:p>
        </w:tc>
        <w:tc>
          <w:tcPr>
            <w:tcW w:w="0" w:type="auto"/>
            <w:tcBorders>
              <w:left w:val="single" w:sz="4" w:space="0" w:color="auto"/>
              <w:bottom w:val="single" w:sz="4" w:space="0" w:color="auto"/>
              <w:right w:val="single" w:sz="4" w:space="0" w:color="auto"/>
            </w:tcBorders>
            <w:vAlign w:val="center"/>
          </w:tcPr>
          <w:p w:rsidR="004F657E" w:rsidRPr="001302F9" w:rsidRDefault="004F657E" w:rsidP="004F657E">
            <w:pPr>
              <w:rPr>
                <w:rFonts w:ascii="Arial" w:hAnsi="Arial" w:cs="Arial"/>
                <w:color w:val="1F4E79" w:themeColor="accent1" w:themeShade="80"/>
                <w:lang w:val="sr-Latn-ME"/>
              </w:rPr>
            </w:pPr>
            <w:r w:rsidRPr="001302F9">
              <w:rPr>
                <w:rFonts w:ascii="Arial" w:hAnsi="Arial" w:cs="Arial"/>
                <w:color w:val="1F4E79" w:themeColor="accent1" w:themeShade="80"/>
                <w:lang w:val="sr-Latn-ME"/>
              </w:rPr>
              <w:t>4</w:t>
            </w:r>
          </w:p>
        </w:tc>
        <w:tc>
          <w:tcPr>
            <w:tcW w:w="0" w:type="auto"/>
            <w:tcBorders>
              <w:bottom w:val="single" w:sz="4" w:space="0" w:color="auto"/>
              <w:right w:val="single" w:sz="4" w:space="0" w:color="auto"/>
            </w:tcBorders>
            <w:vAlign w:val="center"/>
          </w:tcPr>
          <w:p w:rsidR="004F657E" w:rsidRPr="001302F9" w:rsidRDefault="004F657E" w:rsidP="004F657E">
            <w:pPr>
              <w:rPr>
                <w:rFonts w:ascii="Arial" w:hAnsi="Arial" w:cs="Arial"/>
                <w:color w:val="1F4E79" w:themeColor="accent1" w:themeShade="80"/>
                <w:lang w:val="sr-Latn-ME"/>
              </w:rPr>
            </w:pPr>
            <w:r w:rsidRPr="001302F9">
              <w:rPr>
                <w:rFonts w:ascii="Arial" w:hAnsi="Arial" w:cs="Arial"/>
                <w:color w:val="1F4E79" w:themeColor="accent1" w:themeShade="80"/>
                <w:lang w:val="sr-Latn-ME"/>
              </w:rPr>
              <w:t>2</w:t>
            </w:r>
          </w:p>
        </w:tc>
      </w:tr>
      <w:tr w:rsidR="004F657E" w:rsidRPr="001302F9" w:rsidTr="00CB5F79">
        <w:trPr>
          <w:tblCellSpacing w:w="15" w:type="dxa"/>
        </w:trPr>
        <w:tc>
          <w:tcPr>
            <w:tcW w:w="3214" w:type="dxa"/>
            <w:tcBorders>
              <w:left w:val="single" w:sz="4" w:space="0" w:color="auto"/>
              <w:bottom w:val="single" w:sz="4" w:space="0" w:color="auto"/>
              <w:right w:val="single" w:sz="4" w:space="0" w:color="auto"/>
            </w:tcBorders>
            <w:vAlign w:val="center"/>
          </w:tcPr>
          <w:p w:rsidR="004F657E" w:rsidRPr="001302F9" w:rsidRDefault="004F657E" w:rsidP="004F657E">
            <w:pPr>
              <w:rPr>
                <w:rFonts w:ascii="Arial" w:hAnsi="Arial" w:cs="Arial"/>
                <w:b/>
                <w:bCs/>
                <w:color w:val="1F4E79" w:themeColor="accent1" w:themeShade="80"/>
                <w:lang w:val="sr-Latn-ME"/>
              </w:rPr>
            </w:pPr>
            <w:r w:rsidRPr="001302F9">
              <w:rPr>
                <w:rFonts w:ascii="Arial" w:hAnsi="Arial" w:cs="Arial"/>
                <w:b/>
                <w:bCs/>
                <w:color w:val="1F4E79" w:themeColor="accent1" w:themeShade="80"/>
                <w:lang w:val="sr-Latn-ME"/>
              </w:rPr>
              <w:t>Dir</w:t>
            </w:r>
            <w:r>
              <w:rPr>
                <w:rFonts w:ascii="Arial" w:hAnsi="Arial" w:cs="Arial"/>
                <w:b/>
                <w:bCs/>
                <w:color w:val="1F4E79" w:themeColor="accent1" w:themeShade="80"/>
                <w:lang w:val="sr-Latn-ME"/>
              </w:rPr>
              <w:t>ektorat za politiku</w:t>
            </w:r>
            <w:r w:rsidRPr="001302F9">
              <w:rPr>
                <w:rFonts w:ascii="Arial" w:hAnsi="Arial" w:cs="Arial"/>
                <w:b/>
                <w:bCs/>
                <w:color w:val="1F4E79" w:themeColor="accent1" w:themeShade="80"/>
                <w:lang w:val="sr-Latn-ME"/>
              </w:rPr>
              <w:t xml:space="preserve">  javn</w:t>
            </w:r>
            <w:r>
              <w:rPr>
                <w:rFonts w:ascii="Arial" w:hAnsi="Arial" w:cs="Arial"/>
                <w:b/>
                <w:bCs/>
                <w:color w:val="1F4E79" w:themeColor="accent1" w:themeShade="80"/>
                <w:lang w:val="sr-Latn-ME"/>
              </w:rPr>
              <w:t>ih</w:t>
            </w:r>
            <w:r w:rsidRPr="001302F9">
              <w:rPr>
                <w:rFonts w:ascii="Arial" w:hAnsi="Arial" w:cs="Arial"/>
                <w:b/>
                <w:bCs/>
                <w:color w:val="1F4E79" w:themeColor="accent1" w:themeShade="80"/>
                <w:lang w:val="sr-Latn-ME"/>
              </w:rPr>
              <w:t xml:space="preserve"> nabavk</w:t>
            </w:r>
            <w:r>
              <w:rPr>
                <w:rFonts w:ascii="Arial" w:hAnsi="Arial" w:cs="Arial"/>
                <w:b/>
                <w:bCs/>
                <w:color w:val="1F4E79" w:themeColor="accent1" w:themeShade="80"/>
                <w:lang w:val="sr-Latn-ME"/>
              </w:rPr>
              <w:t>i</w:t>
            </w:r>
          </w:p>
        </w:tc>
        <w:tc>
          <w:tcPr>
            <w:tcW w:w="0" w:type="auto"/>
            <w:tcBorders>
              <w:bottom w:val="single" w:sz="4" w:space="0" w:color="auto"/>
              <w:right w:val="single" w:sz="4" w:space="0" w:color="auto"/>
            </w:tcBorders>
            <w:vAlign w:val="center"/>
          </w:tcPr>
          <w:p w:rsidR="004F657E" w:rsidRPr="001302F9" w:rsidRDefault="004F657E" w:rsidP="004F657E">
            <w:pPr>
              <w:rPr>
                <w:rFonts w:ascii="Arial" w:hAnsi="Arial" w:cs="Arial"/>
                <w:color w:val="1F4E79" w:themeColor="accent1" w:themeShade="80"/>
                <w:lang w:val="sr-Latn-ME"/>
              </w:rPr>
            </w:pPr>
            <w:r w:rsidRPr="001302F9">
              <w:rPr>
                <w:rFonts w:ascii="Arial" w:hAnsi="Arial" w:cs="Arial"/>
                <w:color w:val="1F4E79" w:themeColor="accent1" w:themeShade="80"/>
                <w:lang w:val="sr-Latn-ME"/>
              </w:rPr>
              <w:t>Nadzor nad prim</w:t>
            </w:r>
            <w:r>
              <w:rPr>
                <w:rFonts w:ascii="Arial" w:hAnsi="Arial" w:cs="Arial"/>
                <w:color w:val="1F4E79" w:themeColor="accent1" w:themeShade="80"/>
                <w:lang w:val="sr-Latn-ME"/>
              </w:rPr>
              <w:t>j</w:t>
            </w:r>
            <w:r w:rsidRPr="001302F9">
              <w:rPr>
                <w:rFonts w:ascii="Arial" w:hAnsi="Arial" w:cs="Arial"/>
                <w:color w:val="1F4E79" w:themeColor="accent1" w:themeShade="80"/>
                <w:lang w:val="sr-Latn-ME"/>
              </w:rPr>
              <w:t>enom odgovarajuće legislative i sprovođenje kontrola nabavki</w:t>
            </w:r>
          </w:p>
        </w:tc>
        <w:tc>
          <w:tcPr>
            <w:tcW w:w="0" w:type="auto"/>
            <w:tcBorders>
              <w:bottom w:val="single" w:sz="4" w:space="0" w:color="auto"/>
              <w:right w:val="single" w:sz="4" w:space="0" w:color="auto"/>
            </w:tcBorders>
            <w:vAlign w:val="center"/>
          </w:tcPr>
          <w:p w:rsidR="004F657E" w:rsidRPr="001302F9" w:rsidRDefault="004F657E" w:rsidP="004F657E">
            <w:pPr>
              <w:rPr>
                <w:rFonts w:ascii="Arial" w:hAnsi="Arial" w:cs="Arial"/>
                <w:color w:val="1F4E79" w:themeColor="accent1" w:themeShade="80"/>
                <w:lang w:val="sr-Latn-ME"/>
              </w:rPr>
            </w:pPr>
            <w:r w:rsidRPr="001302F9">
              <w:rPr>
                <w:rFonts w:ascii="Arial" w:hAnsi="Arial" w:cs="Arial"/>
                <w:color w:val="1F4E79" w:themeColor="accent1" w:themeShade="80"/>
                <w:lang w:val="sr-Latn-ME"/>
              </w:rPr>
              <w:t>4</w:t>
            </w:r>
          </w:p>
        </w:tc>
        <w:tc>
          <w:tcPr>
            <w:tcW w:w="0" w:type="auto"/>
            <w:tcBorders>
              <w:bottom w:val="single" w:sz="4" w:space="0" w:color="auto"/>
              <w:right w:val="single" w:sz="4" w:space="0" w:color="auto"/>
            </w:tcBorders>
            <w:vAlign w:val="center"/>
          </w:tcPr>
          <w:p w:rsidR="004F657E" w:rsidRPr="001302F9" w:rsidRDefault="004F657E" w:rsidP="004F657E">
            <w:pPr>
              <w:rPr>
                <w:rFonts w:ascii="Arial" w:hAnsi="Arial" w:cs="Arial"/>
                <w:color w:val="1F4E79" w:themeColor="accent1" w:themeShade="80"/>
                <w:lang w:val="sr-Latn-ME"/>
              </w:rPr>
            </w:pPr>
            <w:r w:rsidRPr="001302F9">
              <w:rPr>
                <w:rFonts w:ascii="Arial" w:hAnsi="Arial" w:cs="Arial"/>
                <w:color w:val="1F4E79" w:themeColor="accent1" w:themeShade="80"/>
                <w:lang w:val="sr-Latn-ME"/>
              </w:rPr>
              <w:t>3</w:t>
            </w:r>
          </w:p>
        </w:tc>
      </w:tr>
      <w:tr w:rsidR="000F471C" w:rsidRPr="001302F9" w:rsidTr="00CB5F79">
        <w:trPr>
          <w:tblCellSpacing w:w="15" w:type="dxa"/>
        </w:trPr>
        <w:tc>
          <w:tcPr>
            <w:tcW w:w="3214" w:type="dxa"/>
            <w:tcBorders>
              <w:left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b/>
                <w:bCs/>
                <w:color w:val="1F4E79" w:themeColor="accent1" w:themeShade="80"/>
                <w:lang w:val="sr-Latn-ME"/>
              </w:rPr>
              <w:t>Centralna harmonizacij</w:t>
            </w:r>
            <w:r w:rsidR="00346C60">
              <w:rPr>
                <w:rFonts w:ascii="Arial" w:hAnsi="Arial" w:cs="Arial"/>
                <w:b/>
                <w:bCs/>
                <w:color w:val="1F4E79" w:themeColor="accent1" w:themeShade="80"/>
                <w:lang w:val="sr-Latn-ME"/>
              </w:rPr>
              <w:t xml:space="preserve">ska </w:t>
            </w:r>
            <w:r w:rsidRPr="001302F9">
              <w:rPr>
                <w:rFonts w:ascii="Arial" w:hAnsi="Arial" w:cs="Arial"/>
                <w:b/>
                <w:bCs/>
                <w:color w:val="1F4E79" w:themeColor="accent1" w:themeShade="80"/>
                <w:lang w:val="sr-Latn-ME"/>
              </w:rPr>
              <w:t>jedinica</w:t>
            </w:r>
          </w:p>
        </w:tc>
        <w:tc>
          <w:tcPr>
            <w:tcW w:w="0" w:type="auto"/>
            <w:tcBorders>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Zadužena za koordinaciju uspostavljanja i razvoja sistema unutrašnje finansijske kontrole u javnom sektoru</w:t>
            </w:r>
          </w:p>
        </w:tc>
        <w:tc>
          <w:tcPr>
            <w:tcW w:w="0" w:type="auto"/>
            <w:tcBorders>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2</w:t>
            </w:r>
          </w:p>
        </w:tc>
        <w:tc>
          <w:tcPr>
            <w:tcW w:w="0" w:type="auto"/>
            <w:tcBorders>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2</w:t>
            </w:r>
          </w:p>
        </w:tc>
      </w:tr>
      <w:tr w:rsidR="000F471C" w:rsidRPr="001302F9" w:rsidTr="00CB5F79">
        <w:trPr>
          <w:tblCellSpacing w:w="15" w:type="dxa"/>
        </w:trPr>
        <w:tc>
          <w:tcPr>
            <w:tcW w:w="3214" w:type="dxa"/>
            <w:tcBorders>
              <w:top w:val="single" w:sz="4" w:space="0" w:color="auto"/>
              <w:left w:val="single" w:sz="4" w:space="0" w:color="auto"/>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b/>
                <w:bCs/>
                <w:color w:val="1F4E79" w:themeColor="accent1" w:themeShade="80"/>
                <w:lang w:val="sr-Latn-ME"/>
              </w:rPr>
              <w:t>Direkcija za budžetsku inspekciju</w:t>
            </w:r>
          </w:p>
        </w:tc>
        <w:tc>
          <w:tcPr>
            <w:tcW w:w="0" w:type="auto"/>
            <w:tcBorders>
              <w:top w:val="single" w:sz="4" w:space="0" w:color="auto"/>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 xml:space="preserve">Obavlja inspekcijski nadzor nad </w:t>
            </w:r>
            <w:r w:rsidR="004F2348">
              <w:rPr>
                <w:rFonts w:ascii="Arial" w:hAnsi="Arial" w:cs="Arial"/>
                <w:color w:val="1F4E79" w:themeColor="accent1" w:themeShade="80"/>
                <w:lang w:val="sr-Latn-ME"/>
              </w:rPr>
              <w:t xml:space="preserve">primjenom </w:t>
            </w:r>
            <w:r w:rsidRPr="001302F9">
              <w:rPr>
                <w:rFonts w:ascii="Arial" w:hAnsi="Arial" w:cs="Arial"/>
                <w:color w:val="1F4E79" w:themeColor="accent1" w:themeShade="80"/>
                <w:lang w:val="sr-Latn-ME"/>
              </w:rPr>
              <w:t>zakonodavstv</w:t>
            </w:r>
            <w:r w:rsidR="004F2348">
              <w:rPr>
                <w:rFonts w:ascii="Arial" w:hAnsi="Arial" w:cs="Arial"/>
                <w:color w:val="1F4E79" w:themeColor="accent1" w:themeShade="80"/>
                <w:lang w:val="sr-Latn-ME"/>
              </w:rPr>
              <w:t>a</w:t>
            </w:r>
            <w:r w:rsidRPr="001302F9">
              <w:rPr>
                <w:rFonts w:ascii="Arial" w:hAnsi="Arial" w:cs="Arial"/>
                <w:color w:val="1F4E79" w:themeColor="accent1" w:themeShade="80"/>
                <w:lang w:val="sr-Latn-ME"/>
              </w:rPr>
              <w:t xml:space="preserve"> o platama zaposlenih u javnom sektoru, finansiranju lokalne samouprave</w:t>
            </w:r>
            <w:r w:rsidR="004F2348">
              <w:rPr>
                <w:rFonts w:ascii="Arial" w:hAnsi="Arial" w:cs="Arial"/>
                <w:color w:val="1F4E79" w:themeColor="accent1" w:themeShade="80"/>
                <w:lang w:val="sr-Latn-ME"/>
              </w:rPr>
              <w:t xml:space="preserve"> i</w:t>
            </w:r>
            <w:r w:rsidRPr="001302F9">
              <w:rPr>
                <w:rFonts w:ascii="Arial" w:hAnsi="Arial" w:cs="Arial"/>
                <w:color w:val="1F4E79" w:themeColor="accent1" w:themeShade="80"/>
                <w:lang w:val="sr-Latn-ME"/>
              </w:rPr>
              <w:t xml:space="preserve"> budžetskoj i fiskalnoj odgovornosti</w:t>
            </w:r>
          </w:p>
        </w:tc>
        <w:tc>
          <w:tcPr>
            <w:tcW w:w="0" w:type="auto"/>
            <w:tcBorders>
              <w:top w:val="single" w:sz="4" w:space="0" w:color="auto"/>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2</w:t>
            </w:r>
          </w:p>
        </w:tc>
        <w:tc>
          <w:tcPr>
            <w:tcW w:w="0" w:type="auto"/>
            <w:tcBorders>
              <w:top w:val="single" w:sz="4" w:space="0" w:color="auto"/>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2</w:t>
            </w:r>
          </w:p>
        </w:tc>
      </w:tr>
      <w:tr w:rsidR="000F471C" w:rsidRPr="001302F9" w:rsidTr="00CB5F79">
        <w:trPr>
          <w:tblCellSpacing w:w="15" w:type="dxa"/>
        </w:trPr>
        <w:tc>
          <w:tcPr>
            <w:tcW w:w="3214" w:type="dxa"/>
            <w:tcBorders>
              <w:left w:val="single" w:sz="4" w:space="0" w:color="auto"/>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b/>
                <w:bCs/>
                <w:color w:val="1F4E79" w:themeColor="accent1" w:themeShade="80"/>
                <w:lang w:val="sr-Latn-ME"/>
              </w:rPr>
              <w:t>Državna revizorska institucija</w:t>
            </w:r>
          </w:p>
        </w:tc>
        <w:tc>
          <w:tcPr>
            <w:tcW w:w="0" w:type="auto"/>
            <w:tcBorders>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Nezavisna, vrhovna institucija za reviziju koja vrši profesionalnu kontrolu budžetskih rashoda i upravljanja državnom imovinom</w:t>
            </w:r>
          </w:p>
        </w:tc>
        <w:tc>
          <w:tcPr>
            <w:tcW w:w="0" w:type="auto"/>
            <w:tcBorders>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3</w:t>
            </w:r>
          </w:p>
        </w:tc>
        <w:tc>
          <w:tcPr>
            <w:tcW w:w="0" w:type="auto"/>
            <w:tcBorders>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3</w:t>
            </w:r>
          </w:p>
        </w:tc>
      </w:tr>
      <w:tr w:rsidR="000F471C" w:rsidRPr="001302F9" w:rsidTr="00CB5F79">
        <w:trPr>
          <w:tblCellSpacing w:w="15" w:type="dxa"/>
        </w:trPr>
        <w:tc>
          <w:tcPr>
            <w:tcW w:w="3214" w:type="dxa"/>
            <w:tcBorders>
              <w:left w:val="single" w:sz="4" w:space="0" w:color="auto"/>
              <w:bottom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b/>
                <w:bCs/>
                <w:color w:val="1F4E79" w:themeColor="accent1" w:themeShade="80"/>
                <w:lang w:val="sr-Latn-ME"/>
              </w:rPr>
              <w:t>EU institucije</w:t>
            </w:r>
            <w:r w:rsidRPr="001302F9">
              <w:rPr>
                <w:rFonts w:ascii="Arial" w:hAnsi="Arial" w:cs="Arial"/>
                <w:color w:val="1F4E79" w:themeColor="accent1" w:themeShade="80"/>
                <w:lang w:val="sr-Latn-ME"/>
              </w:rPr>
              <w:t>:</w:t>
            </w:r>
          </w:p>
        </w:tc>
        <w:tc>
          <w:tcPr>
            <w:tcW w:w="0" w:type="auto"/>
            <w:tcBorders>
              <w:left w:val="single" w:sz="4" w:space="0" w:color="auto"/>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p>
        </w:tc>
        <w:tc>
          <w:tcPr>
            <w:tcW w:w="0" w:type="auto"/>
            <w:tcBorders>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p>
        </w:tc>
        <w:tc>
          <w:tcPr>
            <w:tcW w:w="0" w:type="auto"/>
            <w:tcBorders>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p>
        </w:tc>
      </w:tr>
      <w:tr w:rsidR="000F471C" w:rsidRPr="001302F9" w:rsidTr="00CB5F79">
        <w:trPr>
          <w:tblCellSpacing w:w="15" w:type="dxa"/>
        </w:trPr>
        <w:tc>
          <w:tcPr>
            <w:tcW w:w="3214" w:type="dxa"/>
            <w:tcBorders>
              <w:top w:val="single" w:sz="4" w:space="0" w:color="auto"/>
              <w:left w:val="single" w:sz="4" w:space="0" w:color="auto"/>
              <w:bottom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b/>
                <w:bCs/>
                <w:color w:val="1F4E79" w:themeColor="accent1" w:themeShade="80"/>
                <w:lang w:val="sr-Latn-ME"/>
              </w:rPr>
              <w:t>OLAF</w:t>
            </w:r>
            <w:r w:rsidRPr="001302F9">
              <w:rPr>
                <w:rFonts w:ascii="Arial" w:hAnsi="Arial" w:cs="Arial"/>
                <w:color w:val="1F4E79" w:themeColor="accent1" w:themeShade="80"/>
                <w:lang w:val="sr-Latn-ME"/>
              </w:rPr>
              <w:t xml:space="preserve"> – Evropska kancelarija za borbu protiv prevara</w:t>
            </w:r>
          </w:p>
        </w:tc>
        <w:tc>
          <w:tcPr>
            <w:tcW w:w="0" w:type="auto"/>
            <w:tcBorders>
              <w:top w:val="single" w:sz="4" w:space="0" w:color="auto"/>
              <w:left w:val="single" w:sz="4" w:space="0" w:color="auto"/>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 xml:space="preserve">Radi na zaštiti finansijskih interesa EU u zemljama </w:t>
            </w:r>
            <w:r w:rsidR="004F2348">
              <w:rPr>
                <w:rFonts w:ascii="Arial" w:hAnsi="Arial" w:cs="Arial"/>
                <w:color w:val="1F4E79" w:themeColor="accent1" w:themeShade="80"/>
                <w:lang w:val="sr-Latn-ME"/>
              </w:rPr>
              <w:t xml:space="preserve">članicama i </w:t>
            </w:r>
            <w:r w:rsidRPr="001302F9">
              <w:rPr>
                <w:rFonts w:ascii="Arial" w:hAnsi="Arial" w:cs="Arial"/>
                <w:color w:val="1F4E79" w:themeColor="accent1" w:themeShade="80"/>
                <w:lang w:val="sr-Latn-ME"/>
              </w:rPr>
              <w:t>kandidatima, prima izv</w:t>
            </w:r>
            <w:r w:rsidR="004F2348">
              <w:rPr>
                <w:rFonts w:ascii="Arial" w:hAnsi="Arial" w:cs="Arial"/>
                <w:color w:val="1F4E79" w:themeColor="accent1" w:themeShade="80"/>
                <w:lang w:val="sr-Latn-ME"/>
              </w:rPr>
              <w:t>j</w:t>
            </w:r>
            <w:r w:rsidRPr="001302F9">
              <w:rPr>
                <w:rFonts w:ascii="Arial" w:hAnsi="Arial" w:cs="Arial"/>
                <w:color w:val="1F4E79" w:themeColor="accent1" w:themeShade="80"/>
                <w:lang w:val="sr-Latn-ME"/>
              </w:rPr>
              <w:t>eštaje o nepravilnostima putem IMS-a i vrši nezavisne administrativne istrage</w:t>
            </w:r>
          </w:p>
        </w:tc>
        <w:tc>
          <w:tcPr>
            <w:tcW w:w="0" w:type="auto"/>
            <w:tcBorders>
              <w:top w:val="single" w:sz="4" w:space="0" w:color="auto"/>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5</w:t>
            </w:r>
          </w:p>
        </w:tc>
        <w:tc>
          <w:tcPr>
            <w:tcW w:w="0" w:type="auto"/>
            <w:tcBorders>
              <w:top w:val="single" w:sz="4" w:space="0" w:color="auto"/>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5</w:t>
            </w:r>
          </w:p>
        </w:tc>
      </w:tr>
      <w:tr w:rsidR="000F471C" w:rsidRPr="001302F9" w:rsidTr="00CB5F79">
        <w:trPr>
          <w:tblCellSpacing w:w="15" w:type="dxa"/>
        </w:trPr>
        <w:tc>
          <w:tcPr>
            <w:tcW w:w="3214" w:type="dxa"/>
            <w:tcBorders>
              <w:top w:val="single" w:sz="4" w:space="0" w:color="auto"/>
              <w:left w:val="single" w:sz="4" w:space="0" w:color="auto"/>
              <w:bottom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b/>
                <w:bCs/>
                <w:color w:val="1F4E79" w:themeColor="accent1" w:themeShade="80"/>
                <w:lang w:val="sr-Latn-ME"/>
              </w:rPr>
              <w:t>EPPO</w:t>
            </w:r>
            <w:r w:rsidRPr="001302F9">
              <w:rPr>
                <w:rFonts w:ascii="Arial" w:hAnsi="Arial" w:cs="Arial"/>
                <w:color w:val="1F4E79" w:themeColor="accent1" w:themeShade="80"/>
                <w:lang w:val="sr-Latn-ME"/>
              </w:rPr>
              <w:t xml:space="preserve"> – Evropska kancelarija javnog tužioca</w:t>
            </w:r>
          </w:p>
        </w:tc>
        <w:tc>
          <w:tcPr>
            <w:tcW w:w="0" w:type="auto"/>
            <w:tcBorders>
              <w:top w:val="single" w:sz="4" w:space="0" w:color="auto"/>
              <w:left w:val="single" w:sz="4" w:space="0" w:color="auto"/>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 xml:space="preserve">Nezavisno tijelo Evropske unije koje je odgovorno za istragu i krivično gonjenje ozbiljnih prekršaja koji utiču na finansijske interese EU, kao što su prevara, korupcija, i zloupotreba EU sredstava. </w:t>
            </w:r>
            <w:r w:rsidR="004F2348">
              <w:rPr>
                <w:rFonts w:ascii="Arial" w:hAnsi="Arial" w:cs="Arial"/>
                <w:color w:val="1F4E79" w:themeColor="accent1" w:themeShade="80"/>
                <w:lang w:val="sr-Latn-ME"/>
              </w:rPr>
              <w:t>I</w:t>
            </w:r>
            <w:r w:rsidRPr="001302F9">
              <w:rPr>
                <w:rFonts w:ascii="Arial" w:hAnsi="Arial" w:cs="Arial"/>
                <w:color w:val="1F4E79" w:themeColor="accent1" w:themeShade="80"/>
                <w:lang w:val="sr-Latn-ME"/>
              </w:rPr>
              <w:t>ma ovlašćenje da istražuje i procesuira prekršaje protiv EU budžeta, kako na teritoriji članica EU, tako i u zemljama koje su u procesu pristupanja EU</w:t>
            </w:r>
          </w:p>
        </w:tc>
        <w:tc>
          <w:tcPr>
            <w:tcW w:w="0" w:type="auto"/>
            <w:tcBorders>
              <w:top w:val="single" w:sz="4" w:space="0" w:color="auto"/>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5</w:t>
            </w:r>
          </w:p>
        </w:tc>
        <w:tc>
          <w:tcPr>
            <w:tcW w:w="0" w:type="auto"/>
            <w:tcBorders>
              <w:top w:val="single" w:sz="4" w:space="0" w:color="auto"/>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4</w:t>
            </w:r>
          </w:p>
        </w:tc>
      </w:tr>
      <w:tr w:rsidR="000F471C" w:rsidRPr="001302F9" w:rsidTr="00CB5F79">
        <w:trPr>
          <w:tblCellSpacing w:w="15" w:type="dxa"/>
        </w:trPr>
        <w:tc>
          <w:tcPr>
            <w:tcW w:w="3214" w:type="dxa"/>
            <w:tcBorders>
              <w:left w:val="single" w:sz="4" w:space="0" w:color="auto"/>
              <w:bottom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b/>
                <w:bCs/>
                <w:color w:val="1F4E79" w:themeColor="accent1" w:themeShade="80"/>
                <w:lang w:val="sr-Latn-ME"/>
              </w:rPr>
              <w:t>Evropska komisija (DG NEAR, DG AGRI, druge službe)</w:t>
            </w:r>
          </w:p>
        </w:tc>
        <w:tc>
          <w:tcPr>
            <w:tcW w:w="0" w:type="auto"/>
            <w:tcBorders>
              <w:left w:val="single" w:sz="4" w:space="0" w:color="auto"/>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Dodjeljuje pretpristupna sredstva unutar višegodišnjeg finansijskog okvira , a odgovornost je Crne Gore kao korisnika za pravilno upravljanje tim fondovima</w:t>
            </w:r>
          </w:p>
        </w:tc>
        <w:tc>
          <w:tcPr>
            <w:tcW w:w="0" w:type="auto"/>
            <w:tcBorders>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5</w:t>
            </w:r>
          </w:p>
        </w:tc>
        <w:tc>
          <w:tcPr>
            <w:tcW w:w="0" w:type="auto"/>
            <w:tcBorders>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4</w:t>
            </w:r>
          </w:p>
        </w:tc>
      </w:tr>
      <w:tr w:rsidR="000F471C" w:rsidRPr="001302F9" w:rsidTr="00CB5F79">
        <w:trPr>
          <w:tblCellSpacing w:w="15" w:type="dxa"/>
        </w:trPr>
        <w:tc>
          <w:tcPr>
            <w:tcW w:w="3214" w:type="dxa"/>
            <w:tcBorders>
              <w:left w:val="single" w:sz="4" w:space="0" w:color="auto"/>
              <w:bottom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b/>
                <w:bCs/>
                <w:color w:val="1F4E79" w:themeColor="accent1" w:themeShade="80"/>
                <w:lang w:val="sr-Latn-ME"/>
              </w:rPr>
              <w:t>ECA</w:t>
            </w:r>
            <w:r w:rsidRPr="001302F9">
              <w:rPr>
                <w:rFonts w:ascii="Arial" w:hAnsi="Arial" w:cs="Arial"/>
                <w:color w:val="1F4E79" w:themeColor="accent1" w:themeShade="80"/>
                <w:lang w:val="sr-Latn-ME"/>
              </w:rPr>
              <w:t xml:space="preserve"> – Evropski revizorski sud</w:t>
            </w:r>
          </w:p>
        </w:tc>
        <w:tc>
          <w:tcPr>
            <w:tcW w:w="0" w:type="auto"/>
            <w:tcBorders>
              <w:left w:val="single" w:sz="4" w:space="0" w:color="auto"/>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 xml:space="preserve">Izvršavanje nezavisnih </w:t>
            </w:r>
            <w:r w:rsidR="007022AF">
              <w:rPr>
                <w:rFonts w:ascii="Arial" w:hAnsi="Arial" w:cs="Arial"/>
                <w:color w:val="1F4E79" w:themeColor="accent1" w:themeShade="80"/>
                <w:lang w:val="sr-Latn-ME"/>
              </w:rPr>
              <w:t>eksternih</w:t>
            </w:r>
            <w:r w:rsidRPr="001302F9">
              <w:rPr>
                <w:rFonts w:ascii="Arial" w:hAnsi="Arial" w:cs="Arial"/>
                <w:color w:val="1F4E79" w:themeColor="accent1" w:themeShade="80"/>
                <w:lang w:val="sr-Latn-ME"/>
              </w:rPr>
              <w:t xml:space="preserve"> revizija za cijelu potrošnju budžeta EU, uključujući pretpristupne fondove</w:t>
            </w:r>
          </w:p>
        </w:tc>
        <w:tc>
          <w:tcPr>
            <w:tcW w:w="0" w:type="auto"/>
            <w:tcBorders>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5</w:t>
            </w:r>
          </w:p>
        </w:tc>
        <w:tc>
          <w:tcPr>
            <w:tcW w:w="0" w:type="auto"/>
            <w:tcBorders>
              <w:bottom w:val="single" w:sz="4" w:space="0" w:color="auto"/>
              <w:right w:val="single" w:sz="4" w:space="0" w:color="auto"/>
            </w:tcBorders>
            <w:vAlign w:val="center"/>
            <w:hideMark/>
          </w:tcPr>
          <w:p w:rsidR="000F471C" w:rsidRPr="001302F9" w:rsidRDefault="000F471C" w:rsidP="00CB5F79">
            <w:pPr>
              <w:rPr>
                <w:rFonts w:ascii="Arial" w:hAnsi="Arial" w:cs="Arial"/>
                <w:color w:val="1F4E79" w:themeColor="accent1" w:themeShade="80"/>
                <w:lang w:val="sr-Latn-ME"/>
              </w:rPr>
            </w:pPr>
            <w:r w:rsidRPr="001302F9">
              <w:rPr>
                <w:rFonts w:ascii="Arial" w:hAnsi="Arial" w:cs="Arial"/>
                <w:color w:val="1F4E79" w:themeColor="accent1" w:themeShade="80"/>
                <w:lang w:val="sr-Latn-ME"/>
              </w:rPr>
              <w:t>3</w:t>
            </w:r>
          </w:p>
        </w:tc>
      </w:tr>
    </w:tbl>
    <w:p w:rsidR="000F471C" w:rsidRPr="001302F9" w:rsidRDefault="000F471C" w:rsidP="000F471C">
      <w:pPr>
        <w:rPr>
          <w:rFonts w:ascii="Arial" w:hAnsi="Arial" w:cs="Arial"/>
          <w:lang w:val="sr-Latn-ME"/>
        </w:rPr>
      </w:pPr>
    </w:p>
    <w:p w:rsidR="000F471C" w:rsidRPr="001302F9" w:rsidRDefault="000F471C" w:rsidP="000F471C">
      <w:pPr>
        <w:jc w:val="both"/>
        <w:rPr>
          <w:rFonts w:ascii="Arial" w:hAnsi="Arial" w:cs="Arial"/>
          <w:lang w:val="sr-Latn-ME"/>
        </w:rPr>
      </w:pPr>
      <w:r w:rsidRPr="001302F9">
        <w:rPr>
          <w:rFonts w:ascii="Arial" w:hAnsi="Arial" w:cs="Arial"/>
          <w:lang w:val="sr-Latn-ME"/>
        </w:rPr>
        <w:t xml:space="preserve">Naime izvršena klasifikacija zainteresovanih strana pomaže u  njihovom  grupisanju prema  </w:t>
      </w:r>
      <w:r w:rsidR="007022AF" w:rsidRPr="001302F9">
        <w:rPr>
          <w:rFonts w:ascii="Arial" w:hAnsi="Arial" w:cs="Arial"/>
          <w:lang w:val="sr-Latn-ME"/>
        </w:rPr>
        <w:t xml:space="preserve">interesu </w:t>
      </w:r>
      <w:r w:rsidR="007022AF">
        <w:rPr>
          <w:rFonts w:ascii="Arial" w:hAnsi="Arial" w:cs="Arial"/>
          <w:lang w:val="sr-Latn-ME"/>
        </w:rPr>
        <w:t xml:space="preserve">i </w:t>
      </w:r>
      <w:r w:rsidRPr="001302F9">
        <w:rPr>
          <w:rFonts w:ascii="Arial" w:hAnsi="Arial" w:cs="Arial"/>
          <w:lang w:val="sr-Latn-ME"/>
        </w:rPr>
        <w:t xml:space="preserve">uticaju u oblasti zaštite finansijskih interesa EU. Ova klasifikacija pomaže u identifikovanju ključnih zainteresovanih strana kojima bi trebalo dodijeliti glavne zadatke i aktivnosti </w:t>
      </w:r>
      <w:r w:rsidR="00A91374">
        <w:rPr>
          <w:rFonts w:ascii="Arial" w:hAnsi="Arial" w:cs="Arial"/>
          <w:lang w:val="sr-Latn-ME"/>
        </w:rPr>
        <w:t>u sklopu</w:t>
      </w:r>
      <w:r w:rsidRPr="001302F9">
        <w:rPr>
          <w:rFonts w:ascii="Arial" w:hAnsi="Arial" w:cs="Arial"/>
          <w:lang w:val="sr-Latn-ME"/>
        </w:rPr>
        <w:t xml:space="preserve"> Strategije, </w:t>
      </w:r>
      <w:r w:rsidR="00A91374">
        <w:rPr>
          <w:rFonts w:ascii="Arial" w:hAnsi="Arial" w:cs="Arial"/>
          <w:lang w:val="sr-Latn-ME"/>
        </w:rPr>
        <w:t xml:space="preserve">a </w:t>
      </w:r>
      <w:r w:rsidRPr="001302F9">
        <w:rPr>
          <w:rFonts w:ascii="Arial" w:hAnsi="Arial" w:cs="Arial"/>
          <w:lang w:val="sr-Latn-ME"/>
        </w:rPr>
        <w:t xml:space="preserve">kako bi se izbjeglo dodjeljivanje nepotrebnih zadataka i aktivnosti </w:t>
      </w:r>
      <w:r w:rsidR="00A91374">
        <w:rPr>
          <w:rFonts w:ascii="Arial" w:hAnsi="Arial" w:cs="Arial"/>
          <w:lang w:val="sr-Latn-ME"/>
        </w:rPr>
        <w:t>tijelima koja</w:t>
      </w:r>
      <w:r w:rsidRPr="001302F9">
        <w:rPr>
          <w:rFonts w:ascii="Arial" w:hAnsi="Arial" w:cs="Arial"/>
          <w:lang w:val="sr-Latn-ME"/>
        </w:rPr>
        <w:t xml:space="preserve"> nisu dovoljno angažovan</w:t>
      </w:r>
      <w:r w:rsidR="00A91374">
        <w:rPr>
          <w:rFonts w:ascii="Arial" w:hAnsi="Arial" w:cs="Arial"/>
          <w:lang w:val="sr-Latn-ME"/>
        </w:rPr>
        <w:t>a i/ili u stanju</w:t>
      </w:r>
      <w:r w:rsidRPr="001302F9">
        <w:rPr>
          <w:rFonts w:ascii="Arial" w:hAnsi="Arial" w:cs="Arial"/>
          <w:lang w:val="sr-Latn-ME"/>
        </w:rPr>
        <w:t xml:space="preserve"> da implementiraju aktivnosti </w:t>
      </w:r>
      <w:r w:rsidR="00A91374" w:rsidRPr="001302F9">
        <w:rPr>
          <w:rFonts w:ascii="Arial" w:hAnsi="Arial" w:cs="Arial"/>
          <w:lang w:val="sr-Latn-ME"/>
        </w:rPr>
        <w:t xml:space="preserve">u zadatim rokovima i </w:t>
      </w:r>
      <w:r w:rsidRPr="001302F9">
        <w:rPr>
          <w:rFonts w:ascii="Arial" w:hAnsi="Arial" w:cs="Arial"/>
          <w:lang w:val="sr-Latn-ME"/>
        </w:rPr>
        <w:t>sa potrebnom posvećenošću.</w:t>
      </w:r>
    </w:p>
    <w:p w:rsidR="000F471C" w:rsidRPr="001302F9" w:rsidRDefault="000F471C" w:rsidP="000F471C">
      <w:pPr>
        <w:rPr>
          <w:rFonts w:ascii="Arial" w:hAnsi="Arial" w:cs="Arial"/>
          <w:lang w:val="sr-Latn-ME"/>
        </w:rPr>
      </w:pPr>
    </w:p>
    <w:p w:rsidR="000F471C" w:rsidRPr="001302F9" w:rsidRDefault="000F471C" w:rsidP="000F471C">
      <w:pPr>
        <w:shd w:val="clear" w:color="auto" w:fill="FFFFFF"/>
        <w:spacing w:before="120" w:after="120" w:line="240" w:lineRule="auto"/>
        <w:jc w:val="center"/>
        <w:rPr>
          <w:rFonts w:ascii="Arial" w:eastAsia="Times New Roman" w:hAnsi="Arial" w:cs="Arial"/>
          <w:b/>
          <w:color w:val="000000"/>
          <w:lang w:val="sr-Latn-ME" w:eastAsia="x-none"/>
        </w:rPr>
      </w:pPr>
      <w:r w:rsidRPr="001302F9">
        <w:rPr>
          <w:rFonts w:ascii="Arial" w:eastAsia="Times New Roman" w:hAnsi="Arial" w:cs="Arial"/>
          <w:b/>
          <w:color w:val="000000"/>
          <w:lang w:val="sr-Latn-ME" w:eastAsia="x-none"/>
        </w:rPr>
        <w:t>Interes –</w:t>
      </w:r>
      <w:r w:rsidR="00C04F98">
        <w:rPr>
          <w:rFonts w:ascii="Arial" w:eastAsia="Times New Roman" w:hAnsi="Arial" w:cs="Arial"/>
          <w:b/>
          <w:color w:val="000000"/>
          <w:lang w:val="sr-Latn-ME" w:eastAsia="x-none"/>
        </w:rPr>
        <w:t xml:space="preserve"> Uticaj </w:t>
      </w:r>
      <w:r w:rsidRPr="001302F9">
        <w:rPr>
          <w:rFonts w:ascii="Arial" w:eastAsia="Times New Roman" w:hAnsi="Arial" w:cs="Arial"/>
          <w:b/>
          <w:color w:val="000000"/>
          <w:lang w:val="sr-Latn-ME" w:eastAsia="x-none"/>
        </w:rPr>
        <w:t>matri</w:t>
      </w:r>
      <w:r w:rsidR="00C04F98">
        <w:rPr>
          <w:rFonts w:ascii="Arial" w:eastAsia="Times New Roman" w:hAnsi="Arial" w:cs="Arial"/>
          <w:b/>
          <w:color w:val="000000"/>
          <w:lang w:val="sr-Latn-ME" w:eastAsia="x-none"/>
        </w:rPr>
        <w:t>ca</w:t>
      </w:r>
      <w:r w:rsidRPr="001302F9">
        <w:rPr>
          <w:rFonts w:ascii="Arial" w:eastAsia="Times New Roman" w:hAnsi="Arial" w:cs="Arial"/>
          <w:b/>
          <w:color w:val="000000"/>
          <w:lang w:val="sr-Latn-ME" w:eastAsia="x-none"/>
        </w:rPr>
        <w:t xml:space="preserve"> </w:t>
      </w:r>
      <w:r w:rsidR="00C04F98">
        <w:rPr>
          <w:rFonts w:ascii="Arial" w:eastAsia="Times New Roman" w:hAnsi="Arial" w:cs="Arial"/>
          <w:b/>
          <w:color w:val="000000"/>
          <w:lang w:val="sr-Latn-ME" w:eastAsia="x-none"/>
        </w:rPr>
        <w:t>zainteresovanih strana</w:t>
      </w:r>
    </w:p>
    <w:p w:rsidR="000F471C" w:rsidRPr="001302F9" w:rsidRDefault="00C04F98" w:rsidP="000F471C">
      <w:pPr>
        <w:rPr>
          <w:rFonts w:ascii="Arial" w:hAnsi="Arial" w:cs="Arial"/>
          <w:lang w:val="sr-Latn-ME"/>
        </w:rPr>
      </w:pPr>
      <w:r w:rsidRPr="00C04F98">
        <w:rPr>
          <w:noProof/>
        </w:rPr>
        <w:drawing>
          <wp:inline distT="0" distB="0" distL="0" distR="0" wp14:anchorId="23BA695A" wp14:editId="5543B1D4">
            <wp:extent cx="5637530" cy="3387907"/>
            <wp:effectExtent l="0" t="0" r="127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645220" cy="3392528"/>
                    </a:xfrm>
                    <a:prstGeom prst="rect">
                      <a:avLst/>
                    </a:prstGeom>
                  </pic:spPr>
                </pic:pic>
              </a:graphicData>
            </a:graphic>
          </wp:inline>
        </w:drawing>
      </w:r>
      <w:r w:rsidRPr="00C04F98">
        <w:t xml:space="preserve"> </w:t>
      </w:r>
    </w:p>
    <w:p w:rsidR="000F471C" w:rsidRDefault="000F471C" w:rsidP="000F471C">
      <w:pPr>
        <w:jc w:val="both"/>
        <w:rPr>
          <w:rFonts w:ascii="Arial" w:hAnsi="Arial" w:cs="Arial"/>
          <w:lang w:val="sr-Latn-ME"/>
        </w:rPr>
      </w:pPr>
      <w:r w:rsidRPr="001302F9">
        <w:rPr>
          <w:rFonts w:ascii="Arial" w:hAnsi="Arial" w:cs="Arial"/>
          <w:lang w:val="sr-Latn-ME"/>
        </w:rPr>
        <w:t xml:space="preserve">Na ovaj način, identifikovane su ciljne grupe Strategije i kreirane aktivnosti za njihovo uključivanje u implementaciju Akcionog plana. Može se zaključiti da institucije sa najvećim interesovanjem za razvoj Strategije i zaštitu finansijskih interesa EU nisu uvijek najuticajnije u implementaciji ključnih aktivnosti potrebnih za pravilnu zaštitu, kako EU, tako i nacionalnih javnih sredstava. Važno je napomenuti da u matrici nema mnogo institucija sa niskim interesovanjem i/ili niskim uticajem u odnosu na Strategiju , zbog činjenice da su potencijalni akteri koji nemaju direktnu odgovornost i doprinos Strategiji (kao što su izvođači/korisnici EU </w:t>
      </w:r>
      <w:r w:rsidR="00A70B58">
        <w:rPr>
          <w:rFonts w:ascii="Arial" w:hAnsi="Arial" w:cs="Arial"/>
          <w:lang w:val="sr-Latn-ME"/>
        </w:rPr>
        <w:t>sredstava</w:t>
      </w:r>
      <w:r w:rsidRPr="001302F9">
        <w:rPr>
          <w:rFonts w:ascii="Arial" w:hAnsi="Arial" w:cs="Arial"/>
          <w:lang w:val="sr-Latn-ME"/>
        </w:rPr>
        <w:t xml:space="preserve">, poreski obveznici EU i Crne Gore, kao i crnogosko društvo uopšte) isključeni iz ove analize, kako je već pomenuto u </w:t>
      </w:r>
      <w:r w:rsidR="00A70B58">
        <w:rPr>
          <w:rFonts w:ascii="Arial" w:hAnsi="Arial" w:cs="Arial"/>
          <w:lang w:val="sr-Latn-ME"/>
        </w:rPr>
        <w:t>poglavlju</w:t>
      </w:r>
      <w:r w:rsidRPr="001302F9">
        <w:rPr>
          <w:rFonts w:ascii="Arial" w:hAnsi="Arial" w:cs="Arial"/>
          <w:lang w:val="sr-Latn-ME"/>
        </w:rPr>
        <w:t xml:space="preserve"> 2.5.1.</w:t>
      </w:r>
    </w:p>
    <w:p w:rsidR="007B0E8C" w:rsidRPr="001302F9" w:rsidRDefault="007B0E8C" w:rsidP="000F471C">
      <w:pPr>
        <w:jc w:val="both"/>
        <w:rPr>
          <w:rFonts w:ascii="Arial" w:hAnsi="Arial" w:cs="Arial"/>
          <w:lang w:val="sr-Latn-ME"/>
        </w:rPr>
      </w:pPr>
    </w:p>
    <w:p w:rsidR="000F471C" w:rsidRPr="001302F9" w:rsidRDefault="000F471C" w:rsidP="000F471C">
      <w:pPr>
        <w:jc w:val="both"/>
        <w:rPr>
          <w:rFonts w:ascii="Arial" w:hAnsi="Arial" w:cs="Arial"/>
          <w:lang w:val="sr-Latn-ME"/>
        </w:rPr>
      </w:pPr>
    </w:p>
    <w:p w:rsidR="00A70B58" w:rsidRDefault="000F471C" w:rsidP="000F471C">
      <w:pPr>
        <w:jc w:val="both"/>
        <w:rPr>
          <w:rFonts w:ascii="Arial" w:hAnsi="Arial" w:cs="Arial"/>
          <w:lang w:val="sr-Latn-ME"/>
        </w:rPr>
      </w:pPr>
      <w:r w:rsidRPr="00A70B58">
        <w:rPr>
          <w:rFonts w:ascii="Arial" w:hAnsi="Arial" w:cs="Arial"/>
          <w:b/>
          <w:lang w:val="sr-Latn-ME"/>
        </w:rPr>
        <w:t xml:space="preserve">2.6. Analiza trenutnog stanja u svim fazama ciklusa borbe protiv </w:t>
      </w:r>
      <w:r w:rsidR="00EF67BE">
        <w:rPr>
          <w:rFonts w:ascii="Arial" w:hAnsi="Arial" w:cs="Arial"/>
          <w:b/>
          <w:lang w:val="sr-Latn-ME"/>
        </w:rPr>
        <w:t>nepravilnost</w:t>
      </w:r>
      <w:r w:rsidR="005656D0">
        <w:rPr>
          <w:rFonts w:ascii="Arial" w:hAnsi="Arial" w:cs="Arial"/>
          <w:b/>
          <w:lang w:val="sr-Latn-ME"/>
        </w:rPr>
        <w:t xml:space="preserve">i </w:t>
      </w:r>
      <w:r w:rsidR="00EF67BE">
        <w:rPr>
          <w:rFonts w:ascii="Arial" w:hAnsi="Arial" w:cs="Arial"/>
          <w:b/>
          <w:lang w:val="sr-Latn-ME"/>
        </w:rPr>
        <w:t xml:space="preserve">i </w:t>
      </w:r>
      <w:r w:rsidRPr="00A70B58">
        <w:rPr>
          <w:rFonts w:ascii="Arial" w:hAnsi="Arial" w:cs="Arial"/>
          <w:b/>
          <w:lang w:val="sr-Latn-ME"/>
        </w:rPr>
        <w:t>prevara</w:t>
      </w:r>
    </w:p>
    <w:p w:rsidR="000F471C" w:rsidRPr="001302F9" w:rsidRDefault="000F471C" w:rsidP="000F471C">
      <w:pPr>
        <w:jc w:val="both"/>
        <w:rPr>
          <w:rFonts w:ascii="Arial" w:hAnsi="Arial" w:cs="Arial"/>
          <w:lang w:val="sr-Latn-ME"/>
        </w:rPr>
      </w:pPr>
      <w:r w:rsidRPr="001302F9">
        <w:rPr>
          <w:rFonts w:ascii="Arial" w:hAnsi="Arial" w:cs="Arial"/>
          <w:lang w:val="sr-Latn-ME"/>
        </w:rPr>
        <w:br/>
        <w:t>Smjernice EK o nacionalnim strategijama za borbu protiv prevara propisuju da Strategija treba da razmotri svaku fazu ciklusa u borbi borbu protiv prevara:</w:t>
      </w:r>
    </w:p>
    <w:p w:rsidR="000F471C" w:rsidRPr="001302F9" w:rsidRDefault="000F471C" w:rsidP="000F471C">
      <w:pPr>
        <w:jc w:val="both"/>
        <w:rPr>
          <w:rFonts w:ascii="Arial" w:hAnsi="Arial" w:cs="Arial"/>
          <w:lang w:val="sr-Latn-ME"/>
        </w:rPr>
      </w:pPr>
      <w:r w:rsidRPr="001302F9">
        <w:rPr>
          <w:rFonts w:ascii="Arial" w:hAnsi="Arial" w:cs="Arial"/>
          <w:lang w:val="sr-Latn-ME"/>
        </w:rPr>
        <w:t xml:space="preserve">                                     </w:t>
      </w:r>
      <w:r w:rsidR="00C04F98" w:rsidRPr="00C04F98">
        <w:rPr>
          <w:noProof/>
        </w:rPr>
        <w:drawing>
          <wp:inline distT="0" distB="0" distL="0" distR="0" wp14:anchorId="0E5CCCC5" wp14:editId="0F369938">
            <wp:extent cx="3429861" cy="22034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482643" cy="2237359"/>
                    </a:xfrm>
                    <a:prstGeom prst="rect">
                      <a:avLst/>
                    </a:prstGeom>
                  </pic:spPr>
                </pic:pic>
              </a:graphicData>
            </a:graphic>
          </wp:inline>
        </w:drawing>
      </w:r>
    </w:p>
    <w:p w:rsidR="000F471C" w:rsidRPr="001302F9" w:rsidRDefault="000F471C" w:rsidP="000F471C">
      <w:pPr>
        <w:jc w:val="both"/>
        <w:rPr>
          <w:rFonts w:ascii="Arial" w:hAnsi="Arial" w:cs="Arial"/>
          <w:lang w:val="sr-Latn-ME"/>
        </w:rPr>
      </w:pPr>
    </w:p>
    <w:p w:rsidR="000F471C" w:rsidRPr="001302F9" w:rsidRDefault="00E96A68" w:rsidP="000F471C">
      <w:pPr>
        <w:jc w:val="both"/>
        <w:rPr>
          <w:rFonts w:ascii="Arial" w:hAnsi="Arial" w:cs="Arial"/>
          <w:lang w:val="sr-Latn-ME"/>
        </w:rPr>
      </w:pPr>
      <w:r>
        <w:rPr>
          <w:rFonts w:ascii="Arial" w:hAnsi="Arial" w:cs="Arial"/>
          <w:lang w:val="sr-Latn-ME"/>
        </w:rPr>
        <w:t>U cilju</w:t>
      </w:r>
      <w:r w:rsidR="000F471C" w:rsidRPr="001302F9">
        <w:rPr>
          <w:rFonts w:ascii="Arial" w:hAnsi="Arial" w:cs="Arial"/>
          <w:lang w:val="sr-Latn-ME"/>
        </w:rPr>
        <w:t xml:space="preserve"> uskla</w:t>
      </w:r>
      <w:r>
        <w:rPr>
          <w:rFonts w:ascii="Arial" w:hAnsi="Arial" w:cs="Arial"/>
          <w:lang w:val="sr-Latn-ME"/>
        </w:rPr>
        <w:t>đivanja sa</w:t>
      </w:r>
      <w:r w:rsidR="000F471C" w:rsidRPr="001302F9">
        <w:rPr>
          <w:rFonts w:ascii="Arial" w:hAnsi="Arial" w:cs="Arial"/>
          <w:lang w:val="sr-Latn-ME"/>
        </w:rPr>
        <w:t xml:space="preserve"> </w:t>
      </w:r>
      <w:r>
        <w:rPr>
          <w:rFonts w:ascii="Arial" w:hAnsi="Arial" w:cs="Arial"/>
          <w:lang w:val="sr-Latn-ME"/>
        </w:rPr>
        <w:t>navedenim</w:t>
      </w:r>
      <w:r w:rsidR="000F471C" w:rsidRPr="001302F9">
        <w:rPr>
          <w:rFonts w:ascii="Arial" w:hAnsi="Arial" w:cs="Arial"/>
          <w:lang w:val="sr-Latn-ME"/>
        </w:rPr>
        <w:t xml:space="preserve"> smjernica</w:t>
      </w:r>
      <w:r>
        <w:rPr>
          <w:rFonts w:ascii="Arial" w:hAnsi="Arial" w:cs="Arial"/>
          <w:lang w:val="sr-Latn-ME"/>
        </w:rPr>
        <w:t>ma</w:t>
      </w:r>
      <w:r w:rsidR="000F471C" w:rsidRPr="001302F9">
        <w:rPr>
          <w:rFonts w:ascii="Arial" w:hAnsi="Arial" w:cs="Arial"/>
          <w:lang w:val="sr-Latn-ME"/>
        </w:rPr>
        <w:t xml:space="preserve">, izvršena je analiza trenutnog stanja u okviru </w:t>
      </w:r>
      <w:r>
        <w:rPr>
          <w:rFonts w:ascii="Arial" w:hAnsi="Arial" w:cs="Arial"/>
          <w:lang w:val="sr-Latn-ME"/>
        </w:rPr>
        <w:t>svake faze</w:t>
      </w:r>
      <w:r w:rsidR="000F471C" w:rsidRPr="001302F9">
        <w:rPr>
          <w:rFonts w:ascii="Arial" w:hAnsi="Arial" w:cs="Arial"/>
          <w:lang w:val="sr-Latn-ME"/>
        </w:rPr>
        <w:t xml:space="preserve"> ciklusa borbe protiv</w:t>
      </w:r>
      <w:r w:rsidR="005656D0">
        <w:rPr>
          <w:rFonts w:ascii="Arial" w:hAnsi="Arial" w:cs="Arial"/>
          <w:lang w:val="sr-Latn-ME"/>
        </w:rPr>
        <w:t xml:space="preserve"> nepravilnosti i</w:t>
      </w:r>
      <w:r w:rsidR="000F471C" w:rsidRPr="001302F9">
        <w:rPr>
          <w:rFonts w:ascii="Arial" w:hAnsi="Arial" w:cs="Arial"/>
          <w:lang w:val="sr-Latn-ME"/>
        </w:rPr>
        <w:t xml:space="preserve"> prevara.</w:t>
      </w:r>
    </w:p>
    <w:p w:rsidR="000F471C" w:rsidRPr="00622BC6" w:rsidRDefault="000F471C" w:rsidP="000F471C">
      <w:pPr>
        <w:jc w:val="both"/>
        <w:rPr>
          <w:rFonts w:ascii="Arial" w:hAnsi="Arial" w:cs="Arial"/>
          <w:b/>
          <w:lang w:val="sr-Latn-ME"/>
        </w:rPr>
      </w:pPr>
      <w:r w:rsidRPr="00622BC6">
        <w:rPr>
          <w:rFonts w:ascii="Arial" w:hAnsi="Arial" w:cs="Arial"/>
          <w:b/>
          <w:lang w:val="sr-Latn-ME"/>
        </w:rPr>
        <w:t>2.6.1. Spr</w:t>
      </w:r>
      <w:r w:rsidR="00EF67BE">
        <w:rPr>
          <w:rFonts w:ascii="Arial" w:hAnsi="Arial" w:cs="Arial"/>
          <w:b/>
          <w:lang w:val="sr-Latn-ME"/>
        </w:rPr>
        <w:t>ij</w:t>
      </w:r>
      <w:r w:rsidRPr="00622BC6">
        <w:rPr>
          <w:rFonts w:ascii="Arial" w:hAnsi="Arial" w:cs="Arial"/>
          <w:b/>
          <w:lang w:val="sr-Latn-ME"/>
        </w:rPr>
        <w:t xml:space="preserve">ečavanje </w:t>
      </w:r>
      <w:r w:rsidR="005656D0">
        <w:rPr>
          <w:rFonts w:ascii="Arial" w:hAnsi="Arial" w:cs="Arial"/>
          <w:b/>
          <w:lang w:val="sr-Latn-ME"/>
        </w:rPr>
        <w:t xml:space="preserve">nepravilnosti i </w:t>
      </w:r>
      <w:r w:rsidRPr="00622BC6">
        <w:rPr>
          <w:rFonts w:ascii="Arial" w:hAnsi="Arial" w:cs="Arial"/>
          <w:b/>
          <w:lang w:val="sr-Latn-ME"/>
        </w:rPr>
        <w:t>prevara</w:t>
      </w:r>
    </w:p>
    <w:p w:rsidR="000F471C" w:rsidRPr="001302F9" w:rsidRDefault="000F471C" w:rsidP="000F471C">
      <w:pPr>
        <w:jc w:val="both"/>
        <w:rPr>
          <w:rFonts w:ascii="Arial" w:hAnsi="Arial" w:cs="Arial"/>
          <w:lang w:val="sr-Latn-ME"/>
        </w:rPr>
      </w:pPr>
      <w:r w:rsidRPr="001302F9">
        <w:rPr>
          <w:rFonts w:ascii="Arial" w:hAnsi="Arial" w:cs="Arial"/>
          <w:lang w:val="sr-Latn-ME"/>
        </w:rPr>
        <w:t>Spr</w:t>
      </w:r>
      <w:r w:rsidR="00EF67BE">
        <w:rPr>
          <w:rFonts w:ascii="Arial" w:hAnsi="Arial" w:cs="Arial"/>
          <w:lang w:val="sr-Latn-ME"/>
        </w:rPr>
        <w:t>ij</w:t>
      </w:r>
      <w:r w:rsidRPr="001302F9">
        <w:rPr>
          <w:rFonts w:ascii="Arial" w:hAnsi="Arial" w:cs="Arial"/>
          <w:lang w:val="sr-Latn-ME"/>
        </w:rPr>
        <w:t xml:space="preserve">ečavanje </w:t>
      </w:r>
      <w:r w:rsidR="00772979" w:rsidRPr="001302F9">
        <w:rPr>
          <w:rFonts w:ascii="Arial" w:hAnsi="Arial" w:cs="Arial"/>
          <w:lang w:val="sr-Latn-ME"/>
        </w:rPr>
        <w:t xml:space="preserve">prevara i </w:t>
      </w:r>
      <w:r w:rsidRPr="001302F9">
        <w:rPr>
          <w:rFonts w:ascii="Arial" w:hAnsi="Arial" w:cs="Arial"/>
          <w:lang w:val="sr-Latn-ME"/>
        </w:rPr>
        <w:t>nepravilnosti uključuje, između ostalog i:</w:t>
      </w:r>
    </w:p>
    <w:p w:rsidR="000F471C" w:rsidRPr="001302F9" w:rsidRDefault="000F471C" w:rsidP="000F471C">
      <w:pPr>
        <w:jc w:val="both"/>
        <w:rPr>
          <w:rFonts w:ascii="Arial" w:hAnsi="Arial" w:cs="Arial"/>
          <w:lang w:val="sr-Latn-ME"/>
        </w:rPr>
      </w:pPr>
      <w:r w:rsidRPr="001302F9">
        <w:rPr>
          <w:rFonts w:ascii="Arial" w:hAnsi="Arial" w:cs="Arial"/>
          <w:lang w:val="sr-Latn-ME"/>
        </w:rPr>
        <w:t xml:space="preserve">- jačanje administrativnih kapaciteta </w:t>
      </w:r>
      <w:r w:rsidR="00772979">
        <w:rPr>
          <w:rFonts w:ascii="Arial" w:hAnsi="Arial" w:cs="Arial"/>
          <w:lang w:val="sr-Latn-ME"/>
        </w:rPr>
        <w:t>institucija</w:t>
      </w:r>
      <w:r w:rsidRPr="001302F9">
        <w:rPr>
          <w:rFonts w:ascii="Arial" w:hAnsi="Arial" w:cs="Arial"/>
          <w:lang w:val="sr-Latn-ME"/>
        </w:rPr>
        <w:t xml:space="preserve"> koji učestvuju u zaštiti finansijskih interesa EU;</w:t>
      </w:r>
    </w:p>
    <w:p w:rsidR="000F471C" w:rsidRPr="001302F9" w:rsidRDefault="000F471C" w:rsidP="000F471C">
      <w:pPr>
        <w:jc w:val="both"/>
        <w:rPr>
          <w:rFonts w:ascii="Arial" w:hAnsi="Arial" w:cs="Arial"/>
          <w:lang w:val="sr-Latn-ME"/>
        </w:rPr>
      </w:pPr>
      <w:r w:rsidRPr="001302F9">
        <w:rPr>
          <w:rFonts w:ascii="Arial" w:hAnsi="Arial" w:cs="Arial"/>
          <w:lang w:val="sr-Latn-ME"/>
        </w:rPr>
        <w:t>- održavanje efikasnog upravljanja rizicima u oblasti nepravilnosti i prevara;</w:t>
      </w:r>
    </w:p>
    <w:p w:rsidR="000F471C" w:rsidRPr="001302F9" w:rsidRDefault="000F471C" w:rsidP="000F471C">
      <w:pPr>
        <w:jc w:val="both"/>
        <w:rPr>
          <w:rFonts w:ascii="Arial" w:hAnsi="Arial" w:cs="Arial"/>
          <w:lang w:val="sr-Latn-ME"/>
        </w:rPr>
      </w:pPr>
      <w:r w:rsidRPr="001302F9">
        <w:rPr>
          <w:rFonts w:ascii="Arial" w:hAnsi="Arial" w:cs="Arial"/>
          <w:lang w:val="sr-Latn-ME"/>
        </w:rPr>
        <w:t>- rad na efikasnoj komunikaciji i podizanju sv</w:t>
      </w:r>
      <w:r w:rsidR="00772979">
        <w:rPr>
          <w:rFonts w:ascii="Arial" w:hAnsi="Arial" w:cs="Arial"/>
          <w:lang w:val="sr-Latn-ME"/>
        </w:rPr>
        <w:t>ij</w:t>
      </w:r>
      <w:r w:rsidRPr="001302F9">
        <w:rPr>
          <w:rFonts w:ascii="Arial" w:hAnsi="Arial" w:cs="Arial"/>
          <w:lang w:val="sr-Latn-ME"/>
        </w:rPr>
        <w:t>esti javnosti;</w:t>
      </w:r>
    </w:p>
    <w:p w:rsidR="000F471C" w:rsidRPr="001302F9" w:rsidRDefault="000F471C" w:rsidP="000F471C">
      <w:pPr>
        <w:jc w:val="both"/>
        <w:rPr>
          <w:rFonts w:ascii="Arial" w:hAnsi="Arial" w:cs="Arial"/>
          <w:lang w:val="sr-Latn-ME"/>
        </w:rPr>
      </w:pPr>
      <w:r w:rsidRPr="001302F9">
        <w:rPr>
          <w:rFonts w:ascii="Arial" w:hAnsi="Arial" w:cs="Arial"/>
          <w:lang w:val="sr-Latn-ME"/>
        </w:rPr>
        <w:t>- promovisanje etike i integriteta u javnoj upravi;</w:t>
      </w:r>
    </w:p>
    <w:p w:rsidR="000F471C" w:rsidRPr="001302F9" w:rsidRDefault="000F471C" w:rsidP="000F471C">
      <w:pPr>
        <w:jc w:val="both"/>
        <w:rPr>
          <w:rFonts w:ascii="Arial" w:hAnsi="Arial" w:cs="Arial"/>
          <w:lang w:val="sr-Latn-ME"/>
        </w:rPr>
      </w:pPr>
      <w:r w:rsidRPr="001302F9">
        <w:rPr>
          <w:rFonts w:ascii="Arial" w:hAnsi="Arial" w:cs="Arial"/>
          <w:lang w:val="sr-Latn-ME"/>
        </w:rPr>
        <w:t>- zaštit</w:t>
      </w:r>
      <w:r w:rsidR="00772979">
        <w:rPr>
          <w:rFonts w:ascii="Arial" w:hAnsi="Arial" w:cs="Arial"/>
          <w:lang w:val="sr-Latn-ME"/>
        </w:rPr>
        <w:t>u</w:t>
      </w:r>
      <w:r w:rsidRPr="001302F9">
        <w:rPr>
          <w:rFonts w:ascii="Arial" w:hAnsi="Arial" w:cs="Arial"/>
          <w:lang w:val="sr-Latn-ME"/>
        </w:rPr>
        <w:t xml:space="preserve"> zviždača.</w:t>
      </w:r>
    </w:p>
    <w:p w:rsidR="000F471C" w:rsidRPr="00622BC6" w:rsidRDefault="000F471C" w:rsidP="000F471C">
      <w:pPr>
        <w:jc w:val="both"/>
        <w:rPr>
          <w:rFonts w:ascii="Arial" w:hAnsi="Arial" w:cs="Arial"/>
          <w:b/>
          <w:lang w:val="sr-Latn-ME"/>
        </w:rPr>
      </w:pPr>
      <w:r w:rsidRPr="00772979">
        <w:rPr>
          <w:rFonts w:ascii="Arial" w:hAnsi="Arial" w:cs="Arial"/>
          <w:lang w:val="sr-Latn-ME"/>
        </w:rPr>
        <w:t>•</w:t>
      </w:r>
      <w:r w:rsidRPr="001302F9">
        <w:rPr>
          <w:rFonts w:ascii="Arial" w:hAnsi="Arial" w:cs="Arial"/>
          <w:b/>
          <w:lang w:val="sr-Latn-ME"/>
        </w:rPr>
        <w:t xml:space="preserve"> </w:t>
      </w:r>
      <w:r w:rsidRPr="00772979">
        <w:rPr>
          <w:rFonts w:ascii="Arial" w:hAnsi="Arial" w:cs="Arial"/>
          <w:i/>
          <w:lang w:val="sr-Latn-ME"/>
        </w:rPr>
        <w:t xml:space="preserve">Jačanje administrativnih kapaciteta </w:t>
      </w:r>
      <w:r w:rsidR="00772979">
        <w:rPr>
          <w:rFonts w:ascii="Arial" w:hAnsi="Arial" w:cs="Arial"/>
          <w:i/>
          <w:lang w:val="sr-Latn-ME"/>
        </w:rPr>
        <w:t>institucija</w:t>
      </w:r>
      <w:r w:rsidRPr="00772979">
        <w:rPr>
          <w:rFonts w:ascii="Arial" w:hAnsi="Arial" w:cs="Arial"/>
          <w:i/>
          <w:lang w:val="sr-Latn-ME"/>
        </w:rPr>
        <w:t xml:space="preserve"> koji učestvuju u zaštiti finansijskih interesa EU</w:t>
      </w:r>
    </w:p>
    <w:p w:rsidR="000F471C" w:rsidRPr="001302F9" w:rsidRDefault="000F471C" w:rsidP="000F471C">
      <w:pPr>
        <w:jc w:val="both"/>
        <w:rPr>
          <w:rFonts w:ascii="Arial" w:hAnsi="Arial" w:cs="Arial"/>
          <w:lang w:val="sr-Latn-ME"/>
        </w:rPr>
      </w:pPr>
      <w:r w:rsidRPr="001302F9">
        <w:rPr>
          <w:rFonts w:ascii="Arial" w:hAnsi="Arial" w:cs="Arial"/>
          <w:lang w:val="sr-Latn-ME"/>
        </w:rPr>
        <w:t>Jačanje administrativnih kapaciteta odnosi se na sistematsko planiranje aktivnosti obuke, čiji je cilj unaprijeđenje znanja i vještina potrebnih za efikasno i efektivno obavljanje dodijeljenih funkcija  i zadataka (npr. poznavanje zakonskog okvira i procedura u vezi sa upravljanjem i implementacijom IPA II i IPA III, prepoznavanje indikatora za detekciju nepravilnosti i prevara</w:t>
      </w:r>
      <w:r w:rsidR="00772979">
        <w:rPr>
          <w:rFonts w:ascii="Arial" w:hAnsi="Arial" w:cs="Arial"/>
          <w:lang w:val="sr-Latn-ME"/>
        </w:rPr>
        <w:t xml:space="preserve"> itd.</w:t>
      </w:r>
      <w:r w:rsidRPr="001302F9">
        <w:rPr>
          <w:rFonts w:ascii="Arial" w:hAnsi="Arial" w:cs="Arial"/>
          <w:lang w:val="sr-Latn-ME"/>
        </w:rPr>
        <w:t xml:space="preserve">) tako da predstavlja važan faktor u borbi protiv nepravilnosti i prevara. Sistematski pristup jačanju administrativnih kapaciteta </w:t>
      </w:r>
      <w:r w:rsidR="00772979">
        <w:rPr>
          <w:rFonts w:ascii="Arial" w:hAnsi="Arial" w:cs="Arial"/>
          <w:lang w:val="sr-Latn-ME"/>
        </w:rPr>
        <w:t>institucija</w:t>
      </w:r>
      <w:r w:rsidRPr="001302F9">
        <w:rPr>
          <w:rFonts w:ascii="Arial" w:hAnsi="Arial" w:cs="Arial"/>
          <w:lang w:val="sr-Latn-ME"/>
        </w:rPr>
        <w:t xml:space="preserve"> koji učestvuju u zaštiti finansijskih interesa EU uključuje: </w:t>
      </w:r>
    </w:p>
    <w:p w:rsidR="000F471C" w:rsidRPr="001302F9" w:rsidRDefault="000F471C" w:rsidP="000F471C">
      <w:pPr>
        <w:jc w:val="both"/>
        <w:rPr>
          <w:rFonts w:ascii="Arial" w:hAnsi="Arial" w:cs="Arial"/>
          <w:lang w:val="sr-Latn-ME"/>
        </w:rPr>
      </w:pPr>
      <w:r w:rsidRPr="001302F9">
        <w:rPr>
          <w:rFonts w:ascii="Arial" w:hAnsi="Arial" w:cs="Arial"/>
          <w:lang w:val="sr-Latn-ME"/>
        </w:rPr>
        <w:t xml:space="preserve">- sprovođenje analize potreba za obukom na nivou </w:t>
      </w:r>
      <w:r w:rsidR="00772979">
        <w:rPr>
          <w:rFonts w:ascii="Arial" w:hAnsi="Arial" w:cs="Arial"/>
          <w:lang w:val="sr-Latn-ME"/>
        </w:rPr>
        <w:t>institucija</w:t>
      </w:r>
      <w:r w:rsidRPr="001302F9">
        <w:rPr>
          <w:rFonts w:ascii="Arial" w:hAnsi="Arial" w:cs="Arial"/>
          <w:lang w:val="sr-Latn-ME"/>
        </w:rPr>
        <w:t xml:space="preserve"> koji učestvuju u zaštiti finansijskih interesa EU u cilju procjene postojećih kapaciteta službenika, kao i identifikovanja nedostataka koje je potrebno </w:t>
      </w:r>
      <w:r w:rsidR="00772979">
        <w:rPr>
          <w:rFonts w:ascii="Arial" w:hAnsi="Arial" w:cs="Arial"/>
          <w:lang w:val="sr-Latn-ME"/>
        </w:rPr>
        <w:t>otkloniti</w:t>
      </w:r>
      <w:r w:rsidRPr="001302F9">
        <w:rPr>
          <w:rFonts w:ascii="Arial" w:hAnsi="Arial" w:cs="Arial"/>
          <w:lang w:val="sr-Latn-ME"/>
        </w:rPr>
        <w:t xml:space="preserve">; </w:t>
      </w:r>
    </w:p>
    <w:p w:rsidR="000F471C" w:rsidRPr="001302F9" w:rsidRDefault="000F471C" w:rsidP="000F471C">
      <w:pPr>
        <w:jc w:val="both"/>
        <w:rPr>
          <w:rFonts w:ascii="Arial" w:hAnsi="Arial" w:cs="Arial"/>
          <w:lang w:val="sr-Latn-ME"/>
        </w:rPr>
      </w:pPr>
      <w:r w:rsidRPr="001302F9">
        <w:rPr>
          <w:rFonts w:ascii="Arial" w:hAnsi="Arial" w:cs="Arial"/>
          <w:lang w:val="sr-Latn-ME"/>
        </w:rPr>
        <w:t xml:space="preserve">- usklađivanje programa obuke u skladu sa rezultatima sprovedene analize potreba za obukom, u cilju otklanjanja utvrđenih slabosti; </w:t>
      </w:r>
    </w:p>
    <w:p w:rsidR="000F471C" w:rsidRPr="001302F9" w:rsidRDefault="000F471C" w:rsidP="000F471C">
      <w:pPr>
        <w:jc w:val="both"/>
        <w:rPr>
          <w:rFonts w:ascii="Arial" w:hAnsi="Arial" w:cs="Arial"/>
          <w:lang w:val="sr-Latn-ME"/>
        </w:rPr>
      </w:pPr>
      <w:r w:rsidRPr="001302F9">
        <w:rPr>
          <w:rFonts w:ascii="Arial" w:hAnsi="Arial" w:cs="Arial"/>
          <w:lang w:val="sr-Latn-ME"/>
        </w:rPr>
        <w:t xml:space="preserve">- praćenje i evaluacija uspostavljenih programa obuke. </w:t>
      </w:r>
    </w:p>
    <w:p w:rsidR="000F471C" w:rsidRPr="001302F9" w:rsidRDefault="000F471C" w:rsidP="000F471C">
      <w:pPr>
        <w:jc w:val="both"/>
        <w:rPr>
          <w:rFonts w:ascii="Arial" w:hAnsi="Arial" w:cs="Arial"/>
          <w:lang w:val="sr-Latn-ME"/>
        </w:rPr>
      </w:pPr>
      <w:r w:rsidRPr="001302F9">
        <w:rPr>
          <w:rFonts w:ascii="Arial" w:hAnsi="Arial" w:cs="Arial"/>
          <w:lang w:val="sr-Latn-ME"/>
        </w:rPr>
        <w:t>Sprovođenje aktivnosti obuke već je započelo tokom implementacije Strategije 2019-2022 pripremom analize potreba za obukom. Na osnovu rezultata analize, preporučen je indikativni plan obuk</w:t>
      </w:r>
      <w:r w:rsidR="00F273E0">
        <w:rPr>
          <w:rFonts w:ascii="Arial" w:hAnsi="Arial" w:cs="Arial"/>
          <w:lang w:val="sr-Latn-ME"/>
        </w:rPr>
        <w:t>a</w:t>
      </w:r>
      <w:r w:rsidRPr="001302F9">
        <w:rPr>
          <w:rFonts w:ascii="Arial" w:hAnsi="Arial" w:cs="Arial"/>
          <w:lang w:val="sr-Latn-ME"/>
        </w:rPr>
        <w:t xml:space="preserve"> i katalog obuk</w:t>
      </w:r>
      <w:r w:rsidR="00C2413F">
        <w:rPr>
          <w:rFonts w:ascii="Arial" w:hAnsi="Arial" w:cs="Arial"/>
          <w:lang w:val="sr-Latn-ME"/>
        </w:rPr>
        <w:t>a</w:t>
      </w:r>
      <w:r w:rsidRPr="001302F9">
        <w:rPr>
          <w:rFonts w:ascii="Arial" w:hAnsi="Arial" w:cs="Arial"/>
          <w:lang w:val="sr-Latn-ME"/>
        </w:rPr>
        <w:t xml:space="preserve"> za period 2019. – 2021. Pandemija COVID 19 je uticala na </w:t>
      </w:r>
      <w:r w:rsidR="00F273E0">
        <w:rPr>
          <w:rFonts w:ascii="Arial" w:hAnsi="Arial" w:cs="Arial"/>
          <w:lang w:val="sr-Latn-ME"/>
        </w:rPr>
        <w:t>mogućnos</w:t>
      </w:r>
      <w:r w:rsidRPr="001302F9">
        <w:rPr>
          <w:rFonts w:ascii="Arial" w:hAnsi="Arial" w:cs="Arial"/>
          <w:lang w:val="sr-Latn-ME"/>
        </w:rPr>
        <w:t>t organizovanja i održavanja obuk</w:t>
      </w:r>
      <w:r w:rsidR="00F273E0">
        <w:rPr>
          <w:rFonts w:ascii="Arial" w:hAnsi="Arial" w:cs="Arial"/>
          <w:lang w:val="sr-Latn-ME"/>
        </w:rPr>
        <w:t>a</w:t>
      </w:r>
      <w:r w:rsidRPr="001302F9">
        <w:rPr>
          <w:rFonts w:ascii="Arial" w:hAnsi="Arial" w:cs="Arial"/>
          <w:lang w:val="sr-Latn-ME"/>
        </w:rPr>
        <w:t xml:space="preserve">. </w:t>
      </w:r>
      <w:r w:rsidR="00F273E0">
        <w:rPr>
          <w:rFonts w:ascii="Arial" w:hAnsi="Arial" w:cs="Arial"/>
          <w:lang w:val="sr-Latn-ME"/>
        </w:rPr>
        <w:t>A</w:t>
      </w:r>
      <w:r w:rsidRPr="001302F9">
        <w:rPr>
          <w:rFonts w:ascii="Arial" w:hAnsi="Arial" w:cs="Arial"/>
          <w:lang w:val="sr-Latn-ME"/>
        </w:rPr>
        <w:t>naliz</w:t>
      </w:r>
      <w:r w:rsidR="00F273E0">
        <w:rPr>
          <w:rFonts w:ascii="Arial" w:hAnsi="Arial" w:cs="Arial"/>
          <w:lang w:val="sr-Latn-ME"/>
        </w:rPr>
        <w:t>a</w:t>
      </w:r>
      <w:r w:rsidRPr="001302F9">
        <w:rPr>
          <w:rFonts w:ascii="Arial" w:hAnsi="Arial" w:cs="Arial"/>
          <w:lang w:val="sr-Latn-ME"/>
        </w:rPr>
        <w:t xml:space="preserve"> rizika od prevare koju je izradila Direkcija za zaštitu finansijskih interesa EU/AFCOS u 2024. godini otkrila je da je neophodno uraditi novu analizu </w:t>
      </w:r>
      <w:r w:rsidR="00F273E0">
        <w:rPr>
          <w:rFonts w:ascii="Arial" w:hAnsi="Arial" w:cs="Arial"/>
          <w:lang w:val="sr-Latn-ME"/>
        </w:rPr>
        <w:t xml:space="preserve">potreba za </w:t>
      </w:r>
      <w:r w:rsidRPr="001302F9">
        <w:rPr>
          <w:rFonts w:ascii="Arial" w:hAnsi="Arial" w:cs="Arial"/>
          <w:lang w:val="sr-Latn-ME"/>
        </w:rPr>
        <w:t>obuk</w:t>
      </w:r>
      <w:r w:rsidR="00F273E0">
        <w:rPr>
          <w:rFonts w:ascii="Arial" w:hAnsi="Arial" w:cs="Arial"/>
          <w:lang w:val="sr-Latn-ME"/>
        </w:rPr>
        <w:t>om</w:t>
      </w:r>
      <w:r w:rsidRPr="001302F9">
        <w:rPr>
          <w:rFonts w:ascii="Arial" w:hAnsi="Arial" w:cs="Arial"/>
          <w:lang w:val="sr-Latn-ME"/>
        </w:rPr>
        <w:t xml:space="preserve"> za službenike </w:t>
      </w:r>
      <w:r w:rsidR="00F273E0">
        <w:rPr>
          <w:rFonts w:ascii="Arial" w:hAnsi="Arial" w:cs="Arial"/>
          <w:lang w:val="sr-Latn-ME"/>
        </w:rPr>
        <w:t>AFCOS sistema</w:t>
      </w:r>
      <w:r w:rsidRPr="001302F9">
        <w:rPr>
          <w:rFonts w:ascii="Arial" w:hAnsi="Arial" w:cs="Arial"/>
          <w:lang w:val="sr-Latn-ME"/>
        </w:rPr>
        <w:t>, kao i kreirati novi katalog obuk</w:t>
      </w:r>
      <w:r w:rsidR="00F273E0">
        <w:rPr>
          <w:rFonts w:ascii="Arial" w:hAnsi="Arial" w:cs="Arial"/>
          <w:lang w:val="sr-Latn-ME"/>
        </w:rPr>
        <w:t>a</w:t>
      </w:r>
      <w:r w:rsidRPr="001302F9">
        <w:rPr>
          <w:rFonts w:ascii="Arial" w:hAnsi="Arial" w:cs="Arial"/>
          <w:lang w:val="sr-Latn-ME"/>
        </w:rPr>
        <w:t xml:space="preserve"> i plan obuk</w:t>
      </w:r>
      <w:r w:rsidR="00F273E0">
        <w:rPr>
          <w:rFonts w:ascii="Arial" w:hAnsi="Arial" w:cs="Arial"/>
          <w:lang w:val="sr-Latn-ME"/>
        </w:rPr>
        <w:t>a</w:t>
      </w:r>
      <w:r w:rsidRPr="001302F9">
        <w:rPr>
          <w:rFonts w:ascii="Arial" w:hAnsi="Arial" w:cs="Arial"/>
          <w:lang w:val="sr-Latn-ME"/>
        </w:rPr>
        <w:t xml:space="preserve">. </w:t>
      </w:r>
      <w:r w:rsidR="00F273E0">
        <w:rPr>
          <w:rFonts w:ascii="Arial" w:hAnsi="Arial" w:cs="Arial"/>
          <w:lang w:val="sr-Latn-ME"/>
        </w:rPr>
        <w:t xml:space="preserve">Shodno navedenom, u saradnji sa </w:t>
      </w:r>
      <w:r w:rsidRPr="001302F9">
        <w:rPr>
          <w:rFonts w:ascii="Arial" w:hAnsi="Arial" w:cs="Arial"/>
          <w:lang w:val="sr-Latn-ME"/>
        </w:rPr>
        <w:t>Uprav</w:t>
      </w:r>
      <w:r w:rsidR="00F273E0">
        <w:rPr>
          <w:rFonts w:ascii="Arial" w:hAnsi="Arial" w:cs="Arial"/>
          <w:lang w:val="sr-Latn-ME"/>
        </w:rPr>
        <w:t>om</w:t>
      </w:r>
      <w:r w:rsidRPr="001302F9">
        <w:rPr>
          <w:rFonts w:ascii="Arial" w:hAnsi="Arial" w:cs="Arial"/>
          <w:lang w:val="sr-Latn-ME"/>
        </w:rPr>
        <w:t xml:space="preserve"> za </w:t>
      </w:r>
      <w:r w:rsidR="00CD515D">
        <w:rPr>
          <w:rFonts w:ascii="Arial" w:hAnsi="Arial" w:cs="Arial"/>
          <w:lang w:val="sr-Latn-ME"/>
        </w:rPr>
        <w:t>upravljanje</w:t>
      </w:r>
      <w:r w:rsidRPr="001302F9">
        <w:rPr>
          <w:rFonts w:ascii="Arial" w:hAnsi="Arial" w:cs="Arial"/>
          <w:lang w:val="sr-Latn-ME"/>
        </w:rPr>
        <w:t xml:space="preserve"> ljudsk</w:t>
      </w:r>
      <w:r w:rsidR="00CD515D">
        <w:rPr>
          <w:rFonts w:ascii="Arial" w:hAnsi="Arial" w:cs="Arial"/>
          <w:lang w:val="sr-Latn-ME"/>
        </w:rPr>
        <w:t>im</w:t>
      </w:r>
      <w:r w:rsidRPr="001302F9">
        <w:rPr>
          <w:rFonts w:ascii="Arial" w:hAnsi="Arial" w:cs="Arial"/>
          <w:lang w:val="sr-Latn-ME"/>
        </w:rPr>
        <w:t xml:space="preserve"> resurs</w:t>
      </w:r>
      <w:r w:rsidR="00CD515D">
        <w:rPr>
          <w:rFonts w:ascii="Arial" w:hAnsi="Arial" w:cs="Arial"/>
          <w:lang w:val="sr-Latn-ME"/>
        </w:rPr>
        <w:t>ima</w:t>
      </w:r>
      <w:r w:rsidR="00F273E0">
        <w:rPr>
          <w:rFonts w:ascii="Arial" w:hAnsi="Arial" w:cs="Arial"/>
          <w:lang w:val="sr-Latn-ME"/>
        </w:rPr>
        <w:t>,</w:t>
      </w:r>
      <w:r w:rsidRPr="001302F9">
        <w:rPr>
          <w:rFonts w:ascii="Arial" w:hAnsi="Arial" w:cs="Arial"/>
          <w:lang w:val="sr-Latn-ME"/>
        </w:rPr>
        <w:t xml:space="preserve"> definisa</w:t>
      </w:r>
      <w:r w:rsidR="00F273E0">
        <w:rPr>
          <w:rFonts w:ascii="Arial" w:hAnsi="Arial" w:cs="Arial"/>
          <w:lang w:val="sr-Latn-ME"/>
        </w:rPr>
        <w:t>n je</w:t>
      </w:r>
      <w:r w:rsidRPr="001302F9">
        <w:rPr>
          <w:rFonts w:ascii="Arial" w:hAnsi="Arial" w:cs="Arial"/>
          <w:lang w:val="sr-Latn-ME"/>
        </w:rPr>
        <w:t xml:space="preserve"> IPA modul u koj</w:t>
      </w:r>
      <w:r w:rsidR="00F273E0">
        <w:rPr>
          <w:rFonts w:ascii="Arial" w:hAnsi="Arial" w:cs="Arial"/>
          <w:lang w:val="sr-Latn-ME"/>
        </w:rPr>
        <w:t>em</w:t>
      </w:r>
      <w:r w:rsidRPr="001302F9">
        <w:rPr>
          <w:rFonts w:ascii="Arial" w:hAnsi="Arial" w:cs="Arial"/>
          <w:lang w:val="sr-Latn-ME"/>
        </w:rPr>
        <w:t xml:space="preserve"> su uključene obuke vezane za nepravilnosti i prevare koje mogu nastati tokom implementacije IPA programa, </w:t>
      </w:r>
      <w:r w:rsidR="00F273E0">
        <w:rPr>
          <w:rFonts w:ascii="Arial" w:hAnsi="Arial" w:cs="Arial"/>
          <w:lang w:val="sr-Latn-ME"/>
        </w:rPr>
        <w:t xml:space="preserve">kao i obuke vezane za </w:t>
      </w:r>
      <w:r w:rsidRPr="001302F9">
        <w:rPr>
          <w:rFonts w:ascii="Arial" w:hAnsi="Arial" w:cs="Arial"/>
          <w:lang w:val="sr-Latn-ME"/>
        </w:rPr>
        <w:t>upotreb</w:t>
      </w:r>
      <w:r w:rsidR="00F273E0">
        <w:rPr>
          <w:rFonts w:ascii="Arial" w:hAnsi="Arial" w:cs="Arial"/>
          <w:lang w:val="sr-Latn-ME"/>
        </w:rPr>
        <w:t>u</w:t>
      </w:r>
      <w:r w:rsidRPr="001302F9">
        <w:rPr>
          <w:rFonts w:ascii="Arial" w:hAnsi="Arial" w:cs="Arial"/>
          <w:lang w:val="sr-Latn-ME"/>
        </w:rPr>
        <w:t xml:space="preserve"> IMS s</w:t>
      </w:r>
      <w:r w:rsidR="00F273E0">
        <w:rPr>
          <w:rFonts w:ascii="Arial" w:hAnsi="Arial" w:cs="Arial"/>
          <w:lang w:val="sr-Latn-ME"/>
        </w:rPr>
        <w:t>oftvera</w:t>
      </w:r>
      <w:r w:rsidRPr="001302F9">
        <w:rPr>
          <w:rFonts w:ascii="Arial" w:hAnsi="Arial" w:cs="Arial"/>
          <w:lang w:val="sr-Latn-ME"/>
        </w:rPr>
        <w:t>, upravljanje rizicima od prevare itd.</w:t>
      </w:r>
    </w:p>
    <w:p w:rsidR="000F471C" w:rsidRPr="00995629" w:rsidRDefault="000F471C" w:rsidP="009B6B3B">
      <w:pPr>
        <w:pStyle w:val="ListParagraph"/>
        <w:numPr>
          <w:ilvl w:val="0"/>
          <w:numId w:val="21"/>
        </w:numPr>
        <w:rPr>
          <w:rFonts w:cs="Arial"/>
          <w:i/>
          <w:sz w:val="22"/>
          <w:szCs w:val="22"/>
          <w:lang w:val="sr-Latn-ME"/>
        </w:rPr>
      </w:pPr>
      <w:r w:rsidRPr="00995629">
        <w:rPr>
          <w:rFonts w:cs="Arial"/>
          <w:i/>
          <w:sz w:val="22"/>
          <w:szCs w:val="22"/>
          <w:lang w:val="sr-Latn-ME"/>
        </w:rPr>
        <w:t>Upravljanje rizicima u oblasti nepravilnosti i prevara</w:t>
      </w:r>
    </w:p>
    <w:p w:rsidR="000F471C" w:rsidRPr="001302F9" w:rsidRDefault="000F471C" w:rsidP="000F471C">
      <w:pPr>
        <w:jc w:val="both"/>
        <w:rPr>
          <w:rFonts w:ascii="Arial" w:hAnsi="Arial" w:cs="Arial"/>
          <w:lang w:val="sr-Latn-ME"/>
        </w:rPr>
      </w:pPr>
      <w:r w:rsidRPr="001302F9">
        <w:rPr>
          <w:rFonts w:ascii="Arial" w:hAnsi="Arial" w:cs="Arial"/>
          <w:lang w:val="sr-Latn-ME"/>
        </w:rPr>
        <w:t>Upravljanje rizicima podrazumijeva razmatranje potencijalnih događaja koji bi mogli ugroziti ostvarenje ciljeva, njihovih uzroka i posl</w:t>
      </w:r>
      <w:r w:rsidR="00D30952">
        <w:rPr>
          <w:rFonts w:ascii="Arial" w:hAnsi="Arial" w:cs="Arial"/>
          <w:lang w:val="sr-Latn-ME"/>
        </w:rPr>
        <w:t>j</w:t>
      </w:r>
      <w:r w:rsidRPr="001302F9">
        <w:rPr>
          <w:rFonts w:ascii="Arial" w:hAnsi="Arial" w:cs="Arial"/>
          <w:lang w:val="sr-Latn-ME"/>
        </w:rPr>
        <w:t xml:space="preserve">edica, kao i </w:t>
      </w:r>
      <w:r w:rsidR="00D30952">
        <w:rPr>
          <w:rFonts w:ascii="Arial" w:hAnsi="Arial" w:cs="Arial"/>
          <w:lang w:val="sr-Latn-ME"/>
        </w:rPr>
        <w:t xml:space="preserve">identifikovanje </w:t>
      </w:r>
      <w:r w:rsidRPr="001302F9">
        <w:rPr>
          <w:rFonts w:ascii="Arial" w:hAnsi="Arial" w:cs="Arial"/>
          <w:lang w:val="sr-Latn-ME"/>
        </w:rPr>
        <w:t>mjer</w:t>
      </w:r>
      <w:r w:rsidR="00D30952">
        <w:rPr>
          <w:rFonts w:ascii="Arial" w:hAnsi="Arial" w:cs="Arial"/>
          <w:lang w:val="sr-Latn-ME"/>
        </w:rPr>
        <w:t>a</w:t>
      </w:r>
      <w:r w:rsidRPr="001302F9">
        <w:rPr>
          <w:rFonts w:ascii="Arial" w:hAnsi="Arial" w:cs="Arial"/>
          <w:lang w:val="sr-Latn-ME"/>
        </w:rPr>
        <w:t xml:space="preserve"> koje treba preduzeti kako bi se ovi događaji spriječili. Stoga, upravljanje rizicima pomaže da se uspostavi efikasan sistem upravljanja i kontrole, sa (transparentnim, sveobuhvatnim i jednostavnim za korišćenje) internim pravilima i procedurama za d</w:t>
      </w:r>
      <w:r w:rsidR="00D30952">
        <w:rPr>
          <w:rFonts w:ascii="Arial" w:hAnsi="Arial" w:cs="Arial"/>
          <w:lang w:val="sr-Latn-ME"/>
        </w:rPr>
        <w:t>j</w:t>
      </w:r>
      <w:r w:rsidRPr="001302F9">
        <w:rPr>
          <w:rFonts w:ascii="Arial" w:hAnsi="Arial" w:cs="Arial"/>
          <w:lang w:val="sr-Latn-ME"/>
        </w:rPr>
        <w:t>elovanje, kao i jasno propisanom institucionalnom i ličnom odgovornošću. Slabe kontrole mogu dovesti do čestih slučajeva nepravilnosti i prevare. U takvim situacijama sve institucije koje se bave zaštitom finansijskih interesa EU dužne su da preduzmu odgovarajuće mjere, u cilju spriječavanja nepravilnosti i prevara, odnosno zaštite finansijskih interesa EU. Tokom implementacije Strategije 2019-2022 razvijena je metodologija upravljanja rizicima u slučaju nepravilnosti i prevara kao alat za spriječavanje prevara</w:t>
      </w:r>
      <w:r w:rsidR="00D30952">
        <w:rPr>
          <w:rFonts w:ascii="Arial" w:hAnsi="Arial" w:cs="Arial"/>
          <w:lang w:val="sr-Latn-ME"/>
        </w:rPr>
        <w:t xml:space="preserve"> prema kojoj je, između ostalog, i izrađena</w:t>
      </w:r>
      <w:r w:rsidRPr="001302F9">
        <w:rPr>
          <w:rFonts w:ascii="Arial" w:hAnsi="Arial" w:cs="Arial"/>
          <w:lang w:val="sr-Latn-ME"/>
        </w:rPr>
        <w:t xml:space="preserve"> analiza rizika od prevare od strane Direkcije za zaštitu finansijskih interesa EU/AFCOS u 2024 godini.</w:t>
      </w:r>
      <w:r w:rsidRPr="001302F9">
        <w:rPr>
          <w:rStyle w:val="FootnoteReference"/>
          <w:rFonts w:ascii="Arial" w:hAnsi="Arial" w:cs="Arial"/>
          <w:lang w:val="sr-Latn-ME"/>
        </w:rPr>
        <w:footnoteReference w:id="4"/>
      </w:r>
    </w:p>
    <w:p w:rsidR="00BD166E" w:rsidRDefault="000F471C" w:rsidP="00BD166E">
      <w:pPr>
        <w:rPr>
          <w:rFonts w:ascii="Arial" w:hAnsi="Arial" w:cs="Arial"/>
          <w:lang w:val="sr-Latn-ME"/>
        </w:rPr>
      </w:pPr>
      <w:r w:rsidRPr="001302F9">
        <w:rPr>
          <w:rFonts w:ascii="Arial" w:hAnsi="Arial" w:cs="Arial"/>
          <w:lang w:val="sr-Latn-ME"/>
        </w:rPr>
        <w:t xml:space="preserve">• </w:t>
      </w:r>
      <w:r w:rsidRPr="00995629">
        <w:rPr>
          <w:rFonts w:ascii="Arial" w:hAnsi="Arial" w:cs="Arial"/>
          <w:i/>
          <w:lang w:val="sr-Latn-ME"/>
        </w:rPr>
        <w:t>Komunikacija i podizanje svijesti javnosti</w:t>
      </w:r>
    </w:p>
    <w:p w:rsidR="00AA1A52" w:rsidRPr="00AA1A52" w:rsidRDefault="000F471C" w:rsidP="00AA1A52">
      <w:pPr>
        <w:jc w:val="both"/>
        <w:rPr>
          <w:rFonts w:ascii="Arial" w:hAnsi="Arial" w:cs="Arial"/>
          <w:lang w:val="sr-Latn-ME"/>
        </w:rPr>
      </w:pPr>
      <w:r w:rsidRPr="001302F9">
        <w:rPr>
          <w:rFonts w:ascii="Arial" w:hAnsi="Arial" w:cs="Arial"/>
          <w:lang w:val="sr-Latn-ME"/>
        </w:rPr>
        <w:br/>
      </w:r>
      <w:r w:rsidR="00AA1A52" w:rsidRPr="00AA1A52">
        <w:rPr>
          <w:rFonts w:ascii="Arial" w:hAnsi="Arial" w:cs="Arial"/>
        </w:rPr>
        <w:t>Komunikacija</w:t>
      </w:r>
      <w:r w:rsidR="00AA1A52" w:rsidRPr="00AA1A52">
        <w:rPr>
          <w:rFonts w:ascii="Arial" w:hAnsi="Arial" w:cs="Arial"/>
          <w:lang w:val="sr-Latn-ME"/>
        </w:rPr>
        <w:t xml:space="preserve"> </w:t>
      </w:r>
      <w:r w:rsidR="00AA1A52" w:rsidRPr="00AA1A52">
        <w:rPr>
          <w:rFonts w:ascii="Arial" w:hAnsi="Arial" w:cs="Arial"/>
        </w:rPr>
        <w:t>i</w:t>
      </w:r>
      <w:r w:rsidR="00AA1A52" w:rsidRPr="00AA1A52">
        <w:rPr>
          <w:rFonts w:ascii="Arial" w:hAnsi="Arial" w:cs="Arial"/>
          <w:lang w:val="sr-Latn-ME"/>
        </w:rPr>
        <w:t xml:space="preserve"> </w:t>
      </w:r>
      <w:r w:rsidR="00AA1A52" w:rsidRPr="00AA1A52">
        <w:rPr>
          <w:rFonts w:ascii="Arial" w:hAnsi="Arial" w:cs="Arial"/>
        </w:rPr>
        <w:t>podizanje</w:t>
      </w:r>
      <w:r w:rsidR="00AA1A52" w:rsidRPr="00AA1A52">
        <w:rPr>
          <w:rFonts w:ascii="Arial" w:hAnsi="Arial" w:cs="Arial"/>
          <w:lang w:val="sr-Latn-ME"/>
        </w:rPr>
        <w:t xml:space="preserve"> </w:t>
      </w:r>
      <w:r w:rsidR="00AA1A52" w:rsidRPr="00AA1A52">
        <w:rPr>
          <w:rFonts w:ascii="Arial" w:hAnsi="Arial" w:cs="Arial"/>
        </w:rPr>
        <w:t>svijesti</w:t>
      </w:r>
      <w:r w:rsidR="00AA1A52" w:rsidRPr="00AA1A52">
        <w:rPr>
          <w:rFonts w:ascii="Arial" w:hAnsi="Arial" w:cs="Arial"/>
          <w:lang w:val="sr-Latn-ME"/>
        </w:rPr>
        <w:t xml:space="preserve"> </w:t>
      </w:r>
      <w:r w:rsidR="00AA1A52" w:rsidRPr="00AA1A52">
        <w:rPr>
          <w:rFonts w:ascii="Arial" w:hAnsi="Arial" w:cs="Arial"/>
        </w:rPr>
        <w:t>javnosti</w:t>
      </w:r>
      <w:r w:rsidR="00AA1A52" w:rsidRPr="00AA1A52">
        <w:rPr>
          <w:rFonts w:ascii="Arial" w:hAnsi="Arial" w:cs="Arial"/>
          <w:lang w:val="sr-Latn-ME"/>
        </w:rPr>
        <w:t xml:space="preserve"> </w:t>
      </w:r>
      <w:r w:rsidR="00AA1A52" w:rsidRPr="00AA1A52">
        <w:rPr>
          <w:rFonts w:ascii="Arial" w:hAnsi="Arial" w:cs="Arial"/>
        </w:rPr>
        <w:t>o</w:t>
      </w:r>
      <w:r w:rsidR="00AA1A52" w:rsidRPr="00AA1A52">
        <w:rPr>
          <w:rFonts w:ascii="Arial" w:hAnsi="Arial" w:cs="Arial"/>
          <w:lang w:val="sr-Latn-ME"/>
        </w:rPr>
        <w:t xml:space="preserve"> </w:t>
      </w:r>
      <w:r w:rsidR="00AA1A52" w:rsidRPr="00AA1A52">
        <w:rPr>
          <w:rFonts w:ascii="Arial" w:hAnsi="Arial" w:cs="Arial"/>
        </w:rPr>
        <w:t>za</w:t>
      </w:r>
      <w:r w:rsidR="00AA1A52" w:rsidRPr="00AA1A52">
        <w:rPr>
          <w:rFonts w:ascii="Arial" w:hAnsi="Arial" w:cs="Arial"/>
          <w:lang w:val="sr-Latn-ME"/>
        </w:rPr>
        <w:t>š</w:t>
      </w:r>
      <w:r w:rsidR="00AA1A52" w:rsidRPr="00AA1A52">
        <w:rPr>
          <w:rFonts w:ascii="Arial" w:hAnsi="Arial" w:cs="Arial"/>
        </w:rPr>
        <w:t>titi</w:t>
      </w:r>
      <w:r w:rsidR="00AA1A52" w:rsidRPr="00AA1A52">
        <w:rPr>
          <w:rFonts w:ascii="Arial" w:hAnsi="Arial" w:cs="Arial"/>
          <w:lang w:val="sr-Latn-ME"/>
        </w:rPr>
        <w:t xml:space="preserve"> </w:t>
      </w:r>
      <w:r w:rsidR="00AA1A52" w:rsidRPr="00AA1A52">
        <w:rPr>
          <w:rFonts w:ascii="Arial" w:hAnsi="Arial" w:cs="Arial"/>
        </w:rPr>
        <w:t>finansijskih</w:t>
      </w:r>
      <w:r w:rsidR="00AA1A52" w:rsidRPr="00AA1A52">
        <w:rPr>
          <w:rFonts w:ascii="Arial" w:hAnsi="Arial" w:cs="Arial"/>
          <w:lang w:val="sr-Latn-ME"/>
        </w:rPr>
        <w:t xml:space="preserve"> </w:t>
      </w:r>
      <w:r w:rsidR="00AA1A52" w:rsidRPr="00AA1A52">
        <w:rPr>
          <w:rFonts w:ascii="Arial" w:hAnsi="Arial" w:cs="Arial"/>
        </w:rPr>
        <w:t>interesa</w:t>
      </w:r>
      <w:r w:rsidR="00AA1A52" w:rsidRPr="00AA1A52">
        <w:rPr>
          <w:rFonts w:ascii="Arial" w:hAnsi="Arial" w:cs="Arial"/>
          <w:lang w:val="sr-Latn-ME"/>
        </w:rPr>
        <w:t xml:space="preserve"> </w:t>
      </w:r>
      <w:r w:rsidR="00AA1A52" w:rsidRPr="00AA1A52">
        <w:rPr>
          <w:rFonts w:ascii="Arial" w:hAnsi="Arial" w:cs="Arial"/>
        </w:rPr>
        <w:t>EU</w:t>
      </w:r>
      <w:r w:rsidR="00AA1A52" w:rsidRPr="00AA1A52">
        <w:rPr>
          <w:rFonts w:ascii="Arial" w:hAnsi="Arial" w:cs="Arial"/>
          <w:lang w:val="sr-Latn-ME"/>
        </w:rPr>
        <w:t xml:space="preserve"> </w:t>
      </w:r>
      <w:r w:rsidR="00AA1A52" w:rsidRPr="00AA1A52">
        <w:rPr>
          <w:rFonts w:ascii="Arial" w:hAnsi="Arial" w:cs="Arial"/>
        </w:rPr>
        <w:t>predstavljaju</w:t>
      </w:r>
      <w:r w:rsidR="00AA1A52" w:rsidRPr="00AA1A52">
        <w:rPr>
          <w:rFonts w:ascii="Arial" w:hAnsi="Arial" w:cs="Arial"/>
          <w:lang w:val="sr-Latn-ME"/>
        </w:rPr>
        <w:t xml:space="preserve"> </w:t>
      </w:r>
      <w:r w:rsidR="00AA1A52" w:rsidRPr="00AA1A52">
        <w:rPr>
          <w:rFonts w:ascii="Arial" w:hAnsi="Arial" w:cs="Arial"/>
        </w:rPr>
        <w:t>klju</w:t>
      </w:r>
      <w:r w:rsidR="00AA1A52" w:rsidRPr="00AA1A52">
        <w:rPr>
          <w:rFonts w:ascii="Arial" w:hAnsi="Arial" w:cs="Arial"/>
          <w:lang w:val="sr-Latn-ME"/>
        </w:rPr>
        <w:t>č</w:t>
      </w:r>
      <w:r w:rsidR="00AA1A52" w:rsidRPr="00AA1A52">
        <w:rPr>
          <w:rFonts w:ascii="Arial" w:hAnsi="Arial" w:cs="Arial"/>
        </w:rPr>
        <w:t>ne</w:t>
      </w:r>
      <w:r w:rsidR="00AA1A52" w:rsidRPr="00AA1A52">
        <w:rPr>
          <w:rFonts w:ascii="Arial" w:hAnsi="Arial" w:cs="Arial"/>
          <w:lang w:val="sr-Latn-ME"/>
        </w:rPr>
        <w:t xml:space="preserve"> </w:t>
      </w:r>
      <w:r w:rsidR="00AA1A52" w:rsidRPr="00AA1A52">
        <w:rPr>
          <w:rFonts w:ascii="Arial" w:hAnsi="Arial" w:cs="Arial"/>
        </w:rPr>
        <w:t>elemente</w:t>
      </w:r>
      <w:r w:rsidR="00AA1A52" w:rsidRPr="00AA1A52">
        <w:rPr>
          <w:rFonts w:ascii="Arial" w:hAnsi="Arial" w:cs="Arial"/>
          <w:lang w:val="sr-Latn-ME"/>
        </w:rPr>
        <w:t xml:space="preserve"> </w:t>
      </w:r>
      <w:r w:rsidR="00AA1A52" w:rsidRPr="00AA1A52">
        <w:rPr>
          <w:rFonts w:ascii="Arial" w:hAnsi="Arial" w:cs="Arial"/>
        </w:rPr>
        <w:t>u</w:t>
      </w:r>
      <w:r w:rsidR="00AA1A52" w:rsidRPr="00AA1A52">
        <w:rPr>
          <w:rFonts w:ascii="Arial" w:hAnsi="Arial" w:cs="Arial"/>
          <w:lang w:val="sr-Latn-ME"/>
        </w:rPr>
        <w:t xml:space="preserve"> </w:t>
      </w:r>
      <w:r w:rsidR="00AA1A52" w:rsidRPr="00AA1A52">
        <w:rPr>
          <w:rFonts w:ascii="Arial" w:hAnsi="Arial" w:cs="Arial"/>
        </w:rPr>
        <w:t>efikasnoj</w:t>
      </w:r>
      <w:r w:rsidR="00AA1A52" w:rsidRPr="00AA1A52">
        <w:rPr>
          <w:rFonts w:ascii="Arial" w:hAnsi="Arial" w:cs="Arial"/>
          <w:lang w:val="sr-Latn-ME"/>
        </w:rPr>
        <w:t xml:space="preserve"> </w:t>
      </w:r>
      <w:r w:rsidR="00AA1A52" w:rsidRPr="00AA1A52">
        <w:rPr>
          <w:rFonts w:ascii="Arial" w:hAnsi="Arial" w:cs="Arial"/>
        </w:rPr>
        <w:t>prevenciji</w:t>
      </w:r>
      <w:r w:rsidR="00AA1A52" w:rsidRPr="00AA1A52">
        <w:rPr>
          <w:rFonts w:ascii="Arial" w:hAnsi="Arial" w:cs="Arial"/>
          <w:lang w:val="sr-Latn-ME"/>
        </w:rPr>
        <w:t xml:space="preserve"> </w:t>
      </w:r>
      <w:r w:rsidR="00AA1A52" w:rsidRPr="00AA1A52">
        <w:rPr>
          <w:rFonts w:ascii="Arial" w:hAnsi="Arial" w:cs="Arial"/>
        </w:rPr>
        <w:t>nepravilnosti</w:t>
      </w:r>
      <w:r w:rsidR="00AA1A52" w:rsidRPr="00AA1A52">
        <w:rPr>
          <w:rFonts w:ascii="Arial" w:hAnsi="Arial" w:cs="Arial"/>
          <w:lang w:val="sr-Latn-ME"/>
        </w:rPr>
        <w:t xml:space="preserve"> </w:t>
      </w:r>
      <w:r w:rsidR="00AA1A52" w:rsidRPr="00AA1A52">
        <w:rPr>
          <w:rFonts w:ascii="Arial" w:hAnsi="Arial" w:cs="Arial"/>
        </w:rPr>
        <w:t>i</w:t>
      </w:r>
      <w:r w:rsidR="00AA1A52" w:rsidRPr="00AA1A52">
        <w:rPr>
          <w:rFonts w:ascii="Arial" w:hAnsi="Arial" w:cs="Arial"/>
          <w:lang w:val="sr-Latn-ME"/>
        </w:rPr>
        <w:t xml:space="preserve"> </w:t>
      </w:r>
      <w:r w:rsidR="00AA1A52" w:rsidRPr="00AA1A52">
        <w:rPr>
          <w:rFonts w:ascii="Arial" w:hAnsi="Arial" w:cs="Arial"/>
        </w:rPr>
        <w:t>prevara</w:t>
      </w:r>
      <w:r w:rsidR="00AA1A52" w:rsidRPr="00AA1A52">
        <w:rPr>
          <w:rFonts w:ascii="Arial" w:hAnsi="Arial" w:cs="Arial"/>
          <w:lang w:val="sr-Latn-ME"/>
        </w:rPr>
        <w:t xml:space="preserve">. </w:t>
      </w:r>
      <w:r w:rsidR="00AA1A52" w:rsidRPr="00AA1A52">
        <w:rPr>
          <w:rFonts w:ascii="Arial" w:hAnsi="Arial" w:cs="Arial"/>
        </w:rPr>
        <w:t>U</w:t>
      </w:r>
      <w:r w:rsidR="00AA1A52" w:rsidRPr="00AA1A52">
        <w:rPr>
          <w:rFonts w:ascii="Arial" w:hAnsi="Arial" w:cs="Arial"/>
          <w:lang w:val="sr-Latn-ME"/>
        </w:rPr>
        <w:t xml:space="preserve"> </w:t>
      </w:r>
      <w:r w:rsidR="00AA1A52" w:rsidRPr="00AA1A52">
        <w:rPr>
          <w:rFonts w:ascii="Arial" w:hAnsi="Arial" w:cs="Arial"/>
        </w:rPr>
        <w:t>tom</w:t>
      </w:r>
      <w:r w:rsidR="00AA1A52" w:rsidRPr="00AA1A52">
        <w:rPr>
          <w:rFonts w:ascii="Arial" w:hAnsi="Arial" w:cs="Arial"/>
          <w:lang w:val="sr-Latn-ME"/>
        </w:rPr>
        <w:t xml:space="preserve"> </w:t>
      </w:r>
      <w:r w:rsidR="00AA1A52" w:rsidRPr="00AA1A52">
        <w:rPr>
          <w:rFonts w:ascii="Arial" w:hAnsi="Arial" w:cs="Arial"/>
        </w:rPr>
        <w:t>cilju</w:t>
      </w:r>
      <w:r w:rsidR="00AA1A52" w:rsidRPr="00AA1A52">
        <w:rPr>
          <w:rFonts w:ascii="Arial" w:hAnsi="Arial" w:cs="Arial"/>
          <w:lang w:val="sr-Latn-ME"/>
        </w:rPr>
        <w:t xml:space="preserve">, </w:t>
      </w:r>
      <w:r w:rsidR="00AA1A52" w:rsidRPr="00AA1A52">
        <w:rPr>
          <w:rFonts w:ascii="Arial" w:hAnsi="Arial" w:cs="Arial"/>
        </w:rPr>
        <w:t>u</w:t>
      </w:r>
      <w:r w:rsidR="00AA1A52" w:rsidRPr="00AA1A52">
        <w:rPr>
          <w:rFonts w:ascii="Arial" w:hAnsi="Arial" w:cs="Arial"/>
          <w:lang w:val="sr-Latn-ME"/>
        </w:rPr>
        <w:t xml:space="preserve"> </w:t>
      </w:r>
      <w:r w:rsidR="00AA1A52" w:rsidRPr="00AA1A52">
        <w:rPr>
          <w:rFonts w:ascii="Arial" w:hAnsi="Arial" w:cs="Arial"/>
        </w:rPr>
        <w:t>okviru</w:t>
      </w:r>
      <w:r w:rsidR="00AA1A52" w:rsidRPr="00AA1A52">
        <w:rPr>
          <w:rFonts w:ascii="Arial" w:hAnsi="Arial" w:cs="Arial"/>
          <w:lang w:val="sr-Latn-ME"/>
        </w:rPr>
        <w:t xml:space="preserve"> </w:t>
      </w:r>
      <w:r w:rsidR="00AA1A52" w:rsidRPr="00AA1A52">
        <w:rPr>
          <w:rFonts w:ascii="Arial" w:hAnsi="Arial" w:cs="Arial"/>
        </w:rPr>
        <w:t>Twinning</w:t>
      </w:r>
      <w:r w:rsidR="00AA1A52" w:rsidRPr="00AA1A52">
        <w:rPr>
          <w:rFonts w:ascii="Arial" w:hAnsi="Arial" w:cs="Arial"/>
          <w:lang w:val="sr-Latn-ME"/>
        </w:rPr>
        <w:t xml:space="preserve"> </w:t>
      </w:r>
      <w:r w:rsidR="00AA1A52" w:rsidRPr="00AA1A52">
        <w:rPr>
          <w:rFonts w:ascii="Arial" w:hAnsi="Arial" w:cs="Arial"/>
        </w:rPr>
        <w:t>Light</w:t>
      </w:r>
      <w:r w:rsidR="00AA1A52" w:rsidRPr="00AA1A52">
        <w:rPr>
          <w:rFonts w:ascii="Arial" w:hAnsi="Arial" w:cs="Arial"/>
          <w:lang w:val="sr-Latn-ME"/>
        </w:rPr>
        <w:t xml:space="preserve"> </w:t>
      </w:r>
      <w:r w:rsidR="00AA1A52" w:rsidRPr="00AA1A52">
        <w:rPr>
          <w:rFonts w:ascii="Arial" w:hAnsi="Arial" w:cs="Arial"/>
        </w:rPr>
        <w:t>projekta</w:t>
      </w:r>
      <w:r w:rsidR="00AA1A52" w:rsidRPr="00AA1A52">
        <w:rPr>
          <w:rFonts w:ascii="Arial" w:hAnsi="Arial" w:cs="Arial"/>
          <w:lang w:val="sr-Latn-ME"/>
        </w:rPr>
        <w:t xml:space="preserve"> </w:t>
      </w:r>
      <w:r w:rsidR="00AA1A52" w:rsidRPr="00AA1A52">
        <w:rPr>
          <w:rFonts w:ascii="Arial" w:hAnsi="Arial" w:cs="Arial"/>
          <w:b/>
          <w:bCs/>
          <w:lang w:val="sr-Latn-ME"/>
        </w:rPr>
        <w:t>"</w:t>
      </w:r>
      <w:r w:rsidR="00AA1A52" w:rsidRPr="00AA1A52">
        <w:rPr>
          <w:rFonts w:ascii="Arial" w:hAnsi="Arial" w:cs="Arial"/>
          <w:b/>
          <w:bCs/>
        </w:rPr>
        <w:t>Razvoj</w:t>
      </w:r>
      <w:r w:rsidR="00AA1A52" w:rsidRPr="00AA1A52">
        <w:rPr>
          <w:rFonts w:ascii="Arial" w:hAnsi="Arial" w:cs="Arial"/>
          <w:b/>
          <w:bCs/>
          <w:lang w:val="sr-Latn-ME"/>
        </w:rPr>
        <w:t xml:space="preserve"> </w:t>
      </w:r>
      <w:r w:rsidR="00AA1A52" w:rsidRPr="00AA1A52">
        <w:rPr>
          <w:rFonts w:ascii="Arial" w:hAnsi="Arial" w:cs="Arial"/>
          <w:b/>
          <w:bCs/>
        </w:rPr>
        <w:t>kapaciteta</w:t>
      </w:r>
      <w:r w:rsidR="00AA1A52" w:rsidRPr="00AA1A52">
        <w:rPr>
          <w:rFonts w:ascii="Arial" w:hAnsi="Arial" w:cs="Arial"/>
          <w:b/>
          <w:bCs/>
          <w:lang w:val="sr-Latn-ME"/>
        </w:rPr>
        <w:t xml:space="preserve"> </w:t>
      </w:r>
      <w:r w:rsidR="00AA1A52" w:rsidRPr="00AA1A52">
        <w:rPr>
          <w:rFonts w:ascii="Arial" w:hAnsi="Arial" w:cs="Arial"/>
          <w:b/>
          <w:bCs/>
        </w:rPr>
        <w:t>odjeljenja</w:t>
      </w:r>
      <w:r w:rsidR="00AA1A52" w:rsidRPr="00AA1A52">
        <w:rPr>
          <w:rFonts w:ascii="Arial" w:hAnsi="Arial" w:cs="Arial"/>
          <w:b/>
          <w:bCs/>
          <w:lang w:val="sr-Latn-ME"/>
        </w:rPr>
        <w:t xml:space="preserve"> </w:t>
      </w:r>
      <w:r w:rsidR="00AA1A52" w:rsidRPr="00AA1A52">
        <w:rPr>
          <w:rFonts w:ascii="Arial" w:hAnsi="Arial" w:cs="Arial"/>
          <w:b/>
          <w:bCs/>
        </w:rPr>
        <w:t>za</w:t>
      </w:r>
      <w:r w:rsidR="00AA1A52" w:rsidRPr="00AA1A52">
        <w:rPr>
          <w:rFonts w:ascii="Arial" w:hAnsi="Arial" w:cs="Arial"/>
          <w:b/>
          <w:bCs/>
          <w:lang w:val="sr-Latn-ME"/>
        </w:rPr>
        <w:t xml:space="preserve"> </w:t>
      </w:r>
      <w:r w:rsidR="00AA1A52" w:rsidRPr="00AA1A52">
        <w:rPr>
          <w:rFonts w:ascii="Arial" w:hAnsi="Arial" w:cs="Arial"/>
          <w:b/>
          <w:bCs/>
        </w:rPr>
        <w:t>suzbijanje</w:t>
      </w:r>
      <w:r w:rsidR="00AA1A52" w:rsidRPr="00AA1A52">
        <w:rPr>
          <w:rFonts w:ascii="Arial" w:hAnsi="Arial" w:cs="Arial"/>
          <w:b/>
          <w:bCs/>
          <w:lang w:val="sr-Latn-ME"/>
        </w:rPr>
        <w:t xml:space="preserve"> </w:t>
      </w:r>
      <w:r w:rsidR="00AA1A52" w:rsidRPr="00AA1A52">
        <w:rPr>
          <w:rFonts w:ascii="Arial" w:hAnsi="Arial" w:cs="Arial"/>
          <w:b/>
          <w:bCs/>
        </w:rPr>
        <w:t>nepravilnosti</w:t>
      </w:r>
      <w:r w:rsidR="00AA1A52" w:rsidRPr="00AA1A52">
        <w:rPr>
          <w:rFonts w:ascii="Arial" w:hAnsi="Arial" w:cs="Arial"/>
          <w:b/>
          <w:bCs/>
          <w:lang w:val="sr-Latn-ME"/>
        </w:rPr>
        <w:t xml:space="preserve"> </w:t>
      </w:r>
      <w:r w:rsidR="00AA1A52" w:rsidRPr="00AA1A52">
        <w:rPr>
          <w:rFonts w:ascii="Arial" w:hAnsi="Arial" w:cs="Arial"/>
          <w:b/>
          <w:bCs/>
        </w:rPr>
        <w:t>i</w:t>
      </w:r>
      <w:r w:rsidR="00AA1A52" w:rsidRPr="00AA1A52">
        <w:rPr>
          <w:rFonts w:ascii="Arial" w:hAnsi="Arial" w:cs="Arial"/>
          <w:b/>
          <w:bCs/>
          <w:lang w:val="sr-Latn-ME"/>
        </w:rPr>
        <w:t xml:space="preserve"> </w:t>
      </w:r>
      <w:r w:rsidR="00AA1A52" w:rsidRPr="00AA1A52">
        <w:rPr>
          <w:rFonts w:ascii="Arial" w:hAnsi="Arial" w:cs="Arial"/>
          <w:b/>
          <w:bCs/>
        </w:rPr>
        <w:t>prevara</w:t>
      </w:r>
      <w:r w:rsidR="00AA1A52" w:rsidRPr="00AA1A52">
        <w:rPr>
          <w:rFonts w:ascii="Arial" w:hAnsi="Arial" w:cs="Arial"/>
          <w:b/>
          <w:bCs/>
          <w:lang w:val="sr-Latn-ME"/>
        </w:rPr>
        <w:t xml:space="preserve"> (</w:t>
      </w:r>
      <w:r w:rsidR="00AA1A52" w:rsidRPr="00AA1A52">
        <w:rPr>
          <w:rFonts w:ascii="Arial" w:hAnsi="Arial" w:cs="Arial"/>
          <w:b/>
          <w:bCs/>
        </w:rPr>
        <w:t>AFCOS</w:t>
      </w:r>
      <w:r w:rsidR="00AA1A52" w:rsidRPr="00AA1A52">
        <w:rPr>
          <w:rFonts w:ascii="Arial" w:hAnsi="Arial" w:cs="Arial"/>
          <w:b/>
          <w:bCs/>
          <w:lang w:val="sr-Latn-ME"/>
        </w:rPr>
        <w:t>)"</w:t>
      </w:r>
      <w:r w:rsidR="00AA1A52" w:rsidRPr="00AA1A52">
        <w:rPr>
          <w:rFonts w:ascii="Arial" w:hAnsi="Arial" w:cs="Arial"/>
          <w:lang w:val="sr-Latn-ME"/>
        </w:rPr>
        <w:t xml:space="preserve">, </w:t>
      </w:r>
      <w:r w:rsidR="00AA1A52" w:rsidRPr="00AA1A52">
        <w:rPr>
          <w:rFonts w:ascii="Arial" w:hAnsi="Arial" w:cs="Arial"/>
        </w:rPr>
        <w:t>izra</w:t>
      </w:r>
      <w:r w:rsidR="00AA1A52" w:rsidRPr="00AA1A52">
        <w:rPr>
          <w:rFonts w:ascii="Arial" w:hAnsi="Arial" w:cs="Arial"/>
          <w:lang w:val="sr-Latn-ME"/>
        </w:rPr>
        <w:t>đ</w:t>
      </w:r>
      <w:r w:rsidR="00AA1A52" w:rsidRPr="00AA1A52">
        <w:rPr>
          <w:rFonts w:ascii="Arial" w:hAnsi="Arial" w:cs="Arial"/>
        </w:rPr>
        <w:t>eni</w:t>
      </w:r>
      <w:r w:rsidR="00AA1A52" w:rsidRPr="00AA1A52">
        <w:rPr>
          <w:rFonts w:ascii="Arial" w:hAnsi="Arial" w:cs="Arial"/>
          <w:lang w:val="sr-Latn-ME"/>
        </w:rPr>
        <w:t xml:space="preserve"> </w:t>
      </w:r>
      <w:r w:rsidR="00AA1A52" w:rsidRPr="00AA1A52">
        <w:rPr>
          <w:rFonts w:ascii="Arial" w:hAnsi="Arial" w:cs="Arial"/>
        </w:rPr>
        <w:t>su</w:t>
      </w:r>
      <w:r w:rsidR="00AA1A52" w:rsidRPr="00AA1A52">
        <w:rPr>
          <w:rFonts w:ascii="Arial" w:hAnsi="Arial" w:cs="Arial"/>
          <w:lang w:val="sr-Latn-ME"/>
        </w:rPr>
        <w:t xml:space="preserve"> </w:t>
      </w:r>
      <w:r w:rsidR="00AA1A52" w:rsidRPr="00AA1A52">
        <w:rPr>
          <w:rFonts w:ascii="Arial" w:hAnsi="Arial" w:cs="Arial"/>
        </w:rPr>
        <w:t>promotivni</w:t>
      </w:r>
      <w:r w:rsidR="00AA1A52" w:rsidRPr="00AA1A52">
        <w:rPr>
          <w:rFonts w:ascii="Arial" w:hAnsi="Arial" w:cs="Arial"/>
          <w:lang w:val="sr-Latn-ME"/>
        </w:rPr>
        <w:t xml:space="preserve"> </w:t>
      </w:r>
      <w:r w:rsidR="00AA1A52" w:rsidRPr="00AA1A52">
        <w:rPr>
          <w:rFonts w:ascii="Arial" w:hAnsi="Arial" w:cs="Arial"/>
        </w:rPr>
        <w:t>materijali</w:t>
      </w:r>
      <w:r w:rsidR="00AA1A52" w:rsidRPr="00AA1A52">
        <w:rPr>
          <w:rFonts w:ascii="Arial" w:hAnsi="Arial" w:cs="Arial"/>
          <w:lang w:val="sr-Latn-ME"/>
        </w:rPr>
        <w:t xml:space="preserve"> </w:t>
      </w:r>
      <w:r w:rsidR="00AA1A52" w:rsidRPr="00AA1A52">
        <w:rPr>
          <w:rFonts w:ascii="Arial" w:hAnsi="Arial" w:cs="Arial"/>
        </w:rPr>
        <w:t>u</w:t>
      </w:r>
      <w:r w:rsidR="00AA1A52" w:rsidRPr="00AA1A52">
        <w:rPr>
          <w:rFonts w:ascii="Arial" w:hAnsi="Arial" w:cs="Arial"/>
          <w:lang w:val="sr-Latn-ME"/>
        </w:rPr>
        <w:t xml:space="preserve"> </w:t>
      </w:r>
      <w:r w:rsidR="00AA1A52" w:rsidRPr="00AA1A52">
        <w:rPr>
          <w:rFonts w:ascii="Arial" w:hAnsi="Arial" w:cs="Arial"/>
        </w:rPr>
        <w:t>formi</w:t>
      </w:r>
      <w:r w:rsidR="00AA1A52" w:rsidRPr="00AA1A52">
        <w:rPr>
          <w:rFonts w:ascii="Arial" w:hAnsi="Arial" w:cs="Arial"/>
          <w:lang w:val="sr-Latn-ME"/>
        </w:rPr>
        <w:t xml:space="preserve"> </w:t>
      </w:r>
      <w:r w:rsidR="00AA1A52" w:rsidRPr="00AA1A52">
        <w:rPr>
          <w:rFonts w:ascii="Arial" w:hAnsi="Arial" w:cs="Arial"/>
        </w:rPr>
        <w:t>letaka</w:t>
      </w:r>
      <w:r w:rsidR="00AA1A52" w:rsidRPr="00AA1A52">
        <w:rPr>
          <w:rFonts w:ascii="Arial" w:hAnsi="Arial" w:cs="Arial"/>
          <w:lang w:val="sr-Latn-ME"/>
        </w:rPr>
        <w:t xml:space="preserve"> </w:t>
      </w:r>
      <w:r w:rsidR="00AA1A52">
        <w:rPr>
          <w:rFonts w:ascii="Arial" w:hAnsi="Arial" w:cs="Arial"/>
          <w:lang w:val="sr-Latn-ME"/>
        </w:rPr>
        <w:t xml:space="preserve">i brošura, ali je neophodan i dalje sistmski pristup u promociji i vidljivosti ove oblasti, što će se u budućnosti i realizovati kroz izradu </w:t>
      </w:r>
      <w:r w:rsidR="00AA1A52">
        <w:rPr>
          <w:rFonts w:ascii="Arial" w:hAnsi="Arial" w:cs="Arial"/>
        </w:rPr>
        <w:t>K</w:t>
      </w:r>
      <w:r w:rsidR="00AA1A52" w:rsidRPr="00AA1A52">
        <w:rPr>
          <w:rFonts w:ascii="Arial" w:hAnsi="Arial" w:cs="Arial"/>
        </w:rPr>
        <w:t>omunikaciona</w:t>
      </w:r>
      <w:r w:rsidR="00AA1A52" w:rsidRPr="00AA1A52">
        <w:rPr>
          <w:rFonts w:ascii="Arial" w:hAnsi="Arial" w:cs="Arial"/>
          <w:lang w:val="sr-Latn-ME"/>
        </w:rPr>
        <w:t xml:space="preserve"> </w:t>
      </w:r>
      <w:r w:rsidR="00AA1A52" w:rsidRPr="00AA1A52">
        <w:rPr>
          <w:rFonts w:ascii="Arial" w:hAnsi="Arial" w:cs="Arial"/>
        </w:rPr>
        <w:t>strategij</w:t>
      </w:r>
      <w:r w:rsidR="00AA1A52">
        <w:rPr>
          <w:rFonts w:ascii="Arial" w:hAnsi="Arial" w:cs="Arial"/>
        </w:rPr>
        <w:t>e</w:t>
      </w:r>
      <w:r w:rsidR="00AA1A52" w:rsidRPr="00AA1A52">
        <w:rPr>
          <w:rFonts w:ascii="Arial" w:hAnsi="Arial" w:cs="Arial"/>
          <w:lang w:val="sr-Latn-ME"/>
        </w:rPr>
        <w:t>.</w:t>
      </w:r>
    </w:p>
    <w:p w:rsidR="000F471C" w:rsidRPr="00CD515D" w:rsidRDefault="000F471C" w:rsidP="000F471C">
      <w:pPr>
        <w:rPr>
          <w:rFonts w:ascii="Arial" w:hAnsi="Arial" w:cs="Arial"/>
          <w:i/>
          <w:color w:val="111111"/>
          <w:lang w:val="sr-Latn-ME"/>
        </w:rPr>
      </w:pPr>
      <w:r w:rsidRPr="00CD515D">
        <w:rPr>
          <w:rFonts w:ascii="Arial" w:hAnsi="Arial" w:cs="Arial"/>
          <w:i/>
          <w:color w:val="111111"/>
          <w:lang w:val="sr-Latn-ME"/>
        </w:rPr>
        <w:t>• Promovisanje etike i integriteta u javnoj upravi</w:t>
      </w:r>
    </w:p>
    <w:p w:rsidR="000F471C" w:rsidRPr="001302F9" w:rsidRDefault="000F471C" w:rsidP="000F471C">
      <w:pPr>
        <w:jc w:val="both"/>
        <w:rPr>
          <w:rFonts w:ascii="Arial" w:hAnsi="Arial" w:cs="Arial"/>
          <w:color w:val="111111"/>
          <w:lang w:val="sr-Latn-ME"/>
        </w:rPr>
      </w:pPr>
      <w:r w:rsidRPr="001302F9">
        <w:rPr>
          <w:rFonts w:ascii="Arial" w:hAnsi="Arial" w:cs="Arial"/>
          <w:color w:val="111111"/>
          <w:lang w:val="sr-Latn-ME"/>
        </w:rPr>
        <w:br/>
        <w:t>Promovisanje etike i integriteta u državnoj službi znači razvijanje mehanizama kojima se teži postizanje najvišeg nivoa integriteta</w:t>
      </w:r>
      <w:r w:rsidR="00CD515D">
        <w:rPr>
          <w:rFonts w:ascii="Arial" w:hAnsi="Arial" w:cs="Arial"/>
          <w:color w:val="111111"/>
          <w:lang w:val="sr-Latn-ME"/>
        </w:rPr>
        <w:t>, kako</w:t>
      </w:r>
      <w:r w:rsidRPr="001302F9">
        <w:rPr>
          <w:rFonts w:ascii="Arial" w:hAnsi="Arial" w:cs="Arial"/>
          <w:color w:val="111111"/>
          <w:lang w:val="sr-Latn-ME"/>
        </w:rPr>
        <w:t xml:space="preserve"> na nivou organizacije</w:t>
      </w:r>
      <w:r w:rsidR="00CD515D">
        <w:rPr>
          <w:rFonts w:ascii="Arial" w:hAnsi="Arial" w:cs="Arial"/>
          <w:color w:val="111111"/>
          <w:lang w:val="sr-Latn-ME"/>
        </w:rPr>
        <w:t>, tako i na</w:t>
      </w:r>
      <w:r w:rsidRPr="001302F9">
        <w:rPr>
          <w:rFonts w:ascii="Arial" w:hAnsi="Arial" w:cs="Arial"/>
          <w:color w:val="111111"/>
          <w:lang w:val="sr-Latn-ME"/>
        </w:rPr>
        <w:t xml:space="preserve"> i </w:t>
      </w:r>
      <w:r w:rsidR="00CD515D">
        <w:rPr>
          <w:rFonts w:ascii="Arial" w:hAnsi="Arial" w:cs="Arial"/>
          <w:color w:val="111111"/>
          <w:lang w:val="sr-Latn-ME"/>
        </w:rPr>
        <w:t xml:space="preserve">nivou pojedninačnih </w:t>
      </w:r>
      <w:r w:rsidRPr="001302F9">
        <w:rPr>
          <w:rFonts w:ascii="Arial" w:hAnsi="Arial" w:cs="Arial"/>
          <w:color w:val="111111"/>
          <w:lang w:val="sr-Latn-ME"/>
        </w:rPr>
        <w:t>službenika.</w:t>
      </w:r>
      <w:r w:rsidR="00CD515D">
        <w:rPr>
          <w:rFonts w:ascii="Arial" w:hAnsi="Arial" w:cs="Arial"/>
          <w:color w:val="111111"/>
          <w:lang w:val="sr-Latn-ME"/>
        </w:rPr>
        <w:t xml:space="preserve"> </w:t>
      </w:r>
      <w:r w:rsidRPr="001302F9">
        <w:rPr>
          <w:rFonts w:ascii="Arial" w:hAnsi="Arial" w:cs="Arial"/>
          <w:color w:val="111111"/>
          <w:lang w:val="sr-Latn-ME"/>
        </w:rPr>
        <w:t>Integritet, nepristrasnost i odgovornost su osnovni principi koji su uključeni u promovisanje etike u državnoj službi. Državni službenici postupaju u skladu sa principima etike i integriteta, ako održavaju nivo znanja i vještina neophodnih za obavljanje povjerenih zadataka, ako postupaju u skladu sa zakonskim i moralnim uslovima i ako nisu skloni</w:t>
      </w:r>
      <w:r w:rsidR="00CD515D">
        <w:rPr>
          <w:rFonts w:ascii="Arial" w:hAnsi="Arial" w:cs="Arial"/>
          <w:color w:val="111111"/>
          <w:lang w:val="sr-Latn-ME"/>
        </w:rPr>
        <w:t xml:space="preserve"> </w:t>
      </w:r>
      <w:r w:rsidRPr="001302F9">
        <w:rPr>
          <w:rFonts w:ascii="Arial" w:hAnsi="Arial" w:cs="Arial"/>
          <w:color w:val="111111"/>
          <w:lang w:val="sr-Latn-ME"/>
        </w:rPr>
        <w:t>neetičkom</w:t>
      </w:r>
      <w:r w:rsidR="00CD515D">
        <w:rPr>
          <w:rFonts w:ascii="Arial" w:hAnsi="Arial" w:cs="Arial"/>
          <w:color w:val="111111"/>
          <w:lang w:val="sr-Latn-ME"/>
        </w:rPr>
        <w:t xml:space="preserve"> </w:t>
      </w:r>
      <w:r w:rsidRPr="001302F9">
        <w:rPr>
          <w:rFonts w:ascii="Arial" w:hAnsi="Arial" w:cs="Arial"/>
          <w:color w:val="111111"/>
          <w:lang w:val="sr-Latn-ME"/>
        </w:rPr>
        <w:t>ili</w:t>
      </w:r>
      <w:r w:rsidR="00CD515D">
        <w:rPr>
          <w:rFonts w:ascii="Arial" w:hAnsi="Arial" w:cs="Arial"/>
          <w:color w:val="111111"/>
          <w:lang w:val="sr-Latn-ME"/>
        </w:rPr>
        <w:t xml:space="preserve"> </w:t>
      </w:r>
      <w:r w:rsidRPr="001302F9">
        <w:rPr>
          <w:rFonts w:ascii="Arial" w:hAnsi="Arial" w:cs="Arial"/>
          <w:color w:val="111111"/>
          <w:lang w:val="sr-Latn-ME"/>
        </w:rPr>
        <w:t>koruptivnom</w:t>
      </w:r>
      <w:r w:rsidR="00CD515D">
        <w:rPr>
          <w:rFonts w:ascii="Arial" w:hAnsi="Arial" w:cs="Arial"/>
          <w:color w:val="111111"/>
          <w:lang w:val="sr-Latn-ME"/>
        </w:rPr>
        <w:t xml:space="preserve"> </w:t>
      </w:r>
      <w:r w:rsidRPr="001302F9">
        <w:rPr>
          <w:rFonts w:ascii="Arial" w:hAnsi="Arial" w:cs="Arial"/>
          <w:color w:val="111111"/>
          <w:lang w:val="sr-Latn-ME"/>
        </w:rPr>
        <w:t>ponašanju.</w:t>
      </w:r>
      <w:r w:rsidR="00CD515D">
        <w:rPr>
          <w:rFonts w:ascii="Arial" w:hAnsi="Arial" w:cs="Arial"/>
          <w:color w:val="111111"/>
          <w:lang w:val="sr-Latn-ME"/>
        </w:rPr>
        <w:t xml:space="preserve"> </w:t>
      </w:r>
      <w:r w:rsidRPr="001302F9">
        <w:rPr>
          <w:rFonts w:ascii="Arial" w:hAnsi="Arial" w:cs="Arial"/>
          <w:color w:val="111111"/>
          <w:lang w:val="sr-Latn-ME"/>
        </w:rPr>
        <w:t>Tokom sprovođenja Strategije 2019-2022 organizovane su obuke za promociju etike i integriteta u javnoj upravi. Pored toga, Uprava za upravljanje ljudskim resursima u Crnoj Gori uključila je u svoje godišnje komponente planiranja obuke koje se odnose na etiku i integritet u javnom sektoru.</w:t>
      </w:r>
    </w:p>
    <w:p w:rsidR="000F471C" w:rsidRPr="001302F9" w:rsidRDefault="000F471C" w:rsidP="000F471C">
      <w:pPr>
        <w:jc w:val="both"/>
        <w:rPr>
          <w:rFonts w:ascii="Arial" w:hAnsi="Arial" w:cs="Arial"/>
          <w:color w:val="111111"/>
          <w:lang w:val="sr-Latn-ME"/>
        </w:rPr>
      </w:pPr>
      <w:r w:rsidRPr="001302F9">
        <w:rPr>
          <w:rFonts w:ascii="Arial" w:hAnsi="Arial" w:cs="Arial"/>
          <w:color w:val="111111"/>
          <w:lang w:val="sr-Latn-ME"/>
        </w:rPr>
        <w:t xml:space="preserve">U periodu Strategije 2019-2022 sprovedeno je dvadeset devet seminara na temu etike </w:t>
      </w:r>
      <w:r w:rsidR="00CD515D">
        <w:rPr>
          <w:rFonts w:ascii="Arial" w:hAnsi="Arial" w:cs="Arial"/>
          <w:color w:val="111111"/>
          <w:lang w:val="sr-Latn-ME"/>
        </w:rPr>
        <w:t>i</w:t>
      </w:r>
      <w:r w:rsidRPr="001302F9">
        <w:rPr>
          <w:rFonts w:ascii="Arial" w:hAnsi="Arial" w:cs="Arial"/>
          <w:color w:val="111111"/>
          <w:lang w:val="sr-Latn-ME"/>
        </w:rPr>
        <w:t xml:space="preserve"> integriteta, prema podacima Uprave za ljudske resurse.</w:t>
      </w:r>
    </w:p>
    <w:p w:rsidR="0031167B" w:rsidRPr="0031167B" w:rsidRDefault="0031167B" w:rsidP="0031167B">
      <w:pPr>
        <w:jc w:val="both"/>
        <w:rPr>
          <w:rFonts w:ascii="Arial" w:hAnsi="Arial" w:cs="Arial"/>
          <w:i/>
          <w:lang w:val="sr-Latn-ME"/>
        </w:rPr>
      </w:pPr>
      <w:r w:rsidRPr="0031167B">
        <w:rPr>
          <w:rFonts w:ascii="Arial" w:hAnsi="Arial" w:cs="Arial"/>
          <w:i/>
          <w:lang w:val="sr-Latn-ME"/>
        </w:rPr>
        <w:t>• Zaštita zviždača</w:t>
      </w:r>
    </w:p>
    <w:p w:rsidR="000F471C" w:rsidRPr="001302F9" w:rsidRDefault="0031167B" w:rsidP="0031167B">
      <w:pPr>
        <w:jc w:val="both"/>
        <w:rPr>
          <w:rFonts w:ascii="Arial" w:hAnsi="Arial" w:cs="Arial"/>
          <w:lang w:val="sr-Latn-ME"/>
        </w:rPr>
      </w:pPr>
      <w:r w:rsidRPr="0031167B">
        <w:rPr>
          <w:rFonts w:ascii="Arial" w:hAnsi="Arial" w:cs="Arial"/>
          <w:lang w:val="sr-Latn-ME"/>
        </w:rPr>
        <w:t>Tokom implementacije Strategije 2019-2022 kreirana je e-mail adresa za anonimne prijave od strane zviždača. Međutim, zbog nedovoljnog prepoznavanja uloge AFCOS sistema u javnosti, nedovoljnog pov</w:t>
      </w:r>
      <w:r>
        <w:rPr>
          <w:rFonts w:ascii="Arial" w:hAnsi="Arial" w:cs="Arial"/>
          <w:lang w:val="sr-Latn-ME"/>
        </w:rPr>
        <w:t>j</w:t>
      </w:r>
      <w:r w:rsidRPr="0031167B">
        <w:rPr>
          <w:rFonts w:ascii="Arial" w:hAnsi="Arial" w:cs="Arial"/>
          <w:lang w:val="sr-Latn-ME"/>
        </w:rPr>
        <w:t>erenja u institucije ili nepoznavanja mehanizma anonimnog prijavljivanja sumnjivih nepravilnosti, potencijalni zviždači i potencijalni aplikanti nisu skloni da prijavljuju nepravilnosti, odnosno sumnje na prevaru, ili ne daju adekvatne informacije kako bi se pokrenuo postupak utvrđivanja nepravilnosti.</w:t>
      </w:r>
      <w:r>
        <w:rPr>
          <w:rFonts w:ascii="Arial" w:hAnsi="Arial" w:cs="Arial"/>
          <w:lang w:val="sr-Latn-ME"/>
        </w:rPr>
        <w:t xml:space="preserve"> </w:t>
      </w:r>
      <w:r w:rsidR="00997E6F" w:rsidRPr="00997E6F">
        <w:rPr>
          <w:rFonts w:ascii="Arial" w:hAnsi="Arial" w:cs="Arial"/>
          <w:lang w:val="sr-Latn-ME"/>
        </w:rPr>
        <w:t>Ovo je dodatni razlog zašto je od suštinskog značaja poboljšati komunikaciju s širom javnošću, kao i podići svijest svih aktera o važnosti odgovorne i transparentne potrošnje EU sredstava.</w:t>
      </w:r>
    </w:p>
    <w:p w:rsidR="000F471C" w:rsidRPr="001302F9" w:rsidRDefault="000F471C" w:rsidP="000F471C">
      <w:pPr>
        <w:jc w:val="both"/>
        <w:rPr>
          <w:rFonts w:ascii="Arial" w:hAnsi="Arial" w:cs="Arial"/>
          <w:b/>
          <w:lang w:val="sr-Latn-ME"/>
        </w:rPr>
      </w:pPr>
      <w:r w:rsidRPr="001302F9">
        <w:rPr>
          <w:rFonts w:ascii="Arial" w:hAnsi="Arial" w:cs="Arial"/>
          <w:b/>
          <w:lang w:val="sr-Latn-ME"/>
        </w:rPr>
        <w:t xml:space="preserve">2.6.2. Otkrivanje i prijavljivanje </w:t>
      </w:r>
      <w:r w:rsidR="005656D0">
        <w:rPr>
          <w:rFonts w:ascii="Arial" w:hAnsi="Arial" w:cs="Arial"/>
          <w:b/>
          <w:lang w:val="sr-Latn-ME"/>
        </w:rPr>
        <w:t xml:space="preserve">nepravilnosti i </w:t>
      </w:r>
      <w:r w:rsidRPr="001302F9">
        <w:rPr>
          <w:rFonts w:ascii="Arial" w:hAnsi="Arial" w:cs="Arial"/>
          <w:b/>
          <w:lang w:val="sr-Latn-ME"/>
        </w:rPr>
        <w:t xml:space="preserve">prevara </w:t>
      </w:r>
    </w:p>
    <w:p w:rsidR="000F471C" w:rsidRPr="009B4B11" w:rsidRDefault="000F471C" w:rsidP="000F471C">
      <w:pPr>
        <w:jc w:val="both"/>
        <w:rPr>
          <w:rFonts w:ascii="Arial" w:hAnsi="Arial" w:cs="Arial"/>
          <w:i/>
          <w:lang w:val="sr-Latn-ME"/>
        </w:rPr>
      </w:pPr>
      <w:r w:rsidRPr="001302F9">
        <w:rPr>
          <w:rFonts w:ascii="Arial" w:hAnsi="Arial" w:cs="Arial"/>
          <w:lang w:val="sr-Latn-ME"/>
        </w:rPr>
        <w:br/>
      </w:r>
      <w:r w:rsidRPr="009B4B11">
        <w:rPr>
          <w:rFonts w:ascii="Arial" w:hAnsi="Arial" w:cs="Arial"/>
          <w:i/>
          <w:lang w:val="sr-Latn-ME"/>
        </w:rPr>
        <w:t>• Otkrivanje nepravilnosti</w:t>
      </w:r>
      <w:r w:rsidR="005656D0">
        <w:rPr>
          <w:rFonts w:ascii="Arial" w:hAnsi="Arial" w:cs="Arial"/>
          <w:i/>
          <w:lang w:val="sr-Latn-ME"/>
        </w:rPr>
        <w:t xml:space="preserve"> i prevara</w:t>
      </w:r>
    </w:p>
    <w:p w:rsidR="009B4B11" w:rsidRDefault="000F471C" w:rsidP="009B4B11">
      <w:pPr>
        <w:rPr>
          <w:rFonts w:ascii="Arial" w:hAnsi="Arial" w:cs="Arial"/>
          <w:lang w:val="sr-Latn-ME"/>
        </w:rPr>
      </w:pPr>
      <w:r w:rsidRPr="001302F9">
        <w:rPr>
          <w:rFonts w:ascii="Arial" w:hAnsi="Arial" w:cs="Arial"/>
          <w:lang w:val="sr-Latn-ME"/>
        </w:rPr>
        <w:br/>
        <w:t>Otkrivanje nepravilnosti i prevara u sistemu upravljanja i kontrole IPA sredstava, počinje upozorenjem o nepravilnostima ili sumnji na prevaru.</w:t>
      </w:r>
      <w:r w:rsidRPr="001302F9">
        <w:rPr>
          <w:rFonts w:ascii="Arial" w:hAnsi="Arial" w:cs="Arial"/>
          <w:lang w:val="sr-Latn-ME"/>
        </w:rPr>
        <w:br/>
      </w:r>
    </w:p>
    <w:p w:rsidR="000F471C" w:rsidRPr="001302F9" w:rsidRDefault="000F471C" w:rsidP="000F471C">
      <w:pPr>
        <w:jc w:val="both"/>
        <w:rPr>
          <w:rFonts w:ascii="Arial" w:hAnsi="Arial" w:cs="Arial"/>
          <w:lang w:val="sr-Latn-ME"/>
        </w:rPr>
      </w:pPr>
      <w:r w:rsidRPr="001302F9">
        <w:rPr>
          <w:rFonts w:ascii="Arial" w:hAnsi="Arial" w:cs="Arial"/>
          <w:lang w:val="sr-Latn-ME"/>
        </w:rPr>
        <w:t>Postoji nekoliko izvora upozorenja:</w:t>
      </w:r>
    </w:p>
    <w:p w:rsidR="000F471C" w:rsidRPr="001302F9" w:rsidRDefault="000F471C" w:rsidP="009B6B3B">
      <w:pPr>
        <w:pStyle w:val="ListParagraph"/>
        <w:numPr>
          <w:ilvl w:val="0"/>
          <w:numId w:val="22"/>
        </w:numPr>
        <w:rPr>
          <w:rFonts w:cs="Arial"/>
          <w:sz w:val="22"/>
          <w:szCs w:val="22"/>
          <w:lang w:val="sr-Latn-ME"/>
        </w:rPr>
      </w:pPr>
      <w:r w:rsidRPr="001302F9">
        <w:rPr>
          <w:rFonts w:cs="Arial"/>
          <w:sz w:val="22"/>
          <w:szCs w:val="22"/>
          <w:lang w:val="sr-Latn-ME"/>
        </w:rPr>
        <w:t>Upozorenje unutar institucija</w:t>
      </w:r>
      <w:r w:rsidR="009B4B11">
        <w:rPr>
          <w:rFonts w:cs="Arial"/>
          <w:sz w:val="22"/>
          <w:szCs w:val="22"/>
          <w:lang w:val="sr-Latn-ME"/>
        </w:rPr>
        <w:t>,</w:t>
      </w:r>
      <w:r w:rsidRPr="001302F9">
        <w:rPr>
          <w:rFonts w:cs="Arial"/>
          <w:sz w:val="22"/>
          <w:szCs w:val="22"/>
          <w:lang w:val="sr-Latn-ME"/>
        </w:rPr>
        <w:t xml:space="preserve"> od strane IPA struktura, tokom obavljanja redovnih zadataka (npr. desk provjere, kontrola na licu mjesta, itd.);</w:t>
      </w:r>
    </w:p>
    <w:p w:rsidR="000F471C" w:rsidRPr="001302F9" w:rsidRDefault="000F471C" w:rsidP="009B6B3B">
      <w:pPr>
        <w:pStyle w:val="ListParagraph"/>
        <w:numPr>
          <w:ilvl w:val="0"/>
          <w:numId w:val="22"/>
        </w:numPr>
        <w:rPr>
          <w:rFonts w:cs="Arial"/>
          <w:sz w:val="22"/>
          <w:szCs w:val="22"/>
          <w:lang w:val="sr-Latn-ME"/>
        </w:rPr>
      </w:pPr>
      <w:r w:rsidRPr="001302F9">
        <w:rPr>
          <w:rFonts w:cs="Arial"/>
          <w:sz w:val="22"/>
          <w:szCs w:val="22"/>
          <w:lang w:val="sr-Latn-ME"/>
        </w:rPr>
        <w:t xml:space="preserve">Upozorenje u skladu sa nalazima revizije (npr. nalazi Revizorskog tijela, Interna revizija EU fondova u javnom sektoru, </w:t>
      </w:r>
      <w:r w:rsidRPr="009B4B11">
        <w:rPr>
          <w:rFonts w:cs="Arial"/>
          <w:sz w:val="22"/>
          <w:szCs w:val="22"/>
          <w:lang w:val="sr-Latn-ME"/>
        </w:rPr>
        <w:t>Evropski revizorski sud</w:t>
      </w:r>
      <w:r w:rsidRPr="001302F9">
        <w:rPr>
          <w:rFonts w:cs="Arial"/>
          <w:sz w:val="22"/>
          <w:szCs w:val="22"/>
          <w:lang w:val="sr-Latn-ME"/>
        </w:rPr>
        <w:t>, EK direktorati – DG NEAR/DG AGRI, Državna revizorska institucija, itd.);</w:t>
      </w:r>
    </w:p>
    <w:p w:rsidR="000F471C" w:rsidRPr="001302F9" w:rsidRDefault="000F471C" w:rsidP="009B6B3B">
      <w:pPr>
        <w:pStyle w:val="ListParagraph"/>
        <w:numPr>
          <w:ilvl w:val="0"/>
          <w:numId w:val="22"/>
        </w:numPr>
        <w:rPr>
          <w:rFonts w:cs="Arial"/>
          <w:sz w:val="22"/>
          <w:szCs w:val="22"/>
          <w:lang w:val="sr-Latn-ME"/>
        </w:rPr>
      </w:pPr>
      <w:r w:rsidRPr="001302F9">
        <w:rPr>
          <w:rFonts w:cs="Arial"/>
          <w:sz w:val="22"/>
          <w:szCs w:val="22"/>
          <w:lang w:val="sr-Latn-ME"/>
        </w:rPr>
        <w:t>Upozorenja od strane trećih lica (npr. od medija, zviždača, itd.);</w:t>
      </w:r>
    </w:p>
    <w:p w:rsidR="00AA1A52" w:rsidRDefault="000F471C" w:rsidP="00AA1A52">
      <w:pPr>
        <w:pStyle w:val="ListParagraph"/>
        <w:numPr>
          <w:ilvl w:val="0"/>
          <w:numId w:val="41"/>
        </w:numPr>
        <w:rPr>
          <w:rFonts w:cs="Arial"/>
          <w:color w:val="111111"/>
          <w:lang w:val="sr-Latn-ME"/>
        </w:rPr>
      </w:pPr>
      <w:r w:rsidRPr="001302F9">
        <w:rPr>
          <w:rFonts w:cs="Arial"/>
          <w:sz w:val="22"/>
          <w:szCs w:val="22"/>
          <w:lang w:val="sr-Latn-ME"/>
        </w:rPr>
        <w:t xml:space="preserve">Upozorenja od drugih institucija (npr. </w:t>
      </w:r>
      <w:r w:rsidR="009B4B11">
        <w:rPr>
          <w:rFonts w:cs="Arial"/>
          <w:sz w:val="22"/>
          <w:szCs w:val="22"/>
          <w:lang w:val="sr-Latn-ME"/>
        </w:rPr>
        <w:t>o</w:t>
      </w:r>
      <w:r w:rsidRPr="009B4B11">
        <w:rPr>
          <w:rFonts w:cs="Arial"/>
          <w:sz w:val="22"/>
          <w:szCs w:val="22"/>
          <w:lang w:val="sr-Latn-ME"/>
        </w:rPr>
        <w:t xml:space="preserve">d </w:t>
      </w:r>
      <w:r w:rsidR="009B4B11" w:rsidRPr="009B4B11">
        <w:rPr>
          <w:rFonts w:cs="Arial"/>
          <w:sz w:val="22"/>
          <w:szCs w:val="22"/>
          <w:lang w:val="sr-Latn-ME"/>
        </w:rPr>
        <w:t>institucija</w:t>
      </w:r>
      <w:r w:rsidRPr="009B4B11">
        <w:rPr>
          <w:rFonts w:cs="Arial"/>
          <w:sz w:val="22"/>
          <w:szCs w:val="22"/>
          <w:lang w:val="sr-Latn-ME"/>
        </w:rPr>
        <w:t xml:space="preserve"> koj</w:t>
      </w:r>
      <w:r w:rsidR="009B4B11">
        <w:rPr>
          <w:rFonts w:cs="Arial"/>
          <w:sz w:val="22"/>
          <w:szCs w:val="22"/>
          <w:lang w:val="sr-Latn-ME"/>
        </w:rPr>
        <w:t>e</w:t>
      </w:r>
      <w:r w:rsidRPr="009B4B11">
        <w:rPr>
          <w:rFonts w:cs="Arial"/>
          <w:sz w:val="22"/>
          <w:szCs w:val="22"/>
          <w:lang w:val="sr-Latn-ME"/>
        </w:rPr>
        <w:t xml:space="preserve"> su nezavisn</w:t>
      </w:r>
      <w:r w:rsidR="009B4B11">
        <w:rPr>
          <w:rFonts w:cs="Arial"/>
          <w:sz w:val="22"/>
          <w:szCs w:val="22"/>
          <w:lang w:val="sr-Latn-ME"/>
        </w:rPr>
        <w:t>e</w:t>
      </w:r>
      <w:r w:rsidRPr="009B4B11">
        <w:rPr>
          <w:rFonts w:cs="Arial"/>
          <w:sz w:val="22"/>
          <w:szCs w:val="22"/>
          <w:lang w:val="sr-Latn-ME"/>
        </w:rPr>
        <w:t xml:space="preserve"> od IPA struktura, a bave se politikom suzbijanja nepravilnosti i prevara na nivou sistema).</w:t>
      </w:r>
      <w:r w:rsidRPr="001302F9">
        <w:rPr>
          <w:rFonts w:cs="Arial"/>
          <w:sz w:val="22"/>
          <w:szCs w:val="22"/>
          <w:lang w:val="sr-Latn-ME"/>
        </w:rPr>
        <w:br/>
      </w:r>
    </w:p>
    <w:p w:rsidR="000F471C" w:rsidRPr="003A0155" w:rsidRDefault="00384527" w:rsidP="00AA1A52">
      <w:pPr>
        <w:pStyle w:val="ListParagraph"/>
        <w:ind w:left="0"/>
        <w:rPr>
          <w:rFonts w:cs="Arial"/>
          <w:color w:val="111111"/>
          <w:shd w:val="clear" w:color="auto" w:fill="F7F7F7"/>
          <w:lang w:val="sr-Latn-ME"/>
        </w:rPr>
      </w:pPr>
      <w:r w:rsidRPr="008220AE">
        <w:rPr>
          <w:rFonts w:cs="Arial"/>
          <w:color w:val="111111"/>
          <w:sz w:val="22"/>
          <w:szCs w:val="22"/>
          <w:lang w:val="sr-Latn-ME"/>
        </w:rPr>
        <w:t xml:space="preserve">Greške u administrativnom postupanju </w:t>
      </w:r>
      <w:r w:rsidR="00E8594F" w:rsidRPr="008220AE">
        <w:rPr>
          <w:rFonts w:cs="Arial"/>
          <w:color w:val="111111"/>
          <w:sz w:val="22"/>
          <w:szCs w:val="22"/>
          <w:lang w:val="sr-Latn-ME"/>
        </w:rPr>
        <w:t>se pokazuju kao č</w:t>
      </w:r>
      <w:r w:rsidR="004E1052" w:rsidRPr="008220AE">
        <w:rPr>
          <w:rFonts w:cs="Arial"/>
          <w:color w:val="111111"/>
          <w:sz w:val="22"/>
          <w:szCs w:val="22"/>
          <w:lang w:val="sr-Latn-ME"/>
        </w:rPr>
        <w:t>e</w:t>
      </w:r>
      <w:r w:rsidR="00E8594F" w:rsidRPr="008220AE">
        <w:rPr>
          <w:rFonts w:cs="Arial"/>
          <w:color w:val="111111"/>
          <w:sz w:val="22"/>
          <w:szCs w:val="22"/>
          <w:lang w:val="sr-Latn-ME"/>
        </w:rPr>
        <w:t>ste</w:t>
      </w:r>
      <w:r w:rsidR="004E1052" w:rsidRPr="008220AE">
        <w:rPr>
          <w:rFonts w:cs="Arial"/>
          <w:color w:val="111111"/>
          <w:sz w:val="22"/>
          <w:szCs w:val="22"/>
          <w:lang w:val="sr-Latn-ME"/>
        </w:rPr>
        <w:t xml:space="preserve"> </w:t>
      </w:r>
      <w:r w:rsidR="000F471C" w:rsidRPr="008220AE">
        <w:rPr>
          <w:rFonts w:cs="Arial"/>
          <w:color w:val="111111"/>
          <w:sz w:val="22"/>
          <w:szCs w:val="22"/>
          <w:lang w:val="sr-Latn-ME"/>
        </w:rPr>
        <w:t>što ukazuje na važnost redovnih administrativnih provjera kako bi se osigurala usklađenost sa propisima i otkrile potencijalne nepravilnosti u ranim fazama. Kombinacija redovnih administrativnih provjera, ciljanih kontrola i praćenja ključnih faza implementacije projekata igra ključnu ulogu u osiguravanju transparentnosti i integriteta u upravljanju nacionalnim i EU fondovima</w:t>
      </w:r>
      <w:r w:rsidR="000F471C" w:rsidRPr="003A0155">
        <w:rPr>
          <w:rFonts w:cs="Arial"/>
          <w:color w:val="111111"/>
          <w:shd w:val="clear" w:color="auto" w:fill="F7F7F7"/>
          <w:lang w:val="sr-Latn-ME"/>
        </w:rPr>
        <w:t>.</w:t>
      </w:r>
    </w:p>
    <w:p w:rsidR="000F471C" w:rsidRPr="003A0155" w:rsidRDefault="003A0155" w:rsidP="000F471C">
      <w:pPr>
        <w:jc w:val="both"/>
        <w:rPr>
          <w:rFonts w:ascii="Arial" w:hAnsi="Arial" w:cs="Arial"/>
          <w:color w:val="111111"/>
          <w:shd w:val="clear" w:color="auto" w:fill="F7F7F7"/>
          <w:lang w:val="sr-Latn-ME"/>
        </w:rPr>
      </w:pPr>
      <w:r>
        <w:rPr>
          <w:rFonts w:ascii="Arial" w:hAnsi="Arial" w:cs="Arial"/>
          <w:color w:val="111111"/>
          <w:shd w:val="clear" w:color="auto" w:fill="F7F7F7"/>
          <w:lang w:val="sr-Latn-ME"/>
        </w:rPr>
        <w:t>Od početka perioda izvještavanja kroz IMS, po</w:t>
      </w:r>
      <w:r w:rsidR="000F471C" w:rsidRPr="003A0155">
        <w:rPr>
          <w:rFonts w:ascii="Arial" w:hAnsi="Arial" w:cs="Arial"/>
          <w:color w:val="111111"/>
          <w:shd w:val="clear" w:color="auto" w:fill="F7F7F7"/>
          <w:lang w:val="sr-Latn-ME"/>
        </w:rPr>
        <w:t>čevši od 2018. godine, identifikovano je</w:t>
      </w:r>
      <w:r>
        <w:rPr>
          <w:rFonts w:ascii="Arial" w:hAnsi="Arial" w:cs="Arial"/>
          <w:color w:val="111111"/>
          <w:shd w:val="clear" w:color="auto" w:fill="F7F7F7"/>
          <w:lang w:val="sr-Latn-ME"/>
        </w:rPr>
        <w:t xml:space="preserve"> nepravilnosti u iznosu od</w:t>
      </w:r>
      <w:r w:rsidR="000F471C" w:rsidRPr="003A0155">
        <w:rPr>
          <w:rFonts w:ascii="Arial" w:hAnsi="Arial" w:cs="Arial"/>
          <w:color w:val="111111"/>
          <w:shd w:val="clear" w:color="auto" w:fill="F7F7F7"/>
          <w:lang w:val="sr-Latn-ME"/>
        </w:rPr>
        <w:t xml:space="preserve"> €2,373,208.48, a prosječna stopa otkrivanja nepravilnosti (prevarnih i nepr</w:t>
      </w:r>
      <w:r w:rsidR="00761B71">
        <w:rPr>
          <w:rFonts w:ascii="Arial" w:hAnsi="Arial" w:cs="Arial"/>
          <w:color w:val="111111"/>
          <w:shd w:val="clear" w:color="auto" w:fill="F7F7F7"/>
          <w:lang w:val="sr-Latn-ME"/>
        </w:rPr>
        <w:t>evarnih</w:t>
      </w:r>
      <w:r w:rsidR="000F471C" w:rsidRPr="003A0155">
        <w:rPr>
          <w:rFonts w:ascii="Arial" w:hAnsi="Arial" w:cs="Arial"/>
          <w:color w:val="111111"/>
          <w:shd w:val="clear" w:color="auto" w:fill="F7F7F7"/>
          <w:lang w:val="sr-Latn-ME"/>
        </w:rPr>
        <w:t>) među svim finansijskim komponentama bila je 1.53%. U poređenju sa podacima iz PIF izveštaja 2023. godine</w:t>
      </w:r>
      <w:r w:rsidR="000F471C" w:rsidRPr="003A0155">
        <w:rPr>
          <w:rStyle w:val="FootnoteReference"/>
          <w:rFonts w:ascii="Arial" w:hAnsi="Arial" w:cs="Arial"/>
          <w:color w:val="111111"/>
          <w:shd w:val="clear" w:color="auto" w:fill="F7F7F7"/>
          <w:lang w:val="sr-Latn-ME"/>
        </w:rPr>
        <w:footnoteReference w:id="5"/>
      </w:r>
      <w:r w:rsidR="000F471C" w:rsidRPr="003A0155">
        <w:rPr>
          <w:rFonts w:ascii="Arial" w:hAnsi="Arial" w:cs="Arial"/>
          <w:color w:val="111111"/>
          <w:shd w:val="clear" w:color="auto" w:fill="F7F7F7"/>
          <w:lang w:val="sr-Latn-ME"/>
        </w:rPr>
        <w:t xml:space="preserve"> za 27 članica EU, stopa otkrivanja prevara bila je 0.53%, dok je stopa otkrivanja nepravilnosti (ne prevara) bila 0.67%, što je niže od stope u Crnoj Gori.</w:t>
      </w:r>
    </w:p>
    <w:p w:rsidR="000F471C" w:rsidRPr="001302F9" w:rsidRDefault="000F471C" w:rsidP="000F471C">
      <w:pPr>
        <w:jc w:val="both"/>
        <w:rPr>
          <w:rFonts w:ascii="Arial" w:hAnsi="Arial" w:cs="Arial"/>
          <w:color w:val="111111"/>
          <w:shd w:val="clear" w:color="auto" w:fill="F7F7F7"/>
          <w:lang w:val="sr-Latn-ME"/>
        </w:rPr>
      </w:pPr>
      <w:r w:rsidRPr="00AA1A52">
        <w:rPr>
          <w:rFonts w:ascii="Arial" w:hAnsi="Arial" w:cs="Arial"/>
          <w:color w:val="111111"/>
          <w:shd w:val="clear" w:color="auto" w:fill="F7F7F7"/>
          <w:lang w:val="sr-Latn-ME"/>
        </w:rPr>
        <w:t>U okviru procjene rizika od prevara, utvrđeno je da Implementacionim agencijama/ Posredničkim tijelima za finansijsko upravljanje nedostaje vještina i znanja u oblasti identifikacije nepravilnosti i prijavljivanja sumnjivih postupanja. Aktivnosti podizanja svijesti i obuke trebale bi biti prvenstveno usmjerene na zaposlene u tijelima na implementacionom nivou kako bi se efikasno povećala sposobnost otkrivanja nepravilnosti i sumnje na prevaru</w:t>
      </w:r>
      <w:r w:rsidRPr="00AA1A52">
        <w:rPr>
          <w:rStyle w:val="FootnoteReference"/>
          <w:rFonts w:ascii="Arial" w:hAnsi="Arial" w:cs="Arial"/>
          <w:color w:val="111111"/>
          <w:shd w:val="clear" w:color="auto" w:fill="F7F7F7"/>
          <w:lang w:val="sr-Latn-ME"/>
        </w:rPr>
        <w:footnoteReference w:id="6"/>
      </w:r>
      <w:r w:rsidRPr="00AA1A52">
        <w:rPr>
          <w:rFonts w:ascii="Arial" w:hAnsi="Arial" w:cs="Arial"/>
          <w:color w:val="111111"/>
          <w:shd w:val="clear" w:color="auto" w:fill="F7F7F7"/>
          <w:lang w:val="sr-Latn-ME"/>
        </w:rPr>
        <w:t>. Što se tiče uloge posredničkih tijela za upravljanje sektorskim politikama u okviru IPA II i IPA III programa, važno je uključiti službenike odgovarajućih IPA jedinica u predstojeće obuke u oblasti nepravilnosti.</w:t>
      </w:r>
    </w:p>
    <w:p w:rsidR="009B4B11" w:rsidRPr="009B4B11" w:rsidRDefault="009B4B11" w:rsidP="009B4B11">
      <w:pPr>
        <w:jc w:val="both"/>
        <w:rPr>
          <w:rFonts w:ascii="Arial" w:hAnsi="Arial" w:cs="Arial"/>
          <w:lang w:val="sr-Latn-ME"/>
        </w:rPr>
      </w:pPr>
      <w:r w:rsidRPr="009B4B11">
        <w:rPr>
          <w:rFonts w:ascii="Arial" w:hAnsi="Arial" w:cs="Arial"/>
          <w:lang w:val="sr-Latn-ME"/>
        </w:rPr>
        <w:t>Takođe, zaključeno je da je samo 5% nepravilnosti prijavljeno kao prevar</w:t>
      </w:r>
      <w:r>
        <w:rPr>
          <w:rFonts w:ascii="Arial" w:hAnsi="Arial" w:cs="Arial"/>
          <w:lang w:val="sr-Latn-ME"/>
        </w:rPr>
        <w:t xml:space="preserve">a, dok </w:t>
      </w:r>
      <w:r w:rsidR="000C587D">
        <w:rPr>
          <w:rFonts w:ascii="Arial" w:hAnsi="Arial" w:cs="Arial"/>
          <w:lang w:val="sr-Latn-ME"/>
        </w:rPr>
        <w:t>podaci</w:t>
      </w:r>
      <w:r w:rsidRPr="009B4B11">
        <w:rPr>
          <w:rFonts w:ascii="Arial" w:hAnsi="Arial" w:cs="Arial"/>
          <w:lang w:val="sr-Latn-ME"/>
        </w:rPr>
        <w:t xml:space="preserve"> iz PIF izveštaja 2023. godine </w:t>
      </w:r>
      <w:r w:rsidR="000C587D">
        <w:rPr>
          <w:rFonts w:ascii="Arial" w:hAnsi="Arial" w:cs="Arial"/>
          <w:lang w:val="sr-Latn-ME"/>
        </w:rPr>
        <w:t xml:space="preserve">pokazuju da su, u prosjeku, </w:t>
      </w:r>
      <w:r w:rsidRPr="009B4B11">
        <w:rPr>
          <w:rFonts w:ascii="Arial" w:hAnsi="Arial" w:cs="Arial"/>
          <w:lang w:val="sr-Latn-ME"/>
        </w:rPr>
        <w:t>zemlj</w:t>
      </w:r>
      <w:r w:rsidR="000C587D">
        <w:rPr>
          <w:rFonts w:ascii="Arial" w:hAnsi="Arial" w:cs="Arial"/>
          <w:lang w:val="sr-Latn-ME"/>
        </w:rPr>
        <w:t>e</w:t>
      </w:r>
      <w:r w:rsidRPr="009B4B11">
        <w:rPr>
          <w:rFonts w:ascii="Arial" w:hAnsi="Arial" w:cs="Arial"/>
          <w:lang w:val="sr-Latn-ME"/>
        </w:rPr>
        <w:t xml:space="preserve"> koje primaju  pretpristupna sredstva, </w:t>
      </w:r>
      <w:r w:rsidR="000C587D" w:rsidRPr="009B4B11">
        <w:rPr>
          <w:rFonts w:ascii="Arial" w:hAnsi="Arial" w:cs="Arial"/>
          <w:lang w:val="sr-Latn-ME"/>
        </w:rPr>
        <w:t>prijav</w:t>
      </w:r>
      <w:r w:rsidR="000C587D">
        <w:rPr>
          <w:rFonts w:ascii="Arial" w:hAnsi="Arial" w:cs="Arial"/>
          <w:lang w:val="sr-Latn-ME"/>
        </w:rPr>
        <w:t>ile</w:t>
      </w:r>
      <w:r w:rsidR="000C587D" w:rsidRPr="009B4B11">
        <w:rPr>
          <w:rFonts w:ascii="Arial" w:hAnsi="Arial" w:cs="Arial"/>
          <w:lang w:val="sr-Latn-ME"/>
        </w:rPr>
        <w:t xml:space="preserve"> </w:t>
      </w:r>
      <w:r w:rsidRPr="009B4B11">
        <w:rPr>
          <w:rFonts w:ascii="Arial" w:hAnsi="Arial" w:cs="Arial"/>
          <w:lang w:val="sr-Latn-ME"/>
        </w:rPr>
        <w:t>oko 8% nepravilnosti</w:t>
      </w:r>
      <w:r w:rsidR="000C587D">
        <w:rPr>
          <w:rFonts w:ascii="Arial" w:hAnsi="Arial" w:cs="Arial"/>
          <w:lang w:val="sr-Latn-ME"/>
        </w:rPr>
        <w:t xml:space="preserve"> </w:t>
      </w:r>
      <w:r w:rsidRPr="009B4B11">
        <w:rPr>
          <w:rFonts w:ascii="Arial" w:hAnsi="Arial" w:cs="Arial"/>
          <w:lang w:val="sr-Latn-ME"/>
        </w:rPr>
        <w:t>kao prevar</w:t>
      </w:r>
      <w:r w:rsidR="000C587D">
        <w:rPr>
          <w:rFonts w:ascii="Arial" w:hAnsi="Arial" w:cs="Arial"/>
          <w:lang w:val="sr-Latn-ME"/>
        </w:rPr>
        <w:t>u</w:t>
      </w:r>
      <w:r w:rsidRPr="009B4B11">
        <w:rPr>
          <w:rFonts w:ascii="Arial" w:hAnsi="Arial" w:cs="Arial"/>
          <w:lang w:val="sr-Latn-ME"/>
        </w:rPr>
        <w:t xml:space="preserve">. </w:t>
      </w:r>
      <w:r w:rsidR="000C587D">
        <w:rPr>
          <w:rFonts w:ascii="Arial" w:hAnsi="Arial" w:cs="Arial"/>
          <w:lang w:val="sr-Latn-ME"/>
        </w:rPr>
        <w:t>Iako se o</w:t>
      </w:r>
      <w:r w:rsidRPr="009B4B11">
        <w:rPr>
          <w:rFonts w:ascii="Arial" w:hAnsi="Arial" w:cs="Arial"/>
          <w:lang w:val="sr-Latn-ME"/>
        </w:rPr>
        <w:t xml:space="preserve">vaj procenat (nivoi učestalosti prevara – FFL) mijenjao tokom vremena </w:t>
      </w:r>
      <w:r w:rsidR="000C587D">
        <w:rPr>
          <w:rFonts w:ascii="Arial" w:hAnsi="Arial" w:cs="Arial"/>
          <w:lang w:val="sr-Latn-ME"/>
        </w:rPr>
        <w:t>(</w:t>
      </w:r>
      <w:r w:rsidRPr="009B4B11">
        <w:rPr>
          <w:rFonts w:ascii="Arial" w:hAnsi="Arial" w:cs="Arial"/>
          <w:lang w:val="sr-Latn-ME"/>
        </w:rPr>
        <w:t>značajno se povećavao tokom 2020. godine (15%) i dostigao vrhunac u 2021. godini (19%)</w:t>
      </w:r>
      <w:r w:rsidR="000C587D">
        <w:rPr>
          <w:rFonts w:ascii="Arial" w:hAnsi="Arial" w:cs="Arial"/>
          <w:lang w:val="sr-Latn-ME"/>
        </w:rPr>
        <w:t>),</w:t>
      </w:r>
      <w:r w:rsidRPr="009B4B11">
        <w:rPr>
          <w:rFonts w:ascii="Arial" w:hAnsi="Arial" w:cs="Arial"/>
          <w:lang w:val="sr-Latn-ME"/>
        </w:rPr>
        <w:t xml:space="preserve"> </w:t>
      </w:r>
      <w:r w:rsidR="000C587D">
        <w:rPr>
          <w:rFonts w:ascii="Arial" w:hAnsi="Arial" w:cs="Arial"/>
          <w:lang w:val="sr-Latn-ME"/>
        </w:rPr>
        <w:t>o</w:t>
      </w:r>
      <w:r w:rsidRPr="009B4B11">
        <w:rPr>
          <w:rFonts w:ascii="Arial" w:hAnsi="Arial" w:cs="Arial"/>
          <w:lang w:val="sr-Latn-ME"/>
        </w:rPr>
        <w:t xml:space="preserve">ve razlike u podacima ukazuju da u Crnoj Gori </w:t>
      </w:r>
      <w:r w:rsidR="000C587D">
        <w:rPr>
          <w:rFonts w:ascii="Arial" w:hAnsi="Arial" w:cs="Arial"/>
          <w:lang w:val="sr-Latn-ME"/>
        </w:rPr>
        <w:t>može</w:t>
      </w:r>
      <w:r w:rsidRPr="009B4B11">
        <w:rPr>
          <w:rFonts w:ascii="Arial" w:hAnsi="Arial" w:cs="Arial"/>
          <w:lang w:val="sr-Latn-ME"/>
        </w:rPr>
        <w:t xml:space="preserve"> postoj</w:t>
      </w:r>
      <w:r w:rsidR="000C587D">
        <w:rPr>
          <w:rFonts w:ascii="Arial" w:hAnsi="Arial" w:cs="Arial"/>
          <w:lang w:val="sr-Latn-ME"/>
        </w:rPr>
        <w:t xml:space="preserve">ati značajan broj </w:t>
      </w:r>
      <w:r w:rsidRPr="009B4B11">
        <w:rPr>
          <w:rFonts w:ascii="Arial" w:hAnsi="Arial" w:cs="Arial"/>
          <w:lang w:val="sr-Latn-ME"/>
        </w:rPr>
        <w:t xml:space="preserve">prevara </w:t>
      </w:r>
      <w:r w:rsidR="000C587D">
        <w:rPr>
          <w:rFonts w:ascii="Arial" w:hAnsi="Arial" w:cs="Arial"/>
          <w:lang w:val="sr-Latn-ME"/>
        </w:rPr>
        <w:t xml:space="preserve">koje nisu otkrive </w:t>
      </w:r>
      <w:r w:rsidRPr="009B4B11">
        <w:rPr>
          <w:rFonts w:ascii="Arial" w:hAnsi="Arial" w:cs="Arial"/>
          <w:lang w:val="sr-Latn-ME"/>
        </w:rPr>
        <w:t xml:space="preserve">zbog nedovoljnih kapaciteta  u okviru IPA sistema upravljanja i kontrole, te se stoga aktivnosti za poboljšanje vještina i alata za bolju detekciju uključuju u novu Strategiju </w:t>
      </w:r>
      <w:r w:rsidR="000C587D">
        <w:rPr>
          <w:rFonts w:ascii="Arial" w:hAnsi="Arial" w:cs="Arial"/>
          <w:lang w:val="sr-Latn-ME"/>
        </w:rPr>
        <w:t>i</w:t>
      </w:r>
      <w:r w:rsidRPr="009B4B11">
        <w:rPr>
          <w:rFonts w:ascii="Arial" w:hAnsi="Arial" w:cs="Arial"/>
          <w:lang w:val="sr-Latn-ME"/>
        </w:rPr>
        <w:t xml:space="preserve"> njen Akcioni plan.</w:t>
      </w:r>
    </w:p>
    <w:p w:rsidR="009B4B11" w:rsidRPr="000C587D" w:rsidRDefault="009B4B11" w:rsidP="009B4B11">
      <w:pPr>
        <w:jc w:val="both"/>
        <w:rPr>
          <w:rFonts w:ascii="Arial" w:hAnsi="Arial" w:cs="Arial"/>
          <w:i/>
          <w:lang w:val="sr-Latn-ME"/>
        </w:rPr>
      </w:pPr>
      <w:r w:rsidRPr="000C587D">
        <w:rPr>
          <w:rFonts w:ascii="Arial" w:hAnsi="Arial" w:cs="Arial"/>
          <w:i/>
          <w:lang w:val="sr-Latn-ME"/>
        </w:rPr>
        <w:t>• Prijavljivanje prevara i nepravilnosti</w:t>
      </w:r>
    </w:p>
    <w:p w:rsidR="009B4B11" w:rsidRPr="009B4B11" w:rsidRDefault="009B4B11" w:rsidP="000C587D">
      <w:pPr>
        <w:jc w:val="both"/>
        <w:rPr>
          <w:rFonts w:ascii="Arial" w:hAnsi="Arial" w:cs="Arial"/>
          <w:lang w:val="sr-Latn-ME"/>
        </w:rPr>
      </w:pPr>
      <w:r w:rsidRPr="009B4B11">
        <w:rPr>
          <w:rFonts w:ascii="Arial" w:hAnsi="Arial" w:cs="Arial"/>
          <w:lang w:val="sr-Latn-ME"/>
        </w:rPr>
        <w:t xml:space="preserve">Cilj prijavljivanja nepravilnosti je pravilno otkrivanje informacija o identifikovanim slučajevima nepravilnosti i sumnje na prevaru. Takođe, Izvještaj o nepravilnostima odražava efikasno funkcionisanje </w:t>
      </w:r>
      <w:r w:rsidR="000C587D">
        <w:rPr>
          <w:rFonts w:ascii="Arial" w:hAnsi="Arial" w:cs="Arial"/>
          <w:lang w:val="sr-Latn-ME"/>
        </w:rPr>
        <w:t>s</w:t>
      </w:r>
      <w:r w:rsidRPr="009B4B11">
        <w:rPr>
          <w:rFonts w:ascii="Arial" w:hAnsi="Arial" w:cs="Arial"/>
          <w:lang w:val="sr-Latn-ME"/>
        </w:rPr>
        <w:t>istema zaštite finansijskih interesa EU</w:t>
      </w:r>
      <w:r w:rsidR="006C6B2A">
        <w:rPr>
          <w:rFonts w:ascii="Arial" w:hAnsi="Arial" w:cs="Arial"/>
          <w:lang w:val="sr-Latn-ME"/>
        </w:rPr>
        <w:t>,</w:t>
      </w:r>
      <w:r w:rsidRPr="009B4B11">
        <w:rPr>
          <w:rFonts w:ascii="Arial" w:hAnsi="Arial" w:cs="Arial"/>
          <w:lang w:val="sr-Latn-ME"/>
        </w:rPr>
        <w:t xml:space="preserve"> na način koji jasno pokazuje da li nadležn</w:t>
      </w:r>
      <w:r w:rsidR="000C587D">
        <w:rPr>
          <w:rFonts w:ascii="Arial" w:hAnsi="Arial" w:cs="Arial"/>
          <w:lang w:val="sr-Latn-ME"/>
        </w:rPr>
        <w:t xml:space="preserve">e institucije </w:t>
      </w:r>
      <w:r w:rsidRPr="009B4B11">
        <w:rPr>
          <w:rFonts w:ascii="Arial" w:hAnsi="Arial" w:cs="Arial"/>
          <w:lang w:val="sr-Latn-ME"/>
        </w:rPr>
        <w:t>znaju kako da kvalifikuju nepravilnost, kako i koliko brzo djeluju u slučajevima identifikovanih nepravilnosti i prevara, kao i da li postoje svi mehanizmi kako bi se obezbijedio povra</w:t>
      </w:r>
      <w:r w:rsidR="000C587D">
        <w:rPr>
          <w:rFonts w:ascii="Arial" w:hAnsi="Arial" w:cs="Arial"/>
          <w:lang w:val="sr-Latn-ME"/>
        </w:rPr>
        <w:t>ćaj</w:t>
      </w:r>
      <w:r w:rsidRPr="009B4B11">
        <w:rPr>
          <w:rFonts w:ascii="Arial" w:hAnsi="Arial" w:cs="Arial"/>
          <w:lang w:val="sr-Latn-ME"/>
        </w:rPr>
        <w:t xml:space="preserve"> sredstava u budžet EU i sankcionisali prekršioci.</w:t>
      </w:r>
    </w:p>
    <w:p w:rsidR="009B4B11" w:rsidRDefault="009B4B11" w:rsidP="000C587D">
      <w:pPr>
        <w:jc w:val="both"/>
        <w:rPr>
          <w:rFonts w:ascii="Arial" w:hAnsi="Arial" w:cs="Arial"/>
          <w:lang w:val="sr-Latn-ME"/>
        </w:rPr>
      </w:pPr>
      <w:r w:rsidRPr="009B4B11">
        <w:rPr>
          <w:rFonts w:ascii="Arial" w:hAnsi="Arial" w:cs="Arial"/>
          <w:lang w:val="sr-Latn-ME"/>
        </w:rPr>
        <w:t xml:space="preserve">Odgovornost za prijavljivanje nepravilnosti leži na zemlji korisnici </w:t>
      </w:r>
      <w:r w:rsidR="006C6B2A">
        <w:rPr>
          <w:rFonts w:ascii="Arial" w:hAnsi="Arial" w:cs="Arial"/>
          <w:lang w:val="sr-Latn-ME"/>
        </w:rPr>
        <w:t xml:space="preserve">EU </w:t>
      </w:r>
      <w:r w:rsidRPr="009B4B11">
        <w:rPr>
          <w:rFonts w:ascii="Arial" w:hAnsi="Arial" w:cs="Arial"/>
          <w:lang w:val="sr-Latn-ME"/>
        </w:rPr>
        <w:t>pomoći. U tom smislu, sve nadležne institucije u Crnoj Gori koje su uključene u implementaciju IPA II i IPA III programa (IPA strukture)</w:t>
      </w:r>
      <w:r w:rsidR="006C6B2A">
        <w:rPr>
          <w:rFonts w:ascii="Arial" w:hAnsi="Arial" w:cs="Arial"/>
          <w:lang w:val="sr-Latn-ME"/>
        </w:rPr>
        <w:t xml:space="preserve"> i drugih instrumenata EU pomoći</w:t>
      </w:r>
      <w:r w:rsidRPr="009B4B11">
        <w:rPr>
          <w:rFonts w:ascii="Arial" w:hAnsi="Arial" w:cs="Arial"/>
          <w:lang w:val="sr-Latn-ME"/>
        </w:rPr>
        <w:t xml:space="preserve"> obavezne su da prijave nepravilnosti.</w:t>
      </w:r>
    </w:p>
    <w:p w:rsidR="000F471C" w:rsidRPr="008D554D" w:rsidRDefault="000F471C" w:rsidP="008D554D">
      <w:pPr>
        <w:jc w:val="both"/>
        <w:rPr>
          <w:rFonts w:ascii="Arial" w:hAnsi="Arial" w:cs="Arial"/>
          <w:color w:val="111111"/>
          <w:shd w:val="clear" w:color="auto" w:fill="F7F7F7"/>
          <w:lang w:val="sr-Latn-ME"/>
        </w:rPr>
      </w:pPr>
      <w:r w:rsidRPr="001302F9">
        <w:rPr>
          <w:rFonts w:ascii="Arial" w:hAnsi="Arial" w:cs="Arial"/>
          <w:lang w:val="sr-Latn-ME"/>
        </w:rPr>
        <w:t>Pravna osnova za obavezu prijavljivanja nepravilnosti utvrđena je Okvirnim sporazumom, kao i Uredbom o organizaciji indirektnog upravljanja sprovođenja finansijske pomoći u okviru instrumenta pretpristupne podrške Evropske unije (IPA II I IPA III) i važećoj verziji Priručnika</w:t>
      </w:r>
      <w:r w:rsidR="000C587D">
        <w:rPr>
          <w:rFonts w:ascii="Arial" w:hAnsi="Arial" w:cs="Arial"/>
          <w:lang w:val="sr-Latn-ME"/>
        </w:rPr>
        <w:t xml:space="preserve"> o </w:t>
      </w:r>
      <w:r w:rsidRPr="001302F9">
        <w:rPr>
          <w:rFonts w:ascii="Arial" w:hAnsi="Arial" w:cs="Arial"/>
          <w:lang w:val="sr-Latn-ME"/>
        </w:rPr>
        <w:t>procedura</w:t>
      </w:r>
      <w:r w:rsidR="000C587D">
        <w:rPr>
          <w:rFonts w:ascii="Arial" w:hAnsi="Arial" w:cs="Arial"/>
          <w:lang w:val="sr-Latn-ME"/>
        </w:rPr>
        <w:t>ma,</w:t>
      </w:r>
      <w:r w:rsidRPr="001302F9">
        <w:rPr>
          <w:rFonts w:ascii="Arial" w:hAnsi="Arial" w:cs="Arial"/>
          <w:lang w:val="sr-Latn-ME"/>
        </w:rPr>
        <w:t xml:space="preserve"> za referentne programe.</w:t>
      </w:r>
      <w:r w:rsidR="000C587D">
        <w:rPr>
          <w:rFonts w:ascii="Arial" w:hAnsi="Arial" w:cs="Arial"/>
          <w:lang w:val="sr-Latn-ME"/>
        </w:rPr>
        <w:t xml:space="preserve"> </w:t>
      </w:r>
      <w:r w:rsidRPr="001302F9">
        <w:rPr>
          <w:rFonts w:ascii="Arial" w:hAnsi="Arial" w:cs="Arial"/>
          <w:lang w:val="sr-Latn-ME"/>
        </w:rPr>
        <w:t xml:space="preserve">U slučajevima sumnje na nepravilnosti, kao i u slučajevima identifikovanih nepravilnosti i sumnje na prevaru, koordinaciju </w:t>
      </w:r>
      <w:r w:rsidR="000C587D">
        <w:rPr>
          <w:rFonts w:ascii="Arial" w:hAnsi="Arial" w:cs="Arial"/>
          <w:lang w:val="sr-Latn-ME"/>
        </w:rPr>
        <w:t xml:space="preserve">prijavljivanja </w:t>
      </w:r>
      <w:r w:rsidRPr="001302F9">
        <w:rPr>
          <w:rFonts w:ascii="Arial" w:hAnsi="Arial" w:cs="Arial"/>
          <w:lang w:val="sr-Latn-ME"/>
        </w:rPr>
        <w:t>(prikupljanje informacija i prijavljivanje nepravilnosti i sumnje na prevaru) vrše službenici za nepravilnosti imenovani u IPA strukturama.</w:t>
      </w:r>
      <w:r w:rsidR="000C587D">
        <w:rPr>
          <w:rFonts w:ascii="Arial" w:hAnsi="Arial" w:cs="Arial"/>
          <w:lang w:val="sr-Latn-ME"/>
        </w:rPr>
        <w:t xml:space="preserve"> </w:t>
      </w:r>
      <w:r w:rsidRPr="001302F9">
        <w:rPr>
          <w:rFonts w:ascii="Arial" w:hAnsi="Arial" w:cs="Arial"/>
          <w:lang w:val="sr-Latn-ME"/>
        </w:rPr>
        <w:t xml:space="preserve">Proces utvrđivanja autentičnosti informacija o sumnji na nepravilnost ili prevaru započinje nakon prijema informacija i završava PACA dokumentom kojim se utvrđuje postojanje nepravilnosti ili sumnje na prevaru. Konkretno, PACA je definisana kao prvi pisani nalaz nadležnog organa, bilo administrativnog ili pravosudnog, zasnovan na određenim činjenicama koje ukazuju na to da je počinjena nepravilnost, bez prejudiciranja mogućnosti da odluka bude kasnije promijenjena ili povučena kao rezultat daljih administrativnih ili pravosudnih postupaka. NAO je odgovoran za prijavljivanje Evropskoj komisiji, svake sumnje na prevaru i drugih nepravilnosti koje su bile predmet primarnog administrativnog ili pravosudnog nalaza, bez odlaganja, i </w:t>
      </w:r>
      <w:r w:rsidR="002446CF">
        <w:rPr>
          <w:rFonts w:ascii="Arial" w:hAnsi="Arial" w:cs="Arial"/>
          <w:lang w:val="sr-Latn-ME"/>
        </w:rPr>
        <w:t>dužan je</w:t>
      </w:r>
      <w:r w:rsidRPr="001302F9">
        <w:rPr>
          <w:rFonts w:ascii="Arial" w:hAnsi="Arial" w:cs="Arial"/>
          <w:lang w:val="sr-Latn-ME"/>
        </w:rPr>
        <w:t xml:space="preserve"> stalno obavještavati  o napretku administrativnih i pravnih postupaka, istovremeno  obavještavajući i Direkciju za zaštitu finansijskih interesa EU/AFCOS.</w:t>
      </w:r>
      <w:r w:rsidR="008D554D">
        <w:rPr>
          <w:rFonts w:ascii="Arial" w:hAnsi="Arial" w:cs="Arial"/>
          <w:lang w:val="sr-Latn-ME"/>
        </w:rPr>
        <w:t xml:space="preserve"> </w:t>
      </w:r>
      <w:r w:rsidRPr="001302F9">
        <w:rPr>
          <w:rFonts w:ascii="Arial" w:hAnsi="Arial" w:cs="Arial"/>
          <w:lang w:val="sr-Latn-ME"/>
        </w:rPr>
        <w:t>Prijavljivanje nepravilnosti vrši se elektronskim putem, korišćenjem IMS sistema koji je uspostavila EK za ovu svrhu.</w:t>
      </w:r>
      <w:r w:rsidRPr="001302F9">
        <w:rPr>
          <w:rFonts w:ascii="Arial" w:hAnsi="Arial" w:cs="Arial"/>
          <w:lang w:val="sr-Latn-ME"/>
        </w:rPr>
        <w:br/>
        <w:t>U skladu sa Smjernicama za prijavljivanje nepravilnosti, propisano je da detekcija nepravilnosti i donošenje zaključka o postojanju/nepostojanju nepravilnosti treba da se izvrši u roku od 30 radnih dana od dana pokretanja postupka utvrđivanja, a samo u posebnim i opravdanim slučajevima ovaj rok može biti produžen</w:t>
      </w:r>
      <w:r w:rsidR="008D554D">
        <w:rPr>
          <w:rFonts w:ascii="Arial" w:hAnsi="Arial" w:cs="Arial"/>
          <w:lang w:val="sr-Latn-ME"/>
        </w:rPr>
        <w:t>,</w:t>
      </w:r>
      <w:r w:rsidRPr="001302F9">
        <w:rPr>
          <w:rFonts w:ascii="Arial" w:hAnsi="Arial" w:cs="Arial"/>
          <w:lang w:val="sr-Latn-ME"/>
        </w:rPr>
        <w:t xml:space="preserve"> uz prethodnu saglasnost NAO-a.</w:t>
      </w:r>
      <w:r w:rsidRPr="001302F9">
        <w:rPr>
          <w:rFonts w:ascii="Arial" w:hAnsi="Arial" w:cs="Arial"/>
          <w:lang w:val="sr-Latn-ME"/>
        </w:rPr>
        <w:br/>
        <w:t>Međutim, prema informacijama iz IMS-a, zaključeno je da je većina nepravilnosti prijavljena nakon dužeg vremenskog perioda – 75% slučajeva prijavljeno je u roku od 3 do 6 meseci ili duže</w:t>
      </w:r>
      <w:r w:rsidRPr="001302F9">
        <w:rPr>
          <w:rStyle w:val="FootnoteReference"/>
          <w:rFonts w:ascii="Arial" w:hAnsi="Arial" w:cs="Arial"/>
          <w:lang w:val="sr-Latn-ME"/>
        </w:rPr>
        <w:footnoteReference w:id="7"/>
      </w:r>
      <w:r w:rsidRPr="001302F9">
        <w:rPr>
          <w:rFonts w:ascii="Arial" w:hAnsi="Arial" w:cs="Arial"/>
          <w:lang w:val="sr-Latn-ME"/>
        </w:rPr>
        <w:t>. Ovaj problem treba da se tretira sa najvećom pažnjom u narednom periodu kako bi se potpuno poštovao period prijavljivanja predviđen procedurama.</w:t>
      </w:r>
    </w:p>
    <w:p w:rsidR="000F471C" w:rsidRPr="001302F9" w:rsidRDefault="000F471C" w:rsidP="000F471C">
      <w:pPr>
        <w:rPr>
          <w:rFonts w:ascii="Arial" w:hAnsi="Arial" w:cs="Arial"/>
          <w:lang w:val="sr-Latn-ME"/>
        </w:rPr>
      </w:pPr>
    </w:p>
    <w:p w:rsidR="000F471C" w:rsidRPr="001302F9" w:rsidRDefault="000F471C" w:rsidP="000F471C">
      <w:pPr>
        <w:pStyle w:val="NoSpacing"/>
        <w:jc w:val="both"/>
        <w:rPr>
          <w:rStyle w:val="Strong"/>
          <w:rFonts w:ascii="Arial" w:hAnsi="Arial" w:cs="Arial"/>
          <w:lang w:val="sr-Latn-ME"/>
        </w:rPr>
      </w:pPr>
      <w:r w:rsidRPr="008D554D">
        <w:rPr>
          <w:rFonts w:ascii="Arial" w:hAnsi="Arial" w:cs="Arial"/>
          <w:b/>
          <w:lang w:val="sr-Latn-ME"/>
        </w:rPr>
        <w:t>2.6.3.</w:t>
      </w:r>
      <w:r w:rsidRPr="001302F9">
        <w:rPr>
          <w:rFonts w:ascii="Arial" w:hAnsi="Arial" w:cs="Arial"/>
          <w:lang w:val="sr-Latn-ME"/>
        </w:rPr>
        <w:t xml:space="preserve"> </w:t>
      </w:r>
      <w:r w:rsidRPr="001302F9">
        <w:rPr>
          <w:rStyle w:val="Strong"/>
          <w:rFonts w:ascii="Arial" w:hAnsi="Arial" w:cs="Arial"/>
          <w:lang w:val="sr-Latn-ME"/>
        </w:rPr>
        <w:t>Istraga prevara i krivično gonjenje</w:t>
      </w:r>
    </w:p>
    <w:p w:rsidR="000F471C" w:rsidRPr="001302F9" w:rsidRDefault="000F471C" w:rsidP="000F471C">
      <w:pPr>
        <w:pStyle w:val="NoSpacing"/>
        <w:jc w:val="both"/>
        <w:rPr>
          <w:rFonts w:ascii="Arial" w:hAnsi="Arial" w:cs="Arial"/>
          <w:lang w:val="sr-Latn-ME"/>
        </w:rPr>
      </w:pPr>
      <w:r w:rsidRPr="001302F9">
        <w:rPr>
          <w:rFonts w:ascii="Arial" w:hAnsi="Arial" w:cs="Arial"/>
          <w:lang w:val="sr-Latn-ME"/>
        </w:rPr>
        <w:br/>
        <w:t>U skladu sa članom 51 (5f) Okvirnog sporazuma, sumnja na prevaru znači nepravilnost koja dovodi do pokretanja administrativnih ili pravosudnih postupaka na nacionalnom nivou kako bi se utvrdilo postojanje namjernog ponašanja.</w:t>
      </w:r>
    </w:p>
    <w:p w:rsidR="000F471C" w:rsidRPr="001302F9" w:rsidRDefault="000F471C" w:rsidP="000F471C">
      <w:pPr>
        <w:pStyle w:val="NoSpacing"/>
        <w:jc w:val="both"/>
        <w:rPr>
          <w:rFonts w:ascii="Arial" w:hAnsi="Arial" w:cs="Arial"/>
          <w:lang w:val="sr-Latn-ME"/>
        </w:rPr>
      </w:pPr>
      <w:r w:rsidRPr="001302F9">
        <w:rPr>
          <w:rFonts w:ascii="Arial" w:hAnsi="Arial" w:cs="Arial"/>
          <w:lang w:val="sr-Latn-ME"/>
        </w:rPr>
        <w:br/>
        <w:t>Sa druge strane, u skladu sa članom 51 (5e) Okvirnog sporazuma, prevara znači bilo koji nam</w:t>
      </w:r>
      <w:r w:rsidR="00D66209">
        <w:rPr>
          <w:rFonts w:ascii="Arial" w:hAnsi="Arial" w:cs="Arial"/>
          <w:lang w:val="sr-Latn-ME"/>
        </w:rPr>
        <w:t>j</w:t>
      </w:r>
      <w:r w:rsidRPr="001302F9">
        <w:rPr>
          <w:rFonts w:ascii="Arial" w:hAnsi="Arial" w:cs="Arial"/>
          <w:lang w:val="sr-Latn-ME"/>
        </w:rPr>
        <w:t>erni akt ili propust koji se odnosi na:</w:t>
      </w:r>
    </w:p>
    <w:p w:rsidR="000F471C" w:rsidRPr="001302F9" w:rsidRDefault="000F471C" w:rsidP="000F471C">
      <w:pPr>
        <w:pStyle w:val="NoSpacing"/>
        <w:jc w:val="both"/>
        <w:rPr>
          <w:rFonts w:ascii="Arial" w:hAnsi="Arial" w:cs="Arial"/>
          <w:lang w:val="sr-Latn-ME"/>
        </w:rPr>
      </w:pPr>
      <w:r w:rsidRPr="001302F9">
        <w:rPr>
          <w:rFonts w:ascii="Arial" w:hAnsi="Arial" w:cs="Arial"/>
          <w:lang w:val="sr-Latn-ME"/>
        </w:rPr>
        <w:br/>
        <w:t>– korišćenje ili predstavljanje lažnih, netačnih ili nepotpunih izjava ili dokumenata, što ima za posl</w:t>
      </w:r>
      <w:r w:rsidR="00D66209">
        <w:rPr>
          <w:rFonts w:ascii="Arial" w:hAnsi="Arial" w:cs="Arial"/>
          <w:lang w:val="sr-Latn-ME"/>
        </w:rPr>
        <w:t>j</w:t>
      </w:r>
      <w:r w:rsidRPr="001302F9">
        <w:rPr>
          <w:rFonts w:ascii="Arial" w:hAnsi="Arial" w:cs="Arial"/>
          <w:lang w:val="sr-Latn-ME"/>
        </w:rPr>
        <w:t>edicu nezakonito prisvajanje ili neosnovano zadržavanje sredstava iz opšteg budžeta Unije ili budžeta kojima upravlja EU ili se upravlja u njeno ime;</w:t>
      </w:r>
    </w:p>
    <w:p w:rsidR="000F471C" w:rsidRPr="001302F9" w:rsidRDefault="000F471C" w:rsidP="000F471C">
      <w:pPr>
        <w:pStyle w:val="NoSpacing"/>
        <w:jc w:val="both"/>
        <w:rPr>
          <w:rFonts w:ascii="Arial" w:hAnsi="Arial" w:cs="Arial"/>
          <w:lang w:val="sr-Latn-ME"/>
        </w:rPr>
      </w:pPr>
      <w:r w:rsidRPr="001302F9">
        <w:rPr>
          <w:rFonts w:ascii="Arial" w:hAnsi="Arial" w:cs="Arial"/>
          <w:lang w:val="sr-Latn-ME"/>
        </w:rPr>
        <w:br/>
        <w:t>– neobjavljivanje informacija u suprotnosti sa specifičnom obavezom sa istim učinkom;</w:t>
      </w:r>
    </w:p>
    <w:p w:rsidR="000F471C" w:rsidRPr="001302F9" w:rsidRDefault="000F471C" w:rsidP="000F471C">
      <w:pPr>
        <w:pStyle w:val="NoSpacing"/>
        <w:jc w:val="both"/>
        <w:rPr>
          <w:rFonts w:ascii="Arial" w:hAnsi="Arial" w:cs="Arial"/>
          <w:lang w:val="sr-Latn-ME"/>
        </w:rPr>
      </w:pPr>
      <w:r w:rsidRPr="001302F9">
        <w:rPr>
          <w:rFonts w:ascii="Arial" w:hAnsi="Arial" w:cs="Arial"/>
          <w:lang w:val="sr-Latn-ME"/>
        </w:rPr>
        <w:br/>
        <w:t>– neprimjerena primjena tih sredstava za druge svrhe osim onih za koje su izvorno dodijeljena.</w:t>
      </w:r>
    </w:p>
    <w:p w:rsidR="000F471C" w:rsidRPr="001302F9" w:rsidRDefault="000F471C" w:rsidP="000F471C">
      <w:pPr>
        <w:pStyle w:val="NoSpacing"/>
        <w:jc w:val="both"/>
        <w:rPr>
          <w:rFonts w:ascii="Arial" w:hAnsi="Arial" w:cs="Arial"/>
          <w:lang w:val="sr-Latn-ME"/>
        </w:rPr>
      </w:pPr>
      <w:r w:rsidRPr="001302F9">
        <w:rPr>
          <w:rFonts w:ascii="Arial" w:hAnsi="Arial" w:cs="Arial"/>
          <w:lang w:val="sr-Latn-ME"/>
        </w:rPr>
        <w:br/>
        <w:t xml:space="preserve">Takođe, član 51 (5g i h) Okvirnog sporazuma definiše </w:t>
      </w:r>
      <w:r w:rsidR="00D66209">
        <w:rPr>
          <w:rFonts w:ascii="Arial" w:hAnsi="Arial" w:cs="Arial"/>
          <w:lang w:val="sr-Latn-ME"/>
        </w:rPr>
        <w:t>a</w:t>
      </w:r>
      <w:r w:rsidRPr="001302F9">
        <w:rPr>
          <w:rFonts w:ascii="Arial" w:hAnsi="Arial" w:cs="Arial"/>
          <w:lang w:val="sr-Latn-ME"/>
        </w:rPr>
        <w:t xml:space="preserve">ktivnu i </w:t>
      </w:r>
      <w:r w:rsidR="00D66209">
        <w:rPr>
          <w:rFonts w:ascii="Arial" w:hAnsi="Arial" w:cs="Arial"/>
          <w:lang w:val="sr-Latn-ME"/>
        </w:rPr>
        <w:t>p</w:t>
      </w:r>
      <w:r w:rsidRPr="001302F9">
        <w:rPr>
          <w:rFonts w:ascii="Arial" w:hAnsi="Arial" w:cs="Arial"/>
          <w:lang w:val="sr-Latn-ME"/>
        </w:rPr>
        <w:t xml:space="preserve">asivnu </w:t>
      </w:r>
      <w:r w:rsidR="00D66209">
        <w:rPr>
          <w:rFonts w:ascii="Arial" w:hAnsi="Arial" w:cs="Arial"/>
          <w:lang w:val="sr-Latn-ME"/>
        </w:rPr>
        <w:t>k</w:t>
      </w:r>
      <w:r w:rsidRPr="001302F9">
        <w:rPr>
          <w:rFonts w:ascii="Arial" w:hAnsi="Arial" w:cs="Arial"/>
          <w:lang w:val="sr-Latn-ME"/>
        </w:rPr>
        <w:t>orupciju.</w:t>
      </w:r>
      <w:r w:rsidRPr="001302F9">
        <w:rPr>
          <w:rFonts w:ascii="Arial" w:hAnsi="Arial" w:cs="Arial"/>
          <w:lang w:val="sr-Latn-ME"/>
        </w:rPr>
        <w:br/>
        <w:t>Krivična d</w:t>
      </w:r>
      <w:r w:rsidR="00D66209">
        <w:rPr>
          <w:rFonts w:ascii="Arial" w:hAnsi="Arial" w:cs="Arial"/>
          <w:lang w:val="sr-Latn-ME"/>
        </w:rPr>
        <w:t>j</w:t>
      </w:r>
      <w:r w:rsidRPr="001302F9">
        <w:rPr>
          <w:rFonts w:ascii="Arial" w:hAnsi="Arial" w:cs="Arial"/>
          <w:lang w:val="sr-Latn-ME"/>
        </w:rPr>
        <w:t>ela se definišu na nacionalnom nivou Zakonom o krivičnom postupku.</w:t>
      </w:r>
      <w:r w:rsidRPr="001302F9">
        <w:rPr>
          <w:rFonts w:ascii="Arial" w:hAnsi="Arial" w:cs="Arial"/>
          <w:lang w:val="sr-Latn-ME"/>
        </w:rPr>
        <w:br/>
        <w:t>U slučaju sumnje na prevaru, Implementaciona agencija/Posredničko t</w:t>
      </w:r>
      <w:r w:rsidR="00D66209">
        <w:rPr>
          <w:rFonts w:ascii="Arial" w:hAnsi="Arial" w:cs="Arial"/>
          <w:lang w:val="sr-Latn-ME"/>
        </w:rPr>
        <w:t>i</w:t>
      </w:r>
      <w:r w:rsidRPr="001302F9">
        <w:rPr>
          <w:rFonts w:ascii="Arial" w:hAnsi="Arial" w:cs="Arial"/>
          <w:lang w:val="sr-Latn-ME"/>
        </w:rPr>
        <w:t>jelo za finansijsko upravljanje (šef tijela/ovlašćeno lice) odmah po saznanju o sumnji na prevaru i uz saglasnost NAO-a, šalje zvanično pismo, kao i svu relevantnu dokumentaciju Vrhovnom državnom tužilaštvu.</w:t>
      </w:r>
    </w:p>
    <w:p w:rsidR="000F471C" w:rsidRPr="001302F9" w:rsidRDefault="000F471C" w:rsidP="000F471C">
      <w:pPr>
        <w:pStyle w:val="NoSpacing"/>
        <w:jc w:val="both"/>
        <w:rPr>
          <w:rFonts w:ascii="Arial" w:hAnsi="Arial" w:cs="Arial"/>
          <w:lang w:val="sr-Latn-ME"/>
        </w:rPr>
      </w:pPr>
      <w:r w:rsidRPr="001302F9">
        <w:rPr>
          <w:rFonts w:ascii="Arial" w:hAnsi="Arial" w:cs="Arial"/>
          <w:lang w:val="sr-Latn-ME"/>
        </w:rPr>
        <w:br/>
        <w:t>Implementaciona agencija/Posredničko tijelo za finansijsko upravljanje koja je obav</w:t>
      </w:r>
      <w:r w:rsidR="00D66209">
        <w:rPr>
          <w:rFonts w:ascii="Arial" w:hAnsi="Arial" w:cs="Arial"/>
          <w:lang w:val="sr-Latn-ME"/>
        </w:rPr>
        <w:t>ij</w:t>
      </w:r>
      <w:r w:rsidRPr="001302F9">
        <w:rPr>
          <w:rFonts w:ascii="Arial" w:hAnsi="Arial" w:cs="Arial"/>
          <w:lang w:val="sr-Latn-ME"/>
        </w:rPr>
        <w:t xml:space="preserve">estila Vrhovno državno tužilaštvo o sumnji na prevaru o podnijetoj prijavi obavještava Direkciju za zaštitu finansijskih interesa EU/ AFCOS i, po potrebi, druge nadležne osobe i/ili </w:t>
      </w:r>
      <w:r w:rsidR="00D66209">
        <w:rPr>
          <w:rFonts w:ascii="Arial" w:hAnsi="Arial" w:cs="Arial"/>
          <w:lang w:val="sr-Latn-ME"/>
        </w:rPr>
        <w:t>institucije</w:t>
      </w:r>
      <w:r w:rsidRPr="001302F9">
        <w:rPr>
          <w:rFonts w:ascii="Arial" w:hAnsi="Arial" w:cs="Arial"/>
          <w:lang w:val="sr-Latn-ME"/>
        </w:rPr>
        <w:t xml:space="preserve"> (npr. NIPAK kancelariju, šefa operativne strukture za programe prekogranične saradnje, šefa Upravljačkog tijela za Program ruralnog razvoja, Jedinice za implementaciju projekata/Posrednička tijela za upravljanje sektorskim politikama, Upravljačka t</w:t>
      </w:r>
      <w:r w:rsidR="00DA395B">
        <w:rPr>
          <w:rFonts w:ascii="Arial" w:hAnsi="Arial" w:cs="Arial"/>
          <w:lang w:val="sr-Latn-ME"/>
        </w:rPr>
        <w:t>ij</w:t>
      </w:r>
      <w:r w:rsidRPr="001302F9">
        <w:rPr>
          <w:rFonts w:ascii="Arial" w:hAnsi="Arial" w:cs="Arial"/>
          <w:lang w:val="sr-Latn-ME"/>
        </w:rPr>
        <w:t>ela za IPA III programe, Revizorsko tijelo, NAO/Upravljačka struktura</w:t>
      </w:r>
      <w:r w:rsidR="00DA395B">
        <w:rPr>
          <w:rFonts w:ascii="Arial" w:hAnsi="Arial" w:cs="Arial"/>
          <w:lang w:val="sr-Latn-ME"/>
        </w:rPr>
        <w:t xml:space="preserve"> itd.</w:t>
      </w:r>
      <w:r w:rsidRPr="001302F9">
        <w:rPr>
          <w:rFonts w:ascii="Arial" w:hAnsi="Arial" w:cs="Arial"/>
          <w:lang w:val="sr-Latn-ME"/>
        </w:rPr>
        <w:t>).</w:t>
      </w:r>
      <w:r w:rsidRPr="001302F9">
        <w:rPr>
          <w:rFonts w:ascii="Arial" w:hAnsi="Arial" w:cs="Arial"/>
          <w:lang w:val="sr-Latn-ME"/>
        </w:rPr>
        <w:br/>
        <w:t>Implementaciona agencija/Posredničko tijelo za finansijsko upravljanje koje je obavijestilo</w:t>
      </w:r>
      <w:r w:rsidR="00DA395B">
        <w:rPr>
          <w:rFonts w:ascii="Arial" w:hAnsi="Arial" w:cs="Arial"/>
          <w:lang w:val="sr-Latn-ME"/>
        </w:rPr>
        <w:t xml:space="preserve"> </w:t>
      </w:r>
      <w:r w:rsidRPr="001302F9">
        <w:rPr>
          <w:rFonts w:ascii="Arial" w:hAnsi="Arial" w:cs="Arial"/>
          <w:lang w:val="sr-Latn-ME"/>
        </w:rPr>
        <w:t>Vrhovno državno tužilaštvo o sumnji na prevaru nastavlja da postupa u okviru svoje nadležnosti.</w:t>
      </w:r>
    </w:p>
    <w:p w:rsidR="000F471C" w:rsidRPr="001302F9" w:rsidRDefault="000F471C" w:rsidP="000F471C">
      <w:pPr>
        <w:pStyle w:val="NoSpacing"/>
        <w:jc w:val="both"/>
        <w:rPr>
          <w:rFonts w:ascii="Arial" w:hAnsi="Arial" w:cs="Arial"/>
          <w:lang w:val="sr-Latn-ME"/>
        </w:rPr>
      </w:pPr>
      <w:r w:rsidRPr="001302F9">
        <w:rPr>
          <w:rFonts w:ascii="Arial" w:hAnsi="Arial" w:cs="Arial"/>
          <w:lang w:val="sr-Latn-ME"/>
        </w:rPr>
        <w:br/>
        <w:t>Revizorsko tijelo direktno dostavlja dokumentaciju zajedno sa revizorskim nalazima Vrhovnom državnom tužilaštvu. IPARD Agencija takođe ima mogućnost da direktno obavijesti Vrhovno državno tužilaštvo.</w:t>
      </w:r>
    </w:p>
    <w:p w:rsidR="00F02A2C" w:rsidRDefault="000F471C" w:rsidP="000F471C">
      <w:pPr>
        <w:pStyle w:val="NoSpacing"/>
        <w:jc w:val="both"/>
        <w:rPr>
          <w:rFonts w:ascii="Arial" w:hAnsi="Arial" w:cs="Arial"/>
          <w:lang w:val="sr-Latn-ME"/>
        </w:rPr>
      </w:pPr>
      <w:r w:rsidRPr="001302F9">
        <w:rPr>
          <w:rFonts w:ascii="Arial" w:hAnsi="Arial" w:cs="Arial"/>
          <w:lang w:val="sr-Latn-ME"/>
        </w:rPr>
        <w:br/>
        <w:t>Uprava policije vrši istrage – prikupljanje informacija, podataka, dokumenata i dokaza o konkretnim slučajevima sumnje na prevaru, a na osnovu dokaza koji izazivaju razumnu sumnju na krivično d</w:t>
      </w:r>
      <w:r w:rsidR="00DA395B">
        <w:rPr>
          <w:rFonts w:ascii="Arial" w:hAnsi="Arial" w:cs="Arial"/>
          <w:lang w:val="sr-Latn-ME"/>
        </w:rPr>
        <w:t>j</w:t>
      </w:r>
      <w:r w:rsidRPr="001302F9">
        <w:rPr>
          <w:rFonts w:ascii="Arial" w:hAnsi="Arial" w:cs="Arial"/>
          <w:lang w:val="sr-Latn-ME"/>
        </w:rPr>
        <w:t>elo</w:t>
      </w:r>
      <w:r w:rsidR="00DA395B">
        <w:rPr>
          <w:rFonts w:ascii="Arial" w:hAnsi="Arial" w:cs="Arial"/>
          <w:lang w:val="sr-Latn-ME"/>
        </w:rPr>
        <w:t xml:space="preserve"> - i</w:t>
      </w:r>
      <w:r w:rsidRPr="001302F9">
        <w:rPr>
          <w:rFonts w:ascii="Arial" w:hAnsi="Arial" w:cs="Arial"/>
          <w:lang w:val="sr-Latn-ME"/>
        </w:rPr>
        <w:t xml:space="preserve"> podnosi krivičnu prijavu Vrhovnom državnom tužilaštvu. Nadležna tužilaštva daju uputstva za dalji istražni postupak.</w:t>
      </w:r>
      <w:r w:rsidR="00DA395B">
        <w:rPr>
          <w:rFonts w:ascii="Arial" w:hAnsi="Arial" w:cs="Arial"/>
          <w:lang w:val="sr-Latn-ME"/>
        </w:rPr>
        <w:t xml:space="preserve"> </w:t>
      </w:r>
      <w:r w:rsidRPr="001302F9">
        <w:rPr>
          <w:rFonts w:ascii="Arial" w:hAnsi="Arial" w:cs="Arial"/>
          <w:lang w:val="sr-Latn-ME"/>
        </w:rPr>
        <w:t xml:space="preserve">Slučajevi o kojima je obaviješteno Vrhovno državno tužilaštvo evidentiraju se u IMS sistemu kao </w:t>
      </w:r>
      <w:r w:rsidR="00DA395B">
        <w:rPr>
          <w:rFonts w:ascii="Arial" w:hAnsi="Arial" w:cs="Arial"/>
          <w:lang w:val="sr-Latn-ME"/>
        </w:rPr>
        <w:t>sumnja na prevaru</w:t>
      </w:r>
      <w:r w:rsidRPr="001302F9">
        <w:rPr>
          <w:rFonts w:ascii="Arial" w:hAnsi="Arial" w:cs="Arial"/>
          <w:lang w:val="sr-Latn-ME"/>
        </w:rPr>
        <w:t xml:space="preserve">, </w:t>
      </w:r>
      <w:r w:rsidR="00F02A2C">
        <w:rPr>
          <w:rFonts w:ascii="Arial" w:hAnsi="Arial" w:cs="Arial"/>
          <w:lang w:val="sr-Latn-ME"/>
        </w:rPr>
        <w:t>a</w:t>
      </w:r>
      <w:r w:rsidRPr="001302F9">
        <w:rPr>
          <w:rFonts w:ascii="Arial" w:hAnsi="Arial" w:cs="Arial"/>
          <w:lang w:val="sr-Latn-ME"/>
        </w:rPr>
        <w:t xml:space="preserve"> </w:t>
      </w:r>
      <w:r w:rsidR="00F02A2C">
        <w:rPr>
          <w:rFonts w:ascii="Arial" w:hAnsi="Arial" w:cs="Arial"/>
          <w:lang w:val="sr-Latn-ME"/>
        </w:rPr>
        <w:t>n</w:t>
      </w:r>
      <w:r w:rsidRPr="001302F9">
        <w:rPr>
          <w:rFonts w:ascii="Arial" w:hAnsi="Arial" w:cs="Arial"/>
          <w:lang w:val="sr-Latn-ME"/>
        </w:rPr>
        <w:t>akon što se donese konačna presuda, kvalifikacija prijavljenog slučaja može biti promijenjena u "Prevara".</w:t>
      </w:r>
      <w:r w:rsidRPr="001302F9">
        <w:rPr>
          <w:rFonts w:ascii="Arial" w:hAnsi="Arial" w:cs="Arial"/>
          <w:lang w:val="sr-Latn-ME"/>
        </w:rPr>
        <w:br/>
        <w:t xml:space="preserve">Kao što se može vidjeti iz poglavlja 2.6.2. ove Strategije, tokom perioda od 2018. godine samo dva (2) slučaja sumnje na prevaru su poslata Vrhovnom državnom tužilaštvu na dalju obradu, što je premalo da bi se analizirala efikasnost istrage ili procesa krivičnog gonjenja. Međutim, analiza sprovedena u okviru Twinning Light projekta "Dalje unapređenje funkcionisanja crnogorskog AFCOS sistema s ciljem efikasne zaštite finansijskih interesa EU" pokazala je da ne postoji </w:t>
      </w:r>
      <w:r w:rsidR="00F02A2C">
        <w:rPr>
          <w:rFonts w:ascii="Arial" w:hAnsi="Arial" w:cs="Arial"/>
          <w:lang w:val="sr-Latn-ME"/>
        </w:rPr>
        <w:t xml:space="preserve">adekvatna </w:t>
      </w:r>
      <w:r w:rsidRPr="001302F9">
        <w:rPr>
          <w:rFonts w:ascii="Arial" w:hAnsi="Arial" w:cs="Arial"/>
          <w:lang w:val="sr-Latn-ME"/>
        </w:rPr>
        <w:t>pravn</w:t>
      </w:r>
      <w:r w:rsidR="00F02A2C">
        <w:rPr>
          <w:rFonts w:ascii="Arial" w:hAnsi="Arial" w:cs="Arial"/>
          <w:lang w:val="sr-Latn-ME"/>
        </w:rPr>
        <w:t>a</w:t>
      </w:r>
      <w:r w:rsidRPr="001302F9">
        <w:rPr>
          <w:rFonts w:ascii="Arial" w:hAnsi="Arial" w:cs="Arial"/>
          <w:lang w:val="sr-Latn-ME"/>
        </w:rPr>
        <w:t xml:space="preserve"> osnov</w:t>
      </w:r>
      <w:r w:rsidR="00F02A2C">
        <w:rPr>
          <w:rFonts w:ascii="Arial" w:hAnsi="Arial" w:cs="Arial"/>
          <w:lang w:val="sr-Latn-ME"/>
        </w:rPr>
        <w:t>a</w:t>
      </w:r>
      <w:r w:rsidRPr="001302F9">
        <w:rPr>
          <w:rFonts w:ascii="Arial" w:hAnsi="Arial" w:cs="Arial"/>
          <w:lang w:val="sr-Latn-ME"/>
        </w:rPr>
        <w:t xml:space="preserve"> za saradnju između t</w:t>
      </w:r>
      <w:r w:rsidR="00F02A2C">
        <w:rPr>
          <w:rFonts w:ascii="Arial" w:hAnsi="Arial" w:cs="Arial"/>
          <w:lang w:val="sr-Latn-ME"/>
        </w:rPr>
        <w:t>ij</w:t>
      </w:r>
      <w:r w:rsidRPr="001302F9">
        <w:rPr>
          <w:rFonts w:ascii="Arial" w:hAnsi="Arial" w:cs="Arial"/>
          <w:lang w:val="sr-Latn-ME"/>
        </w:rPr>
        <w:t>ela koja sprovode krivičnu istragu, Direkcije za zaštitu finansijskih interesa EU/AFCOS i OLAF-a. Kao rezultat ove analize, preporučeno je uspostavljanje mehanizma u nacionalnim zakonodavnim aktima za:</w:t>
      </w:r>
      <w:r w:rsidRPr="001302F9">
        <w:rPr>
          <w:rFonts w:ascii="Arial" w:hAnsi="Arial" w:cs="Arial"/>
          <w:lang w:val="sr-Latn-ME"/>
        </w:rPr>
        <w:br/>
      </w:r>
    </w:p>
    <w:p w:rsidR="00F02A2C" w:rsidRDefault="000F471C" w:rsidP="00F02A2C">
      <w:pPr>
        <w:pStyle w:val="NoSpacing"/>
        <w:numPr>
          <w:ilvl w:val="0"/>
          <w:numId w:val="39"/>
        </w:numPr>
        <w:rPr>
          <w:rFonts w:ascii="Arial" w:hAnsi="Arial" w:cs="Arial"/>
          <w:lang w:val="sr-Latn-ME"/>
        </w:rPr>
      </w:pPr>
      <w:r w:rsidRPr="001302F9">
        <w:rPr>
          <w:rFonts w:ascii="Arial" w:hAnsi="Arial" w:cs="Arial"/>
          <w:lang w:val="sr-Latn-ME"/>
        </w:rPr>
        <w:t xml:space="preserve">pratnju </w:t>
      </w:r>
      <w:r w:rsidR="00F02A2C">
        <w:rPr>
          <w:rFonts w:ascii="Arial" w:hAnsi="Arial" w:cs="Arial"/>
          <w:lang w:val="sr-Latn-ME"/>
        </w:rPr>
        <w:t xml:space="preserve">i asistenciju </w:t>
      </w:r>
      <w:r w:rsidRPr="001302F9">
        <w:rPr>
          <w:rFonts w:ascii="Arial" w:hAnsi="Arial" w:cs="Arial"/>
          <w:lang w:val="sr-Latn-ME"/>
        </w:rPr>
        <w:t>istražitelj</w:t>
      </w:r>
      <w:r w:rsidR="00F02A2C">
        <w:rPr>
          <w:rFonts w:ascii="Arial" w:hAnsi="Arial" w:cs="Arial"/>
          <w:lang w:val="sr-Latn-ME"/>
        </w:rPr>
        <w:t>ima</w:t>
      </w:r>
      <w:r w:rsidRPr="001302F9">
        <w:rPr>
          <w:rFonts w:ascii="Arial" w:hAnsi="Arial" w:cs="Arial"/>
          <w:lang w:val="sr-Latn-ME"/>
        </w:rPr>
        <w:t xml:space="preserve"> OLAF-a tokom njihovih kontrola na licu mjesta;</w:t>
      </w:r>
      <w:r w:rsidRPr="001302F9">
        <w:rPr>
          <w:rFonts w:ascii="Arial" w:hAnsi="Arial" w:cs="Arial"/>
          <w:lang w:val="sr-Latn-ME"/>
        </w:rPr>
        <w:br/>
      </w:r>
    </w:p>
    <w:p w:rsidR="00F02A2C" w:rsidRDefault="000F471C" w:rsidP="00F02A2C">
      <w:pPr>
        <w:pStyle w:val="NoSpacing"/>
        <w:numPr>
          <w:ilvl w:val="0"/>
          <w:numId w:val="39"/>
        </w:numPr>
        <w:rPr>
          <w:rFonts w:ascii="Arial" w:hAnsi="Arial" w:cs="Arial"/>
          <w:lang w:val="sr-Latn-ME"/>
        </w:rPr>
      </w:pPr>
      <w:r w:rsidRPr="001302F9">
        <w:rPr>
          <w:rFonts w:ascii="Arial" w:hAnsi="Arial" w:cs="Arial"/>
          <w:lang w:val="sr-Latn-ME"/>
        </w:rPr>
        <w:t xml:space="preserve">postupanje u situacijama kada izvođači/korisnici  IPA II i IPA III </w:t>
      </w:r>
      <w:r w:rsidR="00F02A2C">
        <w:rPr>
          <w:rFonts w:ascii="Arial" w:hAnsi="Arial" w:cs="Arial"/>
          <w:lang w:val="sr-Latn-ME"/>
        </w:rPr>
        <w:t>sredstava</w:t>
      </w:r>
      <w:r w:rsidRPr="001302F9">
        <w:rPr>
          <w:rFonts w:ascii="Arial" w:hAnsi="Arial" w:cs="Arial"/>
          <w:lang w:val="sr-Latn-ME"/>
        </w:rPr>
        <w:t xml:space="preserve"> opstruiraju kontrole na licu mjesta;</w:t>
      </w:r>
      <w:r w:rsidRPr="001302F9">
        <w:rPr>
          <w:rFonts w:ascii="Arial" w:hAnsi="Arial" w:cs="Arial"/>
          <w:lang w:val="sr-Latn-ME"/>
        </w:rPr>
        <w:br/>
      </w:r>
    </w:p>
    <w:p w:rsidR="000F471C" w:rsidRPr="001302F9" w:rsidRDefault="000F471C" w:rsidP="00F02A2C">
      <w:pPr>
        <w:pStyle w:val="NoSpacing"/>
        <w:numPr>
          <w:ilvl w:val="0"/>
          <w:numId w:val="39"/>
        </w:numPr>
        <w:rPr>
          <w:rFonts w:ascii="Arial" w:hAnsi="Arial" w:cs="Arial"/>
          <w:lang w:val="sr-Latn-ME"/>
        </w:rPr>
      </w:pPr>
      <w:r w:rsidRPr="001302F9">
        <w:rPr>
          <w:rFonts w:ascii="Arial" w:hAnsi="Arial" w:cs="Arial"/>
          <w:lang w:val="sr-Latn-ME"/>
        </w:rPr>
        <w:t>pribavljanje informacija o bankovnim računima relevantnim za istraživačku aktivnost OLAF-a.</w:t>
      </w:r>
    </w:p>
    <w:p w:rsidR="00AA6195" w:rsidRDefault="000F471C" w:rsidP="000F471C">
      <w:pPr>
        <w:pStyle w:val="NoSpacing"/>
        <w:jc w:val="both"/>
        <w:rPr>
          <w:rFonts w:ascii="Arial" w:hAnsi="Arial" w:cs="Arial"/>
          <w:lang w:val="sr-Latn-ME"/>
        </w:rPr>
      </w:pPr>
      <w:r w:rsidRPr="001302F9">
        <w:rPr>
          <w:rFonts w:ascii="Arial" w:hAnsi="Arial" w:cs="Arial"/>
          <w:lang w:val="sr-Latn-ME"/>
        </w:rPr>
        <w:br/>
      </w:r>
      <w:r w:rsidR="00AA6195" w:rsidRPr="00AA6195">
        <w:rPr>
          <w:rFonts w:ascii="Arial" w:hAnsi="Arial" w:cs="Arial"/>
        </w:rPr>
        <w:t>Kancelarija</w:t>
      </w:r>
      <w:r w:rsidR="00AA6195" w:rsidRPr="00AA6195">
        <w:rPr>
          <w:rFonts w:ascii="Arial" w:hAnsi="Arial" w:cs="Arial"/>
          <w:lang w:val="sr-Latn-ME"/>
        </w:rPr>
        <w:t xml:space="preserve"> </w:t>
      </w:r>
      <w:r w:rsidR="00AA6195" w:rsidRPr="00AA6195">
        <w:rPr>
          <w:rFonts w:ascii="Arial" w:hAnsi="Arial" w:cs="Arial"/>
        </w:rPr>
        <w:t>Evropskog</w:t>
      </w:r>
      <w:r w:rsidR="00AA6195" w:rsidRPr="00AA6195">
        <w:rPr>
          <w:rFonts w:ascii="Arial" w:hAnsi="Arial" w:cs="Arial"/>
          <w:lang w:val="sr-Latn-ME"/>
        </w:rPr>
        <w:t xml:space="preserve"> </w:t>
      </w:r>
      <w:r w:rsidR="00AA6195" w:rsidRPr="00AA6195">
        <w:rPr>
          <w:rFonts w:ascii="Arial" w:hAnsi="Arial" w:cs="Arial"/>
        </w:rPr>
        <w:t>javnog</w:t>
      </w:r>
      <w:r w:rsidR="00AA6195" w:rsidRPr="00AA6195">
        <w:rPr>
          <w:rFonts w:ascii="Arial" w:hAnsi="Arial" w:cs="Arial"/>
          <w:lang w:val="sr-Latn-ME"/>
        </w:rPr>
        <w:t xml:space="preserve"> </w:t>
      </w:r>
      <w:r w:rsidR="00AA6195" w:rsidRPr="00AA6195">
        <w:rPr>
          <w:rFonts w:ascii="Arial" w:hAnsi="Arial" w:cs="Arial"/>
        </w:rPr>
        <w:t>tu</w:t>
      </w:r>
      <w:r w:rsidR="00AA6195" w:rsidRPr="00AA6195">
        <w:rPr>
          <w:rFonts w:ascii="Arial" w:hAnsi="Arial" w:cs="Arial"/>
          <w:lang w:val="sr-Latn-ME"/>
        </w:rPr>
        <w:t>ž</w:t>
      </w:r>
      <w:r w:rsidR="00AA6195" w:rsidRPr="00AA6195">
        <w:rPr>
          <w:rFonts w:ascii="Arial" w:hAnsi="Arial" w:cs="Arial"/>
        </w:rPr>
        <w:t>ioca</w:t>
      </w:r>
      <w:r w:rsidR="00AA6195" w:rsidRPr="00AA6195">
        <w:rPr>
          <w:rFonts w:ascii="Arial" w:hAnsi="Arial" w:cs="Arial"/>
          <w:lang w:val="sr-Latn-ME"/>
        </w:rPr>
        <w:t xml:space="preserve"> (</w:t>
      </w:r>
      <w:r w:rsidR="00AA6195" w:rsidRPr="00AA6195">
        <w:rPr>
          <w:rFonts w:ascii="Arial" w:hAnsi="Arial" w:cs="Arial"/>
        </w:rPr>
        <w:t>EPPO</w:t>
      </w:r>
      <w:r w:rsidR="00AA6195" w:rsidRPr="00AA6195">
        <w:rPr>
          <w:rFonts w:ascii="Arial" w:hAnsi="Arial" w:cs="Arial"/>
          <w:lang w:val="sr-Latn-ME"/>
        </w:rPr>
        <w:t xml:space="preserve">) </w:t>
      </w:r>
      <w:r w:rsidR="00AA6195" w:rsidRPr="00AA6195">
        <w:rPr>
          <w:rFonts w:ascii="Arial" w:hAnsi="Arial" w:cs="Arial"/>
        </w:rPr>
        <w:t>postala</w:t>
      </w:r>
      <w:r w:rsidR="00AA6195" w:rsidRPr="00AA6195">
        <w:rPr>
          <w:rFonts w:ascii="Arial" w:hAnsi="Arial" w:cs="Arial"/>
          <w:lang w:val="sr-Latn-ME"/>
        </w:rPr>
        <w:t xml:space="preserve"> </w:t>
      </w:r>
      <w:r w:rsidR="00AA6195" w:rsidRPr="00AA6195">
        <w:rPr>
          <w:rFonts w:ascii="Arial" w:hAnsi="Arial" w:cs="Arial"/>
        </w:rPr>
        <w:t>je</w:t>
      </w:r>
      <w:r w:rsidR="00AA6195" w:rsidRPr="00AA6195">
        <w:rPr>
          <w:rFonts w:ascii="Arial" w:hAnsi="Arial" w:cs="Arial"/>
          <w:lang w:val="sr-Latn-ME"/>
        </w:rPr>
        <w:t xml:space="preserve"> </w:t>
      </w:r>
      <w:r w:rsidR="00AA6195" w:rsidRPr="00AA6195">
        <w:rPr>
          <w:rFonts w:ascii="Arial" w:hAnsi="Arial" w:cs="Arial"/>
        </w:rPr>
        <w:t>operativna</w:t>
      </w:r>
      <w:r w:rsidR="00AA6195" w:rsidRPr="00AA6195">
        <w:rPr>
          <w:rFonts w:ascii="Arial" w:hAnsi="Arial" w:cs="Arial"/>
          <w:lang w:val="sr-Latn-ME"/>
        </w:rPr>
        <w:t xml:space="preserve"> </w:t>
      </w:r>
      <w:r w:rsidR="00AA6195" w:rsidRPr="00AA6195">
        <w:rPr>
          <w:rFonts w:ascii="Arial" w:hAnsi="Arial" w:cs="Arial"/>
        </w:rPr>
        <w:t>u</w:t>
      </w:r>
      <w:r w:rsidR="00AA6195" w:rsidRPr="00AA6195">
        <w:rPr>
          <w:rFonts w:ascii="Arial" w:hAnsi="Arial" w:cs="Arial"/>
          <w:lang w:val="sr-Latn-ME"/>
        </w:rPr>
        <w:t xml:space="preserve"> </w:t>
      </w:r>
      <w:r w:rsidR="00AA6195" w:rsidRPr="00AA6195">
        <w:rPr>
          <w:rFonts w:ascii="Arial" w:hAnsi="Arial" w:cs="Arial"/>
        </w:rPr>
        <w:t>junu</w:t>
      </w:r>
      <w:r w:rsidR="00AA6195" w:rsidRPr="00AA6195">
        <w:rPr>
          <w:rFonts w:ascii="Arial" w:hAnsi="Arial" w:cs="Arial"/>
          <w:lang w:val="sr-Latn-ME"/>
        </w:rPr>
        <w:t xml:space="preserve"> 2021. </w:t>
      </w:r>
      <w:r w:rsidR="00AA6195" w:rsidRPr="00AA6195">
        <w:rPr>
          <w:rFonts w:ascii="Arial" w:hAnsi="Arial" w:cs="Arial"/>
        </w:rPr>
        <w:t>godine</w:t>
      </w:r>
      <w:r w:rsidR="00AA6195" w:rsidRPr="00AA6195">
        <w:rPr>
          <w:rFonts w:ascii="Arial" w:hAnsi="Arial" w:cs="Arial"/>
          <w:lang w:val="sr-Latn-ME"/>
        </w:rPr>
        <w:t>, š</w:t>
      </w:r>
      <w:r w:rsidR="00AA6195" w:rsidRPr="00AA6195">
        <w:rPr>
          <w:rFonts w:ascii="Arial" w:hAnsi="Arial" w:cs="Arial"/>
        </w:rPr>
        <w:t>to</w:t>
      </w:r>
      <w:r w:rsidR="00AA6195" w:rsidRPr="00AA6195">
        <w:rPr>
          <w:rFonts w:ascii="Arial" w:hAnsi="Arial" w:cs="Arial"/>
          <w:lang w:val="sr-Latn-ME"/>
        </w:rPr>
        <w:t xml:space="preserve"> </w:t>
      </w:r>
      <w:r w:rsidR="00AA6195" w:rsidRPr="00AA6195">
        <w:rPr>
          <w:rFonts w:ascii="Arial" w:hAnsi="Arial" w:cs="Arial"/>
        </w:rPr>
        <w:t>predstavlja</w:t>
      </w:r>
      <w:r w:rsidR="00AA6195" w:rsidRPr="00AA6195">
        <w:rPr>
          <w:rFonts w:ascii="Arial" w:hAnsi="Arial" w:cs="Arial"/>
          <w:lang w:val="sr-Latn-ME"/>
        </w:rPr>
        <w:t xml:space="preserve"> </w:t>
      </w:r>
      <w:r w:rsidR="00AA6195" w:rsidRPr="00AA6195">
        <w:rPr>
          <w:rFonts w:ascii="Arial" w:hAnsi="Arial" w:cs="Arial"/>
        </w:rPr>
        <w:t>zna</w:t>
      </w:r>
      <w:r w:rsidR="00AA6195" w:rsidRPr="00AA6195">
        <w:rPr>
          <w:rFonts w:ascii="Arial" w:hAnsi="Arial" w:cs="Arial"/>
          <w:lang w:val="sr-Latn-ME"/>
        </w:rPr>
        <w:t>č</w:t>
      </w:r>
      <w:r w:rsidR="00AA6195" w:rsidRPr="00AA6195">
        <w:rPr>
          <w:rFonts w:ascii="Arial" w:hAnsi="Arial" w:cs="Arial"/>
        </w:rPr>
        <w:t>ajan</w:t>
      </w:r>
      <w:r w:rsidR="00AA6195" w:rsidRPr="00AA6195">
        <w:rPr>
          <w:rFonts w:ascii="Arial" w:hAnsi="Arial" w:cs="Arial"/>
          <w:lang w:val="sr-Latn-ME"/>
        </w:rPr>
        <w:t xml:space="preserve"> </w:t>
      </w:r>
      <w:r w:rsidR="00AA6195" w:rsidRPr="00AA6195">
        <w:rPr>
          <w:rFonts w:ascii="Arial" w:hAnsi="Arial" w:cs="Arial"/>
        </w:rPr>
        <w:t>korak</w:t>
      </w:r>
      <w:r w:rsidR="00AA6195" w:rsidRPr="00AA6195">
        <w:rPr>
          <w:rFonts w:ascii="Arial" w:hAnsi="Arial" w:cs="Arial"/>
          <w:lang w:val="sr-Latn-ME"/>
        </w:rPr>
        <w:t xml:space="preserve"> </w:t>
      </w:r>
      <w:r w:rsidR="00AA6195" w:rsidRPr="00AA6195">
        <w:rPr>
          <w:rFonts w:ascii="Arial" w:hAnsi="Arial" w:cs="Arial"/>
        </w:rPr>
        <w:t>u</w:t>
      </w:r>
      <w:r w:rsidR="00AA6195" w:rsidRPr="00AA6195">
        <w:rPr>
          <w:rFonts w:ascii="Arial" w:hAnsi="Arial" w:cs="Arial"/>
          <w:lang w:val="sr-Latn-ME"/>
        </w:rPr>
        <w:t xml:space="preserve"> </w:t>
      </w:r>
      <w:r w:rsidR="00AA6195" w:rsidRPr="00AA6195">
        <w:rPr>
          <w:rFonts w:ascii="Arial" w:hAnsi="Arial" w:cs="Arial"/>
        </w:rPr>
        <w:t>za</w:t>
      </w:r>
      <w:r w:rsidR="00AA6195" w:rsidRPr="00AA6195">
        <w:rPr>
          <w:rFonts w:ascii="Arial" w:hAnsi="Arial" w:cs="Arial"/>
          <w:lang w:val="sr-Latn-ME"/>
        </w:rPr>
        <w:t>š</w:t>
      </w:r>
      <w:r w:rsidR="00AA6195" w:rsidRPr="00AA6195">
        <w:rPr>
          <w:rFonts w:ascii="Arial" w:hAnsi="Arial" w:cs="Arial"/>
        </w:rPr>
        <w:t>titi</w:t>
      </w:r>
      <w:r w:rsidR="00AA6195" w:rsidRPr="00AA6195">
        <w:rPr>
          <w:rFonts w:ascii="Arial" w:hAnsi="Arial" w:cs="Arial"/>
          <w:lang w:val="sr-Latn-ME"/>
        </w:rPr>
        <w:t xml:space="preserve"> </w:t>
      </w:r>
      <w:r w:rsidR="00AA6195" w:rsidRPr="00AA6195">
        <w:rPr>
          <w:rFonts w:ascii="Arial" w:hAnsi="Arial" w:cs="Arial"/>
        </w:rPr>
        <w:t>finansijskih</w:t>
      </w:r>
      <w:r w:rsidR="00AA6195" w:rsidRPr="00AA6195">
        <w:rPr>
          <w:rFonts w:ascii="Arial" w:hAnsi="Arial" w:cs="Arial"/>
          <w:lang w:val="sr-Latn-ME"/>
        </w:rPr>
        <w:t xml:space="preserve"> </w:t>
      </w:r>
      <w:r w:rsidR="00AA6195" w:rsidRPr="00AA6195">
        <w:rPr>
          <w:rFonts w:ascii="Arial" w:hAnsi="Arial" w:cs="Arial"/>
        </w:rPr>
        <w:t>interesa</w:t>
      </w:r>
      <w:r w:rsidR="00AA6195" w:rsidRPr="00AA6195">
        <w:rPr>
          <w:rFonts w:ascii="Arial" w:hAnsi="Arial" w:cs="Arial"/>
          <w:lang w:val="sr-Latn-ME"/>
        </w:rPr>
        <w:t xml:space="preserve"> </w:t>
      </w:r>
      <w:r w:rsidR="00AA6195" w:rsidRPr="00AA6195">
        <w:rPr>
          <w:rFonts w:ascii="Arial" w:hAnsi="Arial" w:cs="Arial"/>
        </w:rPr>
        <w:t>Evropske</w:t>
      </w:r>
      <w:r w:rsidR="00AA6195" w:rsidRPr="00AA6195">
        <w:rPr>
          <w:rFonts w:ascii="Arial" w:hAnsi="Arial" w:cs="Arial"/>
          <w:lang w:val="sr-Latn-ME"/>
        </w:rPr>
        <w:t xml:space="preserve"> </w:t>
      </w:r>
      <w:r w:rsidR="00AA6195" w:rsidRPr="00AA6195">
        <w:rPr>
          <w:rFonts w:ascii="Arial" w:hAnsi="Arial" w:cs="Arial"/>
        </w:rPr>
        <w:t>unije</w:t>
      </w:r>
      <w:r w:rsidR="00AA6195" w:rsidRPr="00AA6195">
        <w:rPr>
          <w:rFonts w:ascii="Arial" w:hAnsi="Arial" w:cs="Arial"/>
          <w:lang w:val="sr-Latn-ME"/>
        </w:rPr>
        <w:t xml:space="preserve">. </w:t>
      </w:r>
      <w:r w:rsidR="00AA6195" w:rsidRPr="00AA6195">
        <w:rPr>
          <w:rFonts w:ascii="Arial" w:hAnsi="Arial" w:cs="Arial"/>
        </w:rPr>
        <w:t>Po</w:t>
      </w:r>
      <w:r w:rsidR="00AA6195" w:rsidRPr="00AA6195">
        <w:rPr>
          <w:rFonts w:ascii="Arial" w:hAnsi="Arial" w:cs="Arial"/>
          <w:lang w:val="sr-Latn-ME"/>
        </w:rPr>
        <w:t xml:space="preserve"> </w:t>
      </w:r>
      <w:r w:rsidR="00AA6195" w:rsidRPr="00AA6195">
        <w:rPr>
          <w:rFonts w:ascii="Arial" w:hAnsi="Arial" w:cs="Arial"/>
        </w:rPr>
        <w:t>prvi</w:t>
      </w:r>
      <w:r w:rsidR="00AA6195" w:rsidRPr="00AA6195">
        <w:rPr>
          <w:rFonts w:ascii="Arial" w:hAnsi="Arial" w:cs="Arial"/>
          <w:lang w:val="sr-Latn-ME"/>
        </w:rPr>
        <w:t xml:space="preserve"> </w:t>
      </w:r>
      <w:r w:rsidR="00AA6195" w:rsidRPr="00AA6195">
        <w:rPr>
          <w:rFonts w:ascii="Arial" w:hAnsi="Arial" w:cs="Arial"/>
        </w:rPr>
        <w:t>put</w:t>
      </w:r>
      <w:r w:rsidR="00AA6195" w:rsidRPr="00AA6195">
        <w:rPr>
          <w:rFonts w:ascii="Arial" w:hAnsi="Arial" w:cs="Arial"/>
          <w:lang w:val="sr-Latn-ME"/>
        </w:rPr>
        <w:t xml:space="preserve"> </w:t>
      </w:r>
      <w:r w:rsidR="00AA6195" w:rsidRPr="00AA6195">
        <w:rPr>
          <w:rFonts w:ascii="Arial" w:hAnsi="Arial" w:cs="Arial"/>
        </w:rPr>
        <w:t>je</w:t>
      </w:r>
      <w:r w:rsidR="00AA6195" w:rsidRPr="00AA6195">
        <w:rPr>
          <w:rFonts w:ascii="Arial" w:hAnsi="Arial" w:cs="Arial"/>
          <w:lang w:val="sr-Latn-ME"/>
        </w:rPr>
        <w:t xml:space="preserve"> </w:t>
      </w:r>
      <w:r w:rsidR="00AA6195" w:rsidRPr="00AA6195">
        <w:rPr>
          <w:rFonts w:ascii="Arial" w:hAnsi="Arial" w:cs="Arial"/>
        </w:rPr>
        <w:t>uspostavljena</w:t>
      </w:r>
      <w:r w:rsidR="00AA6195" w:rsidRPr="00AA6195">
        <w:rPr>
          <w:rFonts w:ascii="Arial" w:hAnsi="Arial" w:cs="Arial"/>
          <w:lang w:val="sr-Latn-ME"/>
        </w:rPr>
        <w:t xml:space="preserve"> </w:t>
      </w:r>
      <w:r w:rsidR="00AA6195" w:rsidRPr="00AA6195">
        <w:rPr>
          <w:rFonts w:ascii="Arial" w:hAnsi="Arial" w:cs="Arial"/>
        </w:rPr>
        <w:t>struktura</w:t>
      </w:r>
      <w:r w:rsidR="00AA6195" w:rsidRPr="00AA6195">
        <w:rPr>
          <w:rFonts w:ascii="Arial" w:hAnsi="Arial" w:cs="Arial"/>
          <w:lang w:val="sr-Latn-ME"/>
        </w:rPr>
        <w:t xml:space="preserve"> </w:t>
      </w:r>
      <w:r w:rsidR="00AA6195" w:rsidRPr="00AA6195">
        <w:rPr>
          <w:rFonts w:ascii="Arial" w:hAnsi="Arial" w:cs="Arial"/>
        </w:rPr>
        <w:t>za</w:t>
      </w:r>
      <w:r w:rsidR="00AA6195" w:rsidRPr="00AA6195">
        <w:rPr>
          <w:rFonts w:ascii="Arial" w:hAnsi="Arial" w:cs="Arial"/>
          <w:lang w:val="sr-Latn-ME"/>
        </w:rPr>
        <w:t xml:space="preserve"> </w:t>
      </w:r>
      <w:r w:rsidR="00AA6195" w:rsidRPr="00AA6195">
        <w:rPr>
          <w:rFonts w:ascii="Arial" w:hAnsi="Arial" w:cs="Arial"/>
        </w:rPr>
        <w:t>krivi</w:t>
      </w:r>
      <w:r w:rsidR="00AA6195" w:rsidRPr="00AA6195">
        <w:rPr>
          <w:rFonts w:ascii="Arial" w:hAnsi="Arial" w:cs="Arial"/>
          <w:lang w:val="sr-Latn-ME"/>
        </w:rPr>
        <w:t>č</w:t>
      </w:r>
      <w:r w:rsidR="00AA6195" w:rsidRPr="00AA6195">
        <w:rPr>
          <w:rFonts w:ascii="Arial" w:hAnsi="Arial" w:cs="Arial"/>
        </w:rPr>
        <w:t>no</w:t>
      </w:r>
      <w:r w:rsidR="00AA6195" w:rsidRPr="00AA6195">
        <w:rPr>
          <w:rFonts w:ascii="Arial" w:hAnsi="Arial" w:cs="Arial"/>
          <w:lang w:val="sr-Latn-ME"/>
        </w:rPr>
        <w:t xml:space="preserve"> </w:t>
      </w:r>
      <w:r w:rsidR="00AA6195" w:rsidRPr="00AA6195">
        <w:rPr>
          <w:rFonts w:ascii="Arial" w:hAnsi="Arial" w:cs="Arial"/>
        </w:rPr>
        <w:t>gonjenje</w:t>
      </w:r>
      <w:r w:rsidR="00AA6195" w:rsidRPr="00AA6195">
        <w:rPr>
          <w:rFonts w:ascii="Arial" w:hAnsi="Arial" w:cs="Arial"/>
          <w:lang w:val="sr-Latn-ME"/>
        </w:rPr>
        <w:t xml:space="preserve"> </w:t>
      </w:r>
      <w:r w:rsidR="00AA6195" w:rsidRPr="00AA6195">
        <w:rPr>
          <w:rFonts w:ascii="Arial" w:hAnsi="Arial" w:cs="Arial"/>
        </w:rPr>
        <w:t>na</w:t>
      </w:r>
      <w:r w:rsidR="00AA6195" w:rsidRPr="00AA6195">
        <w:rPr>
          <w:rFonts w:ascii="Arial" w:hAnsi="Arial" w:cs="Arial"/>
          <w:lang w:val="sr-Latn-ME"/>
        </w:rPr>
        <w:t xml:space="preserve"> </w:t>
      </w:r>
      <w:r w:rsidR="00AA6195" w:rsidRPr="00AA6195">
        <w:rPr>
          <w:rFonts w:ascii="Arial" w:hAnsi="Arial" w:cs="Arial"/>
        </w:rPr>
        <w:t>nivou</w:t>
      </w:r>
      <w:r w:rsidR="00AA6195" w:rsidRPr="00AA6195">
        <w:rPr>
          <w:rFonts w:ascii="Arial" w:hAnsi="Arial" w:cs="Arial"/>
          <w:lang w:val="sr-Latn-ME"/>
        </w:rPr>
        <w:t xml:space="preserve"> </w:t>
      </w:r>
      <w:r w:rsidR="00AA6195" w:rsidRPr="00AA6195">
        <w:rPr>
          <w:rFonts w:ascii="Arial" w:hAnsi="Arial" w:cs="Arial"/>
        </w:rPr>
        <w:t>EU</w:t>
      </w:r>
      <w:r w:rsidR="00AA6195" w:rsidRPr="00AA6195">
        <w:rPr>
          <w:rFonts w:ascii="Arial" w:hAnsi="Arial" w:cs="Arial"/>
          <w:lang w:val="sr-Latn-ME"/>
        </w:rPr>
        <w:t xml:space="preserve">, </w:t>
      </w:r>
      <w:r w:rsidR="00AA6195" w:rsidRPr="00AA6195">
        <w:rPr>
          <w:rFonts w:ascii="Arial" w:hAnsi="Arial" w:cs="Arial"/>
        </w:rPr>
        <w:t>omogu</w:t>
      </w:r>
      <w:r w:rsidR="00AA6195" w:rsidRPr="00AA6195">
        <w:rPr>
          <w:rFonts w:ascii="Arial" w:hAnsi="Arial" w:cs="Arial"/>
          <w:lang w:val="sr-Latn-ME"/>
        </w:rPr>
        <w:t>ć</w:t>
      </w:r>
      <w:r w:rsidR="00AA6195" w:rsidRPr="00AA6195">
        <w:rPr>
          <w:rFonts w:ascii="Arial" w:hAnsi="Arial" w:cs="Arial"/>
        </w:rPr>
        <w:t>avaju</w:t>
      </w:r>
      <w:r w:rsidR="00AA6195" w:rsidRPr="00AA6195">
        <w:rPr>
          <w:rFonts w:ascii="Arial" w:hAnsi="Arial" w:cs="Arial"/>
          <w:lang w:val="sr-Latn-ME"/>
        </w:rPr>
        <w:t>ć</w:t>
      </w:r>
      <w:r w:rsidR="00AA6195" w:rsidRPr="00AA6195">
        <w:rPr>
          <w:rFonts w:ascii="Arial" w:hAnsi="Arial" w:cs="Arial"/>
        </w:rPr>
        <w:t>i</w:t>
      </w:r>
      <w:r w:rsidR="00AA6195" w:rsidRPr="00AA6195">
        <w:rPr>
          <w:rFonts w:ascii="Arial" w:hAnsi="Arial" w:cs="Arial"/>
          <w:lang w:val="sr-Latn-ME"/>
        </w:rPr>
        <w:t xml:space="preserve"> </w:t>
      </w:r>
      <w:r w:rsidR="00AA6195" w:rsidRPr="00AA6195">
        <w:rPr>
          <w:rFonts w:ascii="Arial" w:hAnsi="Arial" w:cs="Arial"/>
        </w:rPr>
        <w:t>efikasnije</w:t>
      </w:r>
      <w:r w:rsidR="00AA6195" w:rsidRPr="00AA6195">
        <w:rPr>
          <w:rFonts w:ascii="Arial" w:hAnsi="Arial" w:cs="Arial"/>
          <w:lang w:val="sr-Latn-ME"/>
        </w:rPr>
        <w:t xml:space="preserve"> </w:t>
      </w:r>
      <w:r w:rsidR="00AA6195" w:rsidRPr="00AA6195">
        <w:rPr>
          <w:rFonts w:ascii="Arial" w:hAnsi="Arial" w:cs="Arial"/>
        </w:rPr>
        <w:t>procesuiranje</w:t>
      </w:r>
      <w:r w:rsidR="00AA6195" w:rsidRPr="00AA6195">
        <w:rPr>
          <w:rFonts w:ascii="Arial" w:hAnsi="Arial" w:cs="Arial"/>
          <w:lang w:val="sr-Latn-ME"/>
        </w:rPr>
        <w:t xml:space="preserve"> </w:t>
      </w:r>
      <w:r w:rsidR="00AA6195" w:rsidRPr="00AA6195">
        <w:rPr>
          <w:rFonts w:ascii="Arial" w:hAnsi="Arial" w:cs="Arial"/>
        </w:rPr>
        <w:t>ozbiljnih</w:t>
      </w:r>
      <w:r w:rsidR="00AA6195" w:rsidRPr="00AA6195">
        <w:rPr>
          <w:rFonts w:ascii="Arial" w:hAnsi="Arial" w:cs="Arial"/>
          <w:lang w:val="sr-Latn-ME"/>
        </w:rPr>
        <w:t xml:space="preserve"> </w:t>
      </w:r>
      <w:r w:rsidR="00AA6195" w:rsidRPr="00AA6195">
        <w:rPr>
          <w:rFonts w:ascii="Arial" w:hAnsi="Arial" w:cs="Arial"/>
        </w:rPr>
        <w:t>prevara</w:t>
      </w:r>
      <w:r w:rsidR="00AA6195" w:rsidRPr="00AA6195">
        <w:rPr>
          <w:rFonts w:ascii="Arial" w:hAnsi="Arial" w:cs="Arial"/>
          <w:lang w:val="sr-Latn-ME"/>
        </w:rPr>
        <w:t xml:space="preserve"> </w:t>
      </w:r>
      <w:r w:rsidR="00AA6195" w:rsidRPr="00AA6195">
        <w:rPr>
          <w:rFonts w:ascii="Arial" w:hAnsi="Arial" w:cs="Arial"/>
        </w:rPr>
        <w:t>protiv</w:t>
      </w:r>
      <w:r w:rsidR="00AA6195" w:rsidRPr="00AA6195">
        <w:rPr>
          <w:rFonts w:ascii="Arial" w:hAnsi="Arial" w:cs="Arial"/>
          <w:lang w:val="sr-Latn-ME"/>
        </w:rPr>
        <w:t xml:space="preserve"> </w:t>
      </w:r>
      <w:r w:rsidR="00AA6195" w:rsidRPr="00AA6195">
        <w:rPr>
          <w:rFonts w:ascii="Arial" w:hAnsi="Arial" w:cs="Arial"/>
        </w:rPr>
        <w:t>bud</w:t>
      </w:r>
      <w:r w:rsidR="00AA6195" w:rsidRPr="00AA6195">
        <w:rPr>
          <w:rFonts w:ascii="Arial" w:hAnsi="Arial" w:cs="Arial"/>
          <w:lang w:val="sr-Latn-ME"/>
        </w:rPr>
        <w:t>ž</w:t>
      </w:r>
      <w:r w:rsidR="00AA6195" w:rsidRPr="00AA6195">
        <w:rPr>
          <w:rFonts w:ascii="Arial" w:hAnsi="Arial" w:cs="Arial"/>
        </w:rPr>
        <w:t>eta</w:t>
      </w:r>
      <w:r w:rsidR="00AA6195" w:rsidRPr="00AA6195">
        <w:rPr>
          <w:rFonts w:ascii="Arial" w:hAnsi="Arial" w:cs="Arial"/>
          <w:lang w:val="sr-Latn-ME"/>
        </w:rPr>
        <w:t xml:space="preserve"> </w:t>
      </w:r>
      <w:r w:rsidR="00AA6195" w:rsidRPr="00AA6195">
        <w:rPr>
          <w:rFonts w:ascii="Arial" w:hAnsi="Arial" w:cs="Arial"/>
        </w:rPr>
        <w:t>Unije</w:t>
      </w:r>
      <w:r w:rsidR="00AA6195" w:rsidRPr="00AA6195">
        <w:rPr>
          <w:rFonts w:ascii="Arial" w:hAnsi="Arial" w:cs="Arial"/>
          <w:lang w:val="sr-Latn-ME"/>
        </w:rPr>
        <w:t xml:space="preserve">. </w:t>
      </w:r>
      <w:r w:rsidR="00AA6195" w:rsidRPr="00AA6195">
        <w:rPr>
          <w:rFonts w:ascii="Arial" w:hAnsi="Arial" w:cs="Arial"/>
        </w:rPr>
        <w:t>U</w:t>
      </w:r>
      <w:r w:rsidR="00AA6195" w:rsidRPr="00AA6195">
        <w:rPr>
          <w:rFonts w:ascii="Arial" w:hAnsi="Arial" w:cs="Arial"/>
          <w:lang w:val="sr-Latn-ME"/>
        </w:rPr>
        <w:t>č</w:t>
      </w:r>
      <w:r w:rsidR="00AA6195" w:rsidRPr="00AA6195">
        <w:rPr>
          <w:rFonts w:ascii="Arial" w:hAnsi="Arial" w:cs="Arial"/>
        </w:rPr>
        <w:t>esnice</w:t>
      </w:r>
      <w:r w:rsidR="00AA6195" w:rsidRPr="00AA6195">
        <w:rPr>
          <w:rFonts w:ascii="Arial" w:hAnsi="Arial" w:cs="Arial"/>
          <w:lang w:val="sr-Latn-ME"/>
        </w:rPr>
        <w:t xml:space="preserve"> </w:t>
      </w:r>
      <w:r w:rsidR="00AA6195" w:rsidRPr="00AA6195">
        <w:rPr>
          <w:rFonts w:ascii="Arial" w:hAnsi="Arial" w:cs="Arial"/>
        </w:rPr>
        <w:t>EPPO</w:t>
      </w:r>
      <w:r w:rsidR="00AA6195" w:rsidRPr="00AA6195">
        <w:rPr>
          <w:rFonts w:ascii="Arial" w:hAnsi="Arial" w:cs="Arial"/>
          <w:lang w:val="sr-Latn-ME"/>
        </w:rPr>
        <w:t>-</w:t>
      </w:r>
      <w:r w:rsidR="00AA6195" w:rsidRPr="00AA6195">
        <w:rPr>
          <w:rFonts w:ascii="Arial" w:hAnsi="Arial" w:cs="Arial"/>
        </w:rPr>
        <w:t>a</w:t>
      </w:r>
      <w:r w:rsidR="00AA6195" w:rsidRPr="00AA6195">
        <w:rPr>
          <w:rFonts w:ascii="Arial" w:hAnsi="Arial" w:cs="Arial"/>
          <w:lang w:val="sr-Latn-ME"/>
        </w:rPr>
        <w:t xml:space="preserve"> </w:t>
      </w:r>
      <w:r w:rsidR="00AA6195" w:rsidRPr="00AA6195">
        <w:rPr>
          <w:rFonts w:ascii="Arial" w:hAnsi="Arial" w:cs="Arial"/>
        </w:rPr>
        <w:t>sada</w:t>
      </w:r>
      <w:r w:rsidR="00AA6195" w:rsidRPr="00AA6195">
        <w:rPr>
          <w:rFonts w:ascii="Arial" w:hAnsi="Arial" w:cs="Arial"/>
          <w:lang w:val="sr-Latn-ME"/>
        </w:rPr>
        <w:t xml:space="preserve"> </w:t>
      </w:r>
      <w:r w:rsidR="00AA6195" w:rsidRPr="00AA6195">
        <w:rPr>
          <w:rFonts w:ascii="Arial" w:hAnsi="Arial" w:cs="Arial"/>
        </w:rPr>
        <w:t>vode</w:t>
      </w:r>
      <w:r w:rsidR="00AA6195" w:rsidRPr="00AA6195">
        <w:rPr>
          <w:rFonts w:ascii="Arial" w:hAnsi="Arial" w:cs="Arial"/>
          <w:lang w:val="sr-Latn-ME"/>
        </w:rPr>
        <w:t xml:space="preserve"> </w:t>
      </w:r>
      <w:r w:rsidR="00AA6195" w:rsidRPr="00AA6195">
        <w:rPr>
          <w:rFonts w:ascii="Arial" w:hAnsi="Arial" w:cs="Arial"/>
        </w:rPr>
        <w:t>ove</w:t>
      </w:r>
      <w:r w:rsidR="00AA6195" w:rsidRPr="00AA6195">
        <w:rPr>
          <w:rFonts w:ascii="Arial" w:hAnsi="Arial" w:cs="Arial"/>
          <w:lang w:val="sr-Latn-ME"/>
        </w:rPr>
        <w:t xml:space="preserve"> </w:t>
      </w:r>
      <w:r w:rsidR="00AA6195" w:rsidRPr="00AA6195">
        <w:rPr>
          <w:rFonts w:ascii="Arial" w:hAnsi="Arial" w:cs="Arial"/>
        </w:rPr>
        <w:t>postupke</w:t>
      </w:r>
      <w:r w:rsidR="00AA6195" w:rsidRPr="00AA6195">
        <w:rPr>
          <w:rFonts w:ascii="Arial" w:hAnsi="Arial" w:cs="Arial"/>
          <w:lang w:val="sr-Latn-ME"/>
        </w:rPr>
        <w:t xml:space="preserve"> </w:t>
      </w:r>
      <w:r w:rsidR="00AA6195" w:rsidRPr="00AA6195">
        <w:rPr>
          <w:rFonts w:ascii="Arial" w:hAnsi="Arial" w:cs="Arial"/>
        </w:rPr>
        <w:t>pred</w:t>
      </w:r>
      <w:r w:rsidR="00AA6195" w:rsidRPr="00AA6195">
        <w:rPr>
          <w:rFonts w:ascii="Arial" w:hAnsi="Arial" w:cs="Arial"/>
          <w:lang w:val="sr-Latn-ME"/>
        </w:rPr>
        <w:t xml:space="preserve"> </w:t>
      </w:r>
      <w:r w:rsidR="00AA6195" w:rsidRPr="00AA6195">
        <w:rPr>
          <w:rFonts w:ascii="Arial" w:hAnsi="Arial" w:cs="Arial"/>
        </w:rPr>
        <w:t>nacionalnim</w:t>
      </w:r>
      <w:r w:rsidR="00AA6195" w:rsidRPr="00AA6195">
        <w:rPr>
          <w:rFonts w:ascii="Arial" w:hAnsi="Arial" w:cs="Arial"/>
          <w:lang w:val="sr-Latn-ME"/>
        </w:rPr>
        <w:t xml:space="preserve"> </w:t>
      </w:r>
      <w:r w:rsidR="00AA6195" w:rsidRPr="00AA6195">
        <w:rPr>
          <w:rFonts w:ascii="Arial" w:hAnsi="Arial" w:cs="Arial"/>
        </w:rPr>
        <w:t>krivi</w:t>
      </w:r>
      <w:r w:rsidR="00AA6195" w:rsidRPr="00AA6195">
        <w:rPr>
          <w:rFonts w:ascii="Arial" w:hAnsi="Arial" w:cs="Arial"/>
          <w:lang w:val="sr-Latn-ME"/>
        </w:rPr>
        <w:t>č</w:t>
      </w:r>
      <w:r w:rsidR="00AA6195" w:rsidRPr="00AA6195">
        <w:rPr>
          <w:rFonts w:ascii="Arial" w:hAnsi="Arial" w:cs="Arial"/>
        </w:rPr>
        <w:t>nim</w:t>
      </w:r>
      <w:r w:rsidR="00AA6195" w:rsidRPr="00AA6195">
        <w:rPr>
          <w:rFonts w:ascii="Arial" w:hAnsi="Arial" w:cs="Arial"/>
          <w:lang w:val="sr-Latn-ME"/>
        </w:rPr>
        <w:t xml:space="preserve"> </w:t>
      </w:r>
      <w:r w:rsidR="00AA6195" w:rsidRPr="00AA6195">
        <w:rPr>
          <w:rFonts w:ascii="Arial" w:hAnsi="Arial" w:cs="Arial"/>
        </w:rPr>
        <w:t>sudovima</w:t>
      </w:r>
      <w:r w:rsidR="00AA6195" w:rsidRPr="00AA6195">
        <w:rPr>
          <w:rFonts w:ascii="Arial" w:hAnsi="Arial" w:cs="Arial"/>
          <w:lang w:val="sr-Latn-ME"/>
        </w:rPr>
        <w:t xml:space="preserve">, </w:t>
      </w:r>
      <w:r w:rsidR="00AA6195" w:rsidRPr="00AA6195">
        <w:rPr>
          <w:rFonts w:ascii="Arial" w:hAnsi="Arial" w:cs="Arial"/>
        </w:rPr>
        <w:t>pri</w:t>
      </w:r>
      <w:r w:rsidR="00AA6195" w:rsidRPr="00AA6195">
        <w:rPr>
          <w:rFonts w:ascii="Arial" w:hAnsi="Arial" w:cs="Arial"/>
          <w:lang w:val="sr-Latn-ME"/>
        </w:rPr>
        <w:t xml:space="preserve"> č</w:t>
      </w:r>
      <w:r w:rsidR="00AA6195" w:rsidRPr="00AA6195">
        <w:rPr>
          <w:rFonts w:ascii="Arial" w:hAnsi="Arial" w:cs="Arial"/>
        </w:rPr>
        <w:t>emu</w:t>
      </w:r>
      <w:r w:rsidR="00AA6195" w:rsidRPr="00AA6195">
        <w:rPr>
          <w:rFonts w:ascii="Arial" w:hAnsi="Arial" w:cs="Arial"/>
          <w:lang w:val="sr-Latn-ME"/>
        </w:rPr>
        <w:t xml:space="preserve"> </w:t>
      </w:r>
      <w:r w:rsidR="00AA6195" w:rsidRPr="00AA6195">
        <w:rPr>
          <w:rFonts w:ascii="Arial" w:hAnsi="Arial" w:cs="Arial"/>
        </w:rPr>
        <w:t>su</w:t>
      </w:r>
      <w:r w:rsidR="00AA6195" w:rsidRPr="00AA6195">
        <w:rPr>
          <w:rFonts w:ascii="Arial" w:hAnsi="Arial" w:cs="Arial"/>
          <w:lang w:val="sr-Latn-ME"/>
        </w:rPr>
        <w:t xml:space="preserve"> </w:t>
      </w:r>
      <w:r w:rsidR="00AA6195" w:rsidRPr="00AA6195">
        <w:rPr>
          <w:rFonts w:ascii="Arial" w:hAnsi="Arial" w:cs="Arial"/>
        </w:rPr>
        <w:t>za</w:t>
      </w:r>
      <w:r w:rsidR="00AA6195" w:rsidRPr="00AA6195">
        <w:rPr>
          <w:rFonts w:ascii="Arial" w:hAnsi="Arial" w:cs="Arial"/>
          <w:lang w:val="sr-Latn-ME"/>
        </w:rPr>
        <w:t xml:space="preserve"> </w:t>
      </w:r>
      <w:r w:rsidR="00AA6195" w:rsidRPr="00AA6195">
        <w:rPr>
          <w:rFonts w:ascii="Arial" w:hAnsi="Arial" w:cs="Arial"/>
        </w:rPr>
        <w:t>istrage</w:t>
      </w:r>
      <w:r w:rsidR="00AA6195" w:rsidRPr="00AA6195">
        <w:rPr>
          <w:rFonts w:ascii="Arial" w:hAnsi="Arial" w:cs="Arial"/>
          <w:lang w:val="sr-Latn-ME"/>
        </w:rPr>
        <w:t xml:space="preserve"> </w:t>
      </w:r>
      <w:r w:rsidR="00AA6195" w:rsidRPr="00AA6195">
        <w:rPr>
          <w:rFonts w:ascii="Arial" w:hAnsi="Arial" w:cs="Arial"/>
        </w:rPr>
        <w:t>i</w:t>
      </w:r>
      <w:r w:rsidR="00AA6195" w:rsidRPr="00AA6195">
        <w:rPr>
          <w:rFonts w:ascii="Arial" w:hAnsi="Arial" w:cs="Arial"/>
          <w:lang w:val="sr-Latn-ME"/>
        </w:rPr>
        <w:t xml:space="preserve"> procesuiranje </w:t>
      </w:r>
      <w:r w:rsidR="00AA6195" w:rsidRPr="00AA6195">
        <w:rPr>
          <w:rFonts w:ascii="Arial" w:hAnsi="Arial" w:cs="Arial"/>
        </w:rPr>
        <w:t>slu</w:t>
      </w:r>
      <w:r w:rsidR="00AA6195" w:rsidRPr="00AA6195">
        <w:rPr>
          <w:rFonts w:ascii="Arial" w:hAnsi="Arial" w:cs="Arial"/>
          <w:lang w:val="sr-Latn-ME"/>
        </w:rPr>
        <w:t>č</w:t>
      </w:r>
      <w:r w:rsidR="00AA6195" w:rsidRPr="00AA6195">
        <w:rPr>
          <w:rFonts w:ascii="Arial" w:hAnsi="Arial" w:cs="Arial"/>
        </w:rPr>
        <w:t>ajeva</w:t>
      </w:r>
      <w:r w:rsidR="00AA6195" w:rsidRPr="00AA6195">
        <w:rPr>
          <w:rFonts w:ascii="Arial" w:hAnsi="Arial" w:cs="Arial"/>
          <w:lang w:val="sr-Latn-ME"/>
        </w:rPr>
        <w:t xml:space="preserve"> </w:t>
      </w:r>
      <w:r w:rsidR="00AA6195" w:rsidRPr="00AA6195">
        <w:rPr>
          <w:rFonts w:ascii="Arial" w:hAnsi="Arial" w:cs="Arial"/>
        </w:rPr>
        <w:t>povezanih</w:t>
      </w:r>
      <w:r w:rsidR="00AA6195" w:rsidRPr="00AA6195">
        <w:rPr>
          <w:rFonts w:ascii="Arial" w:hAnsi="Arial" w:cs="Arial"/>
          <w:lang w:val="sr-Latn-ME"/>
        </w:rPr>
        <w:t xml:space="preserve"> </w:t>
      </w:r>
      <w:r w:rsidR="00AA6195" w:rsidRPr="00AA6195">
        <w:rPr>
          <w:rFonts w:ascii="Arial" w:hAnsi="Arial" w:cs="Arial"/>
        </w:rPr>
        <w:t>sa</w:t>
      </w:r>
      <w:r w:rsidR="00AA6195" w:rsidRPr="00AA6195">
        <w:rPr>
          <w:rFonts w:ascii="Arial" w:hAnsi="Arial" w:cs="Arial"/>
          <w:lang w:val="sr-Latn-ME"/>
        </w:rPr>
        <w:t xml:space="preserve"> </w:t>
      </w:r>
      <w:r w:rsidR="00AA6195" w:rsidRPr="00AA6195">
        <w:rPr>
          <w:rFonts w:ascii="Arial" w:hAnsi="Arial" w:cs="Arial"/>
        </w:rPr>
        <w:t>sredstvima</w:t>
      </w:r>
      <w:r w:rsidR="00AA6195" w:rsidRPr="00AA6195">
        <w:rPr>
          <w:rFonts w:ascii="Arial" w:hAnsi="Arial" w:cs="Arial"/>
          <w:lang w:val="sr-Latn-ME"/>
        </w:rPr>
        <w:t xml:space="preserve"> </w:t>
      </w:r>
      <w:r w:rsidR="00AA6195" w:rsidRPr="00AA6195">
        <w:rPr>
          <w:rFonts w:ascii="Arial" w:hAnsi="Arial" w:cs="Arial"/>
        </w:rPr>
        <w:t>EU</w:t>
      </w:r>
      <w:r w:rsidR="00AA6195" w:rsidRPr="00AA6195">
        <w:rPr>
          <w:rFonts w:ascii="Arial" w:hAnsi="Arial" w:cs="Arial"/>
          <w:lang w:val="sr-Latn-ME"/>
        </w:rPr>
        <w:t xml:space="preserve"> </w:t>
      </w:r>
      <w:r w:rsidR="00AA6195" w:rsidRPr="00AA6195">
        <w:rPr>
          <w:rFonts w:ascii="Arial" w:hAnsi="Arial" w:cs="Arial"/>
        </w:rPr>
        <w:t>zadu</w:t>
      </w:r>
      <w:r w:rsidR="00AA6195" w:rsidRPr="00AA6195">
        <w:rPr>
          <w:rFonts w:ascii="Arial" w:hAnsi="Arial" w:cs="Arial"/>
          <w:lang w:val="sr-Latn-ME"/>
        </w:rPr>
        <w:t>ž</w:t>
      </w:r>
      <w:r w:rsidR="00AA6195" w:rsidRPr="00AA6195">
        <w:rPr>
          <w:rFonts w:ascii="Arial" w:hAnsi="Arial" w:cs="Arial"/>
        </w:rPr>
        <w:t>eni</w:t>
      </w:r>
      <w:r w:rsidR="00AA6195" w:rsidRPr="00AA6195">
        <w:rPr>
          <w:rFonts w:ascii="Arial" w:hAnsi="Arial" w:cs="Arial"/>
          <w:lang w:val="sr-Latn-ME"/>
        </w:rPr>
        <w:t xml:space="preserve"> </w:t>
      </w:r>
      <w:r w:rsidR="00AA6195" w:rsidRPr="00AA6195">
        <w:rPr>
          <w:rFonts w:ascii="Arial" w:hAnsi="Arial" w:cs="Arial"/>
        </w:rPr>
        <w:t>evropski</w:t>
      </w:r>
      <w:r w:rsidR="00AA6195" w:rsidRPr="00AA6195">
        <w:rPr>
          <w:rFonts w:ascii="Arial" w:hAnsi="Arial" w:cs="Arial"/>
          <w:lang w:val="sr-Latn-ME"/>
        </w:rPr>
        <w:t xml:space="preserve"> </w:t>
      </w:r>
      <w:r w:rsidR="00AA6195" w:rsidRPr="00AA6195">
        <w:rPr>
          <w:rFonts w:ascii="Arial" w:hAnsi="Arial" w:cs="Arial"/>
        </w:rPr>
        <w:t>delegirani</w:t>
      </w:r>
      <w:r w:rsidR="00AA6195" w:rsidRPr="00AA6195">
        <w:rPr>
          <w:rFonts w:ascii="Arial" w:hAnsi="Arial" w:cs="Arial"/>
          <w:lang w:val="sr-Latn-ME"/>
        </w:rPr>
        <w:t xml:space="preserve"> </w:t>
      </w:r>
      <w:r w:rsidR="00AA6195" w:rsidRPr="00AA6195">
        <w:rPr>
          <w:rFonts w:ascii="Arial" w:hAnsi="Arial" w:cs="Arial"/>
        </w:rPr>
        <w:t>tu</w:t>
      </w:r>
      <w:r w:rsidR="00AA6195" w:rsidRPr="00AA6195">
        <w:rPr>
          <w:rFonts w:ascii="Arial" w:hAnsi="Arial" w:cs="Arial"/>
          <w:lang w:val="sr-Latn-ME"/>
        </w:rPr>
        <w:t>ž</w:t>
      </w:r>
      <w:r w:rsidR="00AA6195" w:rsidRPr="00AA6195">
        <w:rPr>
          <w:rFonts w:ascii="Arial" w:hAnsi="Arial" w:cs="Arial"/>
        </w:rPr>
        <w:t>ioci</w:t>
      </w:r>
      <w:r w:rsidR="00AA6195" w:rsidRPr="00AA6195">
        <w:rPr>
          <w:rFonts w:ascii="Arial" w:hAnsi="Arial" w:cs="Arial"/>
          <w:lang w:val="sr-Latn-ME"/>
        </w:rPr>
        <w:t>.</w:t>
      </w:r>
    </w:p>
    <w:p w:rsidR="00AA6195" w:rsidRDefault="00AA6195" w:rsidP="000F471C">
      <w:pPr>
        <w:pStyle w:val="NoSpacing"/>
        <w:jc w:val="both"/>
        <w:rPr>
          <w:rFonts w:ascii="Arial" w:hAnsi="Arial" w:cs="Arial"/>
          <w:i/>
          <w:lang w:val="sr-Latn-ME"/>
        </w:rPr>
      </w:pPr>
    </w:p>
    <w:p w:rsidR="000F471C" w:rsidRPr="001302F9" w:rsidRDefault="000F471C" w:rsidP="000F471C">
      <w:pPr>
        <w:pStyle w:val="NoSpacing"/>
        <w:jc w:val="both"/>
        <w:rPr>
          <w:rFonts w:ascii="Arial" w:hAnsi="Arial" w:cs="Arial"/>
          <w:lang w:val="sr-Latn-ME"/>
        </w:rPr>
      </w:pPr>
      <w:r w:rsidRPr="00F02A2C">
        <w:rPr>
          <w:rFonts w:ascii="Arial" w:hAnsi="Arial" w:cs="Arial"/>
          <w:i/>
          <w:lang w:val="sr-Latn-ME"/>
        </w:rPr>
        <w:t xml:space="preserve">Takođe bi bilo korisno u Crnoj Gori već sada procijeniti potrebu za uspostavljanjem jedinice ili imenovanjem tužilaca za </w:t>
      </w:r>
      <w:r w:rsidR="00AA6195">
        <w:rPr>
          <w:rFonts w:ascii="Arial" w:hAnsi="Arial" w:cs="Arial"/>
          <w:i/>
          <w:lang w:val="sr-Latn-ME"/>
        </w:rPr>
        <w:t>procesuiranje</w:t>
      </w:r>
      <w:r w:rsidRPr="00F02A2C">
        <w:rPr>
          <w:rFonts w:ascii="Arial" w:hAnsi="Arial" w:cs="Arial"/>
          <w:i/>
          <w:lang w:val="sr-Latn-ME"/>
        </w:rPr>
        <w:t xml:space="preserve"> slučajeva vezanih za sredstva EU.</w:t>
      </w:r>
    </w:p>
    <w:p w:rsidR="00F02A2C" w:rsidRDefault="000F471C" w:rsidP="00AA6195">
      <w:pPr>
        <w:pStyle w:val="NoSpacing"/>
        <w:jc w:val="both"/>
        <w:rPr>
          <w:rFonts w:ascii="Arial" w:hAnsi="Arial" w:cs="Arial"/>
          <w:lang w:val="sr-Latn-ME"/>
        </w:rPr>
      </w:pPr>
      <w:r w:rsidRPr="001302F9">
        <w:rPr>
          <w:rFonts w:ascii="Arial" w:hAnsi="Arial" w:cs="Arial"/>
          <w:lang w:val="sr-Latn-ME"/>
        </w:rPr>
        <w:br/>
        <w:t xml:space="preserve">Vrhovno državno tužilaštvo Crne Gore </w:t>
      </w:r>
      <w:r w:rsidR="00F02A2C" w:rsidRPr="001302F9">
        <w:rPr>
          <w:rFonts w:ascii="Arial" w:hAnsi="Arial" w:cs="Arial"/>
          <w:lang w:val="sr-Latn-ME"/>
        </w:rPr>
        <w:t>je</w:t>
      </w:r>
      <w:r w:rsidR="00F02A2C">
        <w:rPr>
          <w:rFonts w:ascii="Arial" w:hAnsi="Arial" w:cs="Arial"/>
          <w:lang w:val="sr-Latn-ME"/>
        </w:rPr>
        <w:t xml:space="preserve">, </w:t>
      </w:r>
      <w:r w:rsidRPr="001302F9">
        <w:rPr>
          <w:rFonts w:ascii="Arial" w:hAnsi="Arial" w:cs="Arial"/>
          <w:lang w:val="sr-Latn-ME"/>
        </w:rPr>
        <w:t>22. septembra 2022.</w:t>
      </w:r>
      <w:r w:rsidR="00F02A2C">
        <w:rPr>
          <w:rFonts w:ascii="Arial" w:hAnsi="Arial" w:cs="Arial"/>
          <w:lang w:val="sr-Latn-ME"/>
        </w:rPr>
        <w:t xml:space="preserve"> godine, </w:t>
      </w:r>
      <w:r w:rsidRPr="001302F9">
        <w:rPr>
          <w:rFonts w:ascii="Arial" w:hAnsi="Arial" w:cs="Arial"/>
          <w:lang w:val="sr-Latn-ME"/>
        </w:rPr>
        <w:t xml:space="preserve">potpisalo Sporazum o saradnji </w:t>
      </w:r>
      <w:r w:rsidR="00F02A2C">
        <w:rPr>
          <w:rFonts w:ascii="Arial" w:hAnsi="Arial" w:cs="Arial"/>
          <w:lang w:val="sr-Latn-ME"/>
        </w:rPr>
        <w:t>sa</w:t>
      </w:r>
      <w:r w:rsidRPr="001302F9">
        <w:rPr>
          <w:rFonts w:ascii="Arial" w:hAnsi="Arial" w:cs="Arial"/>
          <w:lang w:val="sr-Latn-ME"/>
        </w:rPr>
        <w:t xml:space="preserve"> EPPO</w:t>
      </w:r>
      <w:r w:rsidR="00F02A2C">
        <w:rPr>
          <w:rFonts w:ascii="Arial" w:hAnsi="Arial" w:cs="Arial"/>
          <w:lang w:val="sr-Latn-ME"/>
        </w:rPr>
        <w:t xml:space="preserve">-om. </w:t>
      </w:r>
      <w:r w:rsidRPr="001302F9">
        <w:rPr>
          <w:rFonts w:ascii="Arial" w:hAnsi="Arial" w:cs="Arial"/>
          <w:lang w:val="sr-Latn-ME"/>
        </w:rPr>
        <w:t>Glavni izazovi u trenutnoj situaciji u procesu krivičnog gonjenja i nadzora</w:t>
      </w:r>
      <w:r w:rsidR="00AA6195">
        <w:rPr>
          <w:rFonts w:ascii="Arial" w:hAnsi="Arial" w:cs="Arial"/>
          <w:lang w:val="sr-Latn-ME"/>
        </w:rPr>
        <w:t xml:space="preserve"> </w:t>
      </w:r>
      <w:r w:rsidRPr="001302F9">
        <w:rPr>
          <w:rFonts w:ascii="Arial" w:hAnsi="Arial" w:cs="Arial"/>
          <w:lang w:val="sr-Latn-ME"/>
        </w:rPr>
        <w:t>su:</w:t>
      </w:r>
    </w:p>
    <w:p w:rsidR="00F02A2C" w:rsidRDefault="000F471C" w:rsidP="00F02A2C">
      <w:pPr>
        <w:pStyle w:val="NoSpacing"/>
        <w:numPr>
          <w:ilvl w:val="0"/>
          <w:numId w:val="40"/>
        </w:numPr>
        <w:jc w:val="both"/>
        <w:rPr>
          <w:rFonts w:ascii="Arial" w:hAnsi="Arial" w:cs="Arial"/>
          <w:lang w:val="sr-Latn-ME"/>
        </w:rPr>
      </w:pPr>
      <w:r w:rsidRPr="001302F9">
        <w:rPr>
          <w:rFonts w:ascii="Arial" w:hAnsi="Arial" w:cs="Arial"/>
          <w:lang w:val="sr-Latn-ME"/>
        </w:rPr>
        <w:t>potreba za daljim usklađivanjem Krivičnog zakonika sa PIF Direktivom;</w:t>
      </w:r>
    </w:p>
    <w:p w:rsidR="000F471C" w:rsidRPr="001302F9" w:rsidRDefault="000F471C" w:rsidP="00F02A2C">
      <w:pPr>
        <w:pStyle w:val="NoSpacing"/>
        <w:numPr>
          <w:ilvl w:val="0"/>
          <w:numId w:val="40"/>
        </w:numPr>
        <w:jc w:val="both"/>
        <w:rPr>
          <w:rFonts w:ascii="Arial" w:hAnsi="Arial" w:cs="Arial"/>
          <w:lang w:val="sr-Latn-ME"/>
        </w:rPr>
      </w:pPr>
      <w:r w:rsidRPr="001302F9">
        <w:rPr>
          <w:rFonts w:ascii="Arial" w:hAnsi="Arial" w:cs="Arial"/>
          <w:lang w:val="sr-Latn-ME"/>
        </w:rPr>
        <w:t>potreba za jačanjem saradnje Direkcije za zaštitu finansijskih interesa EU/AFCOS sa</w:t>
      </w:r>
      <w:r w:rsidR="00F02A2C">
        <w:rPr>
          <w:rFonts w:ascii="Arial" w:hAnsi="Arial" w:cs="Arial"/>
          <w:lang w:val="sr-Latn-ME"/>
        </w:rPr>
        <w:t xml:space="preserve"> </w:t>
      </w:r>
      <w:r w:rsidRPr="001302F9">
        <w:rPr>
          <w:rFonts w:ascii="Arial" w:hAnsi="Arial" w:cs="Arial"/>
          <w:lang w:val="sr-Latn-ME"/>
        </w:rPr>
        <w:t>Vrhovnim državnim tužilaštvom, Agencijom za spriječavanje korupcije i Upravom policije, te u tom smislu izmjenom relevantnog nacionalnog zakonodavstva kako bi se obavezala tijela koja sprovode krivičnu istragu na saradnju sa Direkcijom za zaštitu finansijskih interesa EU/AFCOS i OLAF-om.</w:t>
      </w:r>
    </w:p>
    <w:p w:rsidR="000F471C" w:rsidRPr="001302F9" w:rsidRDefault="000F471C" w:rsidP="00F02A2C">
      <w:pPr>
        <w:pStyle w:val="NoSpacing"/>
        <w:jc w:val="both"/>
        <w:rPr>
          <w:rFonts w:ascii="Arial" w:hAnsi="Arial" w:cs="Arial"/>
          <w:lang w:val="sr-Latn-ME"/>
        </w:rPr>
      </w:pPr>
      <w:r w:rsidRPr="001302F9">
        <w:rPr>
          <w:rFonts w:ascii="Arial" w:hAnsi="Arial" w:cs="Arial"/>
          <w:lang w:val="sr-Latn-ME"/>
        </w:rPr>
        <w:br/>
        <w:t>Važno je naglasiti da je neophodno izgraditi kapacitete Vrhovnog državnog tužilaštva, Agencije za sprečavanje korupcije i Uprave policije u oblasti zaštite sredstava Evropske unije kako bi se efikasnije sprovodila krivična istraga vezano za projekte finansirane iz EU sredstava.</w:t>
      </w:r>
    </w:p>
    <w:p w:rsidR="00432B07" w:rsidRDefault="000F471C" w:rsidP="00432B07">
      <w:pPr>
        <w:pStyle w:val="NormalWeb"/>
        <w:spacing w:line="360" w:lineRule="auto"/>
        <w:contextualSpacing/>
        <w:jc w:val="both"/>
        <w:rPr>
          <w:rStyle w:val="Strong"/>
          <w:rFonts w:ascii="Arial" w:hAnsi="Arial" w:cs="Arial"/>
          <w:sz w:val="22"/>
          <w:szCs w:val="22"/>
          <w:lang w:val="sr-Latn-ME"/>
        </w:rPr>
      </w:pPr>
      <w:r w:rsidRPr="001302F9">
        <w:rPr>
          <w:rFonts w:ascii="Arial" w:hAnsi="Arial" w:cs="Arial"/>
          <w:sz w:val="22"/>
          <w:szCs w:val="22"/>
          <w:lang w:val="sr-Latn-ME"/>
        </w:rPr>
        <w:t xml:space="preserve">2.6.4. </w:t>
      </w:r>
      <w:r w:rsidRPr="001302F9">
        <w:rPr>
          <w:rStyle w:val="Strong"/>
          <w:rFonts w:ascii="Arial" w:hAnsi="Arial" w:cs="Arial"/>
          <w:sz w:val="22"/>
          <w:szCs w:val="22"/>
          <w:lang w:val="sr-Latn-ME"/>
        </w:rPr>
        <w:t>Povra</w:t>
      </w:r>
      <w:r w:rsidR="00F02A2C">
        <w:rPr>
          <w:rStyle w:val="Strong"/>
          <w:rFonts w:ascii="Arial" w:hAnsi="Arial" w:cs="Arial"/>
          <w:sz w:val="22"/>
          <w:szCs w:val="22"/>
          <w:lang w:val="sr-Latn-ME"/>
        </w:rPr>
        <w:t>ćaj</w:t>
      </w:r>
      <w:r w:rsidRPr="001302F9">
        <w:rPr>
          <w:rStyle w:val="Strong"/>
          <w:rFonts w:ascii="Arial" w:hAnsi="Arial" w:cs="Arial"/>
          <w:sz w:val="22"/>
          <w:szCs w:val="22"/>
          <w:lang w:val="sr-Latn-ME"/>
        </w:rPr>
        <w:t xml:space="preserve"> sredstava i sankcije</w:t>
      </w:r>
    </w:p>
    <w:p w:rsidR="00432B07" w:rsidRDefault="000F471C" w:rsidP="00432B07">
      <w:pPr>
        <w:pStyle w:val="NormalWeb"/>
        <w:spacing w:line="360" w:lineRule="auto"/>
        <w:contextualSpacing/>
        <w:jc w:val="both"/>
        <w:rPr>
          <w:rStyle w:val="Strong"/>
          <w:rFonts w:ascii="Arial" w:hAnsi="Arial" w:cs="Arial"/>
          <w:sz w:val="22"/>
          <w:szCs w:val="22"/>
          <w:lang w:val="sr-Latn-ME"/>
        </w:rPr>
      </w:pPr>
      <w:r w:rsidRPr="001302F9">
        <w:rPr>
          <w:rFonts w:ascii="Arial" w:hAnsi="Arial" w:cs="Arial"/>
          <w:sz w:val="22"/>
          <w:szCs w:val="22"/>
          <w:lang w:val="sr-Latn-ME"/>
        </w:rPr>
        <w:br/>
      </w:r>
      <w:r w:rsidRPr="00F02A2C">
        <w:rPr>
          <w:rFonts w:ascii="Arial" w:hAnsi="Arial" w:cs="Arial"/>
          <w:b/>
          <w:i/>
          <w:sz w:val="22"/>
          <w:szCs w:val="22"/>
          <w:lang w:val="sr-Latn-ME"/>
        </w:rPr>
        <w:t xml:space="preserve">• </w:t>
      </w:r>
      <w:r w:rsidRPr="00F02A2C">
        <w:rPr>
          <w:rStyle w:val="Strong"/>
          <w:rFonts w:ascii="Arial" w:hAnsi="Arial" w:cs="Arial"/>
          <w:b w:val="0"/>
          <w:i/>
          <w:sz w:val="22"/>
          <w:szCs w:val="22"/>
          <w:lang w:val="sr-Latn-ME"/>
        </w:rPr>
        <w:t>Povra</w:t>
      </w:r>
      <w:r w:rsidR="00F02A2C">
        <w:rPr>
          <w:rStyle w:val="Strong"/>
          <w:rFonts w:ascii="Arial" w:hAnsi="Arial" w:cs="Arial"/>
          <w:b w:val="0"/>
          <w:i/>
          <w:sz w:val="22"/>
          <w:szCs w:val="22"/>
          <w:lang w:val="sr-Latn-ME"/>
        </w:rPr>
        <w:t>ćaj</w:t>
      </w:r>
      <w:r w:rsidRPr="00F02A2C">
        <w:rPr>
          <w:rStyle w:val="Strong"/>
          <w:rFonts w:ascii="Arial" w:hAnsi="Arial" w:cs="Arial"/>
          <w:b w:val="0"/>
          <w:i/>
          <w:sz w:val="22"/>
          <w:szCs w:val="22"/>
          <w:lang w:val="sr-Latn-ME"/>
        </w:rPr>
        <w:t xml:space="preserve"> sredstava</w:t>
      </w:r>
    </w:p>
    <w:p w:rsidR="00326419" w:rsidRPr="00432B07" w:rsidRDefault="000F471C" w:rsidP="00326419">
      <w:pPr>
        <w:pStyle w:val="NormalWeb"/>
        <w:jc w:val="both"/>
        <w:rPr>
          <w:rFonts w:ascii="Arial" w:hAnsi="Arial" w:cs="Arial"/>
          <w:b/>
          <w:bCs/>
          <w:sz w:val="22"/>
          <w:szCs w:val="22"/>
          <w:lang w:val="sr-Latn-ME"/>
        </w:rPr>
      </w:pPr>
      <w:r w:rsidRPr="001302F9">
        <w:rPr>
          <w:rFonts w:ascii="Arial" w:hAnsi="Arial" w:cs="Arial"/>
          <w:sz w:val="22"/>
          <w:szCs w:val="22"/>
          <w:lang w:val="sr-Latn-ME"/>
        </w:rPr>
        <w:br/>
        <w:t>Što se tiče obaveze povra</w:t>
      </w:r>
      <w:r w:rsidR="00D40964">
        <w:rPr>
          <w:rFonts w:ascii="Arial" w:hAnsi="Arial" w:cs="Arial"/>
          <w:sz w:val="22"/>
          <w:szCs w:val="22"/>
          <w:lang w:val="sr-Latn-ME"/>
        </w:rPr>
        <w:t>ćaja</w:t>
      </w:r>
      <w:r w:rsidRPr="001302F9">
        <w:rPr>
          <w:rFonts w:ascii="Arial" w:hAnsi="Arial" w:cs="Arial"/>
          <w:sz w:val="22"/>
          <w:szCs w:val="22"/>
          <w:lang w:val="sr-Latn-ME"/>
        </w:rPr>
        <w:t xml:space="preserve"> sredstava, bilo koj</w:t>
      </w:r>
      <w:r w:rsidR="00D40964">
        <w:rPr>
          <w:rFonts w:ascii="Arial" w:hAnsi="Arial" w:cs="Arial"/>
          <w:sz w:val="22"/>
          <w:szCs w:val="22"/>
          <w:lang w:val="sr-Latn-ME"/>
        </w:rPr>
        <w:t>i</w:t>
      </w:r>
      <w:r w:rsidRPr="001302F9">
        <w:rPr>
          <w:rFonts w:ascii="Arial" w:hAnsi="Arial" w:cs="Arial"/>
          <w:sz w:val="22"/>
          <w:szCs w:val="22"/>
          <w:lang w:val="sr-Latn-ME"/>
        </w:rPr>
        <w:t xml:space="preserve"> </w:t>
      </w:r>
      <w:r w:rsidR="00D40964" w:rsidRPr="001302F9">
        <w:rPr>
          <w:rFonts w:ascii="Arial" w:hAnsi="Arial" w:cs="Arial"/>
          <w:sz w:val="22"/>
          <w:szCs w:val="22"/>
          <w:lang w:val="sr-Latn-ME"/>
        </w:rPr>
        <w:t>neprihvatljivi troškovi</w:t>
      </w:r>
      <w:r w:rsidR="00D40964">
        <w:rPr>
          <w:rFonts w:ascii="Arial" w:hAnsi="Arial" w:cs="Arial"/>
          <w:sz w:val="22"/>
          <w:szCs w:val="22"/>
          <w:lang w:val="sr-Latn-ME"/>
        </w:rPr>
        <w:t>, to jest</w:t>
      </w:r>
      <w:r w:rsidR="00D40964" w:rsidRPr="001302F9">
        <w:rPr>
          <w:rFonts w:ascii="Arial" w:hAnsi="Arial" w:cs="Arial"/>
          <w:sz w:val="22"/>
          <w:szCs w:val="22"/>
          <w:lang w:val="sr-Latn-ME"/>
        </w:rPr>
        <w:t xml:space="preserve"> </w:t>
      </w:r>
      <w:r w:rsidRPr="001302F9">
        <w:rPr>
          <w:rFonts w:ascii="Arial" w:hAnsi="Arial" w:cs="Arial"/>
          <w:sz w:val="22"/>
          <w:szCs w:val="22"/>
          <w:lang w:val="sr-Latn-ME"/>
        </w:rPr>
        <w:t>neiskorišćena i nepravilno ili nezakonito upotrebljena sredstva</w:t>
      </w:r>
      <w:r w:rsidR="00D40964">
        <w:rPr>
          <w:rFonts w:ascii="Arial" w:hAnsi="Arial" w:cs="Arial"/>
          <w:sz w:val="22"/>
          <w:szCs w:val="22"/>
          <w:lang w:val="sr-Latn-ME"/>
        </w:rPr>
        <w:t xml:space="preserve">, </w:t>
      </w:r>
      <w:r w:rsidRPr="001302F9">
        <w:rPr>
          <w:rFonts w:ascii="Arial" w:hAnsi="Arial" w:cs="Arial"/>
          <w:sz w:val="22"/>
          <w:szCs w:val="22"/>
          <w:lang w:val="sr-Latn-ME"/>
        </w:rPr>
        <w:t xml:space="preserve">moraju biti vraćeni Evropskoj komisiji u skladu sa njenim zahtjevima i poštujući rokove koje postavlja Evropska komisija (u slučaju IPA godišnjih, višegodišnjih </w:t>
      </w:r>
      <w:r w:rsidR="008B2A9A">
        <w:rPr>
          <w:rFonts w:ascii="Arial" w:hAnsi="Arial" w:cs="Arial"/>
          <w:sz w:val="22"/>
          <w:szCs w:val="22"/>
          <w:lang w:val="sr-Latn-ME"/>
        </w:rPr>
        <w:t>i</w:t>
      </w:r>
      <w:r w:rsidRPr="001302F9">
        <w:rPr>
          <w:rFonts w:ascii="Arial" w:hAnsi="Arial" w:cs="Arial"/>
          <w:sz w:val="22"/>
          <w:szCs w:val="22"/>
          <w:lang w:val="sr-Latn-ME"/>
        </w:rPr>
        <w:t xml:space="preserve"> programa prekogranične saradnje, povra</w:t>
      </w:r>
      <w:r w:rsidR="00326419">
        <w:rPr>
          <w:rFonts w:ascii="Arial" w:hAnsi="Arial" w:cs="Arial"/>
          <w:sz w:val="22"/>
          <w:szCs w:val="22"/>
          <w:lang w:val="sr-Latn-ME"/>
        </w:rPr>
        <w:t>ćaj</w:t>
      </w:r>
      <w:r w:rsidRPr="001302F9">
        <w:rPr>
          <w:rFonts w:ascii="Arial" w:hAnsi="Arial" w:cs="Arial"/>
          <w:sz w:val="22"/>
          <w:szCs w:val="22"/>
          <w:lang w:val="sr-Latn-ME"/>
        </w:rPr>
        <w:t xml:space="preserve"> sredstava Evropskoj komisiji vrši se kao dio procesa zatvaranja programa, tj. po prijemu zahtjeva od strane Evropske komisije; u slučaju IPARD programa, pravila za povra</w:t>
      </w:r>
      <w:r w:rsidR="00326419">
        <w:rPr>
          <w:rFonts w:ascii="Arial" w:hAnsi="Arial" w:cs="Arial"/>
          <w:sz w:val="22"/>
          <w:szCs w:val="22"/>
          <w:lang w:val="sr-Latn-ME"/>
        </w:rPr>
        <w:t>ćaj</w:t>
      </w:r>
      <w:r w:rsidRPr="001302F9">
        <w:rPr>
          <w:rFonts w:ascii="Arial" w:hAnsi="Arial" w:cs="Arial"/>
          <w:sz w:val="22"/>
          <w:szCs w:val="22"/>
          <w:lang w:val="sr-Latn-ME"/>
        </w:rPr>
        <w:t xml:space="preserve"> sredstava preciznije su definisana sektorskim sporazumom i postoje rokovi unutar kojih Crna Gora mora povratiti sredstva tokom trajanja programa, tj. prije njegovog zatvaranja)</w:t>
      </w:r>
      <w:r w:rsidRPr="001302F9">
        <w:rPr>
          <w:rStyle w:val="FootnoteReference"/>
          <w:rFonts w:ascii="Arial" w:hAnsi="Arial" w:cs="Arial"/>
          <w:sz w:val="22"/>
          <w:szCs w:val="22"/>
          <w:lang w:val="sr-Latn-ME"/>
        </w:rPr>
        <w:footnoteReference w:id="8"/>
      </w:r>
      <w:r w:rsidRPr="001302F9">
        <w:rPr>
          <w:rFonts w:ascii="Arial" w:hAnsi="Arial" w:cs="Arial"/>
          <w:sz w:val="22"/>
          <w:szCs w:val="22"/>
          <w:lang w:val="sr-Latn-ME"/>
        </w:rPr>
        <w:t>. Evidentiranje povra</w:t>
      </w:r>
      <w:r w:rsidR="00326419">
        <w:rPr>
          <w:rFonts w:ascii="Arial" w:hAnsi="Arial" w:cs="Arial"/>
          <w:sz w:val="22"/>
          <w:szCs w:val="22"/>
          <w:lang w:val="sr-Latn-ME"/>
        </w:rPr>
        <w:t>ćaja</w:t>
      </w:r>
      <w:r w:rsidRPr="001302F9">
        <w:rPr>
          <w:rFonts w:ascii="Arial" w:hAnsi="Arial" w:cs="Arial"/>
          <w:sz w:val="22"/>
          <w:szCs w:val="22"/>
          <w:lang w:val="sr-Latn-ME"/>
        </w:rPr>
        <w:t xml:space="preserve"> sredstava, koje iniciraju izvođači/korisnici </w:t>
      </w:r>
      <w:r w:rsidR="00326419">
        <w:rPr>
          <w:rFonts w:ascii="Arial" w:hAnsi="Arial" w:cs="Arial"/>
          <w:sz w:val="22"/>
          <w:szCs w:val="22"/>
          <w:lang w:val="sr-Latn-ME"/>
        </w:rPr>
        <w:t>sredstava</w:t>
      </w:r>
      <w:r w:rsidRPr="001302F9">
        <w:rPr>
          <w:rFonts w:ascii="Arial" w:hAnsi="Arial" w:cs="Arial"/>
          <w:sz w:val="22"/>
          <w:szCs w:val="22"/>
          <w:lang w:val="sr-Latn-ME"/>
        </w:rPr>
        <w:t xml:space="preserve">, obavlja </w:t>
      </w:r>
      <w:r w:rsidR="00326419" w:rsidRPr="001302F9">
        <w:rPr>
          <w:rFonts w:ascii="Arial" w:hAnsi="Arial" w:cs="Arial"/>
          <w:sz w:val="22"/>
          <w:szCs w:val="22"/>
          <w:lang w:val="sr-Latn-ME"/>
        </w:rPr>
        <w:t xml:space="preserve">prvenstveno </w:t>
      </w:r>
      <w:r w:rsidRPr="001302F9">
        <w:rPr>
          <w:rFonts w:ascii="Arial" w:hAnsi="Arial" w:cs="Arial"/>
          <w:sz w:val="22"/>
          <w:szCs w:val="22"/>
          <w:lang w:val="sr-Latn-ME"/>
        </w:rPr>
        <w:t>Implementaciona agencija/Posredničko tijelo za finansijsko upravljanje. Upravljačka struktura je odgovorna za cjelokupno finansijsko upravljanje sredstvima EU pomoći, što uključuje i evidentiranje iznosa koji treba biti vraćen Evropskoj komisiji.</w:t>
      </w:r>
    </w:p>
    <w:p w:rsidR="00326419" w:rsidRDefault="000F471C" w:rsidP="000F471C">
      <w:pPr>
        <w:pStyle w:val="NormalWeb"/>
        <w:jc w:val="both"/>
        <w:rPr>
          <w:rFonts w:ascii="Arial" w:hAnsi="Arial" w:cs="Arial"/>
          <w:sz w:val="22"/>
          <w:szCs w:val="22"/>
          <w:highlight w:val="yellow"/>
          <w:lang w:val="sr-Latn-ME"/>
        </w:rPr>
      </w:pPr>
      <w:r w:rsidRPr="001302F9">
        <w:rPr>
          <w:rFonts w:ascii="Arial" w:hAnsi="Arial" w:cs="Arial"/>
          <w:sz w:val="22"/>
          <w:szCs w:val="22"/>
          <w:lang w:val="sr-Latn-ME"/>
        </w:rPr>
        <w:t>Unutar IPA sistema razlikuju se dva tipa povra</w:t>
      </w:r>
      <w:r w:rsidR="00326419">
        <w:rPr>
          <w:rFonts w:ascii="Arial" w:hAnsi="Arial" w:cs="Arial"/>
          <w:sz w:val="22"/>
          <w:szCs w:val="22"/>
          <w:lang w:val="sr-Latn-ME"/>
        </w:rPr>
        <w:t>ćaja</w:t>
      </w:r>
      <w:r w:rsidRPr="001302F9">
        <w:rPr>
          <w:rFonts w:ascii="Arial" w:hAnsi="Arial" w:cs="Arial"/>
          <w:sz w:val="22"/>
          <w:szCs w:val="22"/>
          <w:lang w:val="sr-Latn-ME"/>
        </w:rPr>
        <w:t xml:space="preserve"> sredstava:</w:t>
      </w:r>
    </w:p>
    <w:p w:rsidR="000F471C" w:rsidRPr="00326419" w:rsidRDefault="000F471C" w:rsidP="000F471C">
      <w:pPr>
        <w:pStyle w:val="NormalWeb"/>
        <w:jc w:val="both"/>
        <w:rPr>
          <w:rFonts w:ascii="Arial" w:hAnsi="Arial" w:cs="Arial"/>
          <w:sz w:val="22"/>
          <w:szCs w:val="22"/>
          <w:highlight w:val="yellow"/>
          <w:lang w:val="sr-Latn-ME"/>
        </w:rPr>
      </w:pPr>
      <w:r w:rsidRPr="00326419">
        <w:rPr>
          <w:rFonts w:ascii="Arial" w:hAnsi="Arial" w:cs="Arial"/>
          <w:sz w:val="22"/>
          <w:szCs w:val="22"/>
          <w:lang w:val="sr-Latn-ME"/>
        </w:rPr>
        <w:t xml:space="preserve">– </w:t>
      </w:r>
      <w:r w:rsidRPr="00326419">
        <w:rPr>
          <w:rStyle w:val="Strong"/>
          <w:rFonts w:ascii="Arial" w:hAnsi="Arial" w:cs="Arial"/>
          <w:sz w:val="22"/>
          <w:szCs w:val="22"/>
          <w:lang w:val="sr-Latn-ME"/>
        </w:rPr>
        <w:t>Povra</w:t>
      </w:r>
      <w:r w:rsidR="00326419" w:rsidRPr="00326419">
        <w:rPr>
          <w:rStyle w:val="Strong"/>
          <w:rFonts w:ascii="Arial" w:hAnsi="Arial" w:cs="Arial"/>
          <w:sz w:val="22"/>
          <w:szCs w:val="22"/>
          <w:lang w:val="sr-Latn-ME"/>
        </w:rPr>
        <w:t>ćaj</w:t>
      </w:r>
      <w:r w:rsidRPr="00326419">
        <w:rPr>
          <w:rStyle w:val="Strong"/>
          <w:rFonts w:ascii="Arial" w:hAnsi="Arial" w:cs="Arial"/>
          <w:sz w:val="22"/>
          <w:szCs w:val="22"/>
          <w:lang w:val="sr-Latn-ME"/>
        </w:rPr>
        <w:t xml:space="preserve"> sredstava</w:t>
      </w:r>
      <w:r w:rsidRPr="00326419">
        <w:rPr>
          <w:rFonts w:ascii="Arial" w:hAnsi="Arial" w:cs="Arial"/>
          <w:sz w:val="22"/>
          <w:szCs w:val="22"/>
          <w:lang w:val="sr-Latn-ME"/>
        </w:rPr>
        <w:t xml:space="preserve"> – kada prethodno prihvaćena sredstva moraju biti vraćena zbog grešaka utvrđenih tokom verifikacija i revizija;</w:t>
      </w:r>
    </w:p>
    <w:p w:rsidR="00326419" w:rsidRDefault="000F471C" w:rsidP="000F471C">
      <w:pPr>
        <w:pStyle w:val="NormalWeb"/>
        <w:jc w:val="both"/>
        <w:rPr>
          <w:rFonts w:ascii="Arial" w:hAnsi="Arial" w:cs="Arial"/>
          <w:sz w:val="22"/>
          <w:szCs w:val="22"/>
          <w:highlight w:val="yellow"/>
          <w:lang w:val="sr-Latn-ME"/>
        </w:rPr>
      </w:pPr>
      <w:r w:rsidRPr="00326419">
        <w:rPr>
          <w:rFonts w:ascii="Arial" w:hAnsi="Arial" w:cs="Arial"/>
          <w:sz w:val="22"/>
          <w:szCs w:val="22"/>
          <w:lang w:val="sr-Latn-ME"/>
        </w:rPr>
        <w:t xml:space="preserve">– </w:t>
      </w:r>
      <w:r w:rsidR="00326419" w:rsidRPr="00326419">
        <w:rPr>
          <w:rStyle w:val="Strong"/>
          <w:rFonts w:ascii="Arial" w:hAnsi="Arial" w:cs="Arial"/>
          <w:sz w:val="22"/>
          <w:szCs w:val="22"/>
          <w:lang w:val="sr-Latn-ME"/>
        </w:rPr>
        <w:t>Otplata</w:t>
      </w:r>
      <w:r w:rsidRPr="00326419">
        <w:rPr>
          <w:rFonts w:ascii="Arial" w:hAnsi="Arial" w:cs="Arial"/>
          <w:sz w:val="22"/>
          <w:szCs w:val="22"/>
          <w:lang w:val="sr-Latn-ME"/>
        </w:rPr>
        <w:t xml:space="preserve"> (Repayment) – kada se greške na nivou izvođača/korisnika </w:t>
      </w:r>
      <w:r w:rsidR="00326419" w:rsidRPr="00326419">
        <w:rPr>
          <w:rFonts w:ascii="Arial" w:hAnsi="Arial" w:cs="Arial"/>
          <w:sz w:val="22"/>
          <w:szCs w:val="22"/>
          <w:lang w:val="sr-Latn-ME"/>
        </w:rPr>
        <w:t>sredstava</w:t>
      </w:r>
      <w:r w:rsidRPr="00326419">
        <w:rPr>
          <w:rFonts w:ascii="Arial" w:hAnsi="Arial" w:cs="Arial"/>
          <w:sz w:val="22"/>
          <w:szCs w:val="22"/>
          <w:lang w:val="sr-Latn-ME"/>
        </w:rPr>
        <w:t xml:space="preserve"> identifikuju u okviru pre-finansiranih sredstava i samim tim iznos pre-finansiranja mora biti smanjen.</w:t>
      </w:r>
    </w:p>
    <w:p w:rsidR="00432B07" w:rsidRDefault="000F471C" w:rsidP="00432B07">
      <w:pPr>
        <w:pStyle w:val="NormalWeb"/>
        <w:contextualSpacing/>
        <w:jc w:val="both"/>
        <w:rPr>
          <w:rFonts w:ascii="Arial" w:hAnsi="Arial" w:cs="Arial"/>
          <w:sz w:val="22"/>
          <w:szCs w:val="22"/>
          <w:lang w:val="sr-Latn-ME"/>
        </w:rPr>
      </w:pPr>
      <w:r w:rsidRPr="00326419">
        <w:rPr>
          <w:rFonts w:ascii="Arial" w:hAnsi="Arial" w:cs="Arial"/>
          <w:sz w:val="22"/>
          <w:szCs w:val="22"/>
          <w:lang w:val="sr-Latn-ME"/>
        </w:rPr>
        <w:t>Kada nastane situacija zbog koje je potrebno pokrenuti povra</w:t>
      </w:r>
      <w:r w:rsidR="00326419" w:rsidRPr="00326419">
        <w:rPr>
          <w:rFonts w:ascii="Arial" w:hAnsi="Arial" w:cs="Arial"/>
          <w:sz w:val="22"/>
          <w:szCs w:val="22"/>
          <w:lang w:val="sr-Latn-ME"/>
        </w:rPr>
        <w:t>ćaj ili otplatu sredstava</w:t>
      </w:r>
      <w:r w:rsidRPr="00326419">
        <w:rPr>
          <w:rFonts w:ascii="Arial" w:hAnsi="Arial" w:cs="Arial"/>
          <w:sz w:val="22"/>
          <w:szCs w:val="22"/>
          <w:lang w:val="sr-Latn-ME"/>
        </w:rPr>
        <w:t>,</w:t>
      </w:r>
      <w:r w:rsidRPr="001302F9">
        <w:rPr>
          <w:rFonts w:ascii="Arial" w:hAnsi="Arial" w:cs="Arial"/>
          <w:sz w:val="22"/>
          <w:szCs w:val="22"/>
          <w:lang w:val="sr-Latn-ME"/>
        </w:rPr>
        <w:t xml:space="preserve"> Implementaciona agencija/Posredničko tijelo za finansijsko upravljanje preduzima sve neophodne radnje kako bi obustavilo plaćanja relevantnom izvođaču/korisniku i izdalo zahtjev za povra</w:t>
      </w:r>
      <w:r w:rsidR="00326419">
        <w:rPr>
          <w:rFonts w:ascii="Arial" w:hAnsi="Arial" w:cs="Arial"/>
          <w:sz w:val="22"/>
          <w:szCs w:val="22"/>
          <w:lang w:val="sr-Latn-ME"/>
        </w:rPr>
        <w:t>ćaj</w:t>
      </w:r>
      <w:r w:rsidRPr="001302F9">
        <w:rPr>
          <w:rFonts w:ascii="Arial" w:hAnsi="Arial" w:cs="Arial"/>
          <w:sz w:val="22"/>
          <w:szCs w:val="22"/>
          <w:lang w:val="sr-Latn-ME"/>
        </w:rPr>
        <w:t xml:space="preserve"> sredstava. U slučaju kašnjenja u povra</w:t>
      </w:r>
      <w:r w:rsidR="00326419">
        <w:rPr>
          <w:rFonts w:ascii="Arial" w:hAnsi="Arial" w:cs="Arial"/>
          <w:sz w:val="22"/>
          <w:szCs w:val="22"/>
          <w:lang w:val="sr-Latn-ME"/>
        </w:rPr>
        <w:t>ćaju</w:t>
      </w:r>
      <w:r w:rsidRPr="001302F9">
        <w:rPr>
          <w:rFonts w:ascii="Arial" w:hAnsi="Arial" w:cs="Arial"/>
          <w:sz w:val="22"/>
          <w:szCs w:val="22"/>
          <w:lang w:val="sr-Latn-ME"/>
        </w:rPr>
        <w:t>, postoji procedura za primjenu kamate na kašnjenje.</w:t>
      </w:r>
    </w:p>
    <w:p w:rsidR="000F471C" w:rsidRPr="001302F9" w:rsidRDefault="000F471C" w:rsidP="00432B07">
      <w:pPr>
        <w:pStyle w:val="NormalWeb"/>
        <w:contextualSpacing/>
        <w:jc w:val="both"/>
        <w:rPr>
          <w:rFonts w:ascii="Arial" w:hAnsi="Arial" w:cs="Arial"/>
          <w:sz w:val="22"/>
          <w:szCs w:val="22"/>
          <w:lang w:val="sr-Latn-ME"/>
        </w:rPr>
      </w:pPr>
      <w:r w:rsidRPr="001302F9">
        <w:rPr>
          <w:rFonts w:ascii="Arial" w:hAnsi="Arial" w:cs="Arial"/>
          <w:sz w:val="22"/>
          <w:szCs w:val="22"/>
          <w:lang w:val="sr-Latn-ME"/>
        </w:rPr>
        <w:br/>
        <w:t>Takođe, Okvirnim sporazumom je predviđeno da je NAO konačno odgovoran za povra</w:t>
      </w:r>
      <w:r w:rsidR="00326419">
        <w:rPr>
          <w:rFonts w:ascii="Arial" w:hAnsi="Arial" w:cs="Arial"/>
          <w:sz w:val="22"/>
          <w:szCs w:val="22"/>
          <w:lang w:val="sr-Latn-ME"/>
        </w:rPr>
        <w:t>ćaj</w:t>
      </w:r>
      <w:r w:rsidRPr="001302F9">
        <w:rPr>
          <w:rFonts w:ascii="Arial" w:hAnsi="Arial" w:cs="Arial"/>
          <w:sz w:val="22"/>
          <w:szCs w:val="22"/>
          <w:lang w:val="sr-Latn-ME"/>
        </w:rPr>
        <w:t xml:space="preserve"> sredstava Evropskoj komisiji bez obzira </w:t>
      </w:r>
      <w:r w:rsidRPr="00326419">
        <w:rPr>
          <w:rFonts w:ascii="Arial" w:hAnsi="Arial" w:cs="Arial"/>
          <w:sz w:val="22"/>
          <w:szCs w:val="22"/>
          <w:lang w:val="sr-Latn-ME"/>
        </w:rPr>
        <w:t xml:space="preserve">na to da li </w:t>
      </w:r>
      <w:r w:rsidR="00326419" w:rsidRPr="00326419">
        <w:rPr>
          <w:rFonts w:ascii="Arial" w:hAnsi="Arial" w:cs="Arial"/>
          <w:sz w:val="22"/>
          <w:szCs w:val="22"/>
          <w:lang w:val="sr-Latn-ME"/>
        </w:rPr>
        <w:t xml:space="preserve">je izvođač/korisnik izvršio </w:t>
      </w:r>
      <w:r w:rsidRPr="00326419">
        <w:rPr>
          <w:rFonts w:ascii="Arial" w:hAnsi="Arial" w:cs="Arial"/>
          <w:sz w:val="22"/>
          <w:szCs w:val="22"/>
          <w:lang w:val="sr-Latn-ME"/>
        </w:rPr>
        <w:t>povra</w:t>
      </w:r>
      <w:r w:rsidR="00326419" w:rsidRPr="00326419">
        <w:rPr>
          <w:rFonts w:ascii="Arial" w:hAnsi="Arial" w:cs="Arial"/>
          <w:sz w:val="22"/>
          <w:szCs w:val="22"/>
          <w:lang w:val="sr-Latn-ME"/>
        </w:rPr>
        <w:t>ćaj</w:t>
      </w:r>
      <w:r w:rsidRPr="001302F9">
        <w:rPr>
          <w:rStyle w:val="FootnoteReference"/>
          <w:rFonts w:ascii="Arial" w:hAnsi="Arial" w:cs="Arial"/>
          <w:sz w:val="22"/>
          <w:szCs w:val="22"/>
          <w:lang w:val="sr-Latn-ME"/>
        </w:rPr>
        <w:footnoteReference w:id="9"/>
      </w:r>
      <w:r w:rsidRPr="001302F9">
        <w:rPr>
          <w:rFonts w:ascii="Arial" w:hAnsi="Arial" w:cs="Arial"/>
          <w:sz w:val="22"/>
          <w:szCs w:val="22"/>
          <w:lang w:val="sr-Latn-ME"/>
        </w:rPr>
        <w:t xml:space="preserve">. Da bi se pravilno dodijelila </w:t>
      </w:r>
      <w:r w:rsidRPr="00326419">
        <w:rPr>
          <w:rFonts w:ascii="Arial" w:hAnsi="Arial" w:cs="Arial"/>
          <w:sz w:val="22"/>
          <w:szCs w:val="22"/>
          <w:lang w:val="sr-Latn-ME"/>
        </w:rPr>
        <w:t>sredstva</w:t>
      </w:r>
      <w:r w:rsidRPr="001302F9">
        <w:rPr>
          <w:rFonts w:ascii="Arial" w:hAnsi="Arial" w:cs="Arial"/>
          <w:sz w:val="22"/>
          <w:szCs w:val="22"/>
          <w:lang w:val="sr-Latn-ME"/>
        </w:rPr>
        <w:t xml:space="preserve"> iz odgovarajućih nacionalnih budžetskih programa, neophodna je bliska saradnja između svih institucija uključenih u ovaj proces.</w:t>
      </w:r>
      <w:r w:rsidRPr="001302F9">
        <w:rPr>
          <w:rStyle w:val="FootnoteReference"/>
          <w:rFonts w:ascii="Arial" w:hAnsi="Arial" w:cs="Arial"/>
          <w:sz w:val="22"/>
          <w:szCs w:val="22"/>
          <w:lang w:val="sr-Latn-ME"/>
        </w:rPr>
        <w:footnoteReference w:id="10"/>
      </w:r>
      <w:r w:rsidRPr="001302F9">
        <w:rPr>
          <w:rFonts w:ascii="Arial" w:hAnsi="Arial" w:cs="Arial"/>
          <w:sz w:val="22"/>
          <w:szCs w:val="22"/>
          <w:lang w:val="sr-Latn-ME"/>
        </w:rPr>
        <w:br/>
        <w:t>Međutim, analiza rizika od prevare</w:t>
      </w:r>
      <w:r w:rsidRPr="001302F9">
        <w:rPr>
          <w:rStyle w:val="FootnoteReference"/>
          <w:rFonts w:ascii="Arial" w:hAnsi="Arial" w:cs="Arial"/>
          <w:sz w:val="22"/>
          <w:szCs w:val="22"/>
          <w:lang w:val="sr-Latn-ME"/>
        </w:rPr>
        <w:footnoteReference w:id="11"/>
      </w:r>
      <w:r w:rsidR="00326419">
        <w:rPr>
          <w:rFonts w:ascii="Arial" w:hAnsi="Arial" w:cs="Arial"/>
          <w:sz w:val="22"/>
          <w:szCs w:val="22"/>
          <w:lang w:val="sr-Latn-ME"/>
        </w:rPr>
        <w:t xml:space="preserve"> </w:t>
      </w:r>
      <w:r w:rsidRPr="001302F9">
        <w:rPr>
          <w:rFonts w:ascii="Arial" w:hAnsi="Arial" w:cs="Arial"/>
          <w:sz w:val="22"/>
          <w:szCs w:val="22"/>
          <w:lang w:val="sr-Latn-ME"/>
        </w:rPr>
        <w:t>pokazala je da je proces povra</w:t>
      </w:r>
      <w:r w:rsidR="00326419">
        <w:rPr>
          <w:rFonts w:ascii="Arial" w:hAnsi="Arial" w:cs="Arial"/>
          <w:sz w:val="22"/>
          <w:szCs w:val="22"/>
          <w:lang w:val="sr-Latn-ME"/>
        </w:rPr>
        <w:t>ćaja</w:t>
      </w:r>
      <w:r w:rsidRPr="001302F9">
        <w:rPr>
          <w:rFonts w:ascii="Arial" w:hAnsi="Arial" w:cs="Arial"/>
          <w:sz w:val="22"/>
          <w:szCs w:val="22"/>
          <w:lang w:val="sr-Latn-ME"/>
        </w:rPr>
        <w:t xml:space="preserve"> sredstava spor i da su potrebna poboljšanja u ovoj oblasti. Na osnovu podataka iz IMS sistema sažetih u analizi, kao i podataka koje je pružila Upravljačka struktura o povra</w:t>
      </w:r>
      <w:r w:rsidR="00326419">
        <w:rPr>
          <w:rFonts w:ascii="Arial" w:hAnsi="Arial" w:cs="Arial"/>
          <w:sz w:val="22"/>
          <w:szCs w:val="22"/>
          <w:lang w:val="sr-Latn-ME"/>
        </w:rPr>
        <w:t>ćajima</w:t>
      </w:r>
      <w:r w:rsidRPr="001302F9">
        <w:rPr>
          <w:rFonts w:ascii="Arial" w:hAnsi="Arial" w:cs="Arial"/>
          <w:sz w:val="22"/>
          <w:szCs w:val="22"/>
          <w:lang w:val="sr-Latn-ME"/>
        </w:rPr>
        <w:t xml:space="preserve"> od 2018. godine, stopa povra</w:t>
      </w:r>
      <w:r w:rsidR="00326419">
        <w:rPr>
          <w:rFonts w:ascii="Arial" w:hAnsi="Arial" w:cs="Arial"/>
          <w:sz w:val="22"/>
          <w:szCs w:val="22"/>
          <w:lang w:val="sr-Latn-ME"/>
        </w:rPr>
        <w:t>ćaja nepravilno utrošenih sredstava</w:t>
      </w:r>
      <w:r w:rsidRPr="001302F9">
        <w:rPr>
          <w:rFonts w:ascii="Arial" w:hAnsi="Arial" w:cs="Arial"/>
          <w:sz w:val="22"/>
          <w:szCs w:val="22"/>
          <w:lang w:val="sr-Latn-ME"/>
        </w:rPr>
        <w:t xml:space="preserve"> je</w:t>
      </w:r>
      <w:r w:rsidR="00326419">
        <w:rPr>
          <w:rFonts w:ascii="Arial" w:hAnsi="Arial" w:cs="Arial"/>
          <w:sz w:val="22"/>
          <w:szCs w:val="22"/>
          <w:lang w:val="sr-Latn-ME"/>
        </w:rPr>
        <w:t xml:space="preserve"> </w:t>
      </w:r>
      <w:r w:rsidRPr="001302F9">
        <w:rPr>
          <w:rFonts w:ascii="Arial" w:hAnsi="Arial" w:cs="Arial"/>
          <w:sz w:val="22"/>
          <w:szCs w:val="22"/>
          <w:lang w:val="sr-Latn-ME"/>
        </w:rPr>
        <w:t>43%.</w:t>
      </w:r>
    </w:p>
    <w:p w:rsidR="000F471C" w:rsidRDefault="000F471C" w:rsidP="00432B07">
      <w:pPr>
        <w:pStyle w:val="NormalWeb"/>
        <w:contextualSpacing/>
        <w:jc w:val="both"/>
        <w:rPr>
          <w:rFonts w:ascii="Arial" w:hAnsi="Arial" w:cs="Arial"/>
          <w:sz w:val="22"/>
          <w:szCs w:val="22"/>
          <w:lang w:val="sr-Latn-ME"/>
        </w:rPr>
      </w:pPr>
      <w:r w:rsidRPr="001302F9">
        <w:rPr>
          <w:rFonts w:ascii="Arial" w:hAnsi="Arial" w:cs="Arial"/>
          <w:sz w:val="22"/>
          <w:szCs w:val="22"/>
          <w:lang w:val="sr-Latn-ME"/>
        </w:rPr>
        <w:br/>
        <w:t>Kako bi se proces povra</w:t>
      </w:r>
      <w:r w:rsidR="00DC7DE7">
        <w:rPr>
          <w:rFonts w:ascii="Arial" w:hAnsi="Arial" w:cs="Arial"/>
          <w:sz w:val="22"/>
          <w:szCs w:val="22"/>
          <w:lang w:val="sr-Latn-ME"/>
        </w:rPr>
        <w:t>ćaj</w:t>
      </w:r>
      <w:r w:rsidRPr="001302F9">
        <w:rPr>
          <w:rFonts w:ascii="Arial" w:hAnsi="Arial" w:cs="Arial"/>
          <w:sz w:val="22"/>
          <w:szCs w:val="22"/>
          <w:lang w:val="sr-Latn-ME"/>
        </w:rPr>
        <w:t xml:space="preserve">a sredstava učinio efikasnijim, prvo bi trebalo izvršiti analizu razloga zbog kojih je </w:t>
      </w:r>
      <w:r w:rsidR="00DC7DE7">
        <w:rPr>
          <w:rFonts w:ascii="Arial" w:hAnsi="Arial" w:cs="Arial"/>
          <w:sz w:val="22"/>
          <w:szCs w:val="22"/>
          <w:lang w:val="sr-Latn-ME"/>
        </w:rPr>
        <w:t xml:space="preserve">ova </w:t>
      </w:r>
      <w:r w:rsidRPr="001302F9">
        <w:rPr>
          <w:rFonts w:ascii="Arial" w:hAnsi="Arial" w:cs="Arial"/>
          <w:sz w:val="22"/>
          <w:szCs w:val="22"/>
          <w:lang w:val="sr-Latn-ME"/>
        </w:rPr>
        <w:t>stopa tako niska, a zatim na osnovu rezultata analize definisati dalj</w:t>
      </w:r>
      <w:r w:rsidR="00DC7DE7">
        <w:rPr>
          <w:rFonts w:ascii="Arial" w:hAnsi="Arial" w:cs="Arial"/>
          <w:sz w:val="22"/>
          <w:szCs w:val="22"/>
          <w:lang w:val="sr-Latn-ME"/>
        </w:rPr>
        <w:t>e</w:t>
      </w:r>
      <w:r w:rsidRPr="001302F9">
        <w:rPr>
          <w:rFonts w:ascii="Arial" w:hAnsi="Arial" w:cs="Arial"/>
          <w:sz w:val="22"/>
          <w:szCs w:val="22"/>
          <w:lang w:val="sr-Latn-ME"/>
        </w:rPr>
        <w:t xml:space="preserve"> </w:t>
      </w:r>
      <w:r w:rsidR="00DC7DE7">
        <w:rPr>
          <w:rFonts w:ascii="Arial" w:hAnsi="Arial" w:cs="Arial"/>
          <w:sz w:val="22"/>
          <w:szCs w:val="22"/>
          <w:lang w:val="sr-Latn-ME"/>
        </w:rPr>
        <w:t>korake</w:t>
      </w:r>
      <w:r w:rsidRPr="001302F9">
        <w:rPr>
          <w:rFonts w:ascii="Arial" w:hAnsi="Arial" w:cs="Arial"/>
          <w:sz w:val="22"/>
          <w:szCs w:val="22"/>
          <w:lang w:val="sr-Latn-ME"/>
        </w:rPr>
        <w:t xml:space="preserve">. Ovo je </w:t>
      </w:r>
      <w:r w:rsidR="00DC7DE7">
        <w:rPr>
          <w:rFonts w:ascii="Arial" w:hAnsi="Arial" w:cs="Arial"/>
          <w:sz w:val="22"/>
          <w:szCs w:val="22"/>
          <w:lang w:val="sr-Latn-ME"/>
        </w:rPr>
        <w:t xml:space="preserve">utoliko </w:t>
      </w:r>
      <w:r w:rsidRPr="001302F9">
        <w:rPr>
          <w:rFonts w:ascii="Arial" w:hAnsi="Arial" w:cs="Arial"/>
          <w:sz w:val="22"/>
          <w:szCs w:val="22"/>
          <w:lang w:val="sr-Latn-ME"/>
        </w:rPr>
        <w:t xml:space="preserve">važnije u periodu ove Strategije, jer će se </w:t>
      </w:r>
      <w:r w:rsidR="00DC7DE7">
        <w:rPr>
          <w:rFonts w:ascii="Arial" w:hAnsi="Arial" w:cs="Arial"/>
          <w:sz w:val="22"/>
          <w:szCs w:val="22"/>
          <w:lang w:val="sr-Latn-ME"/>
        </w:rPr>
        <w:t>značajna</w:t>
      </w:r>
      <w:r w:rsidRPr="001302F9">
        <w:rPr>
          <w:rFonts w:ascii="Arial" w:hAnsi="Arial" w:cs="Arial"/>
          <w:sz w:val="22"/>
          <w:szCs w:val="22"/>
          <w:lang w:val="sr-Latn-ME"/>
        </w:rPr>
        <w:t xml:space="preserve"> pažnj</w:t>
      </w:r>
      <w:r w:rsidR="00DC7DE7">
        <w:rPr>
          <w:rFonts w:ascii="Arial" w:hAnsi="Arial" w:cs="Arial"/>
          <w:sz w:val="22"/>
          <w:szCs w:val="22"/>
          <w:lang w:val="sr-Latn-ME"/>
        </w:rPr>
        <w:t>a</w:t>
      </w:r>
      <w:r w:rsidRPr="001302F9">
        <w:rPr>
          <w:rFonts w:ascii="Arial" w:hAnsi="Arial" w:cs="Arial"/>
          <w:sz w:val="22"/>
          <w:szCs w:val="22"/>
          <w:lang w:val="sr-Latn-ME"/>
        </w:rPr>
        <w:t xml:space="preserve"> posvetiti povećanju kapaciteta za detekciju </w:t>
      </w:r>
      <w:r w:rsidR="00DC7DE7">
        <w:rPr>
          <w:rFonts w:ascii="Arial" w:hAnsi="Arial" w:cs="Arial"/>
          <w:sz w:val="22"/>
          <w:szCs w:val="22"/>
          <w:lang w:val="sr-Latn-ME"/>
        </w:rPr>
        <w:t xml:space="preserve">nepravilnosti i prevara </w:t>
      </w:r>
      <w:r w:rsidRPr="001302F9">
        <w:rPr>
          <w:rFonts w:ascii="Arial" w:hAnsi="Arial" w:cs="Arial"/>
          <w:sz w:val="22"/>
          <w:szCs w:val="22"/>
          <w:lang w:val="sr-Latn-ME"/>
        </w:rPr>
        <w:t xml:space="preserve">od strane nadležnih </w:t>
      </w:r>
      <w:r w:rsidR="00DC7DE7">
        <w:rPr>
          <w:rFonts w:ascii="Arial" w:hAnsi="Arial" w:cs="Arial"/>
          <w:sz w:val="22"/>
          <w:szCs w:val="22"/>
          <w:lang w:val="sr-Latn-ME"/>
        </w:rPr>
        <w:t>institucija</w:t>
      </w:r>
      <w:r w:rsidRPr="001302F9">
        <w:rPr>
          <w:rFonts w:ascii="Arial" w:hAnsi="Arial" w:cs="Arial"/>
          <w:sz w:val="22"/>
          <w:szCs w:val="22"/>
          <w:lang w:val="sr-Latn-ME"/>
        </w:rPr>
        <w:t xml:space="preserve">, </w:t>
      </w:r>
      <w:r w:rsidR="00DC7DE7">
        <w:rPr>
          <w:rFonts w:ascii="Arial" w:hAnsi="Arial" w:cs="Arial"/>
          <w:sz w:val="22"/>
          <w:szCs w:val="22"/>
          <w:lang w:val="sr-Latn-ME"/>
        </w:rPr>
        <w:t>pa bi se, shodno tome,</w:t>
      </w:r>
      <w:r w:rsidRPr="001302F9">
        <w:rPr>
          <w:rFonts w:ascii="Arial" w:hAnsi="Arial" w:cs="Arial"/>
          <w:sz w:val="22"/>
          <w:szCs w:val="22"/>
          <w:lang w:val="sr-Latn-ME"/>
        </w:rPr>
        <w:t xml:space="preserve"> </w:t>
      </w:r>
      <w:r w:rsidR="00DC7DE7">
        <w:rPr>
          <w:rFonts w:ascii="Arial" w:hAnsi="Arial" w:cs="Arial"/>
          <w:sz w:val="22"/>
          <w:szCs w:val="22"/>
          <w:lang w:val="sr-Latn-ME"/>
        </w:rPr>
        <w:t>trebalo</w:t>
      </w:r>
      <w:r w:rsidRPr="001302F9">
        <w:rPr>
          <w:rFonts w:ascii="Arial" w:hAnsi="Arial" w:cs="Arial"/>
          <w:sz w:val="22"/>
          <w:szCs w:val="22"/>
          <w:lang w:val="sr-Latn-ME"/>
        </w:rPr>
        <w:t xml:space="preserve"> </w:t>
      </w:r>
      <w:r w:rsidR="00DC7DE7">
        <w:rPr>
          <w:rFonts w:ascii="Arial" w:hAnsi="Arial" w:cs="Arial"/>
          <w:sz w:val="22"/>
          <w:szCs w:val="22"/>
          <w:lang w:val="sr-Latn-ME"/>
        </w:rPr>
        <w:t>očekivati</w:t>
      </w:r>
      <w:r w:rsidRPr="001302F9">
        <w:rPr>
          <w:rFonts w:ascii="Arial" w:hAnsi="Arial" w:cs="Arial"/>
          <w:sz w:val="22"/>
          <w:szCs w:val="22"/>
          <w:lang w:val="sr-Latn-ME"/>
        </w:rPr>
        <w:t xml:space="preserve"> više </w:t>
      </w:r>
      <w:r w:rsidR="00DC7DE7">
        <w:rPr>
          <w:rFonts w:ascii="Arial" w:hAnsi="Arial" w:cs="Arial"/>
          <w:sz w:val="22"/>
          <w:szCs w:val="22"/>
          <w:lang w:val="sr-Latn-ME"/>
        </w:rPr>
        <w:t xml:space="preserve">utvrđenih </w:t>
      </w:r>
      <w:r w:rsidRPr="001302F9">
        <w:rPr>
          <w:rFonts w:ascii="Arial" w:hAnsi="Arial" w:cs="Arial"/>
          <w:sz w:val="22"/>
          <w:szCs w:val="22"/>
          <w:lang w:val="sr-Latn-ME"/>
        </w:rPr>
        <w:t xml:space="preserve">nepravilnosti i sredstava koja treba </w:t>
      </w:r>
      <w:r w:rsidR="0012707F">
        <w:rPr>
          <w:rFonts w:ascii="Arial" w:hAnsi="Arial" w:cs="Arial"/>
          <w:sz w:val="22"/>
          <w:szCs w:val="22"/>
          <w:lang w:val="sr-Latn-ME"/>
        </w:rPr>
        <w:t>uspješno povratiti</w:t>
      </w:r>
      <w:r w:rsidRPr="001302F9">
        <w:rPr>
          <w:rFonts w:ascii="Arial" w:hAnsi="Arial" w:cs="Arial"/>
          <w:sz w:val="22"/>
          <w:szCs w:val="22"/>
          <w:lang w:val="sr-Latn-ME"/>
        </w:rPr>
        <w:t>.</w:t>
      </w:r>
    </w:p>
    <w:p w:rsidR="00432B07" w:rsidRPr="001302F9" w:rsidRDefault="00432B07" w:rsidP="00432B07">
      <w:pPr>
        <w:pStyle w:val="NormalWeb"/>
        <w:contextualSpacing/>
        <w:jc w:val="both"/>
        <w:rPr>
          <w:rFonts w:ascii="Arial" w:hAnsi="Arial" w:cs="Arial"/>
          <w:sz w:val="22"/>
          <w:szCs w:val="22"/>
          <w:lang w:val="sr-Latn-ME"/>
        </w:rPr>
      </w:pPr>
    </w:p>
    <w:p w:rsidR="000F471C" w:rsidRPr="003D0C8A" w:rsidRDefault="000F471C" w:rsidP="000F471C">
      <w:pPr>
        <w:pStyle w:val="NormalWeb"/>
        <w:jc w:val="both"/>
        <w:rPr>
          <w:rStyle w:val="Strong"/>
          <w:rFonts w:ascii="Arial" w:hAnsi="Arial" w:cs="Arial"/>
          <w:b w:val="0"/>
          <w:i/>
          <w:sz w:val="22"/>
          <w:szCs w:val="22"/>
          <w:lang w:val="sr-Latn-ME"/>
        </w:rPr>
      </w:pPr>
      <w:r w:rsidRPr="003D0C8A">
        <w:rPr>
          <w:rFonts w:ascii="Arial" w:hAnsi="Arial" w:cs="Arial"/>
          <w:b/>
          <w:i/>
          <w:sz w:val="22"/>
          <w:szCs w:val="22"/>
          <w:lang w:val="sr-Latn-ME"/>
        </w:rPr>
        <w:t xml:space="preserve">• </w:t>
      </w:r>
      <w:r w:rsidRPr="003D0C8A">
        <w:rPr>
          <w:rStyle w:val="Strong"/>
          <w:rFonts w:ascii="Arial" w:hAnsi="Arial" w:cs="Arial"/>
          <w:b w:val="0"/>
          <w:i/>
          <w:sz w:val="22"/>
          <w:szCs w:val="22"/>
          <w:lang w:val="sr-Latn-ME"/>
        </w:rPr>
        <w:t>Sankcije</w:t>
      </w:r>
    </w:p>
    <w:p w:rsidR="00432B07" w:rsidRDefault="000F471C" w:rsidP="00432B07">
      <w:pPr>
        <w:pStyle w:val="NormalWeb"/>
        <w:contextualSpacing/>
        <w:jc w:val="both"/>
        <w:rPr>
          <w:rFonts w:ascii="Arial" w:hAnsi="Arial" w:cs="Arial"/>
          <w:sz w:val="22"/>
          <w:szCs w:val="22"/>
          <w:lang w:val="sr-Latn-ME"/>
        </w:rPr>
      </w:pPr>
      <w:r w:rsidRPr="001302F9">
        <w:rPr>
          <w:rFonts w:ascii="Arial" w:hAnsi="Arial" w:cs="Arial"/>
          <w:sz w:val="22"/>
          <w:szCs w:val="22"/>
          <w:lang w:val="sr-Latn-ME"/>
        </w:rPr>
        <w:t>Čak i tokom pretpristupnog perioda, Crna Gora u okviru svog nacionalnog zakonodavstva mora obezbijediti da se svaka povreda prava EU sankcioniše, bez obzira na to da li će biti sprovedena u okviru administrativnog, građanskog, prekršajnog, krivičnog ili bilo kog drugog postupka. U tom smislu, potrebno je uzeti u obzir sve slabosti nacionalnog zakonodavstva kako bi se blagovremeno preduzele odgovarajuće mjere</w:t>
      </w:r>
      <w:r w:rsidR="00294620">
        <w:rPr>
          <w:rFonts w:ascii="Arial" w:hAnsi="Arial" w:cs="Arial"/>
          <w:sz w:val="22"/>
          <w:szCs w:val="22"/>
          <w:lang w:val="sr-Latn-ME"/>
        </w:rPr>
        <w:t xml:space="preserve"> i</w:t>
      </w:r>
      <w:r w:rsidRPr="001302F9">
        <w:rPr>
          <w:rFonts w:ascii="Arial" w:hAnsi="Arial" w:cs="Arial"/>
          <w:sz w:val="22"/>
          <w:szCs w:val="22"/>
          <w:lang w:val="sr-Latn-ME"/>
        </w:rPr>
        <w:t xml:space="preserve"> osigurava</w:t>
      </w:r>
      <w:r w:rsidR="00294620">
        <w:rPr>
          <w:rFonts w:ascii="Arial" w:hAnsi="Arial" w:cs="Arial"/>
          <w:sz w:val="22"/>
          <w:szCs w:val="22"/>
          <w:lang w:val="sr-Latn-ME"/>
        </w:rPr>
        <w:t>la</w:t>
      </w:r>
      <w:r w:rsidRPr="001302F9">
        <w:rPr>
          <w:rFonts w:ascii="Arial" w:hAnsi="Arial" w:cs="Arial"/>
          <w:sz w:val="22"/>
          <w:szCs w:val="22"/>
          <w:lang w:val="sr-Latn-ME"/>
        </w:rPr>
        <w:t xml:space="preserve"> usklađenost nacionalni</w:t>
      </w:r>
      <w:r w:rsidR="00294620">
        <w:rPr>
          <w:rFonts w:ascii="Arial" w:hAnsi="Arial" w:cs="Arial"/>
          <w:sz w:val="22"/>
          <w:szCs w:val="22"/>
          <w:lang w:val="sr-Latn-ME"/>
        </w:rPr>
        <w:t>h</w:t>
      </w:r>
      <w:r w:rsidRPr="001302F9">
        <w:rPr>
          <w:rFonts w:ascii="Arial" w:hAnsi="Arial" w:cs="Arial"/>
          <w:sz w:val="22"/>
          <w:szCs w:val="22"/>
          <w:lang w:val="sr-Latn-ME"/>
        </w:rPr>
        <w:t xml:space="preserve"> i EU propisa.Analiza usklađenosti krivičnog zakonodavstva Crne Gore</w:t>
      </w:r>
      <w:r w:rsidRPr="001302F9">
        <w:rPr>
          <w:rStyle w:val="FootnoteReference"/>
          <w:rFonts w:ascii="Arial" w:hAnsi="Arial" w:cs="Arial"/>
          <w:sz w:val="22"/>
          <w:szCs w:val="22"/>
          <w:lang w:val="sr-Latn-ME"/>
        </w:rPr>
        <w:footnoteReference w:id="12"/>
      </w:r>
      <w:r w:rsidRPr="001302F9">
        <w:rPr>
          <w:rFonts w:ascii="Arial" w:hAnsi="Arial" w:cs="Arial"/>
          <w:sz w:val="22"/>
          <w:szCs w:val="22"/>
          <w:lang w:val="sr-Latn-ME"/>
        </w:rPr>
        <w:t xml:space="preserve"> pokazala je djelimičnu</w:t>
      </w:r>
      <w:r w:rsidR="00D44F1D">
        <w:rPr>
          <w:rFonts w:ascii="Arial" w:hAnsi="Arial" w:cs="Arial"/>
          <w:sz w:val="22"/>
          <w:szCs w:val="22"/>
          <w:lang w:val="sr-Latn-ME"/>
        </w:rPr>
        <w:t xml:space="preserve"> </w:t>
      </w:r>
      <w:r w:rsidRPr="001302F9">
        <w:rPr>
          <w:rFonts w:ascii="Arial" w:hAnsi="Arial" w:cs="Arial"/>
          <w:sz w:val="22"/>
          <w:szCs w:val="22"/>
          <w:lang w:val="sr-Latn-ME"/>
        </w:rPr>
        <w:t>usklađenost sa PIF Direktivom, što znači da je neophodna dalja harmonizacija Krivičn</w:t>
      </w:r>
      <w:r w:rsidR="00D44F1D">
        <w:rPr>
          <w:rFonts w:ascii="Arial" w:hAnsi="Arial" w:cs="Arial"/>
          <w:sz w:val="22"/>
          <w:szCs w:val="22"/>
          <w:lang w:val="sr-Latn-ME"/>
        </w:rPr>
        <w:t>og</w:t>
      </w:r>
      <w:r w:rsidRPr="001302F9">
        <w:rPr>
          <w:rFonts w:ascii="Arial" w:hAnsi="Arial" w:cs="Arial"/>
          <w:sz w:val="22"/>
          <w:szCs w:val="22"/>
          <w:lang w:val="sr-Latn-ME"/>
        </w:rPr>
        <w:t xml:space="preserve"> zakonik</w:t>
      </w:r>
      <w:r w:rsidR="00D44F1D">
        <w:rPr>
          <w:rFonts w:ascii="Arial" w:hAnsi="Arial" w:cs="Arial"/>
          <w:sz w:val="22"/>
          <w:szCs w:val="22"/>
          <w:lang w:val="sr-Latn-ME"/>
        </w:rPr>
        <w:t>a</w:t>
      </w:r>
      <w:r w:rsidR="00432B07">
        <w:rPr>
          <w:rFonts w:ascii="Arial" w:hAnsi="Arial" w:cs="Arial"/>
          <w:sz w:val="22"/>
          <w:szCs w:val="22"/>
          <w:lang w:val="sr-Latn-ME"/>
        </w:rPr>
        <w:t>.</w:t>
      </w:r>
    </w:p>
    <w:p w:rsidR="0050642E" w:rsidRDefault="000F471C" w:rsidP="00432B07">
      <w:pPr>
        <w:pStyle w:val="NormalWeb"/>
        <w:contextualSpacing/>
        <w:jc w:val="both"/>
        <w:rPr>
          <w:rFonts w:ascii="Arial" w:hAnsi="Arial" w:cs="Arial"/>
          <w:sz w:val="22"/>
          <w:szCs w:val="22"/>
          <w:lang w:val="sr-Latn-ME"/>
        </w:rPr>
      </w:pPr>
      <w:r w:rsidRPr="001302F9">
        <w:rPr>
          <w:rFonts w:ascii="Arial" w:hAnsi="Arial" w:cs="Arial"/>
          <w:sz w:val="22"/>
          <w:szCs w:val="22"/>
          <w:lang w:val="sr-Latn-ME"/>
        </w:rPr>
        <w:t xml:space="preserve"> </w:t>
      </w:r>
      <w:r w:rsidRPr="001302F9">
        <w:rPr>
          <w:rFonts w:ascii="Arial" w:hAnsi="Arial" w:cs="Arial"/>
          <w:sz w:val="22"/>
          <w:szCs w:val="22"/>
          <w:lang w:val="sr-Latn-ME"/>
        </w:rPr>
        <w:br/>
      </w:r>
      <w:r w:rsidR="00D44F1D" w:rsidRPr="00D44F1D">
        <w:rPr>
          <w:rFonts w:ascii="Arial" w:hAnsi="Arial" w:cs="Arial"/>
          <w:sz w:val="22"/>
          <w:szCs w:val="22"/>
          <w:lang w:val="sr-Latn-ME"/>
        </w:rPr>
        <w:t>Kao što je već pomenuto, 2021. godine Kancelarija evropskog javnog tužioca (EPPO) započela je svoje aktivno djelovanje u državama članicama EU, kao i u zemljama kandidatima. Ovo je predstavljao značajan korak u procesu evropske integracije i u oblasti evropskog krivičnog prava. Stoga će buduća saradnja sa Evropskom kancelarijom tužioca biti ključni aspekt u upravljanju IPA sredstvima i zaštiti finansijskih interesa EU, uključujući i Crnu Goru.</w:t>
      </w:r>
      <w:r w:rsidR="006C4AA7">
        <w:rPr>
          <w:rStyle w:val="FootnoteReference"/>
          <w:rFonts w:ascii="Arial" w:hAnsi="Arial" w:cs="Arial"/>
          <w:sz w:val="22"/>
          <w:szCs w:val="22"/>
          <w:lang w:val="sr-Latn-ME"/>
        </w:rPr>
        <w:footnoteReference w:id="13"/>
      </w:r>
    </w:p>
    <w:p w:rsidR="00432B07" w:rsidRDefault="00432B07" w:rsidP="00432B07">
      <w:pPr>
        <w:pStyle w:val="NormalWeb"/>
        <w:contextualSpacing/>
        <w:jc w:val="both"/>
        <w:rPr>
          <w:rFonts w:ascii="Arial" w:hAnsi="Arial" w:cs="Arial"/>
          <w:sz w:val="22"/>
          <w:szCs w:val="22"/>
          <w:lang w:val="sr-Latn-ME"/>
        </w:rPr>
      </w:pPr>
    </w:p>
    <w:p w:rsidR="000F471C" w:rsidRDefault="000F471C" w:rsidP="00162AC3">
      <w:pPr>
        <w:pStyle w:val="NormalWeb"/>
        <w:jc w:val="both"/>
        <w:rPr>
          <w:rFonts w:ascii="Arial" w:hAnsi="Arial" w:cs="Arial"/>
          <w:b/>
          <w:bCs/>
          <w:sz w:val="22"/>
          <w:szCs w:val="22"/>
          <w:lang w:val="sr-Latn-ME"/>
        </w:rPr>
      </w:pPr>
      <w:bookmarkStart w:id="13" w:name="_Hlk194407270"/>
      <w:r w:rsidRPr="001302F9">
        <w:rPr>
          <w:rFonts w:ascii="Arial" w:hAnsi="Arial" w:cs="Arial"/>
          <w:b/>
          <w:bCs/>
          <w:sz w:val="22"/>
          <w:szCs w:val="22"/>
          <w:lang w:val="sr-Latn-ME"/>
        </w:rPr>
        <w:t>VIZIJA, STRATE</w:t>
      </w:r>
      <w:r w:rsidR="003701A6">
        <w:rPr>
          <w:rFonts w:ascii="Arial" w:hAnsi="Arial" w:cs="Arial"/>
          <w:b/>
          <w:bCs/>
          <w:sz w:val="22"/>
          <w:szCs w:val="22"/>
          <w:lang w:val="sr-Latn-ME"/>
        </w:rPr>
        <w:t>ŠK</w:t>
      </w:r>
      <w:r w:rsidRPr="001302F9">
        <w:rPr>
          <w:rFonts w:ascii="Arial" w:hAnsi="Arial" w:cs="Arial"/>
          <w:b/>
          <w:bCs/>
          <w:sz w:val="22"/>
          <w:szCs w:val="22"/>
          <w:lang w:val="sr-Latn-ME"/>
        </w:rPr>
        <w:t>I I OPERATIVNI CILJEVI</w:t>
      </w:r>
    </w:p>
    <w:p w:rsidR="00162AC3" w:rsidRPr="00432B07" w:rsidRDefault="00162AC3" w:rsidP="00162AC3">
      <w:pPr>
        <w:pStyle w:val="NormalWeb"/>
        <w:jc w:val="both"/>
        <w:rPr>
          <w:rFonts w:ascii="Arial" w:hAnsi="Arial" w:cs="Arial"/>
          <w:b/>
          <w:bCs/>
          <w:sz w:val="22"/>
          <w:szCs w:val="22"/>
          <w:lang w:val="sr-Latn-ME"/>
        </w:rPr>
      </w:pPr>
      <w:r>
        <w:rPr>
          <w:rFonts w:ascii="Arial" w:hAnsi="Arial" w:cs="Arial"/>
          <w:b/>
          <w:bCs/>
          <w:sz w:val="22"/>
          <w:szCs w:val="22"/>
          <w:lang w:val="sr-Latn-ME"/>
        </w:rPr>
        <w:t>Analiza problema koje je potrebno riješiti</w:t>
      </w:r>
    </w:p>
    <w:bookmarkEnd w:id="13"/>
    <w:p w:rsidR="000F471C" w:rsidRPr="001302F9" w:rsidRDefault="000F471C" w:rsidP="000F471C">
      <w:pPr>
        <w:spacing w:before="100" w:beforeAutospacing="1" w:after="100" w:afterAutospacing="1" w:line="240" w:lineRule="auto"/>
        <w:jc w:val="both"/>
        <w:rPr>
          <w:rFonts w:ascii="Arial" w:eastAsia="Times New Roman" w:hAnsi="Arial" w:cs="Arial"/>
          <w:lang w:val="sr-Latn-ME"/>
        </w:rPr>
      </w:pPr>
      <w:r w:rsidRPr="001302F9">
        <w:rPr>
          <w:rFonts w:ascii="Arial" w:eastAsia="Times New Roman" w:hAnsi="Arial" w:cs="Arial"/>
          <w:lang w:val="sr-Latn-ME"/>
        </w:rPr>
        <w:t>Na osnovu analize trenutnog stanja i naglašavanja važnosti zaštite EU finansijskih sredstava i obnavljanja povjerenja javnosti, što su ključni elementi u borbi protiv prevare, nova Strategija ima sledeću viziju:</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1"/>
      </w:tblGrid>
      <w:tr w:rsidR="000F471C" w:rsidRPr="0050642E" w:rsidTr="00CB5F79">
        <w:trPr>
          <w:trHeight w:val="1161"/>
        </w:trPr>
        <w:tc>
          <w:tcPr>
            <w:tcW w:w="9409" w:type="dxa"/>
          </w:tcPr>
          <w:p w:rsidR="000F471C" w:rsidRPr="001302F9" w:rsidRDefault="000F471C" w:rsidP="00CB5F79">
            <w:pPr>
              <w:spacing w:before="100" w:beforeAutospacing="1" w:after="100" w:afterAutospacing="1" w:line="240" w:lineRule="auto"/>
              <w:ind w:left="100"/>
              <w:rPr>
                <w:rFonts w:ascii="Arial" w:eastAsia="Times New Roman" w:hAnsi="Arial" w:cs="Arial"/>
                <w:b/>
                <w:bCs/>
                <w:lang w:val="sr-Latn-ME"/>
              </w:rPr>
            </w:pPr>
            <w:r w:rsidRPr="001302F9">
              <w:rPr>
                <w:rFonts w:ascii="Arial" w:eastAsia="Times New Roman" w:hAnsi="Arial" w:cs="Arial"/>
                <w:b/>
                <w:bCs/>
                <w:lang w:val="sr-Latn-ME"/>
              </w:rPr>
              <w:t>Vizija</w:t>
            </w:r>
            <w:r w:rsidRPr="001302F9">
              <w:rPr>
                <w:rFonts w:ascii="Arial" w:eastAsia="Times New Roman" w:hAnsi="Arial" w:cs="Arial"/>
                <w:lang w:val="sr-Latn-ME"/>
              </w:rPr>
              <w:br/>
              <w:t>Crna Gora bez prevare i korupcije, u kojoj su zaštićena EU finansijska sredstva, a povjerenje javnosti u institucije očuvano.</w:t>
            </w:r>
          </w:p>
        </w:tc>
      </w:tr>
    </w:tbl>
    <w:p w:rsidR="000F471C" w:rsidRPr="001302F9" w:rsidRDefault="000F471C" w:rsidP="000F471C">
      <w:pPr>
        <w:spacing w:before="100" w:beforeAutospacing="1" w:after="100" w:afterAutospacing="1" w:line="240" w:lineRule="auto"/>
        <w:rPr>
          <w:rFonts w:ascii="Arial" w:eastAsia="Times New Roman" w:hAnsi="Arial" w:cs="Arial"/>
          <w:lang w:val="sr-Latn-ME"/>
        </w:rPr>
      </w:pPr>
      <w:r w:rsidRPr="001302F9">
        <w:rPr>
          <w:rFonts w:ascii="Arial" w:eastAsia="Times New Roman" w:hAnsi="Arial" w:cs="Arial"/>
          <w:lang w:val="sr-Latn-ME"/>
        </w:rPr>
        <w:t>U svijetlu izazova koji su identifikovani, strateški cilj je:</w:t>
      </w:r>
    </w:p>
    <w:tbl>
      <w:tblPr>
        <w:tblW w:w="9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9"/>
      </w:tblGrid>
      <w:tr w:rsidR="000F471C" w:rsidRPr="0050642E" w:rsidTr="00CB5F79">
        <w:trPr>
          <w:trHeight w:val="1372"/>
        </w:trPr>
        <w:tc>
          <w:tcPr>
            <w:tcW w:w="9359" w:type="dxa"/>
          </w:tcPr>
          <w:p w:rsidR="000F471C" w:rsidRPr="001302F9" w:rsidRDefault="000F471C" w:rsidP="00CB5F79">
            <w:pPr>
              <w:spacing w:before="100" w:beforeAutospacing="1" w:after="100" w:afterAutospacing="1" w:line="240" w:lineRule="auto"/>
              <w:jc w:val="both"/>
              <w:rPr>
                <w:rFonts w:ascii="Arial" w:eastAsia="Times New Roman" w:hAnsi="Arial" w:cs="Arial"/>
                <w:b/>
                <w:bCs/>
                <w:lang w:val="sr-Latn-ME"/>
              </w:rPr>
            </w:pPr>
            <w:r w:rsidRPr="001302F9">
              <w:rPr>
                <w:rFonts w:ascii="Arial" w:eastAsia="Times New Roman" w:hAnsi="Arial" w:cs="Arial"/>
                <w:b/>
                <w:bCs/>
                <w:lang w:val="sr-Latn-ME"/>
              </w:rPr>
              <w:t>Strateški cilj</w:t>
            </w:r>
          </w:p>
          <w:p w:rsidR="000F471C" w:rsidRPr="001302F9" w:rsidRDefault="000F471C" w:rsidP="00CB5F79">
            <w:pPr>
              <w:spacing w:before="100" w:beforeAutospacing="1" w:after="100" w:afterAutospacing="1" w:line="240" w:lineRule="auto"/>
              <w:jc w:val="both"/>
              <w:rPr>
                <w:rFonts w:ascii="Arial" w:eastAsia="Times New Roman" w:hAnsi="Arial" w:cs="Arial"/>
                <w:lang w:val="sr-Latn-ME"/>
              </w:rPr>
            </w:pPr>
            <w:r w:rsidRPr="001302F9">
              <w:rPr>
                <w:rFonts w:ascii="Arial" w:eastAsia="Times New Roman" w:hAnsi="Arial" w:cs="Arial"/>
                <w:lang w:val="sr-Latn-ME"/>
              </w:rPr>
              <w:br/>
              <w:t>Smanjiti prevaru i druge nepravilnosti koje utiču na EU finansijske interese u Crnoj Gori do 2028. godine jačanjem AFCOS sistema, koordinacione uloge Direkcije za zaštitu finansijskih interesa EU/AFCOS, poboljšanjem saradnje među svim zainteresovanim stranama, sprovođenjem preventivnih mjera i održavanjem kapaciteta za detekciju nepravilnosti, čime će se osigurati zaštita novca poreskih obveznika EU i Crne Gore, kao i efikasna i efektivna upotreba EU resursa.</w:t>
            </w:r>
          </w:p>
          <w:p w:rsidR="000F471C" w:rsidRPr="001302F9" w:rsidRDefault="000F471C" w:rsidP="00CB5F79">
            <w:pPr>
              <w:spacing w:before="100" w:beforeAutospacing="1" w:after="100" w:afterAutospacing="1" w:line="240" w:lineRule="auto"/>
              <w:ind w:left="-10"/>
              <w:rPr>
                <w:rFonts w:ascii="Arial" w:eastAsia="Times New Roman" w:hAnsi="Arial" w:cs="Arial"/>
                <w:b/>
                <w:bCs/>
                <w:lang w:val="sr-Latn-ME"/>
              </w:rPr>
            </w:pPr>
          </w:p>
        </w:tc>
      </w:tr>
    </w:tbl>
    <w:p w:rsidR="000F471C" w:rsidRPr="001302F9" w:rsidRDefault="000F471C" w:rsidP="000F471C">
      <w:pPr>
        <w:spacing w:before="100" w:beforeAutospacing="1" w:after="100" w:afterAutospacing="1" w:line="240" w:lineRule="auto"/>
        <w:rPr>
          <w:rFonts w:ascii="Arial" w:eastAsia="Times New Roman" w:hAnsi="Arial" w:cs="Arial"/>
          <w:lang w:val="sr-Latn-ME"/>
        </w:rPr>
      </w:pPr>
      <w:r w:rsidRPr="001302F9">
        <w:rPr>
          <w:rFonts w:ascii="Arial" w:eastAsia="Times New Roman" w:hAnsi="Arial" w:cs="Arial"/>
          <w:b/>
          <w:bCs/>
          <w:lang w:val="sr-Latn-ME"/>
        </w:rPr>
        <w:t>Indikator uspjeha</w:t>
      </w:r>
    </w:p>
    <w:tbl>
      <w:tblPr>
        <w:tblW w:w="9448" w:type="dxa"/>
        <w:tblCellSpacing w:w="15" w:type="dxa"/>
        <w:tblCellMar>
          <w:top w:w="15" w:type="dxa"/>
          <w:left w:w="15" w:type="dxa"/>
          <w:bottom w:w="15" w:type="dxa"/>
          <w:right w:w="15" w:type="dxa"/>
        </w:tblCellMar>
        <w:tblLook w:val="04A0" w:firstRow="1" w:lastRow="0" w:firstColumn="1" w:lastColumn="0" w:noHBand="0" w:noVBand="1"/>
      </w:tblPr>
      <w:tblGrid>
        <w:gridCol w:w="5018"/>
        <w:gridCol w:w="1511"/>
        <w:gridCol w:w="1452"/>
        <w:gridCol w:w="1467"/>
      </w:tblGrid>
      <w:tr w:rsidR="00C950D2" w:rsidRPr="001302F9" w:rsidTr="00CB5F79">
        <w:trPr>
          <w:trHeight w:val="863"/>
          <w:tblHeader/>
          <w:tblCellSpacing w:w="15" w:type="dxa"/>
        </w:trPr>
        <w:tc>
          <w:tcPr>
            <w:tcW w:w="0" w:type="auto"/>
            <w:vAlign w:val="center"/>
            <w:hideMark/>
          </w:tcPr>
          <w:p w:rsidR="000F471C" w:rsidRPr="001302F9" w:rsidRDefault="000F471C" w:rsidP="00CB5F79">
            <w:pPr>
              <w:spacing w:after="0" w:line="240" w:lineRule="auto"/>
              <w:jc w:val="center"/>
              <w:rPr>
                <w:rFonts w:ascii="Arial" w:eastAsia="Times New Roman" w:hAnsi="Arial" w:cs="Arial"/>
                <w:b/>
                <w:bCs/>
                <w:lang w:val="sr-Latn-ME"/>
              </w:rPr>
            </w:pPr>
            <w:r w:rsidRPr="001302F9">
              <w:rPr>
                <w:rFonts w:ascii="Arial" w:eastAsia="Times New Roman" w:hAnsi="Arial" w:cs="Arial"/>
                <w:b/>
                <w:bCs/>
                <w:lang w:val="sr-Latn-ME"/>
              </w:rPr>
              <w:t>Indikator uspjeha</w:t>
            </w:r>
          </w:p>
        </w:tc>
        <w:tc>
          <w:tcPr>
            <w:tcW w:w="0" w:type="auto"/>
            <w:vAlign w:val="center"/>
            <w:hideMark/>
          </w:tcPr>
          <w:p w:rsidR="000F471C" w:rsidRPr="001302F9" w:rsidRDefault="000F471C" w:rsidP="00CB5F79">
            <w:pPr>
              <w:spacing w:after="0" w:line="240" w:lineRule="auto"/>
              <w:jc w:val="center"/>
              <w:rPr>
                <w:rFonts w:ascii="Arial" w:eastAsia="Times New Roman" w:hAnsi="Arial" w:cs="Arial"/>
                <w:b/>
                <w:bCs/>
                <w:lang w:val="sr-Latn-ME"/>
              </w:rPr>
            </w:pPr>
            <w:r w:rsidRPr="001302F9">
              <w:rPr>
                <w:rFonts w:ascii="Arial" w:eastAsia="Times New Roman" w:hAnsi="Arial" w:cs="Arial"/>
                <w:b/>
                <w:bCs/>
                <w:lang w:val="sr-Latn-ME"/>
              </w:rPr>
              <w:t>Početna vrijednost u 2024.</w:t>
            </w:r>
          </w:p>
        </w:tc>
        <w:tc>
          <w:tcPr>
            <w:tcW w:w="0" w:type="auto"/>
            <w:vAlign w:val="center"/>
            <w:hideMark/>
          </w:tcPr>
          <w:p w:rsidR="000F471C" w:rsidRPr="001302F9" w:rsidRDefault="000F471C" w:rsidP="00CB5F79">
            <w:pPr>
              <w:spacing w:after="0" w:line="240" w:lineRule="auto"/>
              <w:jc w:val="center"/>
              <w:rPr>
                <w:rFonts w:ascii="Arial" w:eastAsia="Times New Roman" w:hAnsi="Arial" w:cs="Arial"/>
                <w:b/>
                <w:bCs/>
                <w:lang w:val="sr-Latn-ME"/>
              </w:rPr>
            </w:pPr>
            <w:r w:rsidRPr="001302F9">
              <w:rPr>
                <w:rFonts w:ascii="Arial" w:eastAsia="Times New Roman" w:hAnsi="Arial" w:cs="Arial"/>
                <w:b/>
                <w:bCs/>
                <w:lang w:val="sr-Latn-ME"/>
              </w:rPr>
              <w:t>Ciljna vrijednost u 2026.</w:t>
            </w:r>
          </w:p>
        </w:tc>
        <w:tc>
          <w:tcPr>
            <w:tcW w:w="0" w:type="auto"/>
            <w:vAlign w:val="center"/>
            <w:hideMark/>
          </w:tcPr>
          <w:p w:rsidR="000F471C" w:rsidRPr="001302F9" w:rsidRDefault="000F471C" w:rsidP="00CB5F79">
            <w:pPr>
              <w:spacing w:after="0" w:line="240" w:lineRule="auto"/>
              <w:jc w:val="center"/>
              <w:rPr>
                <w:rFonts w:ascii="Arial" w:eastAsia="Times New Roman" w:hAnsi="Arial" w:cs="Arial"/>
                <w:b/>
                <w:bCs/>
                <w:lang w:val="sr-Latn-ME"/>
              </w:rPr>
            </w:pPr>
            <w:r w:rsidRPr="001302F9">
              <w:rPr>
                <w:rFonts w:ascii="Arial" w:eastAsia="Times New Roman" w:hAnsi="Arial" w:cs="Arial"/>
                <w:b/>
                <w:bCs/>
                <w:lang w:val="sr-Latn-ME"/>
              </w:rPr>
              <w:t>Ciljna vrijednost u 2028.</w:t>
            </w:r>
          </w:p>
        </w:tc>
      </w:tr>
      <w:tr w:rsidR="00C950D2" w:rsidRPr="001302F9" w:rsidTr="00CB5F79">
        <w:trPr>
          <w:trHeight w:val="1158"/>
          <w:tblCellSpacing w:w="15" w:type="dxa"/>
        </w:trPr>
        <w:tc>
          <w:tcPr>
            <w:tcW w:w="0" w:type="auto"/>
            <w:vAlign w:val="center"/>
            <w:hideMark/>
          </w:tcPr>
          <w:p w:rsidR="000F471C" w:rsidRPr="001302F9" w:rsidRDefault="000F471C" w:rsidP="00CB5F79">
            <w:pPr>
              <w:spacing w:after="0" w:line="240" w:lineRule="auto"/>
              <w:rPr>
                <w:rFonts w:ascii="Arial" w:eastAsia="Times New Roman" w:hAnsi="Arial" w:cs="Arial"/>
                <w:lang w:val="sr-Latn-ME"/>
              </w:rPr>
            </w:pPr>
            <w:r w:rsidRPr="001302F9">
              <w:rPr>
                <w:rFonts w:ascii="Arial" w:eastAsia="Times New Roman" w:hAnsi="Arial" w:cs="Arial"/>
                <w:b/>
                <w:bCs/>
                <w:lang w:val="sr-Latn-ME"/>
              </w:rPr>
              <w:t xml:space="preserve">Stopa </w:t>
            </w:r>
            <w:r w:rsidR="00626D25">
              <w:rPr>
                <w:rFonts w:ascii="Arial" w:eastAsia="Times New Roman" w:hAnsi="Arial" w:cs="Arial"/>
                <w:b/>
                <w:bCs/>
                <w:lang w:val="sr-Latn-ME"/>
              </w:rPr>
              <w:t>otkrivanja</w:t>
            </w:r>
            <w:r w:rsidRPr="001302F9">
              <w:rPr>
                <w:rFonts w:ascii="Arial" w:eastAsia="Times New Roman" w:hAnsi="Arial" w:cs="Arial"/>
                <w:b/>
                <w:bCs/>
                <w:lang w:val="sr-Latn-ME"/>
              </w:rPr>
              <w:t xml:space="preserve"> nepravilnosti</w:t>
            </w:r>
            <w:r w:rsidRPr="001302F9">
              <w:rPr>
                <w:rFonts w:ascii="Arial" w:eastAsia="Times New Roman" w:hAnsi="Arial" w:cs="Arial"/>
                <w:lang w:val="sr-Latn-ME"/>
              </w:rPr>
              <w:t xml:space="preserve"> (odnos između finansijskog iznosa </w:t>
            </w:r>
            <w:r w:rsidR="00C950D2">
              <w:rPr>
                <w:rFonts w:ascii="Arial" w:eastAsia="Times New Roman" w:hAnsi="Arial" w:cs="Arial"/>
                <w:lang w:val="sr-Latn-ME"/>
              </w:rPr>
              <w:t>otkrivenih</w:t>
            </w:r>
            <w:r w:rsidRPr="001302F9">
              <w:rPr>
                <w:rFonts w:ascii="Arial" w:eastAsia="Times New Roman" w:hAnsi="Arial" w:cs="Arial"/>
                <w:lang w:val="sr-Latn-ME"/>
              </w:rPr>
              <w:t xml:space="preserve"> nepravilnosti—prevarnih i ne prevarnih—i </w:t>
            </w:r>
            <w:r w:rsidR="006C4AA7">
              <w:rPr>
                <w:rFonts w:ascii="Arial" w:eastAsia="Times New Roman" w:hAnsi="Arial" w:cs="Arial"/>
                <w:lang w:val="sr-Latn-ME"/>
              </w:rPr>
              <w:t>iznosa</w:t>
            </w:r>
            <w:r w:rsidRPr="001302F9">
              <w:rPr>
                <w:rFonts w:ascii="Arial" w:eastAsia="Times New Roman" w:hAnsi="Arial" w:cs="Arial"/>
                <w:lang w:val="sr-Latn-ME"/>
              </w:rPr>
              <w:t xml:space="preserve"> koje je Crna Gora primila iz </w:t>
            </w:r>
            <w:r w:rsidR="00C950D2">
              <w:rPr>
                <w:rFonts w:ascii="Arial" w:eastAsia="Times New Roman" w:hAnsi="Arial" w:cs="Arial"/>
                <w:lang w:val="sr-Latn-ME"/>
              </w:rPr>
              <w:t>EU</w:t>
            </w:r>
            <w:r w:rsidRPr="001302F9">
              <w:rPr>
                <w:rFonts w:ascii="Arial" w:eastAsia="Times New Roman" w:hAnsi="Arial" w:cs="Arial"/>
                <w:lang w:val="sr-Latn-ME"/>
              </w:rPr>
              <w:t xml:space="preserve"> sredstava)</w:t>
            </w:r>
          </w:p>
        </w:tc>
        <w:tc>
          <w:tcPr>
            <w:tcW w:w="0" w:type="auto"/>
            <w:vAlign w:val="center"/>
            <w:hideMark/>
          </w:tcPr>
          <w:p w:rsidR="000F471C" w:rsidRPr="001302F9" w:rsidRDefault="000F471C" w:rsidP="00CB5F79">
            <w:pPr>
              <w:spacing w:after="0" w:line="240" w:lineRule="auto"/>
              <w:rPr>
                <w:rFonts w:ascii="Arial" w:eastAsia="Times New Roman" w:hAnsi="Arial" w:cs="Arial"/>
                <w:lang w:val="sr-Latn-ME"/>
              </w:rPr>
            </w:pPr>
            <w:r w:rsidRPr="001302F9">
              <w:rPr>
                <w:rFonts w:ascii="Arial" w:eastAsia="Times New Roman" w:hAnsi="Arial" w:cs="Arial"/>
                <w:lang w:val="sr-Latn-ME"/>
              </w:rPr>
              <w:t>1,53%</w:t>
            </w:r>
          </w:p>
        </w:tc>
        <w:tc>
          <w:tcPr>
            <w:tcW w:w="0" w:type="auto"/>
            <w:vAlign w:val="center"/>
            <w:hideMark/>
          </w:tcPr>
          <w:p w:rsidR="000F471C" w:rsidRPr="001302F9" w:rsidRDefault="000F471C" w:rsidP="00CB5F79">
            <w:pPr>
              <w:spacing w:after="0" w:line="240" w:lineRule="auto"/>
              <w:rPr>
                <w:rFonts w:ascii="Arial" w:eastAsia="Times New Roman" w:hAnsi="Arial" w:cs="Arial"/>
                <w:lang w:val="sr-Latn-ME"/>
              </w:rPr>
            </w:pPr>
            <w:r w:rsidRPr="001302F9">
              <w:rPr>
                <w:rFonts w:ascii="Arial" w:eastAsia="Times New Roman" w:hAnsi="Arial" w:cs="Arial"/>
                <w:lang w:val="sr-Latn-ME"/>
              </w:rPr>
              <w:t>&lt; 1,53%</w:t>
            </w:r>
          </w:p>
        </w:tc>
        <w:tc>
          <w:tcPr>
            <w:tcW w:w="0" w:type="auto"/>
            <w:vAlign w:val="center"/>
            <w:hideMark/>
          </w:tcPr>
          <w:p w:rsidR="000F471C" w:rsidRPr="001302F9" w:rsidRDefault="000F471C" w:rsidP="00CB5F79">
            <w:pPr>
              <w:spacing w:after="0" w:line="240" w:lineRule="auto"/>
              <w:rPr>
                <w:rFonts w:ascii="Arial" w:eastAsia="Times New Roman" w:hAnsi="Arial" w:cs="Arial"/>
                <w:lang w:val="sr-Latn-ME"/>
              </w:rPr>
            </w:pPr>
            <w:r w:rsidRPr="001302F9">
              <w:rPr>
                <w:rFonts w:ascii="Arial" w:eastAsia="Times New Roman" w:hAnsi="Arial" w:cs="Arial"/>
                <w:lang w:val="sr-Latn-ME"/>
              </w:rPr>
              <w:t>&lt; 1,53%</w:t>
            </w:r>
          </w:p>
        </w:tc>
      </w:tr>
    </w:tbl>
    <w:p w:rsidR="000F471C" w:rsidRPr="001302F9" w:rsidRDefault="000F471C" w:rsidP="000F471C">
      <w:pPr>
        <w:spacing w:before="100" w:beforeAutospacing="1" w:after="100" w:afterAutospacing="1" w:line="240" w:lineRule="auto"/>
        <w:rPr>
          <w:rFonts w:ascii="Arial" w:eastAsia="Times New Roman" w:hAnsi="Arial" w:cs="Arial"/>
          <w:b/>
          <w:bCs/>
          <w:lang w:val="sr-Latn-ME"/>
        </w:rPr>
      </w:pPr>
      <w:r w:rsidRPr="001302F9">
        <w:rPr>
          <w:rFonts w:ascii="Arial" w:eastAsia="Times New Roman" w:hAnsi="Arial" w:cs="Arial"/>
          <w:b/>
          <w:bCs/>
          <w:lang w:val="sr-Latn-ME"/>
        </w:rPr>
        <w:t>Operativni ciljevi, mjere za njihovu implementaciju i indikatori učinka definišu se u okviru sledećih oblasti:</w:t>
      </w:r>
    </w:p>
    <w:p w:rsidR="000F471C" w:rsidRPr="001302F9" w:rsidRDefault="000F471C" w:rsidP="000F471C">
      <w:pPr>
        <w:spacing w:before="100" w:beforeAutospacing="1" w:after="100" w:afterAutospacing="1" w:line="240" w:lineRule="auto"/>
        <w:rPr>
          <w:rFonts w:ascii="Arial" w:eastAsia="Times New Roman" w:hAnsi="Arial" w:cs="Arial"/>
          <w:lang w:val="sr-Latn-ME"/>
        </w:rPr>
      </w:pPr>
      <w:r w:rsidRPr="001302F9">
        <w:rPr>
          <w:rFonts w:ascii="Arial" w:eastAsia="Times New Roman" w:hAnsi="Arial" w:cs="Arial"/>
          <w:bCs/>
          <w:lang w:val="sr-Latn-ME"/>
        </w:rPr>
        <w:t>OBLAST 1: Pravni i institucionalni okvir</w:t>
      </w:r>
      <w:r w:rsidRPr="001302F9">
        <w:rPr>
          <w:rFonts w:ascii="Arial" w:eastAsia="Times New Roman" w:hAnsi="Arial" w:cs="Arial"/>
          <w:lang w:val="sr-Latn-ME"/>
        </w:rPr>
        <w:br/>
      </w:r>
      <w:r w:rsidRPr="001302F9">
        <w:rPr>
          <w:rFonts w:ascii="Arial" w:eastAsia="Times New Roman" w:hAnsi="Arial" w:cs="Arial"/>
          <w:bCs/>
          <w:lang w:val="sr-Latn-ME"/>
        </w:rPr>
        <w:t>OBLAST 2: Koordinacija i saradnja</w:t>
      </w:r>
      <w:r w:rsidRPr="001302F9">
        <w:rPr>
          <w:rFonts w:ascii="Arial" w:eastAsia="Times New Roman" w:hAnsi="Arial" w:cs="Arial"/>
          <w:lang w:val="sr-Latn-ME"/>
        </w:rPr>
        <w:br/>
      </w:r>
      <w:r w:rsidRPr="001302F9">
        <w:rPr>
          <w:rFonts w:ascii="Arial" w:eastAsia="Times New Roman" w:hAnsi="Arial" w:cs="Arial"/>
          <w:bCs/>
          <w:lang w:val="sr-Latn-ME"/>
        </w:rPr>
        <w:t>OBLAST 3: Prevencija prevara i nepravilnosti</w:t>
      </w:r>
      <w:r w:rsidRPr="001302F9">
        <w:rPr>
          <w:rFonts w:ascii="Arial" w:eastAsia="Times New Roman" w:hAnsi="Arial" w:cs="Arial"/>
          <w:lang w:val="sr-Latn-ME"/>
        </w:rPr>
        <w:br/>
      </w:r>
      <w:r w:rsidRPr="001302F9">
        <w:rPr>
          <w:rFonts w:ascii="Arial" w:eastAsia="Times New Roman" w:hAnsi="Arial" w:cs="Arial"/>
          <w:bCs/>
          <w:lang w:val="sr-Latn-ME"/>
        </w:rPr>
        <w:t xml:space="preserve">OBLAST 4: </w:t>
      </w:r>
      <w:r w:rsidR="00425F77">
        <w:rPr>
          <w:rFonts w:ascii="Arial" w:eastAsia="Times New Roman" w:hAnsi="Arial" w:cs="Arial"/>
          <w:bCs/>
          <w:lang w:val="sr-Latn-ME"/>
        </w:rPr>
        <w:t>Otkrivanje</w:t>
      </w:r>
      <w:r w:rsidRPr="001302F9">
        <w:rPr>
          <w:rFonts w:ascii="Arial" w:eastAsia="Times New Roman" w:hAnsi="Arial" w:cs="Arial"/>
          <w:bCs/>
          <w:lang w:val="sr-Latn-ME"/>
        </w:rPr>
        <w:t xml:space="preserve">, </w:t>
      </w:r>
      <w:r w:rsidR="00425F77">
        <w:rPr>
          <w:rFonts w:ascii="Arial" w:eastAsia="Times New Roman" w:hAnsi="Arial" w:cs="Arial"/>
          <w:bCs/>
          <w:lang w:val="sr-Latn-ME"/>
        </w:rPr>
        <w:t>postupanje i</w:t>
      </w:r>
      <w:r w:rsidRPr="001302F9">
        <w:rPr>
          <w:rFonts w:ascii="Arial" w:eastAsia="Times New Roman" w:hAnsi="Arial" w:cs="Arial"/>
          <w:bCs/>
          <w:lang w:val="sr-Latn-ME"/>
        </w:rPr>
        <w:t xml:space="preserve"> izveštavanje o nepravilnostima i sumnjama na prevare</w:t>
      </w:r>
      <w:r w:rsidRPr="001302F9">
        <w:rPr>
          <w:rFonts w:ascii="Arial" w:eastAsia="Times New Roman" w:hAnsi="Arial" w:cs="Arial"/>
          <w:lang w:val="sr-Latn-ME"/>
        </w:rPr>
        <w:br/>
      </w:r>
      <w:r w:rsidRPr="001302F9">
        <w:rPr>
          <w:rFonts w:ascii="Arial" w:eastAsia="Times New Roman" w:hAnsi="Arial" w:cs="Arial"/>
          <w:bCs/>
          <w:lang w:val="sr-Latn-ME"/>
        </w:rPr>
        <w:t xml:space="preserve">OBLAST 5: Istraga prevara i </w:t>
      </w:r>
      <w:r w:rsidR="00877D5E">
        <w:rPr>
          <w:rFonts w:ascii="Arial" w:eastAsia="Times New Roman" w:hAnsi="Arial" w:cs="Arial"/>
          <w:bCs/>
          <w:lang w:val="sr-Latn-ME"/>
        </w:rPr>
        <w:t>krivično postupanje</w:t>
      </w:r>
      <w:r w:rsidRPr="001302F9">
        <w:rPr>
          <w:rFonts w:ascii="Arial" w:eastAsia="Times New Roman" w:hAnsi="Arial" w:cs="Arial"/>
          <w:lang w:val="sr-Latn-ME"/>
        </w:rPr>
        <w:br/>
      </w:r>
      <w:r w:rsidRPr="001302F9">
        <w:rPr>
          <w:rFonts w:ascii="Arial" w:eastAsia="Times New Roman" w:hAnsi="Arial" w:cs="Arial"/>
          <w:bCs/>
          <w:lang w:val="sr-Latn-ME"/>
        </w:rPr>
        <w:t>OBLAST 6: Povraćaj sredstava i sankcije</w:t>
      </w:r>
    </w:p>
    <w:p w:rsidR="000F471C" w:rsidRPr="001302F9" w:rsidRDefault="000F471C" w:rsidP="000F471C">
      <w:pPr>
        <w:spacing w:before="100" w:beforeAutospacing="1" w:after="100" w:afterAutospacing="1" w:line="240" w:lineRule="auto"/>
        <w:jc w:val="both"/>
        <w:rPr>
          <w:rFonts w:ascii="Arial" w:eastAsia="Times New Roman" w:hAnsi="Arial" w:cs="Arial"/>
          <w:lang w:val="sr-Latn-ME"/>
        </w:rPr>
      </w:pPr>
      <w:r w:rsidRPr="001302F9">
        <w:rPr>
          <w:rFonts w:ascii="Arial" w:eastAsia="Times New Roman" w:hAnsi="Arial" w:cs="Arial"/>
          <w:lang w:val="sr-Latn-ME"/>
        </w:rPr>
        <w:t xml:space="preserve">Ovih 6 oblasti pokrivaju čitav ciklus borbe protiv prevara – prevenciju, detekciju, istrage i gonjenje, povraćaj i sankcije, oko kojih su svi ciljevi i mjere ove Strategije kreirane. </w:t>
      </w:r>
      <w:r w:rsidR="002A5CD6">
        <w:rPr>
          <w:rFonts w:ascii="Arial" w:eastAsia="Times New Roman" w:hAnsi="Arial" w:cs="Arial"/>
          <w:lang w:val="sr-Latn-ME"/>
        </w:rPr>
        <w:t>Faz</w:t>
      </w:r>
      <w:r w:rsidRPr="001302F9">
        <w:rPr>
          <w:rFonts w:ascii="Arial" w:eastAsia="Times New Roman" w:hAnsi="Arial" w:cs="Arial"/>
          <w:lang w:val="sr-Latn-ME"/>
        </w:rPr>
        <w:t>e ciklusa borbe protiv prevara nijesu izolovane, već su usko povezane</w:t>
      </w:r>
      <w:r w:rsidR="002A5CD6">
        <w:rPr>
          <w:rFonts w:ascii="Arial" w:eastAsia="Times New Roman" w:hAnsi="Arial" w:cs="Arial"/>
          <w:lang w:val="sr-Latn-ME"/>
        </w:rPr>
        <w:t>, tačnije c</w:t>
      </w:r>
      <w:r w:rsidRPr="001302F9">
        <w:rPr>
          <w:rFonts w:ascii="Arial" w:eastAsia="Times New Roman" w:hAnsi="Arial" w:cs="Arial"/>
          <w:lang w:val="sr-Latn-ME"/>
        </w:rPr>
        <w:t>iljevi su međusobno povezani, a sprovođenje mjera u jednoj oblasti može imati uticaj na ciljeve u drugim oblastima.</w:t>
      </w:r>
      <w:r w:rsidR="002A5CD6">
        <w:rPr>
          <w:rFonts w:ascii="Arial" w:eastAsia="Times New Roman" w:hAnsi="Arial" w:cs="Arial"/>
          <w:lang w:val="sr-Latn-ME"/>
        </w:rPr>
        <w:t xml:space="preserve"> </w:t>
      </w:r>
      <w:r w:rsidRPr="001302F9">
        <w:rPr>
          <w:rFonts w:ascii="Arial" w:eastAsia="Times New Roman" w:hAnsi="Arial" w:cs="Arial"/>
          <w:lang w:val="sr-Latn-ME"/>
        </w:rPr>
        <w:t>Napredak i ostvarenje definisanih operativnih ciljeva biće mjereni kroz indikatore uspjeha. Oni će biti korišćeni za izvještavanje o implementaciji ove Strategije i pomoći u ocjeni uticaja njene implementacije.</w:t>
      </w:r>
    </w:p>
    <w:p w:rsidR="001E1F0B" w:rsidRDefault="000F471C" w:rsidP="000F471C">
      <w:pPr>
        <w:spacing w:before="100" w:beforeAutospacing="1" w:after="100" w:afterAutospacing="1" w:line="240" w:lineRule="auto"/>
        <w:jc w:val="both"/>
        <w:rPr>
          <w:rFonts w:ascii="Arial" w:eastAsia="Times New Roman" w:hAnsi="Arial" w:cs="Arial"/>
          <w:lang w:val="sr-Latn-ME"/>
        </w:rPr>
      </w:pPr>
      <w:r w:rsidRPr="001302F9">
        <w:rPr>
          <w:rFonts w:ascii="Arial" w:eastAsia="Times New Roman" w:hAnsi="Arial" w:cs="Arial"/>
          <w:lang w:val="sr-Latn-ME"/>
        </w:rPr>
        <w:t xml:space="preserve"> </w:t>
      </w:r>
      <w:r w:rsidRPr="001302F9">
        <w:rPr>
          <w:rFonts w:ascii="Arial" w:eastAsia="Times New Roman" w:hAnsi="Arial" w:cs="Arial"/>
          <w:lang w:val="sr-Latn-ME"/>
        </w:rPr>
        <w:br/>
        <w:t>Detaljna definicija i karakteristike indikatora uspjeha koji se odnose na strateški cilj i operativne ciljeve opisani su u Prilogu "</w:t>
      </w:r>
      <w:bookmarkStart w:id="14" w:name="_Hlk191976574"/>
      <w:r w:rsidRPr="001302F9">
        <w:rPr>
          <w:rFonts w:ascii="Arial" w:eastAsia="Times New Roman" w:hAnsi="Arial" w:cs="Arial"/>
          <w:lang w:val="sr-Latn-ME"/>
        </w:rPr>
        <w:t>Pasoš indikatora uspjeha</w:t>
      </w:r>
      <w:bookmarkEnd w:id="14"/>
      <w:r w:rsidRPr="001302F9">
        <w:rPr>
          <w:rFonts w:ascii="Arial" w:eastAsia="Times New Roman" w:hAnsi="Arial" w:cs="Arial"/>
          <w:lang w:val="sr-Latn-ME"/>
        </w:rPr>
        <w:t>".</w:t>
      </w:r>
    </w:p>
    <w:p w:rsidR="000F471C" w:rsidRPr="001302F9" w:rsidRDefault="000F471C" w:rsidP="000F471C">
      <w:pPr>
        <w:spacing w:before="100" w:beforeAutospacing="1" w:after="100" w:afterAutospacing="1" w:line="240" w:lineRule="auto"/>
        <w:jc w:val="both"/>
        <w:rPr>
          <w:rFonts w:ascii="Arial" w:eastAsia="Times New Roman" w:hAnsi="Arial" w:cs="Arial"/>
          <w:lang w:val="sr-Latn-ME"/>
        </w:rPr>
      </w:pPr>
      <w:r w:rsidRPr="001302F9">
        <w:rPr>
          <w:rFonts w:ascii="Arial" w:eastAsia="Times New Roman" w:hAnsi="Arial" w:cs="Arial"/>
          <w:lang w:val="sr-Latn-ME"/>
        </w:rPr>
        <w:br/>
        <w:t>Prema sprovedenoj analizi, operativni ciljevi svake od 6 oblasti su definisani na sledeći način:</w:t>
      </w:r>
    </w:p>
    <w:p w:rsidR="000F471C" w:rsidRDefault="000F471C" w:rsidP="000F471C">
      <w:pPr>
        <w:spacing w:after="0" w:line="240" w:lineRule="auto"/>
        <w:rPr>
          <w:rFonts w:ascii="Arial" w:eastAsia="Times New Roman" w:hAnsi="Arial" w:cs="Arial"/>
          <w:lang w:val="sr-Latn-ME"/>
        </w:rPr>
      </w:pPr>
    </w:p>
    <w:p w:rsidR="001E1F0B" w:rsidRDefault="001E1F0B" w:rsidP="000F471C">
      <w:pPr>
        <w:spacing w:after="0" w:line="240" w:lineRule="auto"/>
        <w:rPr>
          <w:rFonts w:ascii="Arial" w:eastAsia="Times New Roman" w:hAnsi="Arial" w:cs="Arial"/>
          <w:lang w:val="sr-Latn-ME"/>
        </w:rPr>
      </w:pPr>
    </w:p>
    <w:p w:rsidR="001E1F0B" w:rsidRDefault="001E1F0B" w:rsidP="000F471C">
      <w:pPr>
        <w:spacing w:after="0" w:line="240" w:lineRule="auto"/>
        <w:rPr>
          <w:rFonts w:ascii="Arial" w:eastAsia="Times New Roman" w:hAnsi="Arial" w:cs="Arial"/>
          <w:lang w:val="sr-Latn-ME"/>
        </w:rPr>
      </w:pPr>
    </w:p>
    <w:p w:rsidR="001E1F0B" w:rsidRPr="001302F9" w:rsidRDefault="001E1F0B" w:rsidP="000F471C">
      <w:pPr>
        <w:spacing w:after="0" w:line="240" w:lineRule="auto"/>
        <w:rPr>
          <w:rFonts w:ascii="Arial" w:eastAsia="Times New Roman" w:hAnsi="Arial" w:cs="Arial"/>
          <w:lang w:val="sr-Latn-ME"/>
        </w:rPr>
      </w:pPr>
    </w:p>
    <w:p w:rsidR="000F471C" w:rsidRPr="001302F9" w:rsidRDefault="000F471C" w:rsidP="000F471C">
      <w:pPr>
        <w:spacing w:after="0" w:line="240" w:lineRule="auto"/>
        <w:rPr>
          <w:rFonts w:ascii="Arial" w:eastAsia="Times New Roman" w:hAnsi="Arial" w:cs="Arial"/>
          <w:b/>
          <w:bCs/>
          <w:lang w:val="sr-Latn-ME"/>
        </w:rPr>
      </w:pPr>
    </w:p>
    <w:p w:rsidR="000F471C" w:rsidRPr="00243446" w:rsidRDefault="000F471C" w:rsidP="000F471C">
      <w:pPr>
        <w:spacing w:after="0" w:line="240" w:lineRule="auto"/>
        <w:rPr>
          <w:rFonts w:ascii="Arial" w:eastAsia="Times New Roman" w:hAnsi="Arial" w:cs="Arial"/>
          <w:b/>
          <w:bCs/>
          <w:lang w:val="sr-Latn-ME"/>
        </w:rPr>
      </w:pPr>
      <w:r w:rsidRPr="00243446">
        <w:rPr>
          <w:rFonts w:ascii="Arial" w:eastAsia="Times New Roman" w:hAnsi="Arial" w:cs="Arial"/>
          <w:b/>
          <w:bCs/>
          <w:lang w:val="sr-Latn-ME"/>
        </w:rPr>
        <w:t>3.1. OBLAST 1: Pravni i institucionalni okvir</w:t>
      </w:r>
    </w:p>
    <w:p w:rsidR="000F471C" w:rsidRPr="00243446" w:rsidRDefault="000F471C" w:rsidP="000F471C">
      <w:pPr>
        <w:spacing w:after="0" w:line="240" w:lineRule="auto"/>
        <w:rPr>
          <w:rFonts w:ascii="Arial" w:eastAsia="Times New Roman" w:hAnsi="Arial" w:cs="Arial"/>
          <w:lang w:val="sr-Latn-ME"/>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0"/>
      </w:tblGrid>
      <w:tr w:rsidR="000F471C" w:rsidRPr="00243446" w:rsidTr="00CB5F79">
        <w:trPr>
          <w:trHeight w:val="910"/>
        </w:trPr>
        <w:tc>
          <w:tcPr>
            <w:tcW w:w="9070" w:type="dxa"/>
          </w:tcPr>
          <w:p w:rsidR="000F471C" w:rsidRPr="00243446" w:rsidRDefault="000F471C" w:rsidP="00CB5F79">
            <w:pPr>
              <w:spacing w:before="100" w:beforeAutospacing="1" w:after="100" w:afterAutospacing="1" w:line="240" w:lineRule="auto"/>
              <w:ind w:left="50"/>
              <w:rPr>
                <w:rFonts w:ascii="Arial" w:eastAsia="Times New Roman" w:hAnsi="Arial" w:cs="Arial"/>
                <w:b/>
                <w:bCs/>
                <w:lang w:val="sr-Latn-ME"/>
              </w:rPr>
            </w:pPr>
            <w:r w:rsidRPr="00243446">
              <w:rPr>
                <w:rFonts w:ascii="Arial" w:eastAsia="Times New Roman" w:hAnsi="Arial" w:cs="Arial"/>
                <w:b/>
                <w:bCs/>
                <w:lang w:val="sr-Latn-ME"/>
              </w:rPr>
              <w:t>Operativni cilj 1:</w:t>
            </w:r>
            <w:r w:rsidRPr="00243446">
              <w:rPr>
                <w:rFonts w:ascii="Arial" w:eastAsia="Times New Roman" w:hAnsi="Arial" w:cs="Arial"/>
                <w:lang w:val="sr-Latn-ME"/>
              </w:rPr>
              <w:br/>
            </w:r>
            <w:r w:rsidR="00440507" w:rsidRPr="00243446">
              <w:rPr>
                <w:rFonts w:ascii="Arial" w:eastAsia="Times New Roman" w:hAnsi="Arial" w:cs="Arial"/>
                <w:lang w:val="sr-Latn-ME"/>
              </w:rPr>
              <w:t>Unaprijeđenje</w:t>
            </w:r>
            <w:r w:rsidRPr="00243446">
              <w:rPr>
                <w:rFonts w:ascii="Arial" w:eastAsia="Times New Roman" w:hAnsi="Arial" w:cs="Arial"/>
                <w:lang w:val="sr-Latn-ME"/>
              </w:rPr>
              <w:t xml:space="preserve"> pravnog okvira u cilju </w:t>
            </w:r>
            <w:r w:rsidR="0058706A" w:rsidRPr="00243446">
              <w:rPr>
                <w:rFonts w:ascii="Arial" w:eastAsia="Times New Roman" w:hAnsi="Arial" w:cs="Arial"/>
                <w:lang w:val="sr-Latn-ME"/>
              </w:rPr>
              <w:t>finalizacije</w:t>
            </w:r>
            <w:r w:rsidRPr="00243446">
              <w:rPr>
                <w:rFonts w:ascii="Arial" w:eastAsia="Times New Roman" w:hAnsi="Arial" w:cs="Arial"/>
                <w:lang w:val="sr-Latn-ME"/>
              </w:rPr>
              <w:t xml:space="preserve"> uspostavljanja potpuno funkcionalnog AFCOS sistema.</w:t>
            </w:r>
            <w:r w:rsidRPr="00243446">
              <w:rPr>
                <w:rFonts w:ascii="Arial" w:eastAsia="Times New Roman" w:hAnsi="Arial" w:cs="Arial"/>
                <w:lang w:val="sr-Latn-ME"/>
              </w:rPr>
              <w:br/>
            </w:r>
          </w:p>
        </w:tc>
      </w:tr>
    </w:tbl>
    <w:p w:rsidR="00934CDE" w:rsidRPr="00243446" w:rsidRDefault="00934CDE" w:rsidP="000F471C">
      <w:pPr>
        <w:spacing w:before="100" w:beforeAutospacing="1" w:after="100" w:afterAutospacing="1" w:line="240" w:lineRule="auto"/>
        <w:rPr>
          <w:rFonts w:ascii="Arial" w:eastAsia="Times New Roman" w:hAnsi="Arial" w:cs="Arial"/>
          <w:lang w:val="sr-Latn-ME"/>
        </w:rPr>
      </w:pPr>
    </w:p>
    <w:tbl>
      <w:tblPr>
        <w:tblStyle w:val="TableGrid"/>
        <w:tblW w:w="9196" w:type="dxa"/>
        <w:tblLook w:val="04A0" w:firstRow="1" w:lastRow="0" w:firstColumn="1" w:lastColumn="0" w:noHBand="0" w:noVBand="1"/>
      </w:tblPr>
      <w:tblGrid>
        <w:gridCol w:w="3964"/>
        <w:gridCol w:w="1626"/>
        <w:gridCol w:w="1803"/>
        <w:gridCol w:w="1803"/>
      </w:tblGrid>
      <w:tr w:rsidR="00934CDE" w:rsidRPr="00243446" w:rsidTr="00934CDE">
        <w:tc>
          <w:tcPr>
            <w:tcW w:w="3964" w:type="dxa"/>
            <w:vAlign w:val="center"/>
          </w:tcPr>
          <w:p w:rsidR="00934CDE" w:rsidRPr="00243446" w:rsidRDefault="00934CDE" w:rsidP="00934CDE">
            <w:pPr>
              <w:spacing w:before="100" w:beforeAutospacing="1" w:after="100" w:afterAutospacing="1" w:line="240" w:lineRule="auto"/>
              <w:rPr>
                <w:rFonts w:ascii="Arial" w:eastAsia="Times New Roman" w:hAnsi="Arial" w:cs="Arial"/>
                <w:b/>
                <w:bCs/>
                <w:sz w:val="22"/>
                <w:szCs w:val="22"/>
                <w:lang w:val="en-GB" w:eastAsia="en-US"/>
              </w:rPr>
            </w:pPr>
            <w:bookmarkStart w:id="15" w:name="_Hlk197938069"/>
            <w:r w:rsidRPr="00243446">
              <w:rPr>
                <w:rFonts w:ascii="Arial" w:eastAsia="Times New Roman" w:hAnsi="Arial" w:cs="Arial"/>
                <w:b/>
                <w:bCs/>
                <w:sz w:val="22"/>
                <w:szCs w:val="22"/>
                <w:lang w:val="en-GB" w:eastAsia="en-US"/>
              </w:rPr>
              <w:t>Indikator uspjeha</w:t>
            </w:r>
          </w:p>
        </w:tc>
        <w:tc>
          <w:tcPr>
            <w:tcW w:w="1626" w:type="dxa"/>
          </w:tcPr>
          <w:p w:rsidR="00934CDE" w:rsidRPr="00243446" w:rsidRDefault="00934CDE" w:rsidP="00934CDE">
            <w:pPr>
              <w:spacing w:before="100" w:beforeAutospacing="1" w:after="100" w:afterAutospacing="1" w:line="240" w:lineRule="auto"/>
              <w:rPr>
                <w:rFonts w:ascii="Arial" w:eastAsia="Times New Roman" w:hAnsi="Arial" w:cs="Arial"/>
                <w:b/>
                <w:bCs/>
                <w:sz w:val="22"/>
                <w:szCs w:val="22"/>
                <w:lang w:val="en-GB" w:eastAsia="en-US"/>
              </w:rPr>
            </w:pPr>
            <w:r w:rsidRPr="00243446">
              <w:rPr>
                <w:rFonts w:ascii="Arial" w:eastAsia="Times New Roman" w:hAnsi="Arial" w:cs="Arial"/>
                <w:b/>
                <w:bCs/>
                <w:sz w:val="22"/>
                <w:szCs w:val="22"/>
                <w:lang w:eastAsia="en-US"/>
              </w:rPr>
              <w:t>Početna vrijednost u 2024:</w:t>
            </w:r>
          </w:p>
        </w:tc>
        <w:tc>
          <w:tcPr>
            <w:tcW w:w="1803" w:type="dxa"/>
          </w:tcPr>
          <w:p w:rsidR="00934CDE" w:rsidRPr="00243446" w:rsidRDefault="00934CDE" w:rsidP="00934CDE">
            <w:pPr>
              <w:spacing w:before="100" w:beforeAutospacing="1" w:after="100" w:afterAutospacing="1" w:line="240" w:lineRule="auto"/>
              <w:rPr>
                <w:rFonts w:ascii="Arial" w:eastAsia="Times New Roman" w:hAnsi="Arial" w:cs="Arial"/>
                <w:b/>
                <w:bCs/>
                <w:sz w:val="22"/>
                <w:szCs w:val="22"/>
                <w:lang w:val="en-GB" w:eastAsia="en-US"/>
              </w:rPr>
            </w:pPr>
            <w:r w:rsidRPr="00243446">
              <w:rPr>
                <w:rFonts w:ascii="Arial" w:eastAsia="Times New Roman" w:hAnsi="Arial" w:cs="Arial"/>
                <w:b/>
                <w:bCs/>
                <w:sz w:val="22"/>
                <w:szCs w:val="22"/>
                <w:lang w:eastAsia="en-US"/>
              </w:rPr>
              <w:t>Početna vrijednost u 2026:</w:t>
            </w:r>
          </w:p>
        </w:tc>
        <w:tc>
          <w:tcPr>
            <w:tcW w:w="1803" w:type="dxa"/>
          </w:tcPr>
          <w:p w:rsidR="00934CDE" w:rsidRPr="00243446" w:rsidRDefault="00934CDE" w:rsidP="00934CDE">
            <w:pPr>
              <w:spacing w:before="100" w:beforeAutospacing="1" w:after="100" w:afterAutospacing="1" w:line="240" w:lineRule="auto"/>
              <w:rPr>
                <w:rFonts w:ascii="Arial" w:eastAsia="Times New Roman" w:hAnsi="Arial" w:cs="Arial"/>
                <w:b/>
                <w:bCs/>
                <w:sz w:val="22"/>
                <w:szCs w:val="22"/>
                <w:lang w:val="en-GB" w:eastAsia="en-US"/>
              </w:rPr>
            </w:pPr>
            <w:r w:rsidRPr="00243446">
              <w:rPr>
                <w:rFonts w:ascii="Arial" w:eastAsia="Times New Roman" w:hAnsi="Arial" w:cs="Arial"/>
                <w:b/>
                <w:bCs/>
                <w:sz w:val="22"/>
                <w:szCs w:val="22"/>
                <w:lang w:eastAsia="en-US"/>
              </w:rPr>
              <w:t>Početna vrijednost u 2028:</w:t>
            </w:r>
          </w:p>
        </w:tc>
      </w:tr>
      <w:tr w:rsidR="00934CDE" w:rsidRPr="00243446" w:rsidTr="00934CDE">
        <w:tc>
          <w:tcPr>
            <w:tcW w:w="3964" w:type="dxa"/>
          </w:tcPr>
          <w:p w:rsidR="00934CDE" w:rsidRPr="00243446" w:rsidRDefault="00934CDE" w:rsidP="00934CDE">
            <w:pPr>
              <w:spacing w:before="100" w:beforeAutospacing="1" w:after="100" w:afterAutospacing="1" w:line="240" w:lineRule="auto"/>
              <w:rPr>
                <w:rFonts w:ascii="Arial" w:eastAsia="Times New Roman" w:hAnsi="Arial" w:cs="Arial"/>
                <w:b/>
                <w:bCs/>
                <w:sz w:val="22"/>
                <w:szCs w:val="22"/>
                <w:lang w:val="en-GB" w:eastAsia="en-US"/>
              </w:rPr>
            </w:pPr>
            <w:r w:rsidRPr="00243446">
              <w:rPr>
                <w:rFonts w:ascii="Arial" w:eastAsia="Times New Roman" w:hAnsi="Arial" w:cs="Arial"/>
                <w:b/>
                <w:bCs/>
                <w:sz w:val="22"/>
                <w:szCs w:val="22"/>
                <w:lang w:val="en-GB" w:eastAsia="en-US"/>
              </w:rPr>
              <w:t>A</w:t>
            </w:r>
            <w:r w:rsidR="003271B9" w:rsidRPr="00243446">
              <w:rPr>
                <w:rFonts w:ascii="Arial" w:eastAsia="Times New Roman" w:hAnsi="Arial" w:cs="Arial"/>
                <w:b/>
                <w:bCs/>
                <w:sz w:val="22"/>
                <w:szCs w:val="22"/>
                <w:lang w:val="en-GB" w:eastAsia="en-US"/>
              </w:rPr>
              <w:t>FCOS</w:t>
            </w:r>
            <w:r w:rsidRPr="00243446">
              <w:rPr>
                <w:rFonts w:ascii="Arial" w:eastAsia="Times New Roman" w:hAnsi="Arial" w:cs="Arial"/>
                <w:b/>
                <w:bCs/>
                <w:sz w:val="22"/>
                <w:szCs w:val="22"/>
                <w:lang w:val="en-GB" w:eastAsia="en-US"/>
              </w:rPr>
              <w:t xml:space="preserve"> sistem u Crnoj Gori je uspostavljen, nadležne institucije </w:t>
            </w:r>
            <w:r w:rsidR="003271B9" w:rsidRPr="00243446">
              <w:rPr>
                <w:rFonts w:ascii="Arial" w:eastAsia="Times New Roman" w:hAnsi="Arial" w:cs="Arial"/>
                <w:b/>
                <w:bCs/>
                <w:sz w:val="22"/>
                <w:szCs w:val="22"/>
                <w:lang w:val="en-GB" w:eastAsia="en-US"/>
              </w:rPr>
              <w:t>i</w:t>
            </w:r>
            <w:r w:rsidRPr="00243446">
              <w:rPr>
                <w:rFonts w:ascii="Arial" w:eastAsia="Times New Roman" w:hAnsi="Arial" w:cs="Arial"/>
                <w:b/>
                <w:bCs/>
                <w:sz w:val="22"/>
                <w:szCs w:val="22"/>
                <w:lang w:val="en-GB" w:eastAsia="en-US"/>
              </w:rPr>
              <w:t xml:space="preserve"> njihove odgovornosti su jasno definisane, a metode saradnje usklađene.</w:t>
            </w:r>
          </w:p>
        </w:tc>
        <w:tc>
          <w:tcPr>
            <w:tcW w:w="1626" w:type="dxa"/>
            <w:vAlign w:val="center"/>
          </w:tcPr>
          <w:p w:rsidR="00934CDE" w:rsidRPr="00243446" w:rsidRDefault="00934CDE" w:rsidP="00934CDE">
            <w:pPr>
              <w:spacing w:before="100" w:beforeAutospacing="1" w:after="100" w:afterAutospacing="1" w:line="240" w:lineRule="auto"/>
              <w:rPr>
                <w:rFonts w:ascii="Arial" w:eastAsia="Times New Roman" w:hAnsi="Arial" w:cs="Arial"/>
                <w:b/>
                <w:bCs/>
                <w:sz w:val="22"/>
                <w:szCs w:val="22"/>
                <w:lang w:val="en-GB" w:eastAsia="en-US"/>
              </w:rPr>
            </w:pPr>
            <w:r w:rsidRPr="00243446">
              <w:rPr>
                <w:rFonts w:ascii="Arial" w:eastAsia="Times New Roman" w:hAnsi="Arial" w:cs="Arial"/>
                <w:b/>
                <w:bCs/>
                <w:sz w:val="22"/>
                <w:szCs w:val="22"/>
                <w:lang w:val="en-GB" w:eastAsia="en-US"/>
              </w:rPr>
              <w:t>30%</w:t>
            </w:r>
          </w:p>
        </w:tc>
        <w:tc>
          <w:tcPr>
            <w:tcW w:w="1803" w:type="dxa"/>
            <w:vAlign w:val="center"/>
          </w:tcPr>
          <w:p w:rsidR="00934CDE" w:rsidRPr="00243446" w:rsidRDefault="00934CDE" w:rsidP="00934CDE">
            <w:pPr>
              <w:spacing w:before="100" w:beforeAutospacing="1" w:after="100" w:afterAutospacing="1" w:line="240" w:lineRule="auto"/>
              <w:rPr>
                <w:rFonts w:ascii="Arial" w:eastAsia="Times New Roman" w:hAnsi="Arial" w:cs="Arial"/>
                <w:b/>
                <w:bCs/>
                <w:sz w:val="22"/>
                <w:szCs w:val="22"/>
                <w:lang w:val="en-GB" w:eastAsia="en-US"/>
              </w:rPr>
            </w:pPr>
            <w:r w:rsidRPr="00243446">
              <w:rPr>
                <w:rFonts w:ascii="Arial" w:eastAsia="Times New Roman" w:hAnsi="Arial" w:cs="Arial"/>
                <w:b/>
                <w:bCs/>
                <w:sz w:val="22"/>
                <w:szCs w:val="22"/>
                <w:lang w:val="en-GB" w:eastAsia="en-US"/>
              </w:rPr>
              <w:t>90%</w:t>
            </w:r>
          </w:p>
        </w:tc>
        <w:tc>
          <w:tcPr>
            <w:tcW w:w="1803" w:type="dxa"/>
            <w:vAlign w:val="center"/>
          </w:tcPr>
          <w:p w:rsidR="00934CDE" w:rsidRPr="00243446" w:rsidRDefault="00934CDE" w:rsidP="00934CDE">
            <w:pPr>
              <w:spacing w:before="100" w:beforeAutospacing="1" w:after="100" w:afterAutospacing="1" w:line="240" w:lineRule="auto"/>
              <w:rPr>
                <w:rFonts w:ascii="Arial" w:eastAsia="Times New Roman" w:hAnsi="Arial" w:cs="Arial"/>
                <w:b/>
                <w:bCs/>
                <w:sz w:val="22"/>
                <w:szCs w:val="22"/>
                <w:lang w:val="en-GB" w:eastAsia="en-US"/>
              </w:rPr>
            </w:pPr>
            <w:r w:rsidRPr="00243446">
              <w:rPr>
                <w:rFonts w:ascii="Arial" w:eastAsia="Times New Roman" w:hAnsi="Arial" w:cs="Arial"/>
                <w:b/>
                <w:bCs/>
                <w:sz w:val="22"/>
                <w:szCs w:val="22"/>
                <w:lang w:val="en-GB" w:eastAsia="en-US"/>
              </w:rPr>
              <w:t>100%</w:t>
            </w:r>
          </w:p>
        </w:tc>
      </w:tr>
    </w:tbl>
    <w:bookmarkEnd w:id="15"/>
    <w:p w:rsidR="00934CDE" w:rsidRPr="00243446" w:rsidRDefault="00934CDE" w:rsidP="00934CDE">
      <w:pPr>
        <w:spacing w:before="100" w:beforeAutospacing="1" w:after="100" w:afterAutospacing="1" w:line="240" w:lineRule="auto"/>
        <w:rPr>
          <w:rFonts w:ascii="Arial" w:eastAsia="Times New Roman" w:hAnsi="Arial" w:cs="Arial"/>
        </w:rPr>
      </w:pPr>
      <w:r w:rsidRPr="00243446">
        <w:rPr>
          <w:rFonts w:ascii="Arial" w:eastAsia="Times New Roman" w:hAnsi="Arial" w:cs="Arial"/>
        </w:rPr>
        <w:t>Definisani cilj biće realizovan kroz sledeće mjere:</w:t>
      </w:r>
    </w:p>
    <w:p w:rsidR="00934CDE" w:rsidRPr="00243446" w:rsidRDefault="00934CDE" w:rsidP="00934CDE">
      <w:pPr>
        <w:spacing w:before="100" w:beforeAutospacing="1" w:after="100" w:afterAutospacing="1" w:line="240" w:lineRule="auto"/>
        <w:rPr>
          <w:rFonts w:ascii="Arial" w:eastAsia="Times New Roman" w:hAnsi="Arial" w:cs="Arial"/>
          <w:b/>
          <w:bCs/>
        </w:rPr>
      </w:pPr>
      <w:r w:rsidRPr="00243446">
        <w:rPr>
          <w:rFonts w:ascii="Arial" w:eastAsia="Times New Roman" w:hAnsi="Arial" w:cs="Arial"/>
          <w:b/>
          <w:bCs/>
        </w:rPr>
        <w:t>Mjera 1.1: Usvajanje izmjena i dopuna Zakona o budžetu i fiskalnoj odgovornosti</w:t>
      </w:r>
    </w:p>
    <w:p w:rsidR="00934CDE" w:rsidRPr="00243446" w:rsidRDefault="00934CDE" w:rsidP="00934CDE">
      <w:pPr>
        <w:spacing w:before="100" w:beforeAutospacing="1" w:after="100" w:afterAutospacing="1" w:line="240" w:lineRule="auto"/>
        <w:jc w:val="both"/>
        <w:rPr>
          <w:rFonts w:ascii="Arial" w:eastAsia="Times New Roman" w:hAnsi="Arial" w:cs="Arial"/>
        </w:rPr>
      </w:pPr>
      <w:r w:rsidRPr="00243446">
        <w:rPr>
          <w:rFonts w:ascii="Arial" w:eastAsia="Times New Roman" w:hAnsi="Arial" w:cs="Arial"/>
        </w:rPr>
        <w:br/>
      </w:r>
      <w:r w:rsidRPr="00243446">
        <w:rPr>
          <w:rFonts w:ascii="Arial" w:eastAsia="Times New Roman" w:hAnsi="Arial" w:cs="Arial"/>
          <w:b/>
          <w:bCs/>
        </w:rPr>
        <w:t>Opis mjere:</w:t>
      </w:r>
      <w:r w:rsidRPr="00243446">
        <w:rPr>
          <w:rFonts w:ascii="Arial" w:eastAsia="Times New Roman" w:hAnsi="Arial" w:cs="Arial"/>
        </w:rPr>
        <w:t xml:space="preserve"> Kao što je navedeno u poglavlju 1.6 ove </w:t>
      </w:r>
      <w:r w:rsidR="000C1860" w:rsidRPr="00243446">
        <w:rPr>
          <w:rFonts w:ascii="Arial" w:eastAsia="Times New Roman" w:hAnsi="Arial" w:cs="Arial"/>
        </w:rPr>
        <w:t>S</w:t>
      </w:r>
      <w:r w:rsidRPr="00243446">
        <w:rPr>
          <w:rFonts w:ascii="Arial" w:eastAsia="Times New Roman" w:hAnsi="Arial" w:cs="Arial"/>
        </w:rPr>
        <w:t>trategije, u članu 76a Zakona o budžetu i fiskalnoj odgovornosti propisano je da Crna Gora, kao korisnik sredstava EU, obezbjeđuje indirektno upravljanje IPA sredstvima i zaštitu finansijskih interesa EU uspostavljanjem sistema za prevenciju nepravilnosti i prevara u okviru kojeg se koordiniraju pravne, administrativne i operativne aktivnosti i sarađuje direktno sa OLAF-om. Međutim, odredbe člana 76a Zakona o budžetu i fiskalnoj odgovornosti nisu jasne u pogledu toga kako i od kojih elemenata treba biti formiran ovaj sistem za zaštitu finansijskih interesa EU</w:t>
      </w:r>
      <w:r w:rsidR="00510B60" w:rsidRPr="00243446">
        <w:rPr>
          <w:rFonts w:ascii="Arial" w:eastAsia="Times New Roman" w:hAnsi="Arial" w:cs="Arial"/>
        </w:rPr>
        <w:t>, pa je shodno tome neophodno</w:t>
      </w:r>
      <w:r w:rsidRPr="00243446">
        <w:rPr>
          <w:rFonts w:ascii="Arial" w:eastAsia="Times New Roman" w:hAnsi="Arial" w:cs="Arial"/>
        </w:rPr>
        <w:t xml:space="preserve"> usvojiti</w:t>
      </w:r>
      <w:r w:rsidR="00510B60" w:rsidRPr="00243446">
        <w:rPr>
          <w:rFonts w:ascii="Arial" w:eastAsia="Times New Roman" w:hAnsi="Arial" w:cs="Arial"/>
        </w:rPr>
        <w:t xml:space="preserve"> </w:t>
      </w:r>
      <w:r w:rsidRPr="00243446">
        <w:rPr>
          <w:rFonts w:ascii="Arial" w:eastAsia="Times New Roman" w:hAnsi="Arial" w:cs="Arial"/>
        </w:rPr>
        <w:t>izmjene Zakona o budžetu i fiskalnoj odgovornosti kako bi se definisao AFCOS sistem i omogućilo usvajanje podzakonskih akata.</w:t>
      </w:r>
    </w:p>
    <w:p w:rsidR="00934CDE" w:rsidRPr="00243446" w:rsidRDefault="00934CDE" w:rsidP="00934CDE">
      <w:pPr>
        <w:spacing w:before="100" w:beforeAutospacing="1" w:after="100" w:afterAutospacing="1" w:line="240" w:lineRule="auto"/>
        <w:rPr>
          <w:rFonts w:ascii="Arial" w:eastAsia="Times New Roman" w:hAnsi="Arial" w:cs="Arial"/>
          <w:b/>
          <w:bCs/>
        </w:rPr>
      </w:pPr>
      <w:r w:rsidRPr="00243446">
        <w:rPr>
          <w:rFonts w:ascii="Arial" w:eastAsia="Times New Roman" w:hAnsi="Arial" w:cs="Arial"/>
          <w:b/>
          <w:bCs/>
        </w:rPr>
        <w:t>Mjera 1.2: Usvajanje podzakonskih akata za funkcionisanje sistema za zaštitu finansijskih interesa EU u Crnoj Gori</w:t>
      </w:r>
    </w:p>
    <w:p w:rsidR="00934CDE" w:rsidRPr="00243446" w:rsidRDefault="00934CDE" w:rsidP="00934CDE">
      <w:pPr>
        <w:spacing w:before="100" w:beforeAutospacing="1" w:after="100" w:afterAutospacing="1" w:line="240" w:lineRule="auto"/>
        <w:jc w:val="both"/>
        <w:rPr>
          <w:rFonts w:ascii="Arial" w:eastAsia="Times New Roman" w:hAnsi="Arial" w:cs="Arial"/>
          <w:lang w:val="sr-Latn-BA"/>
        </w:rPr>
      </w:pPr>
      <w:r w:rsidRPr="00243446">
        <w:rPr>
          <w:rFonts w:ascii="Arial" w:eastAsia="Times New Roman" w:hAnsi="Arial" w:cs="Arial"/>
        </w:rPr>
        <w:br/>
      </w:r>
      <w:r w:rsidRPr="00243446">
        <w:rPr>
          <w:rFonts w:ascii="Arial" w:eastAsia="Times New Roman" w:hAnsi="Arial" w:cs="Arial"/>
          <w:b/>
          <w:bCs/>
        </w:rPr>
        <w:t>Opis mjere:</w:t>
      </w:r>
      <w:r w:rsidRPr="00243446">
        <w:rPr>
          <w:rFonts w:ascii="Arial" w:eastAsia="Times New Roman" w:hAnsi="Arial" w:cs="Arial"/>
        </w:rPr>
        <w:t xml:space="preserve"> U poslednjih nekoliko godina uloženi su značajni napori kako bi se uspostavio institucionalni i </w:t>
      </w:r>
      <w:r w:rsidR="003271B9" w:rsidRPr="00243446">
        <w:rPr>
          <w:rFonts w:ascii="Arial" w:eastAsia="Times New Roman" w:hAnsi="Arial" w:cs="Arial"/>
        </w:rPr>
        <w:t>zakonodavni</w:t>
      </w:r>
      <w:r w:rsidRPr="00243446">
        <w:rPr>
          <w:rFonts w:ascii="Arial" w:eastAsia="Times New Roman" w:hAnsi="Arial" w:cs="Arial"/>
        </w:rPr>
        <w:t xml:space="preserve"> okvir za zaštitu finansijskih interesa EU u Crnoj Gori, kako je opisano u poglavlju 1.6 ove Strategije. Međutim, kao što je navedeno u poglavlju 2.1.1, zbog nedostatka političke podrške i kašnjenja u usvajanju izmjena Zakona o budžetu i fiskalnoj odgovornosti, Pravilnik o institucionalnom okviru za funkcionisanje sistema za suzbijanje prevara i nepravilnosti (AFCOS sistem) u Crnoj Gori nije usvojen. Ovaj pravni akt treba da bude usvojen, čime bi se ojačala koncepcija „AFCOS sistema</w:t>
      </w:r>
      <w:r w:rsidR="00FC69F0" w:rsidRPr="00243446">
        <w:rPr>
          <w:rFonts w:ascii="Arial" w:eastAsia="Times New Roman" w:hAnsi="Arial" w:cs="Arial"/>
        </w:rPr>
        <w:t xml:space="preserve"> </w:t>
      </w:r>
      <w:r w:rsidRPr="00243446">
        <w:rPr>
          <w:rFonts w:ascii="Arial" w:eastAsia="Times New Roman" w:hAnsi="Arial" w:cs="Arial"/>
        </w:rPr>
        <w:t>“koji se sastoji od 3 elementa opisanih u poglavlju 1.6. Pravilnik će biti izrađen u okviru Twinning projekta: „Dalje unapr</w:t>
      </w:r>
      <w:r w:rsidR="00DE6D83" w:rsidRPr="00243446">
        <w:rPr>
          <w:rFonts w:ascii="Arial" w:eastAsia="Times New Roman" w:hAnsi="Arial" w:cs="Arial"/>
        </w:rPr>
        <w:t>ijeđenje</w:t>
      </w:r>
      <w:r w:rsidRPr="00243446">
        <w:rPr>
          <w:rFonts w:ascii="Arial" w:eastAsia="Times New Roman" w:hAnsi="Arial" w:cs="Arial"/>
        </w:rPr>
        <w:t xml:space="preserve"> funkcionisanja crnogorskog AFCOS sistema s ciljem efikasne zaštite finansijskih interesa EU</w:t>
      </w:r>
      <w:r w:rsidR="00FC69F0" w:rsidRPr="00243446">
        <w:rPr>
          <w:rFonts w:ascii="Arial" w:eastAsia="Times New Roman" w:hAnsi="Arial" w:cs="Arial"/>
        </w:rPr>
        <w:t>”</w:t>
      </w:r>
      <w:r w:rsidRPr="00243446">
        <w:rPr>
          <w:rFonts w:ascii="Arial" w:eastAsia="Times New Roman" w:hAnsi="Arial" w:cs="Arial"/>
        </w:rPr>
        <w:t>.</w:t>
      </w:r>
      <w:r w:rsidRPr="00243446">
        <w:rPr>
          <w:rFonts w:ascii="Arial" w:eastAsia="Times New Roman" w:hAnsi="Arial" w:cs="Arial"/>
        </w:rPr>
        <w:br/>
        <w:t>Takođe, kao što je navedeno u poglavlju 2.1.1, Odluka o osnivanju AFCOS mreže nije usvojena u sadržaju koji su izradili stručnjaci Twinning Light projekta „Jačanje kapaciteta AFCOS</w:t>
      </w:r>
      <w:r w:rsidR="00FC69F0" w:rsidRPr="00243446">
        <w:rPr>
          <w:rFonts w:ascii="Arial" w:eastAsia="Times New Roman" w:hAnsi="Arial" w:cs="Arial"/>
        </w:rPr>
        <w:t xml:space="preserve"> </w:t>
      </w:r>
      <w:r w:rsidRPr="00243446">
        <w:rPr>
          <w:rFonts w:ascii="Arial" w:eastAsia="Times New Roman" w:hAnsi="Arial" w:cs="Arial"/>
        </w:rPr>
        <w:t>kancelarije“</w:t>
      </w:r>
      <w:r w:rsidR="00AD2BCD" w:rsidRPr="00243446">
        <w:rPr>
          <w:rFonts w:ascii="Arial" w:eastAsia="Times New Roman" w:hAnsi="Arial" w:cs="Arial"/>
        </w:rPr>
        <w:t xml:space="preserve"> pa je, s</w:t>
      </w:r>
      <w:r w:rsidRPr="00243446">
        <w:rPr>
          <w:rFonts w:ascii="Arial" w:eastAsia="Times New Roman" w:hAnsi="Arial" w:cs="Arial"/>
        </w:rPr>
        <w:t>hodno tome, potrebno</w:t>
      </w:r>
      <w:r w:rsidR="00AD2BCD" w:rsidRPr="00243446">
        <w:rPr>
          <w:rFonts w:ascii="Arial" w:eastAsia="Times New Roman" w:hAnsi="Arial" w:cs="Arial"/>
        </w:rPr>
        <w:t xml:space="preserve"> </w:t>
      </w:r>
      <w:r w:rsidRPr="00243446">
        <w:rPr>
          <w:rFonts w:ascii="Arial" w:eastAsia="Times New Roman" w:hAnsi="Arial" w:cs="Arial"/>
        </w:rPr>
        <w:t>us</w:t>
      </w:r>
      <w:r w:rsidR="00AD2BCD" w:rsidRPr="00243446">
        <w:rPr>
          <w:rFonts w:ascii="Arial" w:eastAsia="Times New Roman" w:hAnsi="Arial" w:cs="Arial"/>
        </w:rPr>
        <w:t>v</w:t>
      </w:r>
      <w:r w:rsidRPr="00243446">
        <w:rPr>
          <w:rFonts w:ascii="Arial" w:eastAsia="Times New Roman" w:hAnsi="Arial" w:cs="Arial"/>
        </w:rPr>
        <w:t xml:space="preserve">ojiti Uredbu o </w:t>
      </w:r>
      <w:r w:rsidRPr="00243446">
        <w:rPr>
          <w:rFonts w:ascii="Arial" w:eastAsia="Times New Roman" w:hAnsi="Arial" w:cs="Arial"/>
          <w:lang w:val="sr-Latn-BA"/>
        </w:rPr>
        <w:t>uspostavljanju institucionalnog okvira sistema za zaštitu finansijskih interesa Evropske unije u Crnoj Gori i Odluku o</w:t>
      </w:r>
      <w:r w:rsidRPr="00243446">
        <w:rPr>
          <w:rFonts w:ascii="Arial" w:eastAsia="Times New Roman" w:hAnsi="Arial" w:cs="Arial"/>
          <w:lang w:val="sr-Latn-ME"/>
        </w:rPr>
        <w:t xml:space="preserve"> osnivanju Radnog tijela za praćenje i upravljanje politikom sprječavanja i suzbijanja nepravilnosti u cilju zaštite finansijskih interesa Evropske unije, što će povezati funkcionisanje svih djelova AFCOS sistema</w:t>
      </w:r>
      <w:r w:rsidR="00AD2BCD" w:rsidRPr="00243446">
        <w:rPr>
          <w:rFonts w:ascii="Arial" w:eastAsia="Times New Roman" w:hAnsi="Arial" w:cs="Arial"/>
          <w:lang w:val="sr-Latn-ME"/>
        </w:rPr>
        <w:t>, to jeste</w:t>
      </w:r>
      <w:r w:rsidRPr="00243446">
        <w:rPr>
          <w:rFonts w:ascii="Arial" w:eastAsia="Times New Roman" w:hAnsi="Arial" w:cs="Arial"/>
          <w:lang w:val="sr-Latn-ME"/>
        </w:rPr>
        <w:t xml:space="preserve"> </w:t>
      </w:r>
      <w:r w:rsidRPr="00243446">
        <w:rPr>
          <w:rFonts w:ascii="Arial" w:eastAsia="Times New Roman" w:hAnsi="Arial" w:cs="Arial"/>
          <w:lang w:val="sr-Latn-BA"/>
        </w:rPr>
        <w:t>tijela sistema za upravljanje i kontrolu EU fondova (struktura za izvještavanje o nepravilnostima)</w:t>
      </w:r>
      <w:r w:rsidR="00AD2BCD" w:rsidRPr="00243446">
        <w:rPr>
          <w:rFonts w:ascii="Arial" w:eastAsia="Times New Roman" w:hAnsi="Arial" w:cs="Arial"/>
          <w:lang w:val="sr-Latn-BA"/>
        </w:rPr>
        <w:t xml:space="preserve">, </w:t>
      </w:r>
      <w:r w:rsidR="00AD2BCD" w:rsidRPr="00243446">
        <w:rPr>
          <w:rFonts w:ascii="Arial" w:eastAsia="Times New Roman" w:hAnsi="Arial" w:cs="Arial"/>
          <w:bCs/>
          <w:lang w:val="sr-Latn-BA"/>
        </w:rPr>
        <w:t>i</w:t>
      </w:r>
      <w:r w:rsidRPr="00243446">
        <w:rPr>
          <w:rFonts w:ascii="Arial" w:eastAsia="Times New Roman" w:hAnsi="Arial" w:cs="Arial"/>
          <w:bCs/>
          <w:lang w:val="sr-Latn-BA"/>
        </w:rPr>
        <w:t>nstitucija sistema zadužen</w:t>
      </w:r>
      <w:r w:rsidR="00AD2BCD" w:rsidRPr="00243446">
        <w:rPr>
          <w:rFonts w:ascii="Arial" w:eastAsia="Times New Roman" w:hAnsi="Arial" w:cs="Arial"/>
          <w:bCs/>
          <w:lang w:val="sr-Latn-BA"/>
        </w:rPr>
        <w:t>ih</w:t>
      </w:r>
      <w:r w:rsidRPr="00243446">
        <w:rPr>
          <w:rFonts w:ascii="Arial" w:eastAsia="Times New Roman" w:hAnsi="Arial" w:cs="Arial"/>
          <w:bCs/>
          <w:lang w:val="sr-Latn-BA"/>
        </w:rPr>
        <w:t xml:space="preserve"> za borbu protiv prevara, korupcije i drugih oblika nezakonitih aktivnosti </w:t>
      </w:r>
      <w:r w:rsidRPr="00243446">
        <w:rPr>
          <w:rFonts w:ascii="Arial" w:eastAsia="Times New Roman" w:hAnsi="Arial" w:cs="Arial"/>
          <w:lang w:val="sr-Latn-BA"/>
        </w:rPr>
        <w:t>(AFCOS mreža)  i Direkcije za zaštitu finansijskih interesa EU/AFCOS u Ministarstvu finansija.</w:t>
      </w:r>
    </w:p>
    <w:p w:rsidR="00934CDE" w:rsidRPr="00243446" w:rsidRDefault="00934CDE" w:rsidP="00934CDE">
      <w:pPr>
        <w:spacing w:before="100" w:beforeAutospacing="1" w:after="100" w:afterAutospacing="1" w:line="240" w:lineRule="auto"/>
        <w:rPr>
          <w:rFonts w:ascii="Arial" w:eastAsia="Times New Roman" w:hAnsi="Arial" w:cs="Arial"/>
          <w:b/>
          <w:bCs/>
        </w:rPr>
      </w:pPr>
      <w:r w:rsidRPr="00243446">
        <w:rPr>
          <w:rFonts w:ascii="Arial" w:eastAsia="Times New Roman" w:hAnsi="Arial" w:cs="Arial"/>
        </w:rPr>
        <w:t xml:space="preserve"> </w:t>
      </w:r>
      <w:r w:rsidRPr="00243446">
        <w:rPr>
          <w:rFonts w:ascii="Arial" w:eastAsia="Times New Roman" w:hAnsi="Arial" w:cs="Arial"/>
          <w:b/>
          <w:bCs/>
        </w:rPr>
        <w:t xml:space="preserve">Mjera 1.3: </w:t>
      </w:r>
      <w:r w:rsidRPr="00243446">
        <w:rPr>
          <w:rFonts w:ascii="Arial" w:eastAsia="Times New Roman" w:hAnsi="Arial" w:cs="Arial"/>
          <w:b/>
          <w:bCs/>
          <w:lang w:val="sr-Latn-ME"/>
        </w:rPr>
        <w:t>Dalje uskladjivanje nacionalnog zakonodavstva sa EU legislativom/PIF Direktivom</w:t>
      </w:r>
    </w:p>
    <w:p w:rsidR="00934CDE" w:rsidRPr="00243446" w:rsidRDefault="00934CDE" w:rsidP="00934CDE">
      <w:pPr>
        <w:spacing w:before="100" w:beforeAutospacing="1" w:after="100" w:afterAutospacing="1" w:line="240" w:lineRule="auto"/>
        <w:rPr>
          <w:rFonts w:ascii="Arial" w:eastAsia="Times New Roman" w:hAnsi="Arial" w:cs="Arial"/>
          <w:lang w:val="sr-Latn-ME"/>
        </w:rPr>
      </w:pPr>
      <w:r w:rsidRPr="00243446">
        <w:rPr>
          <w:rFonts w:ascii="Arial" w:eastAsia="Times New Roman" w:hAnsi="Arial" w:cs="Arial"/>
        </w:rPr>
        <w:br/>
      </w:r>
      <w:r w:rsidRPr="00243446">
        <w:rPr>
          <w:rFonts w:ascii="Arial" w:eastAsia="Times New Roman" w:hAnsi="Arial" w:cs="Arial"/>
          <w:b/>
          <w:bCs/>
        </w:rPr>
        <w:t>Opis mjere:</w:t>
      </w:r>
      <w:r w:rsidRPr="00243446">
        <w:rPr>
          <w:rFonts w:ascii="Arial" w:eastAsia="Times New Roman" w:hAnsi="Arial" w:cs="Arial"/>
        </w:rPr>
        <w:t xml:space="preserve"> </w:t>
      </w:r>
    </w:p>
    <w:p w:rsidR="00934CDE" w:rsidRPr="00243446" w:rsidRDefault="00934CDE" w:rsidP="00934CDE">
      <w:pPr>
        <w:spacing w:before="100" w:beforeAutospacing="1" w:after="100" w:afterAutospacing="1" w:line="240" w:lineRule="auto"/>
        <w:jc w:val="both"/>
        <w:rPr>
          <w:rFonts w:ascii="Arial" w:eastAsia="Times New Roman" w:hAnsi="Arial" w:cs="Arial"/>
        </w:rPr>
      </w:pPr>
      <w:r w:rsidRPr="00243446">
        <w:rPr>
          <w:rFonts w:ascii="Arial" w:eastAsia="Times New Roman" w:hAnsi="Arial" w:cs="Arial"/>
        </w:rPr>
        <w:t>Prva faza usklađivanja Krivičnog zakonika sa PIF Direktivom završena je od strane Ministarstva pravde i usvojen je novi Krivični zakonik sa uključenim odredbama koje osiguravaju zaštitu finansijskih interesa EU prema preporukama OLAF-a. Dalja analiza pravnih akata i njihovo usklađivanje sa PIF Direktivom sprovedena je u okviru Twinning projekta: „Dalje unapr</w:t>
      </w:r>
      <w:r w:rsidR="00DF57A5" w:rsidRPr="00243446">
        <w:rPr>
          <w:rFonts w:ascii="Arial" w:eastAsia="Times New Roman" w:hAnsi="Arial" w:cs="Arial"/>
        </w:rPr>
        <w:t>ijeđenje</w:t>
      </w:r>
      <w:r w:rsidRPr="00243446">
        <w:rPr>
          <w:rFonts w:ascii="Arial" w:eastAsia="Times New Roman" w:hAnsi="Arial" w:cs="Arial"/>
        </w:rPr>
        <w:t xml:space="preserve"> funkcionisanja crnogorskog AFCOS sistema s ciljem efikasne zaštite finansijskih interesa EU“, a date su i preporuke za dodatna poboljšanja i harmonizaciju. Harmonizacija Krivičnog zakonika sa PIF Direktivom treba biti završena u skladu sa preporukama Evropske komisije i OLAF-a.</w:t>
      </w:r>
    </w:p>
    <w:p w:rsidR="00934CDE" w:rsidRPr="00243446" w:rsidRDefault="00934CDE" w:rsidP="00934CDE">
      <w:pPr>
        <w:spacing w:before="100" w:beforeAutospacing="1" w:after="100" w:afterAutospacing="1" w:line="240" w:lineRule="auto"/>
        <w:rPr>
          <w:rFonts w:ascii="Arial" w:eastAsia="Times New Roman" w:hAnsi="Arial" w:cs="Arial"/>
          <w:b/>
          <w:bCs/>
        </w:rPr>
      </w:pPr>
      <w:r w:rsidRPr="00243446">
        <w:rPr>
          <w:rFonts w:ascii="Arial" w:eastAsia="Times New Roman" w:hAnsi="Arial" w:cs="Arial"/>
          <w:b/>
          <w:bCs/>
        </w:rPr>
        <w:t xml:space="preserve">Mjera 1.4: </w:t>
      </w:r>
      <w:r w:rsidRPr="00243446">
        <w:rPr>
          <w:rFonts w:ascii="Arial" w:eastAsia="Times New Roman" w:hAnsi="Arial" w:cs="Arial"/>
          <w:b/>
          <w:bCs/>
          <w:lang w:val="sr-Latn-ME"/>
        </w:rPr>
        <w:t>Dalje uskladjivanje nacionalnog zakonodavstva sa EU legislativom/ Regulativom 883/2013 i Regulativom 2185/1996</w:t>
      </w:r>
    </w:p>
    <w:p w:rsidR="00934CDE" w:rsidRPr="00243446" w:rsidRDefault="00934CDE" w:rsidP="00E02DF3">
      <w:pPr>
        <w:spacing w:before="100" w:beforeAutospacing="1" w:after="100" w:afterAutospacing="1" w:line="240" w:lineRule="auto"/>
        <w:jc w:val="both"/>
        <w:rPr>
          <w:rFonts w:ascii="Arial" w:eastAsia="Times New Roman" w:hAnsi="Arial" w:cs="Arial"/>
          <w:b/>
          <w:bCs/>
        </w:rPr>
      </w:pPr>
      <w:r w:rsidRPr="00243446">
        <w:rPr>
          <w:rFonts w:ascii="Arial" w:eastAsia="Times New Roman" w:hAnsi="Arial" w:cs="Arial"/>
        </w:rPr>
        <w:br/>
      </w:r>
      <w:r w:rsidRPr="00243446">
        <w:rPr>
          <w:rFonts w:ascii="Arial" w:eastAsia="Times New Roman" w:hAnsi="Arial" w:cs="Arial"/>
          <w:b/>
          <w:bCs/>
        </w:rPr>
        <w:t>Opis mjere</w:t>
      </w:r>
      <w:bookmarkStart w:id="16" w:name="_Hlk197951275"/>
      <w:r w:rsidRPr="00243446">
        <w:rPr>
          <w:rFonts w:ascii="Arial" w:eastAsia="Times New Roman" w:hAnsi="Arial" w:cs="Arial"/>
          <w:b/>
          <w:bCs/>
        </w:rPr>
        <w:t>:</w:t>
      </w:r>
      <w:r w:rsidRPr="00243446">
        <w:rPr>
          <w:rFonts w:ascii="Arial" w:eastAsia="Times New Roman" w:hAnsi="Arial" w:cs="Arial"/>
        </w:rPr>
        <w:t xml:space="preserve"> </w:t>
      </w:r>
      <w:r w:rsidRPr="00243446">
        <w:rPr>
          <w:rFonts w:ascii="Arial" w:eastAsia="Times New Roman" w:hAnsi="Arial" w:cs="Arial"/>
          <w:lang w:val="sr-Latn-ME"/>
        </w:rPr>
        <w:t>Izmijeniti pravne akte koji definišu oblast koje se tiču usaglašavanja sa Regulativama 883/2013 i 2185/1996.</w:t>
      </w:r>
    </w:p>
    <w:bookmarkEnd w:id="16"/>
    <w:p w:rsidR="00934CDE" w:rsidRPr="00243446" w:rsidRDefault="00934CDE" w:rsidP="00934CDE">
      <w:pPr>
        <w:spacing w:before="100" w:beforeAutospacing="1" w:after="100" w:afterAutospacing="1" w:line="240" w:lineRule="auto"/>
        <w:rPr>
          <w:rFonts w:ascii="Arial" w:eastAsia="Times New Roman" w:hAnsi="Arial" w:cs="Arial"/>
          <w:b/>
          <w:bCs/>
        </w:rPr>
      </w:pPr>
      <w:r w:rsidRPr="00243446">
        <w:rPr>
          <w:rFonts w:ascii="Arial" w:eastAsia="Times New Roman" w:hAnsi="Arial" w:cs="Arial"/>
        </w:rPr>
        <w:br/>
      </w:r>
      <w:r w:rsidRPr="00243446">
        <w:rPr>
          <w:rFonts w:ascii="Arial" w:eastAsia="Times New Roman" w:hAnsi="Arial" w:cs="Arial"/>
          <w:b/>
          <w:bCs/>
        </w:rPr>
        <w:t>Mjera 1.5:</w:t>
      </w:r>
      <w:r w:rsidRPr="00243446">
        <w:rPr>
          <w:rFonts w:ascii="Arial" w:eastAsia="Times New Roman" w:hAnsi="Arial" w:cs="Arial"/>
          <w:b/>
          <w:bCs/>
          <w:lang w:val="sr-Latn-ME"/>
        </w:rPr>
        <w:t xml:space="preserve"> Usaglašavanje nacionalnog zakonodavstva sa EU legislativom/ Drektivom 2019/1937 o zaštiti lica koja prijavlju povrede prava Evropske unije (Direktiva o zaštiti zviždača)</w:t>
      </w:r>
    </w:p>
    <w:p w:rsidR="00934CDE" w:rsidRPr="00243446" w:rsidRDefault="00934CDE" w:rsidP="00934CDE">
      <w:pPr>
        <w:spacing w:before="100" w:beforeAutospacing="1" w:after="100" w:afterAutospacing="1" w:line="240" w:lineRule="auto"/>
        <w:rPr>
          <w:rFonts w:ascii="Arial" w:eastAsia="Times New Roman" w:hAnsi="Arial" w:cs="Arial"/>
          <w:lang w:val="sr-Latn-ME"/>
        </w:rPr>
      </w:pPr>
      <w:r w:rsidRPr="00243446">
        <w:rPr>
          <w:rFonts w:ascii="Arial" w:eastAsia="Times New Roman" w:hAnsi="Arial" w:cs="Arial"/>
        </w:rPr>
        <w:br/>
      </w:r>
      <w:r w:rsidRPr="00243446">
        <w:rPr>
          <w:rFonts w:ascii="Arial" w:eastAsia="Times New Roman" w:hAnsi="Arial" w:cs="Arial"/>
          <w:b/>
          <w:bCs/>
        </w:rPr>
        <w:t>Opis mjere:</w:t>
      </w:r>
      <w:r w:rsidRPr="00243446">
        <w:rPr>
          <w:rFonts w:ascii="Arial" w:eastAsia="Times New Roman" w:hAnsi="Arial" w:cs="Arial"/>
        </w:rPr>
        <w:t xml:space="preserve"> </w:t>
      </w:r>
      <w:r w:rsidRPr="00243446">
        <w:rPr>
          <w:rFonts w:ascii="Arial" w:eastAsia="Times New Roman" w:hAnsi="Arial" w:cs="Arial"/>
          <w:lang w:val="sr-Latn-ME"/>
        </w:rPr>
        <w:t>Donošenje posebnog Zakona o zaštiti zviždača</w:t>
      </w:r>
    </w:p>
    <w:p w:rsidR="000F471C" w:rsidRPr="00243446" w:rsidRDefault="000F471C" w:rsidP="000F471C">
      <w:pPr>
        <w:spacing w:after="0" w:line="240" w:lineRule="auto"/>
        <w:rPr>
          <w:rFonts w:ascii="Arial" w:eastAsia="Times New Roman" w:hAnsi="Arial" w:cs="Arial"/>
          <w:lang w:val="sr-Latn-ME"/>
        </w:rPr>
      </w:pPr>
      <w:r w:rsidRPr="00243446">
        <w:rPr>
          <w:rFonts w:ascii="Arial" w:eastAsia="Times New Roman" w:hAnsi="Arial" w:cs="Arial"/>
          <w:b/>
          <w:bCs/>
          <w:lang w:val="sr-Latn-ME"/>
        </w:rPr>
        <w:t>3.2. OBLAST 2: Koordinacija i saradnja</w:t>
      </w:r>
    </w:p>
    <w:p w:rsidR="000F471C" w:rsidRPr="00243446" w:rsidRDefault="000F471C" w:rsidP="000F471C">
      <w:pPr>
        <w:spacing w:after="0" w:line="240" w:lineRule="auto"/>
        <w:rPr>
          <w:rFonts w:ascii="Arial" w:eastAsia="Times New Roman" w:hAnsi="Arial" w:cs="Arial"/>
          <w:lang w:val="sr-Latn-ME"/>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1"/>
      </w:tblGrid>
      <w:tr w:rsidR="000F471C" w:rsidRPr="00243446" w:rsidTr="00CB5F79">
        <w:trPr>
          <w:trHeight w:val="850"/>
        </w:trPr>
        <w:tc>
          <w:tcPr>
            <w:tcW w:w="9070" w:type="dxa"/>
          </w:tcPr>
          <w:p w:rsidR="000F471C" w:rsidRPr="00243446" w:rsidRDefault="000F471C" w:rsidP="00CB5F79">
            <w:pPr>
              <w:spacing w:before="100" w:beforeAutospacing="1" w:after="100" w:afterAutospacing="1" w:line="240" w:lineRule="auto"/>
              <w:ind w:left="30"/>
              <w:rPr>
                <w:rFonts w:ascii="Arial" w:eastAsia="Times New Roman" w:hAnsi="Arial" w:cs="Arial"/>
                <w:b/>
                <w:bCs/>
                <w:lang w:val="sr-Latn-ME"/>
              </w:rPr>
            </w:pPr>
            <w:r w:rsidRPr="00243446">
              <w:rPr>
                <w:rFonts w:ascii="Arial" w:eastAsia="Times New Roman" w:hAnsi="Arial" w:cs="Arial"/>
                <w:b/>
                <w:bCs/>
                <w:lang w:val="sr-Latn-ME"/>
              </w:rPr>
              <w:t>Operativni cilj 2:</w:t>
            </w:r>
            <w:r w:rsidRPr="00243446">
              <w:rPr>
                <w:rFonts w:ascii="Arial" w:eastAsia="Times New Roman" w:hAnsi="Arial" w:cs="Arial"/>
                <w:lang w:val="sr-Latn-ME"/>
              </w:rPr>
              <w:br/>
              <w:t>Jačanje koordinacione uloge AFCOS</w:t>
            </w:r>
            <w:r w:rsidR="00DF57A5" w:rsidRPr="00243446">
              <w:rPr>
                <w:rFonts w:ascii="Arial" w:eastAsia="Times New Roman" w:hAnsi="Arial" w:cs="Arial"/>
                <w:lang w:val="sr-Latn-ME"/>
              </w:rPr>
              <w:t xml:space="preserve">-a </w:t>
            </w:r>
            <w:r w:rsidRPr="00243446">
              <w:rPr>
                <w:rFonts w:ascii="Arial" w:eastAsia="Times New Roman" w:hAnsi="Arial" w:cs="Arial"/>
                <w:lang w:val="sr-Latn-ME"/>
              </w:rPr>
              <w:t>i unaprijeđenje saradnje između institucija uključenih u zaštitu finansijskih interesa EU.</w:t>
            </w:r>
          </w:p>
        </w:tc>
      </w:tr>
    </w:tbl>
    <w:p w:rsidR="00934CDE" w:rsidRPr="00243446" w:rsidRDefault="00934CDE" w:rsidP="000F471C">
      <w:pPr>
        <w:spacing w:before="100" w:beforeAutospacing="1" w:after="100" w:afterAutospacing="1" w:line="240" w:lineRule="auto"/>
        <w:rPr>
          <w:rFonts w:ascii="Arial" w:eastAsia="Times New Roman" w:hAnsi="Arial" w:cs="Arial"/>
          <w:lang w:val="sr-Latn-ME"/>
        </w:rPr>
      </w:pPr>
    </w:p>
    <w:tbl>
      <w:tblPr>
        <w:tblStyle w:val="TableGrid"/>
        <w:tblW w:w="9196" w:type="dxa"/>
        <w:tblLook w:val="04A0" w:firstRow="1" w:lastRow="0" w:firstColumn="1" w:lastColumn="0" w:noHBand="0" w:noVBand="1"/>
      </w:tblPr>
      <w:tblGrid>
        <w:gridCol w:w="3964"/>
        <w:gridCol w:w="1626"/>
        <w:gridCol w:w="1803"/>
        <w:gridCol w:w="1803"/>
      </w:tblGrid>
      <w:tr w:rsidR="00934CDE" w:rsidRPr="00243446" w:rsidTr="00934CDE">
        <w:tc>
          <w:tcPr>
            <w:tcW w:w="3964" w:type="dxa"/>
            <w:vAlign w:val="center"/>
          </w:tcPr>
          <w:p w:rsidR="00934CDE" w:rsidRPr="00243446" w:rsidRDefault="00934CDE" w:rsidP="00934CDE">
            <w:pPr>
              <w:spacing w:before="100" w:beforeAutospacing="1" w:after="100" w:afterAutospacing="1" w:line="240" w:lineRule="auto"/>
              <w:rPr>
                <w:rFonts w:ascii="Arial" w:eastAsia="Times New Roman" w:hAnsi="Arial" w:cs="Arial"/>
                <w:b/>
                <w:bCs/>
                <w:sz w:val="22"/>
                <w:szCs w:val="22"/>
                <w:lang w:val="en-GB" w:eastAsia="en-US"/>
              </w:rPr>
            </w:pPr>
            <w:r w:rsidRPr="00243446">
              <w:rPr>
                <w:rFonts w:ascii="Arial" w:eastAsia="Times New Roman" w:hAnsi="Arial" w:cs="Arial"/>
                <w:b/>
                <w:bCs/>
                <w:sz w:val="22"/>
                <w:szCs w:val="22"/>
                <w:lang w:val="en-GB" w:eastAsia="en-US"/>
              </w:rPr>
              <w:t>Indikator uspjeha</w:t>
            </w:r>
          </w:p>
        </w:tc>
        <w:tc>
          <w:tcPr>
            <w:tcW w:w="1626" w:type="dxa"/>
          </w:tcPr>
          <w:p w:rsidR="00934CDE" w:rsidRPr="00243446" w:rsidRDefault="00934CDE" w:rsidP="00934CDE">
            <w:pPr>
              <w:spacing w:before="100" w:beforeAutospacing="1" w:after="100" w:afterAutospacing="1" w:line="240" w:lineRule="auto"/>
              <w:rPr>
                <w:rFonts w:ascii="Arial" w:eastAsia="Times New Roman" w:hAnsi="Arial" w:cs="Arial"/>
                <w:b/>
                <w:bCs/>
                <w:sz w:val="22"/>
                <w:szCs w:val="22"/>
                <w:lang w:val="en-GB" w:eastAsia="en-US"/>
              </w:rPr>
            </w:pPr>
            <w:r w:rsidRPr="00243446">
              <w:rPr>
                <w:rFonts w:ascii="Arial" w:eastAsia="Times New Roman" w:hAnsi="Arial" w:cs="Arial"/>
                <w:b/>
                <w:bCs/>
                <w:sz w:val="22"/>
                <w:szCs w:val="22"/>
                <w:lang w:eastAsia="en-US"/>
              </w:rPr>
              <w:t>Početna vrijednost u 2024</w:t>
            </w:r>
          </w:p>
        </w:tc>
        <w:tc>
          <w:tcPr>
            <w:tcW w:w="1803" w:type="dxa"/>
          </w:tcPr>
          <w:p w:rsidR="00934CDE" w:rsidRPr="00243446" w:rsidRDefault="00934CDE" w:rsidP="00934CDE">
            <w:pPr>
              <w:spacing w:before="100" w:beforeAutospacing="1" w:after="100" w:afterAutospacing="1" w:line="240" w:lineRule="auto"/>
              <w:rPr>
                <w:rFonts w:ascii="Arial" w:eastAsia="Times New Roman" w:hAnsi="Arial" w:cs="Arial"/>
                <w:b/>
                <w:bCs/>
                <w:sz w:val="22"/>
                <w:szCs w:val="22"/>
                <w:lang w:val="en-GB" w:eastAsia="en-US"/>
              </w:rPr>
            </w:pPr>
            <w:r w:rsidRPr="00243446">
              <w:rPr>
                <w:rFonts w:ascii="Arial" w:eastAsia="Times New Roman" w:hAnsi="Arial" w:cs="Arial"/>
                <w:b/>
                <w:bCs/>
                <w:sz w:val="22"/>
                <w:szCs w:val="22"/>
                <w:lang w:eastAsia="en-US"/>
              </w:rPr>
              <w:t>Početna vrijednost u 2026</w:t>
            </w:r>
          </w:p>
        </w:tc>
        <w:tc>
          <w:tcPr>
            <w:tcW w:w="1803" w:type="dxa"/>
          </w:tcPr>
          <w:p w:rsidR="00934CDE" w:rsidRPr="00243446" w:rsidRDefault="00934CDE" w:rsidP="00934CDE">
            <w:pPr>
              <w:spacing w:before="100" w:beforeAutospacing="1" w:after="100" w:afterAutospacing="1" w:line="240" w:lineRule="auto"/>
              <w:rPr>
                <w:rFonts w:ascii="Arial" w:eastAsia="Times New Roman" w:hAnsi="Arial" w:cs="Arial"/>
                <w:b/>
                <w:bCs/>
                <w:sz w:val="22"/>
                <w:szCs w:val="22"/>
                <w:lang w:val="en-GB" w:eastAsia="en-US"/>
              </w:rPr>
            </w:pPr>
            <w:r w:rsidRPr="00243446">
              <w:rPr>
                <w:rFonts w:ascii="Arial" w:eastAsia="Times New Roman" w:hAnsi="Arial" w:cs="Arial"/>
                <w:b/>
                <w:bCs/>
                <w:sz w:val="22"/>
                <w:szCs w:val="22"/>
                <w:lang w:eastAsia="en-US"/>
              </w:rPr>
              <w:t>Početna vrijednost u 2028</w:t>
            </w:r>
          </w:p>
        </w:tc>
      </w:tr>
      <w:tr w:rsidR="00934CDE" w:rsidRPr="00243446" w:rsidTr="00934CDE">
        <w:tc>
          <w:tcPr>
            <w:tcW w:w="3964" w:type="dxa"/>
          </w:tcPr>
          <w:p w:rsidR="00934CDE" w:rsidRPr="00243446" w:rsidRDefault="00934CDE" w:rsidP="00934CDE">
            <w:pPr>
              <w:spacing w:before="100" w:beforeAutospacing="1" w:after="100" w:afterAutospacing="1" w:line="240" w:lineRule="auto"/>
              <w:rPr>
                <w:rFonts w:ascii="Arial" w:eastAsia="Times New Roman" w:hAnsi="Arial" w:cs="Arial"/>
                <w:b/>
                <w:bCs/>
                <w:sz w:val="22"/>
                <w:szCs w:val="22"/>
                <w:lang w:val="en-GB" w:eastAsia="en-US"/>
              </w:rPr>
            </w:pPr>
            <w:r w:rsidRPr="00243446">
              <w:rPr>
                <w:rFonts w:ascii="Arial" w:eastAsia="Times New Roman" w:hAnsi="Arial" w:cs="Arial"/>
                <w:b/>
                <w:bCs/>
                <w:sz w:val="22"/>
                <w:szCs w:val="22"/>
                <w:lang w:eastAsia="en-US"/>
              </w:rPr>
              <w:t>Indeks zadovoljstva saradnjom između institucija uključenih u zaštitu finansijskih interesa EU</w:t>
            </w:r>
          </w:p>
        </w:tc>
        <w:tc>
          <w:tcPr>
            <w:tcW w:w="1626" w:type="dxa"/>
            <w:vAlign w:val="center"/>
          </w:tcPr>
          <w:p w:rsidR="00934CDE" w:rsidRPr="00243446" w:rsidRDefault="00934CDE" w:rsidP="00934CDE">
            <w:pPr>
              <w:spacing w:before="100" w:beforeAutospacing="1" w:after="100" w:afterAutospacing="1" w:line="240" w:lineRule="auto"/>
              <w:rPr>
                <w:rFonts w:ascii="Arial" w:eastAsia="Times New Roman" w:hAnsi="Arial" w:cs="Arial"/>
                <w:b/>
                <w:bCs/>
                <w:sz w:val="22"/>
                <w:szCs w:val="22"/>
                <w:lang w:val="en-GB" w:eastAsia="en-US"/>
              </w:rPr>
            </w:pPr>
            <w:r w:rsidRPr="00243446">
              <w:rPr>
                <w:rFonts w:ascii="Arial" w:eastAsia="Times New Roman" w:hAnsi="Arial" w:cs="Arial"/>
                <w:b/>
                <w:bCs/>
                <w:sz w:val="22"/>
                <w:szCs w:val="22"/>
                <w:lang w:val="en-GB" w:eastAsia="en-US"/>
              </w:rPr>
              <w:t>-</w:t>
            </w:r>
          </w:p>
        </w:tc>
        <w:tc>
          <w:tcPr>
            <w:tcW w:w="1803" w:type="dxa"/>
            <w:vAlign w:val="center"/>
          </w:tcPr>
          <w:p w:rsidR="00934CDE" w:rsidRPr="00243446" w:rsidRDefault="00934CDE" w:rsidP="00934CDE">
            <w:pPr>
              <w:spacing w:before="100" w:beforeAutospacing="1" w:after="100" w:afterAutospacing="1" w:line="240" w:lineRule="auto"/>
              <w:rPr>
                <w:rFonts w:ascii="Arial" w:eastAsia="Times New Roman" w:hAnsi="Arial" w:cs="Arial"/>
                <w:b/>
                <w:bCs/>
                <w:sz w:val="22"/>
                <w:szCs w:val="22"/>
                <w:lang w:val="en-GB" w:eastAsia="en-US"/>
              </w:rPr>
            </w:pPr>
            <w:r w:rsidRPr="00243446">
              <w:rPr>
                <w:rFonts w:ascii="Arial" w:eastAsia="Times New Roman" w:hAnsi="Arial" w:cs="Arial"/>
                <w:b/>
                <w:bCs/>
                <w:sz w:val="22"/>
                <w:szCs w:val="22"/>
                <w:lang w:eastAsia="en-US"/>
              </w:rPr>
              <w:t>Najmanje 7,5 poena na skali od 10 poena</w:t>
            </w:r>
          </w:p>
        </w:tc>
        <w:tc>
          <w:tcPr>
            <w:tcW w:w="1803" w:type="dxa"/>
            <w:vAlign w:val="center"/>
          </w:tcPr>
          <w:p w:rsidR="00934CDE" w:rsidRPr="00243446" w:rsidRDefault="00934CDE" w:rsidP="00934CDE">
            <w:pPr>
              <w:spacing w:before="100" w:beforeAutospacing="1" w:after="100" w:afterAutospacing="1" w:line="240" w:lineRule="auto"/>
              <w:rPr>
                <w:rFonts w:ascii="Arial" w:eastAsia="Times New Roman" w:hAnsi="Arial" w:cs="Arial"/>
                <w:b/>
                <w:bCs/>
                <w:sz w:val="22"/>
                <w:szCs w:val="22"/>
                <w:lang w:val="en-GB" w:eastAsia="en-US"/>
              </w:rPr>
            </w:pPr>
            <w:r w:rsidRPr="00243446">
              <w:rPr>
                <w:rFonts w:ascii="Arial" w:eastAsia="Times New Roman" w:hAnsi="Arial" w:cs="Arial"/>
                <w:b/>
                <w:bCs/>
                <w:sz w:val="22"/>
                <w:szCs w:val="22"/>
                <w:lang w:eastAsia="en-US"/>
              </w:rPr>
              <w:t>Najmanje 7,5 poena na skali od 10 poena</w:t>
            </w:r>
          </w:p>
        </w:tc>
      </w:tr>
      <w:tr w:rsidR="00934CDE" w:rsidRPr="00243446" w:rsidTr="00934CDE">
        <w:tc>
          <w:tcPr>
            <w:tcW w:w="3964" w:type="dxa"/>
          </w:tcPr>
          <w:p w:rsidR="00934CDE" w:rsidRPr="00243446" w:rsidRDefault="00934CDE" w:rsidP="00934CDE">
            <w:pPr>
              <w:spacing w:before="100" w:beforeAutospacing="1" w:after="100" w:afterAutospacing="1" w:line="240" w:lineRule="auto"/>
              <w:rPr>
                <w:rFonts w:ascii="Arial" w:eastAsia="Times New Roman" w:hAnsi="Arial" w:cs="Arial"/>
                <w:b/>
                <w:bCs/>
                <w:sz w:val="22"/>
                <w:szCs w:val="22"/>
                <w:lang w:eastAsia="en-US"/>
              </w:rPr>
            </w:pPr>
            <w:r w:rsidRPr="00243446">
              <w:rPr>
                <w:rFonts w:ascii="Arial" w:eastAsia="Times New Roman" w:hAnsi="Arial" w:cs="Arial"/>
                <w:b/>
                <w:bCs/>
                <w:sz w:val="22"/>
                <w:szCs w:val="22"/>
                <w:lang w:eastAsia="en-US"/>
              </w:rPr>
              <w:t>Stopa prisustva sastancima Radnog tijela za sprovođenje aktivnosti za zaštitu finansijskih interesa EU u Crnoj Gori</w:t>
            </w:r>
          </w:p>
        </w:tc>
        <w:tc>
          <w:tcPr>
            <w:tcW w:w="1626" w:type="dxa"/>
            <w:vAlign w:val="center"/>
          </w:tcPr>
          <w:p w:rsidR="00934CDE" w:rsidRPr="00243446" w:rsidRDefault="00934CDE" w:rsidP="00934CDE">
            <w:pPr>
              <w:spacing w:before="100" w:beforeAutospacing="1" w:after="100" w:afterAutospacing="1" w:line="240" w:lineRule="auto"/>
              <w:rPr>
                <w:rFonts w:ascii="Arial" w:eastAsia="Times New Roman" w:hAnsi="Arial" w:cs="Arial"/>
                <w:b/>
                <w:bCs/>
                <w:sz w:val="22"/>
                <w:szCs w:val="22"/>
                <w:lang w:val="en-GB" w:eastAsia="en-US"/>
              </w:rPr>
            </w:pPr>
            <w:r w:rsidRPr="00243446">
              <w:rPr>
                <w:rFonts w:ascii="Arial" w:eastAsia="Times New Roman" w:hAnsi="Arial" w:cs="Arial"/>
                <w:b/>
                <w:bCs/>
                <w:sz w:val="22"/>
                <w:szCs w:val="22"/>
                <w:lang w:val="en-GB" w:eastAsia="en-US"/>
              </w:rPr>
              <w:t>30%</w:t>
            </w:r>
          </w:p>
        </w:tc>
        <w:tc>
          <w:tcPr>
            <w:tcW w:w="1803" w:type="dxa"/>
            <w:vAlign w:val="center"/>
          </w:tcPr>
          <w:p w:rsidR="00934CDE" w:rsidRPr="00243446" w:rsidRDefault="00934CDE" w:rsidP="00934CDE">
            <w:pPr>
              <w:spacing w:before="100" w:beforeAutospacing="1" w:after="100" w:afterAutospacing="1" w:line="240" w:lineRule="auto"/>
              <w:rPr>
                <w:rFonts w:ascii="Arial" w:eastAsia="Times New Roman" w:hAnsi="Arial" w:cs="Arial"/>
                <w:b/>
                <w:bCs/>
                <w:sz w:val="22"/>
                <w:szCs w:val="22"/>
                <w:lang w:val="en-GB" w:eastAsia="en-US"/>
              </w:rPr>
            </w:pPr>
            <w:r w:rsidRPr="00243446">
              <w:rPr>
                <w:rFonts w:ascii="Arial" w:eastAsia="Times New Roman" w:hAnsi="Arial" w:cs="Arial"/>
                <w:b/>
                <w:bCs/>
                <w:sz w:val="22"/>
                <w:szCs w:val="22"/>
                <w:lang w:val="en-GB" w:eastAsia="en-US"/>
              </w:rPr>
              <w:t>70%</w:t>
            </w:r>
          </w:p>
        </w:tc>
        <w:tc>
          <w:tcPr>
            <w:tcW w:w="1803" w:type="dxa"/>
            <w:vAlign w:val="center"/>
          </w:tcPr>
          <w:p w:rsidR="00934CDE" w:rsidRPr="00243446" w:rsidRDefault="00934CDE" w:rsidP="00934CDE">
            <w:pPr>
              <w:spacing w:before="100" w:beforeAutospacing="1" w:after="100" w:afterAutospacing="1" w:line="240" w:lineRule="auto"/>
              <w:rPr>
                <w:rFonts w:ascii="Arial" w:eastAsia="Times New Roman" w:hAnsi="Arial" w:cs="Arial"/>
                <w:b/>
                <w:bCs/>
                <w:sz w:val="22"/>
                <w:szCs w:val="22"/>
                <w:lang w:val="en-GB" w:eastAsia="en-US"/>
              </w:rPr>
            </w:pPr>
            <w:r w:rsidRPr="00243446">
              <w:rPr>
                <w:rFonts w:ascii="Arial" w:eastAsia="Times New Roman" w:hAnsi="Arial" w:cs="Arial"/>
                <w:b/>
                <w:bCs/>
                <w:sz w:val="22"/>
                <w:szCs w:val="22"/>
                <w:lang w:val="en-GB" w:eastAsia="en-US"/>
              </w:rPr>
              <w:t>90%</w:t>
            </w:r>
          </w:p>
        </w:tc>
      </w:tr>
      <w:tr w:rsidR="00934CDE" w:rsidRPr="00243446" w:rsidTr="00934CDE">
        <w:tc>
          <w:tcPr>
            <w:tcW w:w="3964" w:type="dxa"/>
          </w:tcPr>
          <w:p w:rsidR="00934CDE" w:rsidRPr="00243446" w:rsidRDefault="00934CDE" w:rsidP="00934CDE">
            <w:pPr>
              <w:spacing w:before="100" w:beforeAutospacing="1" w:after="100" w:afterAutospacing="1" w:line="240" w:lineRule="auto"/>
              <w:rPr>
                <w:rFonts w:ascii="Arial" w:eastAsia="Times New Roman" w:hAnsi="Arial" w:cs="Arial"/>
                <w:b/>
                <w:bCs/>
                <w:sz w:val="22"/>
                <w:szCs w:val="22"/>
                <w:lang w:eastAsia="en-US"/>
              </w:rPr>
            </w:pPr>
            <w:r w:rsidRPr="00243446">
              <w:rPr>
                <w:rFonts w:ascii="Arial" w:eastAsia="Times New Roman" w:hAnsi="Arial" w:cs="Arial"/>
                <w:b/>
                <w:bCs/>
                <w:sz w:val="22"/>
                <w:szCs w:val="22"/>
                <w:lang w:val="sr-Latn-ME" w:eastAsia="en-US"/>
              </w:rPr>
              <w:t>Broj sastanaka koje inicira struktura za izvještavanje o nepravilnostima i institucije AFCOS mreže.</w:t>
            </w:r>
          </w:p>
        </w:tc>
        <w:tc>
          <w:tcPr>
            <w:tcW w:w="1626" w:type="dxa"/>
            <w:vAlign w:val="center"/>
          </w:tcPr>
          <w:p w:rsidR="00934CDE" w:rsidRPr="00243446" w:rsidRDefault="00934CDE" w:rsidP="00934CDE">
            <w:pPr>
              <w:spacing w:before="100" w:beforeAutospacing="1" w:after="100" w:afterAutospacing="1" w:line="240" w:lineRule="auto"/>
              <w:rPr>
                <w:rFonts w:ascii="Arial" w:eastAsia="Times New Roman" w:hAnsi="Arial" w:cs="Arial"/>
                <w:b/>
                <w:bCs/>
                <w:sz w:val="22"/>
                <w:szCs w:val="22"/>
                <w:lang w:val="en-GB" w:eastAsia="en-US"/>
              </w:rPr>
            </w:pPr>
            <w:r w:rsidRPr="00243446">
              <w:rPr>
                <w:rFonts w:ascii="Arial" w:eastAsia="Times New Roman" w:hAnsi="Arial" w:cs="Arial"/>
                <w:b/>
                <w:bCs/>
                <w:sz w:val="22"/>
                <w:szCs w:val="22"/>
                <w:lang w:val="en-GB" w:eastAsia="en-US"/>
              </w:rPr>
              <w:t>0</w:t>
            </w:r>
          </w:p>
        </w:tc>
        <w:tc>
          <w:tcPr>
            <w:tcW w:w="1803" w:type="dxa"/>
            <w:vAlign w:val="center"/>
          </w:tcPr>
          <w:p w:rsidR="00934CDE" w:rsidRPr="00243446" w:rsidRDefault="00934CDE" w:rsidP="00934CDE">
            <w:pPr>
              <w:spacing w:before="100" w:beforeAutospacing="1" w:after="100" w:afterAutospacing="1" w:line="240" w:lineRule="auto"/>
              <w:rPr>
                <w:rFonts w:ascii="Arial" w:eastAsia="Times New Roman" w:hAnsi="Arial" w:cs="Arial"/>
                <w:b/>
                <w:bCs/>
                <w:sz w:val="22"/>
                <w:szCs w:val="22"/>
                <w:lang w:val="en-GB" w:eastAsia="en-US"/>
              </w:rPr>
            </w:pPr>
            <w:r w:rsidRPr="00243446">
              <w:rPr>
                <w:rFonts w:ascii="Arial" w:eastAsia="Times New Roman" w:hAnsi="Arial" w:cs="Arial"/>
                <w:b/>
                <w:bCs/>
                <w:sz w:val="22"/>
                <w:szCs w:val="22"/>
                <w:lang w:val="en-GB" w:eastAsia="en-US"/>
              </w:rPr>
              <w:t>3</w:t>
            </w:r>
          </w:p>
        </w:tc>
        <w:tc>
          <w:tcPr>
            <w:tcW w:w="1803" w:type="dxa"/>
            <w:vAlign w:val="center"/>
          </w:tcPr>
          <w:p w:rsidR="00934CDE" w:rsidRPr="00243446" w:rsidRDefault="00934CDE" w:rsidP="00934CDE">
            <w:pPr>
              <w:spacing w:before="100" w:beforeAutospacing="1" w:after="100" w:afterAutospacing="1" w:line="240" w:lineRule="auto"/>
              <w:rPr>
                <w:rFonts w:ascii="Arial" w:eastAsia="Times New Roman" w:hAnsi="Arial" w:cs="Arial"/>
                <w:b/>
                <w:bCs/>
                <w:sz w:val="22"/>
                <w:szCs w:val="22"/>
                <w:lang w:val="en-GB" w:eastAsia="en-US"/>
              </w:rPr>
            </w:pPr>
            <w:r w:rsidRPr="00243446">
              <w:rPr>
                <w:rFonts w:ascii="Arial" w:eastAsia="Times New Roman" w:hAnsi="Arial" w:cs="Arial"/>
                <w:b/>
                <w:bCs/>
                <w:sz w:val="22"/>
                <w:szCs w:val="22"/>
                <w:lang w:val="en-GB" w:eastAsia="en-US"/>
              </w:rPr>
              <w:t>6</w:t>
            </w:r>
          </w:p>
        </w:tc>
      </w:tr>
    </w:tbl>
    <w:p w:rsidR="00934CDE" w:rsidRPr="00243446" w:rsidRDefault="00934CDE" w:rsidP="00934CDE">
      <w:pPr>
        <w:spacing w:before="100" w:beforeAutospacing="1" w:after="100" w:afterAutospacing="1" w:line="240" w:lineRule="auto"/>
        <w:rPr>
          <w:rFonts w:ascii="Arial" w:eastAsia="Times New Roman" w:hAnsi="Arial" w:cs="Arial"/>
        </w:rPr>
      </w:pPr>
      <w:r w:rsidRPr="00243446">
        <w:rPr>
          <w:rFonts w:ascii="Arial" w:eastAsia="Times New Roman" w:hAnsi="Arial" w:cs="Arial"/>
        </w:rPr>
        <w:t>Definisani cilj biće realizovan kroz sledeće mjere:</w:t>
      </w:r>
    </w:p>
    <w:p w:rsidR="00934CDE" w:rsidRPr="00243446" w:rsidRDefault="00934CDE" w:rsidP="00725810">
      <w:pPr>
        <w:spacing w:before="100" w:beforeAutospacing="1" w:after="100" w:afterAutospacing="1" w:line="240" w:lineRule="auto"/>
        <w:jc w:val="both"/>
        <w:rPr>
          <w:rFonts w:ascii="Arial" w:eastAsia="Times New Roman" w:hAnsi="Arial" w:cs="Arial"/>
          <w:b/>
          <w:bCs/>
        </w:rPr>
      </w:pPr>
      <w:r w:rsidRPr="00243446">
        <w:rPr>
          <w:rFonts w:ascii="Arial" w:eastAsia="Times New Roman" w:hAnsi="Arial" w:cs="Arial"/>
          <w:b/>
          <w:bCs/>
        </w:rPr>
        <w:t>Mjera 2.1: Redovni sastanci AFCOS Radnog tijela za razmjenu informacija među institucijama uključenim u zaštitu finansijskih interesa EU</w:t>
      </w:r>
    </w:p>
    <w:p w:rsidR="00934CDE" w:rsidRPr="00243446" w:rsidRDefault="00934CDE" w:rsidP="00725810">
      <w:pPr>
        <w:spacing w:before="100" w:beforeAutospacing="1" w:after="100" w:afterAutospacing="1" w:line="240" w:lineRule="auto"/>
        <w:jc w:val="both"/>
        <w:rPr>
          <w:rFonts w:ascii="Arial" w:eastAsia="Times New Roman" w:hAnsi="Arial" w:cs="Arial"/>
        </w:rPr>
      </w:pPr>
      <w:r w:rsidRPr="00243446">
        <w:rPr>
          <w:rFonts w:ascii="Arial" w:eastAsia="Times New Roman" w:hAnsi="Arial" w:cs="Arial"/>
        </w:rPr>
        <w:br/>
      </w:r>
      <w:r w:rsidRPr="00243446">
        <w:rPr>
          <w:rFonts w:ascii="Arial" w:eastAsia="Times New Roman" w:hAnsi="Arial" w:cs="Arial"/>
          <w:b/>
          <w:bCs/>
        </w:rPr>
        <w:t>Opis mjere:</w:t>
      </w:r>
      <w:r w:rsidRPr="00243446">
        <w:rPr>
          <w:rFonts w:ascii="Arial" w:eastAsia="Times New Roman" w:hAnsi="Arial" w:cs="Arial"/>
        </w:rPr>
        <w:t xml:space="preserve"> Jedan od ključnih elemenata za efikasnu zaštitu finansijskih interesa EU jeste dobra koordinacija, komunikacija, saradnja i razmjena informacija. Kao što je definisano u poglavlju 1.6 Strategije, AFCOS kancelarija treba da obezbijedi efikasnu saradnju svih učesnika u zaštiti finansijskih interesa EU. Najefikasniji način za unapr</w:t>
      </w:r>
      <w:r w:rsidR="00DF57A5" w:rsidRPr="00243446">
        <w:rPr>
          <w:rFonts w:ascii="Arial" w:eastAsia="Times New Roman" w:hAnsi="Arial" w:cs="Arial"/>
        </w:rPr>
        <w:t>ij</w:t>
      </w:r>
      <w:r w:rsidRPr="00243446">
        <w:rPr>
          <w:rFonts w:ascii="Arial" w:eastAsia="Times New Roman" w:hAnsi="Arial" w:cs="Arial"/>
        </w:rPr>
        <w:t>eđenje saradnje među institucijama uključenim u zaštitu finansijskih interesa EU jeste redovno organizovanje sastanaka Radnog tijela za sprovođenje aktivnosti za zaštitu finansijskih interesa EU u Crnoj Gori. Takvi sastanci bi obezbijedili:</w:t>
      </w:r>
    </w:p>
    <w:p w:rsidR="00934CDE" w:rsidRPr="00243446" w:rsidRDefault="00934CDE" w:rsidP="00725810">
      <w:pPr>
        <w:numPr>
          <w:ilvl w:val="0"/>
          <w:numId w:val="45"/>
        </w:numPr>
        <w:spacing w:before="100" w:beforeAutospacing="1" w:after="100" w:afterAutospacing="1" w:line="240" w:lineRule="auto"/>
        <w:jc w:val="both"/>
        <w:rPr>
          <w:rFonts w:ascii="Arial" w:eastAsia="Times New Roman" w:hAnsi="Arial" w:cs="Arial"/>
        </w:rPr>
      </w:pPr>
      <w:r w:rsidRPr="00243446">
        <w:rPr>
          <w:rFonts w:ascii="Arial" w:eastAsia="Times New Roman" w:hAnsi="Arial" w:cs="Arial"/>
        </w:rPr>
        <w:t>redovan i pravovremen protok relevantnih informacija u oblasti upravljanja nepravilnostima i sumnjama na prevare;</w:t>
      </w:r>
    </w:p>
    <w:p w:rsidR="00934CDE" w:rsidRPr="00243446" w:rsidRDefault="00934CDE" w:rsidP="00725810">
      <w:pPr>
        <w:numPr>
          <w:ilvl w:val="0"/>
          <w:numId w:val="45"/>
        </w:numPr>
        <w:spacing w:before="100" w:beforeAutospacing="1" w:after="100" w:afterAutospacing="1" w:line="240" w:lineRule="auto"/>
        <w:jc w:val="both"/>
        <w:rPr>
          <w:rFonts w:ascii="Arial" w:eastAsia="Times New Roman" w:hAnsi="Arial" w:cs="Arial"/>
        </w:rPr>
      </w:pPr>
      <w:r w:rsidRPr="00243446">
        <w:rPr>
          <w:rFonts w:ascii="Arial" w:eastAsia="Times New Roman" w:hAnsi="Arial" w:cs="Arial"/>
        </w:rPr>
        <w:t>razmjenu stručnosti i najboljih praksi;</w:t>
      </w:r>
    </w:p>
    <w:p w:rsidR="009363D1" w:rsidRPr="00243446" w:rsidRDefault="00934CDE" w:rsidP="009363D1">
      <w:pPr>
        <w:numPr>
          <w:ilvl w:val="0"/>
          <w:numId w:val="45"/>
        </w:numPr>
        <w:spacing w:before="100" w:beforeAutospacing="1" w:after="100" w:afterAutospacing="1" w:line="240" w:lineRule="auto"/>
        <w:jc w:val="both"/>
        <w:rPr>
          <w:rFonts w:ascii="Arial" w:eastAsia="Times New Roman" w:hAnsi="Arial" w:cs="Arial"/>
        </w:rPr>
      </w:pPr>
      <w:r w:rsidRPr="00243446">
        <w:rPr>
          <w:rFonts w:ascii="Arial" w:eastAsia="Times New Roman" w:hAnsi="Arial" w:cs="Arial"/>
        </w:rPr>
        <w:t>usklađivanje internih procedura i preventivnih mjera uspostavljenih u svakoj instituciji;</w:t>
      </w:r>
    </w:p>
    <w:p w:rsidR="009363D1" w:rsidRPr="00243446" w:rsidRDefault="00934CDE" w:rsidP="009363D1">
      <w:pPr>
        <w:numPr>
          <w:ilvl w:val="0"/>
          <w:numId w:val="45"/>
        </w:numPr>
        <w:spacing w:before="100" w:beforeAutospacing="1" w:after="100" w:afterAutospacing="1" w:line="240" w:lineRule="auto"/>
        <w:jc w:val="both"/>
        <w:rPr>
          <w:rFonts w:ascii="Arial" w:eastAsia="Times New Roman" w:hAnsi="Arial" w:cs="Arial"/>
        </w:rPr>
      </w:pPr>
      <w:r w:rsidRPr="00243446">
        <w:rPr>
          <w:rFonts w:ascii="Arial" w:eastAsia="Times New Roman" w:hAnsi="Arial" w:cs="Arial"/>
        </w:rPr>
        <w:t>razmjenu informacija o planiranim obukama, itd.</w:t>
      </w:r>
    </w:p>
    <w:p w:rsidR="009363D1" w:rsidRPr="00243446" w:rsidRDefault="00934CDE" w:rsidP="00DF57A5">
      <w:pPr>
        <w:spacing w:before="100" w:beforeAutospacing="1" w:after="100" w:afterAutospacing="1" w:line="240" w:lineRule="auto"/>
        <w:jc w:val="both"/>
        <w:rPr>
          <w:rFonts w:ascii="Arial" w:eastAsia="Times New Roman" w:hAnsi="Arial" w:cs="Arial"/>
        </w:rPr>
      </w:pPr>
      <w:r w:rsidRPr="00243446">
        <w:rPr>
          <w:rFonts w:ascii="Arial" w:eastAsia="Times New Roman" w:hAnsi="Arial" w:cs="Arial"/>
        </w:rPr>
        <w:t>Stoga je od suštinskog značaja obezbijediti kvartalne sastanke AFCOS Radnog tijela tokom cijelog perioda implementacije ove Strategije.</w:t>
      </w:r>
    </w:p>
    <w:p w:rsidR="00934CDE" w:rsidRPr="00243446" w:rsidRDefault="00934CDE" w:rsidP="009363D1">
      <w:pPr>
        <w:spacing w:before="100" w:beforeAutospacing="1" w:after="100" w:afterAutospacing="1" w:line="240" w:lineRule="auto"/>
        <w:jc w:val="both"/>
        <w:rPr>
          <w:rFonts w:ascii="Arial" w:eastAsia="Times New Roman" w:hAnsi="Arial" w:cs="Arial"/>
        </w:rPr>
      </w:pPr>
      <w:r w:rsidRPr="00243446">
        <w:rPr>
          <w:rFonts w:ascii="Arial" w:eastAsia="Times New Roman" w:hAnsi="Arial" w:cs="Arial"/>
          <w:b/>
          <w:bCs/>
        </w:rPr>
        <w:t>Mjera 2.2: Organizovanje godišnjeg događaja za razmjenu iskustava</w:t>
      </w:r>
    </w:p>
    <w:p w:rsidR="00934CDE" w:rsidRPr="00243446" w:rsidRDefault="00934CDE" w:rsidP="009363D1">
      <w:pPr>
        <w:spacing w:before="100" w:beforeAutospacing="1" w:after="100" w:afterAutospacing="1" w:line="240" w:lineRule="auto"/>
        <w:jc w:val="both"/>
        <w:rPr>
          <w:rFonts w:ascii="Arial" w:eastAsia="Times New Roman" w:hAnsi="Arial" w:cs="Arial"/>
        </w:rPr>
      </w:pPr>
      <w:r w:rsidRPr="00243446">
        <w:rPr>
          <w:rFonts w:ascii="Arial" w:eastAsia="Times New Roman" w:hAnsi="Arial" w:cs="Arial"/>
          <w:b/>
          <w:bCs/>
        </w:rPr>
        <w:t xml:space="preserve"> </w:t>
      </w:r>
      <w:r w:rsidRPr="00243446">
        <w:rPr>
          <w:rFonts w:ascii="Arial" w:eastAsia="Times New Roman" w:hAnsi="Arial" w:cs="Arial"/>
        </w:rPr>
        <w:t xml:space="preserve"> </w:t>
      </w:r>
      <w:r w:rsidRPr="00243446">
        <w:rPr>
          <w:rFonts w:ascii="Arial" w:eastAsia="Times New Roman" w:hAnsi="Arial" w:cs="Arial"/>
        </w:rPr>
        <w:br/>
      </w:r>
      <w:r w:rsidRPr="00243446">
        <w:rPr>
          <w:rFonts w:ascii="Arial" w:eastAsia="Times New Roman" w:hAnsi="Arial" w:cs="Arial"/>
          <w:b/>
          <w:bCs/>
        </w:rPr>
        <w:t>Opis mjere:</w:t>
      </w:r>
      <w:r w:rsidRPr="00243446">
        <w:rPr>
          <w:rFonts w:ascii="Arial" w:eastAsia="Times New Roman" w:hAnsi="Arial" w:cs="Arial"/>
        </w:rPr>
        <w:t xml:space="preserve"> Kako bi se obezbijedila bolja saradnja između </w:t>
      </w:r>
      <w:r w:rsidRPr="00243446">
        <w:rPr>
          <w:rFonts w:ascii="Arial" w:eastAsia="Times New Roman" w:hAnsi="Arial" w:cs="Arial"/>
          <w:lang w:val="sr-Latn-BA"/>
        </w:rPr>
        <w:t xml:space="preserve">tijela sistema za upravljanje i kontrolu EU fondova (struktura za izvještavanje o nepravilnostima), </w:t>
      </w:r>
      <w:r w:rsidR="00DF57A5" w:rsidRPr="00243446">
        <w:rPr>
          <w:rFonts w:ascii="Arial" w:eastAsia="Times New Roman" w:hAnsi="Arial" w:cs="Arial"/>
          <w:bCs/>
          <w:lang w:val="sr-Latn-BA"/>
        </w:rPr>
        <w:t>i</w:t>
      </w:r>
      <w:r w:rsidRPr="00243446">
        <w:rPr>
          <w:rFonts w:ascii="Arial" w:eastAsia="Times New Roman" w:hAnsi="Arial" w:cs="Arial"/>
          <w:bCs/>
          <w:lang w:val="sr-Latn-BA"/>
        </w:rPr>
        <w:t>nstitucija sistema zadužen</w:t>
      </w:r>
      <w:r w:rsidR="00DF57A5" w:rsidRPr="00243446">
        <w:rPr>
          <w:rFonts w:ascii="Arial" w:eastAsia="Times New Roman" w:hAnsi="Arial" w:cs="Arial"/>
          <w:bCs/>
          <w:lang w:val="sr-Latn-BA"/>
        </w:rPr>
        <w:t>ih</w:t>
      </w:r>
      <w:r w:rsidRPr="00243446">
        <w:rPr>
          <w:rFonts w:ascii="Arial" w:eastAsia="Times New Roman" w:hAnsi="Arial" w:cs="Arial"/>
          <w:bCs/>
          <w:lang w:val="sr-Latn-BA"/>
        </w:rPr>
        <w:t xml:space="preserve"> za borbu protiv prevara, korupcije i drugih oblika nezakonitih aktivnosti </w:t>
      </w:r>
      <w:r w:rsidRPr="00243446">
        <w:rPr>
          <w:rFonts w:ascii="Arial" w:eastAsia="Times New Roman" w:hAnsi="Arial" w:cs="Arial"/>
          <w:lang w:val="sr-Latn-BA"/>
        </w:rPr>
        <w:t>(AFCOS mreža) i Direkcije za zaštitu finansijskih interesa EU/AFCOS,</w:t>
      </w:r>
      <w:r w:rsidR="00FC69F0" w:rsidRPr="00243446">
        <w:rPr>
          <w:rFonts w:ascii="Arial" w:eastAsia="Times New Roman" w:hAnsi="Arial" w:cs="Arial"/>
          <w:lang w:val="sr-Latn-BA"/>
        </w:rPr>
        <w:t xml:space="preserve"> </w:t>
      </w:r>
      <w:r w:rsidRPr="00243446">
        <w:rPr>
          <w:rFonts w:ascii="Arial" w:eastAsia="Times New Roman" w:hAnsi="Arial" w:cs="Arial"/>
        </w:rPr>
        <w:t>potrebno je organizovati godišnji događaj za razmjenu iskustava. To mogu biti obuke, seminari ili studijske posjete državama članicama.</w:t>
      </w:r>
    </w:p>
    <w:p w:rsidR="00934CDE" w:rsidRPr="00243446" w:rsidRDefault="00934CDE" w:rsidP="00934CDE">
      <w:pPr>
        <w:spacing w:before="100" w:beforeAutospacing="1" w:after="100" w:afterAutospacing="1" w:line="240" w:lineRule="auto"/>
        <w:rPr>
          <w:rFonts w:ascii="Arial" w:eastAsia="Times New Roman" w:hAnsi="Arial" w:cs="Arial"/>
          <w:b/>
          <w:bCs/>
        </w:rPr>
      </w:pPr>
      <w:r w:rsidRPr="00243446">
        <w:rPr>
          <w:rFonts w:ascii="Arial" w:eastAsia="Times New Roman" w:hAnsi="Arial" w:cs="Arial"/>
        </w:rPr>
        <w:br/>
      </w:r>
      <w:r w:rsidRPr="00243446">
        <w:rPr>
          <w:rFonts w:ascii="Arial" w:eastAsia="Times New Roman" w:hAnsi="Arial" w:cs="Arial"/>
          <w:b/>
          <w:bCs/>
        </w:rPr>
        <w:t>Mjera 2.3: Razvoj online platforme za dokumentaciju radi efikasnije razmjene informacija</w:t>
      </w:r>
    </w:p>
    <w:p w:rsidR="00934CDE" w:rsidRPr="00243446" w:rsidRDefault="00934CDE" w:rsidP="009363D1">
      <w:pPr>
        <w:spacing w:before="100" w:beforeAutospacing="1" w:after="100" w:afterAutospacing="1" w:line="240" w:lineRule="auto"/>
        <w:jc w:val="both"/>
        <w:rPr>
          <w:rFonts w:ascii="Arial" w:eastAsia="Times New Roman" w:hAnsi="Arial" w:cs="Arial"/>
        </w:rPr>
      </w:pPr>
      <w:r w:rsidRPr="00243446">
        <w:rPr>
          <w:rFonts w:ascii="Arial" w:eastAsia="Times New Roman" w:hAnsi="Arial" w:cs="Arial"/>
        </w:rPr>
        <w:br/>
      </w:r>
      <w:r w:rsidRPr="00243446">
        <w:rPr>
          <w:rFonts w:ascii="Arial" w:eastAsia="Times New Roman" w:hAnsi="Arial" w:cs="Arial"/>
          <w:b/>
          <w:bCs/>
        </w:rPr>
        <w:t>Opis mjere:</w:t>
      </w:r>
      <w:r w:rsidRPr="00243446">
        <w:rPr>
          <w:rFonts w:ascii="Arial" w:eastAsia="Times New Roman" w:hAnsi="Arial" w:cs="Arial"/>
        </w:rPr>
        <w:t xml:space="preserve"> Obično AFCOS kancelarija mora da razmjenjuje mnogo informacija </w:t>
      </w:r>
      <w:bookmarkStart w:id="17" w:name="_Hlk197938827"/>
      <w:r w:rsidRPr="00243446">
        <w:rPr>
          <w:rFonts w:ascii="Arial" w:eastAsia="Times New Roman" w:hAnsi="Arial" w:cs="Arial"/>
        </w:rPr>
        <w:t xml:space="preserve">sa </w:t>
      </w:r>
      <w:r w:rsidRPr="00243446">
        <w:rPr>
          <w:rFonts w:ascii="Arial" w:eastAsia="Times New Roman" w:hAnsi="Arial" w:cs="Arial"/>
          <w:lang w:val="sr-Latn-BA"/>
        </w:rPr>
        <w:t>strukturom za izvještavanje o nepravilnostima i AFCOS mrežom</w:t>
      </w:r>
      <w:bookmarkEnd w:id="17"/>
      <w:r w:rsidRPr="00243446">
        <w:rPr>
          <w:rFonts w:ascii="Arial" w:eastAsia="Times New Roman" w:hAnsi="Arial" w:cs="Arial"/>
          <w:lang w:val="sr-Latn-BA"/>
        </w:rPr>
        <w:t>,</w:t>
      </w:r>
      <w:r w:rsidR="00FC69F0" w:rsidRPr="00243446">
        <w:rPr>
          <w:rFonts w:ascii="Arial" w:eastAsia="Times New Roman" w:hAnsi="Arial" w:cs="Arial"/>
          <w:lang w:val="sr-Latn-BA"/>
        </w:rPr>
        <w:t xml:space="preserve"> </w:t>
      </w:r>
      <w:r w:rsidRPr="00243446">
        <w:rPr>
          <w:rFonts w:ascii="Arial" w:eastAsia="Times New Roman" w:hAnsi="Arial" w:cs="Arial"/>
        </w:rPr>
        <w:t>npr. o OLAF smjernicama i izvještajima, procjeni rizika od prevara, itd. Kako bi ovaj proces bio efikasniji, razmjena informacija može se vršiti putem online platforme za dokumentaciju (npr. MS SharePoint).</w:t>
      </w:r>
    </w:p>
    <w:p w:rsidR="00934CDE" w:rsidRPr="00243446" w:rsidRDefault="00934CDE" w:rsidP="00934CDE">
      <w:pPr>
        <w:spacing w:before="100" w:beforeAutospacing="1" w:after="100" w:afterAutospacing="1" w:line="240" w:lineRule="auto"/>
        <w:rPr>
          <w:rFonts w:ascii="Arial" w:eastAsia="Times New Roman" w:hAnsi="Arial" w:cs="Arial"/>
          <w:b/>
          <w:bCs/>
        </w:rPr>
      </w:pPr>
      <w:r w:rsidRPr="00243446">
        <w:rPr>
          <w:rFonts w:ascii="Arial" w:eastAsia="Times New Roman" w:hAnsi="Arial" w:cs="Arial"/>
        </w:rPr>
        <w:br/>
      </w:r>
      <w:r w:rsidRPr="00243446">
        <w:rPr>
          <w:rFonts w:ascii="Arial" w:eastAsia="Times New Roman" w:hAnsi="Arial" w:cs="Arial"/>
          <w:b/>
          <w:bCs/>
        </w:rPr>
        <w:t>Mjera 2.4: Organizovanje obuka uz učešće stručnjaka iz OLAF-a i zemalja članica</w:t>
      </w:r>
    </w:p>
    <w:p w:rsidR="00934CDE" w:rsidRPr="00243446" w:rsidRDefault="00934CDE" w:rsidP="009363D1">
      <w:pPr>
        <w:spacing w:before="100" w:beforeAutospacing="1" w:after="100" w:afterAutospacing="1" w:line="240" w:lineRule="auto"/>
        <w:jc w:val="both"/>
        <w:rPr>
          <w:rFonts w:ascii="Arial" w:eastAsia="Times New Roman" w:hAnsi="Arial" w:cs="Arial"/>
          <w:lang w:val="sr-Latn-ME"/>
        </w:rPr>
      </w:pPr>
      <w:r w:rsidRPr="00243446">
        <w:rPr>
          <w:rFonts w:ascii="Arial" w:eastAsia="Times New Roman" w:hAnsi="Arial" w:cs="Arial"/>
        </w:rPr>
        <w:br/>
      </w:r>
      <w:r w:rsidRPr="00243446">
        <w:rPr>
          <w:rFonts w:ascii="Arial" w:eastAsia="Times New Roman" w:hAnsi="Arial" w:cs="Arial"/>
          <w:b/>
          <w:bCs/>
        </w:rPr>
        <w:t>Opis mjere:</w:t>
      </w:r>
      <w:r w:rsidRPr="00243446">
        <w:rPr>
          <w:rFonts w:ascii="Arial" w:eastAsia="Times New Roman" w:hAnsi="Arial" w:cs="Arial"/>
        </w:rPr>
        <w:t xml:space="preserve">  S</w:t>
      </w:r>
      <w:r w:rsidRPr="00243446">
        <w:rPr>
          <w:rFonts w:ascii="Arial" w:eastAsia="Times New Roman" w:hAnsi="Arial" w:cs="Arial"/>
          <w:lang w:val="sr-Latn-BA"/>
        </w:rPr>
        <w:t>truktura za izvještavanje o nepravilnostima i AFCOS mreža</w:t>
      </w:r>
      <w:r w:rsidRPr="00243446">
        <w:rPr>
          <w:rFonts w:ascii="Arial" w:eastAsia="Times New Roman" w:hAnsi="Arial" w:cs="Arial"/>
        </w:rPr>
        <w:t xml:space="preserve"> još uvijek ne razumije u potpunosti svoje odgovornosti i uloge unutar AFCOS sistema. Potrebno je organizovati obuke ili seminare sa učešćem stručnjaka iz OLAF-a kako bi odgovornosti i uloge unutar AFCOS sistema bile jasnije predstavnicima svih institucija.</w:t>
      </w:r>
    </w:p>
    <w:p w:rsidR="000F471C" w:rsidRPr="00243446" w:rsidRDefault="000F471C" w:rsidP="000F471C">
      <w:pPr>
        <w:spacing w:before="100" w:beforeAutospacing="1" w:after="100" w:afterAutospacing="1" w:line="240" w:lineRule="auto"/>
        <w:rPr>
          <w:rFonts w:ascii="Arial" w:eastAsia="Times New Roman" w:hAnsi="Arial" w:cs="Arial"/>
          <w:lang w:val="sr-Latn-ME"/>
        </w:rPr>
      </w:pPr>
    </w:p>
    <w:p w:rsidR="000F471C" w:rsidRPr="00243446" w:rsidRDefault="000F471C" w:rsidP="000F471C">
      <w:pPr>
        <w:spacing w:after="0" w:line="240" w:lineRule="auto"/>
        <w:rPr>
          <w:rFonts w:ascii="Arial" w:eastAsia="Times New Roman" w:hAnsi="Arial" w:cs="Arial"/>
          <w:b/>
          <w:bCs/>
          <w:lang w:val="sr-Latn-ME"/>
        </w:rPr>
      </w:pPr>
      <w:r w:rsidRPr="00243446">
        <w:rPr>
          <w:rFonts w:ascii="Arial" w:eastAsia="Times New Roman" w:hAnsi="Arial" w:cs="Arial"/>
          <w:b/>
          <w:bCs/>
          <w:lang w:val="sr-Latn-ME"/>
        </w:rPr>
        <w:t>3.3. OBLAST 3: Prevencija nepravilnosti</w:t>
      </w:r>
      <w:r w:rsidR="005656D0" w:rsidRPr="00243446">
        <w:rPr>
          <w:rFonts w:ascii="Arial" w:eastAsia="Times New Roman" w:hAnsi="Arial" w:cs="Arial"/>
          <w:b/>
          <w:bCs/>
          <w:lang w:val="sr-Latn-ME"/>
        </w:rPr>
        <w:t xml:space="preserve"> i prevara</w:t>
      </w:r>
    </w:p>
    <w:p w:rsidR="000F471C" w:rsidRPr="00243446" w:rsidRDefault="000F471C" w:rsidP="000F471C">
      <w:pPr>
        <w:spacing w:after="0" w:line="240" w:lineRule="auto"/>
        <w:rPr>
          <w:rFonts w:ascii="Arial" w:eastAsia="Times New Roman" w:hAnsi="Arial" w:cs="Arial"/>
          <w:highlight w:val="yellow"/>
          <w:lang w:val="sr-Latn-ME"/>
        </w:rPr>
      </w:pPr>
    </w:p>
    <w:tbl>
      <w:tblPr>
        <w:tblW w:w="922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0"/>
      </w:tblGrid>
      <w:tr w:rsidR="000F471C" w:rsidRPr="00243446" w:rsidTr="009363D1">
        <w:trPr>
          <w:trHeight w:val="1090"/>
        </w:trPr>
        <w:tc>
          <w:tcPr>
            <w:tcW w:w="9220" w:type="dxa"/>
          </w:tcPr>
          <w:p w:rsidR="000F471C" w:rsidRPr="00243446" w:rsidRDefault="000F471C" w:rsidP="00CB5F79">
            <w:pPr>
              <w:spacing w:before="100" w:beforeAutospacing="1" w:after="100" w:afterAutospacing="1" w:line="240" w:lineRule="auto"/>
              <w:ind w:left="40"/>
              <w:rPr>
                <w:rFonts w:ascii="Arial" w:eastAsia="Times New Roman" w:hAnsi="Arial" w:cs="Arial"/>
                <w:b/>
                <w:bCs/>
                <w:lang w:val="sr-Latn-ME"/>
              </w:rPr>
            </w:pPr>
            <w:r w:rsidRPr="00243446">
              <w:rPr>
                <w:rFonts w:ascii="Arial" w:eastAsia="Times New Roman" w:hAnsi="Arial" w:cs="Arial"/>
                <w:b/>
                <w:bCs/>
                <w:lang w:val="sr-Latn-ME"/>
              </w:rPr>
              <w:t>Operativni cilj 3:</w:t>
            </w:r>
            <w:r w:rsidRPr="00243446">
              <w:rPr>
                <w:rFonts w:ascii="Arial" w:eastAsia="Times New Roman" w:hAnsi="Arial" w:cs="Arial"/>
                <w:lang w:val="sr-Latn-ME"/>
              </w:rPr>
              <w:br/>
              <w:t xml:space="preserve">Dalje jačanje prevencije </w:t>
            </w:r>
            <w:r w:rsidR="005656D0" w:rsidRPr="00243446">
              <w:rPr>
                <w:rFonts w:ascii="Arial" w:eastAsia="Times New Roman" w:hAnsi="Arial" w:cs="Arial"/>
                <w:lang w:val="sr-Latn-ME"/>
              </w:rPr>
              <w:t xml:space="preserve">nepravilnosti i </w:t>
            </w:r>
            <w:r w:rsidRPr="00243446">
              <w:rPr>
                <w:rFonts w:ascii="Arial" w:eastAsia="Times New Roman" w:hAnsi="Arial" w:cs="Arial"/>
                <w:lang w:val="sr-Latn-ME"/>
              </w:rPr>
              <w:t xml:space="preserve">prevara kroz odgovarajuće procjene rizika </w:t>
            </w:r>
            <w:r w:rsidR="00440507" w:rsidRPr="00243446">
              <w:rPr>
                <w:rFonts w:ascii="Arial" w:eastAsia="Times New Roman" w:hAnsi="Arial" w:cs="Arial"/>
                <w:lang w:val="sr-Latn-ME"/>
              </w:rPr>
              <w:t xml:space="preserve">i uvođenje </w:t>
            </w:r>
            <w:r w:rsidRPr="00243446">
              <w:rPr>
                <w:rFonts w:ascii="Arial" w:eastAsia="Times New Roman" w:hAnsi="Arial" w:cs="Arial"/>
                <w:lang w:val="sr-Latn-ME"/>
              </w:rPr>
              <w:t>ef</w:t>
            </w:r>
            <w:r w:rsidR="00440507" w:rsidRPr="00243446">
              <w:rPr>
                <w:rFonts w:ascii="Arial" w:eastAsia="Times New Roman" w:hAnsi="Arial" w:cs="Arial"/>
                <w:lang w:val="sr-Latn-ME"/>
              </w:rPr>
              <w:t>ikas</w:t>
            </w:r>
            <w:r w:rsidRPr="00243446">
              <w:rPr>
                <w:rFonts w:ascii="Arial" w:eastAsia="Times New Roman" w:hAnsi="Arial" w:cs="Arial"/>
                <w:lang w:val="sr-Latn-ME"/>
              </w:rPr>
              <w:t>nih i proporcionalnih mjera</w:t>
            </w:r>
            <w:r w:rsidR="00440507" w:rsidRPr="00243446">
              <w:rPr>
                <w:rFonts w:ascii="Arial" w:eastAsia="Times New Roman" w:hAnsi="Arial" w:cs="Arial"/>
                <w:lang w:val="sr-Latn-ME"/>
              </w:rPr>
              <w:t xml:space="preserve"> protiv </w:t>
            </w:r>
            <w:r w:rsidR="005656D0" w:rsidRPr="00243446">
              <w:rPr>
                <w:rFonts w:ascii="Arial" w:eastAsia="Times New Roman" w:hAnsi="Arial" w:cs="Arial"/>
                <w:lang w:val="sr-Latn-ME"/>
              </w:rPr>
              <w:t xml:space="preserve">nepravilnosti i </w:t>
            </w:r>
            <w:r w:rsidR="00440507" w:rsidRPr="00243446">
              <w:rPr>
                <w:rFonts w:ascii="Arial" w:eastAsia="Times New Roman" w:hAnsi="Arial" w:cs="Arial"/>
                <w:lang w:val="sr-Latn-ME"/>
              </w:rPr>
              <w:t>prevara, uključujući sistemski pristup edukacijama i podizanju svijesti</w:t>
            </w:r>
            <w:r w:rsidRPr="00243446">
              <w:rPr>
                <w:rFonts w:ascii="Arial" w:eastAsia="Times New Roman" w:hAnsi="Arial" w:cs="Arial"/>
                <w:lang w:val="sr-Latn-ME"/>
              </w:rPr>
              <w:t xml:space="preserve">. </w:t>
            </w:r>
          </w:p>
        </w:tc>
      </w:tr>
    </w:tbl>
    <w:p w:rsidR="009363D1" w:rsidRPr="00243446" w:rsidRDefault="009363D1" w:rsidP="000F471C">
      <w:pPr>
        <w:spacing w:after="0" w:line="240" w:lineRule="auto"/>
        <w:rPr>
          <w:rFonts w:ascii="Arial" w:eastAsia="Times New Roman" w:hAnsi="Arial" w:cs="Arial"/>
          <w:b/>
          <w:bCs/>
          <w:lang w:val="sr-Latn-ME"/>
        </w:rPr>
      </w:pPr>
    </w:p>
    <w:tbl>
      <w:tblPr>
        <w:tblStyle w:val="TableGrid"/>
        <w:tblW w:w="9196" w:type="dxa"/>
        <w:tblLook w:val="04A0" w:firstRow="1" w:lastRow="0" w:firstColumn="1" w:lastColumn="0" w:noHBand="0" w:noVBand="1"/>
      </w:tblPr>
      <w:tblGrid>
        <w:gridCol w:w="3896"/>
        <w:gridCol w:w="1614"/>
        <w:gridCol w:w="1843"/>
        <w:gridCol w:w="1843"/>
      </w:tblGrid>
      <w:tr w:rsidR="009363D1" w:rsidRPr="00243446" w:rsidTr="00D942FE">
        <w:tc>
          <w:tcPr>
            <w:tcW w:w="3964" w:type="dxa"/>
            <w:vAlign w:val="center"/>
          </w:tcPr>
          <w:p w:rsidR="009363D1" w:rsidRPr="00243446" w:rsidRDefault="009363D1" w:rsidP="009363D1">
            <w:pPr>
              <w:spacing w:after="0" w:line="240" w:lineRule="auto"/>
              <w:rPr>
                <w:rFonts w:ascii="Arial" w:eastAsia="Times New Roman" w:hAnsi="Arial" w:cs="Arial"/>
                <w:b/>
                <w:bCs/>
                <w:sz w:val="22"/>
                <w:szCs w:val="22"/>
                <w:lang w:val="en-GB" w:eastAsia="en-US"/>
              </w:rPr>
            </w:pPr>
            <w:r w:rsidRPr="00243446">
              <w:rPr>
                <w:rFonts w:ascii="Arial" w:eastAsia="Times New Roman" w:hAnsi="Arial" w:cs="Arial"/>
                <w:b/>
                <w:bCs/>
                <w:sz w:val="22"/>
                <w:szCs w:val="22"/>
                <w:lang w:val="en-GB" w:eastAsia="en-US"/>
              </w:rPr>
              <w:t>Indikator uspjeha</w:t>
            </w:r>
          </w:p>
        </w:tc>
        <w:tc>
          <w:tcPr>
            <w:tcW w:w="1626" w:type="dxa"/>
          </w:tcPr>
          <w:p w:rsidR="009363D1" w:rsidRPr="00243446" w:rsidRDefault="009363D1" w:rsidP="009363D1">
            <w:pPr>
              <w:spacing w:after="0" w:line="240" w:lineRule="auto"/>
              <w:rPr>
                <w:rFonts w:ascii="Arial" w:eastAsia="Times New Roman" w:hAnsi="Arial" w:cs="Arial"/>
                <w:b/>
                <w:bCs/>
                <w:sz w:val="22"/>
                <w:szCs w:val="22"/>
                <w:lang w:val="en-GB" w:eastAsia="en-US"/>
              </w:rPr>
            </w:pPr>
            <w:r w:rsidRPr="00243446">
              <w:rPr>
                <w:rFonts w:ascii="Arial" w:eastAsia="Times New Roman" w:hAnsi="Arial" w:cs="Arial"/>
                <w:b/>
                <w:bCs/>
                <w:sz w:val="22"/>
                <w:szCs w:val="22"/>
                <w:lang w:eastAsia="en-US"/>
              </w:rPr>
              <w:t>Početna vrijednost u 2024</w:t>
            </w:r>
          </w:p>
        </w:tc>
        <w:tc>
          <w:tcPr>
            <w:tcW w:w="1803" w:type="dxa"/>
          </w:tcPr>
          <w:p w:rsidR="009363D1" w:rsidRPr="00243446" w:rsidRDefault="009363D1" w:rsidP="009363D1">
            <w:pPr>
              <w:spacing w:after="0" w:line="240" w:lineRule="auto"/>
              <w:rPr>
                <w:rFonts w:ascii="Arial" w:eastAsia="Times New Roman" w:hAnsi="Arial" w:cs="Arial"/>
                <w:b/>
                <w:bCs/>
                <w:sz w:val="22"/>
                <w:szCs w:val="22"/>
                <w:lang w:val="en-GB" w:eastAsia="en-US"/>
              </w:rPr>
            </w:pPr>
            <w:r w:rsidRPr="00243446">
              <w:rPr>
                <w:rFonts w:ascii="Arial" w:eastAsia="Times New Roman" w:hAnsi="Arial" w:cs="Arial"/>
                <w:b/>
                <w:bCs/>
                <w:sz w:val="22"/>
                <w:szCs w:val="22"/>
                <w:lang w:eastAsia="en-US"/>
              </w:rPr>
              <w:t>Početna vrijednost u 2026</w:t>
            </w:r>
          </w:p>
        </w:tc>
        <w:tc>
          <w:tcPr>
            <w:tcW w:w="1803" w:type="dxa"/>
          </w:tcPr>
          <w:p w:rsidR="009363D1" w:rsidRPr="00243446" w:rsidRDefault="009363D1" w:rsidP="009363D1">
            <w:pPr>
              <w:spacing w:after="0" w:line="240" w:lineRule="auto"/>
              <w:rPr>
                <w:rFonts w:ascii="Arial" w:eastAsia="Times New Roman" w:hAnsi="Arial" w:cs="Arial"/>
                <w:b/>
                <w:bCs/>
                <w:sz w:val="22"/>
                <w:szCs w:val="22"/>
                <w:lang w:val="en-GB" w:eastAsia="en-US"/>
              </w:rPr>
            </w:pPr>
            <w:r w:rsidRPr="00243446">
              <w:rPr>
                <w:rFonts w:ascii="Arial" w:eastAsia="Times New Roman" w:hAnsi="Arial" w:cs="Arial"/>
                <w:b/>
                <w:bCs/>
                <w:sz w:val="22"/>
                <w:szCs w:val="22"/>
                <w:lang w:eastAsia="en-US"/>
              </w:rPr>
              <w:t>Početna vrijednost u 2028</w:t>
            </w:r>
          </w:p>
        </w:tc>
      </w:tr>
      <w:tr w:rsidR="009363D1" w:rsidRPr="00243446" w:rsidTr="00D942FE">
        <w:tc>
          <w:tcPr>
            <w:tcW w:w="3964" w:type="dxa"/>
          </w:tcPr>
          <w:p w:rsidR="009363D1" w:rsidRPr="00243446" w:rsidRDefault="009363D1" w:rsidP="009363D1">
            <w:pPr>
              <w:spacing w:after="0" w:line="240" w:lineRule="auto"/>
              <w:rPr>
                <w:rFonts w:ascii="Arial" w:eastAsia="Times New Roman" w:hAnsi="Arial" w:cs="Arial"/>
                <w:b/>
                <w:bCs/>
                <w:sz w:val="22"/>
                <w:szCs w:val="22"/>
                <w:lang w:val="en-GB" w:eastAsia="en-US"/>
              </w:rPr>
            </w:pPr>
            <w:bookmarkStart w:id="18" w:name="_Hlk197939486"/>
            <w:r w:rsidRPr="00243446">
              <w:rPr>
                <w:rFonts w:ascii="Arial" w:eastAsia="Times New Roman" w:hAnsi="Arial" w:cs="Arial"/>
                <w:b/>
                <w:bCs/>
                <w:sz w:val="22"/>
                <w:szCs w:val="22"/>
                <w:lang w:val="en-GB" w:eastAsia="en-US"/>
              </w:rPr>
              <w:t>Implementirane efikasne i proporcionalne mjere protiv neprvilnosti i prevara</w:t>
            </w:r>
          </w:p>
        </w:tc>
        <w:tc>
          <w:tcPr>
            <w:tcW w:w="1626" w:type="dxa"/>
            <w:vAlign w:val="center"/>
          </w:tcPr>
          <w:p w:rsidR="009363D1" w:rsidRPr="00243446" w:rsidRDefault="009363D1" w:rsidP="009363D1">
            <w:pPr>
              <w:spacing w:after="0" w:line="240" w:lineRule="auto"/>
              <w:rPr>
                <w:rFonts w:ascii="Arial" w:eastAsia="Times New Roman" w:hAnsi="Arial" w:cs="Arial"/>
                <w:b/>
                <w:bCs/>
                <w:sz w:val="22"/>
                <w:szCs w:val="22"/>
                <w:lang w:val="en-GB" w:eastAsia="en-US"/>
              </w:rPr>
            </w:pPr>
            <w:r w:rsidRPr="00243446">
              <w:rPr>
                <w:rFonts w:ascii="Arial" w:eastAsia="Times New Roman" w:hAnsi="Arial" w:cs="Arial"/>
                <w:b/>
                <w:bCs/>
                <w:sz w:val="22"/>
                <w:szCs w:val="22"/>
                <w:lang w:val="en-GB" w:eastAsia="en-US"/>
              </w:rPr>
              <w:t>70%</w:t>
            </w:r>
          </w:p>
        </w:tc>
        <w:tc>
          <w:tcPr>
            <w:tcW w:w="1803" w:type="dxa"/>
            <w:vAlign w:val="center"/>
          </w:tcPr>
          <w:p w:rsidR="009363D1" w:rsidRPr="00243446" w:rsidRDefault="009363D1" w:rsidP="009363D1">
            <w:pPr>
              <w:spacing w:after="0" w:line="240" w:lineRule="auto"/>
              <w:rPr>
                <w:rFonts w:ascii="Arial" w:eastAsia="Times New Roman" w:hAnsi="Arial" w:cs="Arial"/>
                <w:b/>
                <w:bCs/>
                <w:sz w:val="22"/>
                <w:szCs w:val="22"/>
                <w:lang w:val="en-GB" w:eastAsia="en-US"/>
              </w:rPr>
            </w:pPr>
            <w:r w:rsidRPr="00243446">
              <w:rPr>
                <w:rFonts w:ascii="Arial" w:eastAsia="Times New Roman" w:hAnsi="Arial" w:cs="Arial"/>
                <w:b/>
                <w:bCs/>
                <w:sz w:val="22"/>
                <w:szCs w:val="22"/>
                <w:lang w:eastAsia="en-US"/>
              </w:rPr>
              <w:t>100% aktivnosti iz Akcionog plana za 2025-2026. su implementirane u roku</w:t>
            </w:r>
          </w:p>
        </w:tc>
        <w:tc>
          <w:tcPr>
            <w:tcW w:w="1803" w:type="dxa"/>
            <w:vAlign w:val="center"/>
          </w:tcPr>
          <w:p w:rsidR="009363D1" w:rsidRPr="00243446" w:rsidRDefault="009363D1" w:rsidP="009363D1">
            <w:pPr>
              <w:spacing w:after="0" w:line="240" w:lineRule="auto"/>
              <w:rPr>
                <w:rFonts w:ascii="Arial" w:eastAsia="Times New Roman" w:hAnsi="Arial" w:cs="Arial"/>
                <w:b/>
                <w:bCs/>
                <w:sz w:val="22"/>
                <w:szCs w:val="22"/>
                <w:lang w:val="en-GB" w:eastAsia="en-US"/>
              </w:rPr>
            </w:pPr>
            <w:r w:rsidRPr="00243446">
              <w:rPr>
                <w:rFonts w:ascii="Arial" w:eastAsia="Times New Roman" w:hAnsi="Arial" w:cs="Arial"/>
                <w:b/>
                <w:bCs/>
                <w:sz w:val="22"/>
                <w:szCs w:val="22"/>
                <w:lang w:eastAsia="en-US"/>
              </w:rPr>
              <w:t>100% aktivnosti iz Akcionog za 2027-2028. su implementirane u roku</w:t>
            </w:r>
          </w:p>
        </w:tc>
      </w:tr>
      <w:bookmarkEnd w:id="18"/>
      <w:tr w:rsidR="009363D1" w:rsidRPr="00243446" w:rsidTr="00D942FE">
        <w:tc>
          <w:tcPr>
            <w:tcW w:w="3964" w:type="dxa"/>
          </w:tcPr>
          <w:p w:rsidR="009363D1" w:rsidRPr="00243446" w:rsidRDefault="009363D1" w:rsidP="009363D1">
            <w:pPr>
              <w:spacing w:after="0" w:line="240" w:lineRule="auto"/>
              <w:rPr>
                <w:rFonts w:ascii="Arial" w:eastAsia="Times New Roman" w:hAnsi="Arial" w:cs="Arial"/>
                <w:b/>
                <w:bCs/>
                <w:sz w:val="22"/>
                <w:szCs w:val="22"/>
                <w:lang w:val="en-GB" w:eastAsia="en-US"/>
              </w:rPr>
            </w:pPr>
            <w:r w:rsidRPr="00243446">
              <w:rPr>
                <w:rFonts w:ascii="Arial" w:eastAsia="Times New Roman" w:hAnsi="Arial" w:cs="Arial"/>
                <w:b/>
                <w:bCs/>
                <w:sz w:val="22"/>
                <w:szCs w:val="22"/>
                <w:lang w:val="sr-Latn-ME" w:eastAsia="en-US"/>
              </w:rPr>
              <w:t>Broj obučenih službenika iz institucija i tijela  koja rade na zaštiti finansijskih interesa EU</w:t>
            </w:r>
          </w:p>
        </w:tc>
        <w:tc>
          <w:tcPr>
            <w:tcW w:w="1626" w:type="dxa"/>
            <w:vAlign w:val="center"/>
          </w:tcPr>
          <w:p w:rsidR="009363D1" w:rsidRPr="00243446" w:rsidRDefault="009363D1" w:rsidP="009363D1">
            <w:pPr>
              <w:spacing w:after="0" w:line="240" w:lineRule="auto"/>
              <w:rPr>
                <w:rFonts w:ascii="Arial" w:eastAsia="Times New Roman" w:hAnsi="Arial" w:cs="Arial"/>
                <w:b/>
                <w:bCs/>
                <w:sz w:val="22"/>
                <w:szCs w:val="22"/>
                <w:lang w:val="en-GB" w:eastAsia="en-US"/>
              </w:rPr>
            </w:pPr>
            <w:r w:rsidRPr="00243446">
              <w:rPr>
                <w:rFonts w:ascii="Arial" w:eastAsia="Times New Roman" w:hAnsi="Arial" w:cs="Arial"/>
                <w:b/>
                <w:bCs/>
                <w:sz w:val="22"/>
                <w:szCs w:val="22"/>
                <w:lang w:val="en-GB" w:eastAsia="en-US"/>
              </w:rPr>
              <w:t>55</w:t>
            </w:r>
          </w:p>
        </w:tc>
        <w:tc>
          <w:tcPr>
            <w:tcW w:w="1803" w:type="dxa"/>
            <w:vAlign w:val="center"/>
          </w:tcPr>
          <w:p w:rsidR="009363D1" w:rsidRPr="00243446" w:rsidRDefault="009363D1" w:rsidP="009363D1">
            <w:pPr>
              <w:spacing w:after="0" w:line="240" w:lineRule="auto"/>
              <w:rPr>
                <w:rFonts w:ascii="Arial" w:eastAsia="Times New Roman" w:hAnsi="Arial" w:cs="Arial"/>
                <w:b/>
                <w:bCs/>
                <w:sz w:val="22"/>
                <w:szCs w:val="22"/>
                <w:lang w:val="en-GB" w:eastAsia="en-US"/>
              </w:rPr>
            </w:pPr>
            <w:r w:rsidRPr="00243446">
              <w:rPr>
                <w:rFonts w:ascii="Arial" w:eastAsia="Times New Roman" w:hAnsi="Arial" w:cs="Arial"/>
                <w:b/>
                <w:bCs/>
                <w:sz w:val="22"/>
                <w:szCs w:val="22"/>
                <w:lang w:eastAsia="en-US"/>
              </w:rPr>
              <w:t>55 (u 2025-2026) ravnomjerno raspoređeni među muškarcima i ženama</w:t>
            </w:r>
          </w:p>
        </w:tc>
        <w:tc>
          <w:tcPr>
            <w:tcW w:w="1803" w:type="dxa"/>
            <w:vAlign w:val="center"/>
          </w:tcPr>
          <w:p w:rsidR="009363D1" w:rsidRPr="00243446" w:rsidRDefault="009363D1" w:rsidP="009363D1">
            <w:pPr>
              <w:spacing w:after="0" w:line="240" w:lineRule="auto"/>
              <w:rPr>
                <w:rFonts w:ascii="Arial" w:eastAsia="Times New Roman" w:hAnsi="Arial" w:cs="Arial"/>
                <w:b/>
                <w:bCs/>
                <w:sz w:val="22"/>
                <w:szCs w:val="22"/>
                <w:lang w:eastAsia="en-US"/>
              </w:rPr>
            </w:pPr>
            <w:r w:rsidRPr="00243446">
              <w:rPr>
                <w:rFonts w:ascii="Arial" w:eastAsia="Times New Roman" w:hAnsi="Arial" w:cs="Arial"/>
                <w:b/>
                <w:bCs/>
                <w:sz w:val="22"/>
                <w:szCs w:val="22"/>
                <w:lang w:eastAsia="en-US"/>
              </w:rPr>
              <w:t>55 (u 2027-2028) ravnomjerno raspoređeni među muškarcima i ženama</w:t>
            </w:r>
          </w:p>
          <w:p w:rsidR="009363D1" w:rsidRPr="00243446" w:rsidRDefault="009363D1" w:rsidP="009363D1">
            <w:pPr>
              <w:spacing w:after="0" w:line="240" w:lineRule="auto"/>
              <w:rPr>
                <w:rFonts w:ascii="Arial" w:eastAsia="Times New Roman" w:hAnsi="Arial" w:cs="Arial"/>
                <w:b/>
                <w:bCs/>
                <w:sz w:val="22"/>
                <w:szCs w:val="22"/>
                <w:lang w:val="en-GB" w:eastAsia="en-US"/>
              </w:rPr>
            </w:pPr>
          </w:p>
        </w:tc>
      </w:tr>
    </w:tbl>
    <w:p w:rsidR="009363D1" w:rsidRPr="00243446" w:rsidRDefault="009363D1" w:rsidP="000F471C">
      <w:pPr>
        <w:spacing w:after="0" w:line="240" w:lineRule="auto"/>
        <w:rPr>
          <w:rFonts w:ascii="Arial" w:eastAsia="Times New Roman" w:hAnsi="Arial" w:cs="Arial"/>
          <w:b/>
          <w:bCs/>
          <w:lang w:val="sr-Latn-ME"/>
        </w:rPr>
      </w:pPr>
    </w:p>
    <w:p w:rsidR="009363D1" w:rsidRPr="00243446" w:rsidRDefault="009363D1" w:rsidP="000F471C">
      <w:pPr>
        <w:spacing w:after="0" w:line="240" w:lineRule="auto"/>
        <w:rPr>
          <w:rFonts w:ascii="Arial" w:eastAsia="Times New Roman" w:hAnsi="Arial" w:cs="Arial"/>
          <w:b/>
          <w:bCs/>
          <w:lang w:val="sr-Latn-ME"/>
        </w:rPr>
      </w:pPr>
    </w:p>
    <w:p w:rsidR="009363D1" w:rsidRPr="00243446" w:rsidRDefault="009363D1" w:rsidP="009363D1">
      <w:pPr>
        <w:spacing w:after="160" w:line="259" w:lineRule="auto"/>
        <w:jc w:val="both"/>
        <w:rPr>
          <w:rFonts w:ascii="Arial" w:hAnsi="Arial" w:cs="Arial"/>
        </w:rPr>
      </w:pPr>
      <w:r w:rsidRPr="00243446">
        <w:rPr>
          <w:rFonts w:ascii="Arial" w:hAnsi="Arial" w:cs="Arial"/>
        </w:rPr>
        <w:t>Definisani cilj biće realizovan kroz sledeće mjere:</w:t>
      </w:r>
    </w:p>
    <w:p w:rsidR="009363D1" w:rsidRPr="00243446" w:rsidRDefault="009363D1" w:rsidP="009363D1">
      <w:pPr>
        <w:spacing w:after="160" w:line="259" w:lineRule="auto"/>
        <w:jc w:val="both"/>
        <w:rPr>
          <w:rFonts w:ascii="Arial" w:hAnsi="Arial" w:cs="Arial"/>
          <w:b/>
          <w:bCs/>
        </w:rPr>
      </w:pPr>
      <w:r w:rsidRPr="00243446">
        <w:rPr>
          <w:rFonts w:ascii="Arial" w:hAnsi="Arial" w:cs="Arial"/>
          <w:b/>
          <w:bCs/>
        </w:rPr>
        <w:t xml:space="preserve">Mjera 3.1: </w:t>
      </w:r>
      <w:r w:rsidRPr="00243446">
        <w:rPr>
          <w:rFonts w:ascii="Arial" w:hAnsi="Arial" w:cs="Arial"/>
          <w:b/>
          <w:bCs/>
          <w:lang w:val="sr-Latn-ME"/>
        </w:rPr>
        <w:t>Uspostavljanje održivog sistema obuka za institucije koje su uključene u zaštitu finansijskih interesa EU</w:t>
      </w:r>
      <w:r w:rsidRPr="00243446">
        <w:rPr>
          <w:rFonts w:ascii="Arial" w:hAnsi="Arial" w:cs="Arial"/>
          <w:b/>
          <w:bCs/>
        </w:rPr>
        <w:t xml:space="preserve"> </w:t>
      </w:r>
    </w:p>
    <w:p w:rsidR="009363D1" w:rsidRPr="00243446" w:rsidRDefault="009363D1" w:rsidP="009363D1">
      <w:pPr>
        <w:spacing w:after="160" w:line="259" w:lineRule="auto"/>
        <w:jc w:val="both"/>
        <w:rPr>
          <w:rFonts w:ascii="Arial" w:hAnsi="Arial" w:cs="Arial"/>
        </w:rPr>
      </w:pPr>
      <w:r w:rsidRPr="00243446">
        <w:rPr>
          <w:rFonts w:ascii="Arial" w:hAnsi="Arial" w:cs="Arial"/>
          <w:b/>
          <w:bCs/>
        </w:rPr>
        <w:t>Opis mjere:</w:t>
      </w:r>
      <w:r w:rsidRPr="00243446">
        <w:rPr>
          <w:rFonts w:ascii="Arial" w:hAnsi="Arial" w:cs="Arial"/>
        </w:rPr>
        <w:t xml:space="preserve"> Prema poglavlju 2.1.1, </w:t>
      </w:r>
      <w:r w:rsidR="002E5268" w:rsidRPr="00243446">
        <w:rPr>
          <w:rFonts w:ascii="Arial" w:hAnsi="Arial" w:cs="Arial"/>
        </w:rPr>
        <w:t xml:space="preserve">glavni zaključci </w:t>
      </w:r>
      <w:r w:rsidRPr="00243446">
        <w:rPr>
          <w:rFonts w:ascii="Arial" w:hAnsi="Arial" w:cs="Arial"/>
        </w:rPr>
        <w:t>ex-post evaluacij</w:t>
      </w:r>
      <w:r w:rsidR="002E5268" w:rsidRPr="00243446">
        <w:rPr>
          <w:rFonts w:ascii="Arial" w:hAnsi="Arial" w:cs="Arial"/>
        </w:rPr>
        <w:t>e</w:t>
      </w:r>
      <w:r w:rsidR="000D4909" w:rsidRPr="00243446">
        <w:rPr>
          <w:rFonts w:ascii="Arial" w:hAnsi="Arial" w:cs="Arial"/>
        </w:rPr>
        <w:t>,</w:t>
      </w:r>
      <w:r w:rsidRPr="00243446">
        <w:rPr>
          <w:rFonts w:ascii="Arial" w:hAnsi="Arial" w:cs="Arial"/>
        </w:rPr>
        <w:t xml:space="preserve"> zaključeno je da je usvojen sistematski pristup u identifikaciji potreba za obukama i dizajniranju programa obuka. U okviru Twinning Light projekta „Jačanje kapaciteta AFCOS kancelarije“</w:t>
      </w:r>
      <w:r w:rsidR="002E5268" w:rsidRPr="00243446">
        <w:rPr>
          <w:rFonts w:ascii="Arial" w:hAnsi="Arial" w:cs="Arial"/>
        </w:rPr>
        <w:t xml:space="preserve"> </w:t>
      </w:r>
      <w:r w:rsidRPr="00243446">
        <w:rPr>
          <w:rFonts w:ascii="Arial" w:hAnsi="Arial" w:cs="Arial"/>
        </w:rPr>
        <w:t>koji je pokrenula AFCOS kancelarija, sprovedena je analiza potreba za obukama i razvijen je program obuka za period 2019-2021. S druge strane, prema poglavlju 2.6.1, u procjeni rizika od prevara zaključeno je da postoji potreba za izradom nove analize potreba za obukama, programom obuka i planom obuka. Analiza potreba za obukama treba se ponavljati svake dvije godine na nivou institucija koje učestvuju u zaštiti finansijskih interesa EU kako bi se procijenili postojeći kapaciteti službenika, kao i da bi se identifikovale slabosti koje treba adresirati. Nakon toga, usklađivanje programa obuka u skladu sa rezultatima sprovedene analize potreba za obukama biće izvršeno, kao i razvoj plana obuka za period od dvije godine koji će eliminisati slabosti identifikovane u analizi potreba za obukama.</w:t>
      </w:r>
    </w:p>
    <w:p w:rsidR="009363D1" w:rsidRPr="00243446" w:rsidRDefault="009363D1" w:rsidP="009363D1">
      <w:pPr>
        <w:spacing w:after="160" w:line="259" w:lineRule="auto"/>
        <w:jc w:val="both"/>
        <w:rPr>
          <w:rFonts w:ascii="Arial" w:hAnsi="Arial" w:cs="Arial"/>
        </w:rPr>
      </w:pPr>
      <w:r w:rsidRPr="00243446">
        <w:rPr>
          <w:rFonts w:ascii="Arial" w:hAnsi="Arial" w:cs="Arial"/>
          <w:b/>
          <w:bCs/>
        </w:rPr>
        <w:t>Mjera 3.2: Održavanje operativnog sistema upravljanja rizikom od nepravilnosti i prevara</w:t>
      </w:r>
      <w:r w:rsidRPr="00243446">
        <w:rPr>
          <w:rFonts w:ascii="Arial" w:hAnsi="Arial" w:cs="Arial"/>
        </w:rPr>
        <w:br/>
      </w:r>
      <w:r w:rsidRPr="00243446">
        <w:rPr>
          <w:rFonts w:ascii="Arial" w:hAnsi="Arial" w:cs="Arial"/>
          <w:b/>
          <w:bCs/>
        </w:rPr>
        <w:t>Opis mjere:</w:t>
      </w:r>
      <w:r w:rsidRPr="00243446">
        <w:rPr>
          <w:rFonts w:ascii="Arial" w:hAnsi="Arial" w:cs="Arial"/>
        </w:rPr>
        <w:t xml:space="preserve"> Prema poglavlju 2.1.1 i 2.6.1 ove Strategije, metodologija za upravljanje rizikom od nepravilnosti i prevara razvijena je tokom prethodnog NAFS perioda a AFCOS kancelarija je sprovela analizu rizika od prevara sa statističkom analizom slučajeva nepravilnosti u kontekstu implementacije projekata finansiranih iz IPA fondova i dostavila rezultate Vladi Crne Gore. Međutim, neophodno je nastaviti sa procjenom rizika od prevara barem jednom u dvije godine kako bi se mogli adekvatno reagovati na sve promjene u okruženju rizika od nepravilnosti i prevara.</w:t>
      </w:r>
      <w:r w:rsidRPr="00243446">
        <w:rPr>
          <w:rFonts w:ascii="Arial" w:hAnsi="Arial" w:cs="Arial"/>
        </w:rPr>
        <w:br/>
      </w:r>
    </w:p>
    <w:p w:rsidR="009363D1" w:rsidRPr="00243446" w:rsidRDefault="009363D1" w:rsidP="009363D1">
      <w:pPr>
        <w:spacing w:after="160" w:line="259" w:lineRule="auto"/>
        <w:jc w:val="both"/>
        <w:rPr>
          <w:rFonts w:ascii="Arial" w:hAnsi="Arial" w:cs="Arial"/>
          <w:b/>
          <w:bCs/>
          <w:lang w:val="sr-Latn-ME"/>
        </w:rPr>
      </w:pPr>
      <w:r w:rsidRPr="00243446">
        <w:rPr>
          <w:rFonts w:ascii="Arial" w:hAnsi="Arial" w:cs="Arial"/>
          <w:b/>
          <w:bCs/>
        </w:rPr>
        <w:t xml:space="preserve">Mjera 3.3: </w:t>
      </w:r>
      <w:r w:rsidRPr="00243446">
        <w:rPr>
          <w:rFonts w:ascii="Arial" w:hAnsi="Arial" w:cs="Arial"/>
          <w:b/>
          <w:bCs/>
          <w:lang w:val="sr-Latn-ME"/>
        </w:rPr>
        <w:t>Obezbjeđivanje adekvatne vidljivosti i transparentnosti u vezi sa EU fondovima i podizanje svijesti o značaju procesa za zaštitu finansijskih interesa EU i nacionalnih finansijskih interesa</w:t>
      </w:r>
    </w:p>
    <w:p w:rsidR="009363D1" w:rsidRPr="00243446" w:rsidRDefault="009363D1" w:rsidP="009363D1">
      <w:pPr>
        <w:spacing w:after="160" w:line="259" w:lineRule="auto"/>
        <w:jc w:val="both"/>
        <w:rPr>
          <w:rFonts w:ascii="Arial" w:hAnsi="Arial" w:cs="Arial"/>
        </w:rPr>
      </w:pPr>
      <w:r w:rsidRPr="00243446">
        <w:rPr>
          <w:rFonts w:ascii="Arial" w:hAnsi="Arial" w:cs="Arial"/>
        </w:rPr>
        <w:br/>
      </w:r>
      <w:r w:rsidRPr="00243446">
        <w:rPr>
          <w:rFonts w:ascii="Arial" w:hAnsi="Arial" w:cs="Arial"/>
          <w:b/>
          <w:bCs/>
        </w:rPr>
        <w:t>Opis mjere:</w:t>
      </w:r>
      <w:r w:rsidRPr="00243446">
        <w:rPr>
          <w:rFonts w:ascii="Arial" w:hAnsi="Arial" w:cs="Arial"/>
        </w:rPr>
        <w:t xml:space="preserve"> Kao što je navedeno u poglavlju 2.1.2, jedna od glavnih preporuka razvijenih tokom ex-post evaluacije prethodne Strategije je da se u novu Strategiju uključi sveobuhvatna komunikaciona strategija i kampanja kako unutar javne administracije, tako i u vezi sa podizanjem svijesti opšte javnosti o prevarama. Komunikacija je važan dio procesa prevencije nepravilnosti i prevara u postupcima upravljanja i korišćenja EU fondova. U okviru Twinning projekta „Dalje unapr</w:t>
      </w:r>
      <w:r w:rsidR="002E5268" w:rsidRPr="00243446">
        <w:rPr>
          <w:rFonts w:ascii="Arial" w:hAnsi="Arial" w:cs="Arial"/>
        </w:rPr>
        <w:t>ij</w:t>
      </w:r>
      <w:r w:rsidRPr="00243446">
        <w:rPr>
          <w:rFonts w:ascii="Arial" w:hAnsi="Arial" w:cs="Arial"/>
        </w:rPr>
        <w:t xml:space="preserve">eđenje funkcionisanja </w:t>
      </w:r>
      <w:r w:rsidR="002E5268" w:rsidRPr="00243446">
        <w:rPr>
          <w:rFonts w:ascii="Arial" w:hAnsi="Arial" w:cs="Arial"/>
        </w:rPr>
        <w:t>crnogorskog</w:t>
      </w:r>
      <w:r w:rsidRPr="00243446">
        <w:rPr>
          <w:rFonts w:ascii="Arial" w:hAnsi="Arial" w:cs="Arial"/>
        </w:rPr>
        <w:t xml:space="preserve"> AFCOS sistema sa ciljem efikasne zaštite finansijskih interesa EU“ biće razvijena Komunikaciona strategija koja će podići svijest zaposlenih i građana o zaštiti finansijskih interesa EU, a koja će sadržati procedure za komunikaciju između institucija koje učestvuju u zaštiti finansijskih interesa EU i javnosti u slučajevima otkrivenih nepravilnosti i sumnji na prevare u kontekstu upravljanja i korišćenja IPA fondova. Takođe, kako bi se podigla svijest šire javnosti o značaju pravilnog korišćenja EU fondova i poboljšala reputacija i povjerenje javnosti prema institucijama odgovornim za efikasno korišćenje EU fondova, biće organizovan javni događaj i sprovedene promotivne aktivnosti za podizanje svijesti javnosti u borbi protiv prevara – priprema video i informativnih materijala (flajeri, brošure, </w:t>
      </w:r>
      <w:r w:rsidR="002E5268" w:rsidRPr="00243446">
        <w:rPr>
          <w:rFonts w:ascii="Arial" w:hAnsi="Arial" w:cs="Arial"/>
        </w:rPr>
        <w:t>notesi</w:t>
      </w:r>
      <w:r w:rsidRPr="00243446">
        <w:rPr>
          <w:rFonts w:ascii="Arial" w:hAnsi="Arial" w:cs="Arial"/>
        </w:rPr>
        <w:t xml:space="preserve"> i drugi promotivni materijali).</w:t>
      </w:r>
      <w:r w:rsidRPr="00243446">
        <w:rPr>
          <w:rFonts w:ascii="Arial" w:hAnsi="Arial" w:cs="Arial"/>
        </w:rPr>
        <w:br/>
      </w:r>
    </w:p>
    <w:p w:rsidR="009363D1" w:rsidRPr="00243446" w:rsidRDefault="009363D1" w:rsidP="009363D1">
      <w:pPr>
        <w:spacing w:after="160" w:line="259" w:lineRule="auto"/>
        <w:jc w:val="both"/>
        <w:rPr>
          <w:rFonts w:ascii="Arial" w:hAnsi="Arial" w:cs="Arial"/>
          <w:b/>
          <w:bCs/>
          <w:lang w:val="sr-Latn-ME"/>
        </w:rPr>
      </w:pPr>
      <w:r w:rsidRPr="00243446">
        <w:rPr>
          <w:rFonts w:ascii="Arial" w:hAnsi="Arial" w:cs="Arial"/>
          <w:b/>
          <w:bCs/>
        </w:rPr>
        <w:t xml:space="preserve">Mjera 3.4: </w:t>
      </w:r>
      <w:r w:rsidRPr="00243446">
        <w:rPr>
          <w:rFonts w:ascii="Arial" w:hAnsi="Arial" w:cs="Arial"/>
          <w:b/>
          <w:bCs/>
          <w:lang w:val="sr-Latn-ME"/>
        </w:rPr>
        <w:t>Praćenje najnovijih razvoja mjera protiv nepravilnosti i prevara i razmjena najboljih praksi</w:t>
      </w:r>
    </w:p>
    <w:p w:rsidR="009363D1" w:rsidRPr="00243446" w:rsidRDefault="009363D1" w:rsidP="009363D1">
      <w:pPr>
        <w:spacing w:after="160" w:line="259" w:lineRule="auto"/>
        <w:jc w:val="both"/>
        <w:rPr>
          <w:rFonts w:ascii="Arial" w:hAnsi="Arial" w:cs="Arial"/>
        </w:rPr>
      </w:pPr>
      <w:r w:rsidRPr="00243446">
        <w:rPr>
          <w:rFonts w:ascii="Arial" w:hAnsi="Arial" w:cs="Arial"/>
        </w:rPr>
        <w:br/>
      </w:r>
      <w:r w:rsidRPr="00243446">
        <w:rPr>
          <w:rFonts w:ascii="Arial" w:hAnsi="Arial" w:cs="Arial"/>
          <w:b/>
          <w:bCs/>
        </w:rPr>
        <w:t>Opis mjere:</w:t>
      </w:r>
      <w:r w:rsidRPr="00243446">
        <w:rPr>
          <w:rFonts w:ascii="Arial" w:hAnsi="Arial" w:cs="Arial"/>
        </w:rPr>
        <w:t xml:space="preserve"> Kako bi se obezbijedio efikasan i efektivan sistem za zaštitu finansijskih interesa EU od prevara, potrebno je pratiti najnovija dešavanja u ovoj oblasti. Za ovu svrhu, neophodno je redovno učestvovati na godišnjim konferencijama koje organizuje OLAF. Takođe, važno je dijeliti iskustva sa institucijama koje implementiraju IPA projekte. Kao što je prikazano u poglavlju 2.6.2, od ukupno 77 utvrđenih nepravilnosti, samo je 1 nepravilnost utvrđena na osnovu sumnje koju je prijavila Jedinica za implementaciju projekta, što ukazuje na potrebu za dodatnim podizanjem svijesti o značaju prijavljivanja nepravilnosti.</w:t>
      </w:r>
    </w:p>
    <w:p w:rsidR="009363D1" w:rsidRPr="00243446" w:rsidRDefault="009363D1" w:rsidP="009363D1">
      <w:pPr>
        <w:spacing w:after="160" w:line="259" w:lineRule="auto"/>
        <w:jc w:val="both"/>
        <w:rPr>
          <w:rFonts w:ascii="Arial" w:hAnsi="Arial" w:cs="Arial"/>
          <w:b/>
          <w:bCs/>
          <w:lang w:val="sr-Latn-ME"/>
        </w:rPr>
      </w:pPr>
      <w:r w:rsidRPr="00243446">
        <w:rPr>
          <w:rFonts w:ascii="Arial" w:hAnsi="Arial" w:cs="Arial"/>
          <w:b/>
          <w:bCs/>
        </w:rPr>
        <w:t xml:space="preserve">Mjera 3.5: </w:t>
      </w:r>
      <w:r w:rsidRPr="00243446">
        <w:rPr>
          <w:rFonts w:ascii="Arial" w:hAnsi="Arial" w:cs="Arial"/>
          <w:b/>
          <w:bCs/>
          <w:lang w:val="sr-Latn-ME"/>
        </w:rPr>
        <w:t>Uključivanje Direkcije za zaštitu finansijskih interesa EU / AFCOS u IPA Monitoring komitet kao posmatrača</w:t>
      </w:r>
    </w:p>
    <w:p w:rsidR="009363D1" w:rsidRPr="00243446" w:rsidRDefault="009363D1" w:rsidP="009363D1">
      <w:pPr>
        <w:spacing w:after="160" w:line="259" w:lineRule="auto"/>
        <w:jc w:val="both"/>
      </w:pPr>
      <w:r w:rsidRPr="00243446">
        <w:rPr>
          <w:rFonts w:ascii="Arial" w:hAnsi="Arial" w:cs="Arial"/>
          <w:b/>
          <w:bCs/>
        </w:rPr>
        <w:t>Opis mjere:</w:t>
      </w:r>
      <w:r w:rsidRPr="00243446">
        <w:rPr>
          <w:rFonts w:ascii="Arial" w:hAnsi="Arial" w:cs="Arial"/>
        </w:rPr>
        <w:t xml:space="preserve"> Kao što je navedeno u poglavlju 2.1.2, formalno učešće AFCOS kancelarije na godišnjim sastancima IPA monitoring komiteta poboljšalo bi vidljivost AFCOS kancelarije kao glavnog nacionalnog koordinatora za borbu protiv prevara i kontakt tačku za OLAF u oblasti zaštite finansijskih interesa EU. Takođe, promovisaće zajedničko razumijevanje značaja izrade ove Strategije.</w:t>
      </w:r>
    </w:p>
    <w:p w:rsidR="009363D1" w:rsidRPr="00243446" w:rsidRDefault="009363D1" w:rsidP="000F471C">
      <w:pPr>
        <w:spacing w:after="0" w:line="240" w:lineRule="auto"/>
        <w:rPr>
          <w:rFonts w:ascii="Arial" w:eastAsia="Times New Roman" w:hAnsi="Arial" w:cs="Arial"/>
          <w:b/>
          <w:bCs/>
          <w:lang w:val="sr-Latn-ME"/>
        </w:rPr>
      </w:pPr>
    </w:p>
    <w:p w:rsidR="009363D1" w:rsidRPr="00243446" w:rsidRDefault="009363D1" w:rsidP="000F471C">
      <w:pPr>
        <w:spacing w:after="0" w:line="240" w:lineRule="auto"/>
        <w:rPr>
          <w:rFonts w:ascii="Arial" w:eastAsia="Times New Roman" w:hAnsi="Arial" w:cs="Arial"/>
          <w:b/>
          <w:bCs/>
          <w:lang w:val="sr-Latn-ME"/>
        </w:rPr>
      </w:pPr>
    </w:p>
    <w:p w:rsidR="009363D1" w:rsidRPr="00243446" w:rsidRDefault="009363D1" w:rsidP="000F471C">
      <w:pPr>
        <w:spacing w:after="0" w:line="240" w:lineRule="auto"/>
        <w:rPr>
          <w:rFonts w:ascii="Arial" w:eastAsia="Times New Roman" w:hAnsi="Arial" w:cs="Arial"/>
          <w:b/>
          <w:bCs/>
          <w:lang w:val="sr-Latn-ME"/>
        </w:rPr>
      </w:pPr>
    </w:p>
    <w:p w:rsidR="000F471C" w:rsidRPr="00243446" w:rsidRDefault="000F471C" w:rsidP="000F471C">
      <w:pPr>
        <w:spacing w:after="0" w:line="240" w:lineRule="auto"/>
        <w:rPr>
          <w:rFonts w:ascii="Arial" w:eastAsia="Times New Roman" w:hAnsi="Arial" w:cs="Arial"/>
          <w:b/>
          <w:bCs/>
          <w:lang w:val="sr-Latn-ME"/>
        </w:rPr>
      </w:pPr>
      <w:r w:rsidRPr="00243446">
        <w:rPr>
          <w:rFonts w:ascii="Arial" w:eastAsia="Times New Roman" w:hAnsi="Arial" w:cs="Arial"/>
          <w:b/>
          <w:bCs/>
          <w:lang w:val="sr-Latn-ME"/>
        </w:rPr>
        <w:t xml:space="preserve">3.4. </w:t>
      </w:r>
      <w:bookmarkStart w:id="19" w:name="_Hlk194408042"/>
      <w:r w:rsidRPr="00243446">
        <w:rPr>
          <w:rFonts w:ascii="Arial" w:eastAsia="Times New Roman" w:hAnsi="Arial" w:cs="Arial"/>
          <w:b/>
          <w:bCs/>
          <w:lang w:val="sr-Latn-ME"/>
        </w:rPr>
        <w:t xml:space="preserve">OBLAST 4: </w:t>
      </w:r>
      <w:r w:rsidR="00440507" w:rsidRPr="00243446">
        <w:rPr>
          <w:rFonts w:ascii="Arial" w:eastAsia="Times New Roman" w:hAnsi="Arial" w:cs="Arial"/>
          <w:b/>
          <w:bCs/>
          <w:lang w:val="sr-Latn-ME"/>
        </w:rPr>
        <w:t>Otkrivanje</w:t>
      </w:r>
      <w:r w:rsidRPr="00243446">
        <w:rPr>
          <w:rFonts w:ascii="Arial" w:eastAsia="Times New Roman" w:hAnsi="Arial" w:cs="Arial"/>
          <w:b/>
          <w:bCs/>
          <w:lang w:val="sr-Latn-ME"/>
        </w:rPr>
        <w:t xml:space="preserve">, </w:t>
      </w:r>
      <w:r w:rsidR="00440507" w:rsidRPr="00243446">
        <w:rPr>
          <w:rFonts w:ascii="Arial" w:eastAsia="Times New Roman" w:hAnsi="Arial" w:cs="Arial"/>
          <w:b/>
          <w:bCs/>
          <w:lang w:val="sr-Latn-ME"/>
        </w:rPr>
        <w:t>postupanje</w:t>
      </w:r>
      <w:r w:rsidRPr="00243446">
        <w:rPr>
          <w:rFonts w:ascii="Arial" w:eastAsia="Times New Roman" w:hAnsi="Arial" w:cs="Arial"/>
          <w:b/>
          <w:bCs/>
          <w:lang w:val="sr-Latn-ME"/>
        </w:rPr>
        <w:t xml:space="preserve"> i izv</w:t>
      </w:r>
      <w:r w:rsidR="00D81B76" w:rsidRPr="00243446">
        <w:rPr>
          <w:rFonts w:ascii="Arial" w:eastAsia="Times New Roman" w:hAnsi="Arial" w:cs="Arial"/>
          <w:b/>
          <w:bCs/>
          <w:lang w:val="sr-Latn-ME"/>
        </w:rPr>
        <w:t>j</w:t>
      </w:r>
      <w:r w:rsidRPr="00243446">
        <w:rPr>
          <w:rFonts w:ascii="Arial" w:eastAsia="Times New Roman" w:hAnsi="Arial" w:cs="Arial"/>
          <w:b/>
          <w:bCs/>
          <w:lang w:val="sr-Latn-ME"/>
        </w:rPr>
        <w:t>eštavanje o nepravilnostima i sumnjama na prevaru</w:t>
      </w:r>
    </w:p>
    <w:bookmarkEnd w:id="19"/>
    <w:p w:rsidR="000F471C" w:rsidRPr="00243446" w:rsidRDefault="000F471C" w:rsidP="000F471C">
      <w:pPr>
        <w:spacing w:after="0" w:line="240" w:lineRule="auto"/>
        <w:rPr>
          <w:rFonts w:ascii="Arial" w:eastAsia="Times New Roman" w:hAnsi="Arial" w:cs="Arial"/>
          <w:lang w:val="sr-Latn-ME"/>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0"/>
      </w:tblGrid>
      <w:tr w:rsidR="000F471C" w:rsidRPr="00243446" w:rsidTr="00CB5F79">
        <w:trPr>
          <w:trHeight w:val="990"/>
        </w:trPr>
        <w:tc>
          <w:tcPr>
            <w:tcW w:w="9020" w:type="dxa"/>
          </w:tcPr>
          <w:p w:rsidR="000F471C" w:rsidRPr="00243446" w:rsidRDefault="000F471C" w:rsidP="00CB5F79">
            <w:pPr>
              <w:spacing w:before="100" w:beforeAutospacing="1" w:after="100" w:afterAutospacing="1" w:line="240" w:lineRule="auto"/>
              <w:ind w:left="30"/>
              <w:rPr>
                <w:rFonts w:ascii="Arial" w:eastAsia="Times New Roman" w:hAnsi="Arial" w:cs="Arial"/>
                <w:b/>
                <w:bCs/>
                <w:lang w:val="sr-Latn-ME"/>
              </w:rPr>
            </w:pPr>
            <w:r w:rsidRPr="00243446">
              <w:rPr>
                <w:rFonts w:ascii="Arial" w:eastAsia="Times New Roman" w:hAnsi="Arial" w:cs="Arial"/>
                <w:b/>
                <w:bCs/>
                <w:lang w:val="sr-Latn-ME"/>
              </w:rPr>
              <w:t>Operativni cilj 4:</w:t>
            </w:r>
            <w:r w:rsidRPr="00243446">
              <w:rPr>
                <w:rFonts w:ascii="Arial" w:eastAsia="Times New Roman" w:hAnsi="Arial" w:cs="Arial"/>
                <w:lang w:val="sr-Latn-ME"/>
              </w:rPr>
              <w:br/>
              <w:t xml:space="preserve">Održavanje kapaciteta za </w:t>
            </w:r>
            <w:r w:rsidR="00603834" w:rsidRPr="00243446">
              <w:rPr>
                <w:rFonts w:ascii="Arial" w:eastAsia="Times New Roman" w:hAnsi="Arial" w:cs="Arial"/>
                <w:lang w:val="sr-Latn-ME"/>
              </w:rPr>
              <w:t>otkrivanje</w:t>
            </w:r>
            <w:r w:rsidRPr="00243446">
              <w:rPr>
                <w:rFonts w:ascii="Arial" w:eastAsia="Times New Roman" w:hAnsi="Arial" w:cs="Arial"/>
                <w:lang w:val="sr-Latn-ME"/>
              </w:rPr>
              <w:t xml:space="preserve"> nepravilnosti uz </w:t>
            </w:r>
            <w:r w:rsidR="00603834" w:rsidRPr="00243446">
              <w:rPr>
                <w:rFonts w:ascii="Arial" w:eastAsia="Times New Roman" w:hAnsi="Arial" w:cs="Arial"/>
                <w:lang w:val="sr-Latn-ME"/>
              </w:rPr>
              <w:t xml:space="preserve">istovremeno </w:t>
            </w:r>
            <w:r w:rsidRPr="00243446">
              <w:rPr>
                <w:rFonts w:ascii="Arial" w:eastAsia="Times New Roman" w:hAnsi="Arial" w:cs="Arial"/>
                <w:lang w:val="sr-Latn-ME"/>
              </w:rPr>
              <w:t>poboljšanje kvaliteta izv</w:t>
            </w:r>
            <w:r w:rsidR="00D81B76" w:rsidRPr="00243446">
              <w:rPr>
                <w:rFonts w:ascii="Arial" w:eastAsia="Times New Roman" w:hAnsi="Arial" w:cs="Arial"/>
                <w:lang w:val="sr-Latn-ME"/>
              </w:rPr>
              <w:t>j</w:t>
            </w:r>
            <w:r w:rsidRPr="00243446">
              <w:rPr>
                <w:rFonts w:ascii="Arial" w:eastAsia="Times New Roman" w:hAnsi="Arial" w:cs="Arial"/>
                <w:lang w:val="sr-Latn-ME"/>
              </w:rPr>
              <w:t>eštavanja o nepravilnostima i unaprijeđenje prepoznavanja crvenih zastav</w:t>
            </w:r>
            <w:r w:rsidR="00877D5E" w:rsidRPr="00243446">
              <w:rPr>
                <w:rFonts w:ascii="Arial" w:eastAsia="Times New Roman" w:hAnsi="Arial" w:cs="Arial"/>
                <w:lang w:val="sr-Latn-ME"/>
              </w:rPr>
              <w:t>ica</w:t>
            </w:r>
            <w:r w:rsidRPr="00243446">
              <w:rPr>
                <w:rFonts w:ascii="Arial" w:eastAsia="Times New Roman" w:hAnsi="Arial" w:cs="Arial"/>
                <w:lang w:val="sr-Latn-ME"/>
              </w:rPr>
              <w:t xml:space="preserve"> i znakova prevar</w:t>
            </w:r>
            <w:r w:rsidR="00877D5E" w:rsidRPr="00243446">
              <w:rPr>
                <w:rFonts w:ascii="Arial" w:eastAsia="Times New Roman" w:hAnsi="Arial" w:cs="Arial"/>
                <w:lang w:val="sr-Latn-ME"/>
              </w:rPr>
              <w:t>a</w:t>
            </w:r>
            <w:r w:rsidRPr="00243446">
              <w:rPr>
                <w:rFonts w:ascii="Arial" w:eastAsia="Times New Roman" w:hAnsi="Arial" w:cs="Arial"/>
                <w:lang w:val="sr-Latn-ME"/>
              </w:rPr>
              <w:t>.</w:t>
            </w:r>
            <w:r w:rsidRPr="00243446">
              <w:rPr>
                <w:rFonts w:ascii="Arial" w:eastAsia="Times New Roman" w:hAnsi="Arial" w:cs="Arial"/>
                <w:lang w:val="sr-Latn-ME"/>
              </w:rPr>
              <w:br/>
            </w:r>
          </w:p>
        </w:tc>
      </w:tr>
    </w:tbl>
    <w:p w:rsidR="000F471C" w:rsidRPr="00243446" w:rsidRDefault="000F471C" w:rsidP="000F471C">
      <w:pPr>
        <w:spacing w:after="0" w:line="240" w:lineRule="auto"/>
        <w:rPr>
          <w:rFonts w:ascii="Arial" w:eastAsia="Times New Roman" w:hAnsi="Arial" w:cs="Arial"/>
          <w:lang w:val="sr-Latn-ME"/>
        </w:rPr>
      </w:pPr>
    </w:p>
    <w:p w:rsidR="009363D1" w:rsidRPr="00243446" w:rsidRDefault="009363D1" w:rsidP="000F471C">
      <w:pPr>
        <w:spacing w:after="0" w:line="240" w:lineRule="auto"/>
        <w:rPr>
          <w:rFonts w:ascii="Arial" w:eastAsia="Times New Roman" w:hAnsi="Arial" w:cs="Arial"/>
          <w:lang w:val="sr-Latn-ME"/>
        </w:rPr>
      </w:pPr>
    </w:p>
    <w:tbl>
      <w:tblPr>
        <w:tblStyle w:val="TableGrid"/>
        <w:tblW w:w="9085" w:type="dxa"/>
        <w:tblLook w:val="04A0" w:firstRow="1" w:lastRow="0" w:firstColumn="1" w:lastColumn="0" w:noHBand="0" w:noVBand="1"/>
      </w:tblPr>
      <w:tblGrid>
        <w:gridCol w:w="3964"/>
        <w:gridCol w:w="1626"/>
        <w:gridCol w:w="1803"/>
        <w:gridCol w:w="1692"/>
      </w:tblGrid>
      <w:tr w:rsidR="009363D1" w:rsidRPr="00243446" w:rsidTr="009363D1">
        <w:tc>
          <w:tcPr>
            <w:tcW w:w="3964" w:type="dxa"/>
            <w:vAlign w:val="center"/>
          </w:tcPr>
          <w:p w:rsidR="009363D1" w:rsidRPr="00243446" w:rsidRDefault="009363D1" w:rsidP="009363D1">
            <w:pPr>
              <w:spacing w:after="0" w:line="240" w:lineRule="auto"/>
              <w:rPr>
                <w:rFonts w:ascii="Arial" w:eastAsia="Times New Roman" w:hAnsi="Arial" w:cs="Arial"/>
                <w:b/>
                <w:bCs/>
                <w:sz w:val="22"/>
                <w:szCs w:val="22"/>
                <w:lang w:val="en-GB" w:eastAsia="en-US"/>
              </w:rPr>
            </w:pPr>
            <w:r w:rsidRPr="00243446">
              <w:rPr>
                <w:rFonts w:ascii="Arial" w:eastAsia="Times New Roman" w:hAnsi="Arial" w:cs="Arial"/>
                <w:b/>
                <w:bCs/>
                <w:sz w:val="22"/>
                <w:szCs w:val="22"/>
                <w:lang w:val="en-GB" w:eastAsia="en-US"/>
              </w:rPr>
              <w:t>Indikator uspjeha</w:t>
            </w:r>
          </w:p>
        </w:tc>
        <w:tc>
          <w:tcPr>
            <w:tcW w:w="1626" w:type="dxa"/>
          </w:tcPr>
          <w:p w:rsidR="009363D1" w:rsidRPr="00243446" w:rsidRDefault="009363D1" w:rsidP="009363D1">
            <w:pPr>
              <w:spacing w:after="0" w:line="240" w:lineRule="auto"/>
              <w:rPr>
                <w:rFonts w:ascii="Arial" w:eastAsia="Times New Roman" w:hAnsi="Arial" w:cs="Arial"/>
                <w:b/>
                <w:bCs/>
                <w:sz w:val="22"/>
                <w:szCs w:val="22"/>
                <w:lang w:val="en-GB" w:eastAsia="en-US"/>
              </w:rPr>
            </w:pPr>
            <w:r w:rsidRPr="00243446">
              <w:rPr>
                <w:rFonts w:ascii="Arial" w:eastAsia="Times New Roman" w:hAnsi="Arial" w:cs="Arial"/>
                <w:b/>
                <w:bCs/>
                <w:sz w:val="22"/>
                <w:szCs w:val="22"/>
                <w:lang w:eastAsia="en-US"/>
              </w:rPr>
              <w:t>Početna vrijednost u 2024</w:t>
            </w:r>
          </w:p>
        </w:tc>
        <w:tc>
          <w:tcPr>
            <w:tcW w:w="1803" w:type="dxa"/>
          </w:tcPr>
          <w:p w:rsidR="009363D1" w:rsidRPr="00243446" w:rsidRDefault="009363D1" w:rsidP="009363D1">
            <w:pPr>
              <w:spacing w:after="0" w:line="240" w:lineRule="auto"/>
              <w:rPr>
                <w:rFonts w:ascii="Arial" w:eastAsia="Times New Roman" w:hAnsi="Arial" w:cs="Arial"/>
                <w:b/>
                <w:bCs/>
                <w:sz w:val="22"/>
                <w:szCs w:val="22"/>
                <w:lang w:val="en-GB" w:eastAsia="en-US"/>
              </w:rPr>
            </w:pPr>
            <w:r w:rsidRPr="00243446">
              <w:rPr>
                <w:rFonts w:ascii="Arial" w:eastAsia="Times New Roman" w:hAnsi="Arial" w:cs="Arial"/>
                <w:b/>
                <w:bCs/>
                <w:sz w:val="22"/>
                <w:szCs w:val="22"/>
                <w:lang w:eastAsia="en-US"/>
              </w:rPr>
              <w:t>Početna vrijednost u 2026</w:t>
            </w:r>
          </w:p>
        </w:tc>
        <w:tc>
          <w:tcPr>
            <w:tcW w:w="1692" w:type="dxa"/>
          </w:tcPr>
          <w:p w:rsidR="009363D1" w:rsidRPr="00243446" w:rsidRDefault="009363D1" w:rsidP="009363D1">
            <w:pPr>
              <w:spacing w:after="0" w:line="240" w:lineRule="auto"/>
              <w:rPr>
                <w:rFonts w:ascii="Arial" w:eastAsia="Times New Roman" w:hAnsi="Arial" w:cs="Arial"/>
                <w:b/>
                <w:bCs/>
                <w:sz w:val="22"/>
                <w:szCs w:val="22"/>
                <w:lang w:val="en-GB" w:eastAsia="en-US"/>
              </w:rPr>
            </w:pPr>
            <w:r w:rsidRPr="00243446">
              <w:rPr>
                <w:rFonts w:ascii="Arial" w:eastAsia="Times New Roman" w:hAnsi="Arial" w:cs="Arial"/>
                <w:b/>
                <w:bCs/>
                <w:sz w:val="22"/>
                <w:szCs w:val="22"/>
                <w:lang w:eastAsia="en-US"/>
              </w:rPr>
              <w:t>Početna vrijednost u 2028</w:t>
            </w:r>
          </w:p>
        </w:tc>
      </w:tr>
      <w:tr w:rsidR="009363D1" w:rsidRPr="00243446" w:rsidTr="009363D1">
        <w:tc>
          <w:tcPr>
            <w:tcW w:w="3964" w:type="dxa"/>
          </w:tcPr>
          <w:p w:rsidR="009363D1" w:rsidRPr="00243446" w:rsidRDefault="009363D1" w:rsidP="009363D1">
            <w:pPr>
              <w:spacing w:after="0" w:line="240" w:lineRule="auto"/>
              <w:rPr>
                <w:rFonts w:ascii="Arial" w:eastAsia="Times New Roman" w:hAnsi="Arial" w:cs="Arial"/>
                <w:sz w:val="22"/>
                <w:szCs w:val="22"/>
                <w:lang w:eastAsia="en-US"/>
              </w:rPr>
            </w:pPr>
            <w:r w:rsidRPr="00243446">
              <w:rPr>
                <w:rFonts w:ascii="Arial" w:eastAsia="Times New Roman" w:hAnsi="Arial" w:cs="Arial"/>
                <w:sz w:val="22"/>
                <w:szCs w:val="22"/>
                <w:lang w:eastAsia="en-US"/>
              </w:rPr>
              <w:t xml:space="preserve">Procenat nepravilnosti prijavljenih </w:t>
            </w:r>
            <w:r w:rsidR="00D81B76" w:rsidRPr="00243446">
              <w:rPr>
                <w:rFonts w:ascii="Arial" w:eastAsia="Times New Roman" w:hAnsi="Arial" w:cs="Arial"/>
                <w:sz w:val="22"/>
                <w:szCs w:val="22"/>
                <w:lang w:eastAsia="en-US"/>
              </w:rPr>
              <w:t>kroz</w:t>
            </w:r>
            <w:r w:rsidRPr="00243446">
              <w:rPr>
                <w:rFonts w:ascii="Arial" w:eastAsia="Times New Roman" w:hAnsi="Arial" w:cs="Arial"/>
                <w:sz w:val="22"/>
                <w:szCs w:val="22"/>
                <w:lang w:eastAsia="en-US"/>
              </w:rPr>
              <w:t xml:space="preserve"> IMS unutar postavljenog roka (u roku od 45 dana od PACA datuma).</w:t>
            </w:r>
          </w:p>
          <w:p w:rsidR="009363D1" w:rsidRPr="00243446" w:rsidRDefault="009363D1" w:rsidP="009363D1">
            <w:pPr>
              <w:spacing w:after="0" w:line="240" w:lineRule="auto"/>
              <w:rPr>
                <w:rFonts w:ascii="Arial" w:eastAsia="Times New Roman" w:hAnsi="Arial" w:cs="Arial"/>
                <w:sz w:val="22"/>
                <w:szCs w:val="22"/>
                <w:lang w:eastAsia="en-US"/>
              </w:rPr>
            </w:pPr>
          </w:p>
        </w:tc>
        <w:tc>
          <w:tcPr>
            <w:tcW w:w="1626" w:type="dxa"/>
            <w:vAlign w:val="center"/>
          </w:tcPr>
          <w:p w:rsidR="009363D1" w:rsidRPr="00243446" w:rsidRDefault="009363D1" w:rsidP="009363D1">
            <w:pPr>
              <w:spacing w:after="0" w:line="240" w:lineRule="auto"/>
              <w:rPr>
                <w:rFonts w:ascii="Arial" w:eastAsia="Times New Roman" w:hAnsi="Arial" w:cs="Arial"/>
                <w:b/>
                <w:bCs/>
                <w:sz w:val="22"/>
                <w:szCs w:val="22"/>
                <w:lang w:val="en-GB" w:eastAsia="en-US"/>
              </w:rPr>
            </w:pPr>
            <w:r w:rsidRPr="00243446">
              <w:rPr>
                <w:rFonts w:ascii="Arial" w:eastAsia="Times New Roman" w:hAnsi="Arial" w:cs="Arial"/>
                <w:b/>
                <w:bCs/>
                <w:sz w:val="22"/>
                <w:szCs w:val="22"/>
                <w:lang w:val="en-GB" w:eastAsia="en-US"/>
              </w:rPr>
              <w:t>4%</w:t>
            </w:r>
          </w:p>
        </w:tc>
        <w:tc>
          <w:tcPr>
            <w:tcW w:w="1803" w:type="dxa"/>
            <w:vAlign w:val="center"/>
          </w:tcPr>
          <w:p w:rsidR="009363D1" w:rsidRPr="00243446" w:rsidRDefault="009363D1" w:rsidP="009363D1">
            <w:pPr>
              <w:spacing w:after="0" w:line="240" w:lineRule="auto"/>
              <w:rPr>
                <w:rFonts w:ascii="Arial" w:eastAsia="Times New Roman" w:hAnsi="Arial" w:cs="Arial"/>
                <w:b/>
                <w:bCs/>
                <w:sz w:val="22"/>
                <w:szCs w:val="22"/>
                <w:lang w:val="en-GB" w:eastAsia="en-US"/>
              </w:rPr>
            </w:pPr>
            <w:r w:rsidRPr="00243446">
              <w:rPr>
                <w:rFonts w:ascii="Arial" w:eastAsia="Times New Roman" w:hAnsi="Arial" w:cs="Arial"/>
                <w:b/>
                <w:bCs/>
                <w:sz w:val="22"/>
                <w:szCs w:val="22"/>
                <w:lang w:val="en-GB" w:eastAsia="en-US"/>
              </w:rPr>
              <w:t>50%</w:t>
            </w:r>
          </w:p>
        </w:tc>
        <w:tc>
          <w:tcPr>
            <w:tcW w:w="1692" w:type="dxa"/>
            <w:vAlign w:val="center"/>
          </w:tcPr>
          <w:p w:rsidR="009363D1" w:rsidRPr="00243446" w:rsidRDefault="009363D1" w:rsidP="009363D1">
            <w:pPr>
              <w:spacing w:after="0" w:line="240" w:lineRule="auto"/>
              <w:rPr>
                <w:rFonts w:ascii="Arial" w:eastAsia="Times New Roman" w:hAnsi="Arial" w:cs="Arial"/>
                <w:b/>
                <w:bCs/>
                <w:sz w:val="22"/>
                <w:szCs w:val="22"/>
                <w:lang w:val="en-GB" w:eastAsia="en-US"/>
              </w:rPr>
            </w:pPr>
            <w:r w:rsidRPr="00243446">
              <w:rPr>
                <w:rFonts w:ascii="Arial" w:eastAsia="Times New Roman" w:hAnsi="Arial" w:cs="Arial"/>
                <w:b/>
                <w:bCs/>
                <w:sz w:val="22"/>
                <w:szCs w:val="22"/>
                <w:lang w:val="en-GB" w:eastAsia="en-US"/>
              </w:rPr>
              <w:t>90%</w:t>
            </w:r>
          </w:p>
        </w:tc>
      </w:tr>
      <w:tr w:rsidR="009363D1" w:rsidRPr="00243446" w:rsidTr="009363D1">
        <w:tc>
          <w:tcPr>
            <w:tcW w:w="3964" w:type="dxa"/>
          </w:tcPr>
          <w:p w:rsidR="009363D1" w:rsidRPr="00243446" w:rsidRDefault="009363D1" w:rsidP="009363D1">
            <w:pPr>
              <w:spacing w:after="0" w:line="240" w:lineRule="auto"/>
              <w:rPr>
                <w:rFonts w:ascii="Arial" w:eastAsia="Times New Roman" w:hAnsi="Arial" w:cs="Arial"/>
                <w:sz w:val="22"/>
                <w:szCs w:val="22"/>
                <w:lang w:eastAsia="en-US"/>
              </w:rPr>
            </w:pPr>
            <w:r w:rsidRPr="00243446">
              <w:rPr>
                <w:rFonts w:ascii="Arial" w:eastAsia="Times New Roman" w:hAnsi="Arial" w:cs="Arial"/>
                <w:sz w:val="22"/>
                <w:szCs w:val="22"/>
                <w:lang w:eastAsia="en-US"/>
              </w:rPr>
              <w:t xml:space="preserve">Procenat nepravilnosti prijavljenih kao sumnja na prevaru </w:t>
            </w:r>
          </w:p>
          <w:p w:rsidR="009363D1" w:rsidRPr="00243446" w:rsidRDefault="009363D1" w:rsidP="009363D1">
            <w:pPr>
              <w:spacing w:after="0" w:line="240" w:lineRule="auto"/>
              <w:rPr>
                <w:rFonts w:ascii="Arial" w:eastAsia="Times New Roman" w:hAnsi="Arial" w:cs="Arial"/>
                <w:sz w:val="22"/>
                <w:szCs w:val="22"/>
                <w:lang w:eastAsia="en-US"/>
              </w:rPr>
            </w:pPr>
          </w:p>
        </w:tc>
        <w:tc>
          <w:tcPr>
            <w:tcW w:w="1626" w:type="dxa"/>
            <w:vAlign w:val="center"/>
          </w:tcPr>
          <w:p w:rsidR="009363D1" w:rsidRPr="00243446" w:rsidRDefault="009363D1" w:rsidP="009363D1">
            <w:pPr>
              <w:spacing w:after="0" w:line="240" w:lineRule="auto"/>
              <w:rPr>
                <w:rFonts w:ascii="Arial" w:eastAsia="Times New Roman" w:hAnsi="Arial" w:cs="Arial"/>
                <w:b/>
                <w:bCs/>
                <w:sz w:val="22"/>
                <w:szCs w:val="22"/>
                <w:lang w:val="en-GB" w:eastAsia="en-US"/>
              </w:rPr>
            </w:pPr>
            <w:r w:rsidRPr="00243446">
              <w:rPr>
                <w:rFonts w:ascii="Arial" w:eastAsia="Times New Roman" w:hAnsi="Arial" w:cs="Arial"/>
                <w:b/>
                <w:bCs/>
                <w:sz w:val="22"/>
                <w:szCs w:val="22"/>
                <w:lang w:val="en-GB" w:eastAsia="en-US"/>
              </w:rPr>
              <w:t>5%</w:t>
            </w:r>
          </w:p>
        </w:tc>
        <w:tc>
          <w:tcPr>
            <w:tcW w:w="1803" w:type="dxa"/>
            <w:vAlign w:val="center"/>
          </w:tcPr>
          <w:p w:rsidR="009363D1" w:rsidRPr="00243446" w:rsidRDefault="009363D1" w:rsidP="009363D1">
            <w:pPr>
              <w:spacing w:after="0" w:line="240" w:lineRule="auto"/>
              <w:rPr>
                <w:rFonts w:ascii="Arial" w:eastAsia="Times New Roman" w:hAnsi="Arial" w:cs="Arial"/>
                <w:b/>
                <w:bCs/>
                <w:sz w:val="22"/>
                <w:szCs w:val="22"/>
                <w:lang w:val="en-GB" w:eastAsia="en-US"/>
              </w:rPr>
            </w:pPr>
            <w:r w:rsidRPr="00243446">
              <w:rPr>
                <w:rFonts w:ascii="Arial" w:eastAsia="Times New Roman" w:hAnsi="Arial" w:cs="Arial"/>
                <w:b/>
                <w:bCs/>
                <w:sz w:val="22"/>
                <w:szCs w:val="22"/>
                <w:lang w:val="en-GB" w:eastAsia="en-US"/>
              </w:rPr>
              <w:t>6%</w:t>
            </w:r>
          </w:p>
        </w:tc>
        <w:tc>
          <w:tcPr>
            <w:tcW w:w="1692" w:type="dxa"/>
            <w:vAlign w:val="center"/>
          </w:tcPr>
          <w:p w:rsidR="009363D1" w:rsidRPr="00243446" w:rsidRDefault="009363D1" w:rsidP="009363D1">
            <w:pPr>
              <w:spacing w:after="0" w:line="240" w:lineRule="auto"/>
              <w:rPr>
                <w:rFonts w:ascii="Arial" w:eastAsia="Times New Roman" w:hAnsi="Arial" w:cs="Arial"/>
                <w:b/>
                <w:bCs/>
                <w:sz w:val="22"/>
                <w:szCs w:val="22"/>
                <w:lang w:val="en-GB" w:eastAsia="en-US"/>
              </w:rPr>
            </w:pPr>
            <w:r w:rsidRPr="00243446">
              <w:rPr>
                <w:rFonts w:ascii="Arial" w:eastAsia="Times New Roman" w:hAnsi="Arial" w:cs="Arial"/>
                <w:b/>
                <w:bCs/>
                <w:sz w:val="22"/>
                <w:szCs w:val="22"/>
                <w:lang w:val="en-GB" w:eastAsia="en-US"/>
              </w:rPr>
              <w:t>8%</w:t>
            </w:r>
          </w:p>
        </w:tc>
      </w:tr>
      <w:tr w:rsidR="009363D1" w:rsidRPr="00243446" w:rsidTr="009363D1">
        <w:tc>
          <w:tcPr>
            <w:tcW w:w="3964" w:type="dxa"/>
          </w:tcPr>
          <w:p w:rsidR="009363D1" w:rsidRPr="00243446" w:rsidRDefault="009363D1" w:rsidP="009363D1">
            <w:pPr>
              <w:spacing w:after="0" w:line="240" w:lineRule="auto"/>
              <w:rPr>
                <w:rFonts w:ascii="Arial" w:eastAsia="Times New Roman" w:hAnsi="Arial" w:cs="Arial"/>
                <w:sz w:val="22"/>
                <w:szCs w:val="22"/>
                <w:lang w:eastAsia="en-US"/>
              </w:rPr>
            </w:pPr>
            <w:r w:rsidRPr="00243446">
              <w:rPr>
                <w:rFonts w:ascii="Arial" w:eastAsia="Times New Roman" w:hAnsi="Arial" w:cs="Arial"/>
                <w:sz w:val="22"/>
                <w:szCs w:val="22"/>
                <w:lang w:eastAsia="en-US"/>
              </w:rPr>
              <w:t>Broj vraćenih izvještaja o nepravilnostima od strane Direkcije za zaštitu finansijskih interesa EU/AFCOS Implementacionim agencijama/ Posredničkim tijelima za finansijsko upravljanje, radi dorade.</w:t>
            </w:r>
          </w:p>
        </w:tc>
        <w:tc>
          <w:tcPr>
            <w:tcW w:w="1626" w:type="dxa"/>
            <w:vAlign w:val="center"/>
          </w:tcPr>
          <w:p w:rsidR="009363D1" w:rsidRPr="00243446" w:rsidRDefault="009363D1" w:rsidP="009363D1">
            <w:pPr>
              <w:spacing w:after="0" w:line="240" w:lineRule="auto"/>
              <w:rPr>
                <w:rFonts w:ascii="Arial" w:eastAsia="Times New Roman" w:hAnsi="Arial" w:cs="Arial"/>
                <w:b/>
                <w:bCs/>
                <w:sz w:val="22"/>
                <w:szCs w:val="22"/>
                <w:lang w:val="en-GB" w:eastAsia="en-US"/>
              </w:rPr>
            </w:pPr>
            <w:r w:rsidRPr="00243446">
              <w:rPr>
                <w:rFonts w:ascii="Arial" w:eastAsia="Times New Roman" w:hAnsi="Arial" w:cs="Arial"/>
                <w:b/>
                <w:bCs/>
                <w:sz w:val="22"/>
                <w:szCs w:val="22"/>
                <w:lang w:val="en-GB" w:eastAsia="en-US"/>
              </w:rPr>
              <w:t>60</w:t>
            </w:r>
          </w:p>
        </w:tc>
        <w:tc>
          <w:tcPr>
            <w:tcW w:w="1803" w:type="dxa"/>
            <w:vAlign w:val="center"/>
          </w:tcPr>
          <w:p w:rsidR="009363D1" w:rsidRPr="00243446" w:rsidRDefault="009363D1" w:rsidP="009363D1">
            <w:pPr>
              <w:spacing w:after="0" w:line="240" w:lineRule="auto"/>
              <w:rPr>
                <w:rFonts w:ascii="Arial" w:eastAsia="Times New Roman" w:hAnsi="Arial" w:cs="Arial"/>
                <w:b/>
                <w:bCs/>
                <w:sz w:val="22"/>
                <w:szCs w:val="22"/>
                <w:lang w:val="en-GB" w:eastAsia="en-US"/>
              </w:rPr>
            </w:pPr>
            <w:r w:rsidRPr="00243446">
              <w:rPr>
                <w:rFonts w:ascii="Arial" w:eastAsia="Times New Roman" w:hAnsi="Arial" w:cs="Arial"/>
                <w:b/>
                <w:bCs/>
                <w:sz w:val="22"/>
                <w:szCs w:val="22"/>
                <w:lang w:val="en-GB" w:eastAsia="en-US"/>
              </w:rPr>
              <w:t>40</w:t>
            </w:r>
          </w:p>
        </w:tc>
        <w:tc>
          <w:tcPr>
            <w:tcW w:w="1692" w:type="dxa"/>
            <w:vAlign w:val="center"/>
          </w:tcPr>
          <w:p w:rsidR="009363D1" w:rsidRPr="00243446" w:rsidRDefault="009363D1" w:rsidP="009363D1">
            <w:pPr>
              <w:spacing w:after="0" w:line="240" w:lineRule="auto"/>
              <w:rPr>
                <w:rFonts w:ascii="Arial" w:eastAsia="Times New Roman" w:hAnsi="Arial" w:cs="Arial"/>
                <w:b/>
                <w:bCs/>
                <w:sz w:val="22"/>
                <w:szCs w:val="22"/>
                <w:lang w:val="en-GB" w:eastAsia="en-US"/>
              </w:rPr>
            </w:pPr>
            <w:r w:rsidRPr="00243446">
              <w:rPr>
                <w:rFonts w:ascii="Arial" w:eastAsia="Times New Roman" w:hAnsi="Arial" w:cs="Arial"/>
                <w:b/>
                <w:bCs/>
                <w:sz w:val="22"/>
                <w:szCs w:val="22"/>
                <w:lang w:val="en-GB" w:eastAsia="en-US"/>
              </w:rPr>
              <w:t>20</w:t>
            </w:r>
          </w:p>
        </w:tc>
      </w:tr>
    </w:tbl>
    <w:p w:rsidR="009363D1" w:rsidRPr="00243446" w:rsidRDefault="009363D1" w:rsidP="000F471C">
      <w:pPr>
        <w:spacing w:after="0" w:line="240" w:lineRule="auto"/>
        <w:rPr>
          <w:rFonts w:ascii="Arial" w:eastAsia="Times New Roman" w:hAnsi="Arial" w:cs="Arial"/>
          <w:lang w:val="sr-Latn-ME"/>
        </w:rPr>
      </w:pPr>
    </w:p>
    <w:p w:rsidR="009363D1" w:rsidRPr="00243446" w:rsidRDefault="009363D1" w:rsidP="000F471C">
      <w:pPr>
        <w:spacing w:after="0" w:line="240" w:lineRule="auto"/>
        <w:rPr>
          <w:rFonts w:ascii="Arial" w:eastAsia="Times New Roman" w:hAnsi="Arial" w:cs="Arial"/>
          <w:b/>
          <w:bCs/>
          <w:lang w:val="sr-Latn-ME"/>
        </w:rPr>
      </w:pPr>
    </w:p>
    <w:p w:rsidR="009363D1" w:rsidRPr="00243446" w:rsidRDefault="009363D1" w:rsidP="009363D1">
      <w:pPr>
        <w:spacing w:after="160" w:line="259" w:lineRule="auto"/>
        <w:jc w:val="both"/>
        <w:rPr>
          <w:rFonts w:ascii="Arial" w:hAnsi="Arial" w:cs="Arial"/>
        </w:rPr>
      </w:pPr>
      <w:r w:rsidRPr="00243446">
        <w:rPr>
          <w:rFonts w:ascii="Arial" w:hAnsi="Arial" w:cs="Arial"/>
        </w:rPr>
        <w:t>Definisani cilj biće realizovan kroz sledeće mjere:</w:t>
      </w:r>
    </w:p>
    <w:p w:rsidR="009363D1" w:rsidRPr="00243446" w:rsidRDefault="009363D1" w:rsidP="009363D1">
      <w:pPr>
        <w:jc w:val="both"/>
        <w:rPr>
          <w:rFonts w:ascii="Arial" w:hAnsi="Arial" w:cs="Arial"/>
          <w:b/>
          <w:bCs/>
        </w:rPr>
      </w:pPr>
      <w:r w:rsidRPr="00243446">
        <w:rPr>
          <w:rFonts w:ascii="Arial" w:hAnsi="Arial" w:cs="Arial"/>
          <w:b/>
          <w:bCs/>
        </w:rPr>
        <w:t>Mjera 4.1: Unaprijeđenje smjernica za upravljanje nepravilnostima</w:t>
      </w:r>
    </w:p>
    <w:p w:rsidR="00FC69F0" w:rsidRPr="00243446" w:rsidRDefault="009363D1" w:rsidP="009363D1">
      <w:pPr>
        <w:spacing w:after="160" w:line="259" w:lineRule="auto"/>
        <w:jc w:val="both"/>
        <w:rPr>
          <w:rFonts w:ascii="Arial" w:hAnsi="Arial" w:cs="Arial"/>
        </w:rPr>
      </w:pPr>
      <w:r w:rsidRPr="00243446">
        <w:rPr>
          <w:rFonts w:ascii="Arial" w:hAnsi="Arial" w:cs="Arial"/>
        </w:rPr>
        <w:br/>
      </w:r>
      <w:r w:rsidRPr="00243446">
        <w:rPr>
          <w:rFonts w:ascii="Arial" w:hAnsi="Arial" w:cs="Arial"/>
          <w:b/>
          <w:bCs/>
        </w:rPr>
        <w:t>Opis mjere:</w:t>
      </w:r>
      <w:r w:rsidRPr="00243446">
        <w:rPr>
          <w:rFonts w:ascii="Arial" w:hAnsi="Arial" w:cs="Arial"/>
        </w:rPr>
        <w:t xml:space="preserve"> Kao što je navedeno u poglavlju 2.1.1, </w:t>
      </w:r>
      <w:r w:rsidR="00E0349C" w:rsidRPr="00243446">
        <w:rPr>
          <w:rFonts w:ascii="Arial" w:hAnsi="Arial" w:cs="Arial"/>
        </w:rPr>
        <w:t xml:space="preserve">tokom prethodnog perioda razvijene su </w:t>
      </w:r>
      <w:r w:rsidRPr="00243446">
        <w:rPr>
          <w:rFonts w:ascii="Arial" w:hAnsi="Arial" w:cs="Arial"/>
        </w:rPr>
        <w:t>Smjernice za upravljanje nepravilnostima i ažuriran</w:t>
      </w:r>
      <w:r w:rsidR="00D32D6A" w:rsidRPr="00243446">
        <w:rPr>
          <w:rFonts w:ascii="Arial" w:hAnsi="Arial" w:cs="Arial"/>
        </w:rPr>
        <w:t xml:space="preserve"> </w:t>
      </w:r>
      <w:r w:rsidRPr="00243446">
        <w:rPr>
          <w:rFonts w:ascii="Arial" w:hAnsi="Arial" w:cs="Arial"/>
        </w:rPr>
        <w:t>je Priručnik o procedurama za prijavu nepravilnosti. Međutim, nakon usvajanja novih pravnih dokumenata u Mjerama 1.1 i 1.2 ove smjernice će biti prilagođene. Smjernice za nepravilnosti biće pregledane u okviru Twinning projekta: „Dalje unapr</w:t>
      </w:r>
      <w:r w:rsidR="00B50637" w:rsidRPr="00243446">
        <w:rPr>
          <w:rFonts w:ascii="Arial" w:hAnsi="Arial" w:cs="Arial"/>
        </w:rPr>
        <w:t>ij</w:t>
      </w:r>
      <w:r w:rsidRPr="00243446">
        <w:rPr>
          <w:rFonts w:ascii="Arial" w:hAnsi="Arial" w:cs="Arial"/>
        </w:rPr>
        <w:t>eđenje funkcionisanja crnogorskog AFCOS sistema u cilju efikasne zaštite finansijskih interesa EU</w:t>
      </w:r>
      <w:r w:rsidR="00FC69F0" w:rsidRPr="00243446">
        <w:rPr>
          <w:rFonts w:ascii="Arial" w:hAnsi="Arial" w:cs="Arial"/>
        </w:rPr>
        <w:t xml:space="preserve"> </w:t>
      </w:r>
      <w:r w:rsidRPr="00243446">
        <w:rPr>
          <w:rFonts w:ascii="Arial" w:hAnsi="Arial" w:cs="Arial"/>
        </w:rPr>
        <w:t>“</w:t>
      </w:r>
      <w:r w:rsidR="00FC69F0" w:rsidRPr="00243446">
        <w:rPr>
          <w:rFonts w:ascii="Arial" w:hAnsi="Arial" w:cs="Arial"/>
        </w:rPr>
        <w:t xml:space="preserve"> </w:t>
      </w:r>
      <w:r w:rsidRPr="00243446">
        <w:rPr>
          <w:rFonts w:ascii="Arial" w:hAnsi="Arial" w:cs="Arial"/>
        </w:rPr>
        <w:t>i biće date preporuke. Takođe, biće neophodno uvrstiti izm</w:t>
      </w:r>
      <w:r w:rsidR="00B50637" w:rsidRPr="00243446">
        <w:rPr>
          <w:rFonts w:ascii="Arial" w:hAnsi="Arial" w:cs="Arial"/>
        </w:rPr>
        <w:t>j</w:t>
      </w:r>
      <w:r w:rsidRPr="00243446">
        <w:rPr>
          <w:rFonts w:ascii="Arial" w:hAnsi="Arial" w:cs="Arial"/>
        </w:rPr>
        <w:t xml:space="preserve">ene iz Smjernicama za upravljanje nepravilnostima u </w:t>
      </w:r>
      <w:r w:rsidR="00B50637" w:rsidRPr="00243446">
        <w:rPr>
          <w:rFonts w:ascii="Arial" w:hAnsi="Arial" w:cs="Arial"/>
        </w:rPr>
        <w:t xml:space="preserve">poglavlje </w:t>
      </w:r>
      <w:r w:rsidRPr="00243446">
        <w:rPr>
          <w:rFonts w:ascii="Arial" w:hAnsi="Arial" w:cs="Arial"/>
        </w:rPr>
        <w:t>„Nepravilnosti” Priručnika o procedurama za prijavu nepravilnosti.</w:t>
      </w:r>
    </w:p>
    <w:p w:rsidR="009363D1" w:rsidRPr="00243446" w:rsidRDefault="009363D1" w:rsidP="00FC69F0">
      <w:pPr>
        <w:spacing w:after="160" w:line="259" w:lineRule="auto"/>
        <w:jc w:val="both"/>
        <w:rPr>
          <w:rFonts w:ascii="Arial" w:hAnsi="Arial" w:cs="Arial"/>
        </w:rPr>
      </w:pPr>
      <w:r w:rsidRPr="00243446">
        <w:rPr>
          <w:rFonts w:ascii="Arial" w:hAnsi="Arial" w:cs="Arial"/>
        </w:rPr>
        <w:br/>
      </w:r>
      <w:r w:rsidRPr="00243446">
        <w:rPr>
          <w:rFonts w:ascii="Arial" w:hAnsi="Arial" w:cs="Arial"/>
          <w:b/>
          <w:bCs/>
        </w:rPr>
        <w:t xml:space="preserve">Mjera 4.2: </w:t>
      </w:r>
      <w:r w:rsidRPr="00243446">
        <w:rPr>
          <w:rFonts w:ascii="Arial" w:hAnsi="Arial" w:cs="Arial"/>
          <w:b/>
          <w:bCs/>
          <w:lang w:val="sr-Latn-ME"/>
        </w:rPr>
        <w:t>Unapr</w:t>
      </w:r>
      <w:r w:rsidR="005665E3" w:rsidRPr="00243446">
        <w:rPr>
          <w:rFonts w:ascii="Arial" w:hAnsi="Arial" w:cs="Arial"/>
          <w:b/>
          <w:bCs/>
          <w:lang w:val="sr-Latn-ME"/>
        </w:rPr>
        <w:t>i</w:t>
      </w:r>
      <w:r w:rsidRPr="00243446">
        <w:rPr>
          <w:rFonts w:ascii="Arial" w:hAnsi="Arial" w:cs="Arial"/>
          <w:b/>
          <w:bCs/>
          <w:lang w:val="sr-Latn-ME"/>
        </w:rPr>
        <w:t>jeđenje indirektnog sistema upravljanja i kontrole za implementaciju projekata iz IPA fondova</w:t>
      </w:r>
    </w:p>
    <w:p w:rsidR="00FC69F0" w:rsidRPr="00243446" w:rsidRDefault="009363D1" w:rsidP="009363D1">
      <w:pPr>
        <w:spacing w:after="160" w:line="259" w:lineRule="auto"/>
        <w:jc w:val="both"/>
        <w:rPr>
          <w:rFonts w:ascii="Arial" w:hAnsi="Arial" w:cs="Arial"/>
        </w:rPr>
      </w:pPr>
      <w:r w:rsidRPr="00243446">
        <w:rPr>
          <w:rFonts w:ascii="Arial" w:hAnsi="Arial" w:cs="Arial"/>
          <w:b/>
          <w:bCs/>
        </w:rPr>
        <w:t>Opis mjere:</w:t>
      </w:r>
      <w:r w:rsidRPr="00243446">
        <w:rPr>
          <w:rFonts w:ascii="Arial" w:hAnsi="Arial" w:cs="Arial"/>
        </w:rPr>
        <w:t xml:space="preserve"> Kao što je naznačeno u poglavlju 2.2, analiza rizika od prevara je otkrila rizik od neprepoznavanja i nepravilne klasifikacije nepravilnosti, pa je potrebno unaprijediti kvalitet unosa podataka o nepravilnostima u registre nepravilnosti s ciljem poboljšanja pouzdanosti izvještavanja o nepravilnostima, naročito u vezi sa vrstama nepravilnosti, načinima otkrivanja i finansijskim statistikama. Upitnik će biti distribuiran implementacionim agencijama radi samoprocjene razloga kašnjenja i vremena izvještavanja kroz IMS. Kada se odgovori na upitnik analiziraju, aktivnosti za unapr</w:t>
      </w:r>
      <w:r w:rsidR="005665E3" w:rsidRPr="00243446">
        <w:rPr>
          <w:rFonts w:ascii="Arial" w:hAnsi="Arial" w:cs="Arial"/>
        </w:rPr>
        <w:t>ij</w:t>
      </w:r>
      <w:r w:rsidRPr="00243446">
        <w:rPr>
          <w:rFonts w:ascii="Arial" w:hAnsi="Arial" w:cs="Arial"/>
        </w:rPr>
        <w:t>eđenje kvaliteta izvještaja biće planirane u Akcionom planu za period 2027-2028.</w:t>
      </w:r>
    </w:p>
    <w:p w:rsidR="009363D1" w:rsidRPr="00243446" w:rsidRDefault="009363D1" w:rsidP="009363D1">
      <w:pPr>
        <w:spacing w:after="160" w:line="259" w:lineRule="auto"/>
        <w:jc w:val="both"/>
        <w:rPr>
          <w:rFonts w:ascii="Arial" w:hAnsi="Arial" w:cs="Arial"/>
        </w:rPr>
      </w:pPr>
      <w:r w:rsidRPr="00243446">
        <w:rPr>
          <w:rFonts w:ascii="Arial" w:hAnsi="Arial" w:cs="Arial"/>
        </w:rPr>
        <w:t xml:space="preserve"> </w:t>
      </w:r>
      <w:r w:rsidRPr="00243446">
        <w:rPr>
          <w:rFonts w:ascii="Arial" w:hAnsi="Arial" w:cs="Arial"/>
        </w:rPr>
        <w:br/>
      </w:r>
      <w:r w:rsidR="005665E3" w:rsidRPr="00243446">
        <w:rPr>
          <w:rFonts w:ascii="Arial" w:hAnsi="Arial" w:cs="Arial"/>
        </w:rPr>
        <w:t>Takođe, a</w:t>
      </w:r>
      <w:r w:rsidRPr="00243446">
        <w:rPr>
          <w:rFonts w:ascii="Arial" w:hAnsi="Arial" w:cs="Arial"/>
        </w:rPr>
        <w:t xml:space="preserve">nalizom je uočeno nekoliko </w:t>
      </w:r>
      <w:r w:rsidR="005665E3" w:rsidRPr="00243446">
        <w:rPr>
          <w:rFonts w:ascii="Arial" w:hAnsi="Arial" w:cs="Arial"/>
        </w:rPr>
        <w:t>nedostataka</w:t>
      </w:r>
      <w:r w:rsidRPr="00243446">
        <w:rPr>
          <w:rFonts w:ascii="Arial" w:hAnsi="Arial" w:cs="Arial"/>
        </w:rPr>
        <w:t xml:space="preserve"> u sistemu upravljanja i kontrole, uključujući:</w:t>
      </w:r>
    </w:p>
    <w:p w:rsidR="009363D1" w:rsidRPr="00243446" w:rsidRDefault="009363D1" w:rsidP="009363D1">
      <w:pPr>
        <w:numPr>
          <w:ilvl w:val="0"/>
          <w:numId w:val="46"/>
        </w:numPr>
        <w:spacing w:after="160" w:line="259" w:lineRule="auto"/>
        <w:jc w:val="both"/>
        <w:rPr>
          <w:rFonts w:ascii="Arial" w:hAnsi="Arial" w:cs="Arial"/>
        </w:rPr>
      </w:pPr>
      <w:r w:rsidRPr="00243446">
        <w:rPr>
          <w:rFonts w:ascii="Arial" w:hAnsi="Arial" w:cs="Arial"/>
        </w:rPr>
        <w:t>Neadekvatnu verifikaciju duplog finansiranja EU projekata, zbog nedostatka jedinstvene baze podataka EU projekata.</w:t>
      </w:r>
    </w:p>
    <w:p w:rsidR="00FC69F0" w:rsidRPr="00243446" w:rsidRDefault="005665E3" w:rsidP="00FC69F0">
      <w:pPr>
        <w:numPr>
          <w:ilvl w:val="0"/>
          <w:numId w:val="46"/>
        </w:numPr>
        <w:spacing w:after="160" w:line="259" w:lineRule="auto"/>
        <w:jc w:val="both"/>
        <w:rPr>
          <w:rFonts w:ascii="Arial" w:hAnsi="Arial" w:cs="Arial"/>
        </w:rPr>
      </w:pPr>
      <w:r w:rsidRPr="00243446">
        <w:rPr>
          <w:rFonts w:ascii="Arial" w:hAnsi="Arial" w:cs="Arial"/>
        </w:rPr>
        <w:t>Neadekvatnu p</w:t>
      </w:r>
      <w:r w:rsidR="009363D1" w:rsidRPr="00243446">
        <w:rPr>
          <w:rFonts w:ascii="Arial" w:hAnsi="Arial" w:cs="Arial"/>
        </w:rPr>
        <w:t>rov</w:t>
      </w:r>
      <w:r w:rsidRPr="00243446">
        <w:rPr>
          <w:rFonts w:ascii="Arial" w:hAnsi="Arial" w:cs="Arial"/>
        </w:rPr>
        <w:t>j</w:t>
      </w:r>
      <w:r w:rsidR="009363D1" w:rsidRPr="00243446">
        <w:rPr>
          <w:rFonts w:ascii="Arial" w:hAnsi="Arial" w:cs="Arial"/>
        </w:rPr>
        <w:t>eru povezanosti osoba u smislu sukoba interesa, kada je u pitanju implementacija kontrola na licu m</w:t>
      </w:r>
      <w:r w:rsidRPr="00243446">
        <w:rPr>
          <w:rFonts w:ascii="Arial" w:hAnsi="Arial" w:cs="Arial"/>
        </w:rPr>
        <w:t>j</w:t>
      </w:r>
      <w:r w:rsidR="009363D1" w:rsidRPr="00243446">
        <w:rPr>
          <w:rFonts w:ascii="Arial" w:hAnsi="Arial" w:cs="Arial"/>
        </w:rPr>
        <w:t>esta, što može dovesti do prihvatanja neopravdanih troškova i drugih nepravilnosti.</w:t>
      </w:r>
    </w:p>
    <w:p w:rsidR="009363D1" w:rsidRPr="00243446" w:rsidRDefault="009363D1" w:rsidP="00FC69F0">
      <w:pPr>
        <w:spacing w:after="160" w:line="259" w:lineRule="auto"/>
        <w:jc w:val="both"/>
        <w:rPr>
          <w:rFonts w:ascii="Arial" w:hAnsi="Arial" w:cs="Arial"/>
        </w:rPr>
      </w:pPr>
      <w:r w:rsidRPr="00243446">
        <w:rPr>
          <w:rFonts w:ascii="Arial" w:hAnsi="Arial" w:cs="Arial"/>
        </w:rPr>
        <w:br/>
        <w:t>Kako bi se prevazišl</w:t>
      </w:r>
      <w:r w:rsidR="005665E3" w:rsidRPr="00243446">
        <w:rPr>
          <w:rFonts w:ascii="Arial" w:hAnsi="Arial" w:cs="Arial"/>
        </w:rPr>
        <w:t>i ovi nedostaci</w:t>
      </w:r>
      <w:r w:rsidRPr="00243446">
        <w:rPr>
          <w:rFonts w:ascii="Arial" w:hAnsi="Arial" w:cs="Arial"/>
        </w:rPr>
        <w:t>, sledeće aktivnosti će biti uključene u Akcioni plan NAFS-a:</w:t>
      </w:r>
    </w:p>
    <w:p w:rsidR="009363D1" w:rsidRPr="00243446" w:rsidRDefault="009363D1" w:rsidP="005665E3">
      <w:pPr>
        <w:pStyle w:val="ListParagraph"/>
        <w:numPr>
          <w:ilvl w:val="0"/>
          <w:numId w:val="48"/>
        </w:numPr>
        <w:spacing w:after="160" w:line="259" w:lineRule="auto"/>
        <w:rPr>
          <w:rFonts w:cs="Arial"/>
          <w:sz w:val="22"/>
          <w:szCs w:val="22"/>
        </w:rPr>
      </w:pPr>
      <w:r w:rsidRPr="00243446">
        <w:rPr>
          <w:rFonts w:cs="Arial"/>
          <w:sz w:val="22"/>
          <w:szCs w:val="22"/>
        </w:rPr>
        <w:t>Kreira</w:t>
      </w:r>
      <w:r w:rsidR="005665E3" w:rsidRPr="00243446">
        <w:rPr>
          <w:rFonts w:cs="Arial"/>
          <w:sz w:val="22"/>
          <w:szCs w:val="22"/>
          <w:lang w:val="sr-Latn-ME"/>
        </w:rPr>
        <w:t>nje</w:t>
      </w:r>
      <w:r w:rsidRPr="00243446">
        <w:rPr>
          <w:rFonts w:cs="Arial"/>
          <w:sz w:val="22"/>
          <w:szCs w:val="22"/>
        </w:rPr>
        <w:t xml:space="preserve"> jedinstven</w:t>
      </w:r>
      <w:r w:rsidR="005665E3" w:rsidRPr="00243446">
        <w:rPr>
          <w:rFonts w:cs="Arial"/>
          <w:sz w:val="22"/>
          <w:szCs w:val="22"/>
          <w:lang w:val="sr-Latn-ME"/>
        </w:rPr>
        <w:t>e</w:t>
      </w:r>
      <w:r w:rsidRPr="00243446">
        <w:rPr>
          <w:rFonts w:cs="Arial"/>
          <w:sz w:val="22"/>
          <w:szCs w:val="22"/>
        </w:rPr>
        <w:t xml:space="preserve"> elektronsk</w:t>
      </w:r>
      <w:r w:rsidR="005665E3" w:rsidRPr="00243446">
        <w:rPr>
          <w:rFonts w:cs="Arial"/>
          <w:sz w:val="22"/>
          <w:szCs w:val="22"/>
          <w:lang w:val="sr-Latn-ME"/>
        </w:rPr>
        <w:t>e</w:t>
      </w:r>
      <w:r w:rsidRPr="00243446">
        <w:rPr>
          <w:rFonts w:cs="Arial"/>
          <w:sz w:val="22"/>
          <w:szCs w:val="22"/>
        </w:rPr>
        <w:t xml:space="preserve"> baz</w:t>
      </w:r>
      <w:r w:rsidR="005665E3" w:rsidRPr="00243446">
        <w:rPr>
          <w:rFonts w:cs="Arial"/>
          <w:sz w:val="22"/>
          <w:szCs w:val="22"/>
          <w:lang w:val="sr-Latn-ME"/>
        </w:rPr>
        <w:t>e</w:t>
      </w:r>
      <w:r w:rsidRPr="00243446">
        <w:rPr>
          <w:rFonts w:cs="Arial"/>
          <w:sz w:val="22"/>
          <w:szCs w:val="22"/>
        </w:rPr>
        <w:t xml:space="preserve"> podataka projekata finansiranih iz EU podrške tj. internet platform</w:t>
      </w:r>
      <w:r w:rsidR="005665E3" w:rsidRPr="00243446">
        <w:rPr>
          <w:rFonts w:cs="Arial"/>
          <w:sz w:val="22"/>
          <w:szCs w:val="22"/>
          <w:lang w:val="sr-Latn-ME"/>
        </w:rPr>
        <w:t>e</w:t>
      </w:r>
      <w:r w:rsidRPr="00243446">
        <w:rPr>
          <w:rFonts w:cs="Arial"/>
          <w:sz w:val="22"/>
          <w:szCs w:val="22"/>
        </w:rPr>
        <w:t xml:space="preserve"> za EU fondove u Crnoj Gori i omoguć</w:t>
      </w:r>
      <w:r w:rsidR="005665E3" w:rsidRPr="00243446">
        <w:rPr>
          <w:rFonts w:cs="Arial"/>
          <w:sz w:val="22"/>
          <w:szCs w:val="22"/>
          <w:lang w:val="sr-Latn-ME"/>
        </w:rPr>
        <w:t>avanje</w:t>
      </w:r>
      <w:r w:rsidRPr="00243446">
        <w:rPr>
          <w:rFonts w:cs="Arial"/>
          <w:sz w:val="22"/>
          <w:szCs w:val="22"/>
        </w:rPr>
        <w:t xml:space="preserve"> pristup</w:t>
      </w:r>
      <w:r w:rsidR="005665E3" w:rsidRPr="00243446">
        <w:rPr>
          <w:rFonts w:cs="Arial"/>
          <w:sz w:val="22"/>
          <w:szCs w:val="22"/>
          <w:lang w:val="sr-Latn-ME"/>
        </w:rPr>
        <w:t>a</w:t>
      </w:r>
      <w:r w:rsidRPr="00243446">
        <w:rPr>
          <w:rFonts w:cs="Arial"/>
          <w:sz w:val="22"/>
          <w:szCs w:val="22"/>
        </w:rPr>
        <w:t xml:space="preserve"> istoj u cilju objedinjavanja svih neophodnih informacija za krajnje korisnike EU podrške i buduće potencijalne aplikante. Uvođenje obaveze u Priručnik o procedurama za službenike IPA struktura da obavljaju ovu vrstu kontrole.</w:t>
      </w:r>
    </w:p>
    <w:p w:rsidR="005665E3" w:rsidRPr="00243446" w:rsidRDefault="005665E3" w:rsidP="005665E3">
      <w:pPr>
        <w:pStyle w:val="ListParagraph"/>
        <w:spacing w:after="160" w:line="259" w:lineRule="auto"/>
        <w:rPr>
          <w:rFonts w:cs="Arial"/>
          <w:sz w:val="22"/>
          <w:szCs w:val="22"/>
        </w:rPr>
      </w:pPr>
    </w:p>
    <w:p w:rsidR="009363D1" w:rsidRPr="00243446" w:rsidRDefault="009363D1" w:rsidP="005665E3">
      <w:pPr>
        <w:pStyle w:val="ListParagraph"/>
        <w:numPr>
          <w:ilvl w:val="0"/>
          <w:numId w:val="48"/>
        </w:numPr>
        <w:spacing w:before="100" w:beforeAutospacing="1" w:after="100" w:afterAutospacing="1" w:line="240" w:lineRule="auto"/>
        <w:rPr>
          <w:rFonts w:cs="Arial"/>
          <w:sz w:val="22"/>
          <w:szCs w:val="22"/>
        </w:rPr>
      </w:pPr>
      <w:r w:rsidRPr="00243446">
        <w:rPr>
          <w:rFonts w:cs="Arial"/>
          <w:sz w:val="22"/>
          <w:szCs w:val="22"/>
        </w:rPr>
        <w:t>Propisivanje procedure komunikacije između IPA struktura za provjeru povezanosti osoba koje sprovode kontrolu na licu m</w:t>
      </w:r>
      <w:r w:rsidR="005665E3" w:rsidRPr="00243446">
        <w:rPr>
          <w:rFonts w:cs="Arial"/>
          <w:sz w:val="22"/>
          <w:szCs w:val="22"/>
          <w:lang w:val="sr-Latn-ME"/>
        </w:rPr>
        <w:t>j</w:t>
      </w:r>
      <w:r w:rsidRPr="00243446">
        <w:rPr>
          <w:rFonts w:cs="Arial"/>
          <w:sz w:val="22"/>
          <w:szCs w:val="22"/>
        </w:rPr>
        <w:t>esta sa osobama čiji je rad predmet kontrole, prije zvaničnog izdavanja ovlašćenog obrasca za sprovođenje kontrole. Uvođenje u procedure Izjava o nezavisnosti</w:t>
      </w:r>
      <w:r w:rsidR="005665E3" w:rsidRPr="00243446">
        <w:rPr>
          <w:rFonts w:cs="Arial"/>
          <w:sz w:val="22"/>
          <w:szCs w:val="22"/>
          <w:lang w:val="sr-Latn-ME"/>
        </w:rPr>
        <w:t>,</w:t>
      </w:r>
      <w:r w:rsidRPr="00243446">
        <w:rPr>
          <w:rFonts w:cs="Arial"/>
          <w:sz w:val="22"/>
          <w:szCs w:val="22"/>
        </w:rPr>
        <w:t xml:space="preserve"> da osobe koje obavljaju kontrole i osobe čiji rad je predmet kontrole nisu povezane.</w:t>
      </w:r>
    </w:p>
    <w:p w:rsidR="009363D1" w:rsidRPr="00243446" w:rsidRDefault="009363D1" w:rsidP="009363D1">
      <w:pPr>
        <w:spacing w:after="0" w:line="240" w:lineRule="auto"/>
        <w:rPr>
          <w:rFonts w:ascii="Arial" w:eastAsia="Times New Roman" w:hAnsi="Arial" w:cs="Arial"/>
          <w:b/>
          <w:bCs/>
          <w:lang w:val="sr-Latn-ME"/>
        </w:rPr>
      </w:pPr>
    </w:p>
    <w:p w:rsidR="000F471C" w:rsidRPr="00243446" w:rsidRDefault="000F471C" w:rsidP="000F471C">
      <w:pPr>
        <w:spacing w:after="0" w:line="240" w:lineRule="auto"/>
        <w:rPr>
          <w:rFonts w:ascii="Arial" w:eastAsia="Times New Roman" w:hAnsi="Arial" w:cs="Arial"/>
          <w:b/>
          <w:bCs/>
          <w:lang w:val="sr-Latn-ME"/>
        </w:rPr>
      </w:pPr>
      <w:r w:rsidRPr="00243446">
        <w:rPr>
          <w:rFonts w:ascii="Arial" w:eastAsia="Times New Roman" w:hAnsi="Arial" w:cs="Arial"/>
          <w:b/>
          <w:bCs/>
          <w:lang w:val="sr-Latn-ME"/>
        </w:rPr>
        <w:t xml:space="preserve">3.5. OBLAST 5: Istraga prevara i </w:t>
      </w:r>
      <w:r w:rsidR="00877D5E" w:rsidRPr="00243446">
        <w:rPr>
          <w:rFonts w:ascii="Arial" w:eastAsia="Times New Roman" w:hAnsi="Arial" w:cs="Arial"/>
          <w:b/>
          <w:bCs/>
          <w:lang w:val="sr-Latn-ME"/>
        </w:rPr>
        <w:t>krivično postupanje</w:t>
      </w:r>
    </w:p>
    <w:p w:rsidR="000F471C" w:rsidRPr="00243446" w:rsidRDefault="000F471C" w:rsidP="000F471C">
      <w:pPr>
        <w:spacing w:after="0" w:line="240" w:lineRule="auto"/>
        <w:rPr>
          <w:rFonts w:ascii="Arial" w:eastAsia="Times New Roman" w:hAnsi="Arial" w:cs="Arial"/>
          <w:lang w:val="sr-Latn-ME"/>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1"/>
      </w:tblGrid>
      <w:tr w:rsidR="000F471C" w:rsidRPr="00243446" w:rsidTr="00CB5F79">
        <w:trPr>
          <w:trHeight w:val="553"/>
        </w:trPr>
        <w:tc>
          <w:tcPr>
            <w:tcW w:w="9089" w:type="dxa"/>
          </w:tcPr>
          <w:p w:rsidR="000F471C" w:rsidRPr="00243446" w:rsidRDefault="000F471C" w:rsidP="00CB5F79">
            <w:pPr>
              <w:spacing w:before="100" w:beforeAutospacing="1" w:after="100" w:afterAutospacing="1" w:line="240" w:lineRule="auto"/>
              <w:ind w:left="50"/>
              <w:rPr>
                <w:rFonts w:ascii="Arial" w:eastAsia="Times New Roman" w:hAnsi="Arial" w:cs="Arial"/>
                <w:b/>
                <w:bCs/>
                <w:lang w:val="sr-Latn-ME"/>
              </w:rPr>
            </w:pPr>
            <w:r w:rsidRPr="00243446">
              <w:rPr>
                <w:rFonts w:ascii="Arial" w:eastAsia="Times New Roman" w:hAnsi="Arial" w:cs="Arial"/>
                <w:b/>
                <w:bCs/>
                <w:lang w:val="sr-Latn-ME"/>
              </w:rPr>
              <w:t>Operativni cilj 5:</w:t>
            </w:r>
            <w:r w:rsidRPr="00243446">
              <w:rPr>
                <w:rFonts w:ascii="Arial" w:eastAsia="Times New Roman" w:hAnsi="Arial" w:cs="Arial"/>
                <w:lang w:val="sr-Latn-ME"/>
              </w:rPr>
              <w:br/>
              <w:t>Poboljšanje saradnje između istražnih tijela, AFCOS-a i OLAF-a.</w:t>
            </w:r>
            <w:r w:rsidRPr="00243446">
              <w:rPr>
                <w:rFonts w:ascii="Arial" w:eastAsia="Times New Roman" w:hAnsi="Arial" w:cs="Arial"/>
                <w:lang w:val="sr-Latn-ME"/>
              </w:rPr>
              <w:br/>
            </w:r>
          </w:p>
        </w:tc>
      </w:tr>
    </w:tbl>
    <w:p w:rsidR="009363D1" w:rsidRPr="00243446" w:rsidRDefault="009363D1" w:rsidP="000F471C">
      <w:pPr>
        <w:spacing w:before="100" w:beforeAutospacing="1" w:after="100" w:afterAutospacing="1" w:line="240" w:lineRule="auto"/>
        <w:outlineLvl w:val="2"/>
        <w:rPr>
          <w:rFonts w:ascii="Arial" w:eastAsia="Times New Roman" w:hAnsi="Arial" w:cs="Arial"/>
          <w:lang w:val="sr-Latn-ME"/>
        </w:rPr>
      </w:pPr>
    </w:p>
    <w:tbl>
      <w:tblPr>
        <w:tblStyle w:val="TableGrid"/>
        <w:tblW w:w="9090" w:type="dxa"/>
        <w:tblInd w:w="-95" w:type="dxa"/>
        <w:tblLook w:val="04A0" w:firstRow="1" w:lastRow="0" w:firstColumn="1" w:lastColumn="0" w:noHBand="0" w:noVBand="1"/>
      </w:tblPr>
      <w:tblGrid>
        <w:gridCol w:w="4059"/>
        <w:gridCol w:w="1626"/>
        <w:gridCol w:w="1803"/>
        <w:gridCol w:w="1602"/>
      </w:tblGrid>
      <w:tr w:rsidR="009363D1" w:rsidRPr="00243446" w:rsidTr="009363D1">
        <w:tc>
          <w:tcPr>
            <w:tcW w:w="4059" w:type="dxa"/>
            <w:vAlign w:val="center"/>
          </w:tcPr>
          <w:p w:rsidR="009363D1" w:rsidRPr="00243446" w:rsidRDefault="009363D1" w:rsidP="009363D1">
            <w:pPr>
              <w:spacing w:before="100" w:beforeAutospacing="1" w:after="100" w:afterAutospacing="1" w:line="240" w:lineRule="auto"/>
              <w:outlineLvl w:val="2"/>
              <w:rPr>
                <w:rFonts w:ascii="Arial" w:eastAsia="Times New Roman" w:hAnsi="Arial" w:cs="Arial"/>
                <w:b/>
                <w:bCs/>
                <w:sz w:val="22"/>
                <w:szCs w:val="22"/>
                <w:lang w:val="en-GB" w:eastAsia="en-US"/>
              </w:rPr>
            </w:pPr>
            <w:bookmarkStart w:id="20" w:name="_Hlk197941901"/>
            <w:r w:rsidRPr="00243446">
              <w:rPr>
                <w:rFonts w:ascii="Arial" w:eastAsia="Times New Roman" w:hAnsi="Arial" w:cs="Arial"/>
                <w:b/>
                <w:bCs/>
                <w:sz w:val="22"/>
                <w:szCs w:val="22"/>
                <w:lang w:val="en-GB" w:eastAsia="en-US"/>
              </w:rPr>
              <w:t>Indikator uspjeha</w:t>
            </w:r>
          </w:p>
        </w:tc>
        <w:tc>
          <w:tcPr>
            <w:tcW w:w="1626" w:type="dxa"/>
          </w:tcPr>
          <w:p w:rsidR="009363D1" w:rsidRPr="00243446" w:rsidRDefault="009363D1" w:rsidP="009363D1">
            <w:pPr>
              <w:spacing w:before="100" w:beforeAutospacing="1" w:after="100" w:afterAutospacing="1" w:line="240" w:lineRule="auto"/>
              <w:outlineLvl w:val="2"/>
              <w:rPr>
                <w:rFonts w:ascii="Arial" w:eastAsia="Times New Roman" w:hAnsi="Arial" w:cs="Arial"/>
                <w:b/>
                <w:bCs/>
                <w:sz w:val="22"/>
                <w:szCs w:val="22"/>
                <w:lang w:val="en-GB" w:eastAsia="en-US"/>
              </w:rPr>
            </w:pPr>
            <w:r w:rsidRPr="00243446">
              <w:rPr>
                <w:rFonts w:ascii="Arial" w:eastAsia="Times New Roman" w:hAnsi="Arial" w:cs="Arial"/>
                <w:b/>
                <w:bCs/>
                <w:sz w:val="22"/>
                <w:szCs w:val="22"/>
                <w:lang w:eastAsia="en-US"/>
              </w:rPr>
              <w:t>Početna vrijednost u 2024</w:t>
            </w:r>
          </w:p>
        </w:tc>
        <w:tc>
          <w:tcPr>
            <w:tcW w:w="1803" w:type="dxa"/>
          </w:tcPr>
          <w:p w:rsidR="009363D1" w:rsidRPr="00243446" w:rsidRDefault="009363D1" w:rsidP="009363D1">
            <w:pPr>
              <w:spacing w:before="100" w:beforeAutospacing="1" w:after="100" w:afterAutospacing="1" w:line="240" w:lineRule="auto"/>
              <w:outlineLvl w:val="2"/>
              <w:rPr>
                <w:rFonts w:ascii="Arial" w:eastAsia="Times New Roman" w:hAnsi="Arial" w:cs="Arial"/>
                <w:b/>
                <w:bCs/>
                <w:sz w:val="22"/>
                <w:szCs w:val="22"/>
                <w:lang w:val="en-GB" w:eastAsia="en-US"/>
              </w:rPr>
            </w:pPr>
            <w:r w:rsidRPr="00243446">
              <w:rPr>
                <w:rFonts w:ascii="Arial" w:eastAsia="Times New Roman" w:hAnsi="Arial" w:cs="Arial"/>
                <w:b/>
                <w:bCs/>
                <w:sz w:val="22"/>
                <w:szCs w:val="22"/>
                <w:lang w:eastAsia="en-US"/>
              </w:rPr>
              <w:t>Početna vrijednost u 2026</w:t>
            </w:r>
          </w:p>
        </w:tc>
        <w:tc>
          <w:tcPr>
            <w:tcW w:w="1602" w:type="dxa"/>
          </w:tcPr>
          <w:p w:rsidR="009363D1" w:rsidRPr="00243446" w:rsidRDefault="009363D1" w:rsidP="009363D1">
            <w:pPr>
              <w:spacing w:before="100" w:beforeAutospacing="1" w:after="100" w:afterAutospacing="1" w:line="240" w:lineRule="auto"/>
              <w:outlineLvl w:val="2"/>
              <w:rPr>
                <w:rFonts w:ascii="Arial" w:eastAsia="Times New Roman" w:hAnsi="Arial" w:cs="Arial"/>
                <w:b/>
                <w:bCs/>
                <w:sz w:val="22"/>
                <w:szCs w:val="22"/>
                <w:lang w:val="en-GB" w:eastAsia="en-US"/>
              </w:rPr>
            </w:pPr>
            <w:r w:rsidRPr="00243446">
              <w:rPr>
                <w:rFonts w:ascii="Arial" w:eastAsia="Times New Roman" w:hAnsi="Arial" w:cs="Arial"/>
                <w:b/>
                <w:bCs/>
                <w:sz w:val="22"/>
                <w:szCs w:val="22"/>
                <w:lang w:eastAsia="en-US"/>
              </w:rPr>
              <w:t>Početna vrijednost u 2028</w:t>
            </w:r>
          </w:p>
        </w:tc>
      </w:tr>
      <w:tr w:rsidR="009363D1" w:rsidRPr="00243446" w:rsidTr="009363D1">
        <w:tc>
          <w:tcPr>
            <w:tcW w:w="4059" w:type="dxa"/>
          </w:tcPr>
          <w:p w:rsidR="009363D1" w:rsidRPr="00243446" w:rsidRDefault="009363D1" w:rsidP="009363D1">
            <w:pPr>
              <w:spacing w:before="100" w:beforeAutospacing="1" w:after="100" w:afterAutospacing="1" w:line="240" w:lineRule="auto"/>
              <w:outlineLvl w:val="2"/>
              <w:rPr>
                <w:rFonts w:ascii="Arial" w:eastAsia="Times New Roman" w:hAnsi="Arial" w:cs="Arial"/>
                <w:b/>
                <w:bCs/>
                <w:sz w:val="22"/>
                <w:szCs w:val="22"/>
                <w:lang w:val="en-GB" w:eastAsia="en-US"/>
              </w:rPr>
            </w:pPr>
            <w:r w:rsidRPr="00243446">
              <w:rPr>
                <w:rFonts w:ascii="Arial" w:eastAsia="Times New Roman" w:hAnsi="Arial" w:cs="Arial"/>
                <w:b/>
                <w:bCs/>
                <w:sz w:val="22"/>
                <w:szCs w:val="22"/>
                <w:lang w:val="en-GB" w:eastAsia="en-US"/>
              </w:rPr>
              <w:t>Svi OLAF-ovi zahtjevi su pravilno obrađeni i završeni</w:t>
            </w:r>
          </w:p>
        </w:tc>
        <w:tc>
          <w:tcPr>
            <w:tcW w:w="1626" w:type="dxa"/>
            <w:vAlign w:val="center"/>
          </w:tcPr>
          <w:p w:rsidR="009363D1" w:rsidRPr="00243446" w:rsidRDefault="009363D1" w:rsidP="009363D1">
            <w:pPr>
              <w:spacing w:before="100" w:beforeAutospacing="1" w:after="100" w:afterAutospacing="1" w:line="240" w:lineRule="auto"/>
              <w:outlineLvl w:val="2"/>
              <w:rPr>
                <w:rFonts w:ascii="Arial" w:eastAsia="Times New Roman" w:hAnsi="Arial" w:cs="Arial"/>
                <w:b/>
                <w:bCs/>
                <w:sz w:val="22"/>
                <w:szCs w:val="22"/>
                <w:lang w:val="en-GB" w:eastAsia="en-US"/>
              </w:rPr>
            </w:pPr>
            <w:r w:rsidRPr="00243446">
              <w:rPr>
                <w:rFonts w:ascii="Arial" w:eastAsia="Times New Roman" w:hAnsi="Arial" w:cs="Arial"/>
                <w:b/>
                <w:bCs/>
                <w:sz w:val="22"/>
                <w:szCs w:val="22"/>
                <w:lang w:val="en-GB" w:eastAsia="en-US"/>
              </w:rPr>
              <w:t>100%</w:t>
            </w:r>
          </w:p>
        </w:tc>
        <w:tc>
          <w:tcPr>
            <w:tcW w:w="1803" w:type="dxa"/>
            <w:vAlign w:val="center"/>
          </w:tcPr>
          <w:p w:rsidR="009363D1" w:rsidRPr="00243446" w:rsidRDefault="009363D1" w:rsidP="009363D1">
            <w:pPr>
              <w:spacing w:before="100" w:beforeAutospacing="1" w:after="100" w:afterAutospacing="1" w:line="240" w:lineRule="auto"/>
              <w:outlineLvl w:val="2"/>
              <w:rPr>
                <w:rFonts w:ascii="Arial" w:eastAsia="Times New Roman" w:hAnsi="Arial" w:cs="Arial"/>
                <w:b/>
                <w:bCs/>
                <w:sz w:val="22"/>
                <w:szCs w:val="22"/>
                <w:lang w:val="en-GB" w:eastAsia="en-US"/>
              </w:rPr>
            </w:pPr>
            <w:r w:rsidRPr="00243446">
              <w:rPr>
                <w:rFonts w:ascii="Arial" w:eastAsia="Times New Roman" w:hAnsi="Arial" w:cs="Arial"/>
                <w:b/>
                <w:bCs/>
                <w:sz w:val="22"/>
                <w:szCs w:val="22"/>
                <w:lang w:val="en-GB" w:eastAsia="en-US"/>
              </w:rPr>
              <w:t>100%</w:t>
            </w:r>
          </w:p>
        </w:tc>
        <w:tc>
          <w:tcPr>
            <w:tcW w:w="1602" w:type="dxa"/>
            <w:vAlign w:val="center"/>
          </w:tcPr>
          <w:p w:rsidR="009363D1" w:rsidRPr="00243446" w:rsidRDefault="009363D1" w:rsidP="009363D1">
            <w:pPr>
              <w:spacing w:before="100" w:beforeAutospacing="1" w:after="100" w:afterAutospacing="1" w:line="240" w:lineRule="auto"/>
              <w:outlineLvl w:val="2"/>
              <w:rPr>
                <w:rFonts w:ascii="Arial" w:eastAsia="Times New Roman" w:hAnsi="Arial" w:cs="Arial"/>
                <w:b/>
                <w:bCs/>
                <w:sz w:val="22"/>
                <w:szCs w:val="22"/>
                <w:lang w:val="en-GB" w:eastAsia="en-US"/>
              </w:rPr>
            </w:pPr>
            <w:r w:rsidRPr="00243446">
              <w:rPr>
                <w:rFonts w:ascii="Arial" w:eastAsia="Times New Roman" w:hAnsi="Arial" w:cs="Arial"/>
                <w:b/>
                <w:bCs/>
                <w:sz w:val="22"/>
                <w:szCs w:val="22"/>
                <w:lang w:val="en-GB" w:eastAsia="en-US"/>
              </w:rPr>
              <w:t>100%</w:t>
            </w:r>
          </w:p>
        </w:tc>
      </w:tr>
    </w:tbl>
    <w:bookmarkEnd w:id="20"/>
    <w:p w:rsidR="009363D1" w:rsidRPr="00243446" w:rsidRDefault="009363D1" w:rsidP="009363D1">
      <w:pPr>
        <w:spacing w:before="100" w:beforeAutospacing="1" w:after="100" w:afterAutospacing="1" w:line="240" w:lineRule="auto"/>
        <w:outlineLvl w:val="2"/>
        <w:rPr>
          <w:rFonts w:ascii="Arial" w:eastAsia="Times New Roman" w:hAnsi="Arial" w:cs="Arial"/>
        </w:rPr>
      </w:pPr>
      <w:r w:rsidRPr="00243446">
        <w:rPr>
          <w:rFonts w:ascii="Arial" w:eastAsia="Times New Roman" w:hAnsi="Arial" w:cs="Arial"/>
        </w:rPr>
        <w:t>Definisani cilj biće realizovan kroz sledeće mjere:</w:t>
      </w:r>
    </w:p>
    <w:p w:rsidR="009363D1" w:rsidRPr="00243446" w:rsidRDefault="009363D1" w:rsidP="009363D1">
      <w:pPr>
        <w:spacing w:before="100" w:beforeAutospacing="1" w:after="100" w:afterAutospacing="1" w:line="240" w:lineRule="auto"/>
        <w:outlineLvl w:val="2"/>
        <w:rPr>
          <w:rFonts w:ascii="Arial" w:eastAsia="Times New Roman" w:hAnsi="Arial" w:cs="Arial"/>
          <w:b/>
          <w:bCs/>
        </w:rPr>
      </w:pPr>
      <w:r w:rsidRPr="00243446">
        <w:rPr>
          <w:rFonts w:ascii="Arial" w:eastAsia="Times New Roman" w:hAnsi="Arial" w:cs="Arial"/>
          <w:b/>
          <w:bCs/>
        </w:rPr>
        <w:t>Mjera 5.1: Unapr</w:t>
      </w:r>
      <w:r w:rsidR="00BD2ACF" w:rsidRPr="00243446">
        <w:rPr>
          <w:rFonts w:ascii="Arial" w:eastAsia="Times New Roman" w:hAnsi="Arial" w:cs="Arial"/>
          <w:b/>
          <w:bCs/>
        </w:rPr>
        <w:t>i</w:t>
      </w:r>
      <w:r w:rsidRPr="00243446">
        <w:rPr>
          <w:rFonts w:ascii="Arial" w:eastAsia="Times New Roman" w:hAnsi="Arial" w:cs="Arial"/>
          <w:b/>
          <w:bCs/>
        </w:rPr>
        <w:t>jeđenje saradnje jasnim definisanjem mehanizama i odgovornosti za saradnju sa OLAF-om i Direkcijom za zaštitu finansijskih interesa EU/AFCOS</w:t>
      </w:r>
    </w:p>
    <w:p w:rsidR="009363D1" w:rsidRPr="00243446" w:rsidRDefault="009363D1" w:rsidP="009363D1">
      <w:pPr>
        <w:spacing w:before="100" w:beforeAutospacing="1" w:after="100" w:afterAutospacing="1" w:line="240" w:lineRule="auto"/>
        <w:outlineLvl w:val="2"/>
        <w:rPr>
          <w:rFonts w:ascii="Arial" w:eastAsia="Times New Roman" w:hAnsi="Arial" w:cs="Arial"/>
        </w:rPr>
      </w:pPr>
      <w:r w:rsidRPr="00243446">
        <w:rPr>
          <w:rFonts w:ascii="Arial" w:eastAsia="Times New Roman" w:hAnsi="Arial" w:cs="Arial"/>
          <w:b/>
          <w:bCs/>
        </w:rPr>
        <w:t>Opis mjere:</w:t>
      </w:r>
      <w:r w:rsidRPr="00243446">
        <w:rPr>
          <w:rFonts w:ascii="Arial" w:eastAsia="Times New Roman" w:hAnsi="Arial" w:cs="Arial"/>
        </w:rPr>
        <w:t xml:space="preserve"> Neophodno je uspostaviti mehanizme i odgovornosti u nacionalnim pravnim</w:t>
      </w:r>
      <w:r w:rsidR="00EA2489" w:rsidRPr="00243446">
        <w:rPr>
          <w:rFonts w:ascii="Arial" w:eastAsia="Times New Roman" w:hAnsi="Arial" w:cs="Arial"/>
        </w:rPr>
        <w:t xml:space="preserve"> </w:t>
      </w:r>
      <w:r w:rsidRPr="00243446">
        <w:rPr>
          <w:rFonts w:ascii="Arial" w:eastAsia="Times New Roman" w:hAnsi="Arial" w:cs="Arial"/>
        </w:rPr>
        <w:t>aktima za:</w:t>
      </w:r>
    </w:p>
    <w:p w:rsidR="009363D1" w:rsidRPr="00243446" w:rsidRDefault="009363D1" w:rsidP="009363D1">
      <w:pPr>
        <w:numPr>
          <w:ilvl w:val="0"/>
          <w:numId w:val="47"/>
        </w:numPr>
        <w:spacing w:before="100" w:beforeAutospacing="1" w:after="100" w:afterAutospacing="1" w:line="240" w:lineRule="auto"/>
        <w:jc w:val="both"/>
        <w:outlineLvl w:val="2"/>
        <w:rPr>
          <w:rFonts w:ascii="Arial" w:eastAsia="Times New Roman" w:hAnsi="Arial" w:cs="Arial"/>
        </w:rPr>
      </w:pPr>
      <w:r w:rsidRPr="00243446">
        <w:rPr>
          <w:rFonts w:ascii="Arial" w:eastAsia="Times New Roman" w:hAnsi="Arial" w:cs="Arial"/>
        </w:rPr>
        <w:t>saradnju sa OLAF-om i AFCOS kancelarijom, uključujući pratnju OLAF istraži</w:t>
      </w:r>
      <w:r w:rsidR="00BD2ACF" w:rsidRPr="00243446">
        <w:rPr>
          <w:rFonts w:ascii="Arial" w:eastAsia="Times New Roman" w:hAnsi="Arial" w:cs="Arial"/>
        </w:rPr>
        <w:t>telja</w:t>
      </w:r>
      <w:r w:rsidRPr="00243446">
        <w:rPr>
          <w:rFonts w:ascii="Arial" w:eastAsia="Times New Roman" w:hAnsi="Arial" w:cs="Arial"/>
        </w:rPr>
        <w:t xml:space="preserve"> tokom njihovih kontrola na licu m</w:t>
      </w:r>
      <w:r w:rsidR="00BD2ACF" w:rsidRPr="00243446">
        <w:rPr>
          <w:rFonts w:ascii="Arial" w:eastAsia="Times New Roman" w:hAnsi="Arial" w:cs="Arial"/>
        </w:rPr>
        <w:t>j</w:t>
      </w:r>
      <w:r w:rsidRPr="00243446">
        <w:rPr>
          <w:rFonts w:ascii="Arial" w:eastAsia="Times New Roman" w:hAnsi="Arial" w:cs="Arial"/>
        </w:rPr>
        <w:t>esta;</w:t>
      </w:r>
    </w:p>
    <w:p w:rsidR="009363D1" w:rsidRPr="00243446" w:rsidRDefault="009363D1" w:rsidP="009363D1">
      <w:pPr>
        <w:numPr>
          <w:ilvl w:val="0"/>
          <w:numId w:val="47"/>
        </w:numPr>
        <w:spacing w:before="100" w:beforeAutospacing="1" w:after="100" w:afterAutospacing="1" w:line="240" w:lineRule="auto"/>
        <w:jc w:val="both"/>
        <w:outlineLvl w:val="2"/>
        <w:rPr>
          <w:rFonts w:ascii="Arial" w:eastAsia="Times New Roman" w:hAnsi="Arial" w:cs="Arial"/>
        </w:rPr>
      </w:pPr>
      <w:r w:rsidRPr="00243446">
        <w:rPr>
          <w:rFonts w:ascii="Arial" w:eastAsia="Times New Roman" w:hAnsi="Arial" w:cs="Arial"/>
        </w:rPr>
        <w:t xml:space="preserve">postupanje u situacijama kada učesnici u aktivnostima finansiranim iz </w:t>
      </w:r>
      <w:r w:rsidR="00172D6B" w:rsidRPr="00243446">
        <w:rPr>
          <w:rFonts w:ascii="Arial" w:eastAsia="Times New Roman" w:hAnsi="Arial" w:cs="Arial"/>
        </w:rPr>
        <w:t>EU</w:t>
      </w:r>
      <w:r w:rsidRPr="00243446">
        <w:rPr>
          <w:rFonts w:ascii="Arial" w:eastAsia="Times New Roman" w:hAnsi="Arial" w:cs="Arial"/>
        </w:rPr>
        <w:t xml:space="preserve"> fondova odbijaju kontrole na licu m</w:t>
      </w:r>
      <w:r w:rsidR="00172D6B" w:rsidRPr="00243446">
        <w:rPr>
          <w:rFonts w:ascii="Arial" w:eastAsia="Times New Roman" w:hAnsi="Arial" w:cs="Arial"/>
        </w:rPr>
        <w:t>j</w:t>
      </w:r>
      <w:r w:rsidRPr="00243446">
        <w:rPr>
          <w:rFonts w:ascii="Arial" w:eastAsia="Times New Roman" w:hAnsi="Arial" w:cs="Arial"/>
        </w:rPr>
        <w:t>esta;</w:t>
      </w:r>
    </w:p>
    <w:p w:rsidR="009363D1" w:rsidRPr="00243446" w:rsidRDefault="009363D1" w:rsidP="009363D1">
      <w:pPr>
        <w:numPr>
          <w:ilvl w:val="0"/>
          <w:numId w:val="47"/>
        </w:numPr>
        <w:spacing w:before="100" w:beforeAutospacing="1" w:after="100" w:afterAutospacing="1" w:line="240" w:lineRule="auto"/>
        <w:jc w:val="both"/>
        <w:outlineLvl w:val="2"/>
        <w:rPr>
          <w:rFonts w:ascii="Arial" w:eastAsia="Times New Roman" w:hAnsi="Arial" w:cs="Arial"/>
        </w:rPr>
      </w:pPr>
      <w:r w:rsidRPr="00243446">
        <w:rPr>
          <w:rFonts w:ascii="Arial" w:eastAsia="Times New Roman" w:hAnsi="Arial" w:cs="Arial"/>
        </w:rPr>
        <w:t>pribavljanje informacija o bankovnim računima relevantnim za istražnu aktivnost OLAF-a.</w:t>
      </w:r>
    </w:p>
    <w:p w:rsidR="009363D1" w:rsidRPr="00243446" w:rsidRDefault="009363D1" w:rsidP="000F471C">
      <w:pPr>
        <w:spacing w:before="100" w:beforeAutospacing="1" w:after="100" w:afterAutospacing="1" w:line="240" w:lineRule="auto"/>
        <w:outlineLvl w:val="2"/>
        <w:rPr>
          <w:rFonts w:ascii="Arial" w:eastAsia="Times New Roman" w:hAnsi="Arial" w:cs="Arial"/>
          <w:lang w:val="sr-Latn-ME"/>
        </w:rPr>
      </w:pPr>
      <w:r w:rsidRPr="00243446">
        <w:rPr>
          <w:rFonts w:ascii="Arial" w:eastAsia="Times New Roman" w:hAnsi="Arial" w:cs="Arial"/>
        </w:rPr>
        <w:t>Institucije iz AFCOS mreže treba da procijene i uključe prethodno navedene odgovornosti u svoje posebne pravne akte.</w:t>
      </w:r>
    </w:p>
    <w:p w:rsidR="000F471C" w:rsidRPr="00243446" w:rsidRDefault="000F471C" w:rsidP="000F471C">
      <w:pPr>
        <w:spacing w:before="100" w:beforeAutospacing="1" w:after="100" w:afterAutospacing="1" w:line="240" w:lineRule="auto"/>
        <w:outlineLvl w:val="2"/>
        <w:rPr>
          <w:rFonts w:ascii="Arial" w:eastAsia="Times New Roman" w:hAnsi="Arial" w:cs="Arial"/>
          <w:b/>
          <w:bCs/>
          <w:lang w:val="sr-Latn-ME"/>
        </w:rPr>
      </w:pPr>
      <w:r w:rsidRPr="00243446">
        <w:rPr>
          <w:rFonts w:ascii="Arial" w:eastAsia="Times New Roman" w:hAnsi="Arial" w:cs="Arial"/>
          <w:b/>
          <w:bCs/>
          <w:lang w:val="sr-Latn-ME"/>
        </w:rPr>
        <w:t>3.6. OBLAST 6: Povraćaj sredstava i sankcije</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0F471C" w:rsidRPr="00243446" w:rsidTr="009363D1">
        <w:trPr>
          <w:trHeight w:val="840"/>
        </w:trPr>
        <w:tc>
          <w:tcPr>
            <w:tcW w:w="9180" w:type="dxa"/>
          </w:tcPr>
          <w:p w:rsidR="000F471C" w:rsidRPr="00243446" w:rsidRDefault="000F471C" w:rsidP="00CB5F79">
            <w:pPr>
              <w:spacing w:before="100" w:beforeAutospacing="1" w:after="100" w:afterAutospacing="1" w:line="240" w:lineRule="auto"/>
              <w:ind w:left="120"/>
              <w:rPr>
                <w:rFonts w:ascii="Arial" w:eastAsia="Times New Roman" w:hAnsi="Arial" w:cs="Arial"/>
                <w:b/>
                <w:bCs/>
                <w:lang w:val="sr-Latn-ME"/>
              </w:rPr>
            </w:pPr>
            <w:r w:rsidRPr="00243446">
              <w:rPr>
                <w:rFonts w:ascii="Arial" w:eastAsia="Times New Roman" w:hAnsi="Arial" w:cs="Arial"/>
                <w:b/>
                <w:bCs/>
                <w:lang w:val="sr-Latn-ME"/>
              </w:rPr>
              <w:t>Operativni cilj 6:</w:t>
            </w:r>
            <w:r w:rsidRPr="00243446">
              <w:rPr>
                <w:rFonts w:ascii="Arial" w:eastAsia="Times New Roman" w:hAnsi="Arial" w:cs="Arial"/>
                <w:lang w:val="sr-Latn-ME"/>
              </w:rPr>
              <w:br/>
              <w:t>Unaprijeđenje kapaciteta za osiguranje efektivnog i efikasnog povraćaja nepravilno utrošenih sredstava.</w:t>
            </w:r>
            <w:r w:rsidRPr="00243446">
              <w:rPr>
                <w:rFonts w:ascii="Arial" w:eastAsia="Times New Roman" w:hAnsi="Arial" w:cs="Arial"/>
                <w:lang w:val="sr-Latn-ME"/>
              </w:rPr>
              <w:br/>
            </w:r>
          </w:p>
        </w:tc>
      </w:tr>
    </w:tbl>
    <w:p w:rsidR="009363D1" w:rsidRPr="00243446" w:rsidRDefault="009363D1" w:rsidP="000F471C">
      <w:pPr>
        <w:spacing w:after="0" w:line="240" w:lineRule="auto"/>
        <w:rPr>
          <w:rFonts w:ascii="Arial" w:eastAsia="Times New Roman" w:hAnsi="Arial" w:cs="Arial"/>
          <w:b/>
          <w:bCs/>
          <w:lang w:val="sr-Latn-ME"/>
        </w:rPr>
      </w:pPr>
    </w:p>
    <w:tbl>
      <w:tblPr>
        <w:tblStyle w:val="TableGrid"/>
        <w:tblW w:w="9196" w:type="dxa"/>
        <w:tblLook w:val="04A0" w:firstRow="1" w:lastRow="0" w:firstColumn="1" w:lastColumn="0" w:noHBand="0" w:noVBand="1"/>
      </w:tblPr>
      <w:tblGrid>
        <w:gridCol w:w="3964"/>
        <w:gridCol w:w="1626"/>
        <w:gridCol w:w="1803"/>
        <w:gridCol w:w="1803"/>
      </w:tblGrid>
      <w:tr w:rsidR="009363D1" w:rsidRPr="00243446" w:rsidTr="00D942FE">
        <w:tc>
          <w:tcPr>
            <w:tcW w:w="3964" w:type="dxa"/>
            <w:vAlign w:val="center"/>
          </w:tcPr>
          <w:p w:rsidR="009363D1" w:rsidRPr="00243446" w:rsidRDefault="009363D1" w:rsidP="009363D1">
            <w:pPr>
              <w:spacing w:after="0" w:line="240" w:lineRule="auto"/>
              <w:rPr>
                <w:rFonts w:ascii="Arial" w:eastAsia="Times New Roman" w:hAnsi="Arial" w:cs="Arial"/>
                <w:b/>
                <w:bCs/>
                <w:sz w:val="22"/>
                <w:szCs w:val="22"/>
                <w:lang w:val="en-GB" w:eastAsia="en-US"/>
              </w:rPr>
            </w:pPr>
            <w:r w:rsidRPr="00243446">
              <w:rPr>
                <w:rFonts w:ascii="Arial" w:eastAsia="Times New Roman" w:hAnsi="Arial" w:cs="Arial"/>
                <w:b/>
                <w:bCs/>
                <w:sz w:val="22"/>
                <w:szCs w:val="22"/>
                <w:lang w:val="en-GB" w:eastAsia="en-US"/>
              </w:rPr>
              <w:t>Indikator uspjeha</w:t>
            </w:r>
          </w:p>
        </w:tc>
        <w:tc>
          <w:tcPr>
            <w:tcW w:w="1626" w:type="dxa"/>
          </w:tcPr>
          <w:p w:rsidR="009363D1" w:rsidRPr="00243446" w:rsidRDefault="009363D1" w:rsidP="009363D1">
            <w:pPr>
              <w:spacing w:after="0" w:line="240" w:lineRule="auto"/>
              <w:rPr>
                <w:rFonts w:ascii="Arial" w:eastAsia="Times New Roman" w:hAnsi="Arial" w:cs="Arial"/>
                <w:b/>
                <w:bCs/>
                <w:sz w:val="22"/>
                <w:szCs w:val="22"/>
                <w:lang w:val="en-GB" w:eastAsia="en-US"/>
              </w:rPr>
            </w:pPr>
            <w:r w:rsidRPr="00243446">
              <w:rPr>
                <w:rFonts w:ascii="Arial" w:eastAsia="Times New Roman" w:hAnsi="Arial" w:cs="Arial"/>
                <w:b/>
                <w:bCs/>
                <w:sz w:val="22"/>
                <w:szCs w:val="22"/>
                <w:lang w:eastAsia="en-US"/>
              </w:rPr>
              <w:t>Početna vrijednost u 2024</w:t>
            </w:r>
          </w:p>
        </w:tc>
        <w:tc>
          <w:tcPr>
            <w:tcW w:w="1803" w:type="dxa"/>
          </w:tcPr>
          <w:p w:rsidR="009363D1" w:rsidRPr="00243446" w:rsidRDefault="009363D1" w:rsidP="009363D1">
            <w:pPr>
              <w:spacing w:after="0" w:line="240" w:lineRule="auto"/>
              <w:rPr>
                <w:rFonts w:ascii="Arial" w:eastAsia="Times New Roman" w:hAnsi="Arial" w:cs="Arial"/>
                <w:b/>
                <w:bCs/>
                <w:sz w:val="22"/>
                <w:szCs w:val="22"/>
                <w:lang w:val="en-GB" w:eastAsia="en-US"/>
              </w:rPr>
            </w:pPr>
            <w:r w:rsidRPr="00243446">
              <w:rPr>
                <w:rFonts w:ascii="Arial" w:eastAsia="Times New Roman" w:hAnsi="Arial" w:cs="Arial"/>
                <w:b/>
                <w:bCs/>
                <w:sz w:val="22"/>
                <w:szCs w:val="22"/>
                <w:lang w:eastAsia="en-US"/>
              </w:rPr>
              <w:t>Početna vrijednost u 2026</w:t>
            </w:r>
          </w:p>
        </w:tc>
        <w:tc>
          <w:tcPr>
            <w:tcW w:w="1803" w:type="dxa"/>
          </w:tcPr>
          <w:p w:rsidR="009363D1" w:rsidRPr="00243446" w:rsidRDefault="009363D1" w:rsidP="009363D1">
            <w:pPr>
              <w:spacing w:after="0" w:line="240" w:lineRule="auto"/>
              <w:rPr>
                <w:rFonts w:ascii="Arial" w:eastAsia="Times New Roman" w:hAnsi="Arial" w:cs="Arial"/>
                <w:b/>
                <w:bCs/>
                <w:sz w:val="22"/>
                <w:szCs w:val="22"/>
                <w:lang w:val="en-GB" w:eastAsia="en-US"/>
              </w:rPr>
            </w:pPr>
            <w:r w:rsidRPr="00243446">
              <w:rPr>
                <w:rFonts w:ascii="Arial" w:eastAsia="Times New Roman" w:hAnsi="Arial" w:cs="Arial"/>
                <w:b/>
                <w:bCs/>
                <w:sz w:val="22"/>
                <w:szCs w:val="22"/>
                <w:lang w:eastAsia="en-US"/>
              </w:rPr>
              <w:t>Početna vrijednost u 2028</w:t>
            </w:r>
          </w:p>
        </w:tc>
      </w:tr>
      <w:tr w:rsidR="009363D1" w:rsidRPr="00243446" w:rsidTr="00D942FE">
        <w:tc>
          <w:tcPr>
            <w:tcW w:w="3964" w:type="dxa"/>
          </w:tcPr>
          <w:p w:rsidR="009363D1" w:rsidRPr="00243446" w:rsidRDefault="009363D1" w:rsidP="009363D1">
            <w:pPr>
              <w:spacing w:after="0" w:line="240" w:lineRule="auto"/>
              <w:rPr>
                <w:rFonts w:ascii="Arial" w:eastAsia="Times New Roman" w:hAnsi="Arial" w:cs="Arial"/>
                <w:b/>
                <w:bCs/>
                <w:sz w:val="22"/>
                <w:szCs w:val="22"/>
                <w:lang w:val="sr-Latn-ME" w:eastAsia="en-US"/>
              </w:rPr>
            </w:pPr>
            <w:r w:rsidRPr="00243446">
              <w:rPr>
                <w:rFonts w:ascii="Arial" w:eastAsia="Times New Roman" w:hAnsi="Arial" w:cs="Arial"/>
                <w:b/>
                <w:bCs/>
                <w:sz w:val="22"/>
                <w:szCs w:val="22"/>
                <w:lang w:val="sr-Latn-ME" w:eastAsia="en-US"/>
              </w:rPr>
              <w:t>Stopa povraćaja nepravilno utrošenih sredstava</w:t>
            </w:r>
          </w:p>
        </w:tc>
        <w:tc>
          <w:tcPr>
            <w:tcW w:w="1626" w:type="dxa"/>
            <w:vAlign w:val="center"/>
          </w:tcPr>
          <w:p w:rsidR="009363D1" w:rsidRPr="00243446" w:rsidRDefault="009363D1" w:rsidP="009363D1">
            <w:pPr>
              <w:spacing w:after="0" w:line="240" w:lineRule="auto"/>
              <w:rPr>
                <w:rFonts w:ascii="Arial" w:eastAsia="Times New Roman" w:hAnsi="Arial" w:cs="Arial"/>
                <w:b/>
                <w:bCs/>
                <w:sz w:val="22"/>
                <w:szCs w:val="22"/>
                <w:lang w:val="en-GB" w:eastAsia="en-US"/>
              </w:rPr>
            </w:pPr>
            <w:r w:rsidRPr="00243446">
              <w:rPr>
                <w:rFonts w:ascii="Arial" w:eastAsia="Times New Roman" w:hAnsi="Arial" w:cs="Arial"/>
                <w:b/>
                <w:bCs/>
                <w:sz w:val="22"/>
                <w:szCs w:val="22"/>
                <w:lang w:val="en-GB" w:eastAsia="en-US"/>
              </w:rPr>
              <w:t>43%</w:t>
            </w:r>
          </w:p>
        </w:tc>
        <w:tc>
          <w:tcPr>
            <w:tcW w:w="1803" w:type="dxa"/>
            <w:vAlign w:val="center"/>
          </w:tcPr>
          <w:p w:rsidR="009363D1" w:rsidRPr="00243446" w:rsidRDefault="009363D1" w:rsidP="009363D1">
            <w:pPr>
              <w:spacing w:after="0" w:line="240" w:lineRule="auto"/>
              <w:rPr>
                <w:rFonts w:ascii="Arial" w:eastAsia="Times New Roman" w:hAnsi="Arial" w:cs="Arial"/>
                <w:b/>
                <w:bCs/>
                <w:sz w:val="22"/>
                <w:szCs w:val="22"/>
                <w:lang w:val="en-GB" w:eastAsia="en-US"/>
              </w:rPr>
            </w:pPr>
            <w:r w:rsidRPr="00243446">
              <w:rPr>
                <w:rFonts w:ascii="Arial" w:eastAsia="Times New Roman" w:hAnsi="Arial" w:cs="Arial"/>
                <w:b/>
                <w:bCs/>
                <w:sz w:val="22"/>
                <w:szCs w:val="22"/>
                <w:lang w:val="en-GB" w:eastAsia="en-US"/>
              </w:rPr>
              <w:t>60%</w:t>
            </w:r>
          </w:p>
        </w:tc>
        <w:tc>
          <w:tcPr>
            <w:tcW w:w="1803" w:type="dxa"/>
            <w:vAlign w:val="center"/>
          </w:tcPr>
          <w:p w:rsidR="009363D1" w:rsidRPr="00243446" w:rsidRDefault="009363D1" w:rsidP="009363D1">
            <w:pPr>
              <w:spacing w:after="0" w:line="240" w:lineRule="auto"/>
              <w:rPr>
                <w:rFonts w:ascii="Arial" w:eastAsia="Times New Roman" w:hAnsi="Arial" w:cs="Arial"/>
                <w:b/>
                <w:bCs/>
                <w:sz w:val="22"/>
                <w:szCs w:val="22"/>
                <w:lang w:val="en-GB" w:eastAsia="en-US"/>
              </w:rPr>
            </w:pPr>
            <w:r w:rsidRPr="00243446">
              <w:rPr>
                <w:rFonts w:ascii="Arial" w:eastAsia="Times New Roman" w:hAnsi="Arial" w:cs="Arial"/>
                <w:b/>
                <w:bCs/>
                <w:sz w:val="22"/>
                <w:szCs w:val="22"/>
                <w:lang w:val="en-GB" w:eastAsia="en-US"/>
              </w:rPr>
              <w:t>75%</w:t>
            </w:r>
          </w:p>
        </w:tc>
      </w:tr>
    </w:tbl>
    <w:p w:rsidR="009363D1" w:rsidRPr="00243446" w:rsidRDefault="009363D1" w:rsidP="000F471C">
      <w:pPr>
        <w:spacing w:after="0" w:line="240" w:lineRule="auto"/>
        <w:rPr>
          <w:rFonts w:ascii="Arial" w:eastAsia="Times New Roman" w:hAnsi="Arial" w:cs="Arial"/>
          <w:b/>
          <w:bCs/>
          <w:lang w:val="sr-Latn-ME"/>
        </w:rPr>
      </w:pPr>
    </w:p>
    <w:p w:rsidR="009363D1" w:rsidRPr="00243446" w:rsidRDefault="009363D1" w:rsidP="009363D1">
      <w:pPr>
        <w:spacing w:after="160" w:line="259" w:lineRule="auto"/>
        <w:jc w:val="both"/>
        <w:rPr>
          <w:rFonts w:ascii="Arial" w:hAnsi="Arial" w:cs="Arial"/>
        </w:rPr>
      </w:pPr>
      <w:r w:rsidRPr="00243446">
        <w:rPr>
          <w:rFonts w:ascii="Arial" w:hAnsi="Arial" w:cs="Arial"/>
        </w:rPr>
        <w:t>Definisani cilj biće realizovan kroz sledeće mjere:</w:t>
      </w:r>
    </w:p>
    <w:p w:rsidR="009363D1" w:rsidRPr="00243446" w:rsidRDefault="009363D1" w:rsidP="009363D1">
      <w:pPr>
        <w:spacing w:after="160" w:line="259" w:lineRule="auto"/>
        <w:jc w:val="both"/>
        <w:rPr>
          <w:rFonts w:ascii="Arial" w:hAnsi="Arial" w:cs="Arial"/>
          <w:b/>
          <w:bCs/>
          <w:lang w:val="sr-Latn-ME"/>
        </w:rPr>
      </w:pPr>
      <w:r w:rsidRPr="00243446">
        <w:rPr>
          <w:rFonts w:ascii="Arial" w:hAnsi="Arial" w:cs="Arial"/>
          <w:b/>
          <w:bCs/>
        </w:rPr>
        <w:t xml:space="preserve">Mjera 6.1: </w:t>
      </w:r>
      <w:r w:rsidRPr="00243446">
        <w:rPr>
          <w:rFonts w:ascii="Arial" w:hAnsi="Arial" w:cs="Arial"/>
          <w:b/>
          <w:bCs/>
          <w:lang w:val="sr-Latn-ME"/>
        </w:rPr>
        <w:t>Analiza uzroka niske stope povraćaja sredstava i naredne korektivne akcije</w:t>
      </w:r>
    </w:p>
    <w:p w:rsidR="009363D1" w:rsidRPr="00243446" w:rsidRDefault="009363D1" w:rsidP="009363D1">
      <w:pPr>
        <w:spacing w:after="0" w:line="240" w:lineRule="auto"/>
        <w:rPr>
          <w:rFonts w:ascii="Arial" w:hAnsi="Arial" w:cs="Arial"/>
        </w:rPr>
      </w:pPr>
      <w:r w:rsidRPr="00243446">
        <w:rPr>
          <w:rFonts w:ascii="Arial" w:hAnsi="Arial" w:cs="Arial"/>
          <w:b/>
          <w:bCs/>
        </w:rPr>
        <w:t>Opis mjere:</w:t>
      </w:r>
      <w:r w:rsidRPr="00243446">
        <w:rPr>
          <w:rFonts w:ascii="Arial" w:hAnsi="Arial" w:cs="Arial"/>
        </w:rPr>
        <w:t xml:space="preserve"> Stopa povra</w:t>
      </w:r>
      <w:r w:rsidR="00063EC6" w:rsidRPr="00243446">
        <w:rPr>
          <w:rFonts w:ascii="Arial" w:hAnsi="Arial" w:cs="Arial"/>
        </w:rPr>
        <w:t>ć</w:t>
      </w:r>
      <w:r w:rsidRPr="00243446">
        <w:rPr>
          <w:rFonts w:ascii="Arial" w:hAnsi="Arial" w:cs="Arial"/>
        </w:rPr>
        <w:t>a</w:t>
      </w:r>
      <w:r w:rsidR="00063EC6" w:rsidRPr="00243446">
        <w:rPr>
          <w:rFonts w:ascii="Arial" w:hAnsi="Arial" w:cs="Arial"/>
        </w:rPr>
        <w:t>ja</w:t>
      </w:r>
      <w:r w:rsidRPr="00243446">
        <w:rPr>
          <w:rFonts w:ascii="Arial" w:hAnsi="Arial" w:cs="Arial"/>
        </w:rPr>
        <w:t xml:space="preserve"> nepravilnosti je 43%. Kako bi proces povra</w:t>
      </w:r>
      <w:r w:rsidR="00063EC6" w:rsidRPr="00243446">
        <w:rPr>
          <w:rFonts w:ascii="Arial" w:hAnsi="Arial" w:cs="Arial"/>
        </w:rPr>
        <w:t>ćaja</w:t>
      </w:r>
      <w:r w:rsidRPr="00243446">
        <w:rPr>
          <w:rFonts w:ascii="Arial" w:hAnsi="Arial" w:cs="Arial"/>
        </w:rPr>
        <w:t xml:space="preserve"> bio efikasniji, potrebno je prvo izvršiti analizu razloga niske stope povra</w:t>
      </w:r>
      <w:r w:rsidR="00063EC6" w:rsidRPr="00243446">
        <w:rPr>
          <w:rFonts w:ascii="Arial" w:hAnsi="Arial" w:cs="Arial"/>
        </w:rPr>
        <w:t>ćaja</w:t>
      </w:r>
      <w:r w:rsidRPr="00243446">
        <w:rPr>
          <w:rFonts w:ascii="Arial" w:hAnsi="Arial" w:cs="Arial"/>
        </w:rPr>
        <w:t>, a zatim, na osnovu rezultata analize, definisati dalje aktivnosti.</w:t>
      </w:r>
    </w:p>
    <w:p w:rsidR="00B45285" w:rsidRPr="00243446" w:rsidRDefault="00B45285" w:rsidP="009363D1">
      <w:pPr>
        <w:spacing w:after="0" w:line="240" w:lineRule="auto"/>
        <w:rPr>
          <w:rFonts w:ascii="Arial" w:eastAsia="Times New Roman" w:hAnsi="Arial" w:cs="Arial"/>
          <w:b/>
          <w:bCs/>
          <w:lang w:val="sr-Latn-ME"/>
        </w:rPr>
      </w:pPr>
    </w:p>
    <w:p w:rsidR="00B45285" w:rsidRPr="00243446" w:rsidRDefault="00B4137B" w:rsidP="00B4137B">
      <w:pPr>
        <w:spacing w:after="0" w:line="240" w:lineRule="auto"/>
        <w:rPr>
          <w:rFonts w:ascii="Arial" w:hAnsi="Arial" w:cs="Arial"/>
          <w:b/>
          <w:bCs/>
          <w:lang w:val="sr-Latn-ME"/>
        </w:rPr>
      </w:pPr>
      <w:r w:rsidRPr="00243446">
        <w:rPr>
          <w:rFonts w:ascii="Arial" w:hAnsi="Arial" w:cs="Arial"/>
          <w:b/>
          <w:bCs/>
          <w:lang w:val="sr-Latn-ME"/>
        </w:rPr>
        <w:t>4.FINANSIJAKI OKVIR ZA SPROVOĐENJE STRATEGIJE</w:t>
      </w:r>
    </w:p>
    <w:p w:rsidR="00CF1E47" w:rsidRPr="00243446" w:rsidRDefault="00CF1E47" w:rsidP="00B4137B">
      <w:pPr>
        <w:spacing w:after="0" w:line="240" w:lineRule="auto"/>
        <w:rPr>
          <w:rFonts w:ascii="Arial" w:hAnsi="Arial" w:cs="Arial"/>
          <w:b/>
          <w:bCs/>
          <w:lang w:val="sr-Latn-ME"/>
        </w:rPr>
      </w:pPr>
    </w:p>
    <w:p w:rsidR="00B4137B" w:rsidRPr="00243446" w:rsidRDefault="00B4137B" w:rsidP="000F03F9">
      <w:pPr>
        <w:spacing w:after="0" w:line="240" w:lineRule="auto"/>
        <w:jc w:val="both"/>
        <w:rPr>
          <w:rFonts w:ascii="Arial" w:hAnsi="Arial" w:cs="Arial"/>
          <w:bCs/>
        </w:rPr>
      </w:pPr>
      <w:r w:rsidRPr="00243446">
        <w:rPr>
          <w:rFonts w:ascii="Arial" w:hAnsi="Arial" w:cs="Arial"/>
          <w:bCs/>
        </w:rPr>
        <w:t>Finansijski okvir za sprovođenje ove Strategije predstavlja planiranje, alokaciju i upravljanje potrebnim finansijskim resursima kako bi se osigurao uspješan razvoj i implementacija strateškog i definisanih operativnih ciljeva</w:t>
      </w:r>
      <w:r w:rsidR="000F03F9" w:rsidRPr="00243446">
        <w:rPr>
          <w:rFonts w:ascii="Arial" w:hAnsi="Arial" w:cs="Arial"/>
          <w:bCs/>
        </w:rPr>
        <w:t>. Takođe,</w:t>
      </w:r>
      <w:r w:rsidRPr="00243446">
        <w:rPr>
          <w:rFonts w:ascii="Arial" w:hAnsi="Arial" w:cs="Arial"/>
          <w:bCs/>
        </w:rPr>
        <w:t xml:space="preserve"> pruža smjernice o tome kako i odakle će se prikupljati sredstva za realizaciju aktivnosti za vrijeme trajanja Akcionog plana 2025-2026, godine</w:t>
      </w:r>
      <w:r w:rsidR="000F03F9" w:rsidRPr="00243446">
        <w:rPr>
          <w:rFonts w:ascii="Arial" w:hAnsi="Arial" w:cs="Arial"/>
          <w:bCs/>
        </w:rPr>
        <w:t>, nakon</w:t>
      </w:r>
      <w:r w:rsidRPr="00243446">
        <w:rPr>
          <w:rFonts w:ascii="Arial" w:hAnsi="Arial" w:cs="Arial"/>
          <w:bCs/>
        </w:rPr>
        <w:t xml:space="preserve"> </w:t>
      </w:r>
      <w:r w:rsidR="000F03F9" w:rsidRPr="00243446">
        <w:rPr>
          <w:rFonts w:ascii="Arial" w:hAnsi="Arial" w:cs="Arial"/>
          <w:bCs/>
        </w:rPr>
        <w:t>čega</w:t>
      </w:r>
      <w:r w:rsidRPr="00243446">
        <w:rPr>
          <w:rFonts w:ascii="Arial" w:hAnsi="Arial" w:cs="Arial"/>
          <w:bCs/>
        </w:rPr>
        <w:t xml:space="preserve"> će se kreirati aktivnosti i finansijski okvir za 2027-2028 godinu.</w:t>
      </w:r>
    </w:p>
    <w:p w:rsidR="00B4137B" w:rsidRPr="00243446" w:rsidRDefault="00B4137B" w:rsidP="00B4137B">
      <w:pPr>
        <w:spacing w:after="0" w:line="240" w:lineRule="auto"/>
        <w:rPr>
          <w:rFonts w:ascii="Arial" w:hAnsi="Arial" w:cs="Arial"/>
          <w:bCs/>
          <w:lang w:val="sr-Latn-ME"/>
        </w:rPr>
      </w:pPr>
    </w:p>
    <w:tbl>
      <w:tblPr>
        <w:tblW w:w="9021" w:type="dxa"/>
        <w:tblLook w:val="04A0" w:firstRow="1" w:lastRow="0" w:firstColumn="1" w:lastColumn="0" w:noHBand="0" w:noVBand="1"/>
      </w:tblPr>
      <w:tblGrid>
        <w:gridCol w:w="3680"/>
        <w:gridCol w:w="1120"/>
        <w:gridCol w:w="1000"/>
        <w:gridCol w:w="1021"/>
        <w:gridCol w:w="1100"/>
        <w:gridCol w:w="1100"/>
      </w:tblGrid>
      <w:tr w:rsidR="00B4137B" w:rsidRPr="00243446" w:rsidTr="00B4137B">
        <w:trPr>
          <w:trHeight w:val="300"/>
        </w:trPr>
        <w:tc>
          <w:tcPr>
            <w:tcW w:w="3680" w:type="dxa"/>
            <w:tcBorders>
              <w:top w:val="nil"/>
              <w:left w:val="nil"/>
              <w:bottom w:val="nil"/>
              <w:right w:val="nil"/>
            </w:tcBorders>
            <w:shd w:val="clear" w:color="auto" w:fill="auto"/>
            <w:noWrap/>
            <w:vAlign w:val="bottom"/>
            <w:hideMark/>
          </w:tcPr>
          <w:p w:rsidR="00B4137B" w:rsidRPr="00243446" w:rsidRDefault="00B4137B" w:rsidP="00B4137B">
            <w:pPr>
              <w:spacing w:after="0" w:line="240" w:lineRule="auto"/>
              <w:rPr>
                <w:rFonts w:ascii="Arial" w:hAnsi="Arial" w:cs="Arial"/>
                <w:b/>
                <w:bCs/>
              </w:rPr>
            </w:pPr>
            <w:r w:rsidRPr="00243446">
              <w:rPr>
                <w:rFonts w:ascii="Arial" w:hAnsi="Arial" w:cs="Arial"/>
                <w:b/>
                <w:bCs/>
              </w:rPr>
              <w:t>Troškovi</w:t>
            </w:r>
          </w:p>
        </w:tc>
        <w:tc>
          <w:tcPr>
            <w:tcW w:w="112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B4137B" w:rsidRPr="00243446" w:rsidRDefault="00B4137B" w:rsidP="00B4137B">
            <w:pPr>
              <w:spacing w:after="0" w:line="240" w:lineRule="auto"/>
              <w:rPr>
                <w:rFonts w:ascii="Arial" w:hAnsi="Arial" w:cs="Arial"/>
                <w:b/>
                <w:bCs/>
              </w:rPr>
            </w:pPr>
            <w:r w:rsidRPr="00243446">
              <w:rPr>
                <w:rFonts w:ascii="Arial" w:hAnsi="Arial" w:cs="Arial"/>
                <w:b/>
                <w:bCs/>
              </w:rPr>
              <w:t>2025</w:t>
            </w:r>
          </w:p>
        </w:tc>
        <w:tc>
          <w:tcPr>
            <w:tcW w:w="1000" w:type="dxa"/>
            <w:tcBorders>
              <w:top w:val="single" w:sz="4" w:space="0" w:color="auto"/>
              <w:left w:val="nil"/>
              <w:bottom w:val="single" w:sz="4" w:space="0" w:color="auto"/>
              <w:right w:val="single" w:sz="4" w:space="0" w:color="auto"/>
            </w:tcBorders>
            <w:shd w:val="clear" w:color="000000" w:fill="DDEBF7"/>
            <w:noWrap/>
            <w:vAlign w:val="bottom"/>
            <w:hideMark/>
          </w:tcPr>
          <w:p w:rsidR="00B4137B" w:rsidRPr="00243446" w:rsidRDefault="00B4137B" w:rsidP="00B4137B">
            <w:pPr>
              <w:spacing w:after="0" w:line="240" w:lineRule="auto"/>
              <w:rPr>
                <w:rFonts w:ascii="Arial" w:hAnsi="Arial" w:cs="Arial"/>
                <w:b/>
                <w:bCs/>
              </w:rPr>
            </w:pPr>
            <w:r w:rsidRPr="00243446">
              <w:rPr>
                <w:rFonts w:ascii="Arial" w:hAnsi="Arial" w:cs="Arial"/>
                <w:b/>
                <w:bCs/>
              </w:rPr>
              <w:t>2026</w:t>
            </w:r>
          </w:p>
        </w:tc>
        <w:tc>
          <w:tcPr>
            <w:tcW w:w="1021" w:type="dxa"/>
            <w:tcBorders>
              <w:top w:val="single" w:sz="4" w:space="0" w:color="auto"/>
              <w:left w:val="nil"/>
              <w:bottom w:val="single" w:sz="4" w:space="0" w:color="auto"/>
              <w:right w:val="nil"/>
            </w:tcBorders>
            <w:shd w:val="clear" w:color="000000" w:fill="DDEBF7"/>
          </w:tcPr>
          <w:p w:rsidR="00B4137B" w:rsidRPr="00243446" w:rsidRDefault="00B4137B" w:rsidP="00B4137B">
            <w:pPr>
              <w:spacing w:after="0" w:line="240" w:lineRule="auto"/>
              <w:rPr>
                <w:rFonts w:ascii="Arial" w:hAnsi="Arial" w:cs="Arial"/>
                <w:b/>
                <w:bCs/>
              </w:rPr>
            </w:pPr>
            <w:r w:rsidRPr="00243446">
              <w:rPr>
                <w:rFonts w:ascii="Arial" w:hAnsi="Arial" w:cs="Arial"/>
                <w:b/>
                <w:bCs/>
              </w:rPr>
              <w:t>2027</w:t>
            </w:r>
          </w:p>
        </w:tc>
        <w:tc>
          <w:tcPr>
            <w:tcW w:w="1100" w:type="dxa"/>
            <w:tcBorders>
              <w:top w:val="single" w:sz="4" w:space="0" w:color="auto"/>
              <w:left w:val="nil"/>
              <w:bottom w:val="single" w:sz="4" w:space="0" w:color="auto"/>
              <w:right w:val="single" w:sz="4" w:space="0" w:color="auto"/>
            </w:tcBorders>
            <w:shd w:val="clear" w:color="000000" w:fill="DDEBF7"/>
            <w:noWrap/>
            <w:vAlign w:val="bottom"/>
            <w:hideMark/>
          </w:tcPr>
          <w:p w:rsidR="00B4137B" w:rsidRPr="00243446" w:rsidRDefault="00B4137B" w:rsidP="00B4137B">
            <w:pPr>
              <w:spacing w:after="0" w:line="240" w:lineRule="auto"/>
              <w:rPr>
                <w:rFonts w:ascii="Arial" w:hAnsi="Arial" w:cs="Arial"/>
                <w:b/>
                <w:bCs/>
              </w:rPr>
            </w:pPr>
            <w:r w:rsidRPr="00243446">
              <w:rPr>
                <w:rFonts w:ascii="Arial" w:hAnsi="Arial" w:cs="Arial"/>
                <w:b/>
                <w:bCs/>
              </w:rPr>
              <w:t>2028</w:t>
            </w:r>
          </w:p>
        </w:tc>
        <w:tc>
          <w:tcPr>
            <w:tcW w:w="1100" w:type="dxa"/>
            <w:tcBorders>
              <w:top w:val="single" w:sz="4" w:space="0" w:color="auto"/>
              <w:left w:val="nil"/>
              <w:bottom w:val="single" w:sz="4" w:space="0" w:color="auto"/>
              <w:right w:val="single" w:sz="4" w:space="0" w:color="auto"/>
            </w:tcBorders>
            <w:shd w:val="clear" w:color="000000" w:fill="DDEBF7"/>
            <w:noWrap/>
            <w:vAlign w:val="bottom"/>
            <w:hideMark/>
          </w:tcPr>
          <w:p w:rsidR="00B4137B" w:rsidRPr="00243446" w:rsidRDefault="00B4137B" w:rsidP="00B4137B">
            <w:pPr>
              <w:spacing w:after="0" w:line="240" w:lineRule="auto"/>
              <w:rPr>
                <w:rFonts w:ascii="Arial" w:hAnsi="Arial" w:cs="Arial"/>
                <w:b/>
                <w:bCs/>
              </w:rPr>
            </w:pPr>
            <w:r w:rsidRPr="00243446">
              <w:rPr>
                <w:rFonts w:ascii="Arial" w:hAnsi="Arial" w:cs="Arial"/>
                <w:b/>
                <w:bCs/>
              </w:rPr>
              <w:t>Ukupno</w:t>
            </w:r>
          </w:p>
        </w:tc>
      </w:tr>
      <w:tr w:rsidR="00B4137B" w:rsidRPr="00243446" w:rsidTr="00B4137B">
        <w:trPr>
          <w:trHeight w:val="300"/>
        </w:trPr>
        <w:tc>
          <w:tcPr>
            <w:tcW w:w="368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B4137B" w:rsidRPr="00243446" w:rsidRDefault="00B4137B" w:rsidP="00B4137B">
            <w:pPr>
              <w:spacing w:after="0" w:line="240" w:lineRule="auto"/>
              <w:rPr>
                <w:rFonts w:ascii="Arial" w:hAnsi="Arial" w:cs="Arial"/>
                <w:b/>
                <w:bCs/>
              </w:rPr>
            </w:pPr>
            <w:r w:rsidRPr="00243446">
              <w:rPr>
                <w:rFonts w:ascii="Arial" w:hAnsi="Arial" w:cs="Arial"/>
                <w:b/>
                <w:bCs/>
              </w:rPr>
              <w:t>Cilj 1</w:t>
            </w:r>
          </w:p>
        </w:tc>
        <w:tc>
          <w:tcPr>
            <w:tcW w:w="1120" w:type="dxa"/>
            <w:tcBorders>
              <w:top w:val="nil"/>
              <w:left w:val="nil"/>
              <w:bottom w:val="single" w:sz="4" w:space="0" w:color="auto"/>
              <w:right w:val="single" w:sz="4" w:space="0" w:color="auto"/>
            </w:tcBorders>
            <w:shd w:val="clear" w:color="auto" w:fill="auto"/>
            <w:noWrap/>
            <w:vAlign w:val="bottom"/>
            <w:hideMark/>
          </w:tcPr>
          <w:p w:rsidR="00B4137B" w:rsidRPr="00243446" w:rsidRDefault="00B4137B" w:rsidP="00B4137B">
            <w:pPr>
              <w:spacing w:after="0" w:line="240" w:lineRule="auto"/>
              <w:rPr>
                <w:rFonts w:ascii="Arial" w:hAnsi="Arial" w:cs="Arial"/>
                <w:bCs/>
              </w:rPr>
            </w:pPr>
            <w:r w:rsidRPr="00243446">
              <w:rPr>
                <w:rFonts w:ascii="Arial" w:hAnsi="Arial" w:cs="Arial"/>
                <w:bCs/>
              </w:rPr>
              <w:t xml:space="preserve">         10,500 </w:t>
            </w:r>
          </w:p>
        </w:tc>
        <w:tc>
          <w:tcPr>
            <w:tcW w:w="1000" w:type="dxa"/>
            <w:tcBorders>
              <w:top w:val="nil"/>
              <w:left w:val="nil"/>
              <w:bottom w:val="single" w:sz="4" w:space="0" w:color="auto"/>
              <w:right w:val="single" w:sz="4" w:space="0" w:color="auto"/>
            </w:tcBorders>
            <w:shd w:val="clear" w:color="auto" w:fill="auto"/>
            <w:noWrap/>
            <w:vAlign w:val="bottom"/>
            <w:hideMark/>
          </w:tcPr>
          <w:p w:rsidR="00B4137B" w:rsidRPr="00243446" w:rsidRDefault="00B4137B" w:rsidP="00B4137B">
            <w:pPr>
              <w:spacing w:after="0" w:line="240" w:lineRule="auto"/>
              <w:rPr>
                <w:rFonts w:ascii="Arial" w:hAnsi="Arial" w:cs="Arial"/>
                <w:bCs/>
              </w:rPr>
            </w:pPr>
            <w:r w:rsidRPr="00243446">
              <w:rPr>
                <w:rFonts w:ascii="Arial" w:hAnsi="Arial" w:cs="Arial"/>
                <w:bCs/>
              </w:rPr>
              <w:t xml:space="preserve">                -   </w:t>
            </w:r>
          </w:p>
        </w:tc>
        <w:tc>
          <w:tcPr>
            <w:tcW w:w="1021" w:type="dxa"/>
            <w:tcBorders>
              <w:top w:val="nil"/>
              <w:left w:val="nil"/>
              <w:bottom w:val="single" w:sz="4" w:space="0" w:color="auto"/>
              <w:right w:val="nil"/>
            </w:tcBorders>
          </w:tcPr>
          <w:p w:rsidR="000F03F9" w:rsidRPr="00243446" w:rsidRDefault="000F03F9" w:rsidP="00B4137B">
            <w:pPr>
              <w:spacing w:after="0" w:line="240" w:lineRule="auto"/>
              <w:rPr>
                <w:rFonts w:ascii="Arial" w:hAnsi="Arial" w:cs="Arial"/>
                <w:bCs/>
              </w:rPr>
            </w:pPr>
          </w:p>
          <w:p w:rsidR="00B4137B" w:rsidRPr="00243446" w:rsidRDefault="00B4137B" w:rsidP="00B4137B">
            <w:pPr>
              <w:spacing w:after="0" w:line="240" w:lineRule="auto"/>
              <w:rPr>
                <w:rFonts w:ascii="Arial" w:hAnsi="Arial" w:cs="Arial"/>
                <w:bCs/>
              </w:rPr>
            </w:pPr>
            <w:r w:rsidRPr="00243446">
              <w:rPr>
                <w:rFonts w:ascii="Arial" w:hAnsi="Arial" w:cs="Arial"/>
                <w:bCs/>
              </w:rPr>
              <w:t>-</w:t>
            </w:r>
          </w:p>
        </w:tc>
        <w:tc>
          <w:tcPr>
            <w:tcW w:w="1100" w:type="dxa"/>
            <w:tcBorders>
              <w:top w:val="nil"/>
              <w:left w:val="nil"/>
              <w:bottom w:val="single" w:sz="4" w:space="0" w:color="auto"/>
              <w:right w:val="single" w:sz="4" w:space="0" w:color="auto"/>
            </w:tcBorders>
            <w:shd w:val="clear" w:color="auto" w:fill="auto"/>
            <w:noWrap/>
            <w:vAlign w:val="bottom"/>
            <w:hideMark/>
          </w:tcPr>
          <w:p w:rsidR="00B4137B" w:rsidRPr="00243446" w:rsidRDefault="00B4137B" w:rsidP="00B4137B">
            <w:pPr>
              <w:spacing w:after="0" w:line="240" w:lineRule="auto"/>
              <w:rPr>
                <w:rFonts w:ascii="Arial" w:hAnsi="Arial" w:cs="Arial"/>
                <w:bCs/>
              </w:rPr>
            </w:pPr>
            <w:r w:rsidRPr="00243446">
              <w:rPr>
                <w:rFonts w:ascii="Arial" w:hAnsi="Arial" w:cs="Arial"/>
                <w:bCs/>
              </w:rPr>
              <w:t xml:space="preserve">                  -   </w:t>
            </w:r>
          </w:p>
        </w:tc>
        <w:tc>
          <w:tcPr>
            <w:tcW w:w="1100" w:type="dxa"/>
            <w:tcBorders>
              <w:top w:val="nil"/>
              <w:left w:val="nil"/>
              <w:bottom w:val="single" w:sz="4" w:space="0" w:color="auto"/>
              <w:right w:val="single" w:sz="4" w:space="0" w:color="auto"/>
            </w:tcBorders>
            <w:shd w:val="clear" w:color="auto" w:fill="auto"/>
            <w:noWrap/>
            <w:vAlign w:val="bottom"/>
            <w:hideMark/>
          </w:tcPr>
          <w:p w:rsidR="00B4137B" w:rsidRPr="00243446" w:rsidRDefault="00B4137B" w:rsidP="00B4137B">
            <w:pPr>
              <w:spacing w:after="0" w:line="240" w:lineRule="auto"/>
              <w:rPr>
                <w:rFonts w:ascii="Arial" w:hAnsi="Arial" w:cs="Arial"/>
                <w:bCs/>
              </w:rPr>
            </w:pPr>
            <w:r w:rsidRPr="00243446">
              <w:rPr>
                <w:rFonts w:ascii="Arial" w:hAnsi="Arial" w:cs="Arial"/>
                <w:bCs/>
              </w:rPr>
              <w:t xml:space="preserve">        10,500 </w:t>
            </w:r>
          </w:p>
        </w:tc>
      </w:tr>
      <w:tr w:rsidR="00B4137B" w:rsidRPr="00243446" w:rsidTr="00B4137B">
        <w:trPr>
          <w:trHeight w:val="300"/>
        </w:trPr>
        <w:tc>
          <w:tcPr>
            <w:tcW w:w="3680" w:type="dxa"/>
            <w:tcBorders>
              <w:top w:val="nil"/>
              <w:left w:val="single" w:sz="4" w:space="0" w:color="auto"/>
              <w:bottom w:val="single" w:sz="4" w:space="0" w:color="auto"/>
              <w:right w:val="single" w:sz="4" w:space="0" w:color="auto"/>
            </w:tcBorders>
            <w:shd w:val="clear" w:color="000000" w:fill="DDEBF7"/>
            <w:noWrap/>
            <w:vAlign w:val="bottom"/>
            <w:hideMark/>
          </w:tcPr>
          <w:p w:rsidR="00B4137B" w:rsidRPr="00243446" w:rsidRDefault="00B4137B" w:rsidP="00B4137B">
            <w:pPr>
              <w:spacing w:after="0" w:line="240" w:lineRule="auto"/>
              <w:rPr>
                <w:rFonts w:ascii="Arial" w:hAnsi="Arial" w:cs="Arial"/>
                <w:b/>
                <w:bCs/>
              </w:rPr>
            </w:pPr>
            <w:r w:rsidRPr="00243446">
              <w:rPr>
                <w:rFonts w:ascii="Arial" w:hAnsi="Arial" w:cs="Arial"/>
                <w:b/>
                <w:bCs/>
              </w:rPr>
              <w:t>Cilj 2</w:t>
            </w:r>
          </w:p>
        </w:tc>
        <w:tc>
          <w:tcPr>
            <w:tcW w:w="1120" w:type="dxa"/>
            <w:tcBorders>
              <w:top w:val="nil"/>
              <w:left w:val="nil"/>
              <w:bottom w:val="single" w:sz="4" w:space="0" w:color="auto"/>
              <w:right w:val="single" w:sz="4" w:space="0" w:color="auto"/>
            </w:tcBorders>
            <w:shd w:val="clear" w:color="auto" w:fill="auto"/>
            <w:noWrap/>
            <w:vAlign w:val="bottom"/>
            <w:hideMark/>
          </w:tcPr>
          <w:p w:rsidR="00B4137B" w:rsidRPr="00243446" w:rsidRDefault="00B4137B" w:rsidP="00B4137B">
            <w:pPr>
              <w:spacing w:after="0" w:line="240" w:lineRule="auto"/>
              <w:rPr>
                <w:rFonts w:ascii="Arial" w:hAnsi="Arial" w:cs="Arial"/>
                <w:bCs/>
              </w:rPr>
            </w:pPr>
            <w:r w:rsidRPr="00243446">
              <w:rPr>
                <w:rFonts w:ascii="Arial" w:hAnsi="Arial" w:cs="Arial"/>
                <w:bCs/>
              </w:rPr>
              <w:t xml:space="preserve">           </w:t>
            </w:r>
            <w:r w:rsidR="00FA1F13" w:rsidRPr="00243446">
              <w:rPr>
                <w:rFonts w:ascii="Arial" w:hAnsi="Arial" w:cs="Arial"/>
                <w:bCs/>
              </w:rPr>
              <w:t>-</w:t>
            </w:r>
            <w:r w:rsidRPr="00243446">
              <w:rPr>
                <w:rFonts w:ascii="Arial" w:hAnsi="Arial" w:cs="Arial"/>
                <w:bCs/>
              </w:rPr>
              <w:t xml:space="preserve"> </w:t>
            </w:r>
          </w:p>
        </w:tc>
        <w:tc>
          <w:tcPr>
            <w:tcW w:w="1000" w:type="dxa"/>
            <w:tcBorders>
              <w:top w:val="nil"/>
              <w:left w:val="nil"/>
              <w:bottom w:val="single" w:sz="4" w:space="0" w:color="auto"/>
              <w:right w:val="single" w:sz="4" w:space="0" w:color="auto"/>
            </w:tcBorders>
            <w:shd w:val="clear" w:color="auto" w:fill="auto"/>
            <w:noWrap/>
            <w:vAlign w:val="bottom"/>
            <w:hideMark/>
          </w:tcPr>
          <w:p w:rsidR="00B4137B" w:rsidRPr="00243446" w:rsidRDefault="00B4137B" w:rsidP="00B4137B">
            <w:pPr>
              <w:spacing w:after="0" w:line="240" w:lineRule="auto"/>
              <w:rPr>
                <w:rFonts w:ascii="Arial" w:hAnsi="Arial" w:cs="Arial"/>
                <w:bCs/>
              </w:rPr>
            </w:pPr>
            <w:r w:rsidRPr="00243446">
              <w:rPr>
                <w:rFonts w:ascii="Arial" w:hAnsi="Arial" w:cs="Arial"/>
                <w:bCs/>
              </w:rPr>
              <w:t xml:space="preserve">            </w:t>
            </w:r>
            <w:r w:rsidR="00FA1F13" w:rsidRPr="00243446">
              <w:rPr>
                <w:rFonts w:ascii="Arial" w:hAnsi="Arial" w:cs="Arial"/>
                <w:bCs/>
              </w:rPr>
              <w:t>3,</w:t>
            </w:r>
            <w:r w:rsidRPr="00243446">
              <w:rPr>
                <w:rFonts w:ascii="Arial" w:hAnsi="Arial" w:cs="Arial"/>
                <w:bCs/>
              </w:rPr>
              <w:t xml:space="preserve">700 </w:t>
            </w:r>
          </w:p>
        </w:tc>
        <w:tc>
          <w:tcPr>
            <w:tcW w:w="1021" w:type="dxa"/>
            <w:tcBorders>
              <w:top w:val="nil"/>
              <w:left w:val="nil"/>
              <w:bottom w:val="single" w:sz="4" w:space="0" w:color="auto"/>
              <w:right w:val="nil"/>
            </w:tcBorders>
          </w:tcPr>
          <w:p w:rsidR="00B4137B" w:rsidRPr="00243446" w:rsidRDefault="00B4137B" w:rsidP="00B4137B">
            <w:pPr>
              <w:spacing w:after="0" w:line="240" w:lineRule="auto"/>
              <w:rPr>
                <w:rFonts w:ascii="Arial" w:hAnsi="Arial" w:cs="Arial"/>
                <w:bCs/>
              </w:rPr>
            </w:pPr>
            <w:r w:rsidRPr="00243446">
              <w:rPr>
                <w:rFonts w:ascii="Arial" w:hAnsi="Arial" w:cs="Arial"/>
                <w:bCs/>
              </w:rPr>
              <w:t>-</w:t>
            </w:r>
          </w:p>
        </w:tc>
        <w:tc>
          <w:tcPr>
            <w:tcW w:w="1100" w:type="dxa"/>
            <w:tcBorders>
              <w:top w:val="nil"/>
              <w:left w:val="nil"/>
              <w:bottom w:val="single" w:sz="4" w:space="0" w:color="auto"/>
              <w:right w:val="single" w:sz="4" w:space="0" w:color="auto"/>
            </w:tcBorders>
            <w:shd w:val="clear" w:color="auto" w:fill="auto"/>
            <w:noWrap/>
            <w:vAlign w:val="bottom"/>
            <w:hideMark/>
          </w:tcPr>
          <w:p w:rsidR="00B4137B" w:rsidRPr="00243446" w:rsidRDefault="00B4137B" w:rsidP="00B4137B">
            <w:pPr>
              <w:spacing w:after="0" w:line="240" w:lineRule="auto"/>
              <w:rPr>
                <w:rFonts w:ascii="Arial" w:hAnsi="Arial" w:cs="Arial"/>
                <w:bCs/>
              </w:rPr>
            </w:pPr>
            <w:r w:rsidRPr="00243446">
              <w:rPr>
                <w:rFonts w:ascii="Arial" w:hAnsi="Arial" w:cs="Arial"/>
                <w:bCs/>
              </w:rPr>
              <w:t xml:space="preserve">                  -   </w:t>
            </w:r>
          </w:p>
        </w:tc>
        <w:tc>
          <w:tcPr>
            <w:tcW w:w="1100" w:type="dxa"/>
            <w:tcBorders>
              <w:top w:val="nil"/>
              <w:left w:val="nil"/>
              <w:bottom w:val="single" w:sz="4" w:space="0" w:color="auto"/>
              <w:right w:val="single" w:sz="4" w:space="0" w:color="auto"/>
            </w:tcBorders>
            <w:shd w:val="clear" w:color="auto" w:fill="auto"/>
            <w:noWrap/>
            <w:vAlign w:val="bottom"/>
            <w:hideMark/>
          </w:tcPr>
          <w:p w:rsidR="00B4137B" w:rsidRPr="00243446" w:rsidRDefault="00B4137B" w:rsidP="00B4137B">
            <w:pPr>
              <w:spacing w:after="0" w:line="240" w:lineRule="auto"/>
              <w:rPr>
                <w:rFonts w:ascii="Arial" w:hAnsi="Arial" w:cs="Arial"/>
                <w:bCs/>
              </w:rPr>
            </w:pPr>
            <w:r w:rsidRPr="00243446">
              <w:rPr>
                <w:rFonts w:ascii="Arial" w:hAnsi="Arial" w:cs="Arial"/>
                <w:bCs/>
              </w:rPr>
              <w:t xml:space="preserve">           3,</w:t>
            </w:r>
            <w:r w:rsidR="00FA1F13" w:rsidRPr="00243446">
              <w:rPr>
                <w:rFonts w:ascii="Arial" w:hAnsi="Arial" w:cs="Arial"/>
                <w:bCs/>
              </w:rPr>
              <w:t>7</w:t>
            </w:r>
            <w:r w:rsidRPr="00243446">
              <w:rPr>
                <w:rFonts w:ascii="Arial" w:hAnsi="Arial" w:cs="Arial"/>
                <w:bCs/>
              </w:rPr>
              <w:t xml:space="preserve">00 </w:t>
            </w:r>
          </w:p>
        </w:tc>
      </w:tr>
      <w:tr w:rsidR="00B4137B" w:rsidRPr="00243446" w:rsidTr="00B4137B">
        <w:trPr>
          <w:trHeight w:val="300"/>
        </w:trPr>
        <w:tc>
          <w:tcPr>
            <w:tcW w:w="3680" w:type="dxa"/>
            <w:tcBorders>
              <w:top w:val="nil"/>
              <w:left w:val="single" w:sz="4" w:space="0" w:color="auto"/>
              <w:bottom w:val="single" w:sz="4" w:space="0" w:color="auto"/>
              <w:right w:val="single" w:sz="4" w:space="0" w:color="auto"/>
            </w:tcBorders>
            <w:shd w:val="clear" w:color="000000" w:fill="DDEBF7"/>
            <w:noWrap/>
            <w:vAlign w:val="bottom"/>
            <w:hideMark/>
          </w:tcPr>
          <w:p w:rsidR="00B4137B" w:rsidRPr="00243446" w:rsidRDefault="00B4137B" w:rsidP="00B4137B">
            <w:pPr>
              <w:spacing w:after="0" w:line="240" w:lineRule="auto"/>
              <w:rPr>
                <w:rFonts w:ascii="Arial" w:hAnsi="Arial" w:cs="Arial"/>
                <w:b/>
                <w:bCs/>
              </w:rPr>
            </w:pPr>
            <w:r w:rsidRPr="00243446">
              <w:rPr>
                <w:rFonts w:ascii="Arial" w:hAnsi="Arial" w:cs="Arial"/>
                <w:b/>
                <w:bCs/>
              </w:rPr>
              <w:t>Cilj 3</w:t>
            </w:r>
          </w:p>
        </w:tc>
        <w:tc>
          <w:tcPr>
            <w:tcW w:w="1120" w:type="dxa"/>
            <w:tcBorders>
              <w:top w:val="nil"/>
              <w:left w:val="nil"/>
              <w:bottom w:val="single" w:sz="4" w:space="0" w:color="auto"/>
              <w:right w:val="single" w:sz="4" w:space="0" w:color="auto"/>
            </w:tcBorders>
            <w:shd w:val="clear" w:color="auto" w:fill="auto"/>
            <w:noWrap/>
            <w:vAlign w:val="bottom"/>
            <w:hideMark/>
          </w:tcPr>
          <w:p w:rsidR="00B4137B" w:rsidRPr="00243446" w:rsidRDefault="00B4137B" w:rsidP="00B4137B">
            <w:pPr>
              <w:spacing w:after="0" w:line="240" w:lineRule="auto"/>
              <w:rPr>
                <w:rFonts w:ascii="Arial" w:hAnsi="Arial" w:cs="Arial"/>
                <w:bCs/>
              </w:rPr>
            </w:pPr>
            <w:r w:rsidRPr="00243446">
              <w:rPr>
                <w:rFonts w:ascii="Arial" w:hAnsi="Arial" w:cs="Arial"/>
                <w:bCs/>
              </w:rPr>
              <w:t xml:space="preserve">         </w:t>
            </w:r>
            <w:r w:rsidR="00FA1F13" w:rsidRPr="00243446">
              <w:rPr>
                <w:rFonts w:ascii="Arial" w:hAnsi="Arial" w:cs="Arial"/>
                <w:bCs/>
              </w:rPr>
              <w:t>37</w:t>
            </w:r>
            <w:r w:rsidRPr="00243446">
              <w:rPr>
                <w:rFonts w:ascii="Arial" w:hAnsi="Arial" w:cs="Arial"/>
                <w:bCs/>
              </w:rPr>
              <w:t>,</w:t>
            </w:r>
            <w:r w:rsidR="00FA1F13" w:rsidRPr="00243446">
              <w:rPr>
                <w:rFonts w:ascii="Arial" w:hAnsi="Arial" w:cs="Arial"/>
                <w:bCs/>
              </w:rPr>
              <w:t>4</w:t>
            </w:r>
            <w:r w:rsidRPr="00243446">
              <w:rPr>
                <w:rFonts w:ascii="Arial" w:hAnsi="Arial" w:cs="Arial"/>
                <w:bCs/>
              </w:rPr>
              <w:t xml:space="preserve">00 </w:t>
            </w:r>
          </w:p>
        </w:tc>
        <w:tc>
          <w:tcPr>
            <w:tcW w:w="1000" w:type="dxa"/>
            <w:tcBorders>
              <w:top w:val="nil"/>
              <w:left w:val="nil"/>
              <w:bottom w:val="single" w:sz="4" w:space="0" w:color="auto"/>
              <w:right w:val="single" w:sz="4" w:space="0" w:color="auto"/>
            </w:tcBorders>
            <w:shd w:val="clear" w:color="auto" w:fill="auto"/>
            <w:noWrap/>
            <w:vAlign w:val="bottom"/>
            <w:hideMark/>
          </w:tcPr>
          <w:p w:rsidR="00B4137B" w:rsidRPr="00243446" w:rsidRDefault="00B4137B" w:rsidP="00B4137B">
            <w:pPr>
              <w:spacing w:after="0" w:line="240" w:lineRule="auto"/>
              <w:rPr>
                <w:rFonts w:ascii="Arial" w:hAnsi="Arial" w:cs="Arial"/>
                <w:bCs/>
              </w:rPr>
            </w:pPr>
            <w:r w:rsidRPr="00243446">
              <w:rPr>
                <w:rFonts w:ascii="Arial" w:hAnsi="Arial" w:cs="Arial"/>
                <w:bCs/>
              </w:rPr>
              <w:t xml:space="preserve">      </w:t>
            </w:r>
            <w:r w:rsidR="00FA1F13" w:rsidRPr="00243446">
              <w:rPr>
                <w:rFonts w:ascii="Arial" w:hAnsi="Arial" w:cs="Arial"/>
                <w:bCs/>
              </w:rPr>
              <w:t>6</w:t>
            </w:r>
            <w:r w:rsidRPr="00243446">
              <w:rPr>
                <w:rFonts w:ascii="Arial" w:hAnsi="Arial" w:cs="Arial"/>
                <w:bCs/>
              </w:rPr>
              <w:t xml:space="preserve">,400 </w:t>
            </w:r>
          </w:p>
        </w:tc>
        <w:tc>
          <w:tcPr>
            <w:tcW w:w="1021" w:type="dxa"/>
            <w:tcBorders>
              <w:top w:val="nil"/>
              <w:left w:val="nil"/>
              <w:bottom w:val="single" w:sz="4" w:space="0" w:color="auto"/>
              <w:right w:val="nil"/>
            </w:tcBorders>
          </w:tcPr>
          <w:p w:rsidR="00B4137B" w:rsidRPr="00243446" w:rsidRDefault="00B4137B" w:rsidP="00B4137B">
            <w:pPr>
              <w:spacing w:after="0" w:line="240" w:lineRule="auto"/>
              <w:rPr>
                <w:rFonts w:ascii="Arial" w:hAnsi="Arial" w:cs="Arial"/>
                <w:bCs/>
              </w:rPr>
            </w:pPr>
            <w:r w:rsidRPr="00243446">
              <w:rPr>
                <w:rFonts w:ascii="Arial" w:hAnsi="Arial" w:cs="Arial"/>
                <w:bCs/>
              </w:rPr>
              <w:t>-</w:t>
            </w:r>
          </w:p>
        </w:tc>
        <w:tc>
          <w:tcPr>
            <w:tcW w:w="1100" w:type="dxa"/>
            <w:tcBorders>
              <w:top w:val="nil"/>
              <w:left w:val="nil"/>
              <w:bottom w:val="single" w:sz="4" w:space="0" w:color="auto"/>
              <w:right w:val="single" w:sz="4" w:space="0" w:color="auto"/>
            </w:tcBorders>
            <w:shd w:val="clear" w:color="auto" w:fill="auto"/>
            <w:noWrap/>
            <w:vAlign w:val="bottom"/>
            <w:hideMark/>
          </w:tcPr>
          <w:p w:rsidR="00B4137B" w:rsidRPr="00243446" w:rsidRDefault="00B4137B" w:rsidP="00B4137B">
            <w:pPr>
              <w:spacing w:after="0" w:line="240" w:lineRule="auto"/>
              <w:rPr>
                <w:rFonts w:ascii="Arial" w:hAnsi="Arial" w:cs="Arial"/>
                <w:bCs/>
              </w:rPr>
            </w:pPr>
            <w:r w:rsidRPr="00243446">
              <w:rPr>
                <w:rFonts w:ascii="Arial" w:hAnsi="Arial" w:cs="Arial"/>
                <w:bCs/>
              </w:rPr>
              <w:t xml:space="preserve">                  -   </w:t>
            </w:r>
          </w:p>
        </w:tc>
        <w:tc>
          <w:tcPr>
            <w:tcW w:w="1100" w:type="dxa"/>
            <w:tcBorders>
              <w:top w:val="nil"/>
              <w:left w:val="nil"/>
              <w:bottom w:val="single" w:sz="4" w:space="0" w:color="auto"/>
              <w:right w:val="single" w:sz="4" w:space="0" w:color="auto"/>
            </w:tcBorders>
            <w:shd w:val="clear" w:color="auto" w:fill="auto"/>
            <w:noWrap/>
            <w:vAlign w:val="bottom"/>
            <w:hideMark/>
          </w:tcPr>
          <w:p w:rsidR="00B4137B" w:rsidRPr="00243446" w:rsidRDefault="00B4137B" w:rsidP="00B4137B">
            <w:pPr>
              <w:spacing w:after="0" w:line="240" w:lineRule="auto"/>
              <w:rPr>
                <w:rFonts w:ascii="Arial" w:hAnsi="Arial" w:cs="Arial"/>
                <w:bCs/>
              </w:rPr>
            </w:pPr>
            <w:r w:rsidRPr="00243446">
              <w:rPr>
                <w:rFonts w:ascii="Arial" w:hAnsi="Arial" w:cs="Arial"/>
                <w:bCs/>
              </w:rPr>
              <w:t xml:space="preserve">        </w:t>
            </w:r>
            <w:r w:rsidR="00FA1F13" w:rsidRPr="00243446">
              <w:rPr>
                <w:rFonts w:ascii="Arial" w:hAnsi="Arial" w:cs="Arial"/>
                <w:bCs/>
              </w:rPr>
              <w:t>4</w:t>
            </w:r>
            <w:r w:rsidRPr="00243446">
              <w:rPr>
                <w:rFonts w:ascii="Arial" w:hAnsi="Arial" w:cs="Arial"/>
                <w:bCs/>
              </w:rPr>
              <w:t>3,</w:t>
            </w:r>
            <w:r w:rsidR="00FA1F13" w:rsidRPr="00243446">
              <w:rPr>
                <w:rFonts w:ascii="Arial" w:hAnsi="Arial" w:cs="Arial"/>
                <w:bCs/>
              </w:rPr>
              <w:t>8</w:t>
            </w:r>
            <w:r w:rsidRPr="00243446">
              <w:rPr>
                <w:rFonts w:ascii="Arial" w:hAnsi="Arial" w:cs="Arial"/>
                <w:bCs/>
              </w:rPr>
              <w:t xml:space="preserve">00 </w:t>
            </w:r>
          </w:p>
        </w:tc>
      </w:tr>
      <w:tr w:rsidR="00B4137B" w:rsidRPr="00243446" w:rsidTr="00B4137B">
        <w:trPr>
          <w:trHeight w:val="300"/>
        </w:trPr>
        <w:tc>
          <w:tcPr>
            <w:tcW w:w="3680" w:type="dxa"/>
            <w:tcBorders>
              <w:top w:val="nil"/>
              <w:left w:val="single" w:sz="4" w:space="0" w:color="auto"/>
              <w:bottom w:val="single" w:sz="4" w:space="0" w:color="auto"/>
              <w:right w:val="single" w:sz="4" w:space="0" w:color="auto"/>
            </w:tcBorders>
            <w:shd w:val="clear" w:color="000000" w:fill="DDEBF7"/>
            <w:noWrap/>
            <w:vAlign w:val="bottom"/>
            <w:hideMark/>
          </w:tcPr>
          <w:p w:rsidR="00B4137B" w:rsidRPr="00243446" w:rsidRDefault="00B4137B" w:rsidP="00B4137B">
            <w:pPr>
              <w:spacing w:after="0" w:line="240" w:lineRule="auto"/>
              <w:rPr>
                <w:rFonts w:ascii="Arial" w:hAnsi="Arial" w:cs="Arial"/>
                <w:b/>
                <w:bCs/>
              </w:rPr>
            </w:pPr>
            <w:r w:rsidRPr="00243446">
              <w:rPr>
                <w:rFonts w:ascii="Arial" w:hAnsi="Arial" w:cs="Arial"/>
                <w:b/>
                <w:bCs/>
              </w:rPr>
              <w:t>Cilj 4</w:t>
            </w:r>
          </w:p>
        </w:tc>
        <w:tc>
          <w:tcPr>
            <w:tcW w:w="1120" w:type="dxa"/>
            <w:tcBorders>
              <w:top w:val="nil"/>
              <w:left w:val="nil"/>
              <w:bottom w:val="single" w:sz="4" w:space="0" w:color="auto"/>
              <w:right w:val="single" w:sz="4" w:space="0" w:color="auto"/>
            </w:tcBorders>
            <w:shd w:val="clear" w:color="auto" w:fill="auto"/>
            <w:noWrap/>
            <w:vAlign w:val="bottom"/>
            <w:hideMark/>
          </w:tcPr>
          <w:p w:rsidR="00B4137B" w:rsidRPr="00243446" w:rsidRDefault="00B4137B" w:rsidP="00B4137B">
            <w:pPr>
              <w:spacing w:after="0" w:line="240" w:lineRule="auto"/>
              <w:rPr>
                <w:rFonts w:ascii="Arial" w:hAnsi="Arial" w:cs="Arial"/>
                <w:bCs/>
              </w:rPr>
            </w:pPr>
            <w:r w:rsidRPr="00243446">
              <w:rPr>
                <w:rFonts w:ascii="Arial" w:hAnsi="Arial" w:cs="Arial"/>
                <w:bCs/>
              </w:rPr>
              <w:t xml:space="preserve"> </w:t>
            </w:r>
            <w:r w:rsidR="00FA1F13" w:rsidRPr="00243446">
              <w:rPr>
                <w:rFonts w:ascii="Arial" w:hAnsi="Arial" w:cs="Arial"/>
                <w:bCs/>
              </w:rPr>
              <w:t>-</w:t>
            </w:r>
          </w:p>
        </w:tc>
        <w:tc>
          <w:tcPr>
            <w:tcW w:w="1000" w:type="dxa"/>
            <w:tcBorders>
              <w:top w:val="nil"/>
              <w:left w:val="nil"/>
              <w:bottom w:val="single" w:sz="4" w:space="0" w:color="auto"/>
              <w:right w:val="single" w:sz="4" w:space="0" w:color="auto"/>
            </w:tcBorders>
            <w:shd w:val="clear" w:color="auto" w:fill="auto"/>
            <w:noWrap/>
            <w:vAlign w:val="bottom"/>
            <w:hideMark/>
          </w:tcPr>
          <w:p w:rsidR="00B4137B" w:rsidRPr="00243446" w:rsidRDefault="00B4137B" w:rsidP="00B4137B">
            <w:pPr>
              <w:spacing w:after="0" w:line="240" w:lineRule="auto"/>
              <w:rPr>
                <w:rFonts w:ascii="Arial" w:hAnsi="Arial" w:cs="Arial"/>
                <w:bCs/>
              </w:rPr>
            </w:pPr>
            <w:r w:rsidRPr="00243446">
              <w:rPr>
                <w:rFonts w:ascii="Arial" w:hAnsi="Arial" w:cs="Arial"/>
                <w:bCs/>
              </w:rPr>
              <w:t xml:space="preserve">                -   </w:t>
            </w:r>
          </w:p>
        </w:tc>
        <w:tc>
          <w:tcPr>
            <w:tcW w:w="1021" w:type="dxa"/>
            <w:tcBorders>
              <w:top w:val="nil"/>
              <w:left w:val="nil"/>
              <w:bottom w:val="single" w:sz="4" w:space="0" w:color="auto"/>
              <w:right w:val="nil"/>
            </w:tcBorders>
          </w:tcPr>
          <w:p w:rsidR="00B4137B" w:rsidRPr="00243446" w:rsidRDefault="00B4137B" w:rsidP="00B4137B">
            <w:pPr>
              <w:spacing w:after="0" w:line="240" w:lineRule="auto"/>
              <w:rPr>
                <w:rFonts w:ascii="Arial" w:hAnsi="Arial" w:cs="Arial"/>
                <w:bCs/>
              </w:rPr>
            </w:pPr>
            <w:r w:rsidRPr="00243446">
              <w:rPr>
                <w:rFonts w:ascii="Arial" w:hAnsi="Arial" w:cs="Arial"/>
                <w:bCs/>
              </w:rPr>
              <w:t>-</w:t>
            </w:r>
          </w:p>
        </w:tc>
        <w:tc>
          <w:tcPr>
            <w:tcW w:w="1100" w:type="dxa"/>
            <w:tcBorders>
              <w:top w:val="nil"/>
              <w:left w:val="nil"/>
              <w:bottom w:val="single" w:sz="4" w:space="0" w:color="auto"/>
              <w:right w:val="single" w:sz="4" w:space="0" w:color="auto"/>
            </w:tcBorders>
            <w:shd w:val="clear" w:color="auto" w:fill="auto"/>
            <w:noWrap/>
            <w:vAlign w:val="bottom"/>
            <w:hideMark/>
          </w:tcPr>
          <w:p w:rsidR="00B4137B" w:rsidRPr="00243446" w:rsidRDefault="00B4137B" w:rsidP="00B4137B">
            <w:pPr>
              <w:spacing w:after="0" w:line="240" w:lineRule="auto"/>
              <w:rPr>
                <w:rFonts w:ascii="Arial" w:hAnsi="Arial" w:cs="Arial"/>
                <w:bCs/>
              </w:rPr>
            </w:pPr>
            <w:r w:rsidRPr="00243446">
              <w:rPr>
                <w:rFonts w:ascii="Arial" w:hAnsi="Arial" w:cs="Arial"/>
                <w:bCs/>
              </w:rPr>
              <w:t xml:space="preserve">                  -   </w:t>
            </w:r>
          </w:p>
        </w:tc>
        <w:tc>
          <w:tcPr>
            <w:tcW w:w="1100" w:type="dxa"/>
            <w:tcBorders>
              <w:top w:val="nil"/>
              <w:left w:val="nil"/>
              <w:bottom w:val="single" w:sz="4" w:space="0" w:color="auto"/>
              <w:right w:val="single" w:sz="4" w:space="0" w:color="auto"/>
            </w:tcBorders>
            <w:shd w:val="clear" w:color="auto" w:fill="auto"/>
            <w:noWrap/>
            <w:vAlign w:val="bottom"/>
            <w:hideMark/>
          </w:tcPr>
          <w:p w:rsidR="00B4137B" w:rsidRPr="00243446" w:rsidRDefault="00B4137B" w:rsidP="00B4137B">
            <w:pPr>
              <w:spacing w:after="0" w:line="240" w:lineRule="auto"/>
              <w:rPr>
                <w:rFonts w:ascii="Arial" w:hAnsi="Arial" w:cs="Arial"/>
                <w:bCs/>
              </w:rPr>
            </w:pPr>
            <w:r w:rsidRPr="00243446">
              <w:rPr>
                <w:rFonts w:ascii="Arial" w:hAnsi="Arial" w:cs="Arial"/>
                <w:bCs/>
              </w:rPr>
              <w:t xml:space="preserve"> </w:t>
            </w:r>
            <w:r w:rsidR="00FA1F13" w:rsidRPr="00243446">
              <w:rPr>
                <w:rFonts w:ascii="Arial" w:hAnsi="Arial" w:cs="Arial"/>
                <w:bCs/>
              </w:rPr>
              <w:t>-</w:t>
            </w:r>
          </w:p>
        </w:tc>
      </w:tr>
      <w:tr w:rsidR="00B4137B" w:rsidRPr="00243446" w:rsidTr="00B4137B">
        <w:trPr>
          <w:trHeight w:val="300"/>
        </w:trPr>
        <w:tc>
          <w:tcPr>
            <w:tcW w:w="3680" w:type="dxa"/>
            <w:tcBorders>
              <w:top w:val="nil"/>
              <w:left w:val="single" w:sz="4" w:space="0" w:color="auto"/>
              <w:bottom w:val="single" w:sz="4" w:space="0" w:color="auto"/>
              <w:right w:val="single" w:sz="4" w:space="0" w:color="auto"/>
            </w:tcBorders>
            <w:shd w:val="clear" w:color="000000" w:fill="DDEBF7"/>
            <w:noWrap/>
            <w:vAlign w:val="bottom"/>
            <w:hideMark/>
          </w:tcPr>
          <w:p w:rsidR="00B4137B" w:rsidRPr="00243446" w:rsidRDefault="00B4137B" w:rsidP="00B4137B">
            <w:pPr>
              <w:spacing w:after="0" w:line="240" w:lineRule="auto"/>
              <w:rPr>
                <w:rFonts w:ascii="Arial" w:hAnsi="Arial" w:cs="Arial"/>
                <w:b/>
                <w:bCs/>
              </w:rPr>
            </w:pPr>
            <w:r w:rsidRPr="00243446">
              <w:rPr>
                <w:rFonts w:ascii="Arial" w:hAnsi="Arial" w:cs="Arial"/>
                <w:b/>
                <w:bCs/>
              </w:rPr>
              <w:t>Cilj 5</w:t>
            </w:r>
          </w:p>
        </w:tc>
        <w:tc>
          <w:tcPr>
            <w:tcW w:w="1120" w:type="dxa"/>
            <w:tcBorders>
              <w:top w:val="nil"/>
              <w:left w:val="nil"/>
              <w:bottom w:val="single" w:sz="4" w:space="0" w:color="auto"/>
              <w:right w:val="single" w:sz="4" w:space="0" w:color="auto"/>
            </w:tcBorders>
            <w:shd w:val="clear" w:color="auto" w:fill="auto"/>
            <w:noWrap/>
            <w:vAlign w:val="bottom"/>
            <w:hideMark/>
          </w:tcPr>
          <w:p w:rsidR="00B4137B" w:rsidRPr="00243446" w:rsidRDefault="00B4137B" w:rsidP="00B4137B">
            <w:pPr>
              <w:spacing w:after="0" w:line="240" w:lineRule="auto"/>
              <w:rPr>
                <w:rFonts w:ascii="Arial" w:hAnsi="Arial" w:cs="Arial"/>
                <w:bCs/>
              </w:rPr>
            </w:pPr>
            <w:r w:rsidRPr="00243446">
              <w:rPr>
                <w:rFonts w:ascii="Arial" w:hAnsi="Arial" w:cs="Arial"/>
                <w:bCs/>
              </w:rPr>
              <w:t xml:space="preserve">                  -   </w:t>
            </w:r>
          </w:p>
        </w:tc>
        <w:tc>
          <w:tcPr>
            <w:tcW w:w="1000" w:type="dxa"/>
            <w:tcBorders>
              <w:top w:val="nil"/>
              <w:left w:val="nil"/>
              <w:bottom w:val="single" w:sz="4" w:space="0" w:color="auto"/>
              <w:right w:val="single" w:sz="4" w:space="0" w:color="auto"/>
            </w:tcBorders>
            <w:shd w:val="clear" w:color="auto" w:fill="auto"/>
            <w:noWrap/>
            <w:vAlign w:val="bottom"/>
            <w:hideMark/>
          </w:tcPr>
          <w:p w:rsidR="00B4137B" w:rsidRPr="00243446" w:rsidRDefault="00B4137B" w:rsidP="00B4137B">
            <w:pPr>
              <w:spacing w:after="0" w:line="240" w:lineRule="auto"/>
              <w:rPr>
                <w:rFonts w:ascii="Arial" w:hAnsi="Arial" w:cs="Arial"/>
                <w:bCs/>
              </w:rPr>
            </w:pPr>
            <w:r w:rsidRPr="00243446">
              <w:rPr>
                <w:rFonts w:ascii="Arial" w:hAnsi="Arial" w:cs="Arial"/>
                <w:bCs/>
              </w:rPr>
              <w:t xml:space="preserve">                -   </w:t>
            </w:r>
          </w:p>
        </w:tc>
        <w:tc>
          <w:tcPr>
            <w:tcW w:w="1021" w:type="dxa"/>
            <w:tcBorders>
              <w:top w:val="nil"/>
              <w:left w:val="nil"/>
              <w:bottom w:val="single" w:sz="4" w:space="0" w:color="auto"/>
              <w:right w:val="nil"/>
            </w:tcBorders>
          </w:tcPr>
          <w:p w:rsidR="00B4137B" w:rsidRPr="00243446" w:rsidRDefault="00B4137B" w:rsidP="00B4137B">
            <w:pPr>
              <w:spacing w:after="0" w:line="240" w:lineRule="auto"/>
              <w:rPr>
                <w:rFonts w:ascii="Arial" w:hAnsi="Arial" w:cs="Arial"/>
                <w:bCs/>
              </w:rPr>
            </w:pPr>
            <w:r w:rsidRPr="00243446">
              <w:rPr>
                <w:rFonts w:ascii="Arial" w:hAnsi="Arial" w:cs="Arial"/>
                <w:bCs/>
              </w:rPr>
              <w:t>-</w:t>
            </w:r>
          </w:p>
        </w:tc>
        <w:tc>
          <w:tcPr>
            <w:tcW w:w="1100" w:type="dxa"/>
            <w:tcBorders>
              <w:top w:val="nil"/>
              <w:left w:val="nil"/>
              <w:bottom w:val="single" w:sz="4" w:space="0" w:color="auto"/>
              <w:right w:val="single" w:sz="4" w:space="0" w:color="auto"/>
            </w:tcBorders>
            <w:shd w:val="clear" w:color="auto" w:fill="auto"/>
            <w:noWrap/>
            <w:vAlign w:val="bottom"/>
            <w:hideMark/>
          </w:tcPr>
          <w:p w:rsidR="00B4137B" w:rsidRPr="00243446" w:rsidRDefault="00B4137B" w:rsidP="00B4137B">
            <w:pPr>
              <w:spacing w:after="0" w:line="240" w:lineRule="auto"/>
              <w:rPr>
                <w:rFonts w:ascii="Arial" w:hAnsi="Arial" w:cs="Arial"/>
                <w:bCs/>
              </w:rPr>
            </w:pPr>
            <w:r w:rsidRPr="00243446">
              <w:rPr>
                <w:rFonts w:ascii="Arial" w:hAnsi="Arial" w:cs="Arial"/>
                <w:bCs/>
              </w:rPr>
              <w:t xml:space="preserve">                  -   </w:t>
            </w:r>
          </w:p>
        </w:tc>
        <w:tc>
          <w:tcPr>
            <w:tcW w:w="1100" w:type="dxa"/>
            <w:tcBorders>
              <w:top w:val="nil"/>
              <w:left w:val="nil"/>
              <w:bottom w:val="single" w:sz="4" w:space="0" w:color="auto"/>
              <w:right w:val="single" w:sz="4" w:space="0" w:color="auto"/>
            </w:tcBorders>
            <w:shd w:val="clear" w:color="auto" w:fill="auto"/>
            <w:noWrap/>
            <w:vAlign w:val="bottom"/>
            <w:hideMark/>
          </w:tcPr>
          <w:p w:rsidR="00B4137B" w:rsidRPr="00243446" w:rsidRDefault="00B4137B" w:rsidP="00B4137B">
            <w:pPr>
              <w:spacing w:after="0" w:line="240" w:lineRule="auto"/>
              <w:rPr>
                <w:rFonts w:ascii="Arial" w:hAnsi="Arial" w:cs="Arial"/>
                <w:bCs/>
              </w:rPr>
            </w:pPr>
            <w:r w:rsidRPr="00243446">
              <w:rPr>
                <w:rFonts w:ascii="Arial" w:hAnsi="Arial" w:cs="Arial"/>
                <w:bCs/>
              </w:rPr>
              <w:t xml:space="preserve">                  -   </w:t>
            </w:r>
          </w:p>
        </w:tc>
      </w:tr>
      <w:tr w:rsidR="00B4137B" w:rsidRPr="00243446" w:rsidTr="00B4137B">
        <w:trPr>
          <w:trHeight w:val="300"/>
        </w:trPr>
        <w:tc>
          <w:tcPr>
            <w:tcW w:w="3680" w:type="dxa"/>
            <w:tcBorders>
              <w:top w:val="nil"/>
              <w:left w:val="single" w:sz="4" w:space="0" w:color="auto"/>
              <w:bottom w:val="single" w:sz="4" w:space="0" w:color="auto"/>
              <w:right w:val="single" w:sz="4" w:space="0" w:color="auto"/>
            </w:tcBorders>
            <w:shd w:val="clear" w:color="000000" w:fill="DDEBF7"/>
            <w:noWrap/>
            <w:vAlign w:val="bottom"/>
            <w:hideMark/>
          </w:tcPr>
          <w:p w:rsidR="00B4137B" w:rsidRPr="00243446" w:rsidRDefault="00B4137B" w:rsidP="00B4137B">
            <w:pPr>
              <w:spacing w:after="0" w:line="240" w:lineRule="auto"/>
              <w:rPr>
                <w:rFonts w:ascii="Arial" w:hAnsi="Arial" w:cs="Arial"/>
                <w:b/>
                <w:bCs/>
              </w:rPr>
            </w:pPr>
            <w:r w:rsidRPr="00243446">
              <w:rPr>
                <w:rFonts w:ascii="Arial" w:hAnsi="Arial" w:cs="Arial"/>
                <w:b/>
                <w:bCs/>
              </w:rPr>
              <w:t>Cilj 6</w:t>
            </w:r>
          </w:p>
        </w:tc>
        <w:tc>
          <w:tcPr>
            <w:tcW w:w="1120" w:type="dxa"/>
            <w:tcBorders>
              <w:top w:val="nil"/>
              <w:left w:val="nil"/>
              <w:bottom w:val="single" w:sz="4" w:space="0" w:color="auto"/>
              <w:right w:val="single" w:sz="4" w:space="0" w:color="auto"/>
            </w:tcBorders>
            <w:shd w:val="clear" w:color="auto" w:fill="auto"/>
            <w:noWrap/>
            <w:vAlign w:val="bottom"/>
            <w:hideMark/>
          </w:tcPr>
          <w:p w:rsidR="00B4137B" w:rsidRPr="00243446" w:rsidRDefault="00B4137B" w:rsidP="00B4137B">
            <w:pPr>
              <w:spacing w:after="0" w:line="240" w:lineRule="auto"/>
              <w:rPr>
                <w:rFonts w:ascii="Arial" w:hAnsi="Arial" w:cs="Arial"/>
                <w:bCs/>
              </w:rPr>
            </w:pPr>
            <w:r w:rsidRPr="00243446">
              <w:rPr>
                <w:rFonts w:ascii="Arial" w:hAnsi="Arial" w:cs="Arial"/>
                <w:bCs/>
              </w:rPr>
              <w:t xml:space="preserve">                  -   </w:t>
            </w:r>
          </w:p>
        </w:tc>
        <w:tc>
          <w:tcPr>
            <w:tcW w:w="1000" w:type="dxa"/>
            <w:tcBorders>
              <w:top w:val="nil"/>
              <w:left w:val="nil"/>
              <w:bottom w:val="single" w:sz="4" w:space="0" w:color="auto"/>
              <w:right w:val="single" w:sz="4" w:space="0" w:color="auto"/>
            </w:tcBorders>
            <w:shd w:val="clear" w:color="auto" w:fill="auto"/>
            <w:noWrap/>
            <w:vAlign w:val="bottom"/>
            <w:hideMark/>
          </w:tcPr>
          <w:p w:rsidR="00B4137B" w:rsidRPr="00243446" w:rsidRDefault="00B4137B" w:rsidP="00B4137B">
            <w:pPr>
              <w:spacing w:after="0" w:line="240" w:lineRule="auto"/>
              <w:rPr>
                <w:rFonts w:ascii="Arial" w:hAnsi="Arial" w:cs="Arial"/>
                <w:bCs/>
              </w:rPr>
            </w:pPr>
            <w:r w:rsidRPr="00243446">
              <w:rPr>
                <w:rFonts w:ascii="Arial" w:hAnsi="Arial" w:cs="Arial"/>
                <w:bCs/>
              </w:rPr>
              <w:t xml:space="preserve">                -   </w:t>
            </w:r>
          </w:p>
        </w:tc>
        <w:tc>
          <w:tcPr>
            <w:tcW w:w="1021" w:type="dxa"/>
            <w:tcBorders>
              <w:top w:val="nil"/>
              <w:left w:val="nil"/>
              <w:bottom w:val="single" w:sz="4" w:space="0" w:color="auto"/>
              <w:right w:val="nil"/>
            </w:tcBorders>
          </w:tcPr>
          <w:p w:rsidR="00B4137B" w:rsidRPr="00243446" w:rsidRDefault="00B4137B" w:rsidP="00B4137B">
            <w:pPr>
              <w:spacing w:after="0" w:line="240" w:lineRule="auto"/>
              <w:rPr>
                <w:rFonts w:ascii="Arial" w:hAnsi="Arial" w:cs="Arial"/>
                <w:bCs/>
              </w:rPr>
            </w:pPr>
            <w:r w:rsidRPr="00243446">
              <w:rPr>
                <w:rFonts w:ascii="Arial" w:hAnsi="Arial" w:cs="Arial"/>
                <w:bCs/>
              </w:rPr>
              <w:t>-</w:t>
            </w:r>
          </w:p>
        </w:tc>
        <w:tc>
          <w:tcPr>
            <w:tcW w:w="1100" w:type="dxa"/>
            <w:tcBorders>
              <w:top w:val="nil"/>
              <w:left w:val="nil"/>
              <w:bottom w:val="single" w:sz="4" w:space="0" w:color="auto"/>
              <w:right w:val="single" w:sz="4" w:space="0" w:color="auto"/>
            </w:tcBorders>
            <w:shd w:val="clear" w:color="auto" w:fill="auto"/>
            <w:noWrap/>
            <w:vAlign w:val="bottom"/>
            <w:hideMark/>
          </w:tcPr>
          <w:p w:rsidR="00B4137B" w:rsidRPr="00243446" w:rsidRDefault="00B4137B" w:rsidP="00B4137B">
            <w:pPr>
              <w:spacing w:after="0" w:line="240" w:lineRule="auto"/>
              <w:rPr>
                <w:rFonts w:ascii="Arial" w:hAnsi="Arial" w:cs="Arial"/>
                <w:bCs/>
              </w:rPr>
            </w:pPr>
            <w:r w:rsidRPr="00243446">
              <w:rPr>
                <w:rFonts w:ascii="Arial" w:hAnsi="Arial" w:cs="Arial"/>
                <w:bCs/>
              </w:rPr>
              <w:t xml:space="preserve">                  -   </w:t>
            </w:r>
          </w:p>
        </w:tc>
        <w:tc>
          <w:tcPr>
            <w:tcW w:w="1100" w:type="dxa"/>
            <w:tcBorders>
              <w:top w:val="nil"/>
              <w:left w:val="nil"/>
              <w:bottom w:val="single" w:sz="4" w:space="0" w:color="auto"/>
              <w:right w:val="single" w:sz="4" w:space="0" w:color="auto"/>
            </w:tcBorders>
            <w:shd w:val="clear" w:color="auto" w:fill="auto"/>
            <w:noWrap/>
            <w:vAlign w:val="bottom"/>
            <w:hideMark/>
          </w:tcPr>
          <w:p w:rsidR="00B4137B" w:rsidRPr="00243446" w:rsidRDefault="00B4137B" w:rsidP="00B4137B">
            <w:pPr>
              <w:spacing w:after="0" w:line="240" w:lineRule="auto"/>
              <w:rPr>
                <w:rFonts w:ascii="Arial" w:hAnsi="Arial" w:cs="Arial"/>
                <w:bCs/>
              </w:rPr>
            </w:pPr>
            <w:r w:rsidRPr="00243446">
              <w:rPr>
                <w:rFonts w:ascii="Arial" w:hAnsi="Arial" w:cs="Arial"/>
                <w:bCs/>
              </w:rPr>
              <w:t xml:space="preserve">                  -   </w:t>
            </w:r>
          </w:p>
        </w:tc>
      </w:tr>
      <w:tr w:rsidR="00B4137B" w:rsidRPr="00243446" w:rsidTr="00B4137B">
        <w:trPr>
          <w:trHeight w:val="600"/>
        </w:trPr>
        <w:tc>
          <w:tcPr>
            <w:tcW w:w="3680" w:type="dxa"/>
            <w:tcBorders>
              <w:top w:val="nil"/>
              <w:left w:val="single" w:sz="4" w:space="0" w:color="auto"/>
              <w:bottom w:val="single" w:sz="4" w:space="0" w:color="auto"/>
              <w:right w:val="single" w:sz="4" w:space="0" w:color="auto"/>
            </w:tcBorders>
            <w:shd w:val="clear" w:color="000000" w:fill="DDEBF7"/>
            <w:vAlign w:val="bottom"/>
            <w:hideMark/>
          </w:tcPr>
          <w:p w:rsidR="00B4137B" w:rsidRPr="00243446" w:rsidRDefault="00B4137B" w:rsidP="00B4137B">
            <w:pPr>
              <w:spacing w:after="0" w:line="240" w:lineRule="auto"/>
              <w:rPr>
                <w:rFonts w:ascii="Arial" w:hAnsi="Arial" w:cs="Arial"/>
                <w:b/>
                <w:bCs/>
              </w:rPr>
            </w:pPr>
            <w:r w:rsidRPr="00243446">
              <w:rPr>
                <w:rFonts w:ascii="Arial" w:hAnsi="Arial" w:cs="Arial"/>
                <w:b/>
                <w:bCs/>
              </w:rPr>
              <w:t>A</w:t>
            </w:r>
            <w:r w:rsidR="00063EC6" w:rsidRPr="00243446">
              <w:rPr>
                <w:rFonts w:ascii="Arial" w:hAnsi="Arial" w:cs="Arial"/>
                <w:b/>
                <w:bCs/>
              </w:rPr>
              <w:t>k</w:t>
            </w:r>
            <w:r w:rsidRPr="00243446">
              <w:rPr>
                <w:rFonts w:ascii="Arial" w:hAnsi="Arial" w:cs="Arial"/>
                <w:b/>
                <w:bCs/>
              </w:rPr>
              <w:t>cion</w:t>
            </w:r>
            <w:r w:rsidR="00FA1F13" w:rsidRPr="00243446">
              <w:rPr>
                <w:rFonts w:ascii="Arial" w:hAnsi="Arial" w:cs="Arial"/>
                <w:b/>
                <w:bCs/>
              </w:rPr>
              <w:t>i plan za</w:t>
            </w:r>
            <w:r w:rsidRPr="00243446">
              <w:rPr>
                <w:rFonts w:ascii="Arial" w:hAnsi="Arial" w:cs="Arial"/>
                <w:b/>
                <w:bCs/>
              </w:rPr>
              <w:t xml:space="preserve"> 2027-2028 </w:t>
            </w:r>
            <w:r w:rsidR="00FA1F13" w:rsidRPr="00243446">
              <w:rPr>
                <w:rFonts w:ascii="Arial" w:hAnsi="Arial" w:cs="Arial"/>
                <w:b/>
                <w:bCs/>
              </w:rPr>
              <w:t xml:space="preserve">I </w:t>
            </w:r>
            <w:r w:rsidRPr="00243446">
              <w:rPr>
                <w:rFonts w:ascii="Arial" w:hAnsi="Arial" w:cs="Arial"/>
                <w:b/>
                <w:bCs/>
              </w:rPr>
              <w:t>ex-post evalu</w:t>
            </w:r>
            <w:r w:rsidR="00FA1F13" w:rsidRPr="00243446">
              <w:rPr>
                <w:rFonts w:ascii="Arial" w:hAnsi="Arial" w:cs="Arial"/>
                <w:b/>
                <w:bCs/>
              </w:rPr>
              <w:t>acija</w:t>
            </w:r>
          </w:p>
        </w:tc>
        <w:tc>
          <w:tcPr>
            <w:tcW w:w="1120" w:type="dxa"/>
            <w:tcBorders>
              <w:top w:val="nil"/>
              <w:left w:val="nil"/>
              <w:bottom w:val="single" w:sz="4" w:space="0" w:color="auto"/>
              <w:right w:val="single" w:sz="4" w:space="0" w:color="auto"/>
            </w:tcBorders>
            <w:shd w:val="clear" w:color="auto" w:fill="auto"/>
            <w:noWrap/>
            <w:vAlign w:val="bottom"/>
            <w:hideMark/>
          </w:tcPr>
          <w:p w:rsidR="00B4137B" w:rsidRPr="00243446" w:rsidRDefault="00B4137B" w:rsidP="00B4137B">
            <w:pPr>
              <w:spacing w:after="0" w:line="240" w:lineRule="auto"/>
              <w:rPr>
                <w:rFonts w:ascii="Arial" w:hAnsi="Arial" w:cs="Arial"/>
                <w:bCs/>
              </w:rPr>
            </w:pPr>
            <w:r w:rsidRPr="00243446">
              <w:rPr>
                <w:rFonts w:ascii="Arial" w:hAnsi="Arial" w:cs="Arial"/>
                <w:bCs/>
              </w:rPr>
              <w:t xml:space="preserve">                  -   </w:t>
            </w:r>
          </w:p>
        </w:tc>
        <w:tc>
          <w:tcPr>
            <w:tcW w:w="1000" w:type="dxa"/>
            <w:tcBorders>
              <w:top w:val="nil"/>
              <w:left w:val="nil"/>
              <w:bottom w:val="single" w:sz="4" w:space="0" w:color="auto"/>
              <w:right w:val="single" w:sz="4" w:space="0" w:color="auto"/>
            </w:tcBorders>
            <w:shd w:val="clear" w:color="auto" w:fill="auto"/>
            <w:noWrap/>
            <w:vAlign w:val="bottom"/>
            <w:hideMark/>
          </w:tcPr>
          <w:p w:rsidR="00B4137B" w:rsidRPr="00243446" w:rsidRDefault="00B4137B" w:rsidP="00B4137B">
            <w:pPr>
              <w:spacing w:after="0" w:line="240" w:lineRule="auto"/>
              <w:rPr>
                <w:rFonts w:ascii="Arial" w:hAnsi="Arial" w:cs="Arial"/>
                <w:bCs/>
              </w:rPr>
            </w:pPr>
            <w:r w:rsidRPr="00243446">
              <w:rPr>
                <w:rFonts w:ascii="Arial" w:hAnsi="Arial" w:cs="Arial"/>
                <w:bCs/>
              </w:rPr>
              <w:t xml:space="preserve">                -   </w:t>
            </w:r>
          </w:p>
        </w:tc>
        <w:tc>
          <w:tcPr>
            <w:tcW w:w="1021" w:type="dxa"/>
            <w:tcBorders>
              <w:top w:val="nil"/>
              <w:left w:val="nil"/>
              <w:bottom w:val="single" w:sz="4" w:space="0" w:color="auto"/>
              <w:right w:val="nil"/>
            </w:tcBorders>
          </w:tcPr>
          <w:p w:rsidR="00B4137B" w:rsidRPr="00243446" w:rsidRDefault="00B4137B" w:rsidP="00B4137B">
            <w:pPr>
              <w:spacing w:after="0" w:line="240" w:lineRule="auto"/>
              <w:rPr>
                <w:rFonts w:ascii="Arial" w:hAnsi="Arial" w:cs="Arial"/>
                <w:bCs/>
              </w:rPr>
            </w:pPr>
            <w:r w:rsidRPr="00243446">
              <w:rPr>
                <w:rFonts w:ascii="Arial" w:hAnsi="Arial" w:cs="Arial"/>
                <w:bCs/>
              </w:rPr>
              <w:t>-</w:t>
            </w:r>
          </w:p>
        </w:tc>
        <w:tc>
          <w:tcPr>
            <w:tcW w:w="1100" w:type="dxa"/>
            <w:tcBorders>
              <w:top w:val="nil"/>
              <w:left w:val="nil"/>
              <w:bottom w:val="single" w:sz="4" w:space="0" w:color="auto"/>
              <w:right w:val="single" w:sz="4" w:space="0" w:color="auto"/>
            </w:tcBorders>
            <w:shd w:val="clear" w:color="auto" w:fill="auto"/>
            <w:noWrap/>
            <w:vAlign w:val="bottom"/>
            <w:hideMark/>
          </w:tcPr>
          <w:p w:rsidR="00B4137B" w:rsidRPr="00243446" w:rsidRDefault="00B4137B" w:rsidP="00B4137B">
            <w:pPr>
              <w:spacing w:after="0" w:line="240" w:lineRule="auto"/>
              <w:rPr>
                <w:rFonts w:ascii="Arial" w:hAnsi="Arial" w:cs="Arial"/>
                <w:bCs/>
              </w:rPr>
            </w:pPr>
            <w:r w:rsidRPr="00243446">
              <w:rPr>
                <w:rFonts w:ascii="Arial" w:hAnsi="Arial" w:cs="Arial"/>
                <w:bCs/>
              </w:rPr>
              <w:t xml:space="preserve">        60,000 </w:t>
            </w:r>
          </w:p>
        </w:tc>
        <w:tc>
          <w:tcPr>
            <w:tcW w:w="1100" w:type="dxa"/>
            <w:tcBorders>
              <w:top w:val="nil"/>
              <w:left w:val="nil"/>
              <w:bottom w:val="single" w:sz="4" w:space="0" w:color="auto"/>
              <w:right w:val="single" w:sz="4" w:space="0" w:color="auto"/>
            </w:tcBorders>
            <w:shd w:val="clear" w:color="auto" w:fill="auto"/>
            <w:noWrap/>
            <w:vAlign w:val="bottom"/>
            <w:hideMark/>
          </w:tcPr>
          <w:p w:rsidR="00B4137B" w:rsidRPr="00243446" w:rsidRDefault="00B4137B" w:rsidP="00B4137B">
            <w:pPr>
              <w:spacing w:after="0" w:line="240" w:lineRule="auto"/>
              <w:rPr>
                <w:rFonts w:ascii="Arial" w:hAnsi="Arial" w:cs="Arial"/>
                <w:bCs/>
              </w:rPr>
            </w:pPr>
            <w:r w:rsidRPr="00243446">
              <w:rPr>
                <w:rFonts w:ascii="Arial" w:hAnsi="Arial" w:cs="Arial"/>
                <w:bCs/>
              </w:rPr>
              <w:t xml:space="preserve">        60,000 </w:t>
            </w:r>
          </w:p>
        </w:tc>
      </w:tr>
      <w:tr w:rsidR="00B4137B" w:rsidRPr="00243446" w:rsidTr="00B4137B">
        <w:trPr>
          <w:trHeight w:val="300"/>
        </w:trPr>
        <w:tc>
          <w:tcPr>
            <w:tcW w:w="3680" w:type="dxa"/>
            <w:tcBorders>
              <w:top w:val="nil"/>
              <w:left w:val="single" w:sz="4" w:space="0" w:color="auto"/>
              <w:bottom w:val="single" w:sz="4" w:space="0" w:color="auto"/>
              <w:right w:val="single" w:sz="4" w:space="0" w:color="auto"/>
            </w:tcBorders>
            <w:shd w:val="clear" w:color="000000" w:fill="DDEBF7"/>
            <w:noWrap/>
            <w:vAlign w:val="bottom"/>
            <w:hideMark/>
          </w:tcPr>
          <w:p w:rsidR="00B4137B" w:rsidRPr="00243446" w:rsidRDefault="00B4137B" w:rsidP="00B4137B">
            <w:pPr>
              <w:spacing w:after="0" w:line="240" w:lineRule="auto"/>
              <w:rPr>
                <w:rFonts w:ascii="Arial" w:hAnsi="Arial" w:cs="Arial"/>
                <w:b/>
                <w:bCs/>
              </w:rPr>
            </w:pPr>
            <w:r w:rsidRPr="00243446">
              <w:rPr>
                <w:rFonts w:ascii="Arial" w:hAnsi="Arial" w:cs="Arial"/>
                <w:b/>
                <w:bCs/>
              </w:rPr>
              <w:t>Ukupno</w:t>
            </w:r>
          </w:p>
        </w:tc>
        <w:tc>
          <w:tcPr>
            <w:tcW w:w="1120" w:type="dxa"/>
            <w:tcBorders>
              <w:top w:val="nil"/>
              <w:left w:val="nil"/>
              <w:bottom w:val="single" w:sz="4" w:space="0" w:color="auto"/>
              <w:right w:val="single" w:sz="4" w:space="0" w:color="auto"/>
            </w:tcBorders>
            <w:shd w:val="clear" w:color="auto" w:fill="auto"/>
            <w:noWrap/>
            <w:vAlign w:val="bottom"/>
            <w:hideMark/>
          </w:tcPr>
          <w:p w:rsidR="00B4137B" w:rsidRPr="00243446" w:rsidRDefault="00B4137B" w:rsidP="00B4137B">
            <w:pPr>
              <w:spacing w:after="0" w:line="240" w:lineRule="auto"/>
              <w:rPr>
                <w:rFonts w:ascii="Arial" w:hAnsi="Arial" w:cs="Arial"/>
                <w:bCs/>
              </w:rPr>
            </w:pPr>
            <w:r w:rsidRPr="00243446">
              <w:rPr>
                <w:rFonts w:ascii="Arial" w:hAnsi="Arial" w:cs="Arial"/>
                <w:bCs/>
              </w:rPr>
              <w:t xml:space="preserve">       </w:t>
            </w:r>
            <w:r w:rsidR="00FA1F13" w:rsidRPr="00243446">
              <w:rPr>
                <w:rFonts w:ascii="Arial" w:hAnsi="Arial" w:cs="Arial"/>
                <w:bCs/>
              </w:rPr>
              <w:t>47,900</w:t>
            </w:r>
          </w:p>
        </w:tc>
        <w:tc>
          <w:tcPr>
            <w:tcW w:w="1000" w:type="dxa"/>
            <w:tcBorders>
              <w:top w:val="nil"/>
              <w:left w:val="nil"/>
              <w:bottom w:val="single" w:sz="4" w:space="0" w:color="auto"/>
              <w:right w:val="single" w:sz="4" w:space="0" w:color="auto"/>
            </w:tcBorders>
            <w:shd w:val="clear" w:color="auto" w:fill="auto"/>
            <w:noWrap/>
            <w:vAlign w:val="bottom"/>
            <w:hideMark/>
          </w:tcPr>
          <w:p w:rsidR="00B4137B" w:rsidRPr="00243446" w:rsidRDefault="00B4137B" w:rsidP="00B4137B">
            <w:pPr>
              <w:spacing w:after="0" w:line="240" w:lineRule="auto"/>
              <w:rPr>
                <w:rFonts w:ascii="Arial" w:hAnsi="Arial" w:cs="Arial"/>
                <w:bCs/>
              </w:rPr>
            </w:pPr>
            <w:r w:rsidRPr="00243446">
              <w:rPr>
                <w:rFonts w:ascii="Arial" w:hAnsi="Arial" w:cs="Arial"/>
                <w:bCs/>
              </w:rPr>
              <w:t xml:space="preserve">      </w:t>
            </w:r>
            <w:r w:rsidR="00FA1F13" w:rsidRPr="00243446">
              <w:rPr>
                <w:rFonts w:ascii="Arial" w:hAnsi="Arial" w:cs="Arial"/>
                <w:bCs/>
              </w:rPr>
              <w:t>10,100</w:t>
            </w:r>
          </w:p>
        </w:tc>
        <w:tc>
          <w:tcPr>
            <w:tcW w:w="1021" w:type="dxa"/>
            <w:tcBorders>
              <w:top w:val="nil"/>
              <w:left w:val="nil"/>
              <w:bottom w:val="single" w:sz="4" w:space="0" w:color="auto"/>
              <w:right w:val="nil"/>
            </w:tcBorders>
          </w:tcPr>
          <w:p w:rsidR="00B4137B" w:rsidRPr="00243446" w:rsidRDefault="00B4137B" w:rsidP="00B4137B">
            <w:pPr>
              <w:spacing w:after="0" w:line="240" w:lineRule="auto"/>
              <w:rPr>
                <w:rFonts w:ascii="Arial" w:hAnsi="Arial" w:cs="Arial"/>
                <w:bCs/>
              </w:rPr>
            </w:pPr>
          </w:p>
        </w:tc>
        <w:tc>
          <w:tcPr>
            <w:tcW w:w="1100" w:type="dxa"/>
            <w:tcBorders>
              <w:top w:val="nil"/>
              <w:left w:val="nil"/>
              <w:bottom w:val="single" w:sz="4" w:space="0" w:color="auto"/>
              <w:right w:val="single" w:sz="4" w:space="0" w:color="auto"/>
            </w:tcBorders>
            <w:shd w:val="clear" w:color="auto" w:fill="auto"/>
            <w:noWrap/>
            <w:vAlign w:val="bottom"/>
            <w:hideMark/>
          </w:tcPr>
          <w:p w:rsidR="00B4137B" w:rsidRPr="00243446" w:rsidRDefault="00B4137B" w:rsidP="00B4137B">
            <w:pPr>
              <w:spacing w:after="0" w:line="240" w:lineRule="auto"/>
              <w:rPr>
                <w:rFonts w:ascii="Arial" w:hAnsi="Arial" w:cs="Arial"/>
                <w:bCs/>
              </w:rPr>
            </w:pPr>
            <w:r w:rsidRPr="00243446">
              <w:rPr>
                <w:rFonts w:ascii="Arial" w:hAnsi="Arial" w:cs="Arial"/>
                <w:bCs/>
              </w:rPr>
              <w:t xml:space="preserve">        60,000 </w:t>
            </w:r>
          </w:p>
        </w:tc>
        <w:tc>
          <w:tcPr>
            <w:tcW w:w="1100" w:type="dxa"/>
            <w:tcBorders>
              <w:top w:val="nil"/>
              <w:left w:val="nil"/>
              <w:bottom w:val="single" w:sz="4" w:space="0" w:color="auto"/>
              <w:right w:val="single" w:sz="4" w:space="0" w:color="auto"/>
            </w:tcBorders>
            <w:shd w:val="clear" w:color="auto" w:fill="auto"/>
            <w:noWrap/>
            <w:vAlign w:val="bottom"/>
            <w:hideMark/>
          </w:tcPr>
          <w:p w:rsidR="00B4137B" w:rsidRPr="00243446" w:rsidRDefault="00B4137B" w:rsidP="00B4137B">
            <w:pPr>
              <w:spacing w:after="0" w:line="240" w:lineRule="auto"/>
              <w:rPr>
                <w:rFonts w:ascii="Arial" w:hAnsi="Arial" w:cs="Arial"/>
                <w:bCs/>
              </w:rPr>
            </w:pPr>
            <w:r w:rsidRPr="00243446">
              <w:rPr>
                <w:rFonts w:ascii="Arial" w:hAnsi="Arial" w:cs="Arial"/>
                <w:bCs/>
              </w:rPr>
              <w:t xml:space="preserve">      </w:t>
            </w:r>
            <w:r w:rsidR="00FA1F13" w:rsidRPr="00243446">
              <w:rPr>
                <w:rFonts w:ascii="Arial" w:hAnsi="Arial" w:cs="Arial"/>
                <w:bCs/>
              </w:rPr>
              <w:t>118,000</w:t>
            </w:r>
            <w:r w:rsidRPr="00243446">
              <w:rPr>
                <w:rFonts w:ascii="Arial" w:hAnsi="Arial" w:cs="Arial"/>
                <w:bCs/>
              </w:rPr>
              <w:t xml:space="preserve"> </w:t>
            </w:r>
          </w:p>
        </w:tc>
      </w:tr>
    </w:tbl>
    <w:p w:rsidR="00B4137B" w:rsidRPr="00243446" w:rsidRDefault="00B4137B" w:rsidP="00B4137B">
      <w:pPr>
        <w:spacing w:after="0" w:line="240" w:lineRule="auto"/>
        <w:rPr>
          <w:rFonts w:ascii="Arial" w:hAnsi="Arial" w:cs="Arial"/>
          <w:bCs/>
          <w:lang w:val="sr-Latn-ME"/>
        </w:rPr>
      </w:pPr>
    </w:p>
    <w:tbl>
      <w:tblPr>
        <w:tblW w:w="9180" w:type="dxa"/>
        <w:tblLayout w:type="fixed"/>
        <w:tblLook w:val="04A0" w:firstRow="1" w:lastRow="0" w:firstColumn="1" w:lastColumn="0" w:noHBand="0" w:noVBand="1"/>
      </w:tblPr>
      <w:tblGrid>
        <w:gridCol w:w="3222"/>
        <w:gridCol w:w="1262"/>
        <w:gridCol w:w="1179"/>
        <w:gridCol w:w="1237"/>
        <w:gridCol w:w="1200"/>
        <w:gridCol w:w="1080"/>
      </w:tblGrid>
      <w:tr w:rsidR="00231BB1" w:rsidRPr="00243446" w:rsidTr="00231BB1">
        <w:trPr>
          <w:trHeight w:val="300"/>
        </w:trPr>
        <w:tc>
          <w:tcPr>
            <w:tcW w:w="3222" w:type="dxa"/>
            <w:tcBorders>
              <w:top w:val="nil"/>
              <w:left w:val="nil"/>
              <w:bottom w:val="nil"/>
              <w:right w:val="nil"/>
            </w:tcBorders>
            <w:shd w:val="clear" w:color="auto" w:fill="auto"/>
            <w:noWrap/>
            <w:vAlign w:val="bottom"/>
            <w:hideMark/>
          </w:tcPr>
          <w:p w:rsidR="00231BB1" w:rsidRPr="00243446" w:rsidRDefault="00231BB1" w:rsidP="00231BB1">
            <w:pPr>
              <w:spacing w:after="0" w:line="240" w:lineRule="auto"/>
              <w:rPr>
                <w:rFonts w:ascii="Arial" w:hAnsi="Arial" w:cs="Arial"/>
                <w:b/>
                <w:bCs/>
              </w:rPr>
            </w:pPr>
          </w:p>
        </w:tc>
        <w:tc>
          <w:tcPr>
            <w:tcW w:w="1262"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231BB1" w:rsidRPr="00243446" w:rsidRDefault="00231BB1" w:rsidP="00231BB1">
            <w:pPr>
              <w:spacing w:after="0" w:line="240" w:lineRule="auto"/>
              <w:rPr>
                <w:rFonts w:ascii="Arial" w:hAnsi="Arial" w:cs="Arial"/>
                <w:b/>
                <w:bCs/>
              </w:rPr>
            </w:pPr>
            <w:r w:rsidRPr="00243446">
              <w:rPr>
                <w:rFonts w:ascii="Arial" w:hAnsi="Arial" w:cs="Arial"/>
                <w:b/>
                <w:bCs/>
              </w:rPr>
              <w:t>Godina 1</w:t>
            </w:r>
          </w:p>
        </w:tc>
        <w:tc>
          <w:tcPr>
            <w:tcW w:w="1179" w:type="dxa"/>
            <w:tcBorders>
              <w:top w:val="single" w:sz="4" w:space="0" w:color="auto"/>
              <w:left w:val="nil"/>
              <w:bottom w:val="single" w:sz="4" w:space="0" w:color="auto"/>
              <w:right w:val="single" w:sz="4" w:space="0" w:color="auto"/>
            </w:tcBorders>
            <w:shd w:val="clear" w:color="000000" w:fill="DDEBF7"/>
            <w:noWrap/>
            <w:vAlign w:val="bottom"/>
            <w:hideMark/>
          </w:tcPr>
          <w:p w:rsidR="00231BB1" w:rsidRPr="00243446" w:rsidRDefault="00231BB1" w:rsidP="00231BB1">
            <w:pPr>
              <w:spacing w:after="0" w:line="240" w:lineRule="auto"/>
              <w:rPr>
                <w:rFonts w:ascii="Arial" w:hAnsi="Arial" w:cs="Arial"/>
                <w:b/>
                <w:bCs/>
              </w:rPr>
            </w:pPr>
            <w:r w:rsidRPr="00243446">
              <w:rPr>
                <w:rFonts w:ascii="Arial" w:hAnsi="Arial" w:cs="Arial"/>
                <w:b/>
                <w:bCs/>
              </w:rPr>
              <w:t>Godina 2</w:t>
            </w:r>
          </w:p>
        </w:tc>
        <w:tc>
          <w:tcPr>
            <w:tcW w:w="1237" w:type="dxa"/>
            <w:tcBorders>
              <w:top w:val="single" w:sz="4" w:space="0" w:color="auto"/>
              <w:left w:val="nil"/>
              <w:bottom w:val="single" w:sz="4" w:space="0" w:color="auto"/>
              <w:right w:val="single" w:sz="4" w:space="0" w:color="auto"/>
            </w:tcBorders>
            <w:shd w:val="clear" w:color="000000" w:fill="DDEBF7"/>
            <w:noWrap/>
            <w:vAlign w:val="bottom"/>
            <w:hideMark/>
          </w:tcPr>
          <w:p w:rsidR="00231BB1" w:rsidRPr="00243446" w:rsidRDefault="00231BB1" w:rsidP="00231BB1">
            <w:pPr>
              <w:spacing w:after="0" w:line="240" w:lineRule="auto"/>
              <w:rPr>
                <w:rFonts w:ascii="Arial" w:hAnsi="Arial" w:cs="Arial"/>
                <w:b/>
                <w:bCs/>
              </w:rPr>
            </w:pPr>
            <w:r w:rsidRPr="00243446">
              <w:rPr>
                <w:rFonts w:ascii="Arial" w:hAnsi="Arial" w:cs="Arial"/>
                <w:b/>
                <w:bCs/>
              </w:rPr>
              <w:t>Godina 3</w:t>
            </w:r>
          </w:p>
        </w:tc>
        <w:tc>
          <w:tcPr>
            <w:tcW w:w="1200" w:type="dxa"/>
            <w:tcBorders>
              <w:top w:val="single" w:sz="4" w:space="0" w:color="auto"/>
              <w:left w:val="nil"/>
              <w:bottom w:val="single" w:sz="4" w:space="0" w:color="auto"/>
              <w:right w:val="nil"/>
            </w:tcBorders>
            <w:shd w:val="clear" w:color="000000" w:fill="DDEBF7"/>
          </w:tcPr>
          <w:p w:rsidR="00231BB1" w:rsidRPr="00243446" w:rsidRDefault="00231BB1" w:rsidP="00231BB1">
            <w:pPr>
              <w:spacing w:after="0" w:line="240" w:lineRule="auto"/>
              <w:rPr>
                <w:rFonts w:ascii="Arial" w:hAnsi="Arial" w:cs="Arial"/>
                <w:b/>
                <w:bCs/>
              </w:rPr>
            </w:pPr>
          </w:p>
          <w:p w:rsidR="00231BB1" w:rsidRPr="00243446" w:rsidRDefault="00231BB1" w:rsidP="00231BB1">
            <w:pPr>
              <w:spacing w:after="0" w:line="240" w:lineRule="auto"/>
              <w:rPr>
                <w:rFonts w:ascii="Arial" w:hAnsi="Arial" w:cs="Arial"/>
                <w:b/>
                <w:bCs/>
              </w:rPr>
            </w:pPr>
            <w:r w:rsidRPr="00243446">
              <w:rPr>
                <w:rFonts w:ascii="Arial" w:hAnsi="Arial" w:cs="Arial"/>
                <w:b/>
                <w:bCs/>
              </w:rPr>
              <w:t xml:space="preserve">Godina 4 </w:t>
            </w:r>
          </w:p>
        </w:tc>
        <w:tc>
          <w:tcPr>
            <w:tcW w:w="1080" w:type="dxa"/>
            <w:tcBorders>
              <w:top w:val="single" w:sz="4" w:space="0" w:color="auto"/>
              <w:left w:val="nil"/>
              <w:bottom w:val="single" w:sz="4" w:space="0" w:color="auto"/>
              <w:right w:val="single" w:sz="4" w:space="0" w:color="auto"/>
            </w:tcBorders>
            <w:shd w:val="clear" w:color="000000" w:fill="DDEBF7"/>
            <w:noWrap/>
            <w:vAlign w:val="bottom"/>
            <w:hideMark/>
          </w:tcPr>
          <w:p w:rsidR="00231BB1" w:rsidRPr="00243446" w:rsidRDefault="00231BB1" w:rsidP="00231BB1">
            <w:pPr>
              <w:spacing w:after="0" w:line="240" w:lineRule="auto"/>
              <w:rPr>
                <w:rFonts w:ascii="Arial" w:hAnsi="Arial" w:cs="Arial"/>
                <w:b/>
                <w:bCs/>
              </w:rPr>
            </w:pPr>
            <w:r w:rsidRPr="00243446">
              <w:rPr>
                <w:rFonts w:ascii="Arial" w:hAnsi="Arial" w:cs="Arial"/>
                <w:b/>
                <w:bCs/>
              </w:rPr>
              <w:t>Ukupno</w:t>
            </w:r>
          </w:p>
        </w:tc>
      </w:tr>
      <w:tr w:rsidR="00231BB1" w:rsidRPr="00243446" w:rsidTr="00231BB1">
        <w:trPr>
          <w:trHeight w:val="300"/>
        </w:trPr>
        <w:tc>
          <w:tcPr>
            <w:tcW w:w="3222"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231BB1" w:rsidRPr="00243446" w:rsidRDefault="00231BB1" w:rsidP="00231BB1">
            <w:pPr>
              <w:spacing w:after="0" w:line="240" w:lineRule="auto"/>
              <w:rPr>
                <w:rFonts w:ascii="Arial" w:hAnsi="Arial" w:cs="Arial"/>
                <w:b/>
                <w:bCs/>
              </w:rPr>
            </w:pPr>
            <w:r w:rsidRPr="00243446">
              <w:rPr>
                <w:rFonts w:ascii="Arial" w:hAnsi="Arial" w:cs="Arial"/>
                <w:b/>
                <w:bCs/>
              </w:rPr>
              <w:t>Inkrementalni troškovi</w:t>
            </w:r>
          </w:p>
        </w:tc>
        <w:tc>
          <w:tcPr>
            <w:tcW w:w="1262" w:type="dxa"/>
            <w:tcBorders>
              <w:top w:val="nil"/>
              <w:left w:val="nil"/>
              <w:bottom w:val="single" w:sz="4" w:space="0" w:color="auto"/>
              <w:right w:val="single" w:sz="4" w:space="0" w:color="auto"/>
            </w:tcBorders>
            <w:shd w:val="clear" w:color="auto" w:fill="auto"/>
            <w:noWrap/>
            <w:vAlign w:val="bottom"/>
            <w:hideMark/>
          </w:tcPr>
          <w:p w:rsidR="00231BB1" w:rsidRPr="00243446" w:rsidRDefault="00231BB1" w:rsidP="00231BB1">
            <w:pPr>
              <w:spacing w:after="0" w:line="240" w:lineRule="auto"/>
              <w:rPr>
                <w:rFonts w:ascii="Arial" w:hAnsi="Arial" w:cs="Arial"/>
                <w:bCs/>
              </w:rPr>
            </w:pPr>
            <w:r w:rsidRPr="00243446">
              <w:rPr>
                <w:rFonts w:ascii="Arial" w:hAnsi="Arial" w:cs="Arial"/>
                <w:bCs/>
              </w:rPr>
              <w:t xml:space="preserve">       47,900 </w:t>
            </w:r>
          </w:p>
        </w:tc>
        <w:tc>
          <w:tcPr>
            <w:tcW w:w="1179" w:type="dxa"/>
            <w:tcBorders>
              <w:top w:val="nil"/>
              <w:left w:val="nil"/>
              <w:bottom w:val="single" w:sz="4" w:space="0" w:color="auto"/>
              <w:right w:val="single" w:sz="4" w:space="0" w:color="auto"/>
            </w:tcBorders>
            <w:shd w:val="clear" w:color="auto" w:fill="auto"/>
            <w:noWrap/>
            <w:vAlign w:val="bottom"/>
            <w:hideMark/>
          </w:tcPr>
          <w:p w:rsidR="00231BB1" w:rsidRPr="00243446" w:rsidRDefault="00231BB1" w:rsidP="00231BB1">
            <w:pPr>
              <w:spacing w:after="0" w:line="240" w:lineRule="auto"/>
              <w:rPr>
                <w:rFonts w:ascii="Arial" w:hAnsi="Arial" w:cs="Arial"/>
                <w:bCs/>
              </w:rPr>
            </w:pPr>
            <w:r w:rsidRPr="00243446">
              <w:rPr>
                <w:rFonts w:ascii="Arial" w:hAnsi="Arial" w:cs="Arial"/>
                <w:bCs/>
              </w:rPr>
              <w:t xml:space="preserve">      10,100 </w:t>
            </w:r>
          </w:p>
        </w:tc>
        <w:tc>
          <w:tcPr>
            <w:tcW w:w="1237" w:type="dxa"/>
            <w:tcBorders>
              <w:top w:val="nil"/>
              <w:left w:val="nil"/>
              <w:bottom w:val="single" w:sz="4" w:space="0" w:color="auto"/>
              <w:right w:val="single" w:sz="4" w:space="0" w:color="auto"/>
            </w:tcBorders>
            <w:shd w:val="clear" w:color="auto" w:fill="auto"/>
            <w:noWrap/>
            <w:vAlign w:val="bottom"/>
            <w:hideMark/>
          </w:tcPr>
          <w:p w:rsidR="00231BB1" w:rsidRPr="00243446" w:rsidRDefault="00231BB1" w:rsidP="00231BB1">
            <w:pPr>
              <w:spacing w:after="0" w:line="240" w:lineRule="auto"/>
              <w:rPr>
                <w:rFonts w:ascii="Arial" w:hAnsi="Arial" w:cs="Arial"/>
                <w:bCs/>
              </w:rPr>
            </w:pPr>
            <w:r w:rsidRPr="00243446">
              <w:rPr>
                <w:rFonts w:ascii="Arial" w:hAnsi="Arial" w:cs="Arial"/>
                <w:bCs/>
              </w:rPr>
              <w:t>-</w:t>
            </w:r>
          </w:p>
        </w:tc>
        <w:tc>
          <w:tcPr>
            <w:tcW w:w="1200" w:type="dxa"/>
            <w:tcBorders>
              <w:top w:val="nil"/>
              <w:left w:val="nil"/>
              <w:bottom w:val="single" w:sz="4" w:space="0" w:color="auto"/>
              <w:right w:val="nil"/>
            </w:tcBorders>
          </w:tcPr>
          <w:p w:rsidR="00231BB1" w:rsidRPr="00243446" w:rsidRDefault="00231BB1" w:rsidP="00231BB1">
            <w:pPr>
              <w:spacing w:after="0" w:line="240" w:lineRule="auto"/>
              <w:rPr>
                <w:rFonts w:ascii="Arial" w:hAnsi="Arial" w:cs="Arial"/>
                <w:bCs/>
              </w:rPr>
            </w:pPr>
          </w:p>
          <w:p w:rsidR="00231BB1" w:rsidRPr="00243446" w:rsidRDefault="00231BB1" w:rsidP="00231BB1">
            <w:pPr>
              <w:spacing w:after="0" w:line="240" w:lineRule="auto"/>
              <w:rPr>
                <w:rFonts w:ascii="Arial" w:hAnsi="Arial" w:cs="Arial"/>
                <w:bCs/>
              </w:rPr>
            </w:pPr>
            <w:r w:rsidRPr="00243446">
              <w:rPr>
                <w:rFonts w:ascii="Arial" w:hAnsi="Arial" w:cs="Arial"/>
                <w:bCs/>
              </w:rPr>
              <w:t>60,000</w:t>
            </w:r>
          </w:p>
        </w:tc>
        <w:tc>
          <w:tcPr>
            <w:tcW w:w="1080" w:type="dxa"/>
            <w:tcBorders>
              <w:top w:val="nil"/>
              <w:left w:val="nil"/>
              <w:bottom w:val="single" w:sz="4" w:space="0" w:color="auto"/>
              <w:right w:val="single" w:sz="4" w:space="0" w:color="auto"/>
            </w:tcBorders>
            <w:shd w:val="clear" w:color="auto" w:fill="auto"/>
            <w:noWrap/>
            <w:vAlign w:val="bottom"/>
            <w:hideMark/>
          </w:tcPr>
          <w:p w:rsidR="00231BB1" w:rsidRPr="00243446" w:rsidRDefault="00231BB1" w:rsidP="00231BB1">
            <w:pPr>
              <w:spacing w:after="0" w:line="240" w:lineRule="auto"/>
              <w:rPr>
                <w:rFonts w:ascii="Arial" w:hAnsi="Arial" w:cs="Arial"/>
                <w:bCs/>
              </w:rPr>
            </w:pPr>
            <w:r w:rsidRPr="00243446">
              <w:rPr>
                <w:rFonts w:ascii="Arial" w:hAnsi="Arial" w:cs="Arial"/>
                <w:bCs/>
              </w:rPr>
              <w:t xml:space="preserve">      </w:t>
            </w:r>
            <w:r w:rsidR="000F03F9" w:rsidRPr="00243446">
              <w:rPr>
                <w:rFonts w:ascii="Arial" w:hAnsi="Arial" w:cs="Arial"/>
                <w:bCs/>
              </w:rPr>
              <w:t>118</w:t>
            </w:r>
            <w:r w:rsidRPr="00243446">
              <w:rPr>
                <w:rFonts w:ascii="Arial" w:hAnsi="Arial" w:cs="Arial"/>
                <w:bCs/>
              </w:rPr>
              <w:t>,</w:t>
            </w:r>
            <w:r w:rsidR="000F03F9" w:rsidRPr="00243446">
              <w:rPr>
                <w:rFonts w:ascii="Arial" w:hAnsi="Arial" w:cs="Arial"/>
                <w:bCs/>
              </w:rPr>
              <w:t>0</w:t>
            </w:r>
            <w:r w:rsidRPr="00243446">
              <w:rPr>
                <w:rFonts w:ascii="Arial" w:hAnsi="Arial" w:cs="Arial"/>
                <w:bCs/>
              </w:rPr>
              <w:t xml:space="preserve">00 </w:t>
            </w:r>
          </w:p>
        </w:tc>
      </w:tr>
      <w:tr w:rsidR="00231BB1" w:rsidRPr="00243446" w:rsidTr="00231BB1">
        <w:trPr>
          <w:trHeight w:val="300"/>
        </w:trPr>
        <w:tc>
          <w:tcPr>
            <w:tcW w:w="3222" w:type="dxa"/>
            <w:tcBorders>
              <w:top w:val="nil"/>
              <w:left w:val="single" w:sz="4" w:space="0" w:color="auto"/>
              <w:bottom w:val="single" w:sz="4" w:space="0" w:color="auto"/>
              <w:right w:val="single" w:sz="4" w:space="0" w:color="auto"/>
            </w:tcBorders>
            <w:shd w:val="clear" w:color="000000" w:fill="DDEBF7"/>
            <w:noWrap/>
            <w:vAlign w:val="bottom"/>
            <w:hideMark/>
          </w:tcPr>
          <w:p w:rsidR="00231BB1" w:rsidRPr="00243446" w:rsidRDefault="00231BB1" w:rsidP="00231BB1">
            <w:pPr>
              <w:spacing w:after="0" w:line="240" w:lineRule="auto"/>
              <w:rPr>
                <w:rFonts w:ascii="Arial" w:hAnsi="Arial" w:cs="Arial"/>
                <w:b/>
                <w:bCs/>
              </w:rPr>
            </w:pPr>
            <w:r w:rsidRPr="00243446">
              <w:rPr>
                <w:rFonts w:ascii="Arial" w:hAnsi="Arial" w:cs="Arial"/>
                <w:b/>
                <w:bCs/>
              </w:rPr>
              <w:t>Budžet</w:t>
            </w:r>
          </w:p>
        </w:tc>
        <w:tc>
          <w:tcPr>
            <w:tcW w:w="1262" w:type="dxa"/>
            <w:tcBorders>
              <w:top w:val="nil"/>
              <w:left w:val="nil"/>
              <w:bottom w:val="single" w:sz="4" w:space="0" w:color="auto"/>
              <w:right w:val="single" w:sz="4" w:space="0" w:color="auto"/>
            </w:tcBorders>
            <w:shd w:val="clear" w:color="auto" w:fill="auto"/>
            <w:noWrap/>
            <w:vAlign w:val="bottom"/>
            <w:hideMark/>
          </w:tcPr>
          <w:p w:rsidR="00231BB1" w:rsidRPr="00243446" w:rsidRDefault="00231BB1" w:rsidP="00231BB1">
            <w:pPr>
              <w:spacing w:after="0" w:line="240" w:lineRule="auto"/>
              <w:rPr>
                <w:rFonts w:ascii="Arial" w:hAnsi="Arial" w:cs="Arial"/>
                <w:bCs/>
              </w:rPr>
            </w:pPr>
            <w:r w:rsidRPr="00243446">
              <w:rPr>
                <w:rFonts w:ascii="Arial" w:hAnsi="Arial" w:cs="Arial"/>
                <w:bCs/>
              </w:rPr>
              <w:t xml:space="preserve">                  - </w:t>
            </w:r>
          </w:p>
        </w:tc>
        <w:tc>
          <w:tcPr>
            <w:tcW w:w="1179" w:type="dxa"/>
            <w:tcBorders>
              <w:top w:val="nil"/>
              <w:left w:val="nil"/>
              <w:bottom w:val="single" w:sz="4" w:space="0" w:color="auto"/>
              <w:right w:val="single" w:sz="4" w:space="0" w:color="auto"/>
            </w:tcBorders>
            <w:shd w:val="clear" w:color="auto" w:fill="auto"/>
            <w:noWrap/>
            <w:vAlign w:val="bottom"/>
            <w:hideMark/>
          </w:tcPr>
          <w:p w:rsidR="00231BB1" w:rsidRPr="00243446" w:rsidRDefault="00231BB1" w:rsidP="00231BB1">
            <w:pPr>
              <w:spacing w:after="0" w:line="240" w:lineRule="auto"/>
              <w:rPr>
                <w:rFonts w:ascii="Arial" w:hAnsi="Arial" w:cs="Arial"/>
                <w:bCs/>
              </w:rPr>
            </w:pPr>
            <w:r w:rsidRPr="00243446">
              <w:rPr>
                <w:rFonts w:ascii="Arial" w:hAnsi="Arial" w:cs="Arial"/>
                <w:bCs/>
              </w:rPr>
              <w:t xml:space="preserve">                </w:t>
            </w:r>
            <w:r w:rsidR="000F03F9" w:rsidRPr="00243446">
              <w:rPr>
                <w:rFonts w:ascii="Arial" w:hAnsi="Arial" w:cs="Arial"/>
                <w:bCs/>
              </w:rPr>
              <w:t>5,700</w:t>
            </w:r>
          </w:p>
        </w:tc>
        <w:tc>
          <w:tcPr>
            <w:tcW w:w="1237" w:type="dxa"/>
            <w:tcBorders>
              <w:top w:val="nil"/>
              <w:left w:val="nil"/>
              <w:bottom w:val="single" w:sz="4" w:space="0" w:color="auto"/>
              <w:right w:val="single" w:sz="4" w:space="0" w:color="auto"/>
            </w:tcBorders>
            <w:shd w:val="clear" w:color="auto" w:fill="auto"/>
            <w:noWrap/>
            <w:vAlign w:val="bottom"/>
            <w:hideMark/>
          </w:tcPr>
          <w:p w:rsidR="00231BB1" w:rsidRPr="00243446" w:rsidRDefault="00231BB1" w:rsidP="00231BB1">
            <w:pPr>
              <w:spacing w:after="0" w:line="240" w:lineRule="auto"/>
              <w:rPr>
                <w:rFonts w:ascii="Arial" w:hAnsi="Arial" w:cs="Arial"/>
                <w:bCs/>
              </w:rPr>
            </w:pPr>
            <w:r w:rsidRPr="00243446">
              <w:rPr>
                <w:rFonts w:ascii="Arial" w:hAnsi="Arial" w:cs="Arial"/>
                <w:bCs/>
              </w:rPr>
              <w:t xml:space="preserve">                  -   </w:t>
            </w:r>
          </w:p>
        </w:tc>
        <w:tc>
          <w:tcPr>
            <w:tcW w:w="1200" w:type="dxa"/>
            <w:tcBorders>
              <w:top w:val="nil"/>
              <w:left w:val="nil"/>
              <w:bottom w:val="single" w:sz="4" w:space="0" w:color="auto"/>
              <w:right w:val="nil"/>
            </w:tcBorders>
          </w:tcPr>
          <w:p w:rsidR="00231BB1" w:rsidRPr="00243446" w:rsidRDefault="00231BB1" w:rsidP="00231BB1">
            <w:pPr>
              <w:spacing w:after="0" w:line="240" w:lineRule="auto"/>
              <w:rPr>
                <w:rFonts w:ascii="Arial" w:hAnsi="Arial" w:cs="Arial"/>
                <w:bCs/>
              </w:rPr>
            </w:pPr>
          </w:p>
          <w:p w:rsidR="00231BB1" w:rsidRPr="00243446" w:rsidRDefault="00231BB1" w:rsidP="00231BB1">
            <w:pPr>
              <w:spacing w:after="0" w:line="240" w:lineRule="auto"/>
              <w:rPr>
                <w:rFonts w:ascii="Arial" w:hAnsi="Arial" w:cs="Arial"/>
                <w:bCs/>
              </w:rPr>
            </w:pPr>
            <w:r w:rsidRPr="00243446">
              <w:rPr>
                <w:rFonts w:ascii="Arial" w:hAnsi="Arial" w:cs="Arial"/>
                <w:bCs/>
              </w:rPr>
              <w:t>-</w:t>
            </w:r>
          </w:p>
        </w:tc>
        <w:tc>
          <w:tcPr>
            <w:tcW w:w="1080" w:type="dxa"/>
            <w:tcBorders>
              <w:top w:val="nil"/>
              <w:left w:val="nil"/>
              <w:bottom w:val="single" w:sz="4" w:space="0" w:color="auto"/>
              <w:right w:val="single" w:sz="4" w:space="0" w:color="auto"/>
            </w:tcBorders>
            <w:shd w:val="clear" w:color="auto" w:fill="auto"/>
            <w:noWrap/>
            <w:vAlign w:val="bottom"/>
            <w:hideMark/>
          </w:tcPr>
          <w:p w:rsidR="00231BB1" w:rsidRPr="00243446" w:rsidRDefault="00231BB1" w:rsidP="00231BB1">
            <w:pPr>
              <w:spacing w:after="0" w:line="240" w:lineRule="auto"/>
              <w:rPr>
                <w:rFonts w:ascii="Arial" w:hAnsi="Arial" w:cs="Arial"/>
                <w:bCs/>
              </w:rPr>
            </w:pPr>
            <w:r w:rsidRPr="00243446">
              <w:rPr>
                <w:rFonts w:ascii="Arial" w:hAnsi="Arial" w:cs="Arial"/>
                <w:bCs/>
              </w:rPr>
              <w:t xml:space="preserve">                  </w:t>
            </w:r>
            <w:r w:rsidR="000F03F9" w:rsidRPr="00243446">
              <w:rPr>
                <w:rFonts w:ascii="Arial" w:hAnsi="Arial" w:cs="Arial"/>
                <w:bCs/>
              </w:rPr>
              <w:t>5,700</w:t>
            </w:r>
          </w:p>
        </w:tc>
      </w:tr>
      <w:tr w:rsidR="00231BB1" w:rsidRPr="00243446" w:rsidTr="00231BB1">
        <w:trPr>
          <w:trHeight w:val="300"/>
        </w:trPr>
        <w:tc>
          <w:tcPr>
            <w:tcW w:w="3222" w:type="dxa"/>
            <w:tcBorders>
              <w:top w:val="nil"/>
              <w:left w:val="single" w:sz="4" w:space="0" w:color="auto"/>
              <w:bottom w:val="single" w:sz="4" w:space="0" w:color="auto"/>
              <w:right w:val="single" w:sz="4" w:space="0" w:color="auto"/>
            </w:tcBorders>
            <w:shd w:val="clear" w:color="000000" w:fill="DDEBF7"/>
            <w:noWrap/>
            <w:vAlign w:val="bottom"/>
            <w:hideMark/>
          </w:tcPr>
          <w:p w:rsidR="00231BB1" w:rsidRPr="00243446" w:rsidRDefault="00231BB1" w:rsidP="00231BB1">
            <w:pPr>
              <w:spacing w:after="0" w:line="240" w:lineRule="auto"/>
              <w:rPr>
                <w:rFonts w:ascii="Arial" w:hAnsi="Arial" w:cs="Arial"/>
                <w:b/>
                <w:bCs/>
              </w:rPr>
            </w:pPr>
            <w:r w:rsidRPr="00243446">
              <w:rPr>
                <w:rFonts w:ascii="Arial" w:hAnsi="Arial" w:cs="Arial"/>
                <w:b/>
                <w:bCs/>
              </w:rPr>
              <w:t>Donatori</w:t>
            </w:r>
          </w:p>
        </w:tc>
        <w:tc>
          <w:tcPr>
            <w:tcW w:w="1262" w:type="dxa"/>
            <w:tcBorders>
              <w:top w:val="nil"/>
              <w:left w:val="nil"/>
              <w:bottom w:val="single" w:sz="4" w:space="0" w:color="auto"/>
              <w:right w:val="single" w:sz="4" w:space="0" w:color="auto"/>
            </w:tcBorders>
            <w:shd w:val="clear" w:color="auto" w:fill="auto"/>
            <w:noWrap/>
            <w:vAlign w:val="bottom"/>
            <w:hideMark/>
          </w:tcPr>
          <w:p w:rsidR="00231BB1" w:rsidRPr="00243446" w:rsidRDefault="00231BB1" w:rsidP="00231BB1">
            <w:pPr>
              <w:spacing w:after="0" w:line="240" w:lineRule="auto"/>
              <w:rPr>
                <w:rFonts w:ascii="Arial" w:hAnsi="Arial" w:cs="Arial"/>
                <w:bCs/>
              </w:rPr>
            </w:pPr>
            <w:r w:rsidRPr="00243446">
              <w:rPr>
                <w:rFonts w:ascii="Arial" w:hAnsi="Arial" w:cs="Arial"/>
                <w:bCs/>
              </w:rPr>
              <w:t xml:space="preserve">         </w:t>
            </w:r>
            <w:r w:rsidR="000F03F9" w:rsidRPr="00243446">
              <w:rPr>
                <w:rFonts w:ascii="Arial" w:hAnsi="Arial" w:cs="Arial"/>
                <w:bCs/>
              </w:rPr>
              <w:t>47,900</w:t>
            </w:r>
          </w:p>
        </w:tc>
        <w:tc>
          <w:tcPr>
            <w:tcW w:w="1179" w:type="dxa"/>
            <w:tcBorders>
              <w:top w:val="nil"/>
              <w:left w:val="nil"/>
              <w:bottom w:val="single" w:sz="4" w:space="0" w:color="auto"/>
              <w:right w:val="single" w:sz="4" w:space="0" w:color="auto"/>
            </w:tcBorders>
            <w:shd w:val="clear" w:color="auto" w:fill="auto"/>
            <w:noWrap/>
            <w:vAlign w:val="bottom"/>
            <w:hideMark/>
          </w:tcPr>
          <w:p w:rsidR="00231BB1" w:rsidRPr="00243446" w:rsidRDefault="00231BB1" w:rsidP="00231BB1">
            <w:pPr>
              <w:spacing w:after="0" w:line="240" w:lineRule="auto"/>
              <w:rPr>
                <w:rFonts w:ascii="Arial" w:hAnsi="Arial" w:cs="Arial"/>
                <w:bCs/>
              </w:rPr>
            </w:pPr>
            <w:r w:rsidRPr="00243446">
              <w:rPr>
                <w:rFonts w:ascii="Arial" w:hAnsi="Arial" w:cs="Arial"/>
                <w:bCs/>
              </w:rPr>
              <w:t xml:space="preserve">                </w:t>
            </w:r>
            <w:r w:rsidR="000F03F9" w:rsidRPr="00243446">
              <w:rPr>
                <w:rFonts w:ascii="Arial" w:hAnsi="Arial" w:cs="Arial"/>
                <w:bCs/>
              </w:rPr>
              <w:t>4,400</w:t>
            </w:r>
          </w:p>
        </w:tc>
        <w:tc>
          <w:tcPr>
            <w:tcW w:w="1237" w:type="dxa"/>
            <w:tcBorders>
              <w:top w:val="nil"/>
              <w:left w:val="nil"/>
              <w:bottom w:val="single" w:sz="4" w:space="0" w:color="auto"/>
              <w:right w:val="single" w:sz="4" w:space="0" w:color="auto"/>
            </w:tcBorders>
            <w:shd w:val="clear" w:color="auto" w:fill="auto"/>
            <w:noWrap/>
            <w:vAlign w:val="bottom"/>
            <w:hideMark/>
          </w:tcPr>
          <w:p w:rsidR="00231BB1" w:rsidRPr="00243446" w:rsidRDefault="00231BB1" w:rsidP="00231BB1">
            <w:pPr>
              <w:spacing w:after="0" w:line="240" w:lineRule="auto"/>
              <w:rPr>
                <w:rFonts w:ascii="Arial" w:hAnsi="Arial" w:cs="Arial"/>
                <w:bCs/>
              </w:rPr>
            </w:pPr>
            <w:r w:rsidRPr="00243446">
              <w:rPr>
                <w:rFonts w:ascii="Arial" w:hAnsi="Arial" w:cs="Arial"/>
                <w:bCs/>
              </w:rPr>
              <w:t xml:space="preserve">                  -   </w:t>
            </w:r>
          </w:p>
        </w:tc>
        <w:tc>
          <w:tcPr>
            <w:tcW w:w="1200" w:type="dxa"/>
            <w:tcBorders>
              <w:top w:val="nil"/>
              <w:left w:val="nil"/>
              <w:bottom w:val="single" w:sz="4" w:space="0" w:color="auto"/>
              <w:right w:val="nil"/>
            </w:tcBorders>
          </w:tcPr>
          <w:p w:rsidR="00231BB1" w:rsidRPr="00243446" w:rsidRDefault="00231BB1" w:rsidP="00231BB1">
            <w:pPr>
              <w:spacing w:after="0" w:line="240" w:lineRule="auto"/>
              <w:rPr>
                <w:rFonts w:ascii="Arial" w:hAnsi="Arial" w:cs="Arial"/>
                <w:bCs/>
              </w:rPr>
            </w:pPr>
          </w:p>
          <w:p w:rsidR="00231BB1" w:rsidRPr="00243446" w:rsidRDefault="000F03F9" w:rsidP="00231BB1">
            <w:pPr>
              <w:spacing w:after="0" w:line="240" w:lineRule="auto"/>
              <w:rPr>
                <w:rFonts w:ascii="Arial" w:hAnsi="Arial" w:cs="Arial"/>
                <w:bCs/>
              </w:rPr>
            </w:pPr>
            <w:r w:rsidRPr="00243446">
              <w:rPr>
                <w:rFonts w:ascii="Arial" w:hAnsi="Arial" w:cs="Arial"/>
                <w:bCs/>
              </w:rPr>
              <w:t>60,000</w:t>
            </w:r>
          </w:p>
        </w:tc>
        <w:tc>
          <w:tcPr>
            <w:tcW w:w="1080" w:type="dxa"/>
            <w:tcBorders>
              <w:top w:val="nil"/>
              <w:left w:val="nil"/>
              <w:bottom w:val="single" w:sz="4" w:space="0" w:color="auto"/>
              <w:right w:val="single" w:sz="4" w:space="0" w:color="auto"/>
            </w:tcBorders>
            <w:shd w:val="clear" w:color="auto" w:fill="auto"/>
            <w:noWrap/>
            <w:vAlign w:val="bottom"/>
            <w:hideMark/>
          </w:tcPr>
          <w:p w:rsidR="00231BB1" w:rsidRPr="00243446" w:rsidRDefault="00231BB1" w:rsidP="00231BB1">
            <w:pPr>
              <w:spacing w:after="0" w:line="240" w:lineRule="auto"/>
              <w:rPr>
                <w:rFonts w:ascii="Arial" w:hAnsi="Arial" w:cs="Arial"/>
                <w:bCs/>
              </w:rPr>
            </w:pPr>
            <w:r w:rsidRPr="00243446">
              <w:rPr>
                <w:rFonts w:ascii="Arial" w:hAnsi="Arial" w:cs="Arial"/>
                <w:bCs/>
              </w:rPr>
              <w:t xml:space="preserve">        </w:t>
            </w:r>
            <w:r w:rsidR="000F03F9" w:rsidRPr="00243446">
              <w:rPr>
                <w:rFonts w:ascii="Arial" w:hAnsi="Arial" w:cs="Arial"/>
                <w:bCs/>
              </w:rPr>
              <w:t>112</w:t>
            </w:r>
            <w:r w:rsidRPr="00243446">
              <w:rPr>
                <w:rFonts w:ascii="Arial" w:hAnsi="Arial" w:cs="Arial"/>
                <w:bCs/>
              </w:rPr>
              <w:t>,</w:t>
            </w:r>
            <w:r w:rsidR="000F03F9" w:rsidRPr="00243446">
              <w:rPr>
                <w:rFonts w:ascii="Arial" w:hAnsi="Arial" w:cs="Arial"/>
                <w:bCs/>
              </w:rPr>
              <w:t>3</w:t>
            </w:r>
            <w:r w:rsidRPr="00243446">
              <w:rPr>
                <w:rFonts w:ascii="Arial" w:hAnsi="Arial" w:cs="Arial"/>
                <w:bCs/>
              </w:rPr>
              <w:t xml:space="preserve">00 </w:t>
            </w:r>
          </w:p>
        </w:tc>
      </w:tr>
    </w:tbl>
    <w:p w:rsidR="00B4137B" w:rsidRPr="00243446" w:rsidRDefault="00B4137B" w:rsidP="00B4137B">
      <w:pPr>
        <w:spacing w:after="0" w:line="240" w:lineRule="auto"/>
        <w:rPr>
          <w:rFonts w:ascii="Arial" w:hAnsi="Arial" w:cs="Arial"/>
          <w:b/>
          <w:bCs/>
          <w:lang w:val="sr-Latn-ME"/>
        </w:rPr>
      </w:pPr>
    </w:p>
    <w:p w:rsidR="00BD16DA" w:rsidRPr="00243446" w:rsidRDefault="00BD16DA" w:rsidP="00B4137B">
      <w:pPr>
        <w:spacing w:after="0" w:line="240" w:lineRule="auto"/>
        <w:rPr>
          <w:rFonts w:ascii="Arial" w:hAnsi="Arial" w:cs="Arial"/>
          <w:b/>
          <w:bCs/>
          <w:lang w:val="sr-Latn-ME"/>
        </w:rPr>
      </w:pPr>
    </w:p>
    <w:p w:rsidR="00BD16DA" w:rsidRPr="00243446" w:rsidRDefault="00892106" w:rsidP="00892106">
      <w:pPr>
        <w:spacing w:after="0" w:line="240" w:lineRule="auto"/>
        <w:rPr>
          <w:rFonts w:ascii="Arial" w:hAnsi="Arial" w:cs="Arial"/>
          <w:b/>
          <w:bCs/>
          <w:lang w:val="sr-Latn-ME"/>
        </w:rPr>
      </w:pPr>
      <w:r w:rsidRPr="00243446">
        <w:rPr>
          <w:rFonts w:ascii="Arial" w:hAnsi="Arial" w:cs="Arial"/>
          <w:b/>
          <w:bCs/>
          <w:lang w:val="sr-Latn-ME"/>
        </w:rPr>
        <w:t>5.KOMUNICIRANJE REFORMSKIH AKTIVNOSTI</w:t>
      </w:r>
    </w:p>
    <w:p w:rsidR="00BD16DA" w:rsidRPr="00243446" w:rsidRDefault="00BD16DA" w:rsidP="00B4137B">
      <w:pPr>
        <w:spacing w:after="0" w:line="240" w:lineRule="auto"/>
        <w:rPr>
          <w:rFonts w:ascii="Arial" w:hAnsi="Arial" w:cs="Arial"/>
          <w:b/>
          <w:bCs/>
          <w:lang w:val="sr-Latn-ME"/>
        </w:rPr>
      </w:pPr>
    </w:p>
    <w:p w:rsidR="00BD16DA" w:rsidRPr="00243446" w:rsidRDefault="00BD16DA" w:rsidP="00892106">
      <w:pPr>
        <w:spacing w:after="0" w:line="240" w:lineRule="auto"/>
        <w:jc w:val="both"/>
        <w:rPr>
          <w:rFonts w:ascii="Arial" w:hAnsi="Arial" w:cs="Arial"/>
          <w:bCs/>
        </w:rPr>
      </w:pPr>
      <w:r w:rsidRPr="00243446">
        <w:rPr>
          <w:rFonts w:ascii="Arial" w:hAnsi="Arial" w:cs="Arial"/>
          <w:bCs/>
        </w:rPr>
        <w:t>Komuniciranje reformskih aktivnosti predstavlja ključni element u usp</w:t>
      </w:r>
      <w:r w:rsidR="00C94EB3" w:rsidRPr="00243446">
        <w:rPr>
          <w:rFonts w:ascii="Arial" w:hAnsi="Arial" w:cs="Arial"/>
          <w:bCs/>
        </w:rPr>
        <w:t>j</w:t>
      </w:r>
      <w:r w:rsidRPr="00243446">
        <w:rPr>
          <w:rFonts w:ascii="Arial" w:hAnsi="Arial" w:cs="Arial"/>
          <w:bCs/>
        </w:rPr>
        <w:t>ešnoj implementaciji i prihvatanju reformskih procesa u bilo kojoj organizaciji ili državi. Efikasna komunikacija omogućava transparentnost, angažovanje svih relevantnih aktera, kao i izgradnju pov</w:t>
      </w:r>
      <w:r w:rsidR="00892106" w:rsidRPr="00243446">
        <w:rPr>
          <w:rFonts w:ascii="Arial" w:hAnsi="Arial" w:cs="Arial"/>
          <w:bCs/>
        </w:rPr>
        <w:t>j</w:t>
      </w:r>
      <w:r w:rsidRPr="00243446">
        <w:rPr>
          <w:rFonts w:ascii="Arial" w:hAnsi="Arial" w:cs="Arial"/>
          <w:bCs/>
        </w:rPr>
        <w:t>erenja među zainteresovanim stranama</w:t>
      </w:r>
      <w:r w:rsidR="00892106" w:rsidRPr="00243446">
        <w:rPr>
          <w:rFonts w:ascii="Arial" w:hAnsi="Arial" w:cs="Arial"/>
          <w:bCs/>
        </w:rPr>
        <w:t>.</w:t>
      </w:r>
    </w:p>
    <w:p w:rsidR="00CF1E47" w:rsidRPr="00243446" w:rsidRDefault="00CF1E47" w:rsidP="00892106">
      <w:pPr>
        <w:spacing w:after="0" w:line="240" w:lineRule="auto"/>
        <w:jc w:val="both"/>
        <w:rPr>
          <w:rFonts w:ascii="Arial" w:hAnsi="Arial" w:cs="Arial"/>
          <w:bCs/>
        </w:rPr>
      </w:pPr>
    </w:p>
    <w:p w:rsidR="00892106" w:rsidRPr="00243446" w:rsidRDefault="00892106" w:rsidP="00892106">
      <w:pPr>
        <w:spacing w:after="0" w:line="240" w:lineRule="auto"/>
        <w:jc w:val="both"/>
        <w:rPr>
          <w:rFonts w:ascii="Arial" w:hAnsi="Arial" w:cs="Arial"/>
          <w:bCs/>
          <w:lang w:val="sr-Latn-ME"/>
        </w:rPr>
      </w:pPr>
      <w:r w:rsidRPr="00243446">
        <w:rPr>
          <w:rFonts w:ascii="Arial" w:hAnsi="Arial" w:cs="Arial"/>
          <w:bCs/>
          <w:lang w:val="sr-Latn-ME"/>
        </w:rPr>
        <w:t xml:space="preserve">Akcionim planom ove </w:t>
      </w:r>
      <w:r w:rsidR="00CF1E47" w:rsidRPr="00243446">
        <w:rPr>
          <w:rFonts w:ascii="Arial" w:hAnsi="Arial" w:cs="Arial"/>
          <w:bCs/>
          <w:lang w:val="sr-Latn-ME"/>
        </w:rPr>
        <w:t>S</w:t>
      </w:r>
      <w:r w:rsidRPr="00243446">
        <w:rPr>
          <w:rFonts w:ascii="Arial" w:hAnsi="Arial" w:cs="Arial"/>
          <w:bCs/>
          <w:lang w:val="sr-Latn-ME"/>
        </w:rPr>
        <w:t xml:space="preserve">trategije predviđen je Plan komunikacije sa javnošću u skladu sa </w:t>
      </w:r>
      <w:r w:rsidR="00CF1E47" w:rsidRPr="00243446">
        <w:rPr>
          <w:rFonts w:ascii="Arial" w:hAnsi="Arial" w:cs="Arial"/>
          <w:bCs/>
          <w:lang w:val="sr-Latn-ME"/>
        </w:rPr>
        <w:t>I</w:t>
      </w:r>
      <w:r w:rsidRPr="00243446">
        <w:rPr>
          <w:rFonts w:ascii="Arial" w:hAnsi="Arial" w:cs="Arial"/>
          <w:bCs/>
          <w:lang w:val="sr-Latn-ME"/>
        </w:rPr>
        <w:t>nternim pravilima komunikacije sa javno</w:t>
      </w:r>
      <w:r w:rsidR="007F1907" w:rsidRPr="00243446">
        <w:rPr>
          <w:rFonts w:ascii="Arial" w:hAnsi="Arial" w:cs="Arial"/>
          <w:bCs/>
          <w:lang w:val="sr-Latn-ME"/>
        </w:rPr>
        <w:t>š</w:t>
      </w:r>
      <w:r w:rsidRPr="00243446">
        <w:rPr>
          <w:rFonts w:ascii="Arial" w:hAnsi="Arial" w:cs="Arial"/>
          <w:bCs/>
          <w:lang w:val="sr-Latn-ME"/>
        </w:rPr>
        <w:t>ću Ministarstva finansija, usvojeni</w:t>
      </w:r>
      <w:r w:rsidR="007F1907" w:rsidRPr="00243446">
        <w:rPr>
          <w:rFonts w:ascii="Arial" w:hAnsi="Arial" w:cs="Arial"/>
          <w:bCs/>
          <w:lang w:val="sr-Latn-ME"/>
        </w:rPr>
        <w:t>m</w:t>
      </w:r>
      <w:r w:rsidRPr="00243446">
        <w:rPr>
          <w:rFonts w:ascii="Arial" w:hAnsi="Arial" w:cs="Arial"/>
          <w:bCs/>
          <w:lang w:val="sr-Latn-ME"/>
        </w:rPr>
        <w:t xml:space="preserve"> u martu 2025. godine, koji podrazumijeva snaženje vidljivosti kroz veću promociju putem društvenih mreža.</w:t>
      </w:r>
    </w:p>
    <w:p w:rsidR="00892106" w:rsidRPr="00243446" w:rsidRDefault="00892106" w:rsidP="00892106">
      <w:pPr>
        <w:spacing w:after="0" w:line="240" w:lineRule="auto"/>
        <w:jc w:val="both"/>
        <w:rPr>
          <w:rFonts w:ascii="Arial" w:hAnsi="Arial" w:cs="Arial"/>
          <w:bCs/>
          <w:lang w:val="sr-Latn-ME"/>
        </w:rPr>
      </w:pPr>
      <w:r w:rsidRPr="00243446">
        <w:rPr>
          <w:rFonts w:ascii="Arial" w:hAnsi="Arial" w:cs="Arial"/>
          <w:bCs/>
          <w:lang w:val="sr-Latn-ME"/>
        </w:rPr>
        <w:t>Takođe je predviđeno organizovanje seminara i događaja na kojima će se prezentovati važnost zaštite finansijskih interesa EU i aktivnosti realizovanih ovom Strategijom.</w:t>
      </w:r>
      <w:r w:rsidR="001203C6" w:rsidRPr="00243446">
        <w:rPr>
          <w:rFonts w:ascii="Arial" w:hAnsi="Arial" w:cs="Arial"/>
          <w:bCs/>
          <w:lang w:val="sr-Latn-ME"/>
        </w:rPr>
        <w:t xml:space="preserve"> </w:t>
      </w:r>
      <w:r w:rsidRPr="00243446">
        <w:rPr>
          <w:rFonts w:ascii="Arial" w:hAnsi="Arial" w:cs="Arial"/>
          <w:bCs/>
          <w:lang w:val="sr-Latn-ME"/>
        </w:rPr>
        <w:t xml:space="preserve">Usvajanjem komunikacione strategije otvara se prostor za prezentaciju pozitivnih efekata ove Strategije. </w:t>
      </w:r>
    </w:p>
    <w:p w:rsidR="00EA55EA" w:rsidRPr="00243446" w:rsidRDefault="00EA55EA" w:rsidP="00892106">
      <w:pPr>
        <w:spacing w:after="0" w:line="240" w:lineRule="auto"/>
        <w:jc w:val="both"/>
        <w:rPr>
          <w:rFonts w:ascii="Arial" w:hAnsi="Arial" w:cs="Arial"/>
          <w:bCs/>
          <w:lang w:val="sr-Latn-ME"/>
        </w:rPr>
      </w:pPr>
    </w:p>
    <w:p w:rsidR="00892106" w:rsidRPr="00BD16DA" w:rsidRDefault="00892106" w:rsidP="00892106">
      <w:pPr>
        <w:spacing w:after="0" w:line="240" w:lineRule="auto"/>
        <w:jc w:val="both"/>
        <w:rPr>
          <w:rFonts w:ascii="Arial" w:hAnsi="Arial" w:cs="Arial"/>
          <w:bCs/>
          <w:lang w:val="sr-Latn-ME"/>
        </w:rPr>
      </w:pPr>
      <w:r w:rsidRPr="00243446">
        <w:rPr>
          <w:rFonts w:ascii="Arial" w:hAnsi="Arial" w:cs="Arial"/>
          <w:bCs/>
          <w:lang w:val="sr-Latn-ME"/>
        </w:rPr>
        <w:t>Srednjoročnim programom rada Vlade za 2024-2027 godinu, predviđeno je donošenje Komunikacione strategije i Akcionog plana, koja će kroz predviđene aktivnosti obezbijediti ispunjavanje ciljeva koji se tiču podizanja svijesti javnosti o značaju prijavljivanja nepravilnosti i suzbijanja prevara pri korišćenju EU sredstava</w:t>
      </w:r>
      <w:r w:rsidR="00CF1E47" w:rsidRPr="00243446">
        <w:rPr>
          <w:rFonts w:ascii="Arial" w:hAnsi="Arial" w:cs="Arial"/>
          <w:bCs/>
          <w:lang w:val="sr-Latn-ME"/>
        </w:rPr>
        <w:t>. Naime,</w:t>
      </w:r>
      <w:r w:rsidRPr="00243446">
        <w:rPr>
          <w:rFonts w:ascii="Arial" w:hAnsi="Arial" w:cs="Arial"/>
          <w:bCs/>
          <w:lang w:val="sr-Latn-ME"/>
        </w:rPr>
        <w:t xml:space="preserve"> zaštitom finansijskih interesa EU, </w:t>
      </w:r>
      <w:r w:rsidR="001203C6" w:rsidRPr="00243446">
        <w:rPr>
          <w:rFonts w:ascii="Arial" w:hAnsi="Arial" w:cs="Arial"/>
          <w:bCs/>
          <w:lang w:val="sr-Latn-ME"/>
        </w:rPr>
        <w:t>š</w:t>
      </w:r>
      <w:r w:rsidRPr="00243446">
        <w:rPr>
          <w:rFonts w:ascii="Arial" w:hAnsi="Arial" w:cs="Arial"/>
          <w:bCs/>
          <w:lang w:val="sr-Latn-ME"/>
        </w:rPr>
        <w:t xml:space="preserve">tite se i nacionalni interesi, jer sva nepravilno utrošena sredstva </w:t>
      </w:r>
      <w:r w:rsidR="00CF1E47" w:rsidRPr="00243446">
        <w:rPr>
          <w:rFonts w:ascii="Arial" w:hAnsi="Arial" w:cs="Arial"/>
          <w:bCs/>
          <w:lang w:val="sr-Latn-ME"/>
        </w:rPr>
        <w:t>dobijena iz fondova EU se</w:t>
      </w:r>
      <w:r w:rsidRPr="00243446">
        <w:rPr>
          <w:rFonts w:ascii="Arial" w:hAnsi="Arial" w:cs="Arial"/>
          <w:bCs/>
          <w:lang w:val="sr-Latn-ME"/>
        </w:rPr>
        <w:t xml:space="preserve"> moraju vratiti iz nacionalnog budžeta.</w:t>
      </w:r>
      <w:r>
        <w:rPr>
          <w:rFonts w:ascii="Arial" w:hAnsi="Arial" w:cs="Arial"/>
          <w:bCs/>
          <w:lang w:val="sr-Latn-ME"/>
        </w:rPr>
        <w:t xml:space="preserve"> </w:t>
      </w:r>
    </w:p>
    <w:p w:rsidR="00BD16DA" w:rsidRPr="00B4137B" w:rsidRDefault="00BD16DA" w:rsidP="00B4137B">
      <w:pPr>
        <w:spacing w:after="0" w:line="240" w:lineRule="auto"/>
        <w:rPr>
          <w:rFonts w:ascii="Arial" w:hAnsi="Arial" w:cs="Arial"/>
          <w:b/>
          <w:bCs/>
          <w:lang w:val="sr-Latn-ME"/>
        </w:rPr>
      </w:pPr>
    </w:p>
    <w:p w:rsidR="000F471C" w:rsidRPr="001302F9" w:rsidRDefault="000F471C" w:rsidP="000F471C">
      <w:pPr>
        <w:spacing w:after="0" w:line="240" w:lineRule="auto"/>
        <w:rPr>
          <w:rFonts w:ascii="Arial" w:eastAsia="Times New Roman" w:hAnsi="Arial" w:cs="Arial"/>
          <w:b/>
          <w:bCs/>
          <w:lang w:val="sr-Latn-ME"/>
        </w:rPr>
      </w:pPr>
    </w:p>
    <w:p w:rsidR="000F471C" w:rsidRPr="001302F9" w:rsidRDefault="00892106" w:rsidP="000F471C">
      <w:pPr>
        <w:spacing w:after="0" w:line="240" w:lineRule="auto"/>
        <w:jc w:val="both"/>
        <w:rPr>
          <w:rFonts w:ascii="Arial" w:eastAsia="Times New Roman" w:hAnsi="Arial" w:cs="Arial"/>
          <w:lang w:val="sr-Latn-ME"/>
        </w:rPr>
      </w:pPr>
      <w:r>
        <w:rPr>
          <w:rFonts w:ascii="Arial" w:eastAsia="Times New Roman" w:hAnsi="Arial" w:cs="Arial"/>
          <w:b/>
          <w:bCs/>
          <w:lang w:val="sr-Latn-ME"/>
        </w:rPr>
        <w:t>6</w:t>
      </w:r>
      <w:r w:rsidR="000F471C" w:rsidRPr="001302F9">
        <w:rPr>
          <w:rFonts w:ascii="Arial" w:eastAsia="Times New Roman" w:hAnsi="Arial" w:cs="Arial"/>
          <w:b/>
          <w:bCs/>
          <w:lang w:val="sr-Latn-ME"/>
        </w:rPr>
        <w:t>. AKCIONI PLAN ZA IMPLEMENTACIJU STRATEGIJE</w:t>
      </w:r>
    </w:p>
    <w:p w:rsidR="000F471C" w:rsidRPr="001302F9" w:rsidRDefault="000F471C" w:rsidP="000F471C">
      <w:pPr>
        <w:spacing w:before="100" w:beforeAutospacing="1" w:after="100" w:afterAutospacing="1" w:line="240" w:lineRule="auto"/>
        <w:jc w:val="both"/>
        <w:rPr>
          <w:rFonts w:ascii="Arial" w:eastAsia="Times New Roman" w:hAnsi="Arial" w:cs="Arial"/>
          <w:lang w:val="sr-Latn-ME"/>
        </w:rPr>
      </w:pPr>
      <w:r w:rsidRPr="001302F9">
        <w:rPr>
          <w:rFonts w:ascii="Arial" w:eastAsia="Times New Roman" w:hAnsi="Arial" w:cs="Arial"/>
          <w:b/>
          <w:bCs/>
          <w:lang w:val="sr-Latn-ME"/>
        </w:rPr>
        <w:t xml:space="preserve">Direkcija za zaštitu finansijskih interesa EU/ AFCOS </w:t>
      </w:r>
      <w:r w:rsidRPr="001302F9">
        <w:rPr>
          <w:rFonts w:ascii="Arial" w:eastAsia="Times New Roman" w:hAnsi="Arial" w:cs="Arial"/>
          <w:lang w:val="sr-Latn-ME"/>
        </w:rPr>
        <w:t xml:space="preserve">je odgovorna za koordinaciju i implementaciju ove Strategije. </w:t>
      </w:r>
      <w:r w:rsidRPr="001302F9">
        <w:rPr>
          <w:rFonts w:ascii="Arial" w:eastAsia="Times New Roman" w:hAnsi="Arial" w:cs="Arial"/>
          <w:b/>
          <w:bCs/>
          <w:lang w:val="sr-Latn-ME"/>
        </w:rPr>
        <w:t>Akcioni plan</w:t>
      </w:r>
      <w:r w:rsidRPr="001302F9">
        <w:rPr>
          <w:rFonts w:ascii="Arial" w:eastAsia="Times New Roman" w:hAnsi="Arial" w:cs="Arial"/>
          <w:lang w:val="sr-Latn-ME"/>
        </w:rPr>
        <w:t xml:space="preserve"> detaljno definiše operativne ciljeve, aktivnosti, rokove i odgovorne </w:t>
      </w:r>
      <w:r w:rsidR="00877D5E">
        <w:rPr>
          <w:rFonts w:ascii="Arial" w:eastAsia="Times New Roman" w:hAnsi="Arial" w:cs="Arial"/>
          <w:lang w:val="sr-Latn-ME"/>
        </w:rPr>
        <w:t>institucij</w:t>
      </w:r>
      <w:r w:rsidRPr="001302F9">
        <w:rPr>
          <w:rFonts w:ascii="Arial" w:eastAsia="Times New Roman" w:hAnsi="Arial" w:cs="Arial"/>
          <w:lang w:val="sr-Latn-ME"/>
        </w:rPr>
        <w:t xml:space="preserve">e za sprovođenje aktivnosti i postizanje ciljeva. </w:t>
      </w:r>
      <w:r w:rsidR="00877D5E">
        <w:rPr>
          <w:rFonts w:ascii="Arial" w:eastAsia="Times New Roman" w:hAnsi="Arial" w:cs="Arial"/>
          <w:lang w:val="sr-Latn-ME"/>
        </w:rPr>
        <w:t>Z</w:t>
      </w:r>
      <w:r w:rsidRPr="001302F9">
        <w:rPr>
          <w:rFonts w:ascii="Arial" w:eastAsia="Times New Roman" w:hAnsi="Arial" w:cs="Arial"/>
          <w:lang w:val="sr-Latn-ME"/>
        </w:rPr>
        <w:t xml:space="preserve">asnovan </w:t>
      </w:r>
      <w:r w:rsidR="00877D5E">
        <w:rPr>
          <w:rFonts w:ascii="Arial" w:eastAsia="Times New Roman" w:hAnsi="Arial" w:cs="Arial"/>
          <w:lang w:val="sr-Latn-ME"/>
        </w:rPr>
        <w:t xml:space="preserve">je </w:t>
      </w:r>
      <w:r w:rsidRPr="001302F9">
        <w:rPr>
          <w:rFonts w:ascii="Arial" w:eastAsia="Times New Roman" w:hAnsi="Arial" w:cs="Arial"/>
          <w:lang w:val="sr-Latn-ME"/>
        </w:rPr>
        <w:t>na identifikovanim prioritetnim oblastima i povezan</w:t>
      </w:r>
      <w:r w:rsidR="00877D5E">
        <w:rPr>
          <w:rFonts w:ascii="Arial" w:eastAsia="Times New Roman" w:hAnsi="Arial" w:cs="Arial"/>
          <w:lang w:val="sr-Latn-ME"/>
        </w:rPr>
        <w:t xml:space="preserve"> sa</w:t>
      </w:r>
      <w:r w:rsidRPr="001302F9">
        <w:rPr>
          <w:rFonts w:ascii="Arial" w:eastAsia="Times New Roman" w:hAnsi="Arial" w:cs="Arial"/>
          <w:lang w:val="sr-Latn-ME"/>
        </w:rPr>
        <w:t xml:space="preserve"> operativnim ciljevima.</w:t>
      </w:r>
    </w:p>
    <w:p w:rsidR="000F471C" w:rsidRPr="001302F9" w:rsidRDefault="000F471C" w:rsidP="000F471C">
      <w:pPr>
        <w:spacing w:before="100" w:beforeAutospacing="1" w:after="100" w:afterAutospacing="1" w:line="240" w:lineRule="auto"/>
        <w:jc w:val="both"/>
        <w:rPr>
          <w:rFonts w:ascii="Arial" w:eastAsia="Times New Roman" w:hAnsi="Arial" w:cs="Arial"/>
          <w:lang w:val="sr-Latn-ME"/>
        </w:rPr>
      </w:pPr>
      <w:r w:rsidRPr="001302F9">
        <w:rPr>
          <w:rFonts w:ascii="Arial" w:eastAsia="Times New Roman" w:hAnsi="Arial" w:cs="Arial"/>
          <w:lang w:val="sr-Latn-ME"/>
        </w:rPr>
        <w:t xml:space="preserve">Akcioni plan je integralni dio ove Strategije i usvaja se zajedno sa njom. </w:t>
      </w:r>
      <w:r w:rsidR="00877D5E">
        <w:rPr>
          <w:rFonts w:ascii="Arial" w:eastAsia="Times New Roman" w:hAnsi="Arial" w:cs="Arial"/>
          <w:lang w:val="sr-Latn-ME"/>
        </w:rPr>
        <w:t>Njegovo t</w:t>
      </w:r>
      <w:r w:rsidRPr="001302F9">
        <w:rPr>
          <w:rFonts w:ascii="Arial" w:eastAsia="Times New Roman" w:hAnsi="Arial" w:cs="Arial"/>
          <w:lang w:val="sr-Latn-ME"/>
        </w:rPr>
        <w:t>rajanje je predviđeno na dvije godine.</w:t>
      </w:r>
    </w:p>
    <w:p w:rsidR="000F471C" w:rsidRPr="001302F9" w:rsidRDefault="000F471C" w:rsidP="000F471C">
      <w:pPr>
        <w:spacing w:before="100" w:beforeAutospacing="1" w:after="100" w:afterAutospacing="1" w:line="240" w:lineRule="auto"/>
        <w:jc w:val="both"/>
        <w:rPr>
          <w:rFonts w:ascii="Arial" w:eastAsia="Times New Roman" w:hAnsi="Arial" w:cs="Arial"/>
          <w:lang w:val="sr-Latn-ME"/>
        </w:rPr>
      </w:pPr>
      <w:r w:rsidRPr="001302F9">
        <w:rPr>
          <w:rFonts w:ascii="Arial" w:eastAsia="Times New Roman" w:hAnsi="Arial" w:cs="Arial"/>
          <w:b/>
          <w:bCs/>
          <w:lang w:val="sr-Latn-ME"/>
        </w:rPr>
        <w:t>Kasniji Akcioni planovi</w:t>
      </w:r>
      <w:r w:rsidRPr="001302F9">
        <w:rPr>
          <w:rFonts w:ascii="Arial" w:eastAsia="Times New Roman" w:hAnsi="Arial" w:cs="Arial"/>
          <w:lang w:val="sr-Latn-ME"/>
        </w:rPr>
        <w:t xml:space="preserve"> biće pripremljeni sukcesivno tokom važenja</w:t>
      </w:r>
      <w:r w:rsidR="00877D5E">
        <w:rPr>
          <w:rFonts w:ascii="Arial" w:eastAsia="Times New Roman" w:hAnsi="Arial" w:cs="Arial"/>
          <w:lang w:val="sr-Latn-ME"/>
        </w:rPr>
        <w:t xml:space="preserve"> </w:t>
      </w:r>
      <w:r w:rsidRPr="001302F9">
        <w:rPr>
          <w:rFonts w:ascii="Arial" w:eastAsia="Times New Roman" w:hAnsi="Arial" w:cs="Arial"/>
          <w:lang w:val="sr-Latn-ME"/>
        </w:rPr>
        <w:t xml:space="preserve">ove Strategije. Oni će biti zasnovani na rezultatima </w:t>
      </w:r>
      <w:r w:rsidR="00877D5E">
        <w:rPr>
          <w:rFonts w:ascii="Arial" w:eastAsia="Times New Roman" w:hAnsi="Arial" w:cs="Arial"/>
          <w:lang w:val="sr-Latn-ME"/>
        </w:rPr>
        <w:t xml:space="preserve">iz </w:t>
      </w:r>
      <w:r w:rsidRPr="001302F9">
        <w:rPr>
          <w:rFonts w:ascii="Arial" w:eastAsia="Times New Roman" w:hAnsi="Arial" w:cs="Arial"/>
          <w:lang w:val="sr-Latn-ME"/>
        </w:rPr>
        <w:t xml:space="preserve">prethodnog perioda i biće usvojeni zajedno sa izveštajem o </w:t>
      </w:r>
      <w:r w:rsidR="00877D5E">
        <w:rPr>
          <w:rFonts w:ascii="Arial" w:eastAsia="Times New Roman" w:hAnsi="Arial" w:cs="Arial"/>
          <w:lang w:val="sr-Latn-ME"/>
        </w:rPr>
        <w:t xml:space="preserve">realizaciji mjera iz Akcionog plana za </w:t>
      </w:r>
      <w:r w:rsidRPr="001302F9">
        <w:rPr>
          <w:rFonts w:ascii="Arial" w:eastAsia="Times New Roman" w:hAnsi="Arial" w:cs="Arial"/>
          <w:lang w:val="sr-Latn-ME"/>
        </w:rPr>
        <w:t>prethodn</w:t>
      </w:r>
      <w:r w:rsidR="00877D5E">
        <w:rPr>
          <w:rFonts w:ascii="Arial" w:eastAsia="Times New Roman" w:hAnsi="Arial" w:cs="Arial"/>
          <w:lang w:val="sr-Latn-ME"/>
        </w:rPr>
        <w:t>u</w:t>
      </w:r>
      <w:r w:rsidRPr="001302F9">
        <w:rPr>
          <w:rFonts w:ascii="Arial" w:eastAsia="Times New Roman" w:hAnsi="Arial" w:cs="Arial"/>
          <w:lang w:val="sr-Latn-ME"/>
        </w:rPr>
        <w:t xml:space="preserve"> godin</w:t>
      </w:r>
      <w:r w:rsidR="00877D5E">
        <w:rPr>
          <w:rFonts w:ascii="Arial" w:eastAsia="Times New Roman" w:hAnsi="Arial" w:cs="Arial"/>
          <w:lang w:val="sr-Latn-ME"/>
        </w:rPr>
        <w:t>u</w:t>
      </w:r>
      <w:r w:rsidRPr="001302F9">
        <w:rPr>
          <w:rFonts w:ascii="Arial" w:eastAsia="Times New Roman" w:hAnsi="Arial" w:cs="Arial"/>
          <w:lang w:val="sr-Latn-ME"/>
        </w:rPr>
        <w:t>, kako bi se obezbijedio kontinuitet u procesu.</w:t>
      </w:r>
    </w:p>
    <w:p w:rsidR="000F471C" w:rsidRPr="001302F9" w:rsidRDefault="000F471C" w:rsidP="000F471C">
      <w:pPr>
        <w:spacing w:after="0" w:line="240" w:lineRule="auto"/>
        <w:rPr>
          <w:rFonts w:ascii="Arial" w:eastAsia="Times New Roman" w:hAnsi="Arial" w:cs="Arial"/>
          <w:lang w:val="sr-Latn-ME"/>
        </w:rPr>
      </w:pPr>
    </w:p>
    <w:p w:rsidR="000F471C" w:rsidRPr="001302F9" w:rsidRDefault="00892106" w:rsidP="000F471C">
      <w:pPr>
        <w:spacing w:after="0" w:line="240" w:lineRule="auto"/>
        <w:rPr>
          <w:rFonts w:ascii="Arial" w:eastAsia="Times New Roman" w:hAnsi="Arial" w:cs="Arial"/>
          <w:lang w:val="sr-Latn-ME"/>
        </w:rPr>
      </w:pPr>
      <w:r>
        <w:rPr>
          <w:rFonts w:ascii="Arial" w:eastAsia="Times New Roman" w:hAnsi="Arial" w:cs="Arial"/>
          <w:b/>
          <w:bCs/>
          <w:lang w:val="sr-Latn-ME"/>
        </w:rPr>
        <w:t>7</w:t>
      </w:r>
      <w:r w:rsidR="000F471C" w:rsidRPr="001302F9">
        <w:rPr>
          <w:rFonts w:ascii="Arial" w:eastAsia="Times New Roman" w:hAnsi="Arial" w:cs="Arial"/>
          <w:b/>
          <w:bCs/>
          <w:lang w:val="sr-Latn-ME"/>
        </w:rPr>
        <w:t xml:space="preserve">. </w:t>
      </w:r>
      <w:bookmarkStart w:id="21" w:name="_Hlk194408239"/>
      <w:r w:rsidR="000F471C" w:rsidRPr="001302F9">
        <w:rPr>
          <w:rFonts w:ascii="Arial" w:eastAsia="Times New Roman" w:hAnsi="Arial" w:cs="Arial"/>
          <w:b/>
          <w:bCs/>
          <w:lang w:val="sr-Latn-ME"/>
        </w:rPr>
        <w:t>PRAĆENJE I EVALUACIJA IMPLEMENTACIJE STRATEGIJE</w:t>
      </w:r>
      <w:bookmarkEnd w:id="21"/>
    </w:p>
    <w:p w:rsidR="000F471C" w:rsidRPr="001302F9" w:rsidRDefault="000F471C" w:rsidP="000F471C">
      <w:pPr>
        <w:spacing w:before="100" w:beforeAutospacing="1" w:after="100" w:afterAutospacing="1" w:line="240" w:lineRule="auto"/>
        <w:jc w:val="both"/>
        <w:rPr>
          <w:rFonts w:ascii="Arial" w:eastAsia="Times New Roman" w:hAnsi="Arial" w:cs="Arial"/>
          <w:lang w:val="sr-Latn-ME"/>
        </w:rPr>
      </w:pPr>
      <w:bookmarkStart w:id="22" w:name="_Hlk191977470"/>
      <w:r w:rsidRPr="001302F9">
        <w:rPr>
          <w:rFonts w:ascii="Arial" w:eastAsia="Times New Roman" w:hAnsi="Arial" w:cs="Arial"/>
          <w:b/>
          <w:bCs/>
          <w:lang w:val="sr-Latn-ME"/>
        </w:rPr>
        <w:t xml:space="preserve">Direkcija za zaštitu finansijskih interesa EU/ AFCOS </w:t>
      </w:r>
      <w:bookmarkEnd w:id="22"/>
      <w:r w:rsidRPr="001302F9">
        <w:rPr>
          <w:rFonts w:ascii="Arial" w:eastAsia="Times New Roman" w:hAnsi="Arial" w:cs="Arial"/>
          <w:lang w:val="sr-Latn-ME"/>
        </w:rPr>
        <w:t>je odgovorna za praćenje i evaluaciju implementacije ove Strategije.</w:t>
      </w:r>
    </w:p>
    <w:p w:rsidR="000F471C" w:rsidRPr="001302F9" w:rsidRDefault="000F471C" w:rsidP="009B6B3B">
      <w:pPr>
        <w:numPr>
          <w:ilvl w:val="0"/>
          <w:numId w:val="23"/>
        </w:numPr>
        <w:spacing w:before="100" w:beforeAutospacing="1" w:after="100" w:afterAutospacing="1" w:line="240" w:lineRule="auto"/>
        <w:jc w:val="both"/>
        <w:rPr>
          <w:rFonts w:ascii="Arial" w:eastAsia="Times New Roman" w:hAnsi="Arial" w:cs="Arial"/>
          <w:lang w:val="sr-Latn-ME"/>
        </w:rPr>
      </w:pPr>
      <w:r w:rsidRPr="001302F9">
        <w:rPr>
          <w:rFonts w:ascii="Arial" w:eastAsia="Times New Roman" w:hAnsi="Arial" w:cs="Arial"/>
          <w:b/>
          <w:bCs/>
          <w:lang w:val="sr-Latn-ME"/>
        </w:rPr>
        <w:t>Dinamika praćenja</w:t>
      </w:r>
      <w:r w:rsidRPr="001302F9">
        <w:rPr>
          <w:rFonts w:ascii="Arial" w:eastAsia="Times New Roman" w:hAnsi="Arial" w:cs="Arial"/>
          <w:lang w:val="sr-Latn-ME"/>
        </w:rPr>
        <w:t xml:space="preserve"> </w:t>
      </w:r>
      <w:r w:rsidR="00877D5E">
        <w:rPr>
          <w:rFonts w:ascii="Arial" w:eastAsia="Times New Roman" w:hAnsi="Arial" w:cs="Arial"/>
          <w:lang w:val="sr-Latn-ME"/>
        </w:rPr>
        <w:t xml:space="preserve">realizacije aktivnosti </w:t>
      </w:r>
      <w:r w:rsidRPr="001302F9">
        <w:rPr>
          <w:rFonts w:ascii="Arial" w:eastAsia="Times New Roman" w:hAnsi="Arial" w:cs="Arial"/>
          <w:lang w:val="sr-Latn-ME"/>
        </w:rPr>
        <w:t>biće obuhvaćena kvartalnim konsultativnim sastancima, dodatnim tematskim sastancima kada bude potrebno, kao i izradom godišnjeg i finalnog izveštaja o implementaciji Strategije.</w:t>
      </w:r>
    </w:p>
    <w:p w:rsidR="000F471C" w:rsidRPr="001302F9" w:rsidRDefault="000F471C" w:rsidP="009B6B3B">
      <w:pPr>
        <w:numPr>
          <w:ilvl w:val="0"/>
          <w:numId w:val="23"/>
        </w:numPr>
        <w:spacing w:before="100" w:beforeAutospacing="1" w:after="100" w:afterAutospacing="1" w:line="240" w:lineRule="auto"/>
        <w:jc w:val="both"/>
        <w:rPr>
          <w:rFonts w:ascii="Arial" w:eastAsia="Times New Roman" w:hAnsi="Arial" w:cs="Arial"/>
          <w:lang w:val="sr-Latn-ME"/>
        </w:rPr>
      </w:pPr>
      <w:r w:rsidRPr="001302F9">
        <w:rPr>
          <w:rFonts w:ascii="Arial" w:eastAsia="Times New Roman" w:hAnsi="Arial" w:cs="Arial"/>
          <w:lang w:val="sr-Latn-ME"/>
        </w:rPr>
        <w:t xml:space="preserve">Tijela unutar AFCOS sistema odgovorna za sprovođenje određenih aktivnosti u Akcionom planu dostaviće svoje </w:t>
      </w:r>
      <w:r w:rsidR="00877D5E">
        <w:rPr>
          <w:rFonts w:ascii="Arial" w:eastAsia="Times New Roman" w:hAnsi="Arial" w:cs="Arial"/>
          <w:lang w:val="sr-Latn-ME"/>
        </w:rPr>
        <w:t>priloge</w:t>
      </w:r>
      <w:r w:rsidRPr="001302F9">
        <w:rPr>
          <w:rFonts w:ascii="Arial" w:eastAsia="Times New Roman" w:hAnsi="Arial" w:cs="Arial"/>
          <w:lang w:val="sr-Latn-ME"/>
        </w:rPr>
        <w:t xml:space="preserve"> o </w:t>
      </w:r>
      <w:r w:rsidR="00C24CFC">
        <w:rPr>
          <w:rFonts w:ascii="Arial" w:eastAsia="Times New Roman" w:hAnsi="Arial" w:cs="Arial"/>
          <w:lang w:val="sr-Latn-ME"/>
        </w:rPr>
        <w:t>realizac</w:t>
      </w:r>
      <w:r w:rsidRPr="001302F9">
        <w:rPr>
          <w:rFonts w:ascii="Arial" w:eastAsia="Times New Roman" w:hAnsi="Arial" w:cs="Arial"/>
          <w:lang w:val="sr-Latn-ME"/>
        </w:rPr>
        <w:t xml:space="preserve">iji </w:t>
      </w:r>
      <w:r w:rsidR="00C24CFC">
        <w:rPr>
          <w:rFonts w:ascii="Arial" w:eastAsia="Times New Roman" w:hAnsi="Arial" w:cs="Arial"/>
          <w:lang w:val="sr-Latn-ME"/>
        </w:rPr>
        <w:t xml:space="preserve">aktivnosti iz svoje nadležnosti </w:t>
      </w:r>
      <w:r w:rsidRPr="001302F9">
        <w:rPr>
          <w:rFonts w:ascii="Arial" w:eastAsia="Times New Roman" w:hAnsi="Arial" w:cs="Arial"/>
          <w:b/>
          <w:bCs/>
          <w:lang w:val="sr-Latn-ME"/>
        </w:rPr>
        <w:t>Direkciji za zaštitu finansijskih interesa EU/ AFCOS</w:t>
      </w:r>
      <w:r w:rsidRPr="001302F9">
        <w:rPr>
          <w:rFonts w:ascii="Arial" w:eastAsia="Times New Roman" w:hAnsi="Arial" w:cs="Arial"/>
          <w:lang w:val="sr-Latn-ME"/>
        </w:rPr>
        <w:t xml:space="preserve">. Ovi </w:t>
      </w:r>
      <w:r w:rsidR="00C24CFC">
        <w:rPr>
          <w:rFonts w:ascii="Arial" w:eastAsia="Times New Roman" w:hAnsi="Arial" w:cs="Arial"/>
          <w:lang w:val="sr-Latn-ME"/>
        </w:rPr>
        <w:t>prilozi</w:t>
      </w:r>
      <w:r w:rsidRPr="001302F9">
        <w:rPr>
          <w:rFonts w:ascii="Arial" w:eastAsia="Times New Roman" w:hAnsi="Arial" w:cs="Arial"/>
          <w:lang w:val="sr-Latn-ME"/>
        </w:rPr>
        <w:t xml:space="preserve"> biće integrisani u godišnji finalni izvještaj AFCOS-a o implementaciji Strategije.</w:t>
      </w:r>
    </w:p>
    <w:p w:rsidR="000F471C" w:rsidRPr="001302F9" w:rsidRDefault="000F471C" w:rsidP="009B6B3B">
      <w:pPr>
        <w:numPr>
          <w:ilvl w:val="0"/>
          <w:numId w:val="23"/>
        </w:numPr>
        <w:spacing w:before="100" w:beforeAutospacing="1" w:after="100" w:afterAutospacing="1" w:line="240" w:lineRule="auto"/>
        <w:jc w:val="both"/>
        <w:rPr>
          <w:rFonts w:ascii="Arial" w:eastAsia="Times New Roman" w:hAnsi="Arial" w:cs="Arial"/>
          <w:lang w:val="sr-Latn-ME"/>
        </w:rPr>
      </w:pPr>
      <w:r w:rsidRPr="001302F9">
        <w:rPr>
          <w:rFonts w:ascii="Arial" w:eastAsia="Times New Roman" w:hAnsi="Arial" w:cs="Arial"/>
          <w:b/>
          <w:bCs/>
          <w:lang w:val="sr-Latn-ME"/>
        </w:rPr>
        <w:t>Kontinuirani dijalog</w:t>
      </w:r>
      <w:r w:rsidRPr="001302F9">
        <w:rPr>
          <w:rFonts w:ascii="Arial" w:eastAsia="Times New Roman" w:hAnsi="Arial" w:cs="Arial"/>
          <w:lang w:val="sr-Latn-ME"/>
        </w:rPr>
        <w:t xml:space="preserve"> </w:t>
      </w:r>
      <w:r w:rsidR="00C24CFC">
        <w:rPr>
          <w:rFonts w:ascii="Arial" w:eastAsia="Times New Roman" w:hAnsi="Arial" w:cs="Arial"/>
          <w:lang w:val="sr-Latn-ME"/>
        </w:rPr>
        <w:t>o</w:t>
      </w:r>
      <w:r w:rsidRPr="001302F9">
        <w:rPr>
          <w:rFonts w:ascii="Arial" w:eastAsia="Times New Roman" w:hAnsi="Arial" w:cs="Arial"/>
          <w:lang w:val="sr-Latn-ME"/>
        </w:rPr>
        <w:t>država</w:t>
      </w:r>
      <w:r w:rsidR="00C24CFC">
        <w:rPr>
          <w:rFonts w:ascii="Arial" w:eastAsia="Times New Roman" w:hAnsi="Arial" w:cs="Arial"/>
          <w:lang w:val="sr-Latn-ME"/>
        </w:rPr>
        <w:t>će se</w:t>
      </w:r>
      <w:r w:rsidRPr="001302F9">
        <w:rPr>
          <w:rFonts w:ascii="Arial" w:eastAsia="Times New Roman" w:hAnsi="Arial" w:cs="Arial"/>
          <w:lang w:val="sr-Latn-ME"/>
        </w:rPr>
        <w:t xml:space="preserve"> sa nadležnim tijelima AFCOS sistema, kao i sa nevladinim organizacijama i drugim zainteresovanim stranama, kako bi se unaprijedio proces implementacije Strategije.</w:t>
      </w:r>
    </w:p>
    <w:p w:rsidR="000F471C" w:rsidRDefault="000F471C" w:rsidP="000F471C">
      <w:pPr>
        <w:spacing w:before="100" w:beforeAutospacing="1" w:after="100" w:afterAutospacing="1" w:line="240" w:lineRule="auto"/>
        <w:jc w:val="both"/>
        <w:rPr>
          <w:rFonts w:ascii="Arial" w:eastAsia="Times New Roman" w:hAnsi="Arial" w:cs="Arial"/>
          <w:lang w:val="sr-Latn-ME"/>
        </w:rPr>
      </w:pPr>
      <w:r w:rsidRPr="001302F9">
        <w:rPr>
          <w:rFonts w:ascii="Arial" w:eastAsia="Times New Roman" w:hAnsi="Arial" w:cs="Arial"/>
          <w:lang w:val="sr-Latn-ME"/>
        </w:rPr>
        <w:t>Po završetku implementacije</w:t>
      </w:r>
      <w:r w:rsidR="00C24CFC">
        <w:rPr>
          <w:rFonts w:ascii="Arial" w:eastAsia="Times New Roman" w:hAnsi="Arial" w:cs="Arial"/>
          <w:lang w:val="sr-Latn-ME"/>
        </w:rPr>
        <w:t xml:space="preserve"> </w:t>
      </w:r>
      <w:r w:rsidRPr="001302F9">
        <w:rPr>
          <w:rFonts w:ascii="Arial" w:eastAsia="Times New Roman" w:hAnsi="Arial" w:cs="Arial"/>
          <w:lang w:val="sr-Latn-ME"/>
        </w:rPr>
        <w:t xml:space="preserve">ove Strategije, biće sprovedena </w:t>
      </w:r>
      <w:r w:rsidRPr="001302F9">
        <w:rPr>
          <w:rFonts w:ascii="Arial" w:eastAsia="Times New Roman" w:hAnsi="Arial" w:cs="Arial"/>
          <w:b/>
          <w:bCs/>
          <w:lang w:val="sr-Latn-ME"/>
        </w:rPr>
        <w:t>spoljna</w:t>
      </w:r>
      <w:r w:rsidR="00C24CFC">
        <w:rPr>
          <w:rFonts w:ascii="Arial" w:eastAsia="Times New Roman" w:hAnsi="Arial" w:cs="Arial"/>
          <w:b/>
          <w:bCs/>
          <w:lang w:val="sr-Latn-ME"/>
        </w:rPr>
        <w:t>, nezavisna</w:t>
      </w:r>
      <w:r w:rsidRPr="001302F9">
        <w:rPr>
          <w:rFonts w:ascii="Arial" w:eastAsia="Times New Roman" w:hAnsi="Arial" w:cs="Arial"/>
          <w:b/>
          <w:bCs/>
          <w:lang w:val="sr-Latn-ME"/>
        </w:rPr>
        <w:t xml:space="preserve"> evaluacija</w:t>
      </w:r>
      <w:r w:rsidRPr="001302F9">
        <w:rPr>
          <w:rFonts w:ascii="Arial" w:eastAsia="Times New Roman" w:hAnsi="Arial" w:cs="Arial"/>
          <w:lang w:val="sr-Latn-ME"/>
        </w:rPr>
        <w:t>, a njeni rezultati biće uključeni u finalni izveštaj o implementaciji Strategije, koji će biti dostavljen Vladi Crne Gore</w:t>
      </w:r>
      <w:r w:rsidR="00C24CFC">
        <w:rPr>
          <w:rFonts w:ascii="Arial" w:eastAsia="Times New Roman" w:hAnsi="Arial" w:cs="Arial"/>
          <w:lang w:val="sr-Latn-ME"/>
        </w:rPr>
        <w:t xml:space="preserve"> na razmatranje i usvajanje</w:t>
      </w:r>
      <w:r w:rsidRPr="001302F9">
        <w:rPr>
          <w:rFonts w:ascii="Arial" w:eastAsia="Times New Roman" w:hAnsi="Arial" w:cs="Arial"/>
          <w:lang w:val="sr-Latn-ME"/>
        </w:rPr>
        <w:t>.</w:t>
      </w:r>
    </w:p>
    <w:p w:rsidR="00693FD8" w:rsidRPr="001302F9" w:rsidRDefault="00693FD8" w:rsidP="000F471C">
      <w:pPr>
        <w:spacing w:before="100" w:beforeAutospacing="1" w:after="100" w:afterAutospacing="1" w:line="240" w:lineRule="auto"/>
        <w:jc w:val="both"/>
        <w:rPr>
          <w:rFonts w:ascii="Arial" w:eastAsia="Times New Roman" w:hAnsi="Arial" w:cs="Arial"/>
          <w:lang w:val="sr-Latn-ME"/>
        </w:rPr>
      </w:pPr>
      <w:r>
        <w:rPr>
          <w:rFonts w:ascii="Arial" w:eastAsia="Times New Roman" w:hAnsi="Arial" w:cs="Arial"/>
          <w:lang w:val="sr-Latn-ME"/>
        </w:rPr>
        <w:t>Godišnji</w:t>
      </w:r>
      <w:r w:rsidR="006A6D5C">
        <w:rPr>
          <w:rFonts w:ascii="Arial" w:eastAsia="Times New Roman" w:hAnsi="Arial" w:cs="Arial"/>
          <w:lang w:val="sr-Latn-ME"/>
        </w:rPr>
        <w:t xml:space="preserve">, </w:t>
      </w:r>
      <w:r>
        <w:rPr>
          <w:rFonts w:ascii="Arial" w:eastAsia="Times New Roman" w:hAnsi="Arial" w:cs="Arial"/>
          <w:lang w:val="sr-Latn-ME"/>
        </w:rPr>
        <w:t xml:space="preserve">Završni izvještaji i Izvještaj o evaluacija Strategije i </w:t>
      </w:r>
      <w:r w:rsidR="006A6D5C">
        <w:rPr>
          <w:rFonts w:ascii="Arial" w:eastAsia="Times New Roman" w:hAnsi="Arial" w:cs="Arial"/>
          <w:lang w:val="sr-Latn-ME"/>
        </w:rPr>
        <w:t>A</w:t>
      </w:r>
      <w:r>
        <w:rPr>
          <w:rFonts w:ascii="Arial" w:eastAsia="Times New Roman" w:hAnsi="Arial" w:cs="Arial"/>
          <w:lang w:val="sr-Latn-ME"/>
        </w:rPr>
        <w:t>kcionog plana</w:t>
      </w:r>
      <w:r w:rsidR="006A6D5C">
        <w:rPr>
          <w:rFonts w:ascii="Arial" w:eastAsia="Times New Roman" w:hAnsi="Arial" w:cs="Arial"/>
          <w:lang w:val="sr-Latn-ME"/>
        </w:rPr>
        <w:t xml:space="preserve"> dostavljaće se Generalnom sekretarijatu Vlade na mišljenje, prije slanja Vladi na usvajanje.</w:t>
      </w:r>
    </w:p>
    <w:p w:rsidR="000F471C" w:rsidRPr="001302F9" w:rsidRDefault="000F471C" w:rsidP="000F471C">
      <w:pPr>
        <w:pStyle w:val="NormalWeb"/>
        <w:rPr>
          <w:rFonts w:ascii="Arial" w:hAnsi="Arial" w:cs="Arial"/>
          <w:sz w:val="22"/>
          <w:szCs w:val="22"/>
          <w:lang w:val="sr-Latn-ME"/>
        </w:rPr>
      </w:pPr>
    </w:p>
    <w:p w:rsidR="0033403A" w:rsidRDefault="00C555BF">
      <w:pPr>
        <w:spacing w:after="160" w:line="259" w:lineRule="auto"/>
        <w:rPr>
          <w:rFonts w:ascii="Arial" w:hAnsi="Arial" w:cs="Arial"/>
          <w:lang w:val="sr-Latn-ME"/>
        </w:rPr>
        <w:sectPr w:rsidR="0033403A" w:rsidSect="006403AA">
          <w:pgSz w:w="11906" w:h="16838"/>
          <w:pgMar w:top="1440" w:right="1440" w:bottom="1440" w:left="1440" w:header="708" w:footer="708" w:gutter="0"/>
          <w:cols w:space="708"/>
          <w:docGrid w:linePitch="360"/>
        </w:sectPr>
      </w:pPr>
      <w:r>
        <w:rPr>
          <w:rFonts w:ascii="Arial" w:hAnsi="Arial" w:cs="Arial"/>
          <w:lang w:val="sr-Latn-ME"/>
        </w:rPr>
        <w:br w:type="page"/>
      </w:r>
    </w:p>
    <w:p w:rsidR="0033403A" w:rsidRPr="00B76EFF" w:rsidRDefault="0033403A" w:rsidP="0033403A">
      <w:pPr>
        <w:spacing w:after="160" w:line="259" w:lineRule="auto"/>
        <w:rPr>
          <w:rFonts w:ascii="Arial" w:hAnsi="Arial" w:cs="Arial"/>
          <w:b/>
          <w:lang w:val="sr-Latn-ME"/>
        </w:rPr>
      </w:pPr>
      <w:r w:rsidRPr="0033403A">
        <w:rPr>
          <w:rFonts w:ascii="Arial" w:hAnsi="Arial" w:cs="Arial"/>
          <w:b/>
          <w:lang w:val="sr-Latn-ME"/>
        </w:rPr>
        <w:t>ANNEX  “Pasoš indikatora uspjeha”</w:t>
      </w:r>
    </w:p>
    <w:p w:rsidR="0033403A" w:rsidRPr="0033403A" w:rsidRDefault="0033403A" w:rsidP="0033403A">
      <w:pPr>
        <w:spacing w:after="160" w:line="259" w:lineRule="auto"/>
        <w:rPr>
          <w:rFonts w:ascii="Arial" w:hAnsi="Arial" w:cs="Arial"/>
          <w:b/>
          <w:lang w:val="sr-Latn-ME"/>
        </w:rPr>
      </w:pPr>
      <w:r w:rsidRPr="0033403A">
        <w:rPr>
          <w:rFonts w:ascii="Arial" w:hAnsi="Arial" w:cs="Arial"/>
          <w:lang w:val="sr-Latn-ME"/>
        </w:rPr>
        <w:t>Pasoš  br. 1 (za indikator uspjeha za Strateški cilj)</w:t>
      </w:r>
    </w:p>
    <w:tbl>
      <w:tblPr>
        <w:tblStyle w:val="TableGrid"/>
        <w:tblW w:w="14040" w:type="dxa"/>
        <w:tblInd w:w="-95" w:type="dxa"/>
        <w:tblLook w:val="04A0" w:firstRow="1" w:lastRow="0" w:firstColumn="1" w:lastColumn="0" w:noHBand="0" w:noVBand="1"/>
      </w:tblPr>
      <w:tblGrid>
        <w:gridCol w:w="4054"/>
        <w:gridCol w:w="2411"/>
        <w:gridCol w:w="915"/>
        <w:gridCol w:w="1496"/>
        <w:gridCol w:w="2411"/>
        <w:gridCol w:w="705"/>
        <w:gridCol w:w="2048"/>
      </w:tblGrid>
      <w:tr w:rsidR="0033403A" w:rsidRPr="0033403A" w:rsidTr="00B76EFF">
        <w:tc>
          <w:tcPr>
            <w:tcW w:w="4054" w:type="dxa"/>
            <w:shd w:val="clear" w:color="auto" w:fill="657C9C" w:themeFill="text2" w:themeFillTint="BF"/>
          </w:tcPr>
          <w:p w:rsidR="0033403A" w:rsidRPr="0033403A" w:rsidRDefault="0033403A" w:rsidP="0033403A">
            <w:pPr>
              <w:spacing w:after="160" w:line="259" w:lineRule="auto"/>
              <w:rPr>
                <w:rFonts w:ascii="Arial" w:hAnsi="Arial" w:cs="Arial"/>
                <w:sz w:val="22"/>
                <w:szCs w:val="22"/>
                <w:lang w:val="sr-Latn-ME" w:eastAsia="en-US"/>
              </w:rPr>
            </w:pPr>
            <w:r w:rsidRPr="0033403A">
              <w:rPr>
                <w:rFonts w:ascii="Arial" w:hAnsi="Arial" w:cs="Arial"/>
                <w:sz w:val="22"/>
                <w:szCs w:val="22"/>
                <w:lang w:val="sr-Latn-ME" w:eastAsia="en-US"/>
              </w:rPr>
              <w:t>Kategorija</w:t>
            </w:r>
          </w:p>
        </w:tc>
        <w:tc>
          <w:tcPr>
            <w:tcW w:w="9986" w:type="dxa"/>
            <w:gridSpan w:val="6"/>
            <w:shd w:val="clear" w:color="auto" w:fill="657C9C" w:themeFill="text2" w:themeFillTint="BF"/>
          </w:tcPr>
          <w:p w:rsidR="0033403A" w:rsidRPr="0033403A" w:rsidRDefault="0033403A" w:rsidP="0033403A">
            <w:pPr>
              <w:spacing w:after="160" w:line="259" w:lineRule="auto"/>
              <w:rPr>
                <w:rFonts w:ascii="Arial" w:hAnsi="Arial" w:cs="Arial"/>
                <w:sz w:val="22"/>
                <w:szCs w:val="22"/>
                <w:lang w:val="sr-Latn-ME" w:eastAsia="en-US"/>
              </w:rPr>
            </w:pPr>
            <w:r w:rsidRPr="0033403A">
              <w:rPr>
                <w:rFonts w:ascii="Arial" w:hAnsi="Arial" w:cs="Arial"/>
                <w:sz w:val="22"/>
                <w:szCs w:val="22"/>
                <w:lang w:val="sr-Latn-ME" w:eastAsia="en-US"/>
              </w:rPr>
              <w:t xml:space="preserve"> Opis</w:t>
            </w:r>
          </w:p>
        </w:tc>
      </w:tr>
      <w:tr w:rsidR="0033403A" w:rsidRPr="0033403A" w:rsidTr="00B76EFF">
        <w:tc>
          <w:tcPr>
            <w:tcW w:w="4054" w:type="dxa"/>
            <w:shd w:val="clear" w:color="auto" w:fill="DEEAF6" w:themeFill="accent1" w:themeFillTint="33"/>
          </w:tcPr>
          <w:p w:rsidR="0033403A" w:rsidRPr="0033403A" w:rsidRDefault="0033403A" w:rsidP="0033403A">
            <w:pPr>
              <w:spacing w:after="160" w:line="259" w:lineRule="auto"/>
              <w:rPr>
                <w:rFonts w:ascii="Arial" w:hAnsi="Arial" w:cs="Arial"/>
                <w:sz w:val="22"/>
                <w:szCs w:val="22"/>
                <w:lang w:val="sr-Latn-ME" w:eastAsia="en-US"/>
              </w:rPr>
            </w:pPr>
            <w:r w:rsidRPr="0033403A">
              <w:rPr>
                <w:rFonts w:ascii="Arial" w:hAnsi="Arial" w:cs="Arial"/>
                <w:sz w:val="22"/>
                <w:szCs w:val="22"/>
                <w:lang w:val="sr-Latn-ME" w:eastAsia="en-US"/>
              </w:rPr>
              <w:t>Naziv indikatora</w:t>
            </w:r>
          </w:p>
        </w:tc>
        <w:tc>
          <w:tcPr>
            <w:tcW w:w="9986" w:type="dxa"/>
            <w:gridSpan w:val="6"/>
            <w:shd w:val="clear" w:color="auto" w:fill="DEEAF6" w:themeFill="accent1" w:themeFillTint="33"/>
          </w:tcPr>
          <w:p w:rsidR="0033403A" w:rsidRPr="0033403A" w:rsidRDefault="0033403A" w:rsidP="0033403A">
            <w:pPr>
              <w:spacing w:after="160" w:line="259" w:lineRule="auto"/>
              <w:rPr>
                <w:rFonts w:ascii="Arial" w:hAnsi="Arial" w:cs="Arial"/>
                <w:b/>
                <w:bCs/>
                <w:sz w:val="22"/>
                <w:szCs w:val="22"/>
                <w:lang w:val="sr-Latn-ME" w:eastAsia="en-US"/>
              </w:rPr>
            </w:pPr>
            <w:r w:rsidRPr="0033403A">
              <w:rPr>
                <w:rFonts w:ascii="Arial" w:hAnsi="Arial" w:cs="Arial"/>
                <w:b/>
                <w:bCs/>
                <w:sz w:val="22"/>
                <w:szCs w:val="22"/>
                <w:lang w:val="sr-Latn-ME" w:eastAsia="en-US"/>
              </w:rPr>
              <w:t>Stopa otkrivanja nepravilnosti</w:t>
            </w:r>
          </w:p>
        </w:tc>
      </w:tr>
      <w:tr w:rsidR="0033403A" w:rsidRPr="0033403A" w:rsidTr="00B76EFF">
        <w:tc>
          <w:tcPr>
            <w:tcW w:w="4054" w:type="dxa"/>
            <w:shd w:val="clear" w:color="auto" w:fill="DEEAF6" w:themeFill="accent1" w:themeFillTint="33"/>
          </w:tcPr>
          <w:p w:rsidR="0033403A" w:rsidRPr="0033403A" w:rsidRDefault="0033403A" w:rsidP="0033403A">
            <w:pPr>
              <w:spacing w:after="160" w:line="259" w:lineRule="auto"/>
              <w:rPr>
                <w:rFonts w:ascii="Arial" w:hAnsi="Arial" w:cs="Arial"/>
                <w:sz w:val="22"/>
                <w:szCs w:val="22"/>
                <w:lang w:val="sr-Latn-ME" w:eastAsia="en-US"/>
              </w:rPr>
            </w:pPr>
            <w:r w:rsidRPr="0033403A">
              <w:rPr>
                <w:rFonts w:ascii="Arial" w:hAnsi="Arial" w:cs="Arial"/>
                <w:sz w:val="22"/>
                <w:szCs w:val="22"/>
                <w:lang w:val="sr-Latn-ME" w:eastAsia="en-US"/>
              </w:rPr>
              <w:t>Cilj na koji se indikator odnosi</w:t>
            </w:r>
          </w:p>
        </w:tc>
        <w:tc>
          <w:tcPr>
            <w:tcW w:w="9986" w:type="dxa"/>
            <w:gridSpan w:val="6"/>
          </w:tcPr>
          <w:p w:rsidR="0033403A" w:rsidRPr="0033403A" w:rsidRDefault="0033403A" w:rsidP="0033403A">
            <w:pPr>
              <w:spacing w:after="160" w:line="259" w:lineRule="auto"/>
              <w:rPr>
                <w:rFonts w:ascii="Arial" w:hAnsi="Arial" w:cs="Arial"/>
                <w:sz w:val="22"/>
                <w:szCs w:val="22"/>
                <w:lang w:val="sr-Latn-ME" w:eastAsia="en-US"/>
              </w:rPr>
            </w:pPr>
            <w:r w:rsidRPr="0033403A">
              <w:rPr>
                <w:rFonts w:ascii="Arial" w:hAnsi="Arial" w:cs="Arial"/>
                <w:b/>
                <w:sz w:val="22"/>
                <w:szCs w:val="22"/>
                <w:lang w:val="sr-Latn-ME" w:eastAsia="en-US"/>
              </w:rPr>
              <w:t>Strateški cilj:</w:t>
            </w:r>
            <w:r w:rsidRPr="0033403A">
              <w:rPr>
                <w:rFonts w:ascii="Arial" w:hAnsi="Arial" w:cs="Arial"/>
                <w:sz w:val="22"/>
                <w:szCs w:val="22"/>
                <w:lang w:val="sr-Latn-ME" w:eastAsia="en-US"/>
              </w:rPr>
              <w:t xml:space="preserve"> Smanjiti prevaru i druge nepravilnosti koje utiču na EU finansijske interese u Crnoj Gori do 2028. godine jačanjem AFCOS sistema, koordinacione uloge Direkcije za zaštitu finansijskih interesa EU/AFCOS, poboljšanjem saradnje među svim zainteresovanim stranama, sprovođenjem preventivnih mjera i održavanjem kapaciteta za detekciju nepravilnosti, čime će se osigurati zaštita novca poreskih obveznika EU i Crne Gore, kao i efikasna i efektivna upotreba EU resursa.</w:t>
            </w:r>
          </w:p>
        </w:tc>
      </w:tr>
      <w:tr w:rsidR="0033403A" w:rsidRPr="0033403A" w:rsidTr="00B76EFF">
        <w:tc>
          <w:tcPr>
            <w:tcW w:w="4054" w:type="dxa"/>
            <w:shd w:val="clear" w:color="auto" w:fill="DEEAF6" w:themeFill="accent1" w:themeFillTint="33"/>
          </w:tcPr>
          <w:p w:rsidR="0033403A" w:rsidRPr="0033403A" w:rsidRDefault="0033403A" w:rsidP="0033403A">
            <w:pPr>
              <w:spacing w:after="160" w:line="259" w:lineRule="auto"/>
              <w:rPr>
                <w:rFonts w:ascii="Arial" w:hAnsi="Arial" w:cs="Arial"/>
                <w:sz w:val="22"/>
                <w:szCs w:val="22"/>
                <w:lang w:val="sr-Latn-ME" w:eastAsia="en-US"/>
              </w:rPr>
            </w:pPr>
            <w:r w:rsidRPr="0033403A">
              <w:rPr>
                <w:rFonts w:ascii="Arial" w:hAnsi="Arial" w:cs="Arial"/>
                <w:sz w:val="22"/>
                <w:szCs w:val="22"/>
                <w:lang w:val="sr-Latn-ME" w:eastAsia="en-US"/>
              </w:rPr>
              <w:t>Kratak opis indikatora</w:t>
            </w:r>
          </w:p>
        </w:tc>
        <w:tc>
          <w:tcPr>
            <w:tcW w:w="9986" w:type="dxa"/>
            <w:gridSpan w:val="6"/>
          </w:tcPr>
          <w:p w:rsidR="0033403A" w:rsidRPr="0033403A" w:rsidRDefault="0033403A" w:rsidP="0033403A">
            <w:pPr>
              <w:spacing w:after="160" w:line="259" w:lineRule="auto"/>
              <w:rPr>
                <w:rFonts w:ascii="Arial" w:hAnsi="Arial" w:cs="Arial"/>
                <w:sz w:val="22"/>
                <w:szCs w:val="22"/>
                <w:lang w:val="sr-Latn-ME" w:eastAsia="en-US"/>
              </w:rPr>
            </w:pPr>
            <w:r w:rsidRPr="0033403A">
              <w:rPr>
                <w:rFonts w:ascii="Arial" w:hAnsi="Arial" w:cs="Arial"/>
                <w:sz w:val="22"/>
                <w:szCs w:val="22"/>
                <w:lang w:val="sr-Latn-ME" w:eastAsia="en-US"/>
              </w:rPr>
              <w:t>Indikator stope otkrivanja nepravilnosti će pratiti efikasnost otkrivanja pogrešno potrošenih sredstava EU – upoređujući broj otkrivenih nepravilnosti (kako prevarnih, tako i neprevarnih) sa isplatama koje je Crna Gora primila iz EU fondova.( uključujući sve komponente HRD, IPA III, IPARD, REGD, CBC (CG-KOS i CG-ALB), CAP, SOPEES).</w:t>
            </w:r>
          </w:p>
        </w:tc>
      </w:tr>
      <w:tr w:rsidR="0033403A" w:rsidRPr="0033403A" w:rsidTr="00B76EFF">
        <w:tc>
          <w:tcPr>
            <w:tcW w:w="4054" w:type="dxa"/>
            <w:shd w:val="clear" w:color="auto" w:fill="DEEAF6" w:themeFill="accent1" w:themeFillTint="33"/>
          </w:tcPr>
          <w:p w:rsidR="0033403A" w:rsidRPr="0033403A" w:rsidRDefault="0033403A" w:rsidP="0033403A">
            <w:pPr>
              <w:spacing w:after="160" w:line="259" w:lineRule="auto"/>
              <w:rPr>
                <w:rFonts w:ascii="Arial" w:hAnsi="Arial" w:cs="Arial"/>
                <w:sz w:val="22"/>
                <w:szCs w:val="22"/>
                <w:lang w:val="sr-Latn-ME" w:eastAsia="en-US"/>
              </w:rPr>
            </w:pPr>
            <w:r w:rsidRPr="0033403A">
              <w:rPr>
                <w:rFonts w:ascii="Arial" w:hAnsi="Arial" w:cs="Arial"/>
                <w:sz w:val="22"/>
                <w:szCs w:val="22"/>
                <w:lang w:val="sr-Latn-ME" w:eastAsia="en-US"/>
              </w:rPr>
              <w:t>Podaci koje je potrebno prikupiti</w:t>
            </w:r>
          </w:p>
        </w:tc>
        <w:tc>
          <w:tcPr>
            <w:tcW w:w="9986" w:type="dxa"/>
            <w:gridSpan w:val="6"/>
          </w:tcPr>
          <w:p w:rsidR="0033403A" w:rsidRPr="0033403A" w:rsidRDefault="0033403A" w:rsidP="0033403A">
            <w:pPr>
              <w:spacing w:after="160" w:line="259" w:lineRule="auto"/>
              <w:rPr>
                <w:rFonts w:ascii="Arial" w:hAnsi="Arial" w:cs="Arial"/>
                <w:sz w:val="22"/>
                <w:szCs w:val="22"/>
                <w:lang w:val="sr-Latn-ME" w:eastAsia="en-US"/>
              </w:rPr>
            </w:pPr>
            <w:r w:rsidRPr="0033403A">
              <w:rPr>
                <w:rFonts w:ascii="Arial" w:hAnsi="Arial" w:cs="Arial"/>
                <w:sz w:val="22"/>
                <w:szCs w:val="22"/>
                <w:lang w:val="sr-Latn-ME" w:eastAsia="en-US"/>
              </w:rPr>
              <w:t>Broj nepravilnosti, isplate  iz EU fondova primljene od strane Crne Gore (uključujući sve komponente HRD, IPA III, IPARD, REGD, CBC (CG-KOS i CG-ALB), CAP, SOPEES).</w:t>
            </w:r>
          </w:p>
        </w:tc>
      </w:tr>
      <w:tr w:rsidR="0033403A" w:rsidRPr="0033403A" w:rsidTr="00B76EFF">
        <w:tc>
          <w:tcPr>
            <w:tcW w:w="4054" w:type="dxa"/>
            <w:shd w:val="clear" w:color="auto" w:fill="DEEAF6" w:themeFill="accent1" w:themeFillTint="33"/>
          </w:tcPr>
          <w:p w:rsidR="0033403A" w:rsidRPr="0033403A" w:rsidRDefault="0033403A" w:rsidP="0033403A">
            <w:pPr>
              <w:spacing w:after="160" w:line="259" w:lineRule="auto"/>
              <w:rPr>
                <w:rFonts w:ascii="Arial" w:hAnsi="Arial" w:cs="Arial"/>
                <w:sz w:val="22"/>
                <w:szCs w:val="22"/>
                <w:lang w:val="sr-Latn-ME" w:eastAsia="en-US"/>
              </w:rPr>
            </w:pPr>
            <w:r w:rsidRPr="0033403A">
              <w:rPr>
                <w:rFonts w:ascii="Arial" w:hAnsi="Arial" w:cs="Arial"/>
                <w:sz w:val="22"/>
                <w:szCs w:val="22"/>
                <w:lang w:val="sr-Latn-ME" w:eastAsia="en-US"/>
              </w:rPr>
              <w:t>Source of data / Izvor podataka</w:t>
            </w:r>
          </w:p>
        </w:tc>
        <w:tc>
          <w:tcPr>
            <w:tcW w:w="9986" w:type="dxa"/>
            <w:gridSpan w:val="6"/>
          </w:tcPr>
          <w:p w:rsidR="0033403A" w:rsidRPr="0033403A" w:rsidRDefault="0033403A" w:rsidP="0033403A">
            <w:pPr>
              <w:spacing w:after="160" w:line="259" w:lineRule="auto"/>
              <w:rPr>
                <w:rFonts w:ascii="Arial" w:hAnsi="Arial" w:cs="Arial"/>
                <w:sz w:val="22"/>
                <w:szCs w:val="22"/>
                <w:lang w:val="sr-Latn-ME" w:eastAsia="en-US"/>
              </w:rPr>
            </w:pPr>
            <w:r w:rsidRPr="0033403A">
              <w:rPr>
                <w:rFonts w:ascii="Arial" w:hAnsi="Arial" w:cs="Arial"/>
                <w:sz w:val="22"/>
                <w:szCs w:val="22"/>
                <w:lang w:val="sr-Latn-ME" w:eastAsia="en-US"/>
              </w:rPr>
              <w:t>IMS</w:t>
            </w:r>
          </w:p>
          <w:p w:rsidR="0033403A" w:rsidRPr="0033403A" w:rsidRDefault="0033403A" w:rsidP="0033403A">
            <w:pPr>
              <w:spacing w:after="160" w:line="259" w:lineRule="auto"/>
              <w:rPr>
                <w:rFonts w:ascii="Arial" w:hAnsi="Arial" w:cs="Arial"/>
                <w:sz w:val="22"/>
                <w:szCs w:val="22"/>
                <w:lang w:val="sr-Latn-ME" w:eastAsia="en-US"/>
              </w:rPr>
            </w:pPr>
          </w:p>
        </w:tc>
      </w:tr>
      <w:tr w:rsidR="0033403A" w:rsidRPr="0033403A" w:rsidTr="00B76EFF">
        <w:tc>
          <w:tcPr>
            <w:tcW w:w="4054" w:type="dxa"/>
            <w:shd w:val="clear" w:color="auto" w:fill="DEEAF6" w:themeFill="accent1" w:themeFillTint="33"/>
          </w:tcPr>
          <w:p w:rsidR="0033403A" w:rsidRPr="0033403A" w:rsidRDefault="0033403A" w:rsidP="0033403A">
            <w:pPr>
              <w:spacing w:after="160" w:line="259" w:lineRule="auto"/>
              <w:rPr>
                <w:rFonts w:ascii="Arial" w:hAnsi="Arial" w:cs="Arial"/>
                <w:sz w:val="22"/>
                <w:szCs w:val="22"/>
                <w:lang w:val="sr-Latn-ME" w:eastAsia="en-US"/>
              </w:rPr>
            </w:pPr>
            <w:r w:rsidRPr="0033403A">
              <w:rPr>
                <w:rFonts w:ascii="Arial" w:hAnsi="Arial" w:cs="Arial"/>
                <w:sz w:val="22"/>
                <w:szCs w:val="22"/>
                <w:lang w:val="sr-Latn-ME" w:eastAsia="en-US"/>
              </w:rPr>
              <w:t>Informacija o instituciji odgovornoj za prikupljanje podataka</w:t>
            </w:r>
          </w:p>
        </w:tc>
        <w:tc>
          <w:tcPr>
            <w:tcW w:w="9986" w:type="dxa"/>
            <w:gridSpan w:val="6"/>
          </w:tcPr>
          <w:p w:rsidR="0033403A" w:rsidRPr="0033403A" w:rsidRDefault="0033403A" w:rsidP="0033403A">
            <w:pPr>
              <w:spacing w:after="160" w:line="259" w:lineRule="auto"/>
              <w:rPr>
                <w:rFonts w:ascii="Arial" w:hAnsi="Arial" w:cs="Arial"/>
                <w:sz w:val="22"/>
                <w:szCs w:val="22"/>
                <w:lang w:val="sr-Latn-ME" w:eastAsia="en-US"/>
              </w:rPr>
            </w:pPr>
            <w:r w:rsidRPr="0033403A">
              <w:rPr>
                <w:rFonts w:ascii="Arial" w:hAnsi="Arial" w:cs="Arial"/>
                <w:sz w:val="22"/>
                <w:szCs w:val="22"/>
                <w:lang w:val="sr-Latn-ME" w:eastAsia="en-US"/>
              </w:rPr>
              <w:t>Direkcija za zaštitu finansijskih interesa EU/AFCOS i Direkcija za nacionalni fond i upravljanje računima  - Ministarstvo finansija</w:t>
            </w:r>
          </w:p>
        </w:tc>
      </w:tr>
      <w:tr w:rsidR="0033403A" w:rsidRPr="0033403A" w:rsidTr="00B76EFF">
        <w:tc>
          <w:tcPr>
            <w:tcW w:w="4054" w:type="dxa"/>
            <w:shd w:val="clear" w:color="auto" w:fill="DEEAF6" w:themeFill="accent1" w:themeFillTint="33"/>
          </w:tcPr>
          <w:p w:rsidR="0033403A" w:rsidRPr="0033403A" w:rsidRDefault="0033403A" w:rsidP="0033403A">
            <w:pPr>
              <w:spacing w:after="160" w:line="259" w:lineRule="auto"/>
              <w:rPr>
                <w:rFonts w:ascii="Arial" w:hAnsi="Arial" w:cs="Arial"/>
                <w:sz w:val="22"/>
                <w:szCs w:val="22"/>
                <w:lang w:val="sr-Latn-ME" w:eastAsia="en-US"/>
              </w:rPr>
            </w:pPr>
            <w:bookmarkStart w:id="23" w:name="_Hlk193182628"/>
            <w:r w:rsidRPr="0033403A">
              <w:rPr>
                <w:rFonts w:ascii="Arial" w:hAnsi="Arial" w:cs="Arial"/>
                <w:sz w:val="22"/>
                <w:szCs w:val="22"/>
                <w:lang w:val="sr-Latn-ME" w:eastAsia="en-US"/>
              </w:rPr>
              <w:t>Učestalost prikupljanja podataka</w:t>
            </w:r>
          </w:p>
        </w:tc>
        <w:tc>
          <w:tcPr>
            <w:tcW w:w="9986" w:type="dxa"/>
            <w:gridSpan w:val="6"/>
          </w:tcPr>
          <w:p w:rsidR="0033403A" w:rsidRPr="0033403A" w:rsidRDefault="0033403A" w:rsidP="0033403A">
            <w:pPr>
              <w:spacing w:after="160" w:line="259" w:lineRule="auto"/>
              <w:rPr>
                <w:rFonts w:ascii="Arial" w:hAnsi="Arial" w:cs="Arial"/>
                <w:sz w:val="22"/>
                <w:szCs w:val="22"/>
                <w:lang w:val="sr-Latn-ME" w:eastAsia="en-US"/>
              </w:rPr>
            </w:pPr>
            <w:r w:rsidRPr="0033403A">
              <w:rPr>
                <w:rFonts w:ascii="Arial" w:hAnsi="Arial" w:cs="Arial"/>
                <w:sz w:val="22"/>
                <w:szCs w:val="22"/>
                <w:lang w:val="sr-Latn-ME" w:eastAsia="en-US"/>
              </w:rPr>
              <w:t>Godišnje</w:t>
            </w:r>
          </w:p>
        </w:tc>
      </w:tr>
      <w:tr w:rsidR="0033403A" w:rsidRPr="0033403A" w:rsidTr="00B76EFF">
        <w:tc>
          <w:tcPr>
            <w:tcW w:w="4054" w:type="dxa"/>
            <w:shd w:val="clear" w:color="auto" w:fill="DEEAF6" w:themeFill="accent1" w:themeFillTint="33"/>
          </w:tcPr>
          <w:p w:rsidR="0033403A" w:rsidRPr="0033403A" w:rsidRDefault="0033403A" w:rsidP="0033403A">
            <w:pPr>
              <w:spacing w:after="160" w:line="259" w:lineRule="auto"/>
              <w:rPr>
                <w:rFonts w:ascii="Arial" w:hAnsi="Arial" w:cs="Arial"/>
                <w:sz w:val="22"/>
                <w:szCs w:val="22"/>
                <w:lang w:val="sr-Latn-ME" w:eastAsia="en-US"/>
              </w:rPr>
            </w:pPr>
            <w:r w:rsidRPr="0033403A">
              <w:rPr>
                <w:rFonts w:ascii="Arial" w:hAnsi="Arial" w:cs="Arial"/>
                <w:sz w:val="22"/>
                <w:szCs w:val="22"/>
                <w:lang w:val="sr-Latn-ME" w:eastAsia="en-US"/>
              </w:rPr>
              <w:t>Učestalost izvještavanja o vrijednosti indikatora</w:t>
            </w:r>
          </w:p>
        </w:tc>
        <w:tc>
          <w:tcPr>
            <w:tcW w:w="9986" w:type="dxa"/>
            <w:gridSpan w:val="6"/>
          </w:tcPr>
          <w:p w:rsidR="0033403A" w:rsidRPr="0033403A" w:rsidRDefault="0033403A" w:rsidP="0033403A">
            <w:pPr>
              <w:spacing w:after="160" w:line="259" w:lineRule="auto"/>
              <w:rPr>
                <w:rFonts w:ascii="Arial" w:hAnsi="Arial" w:cs="Arial"/>
                <w:sz w:val="22"/>
                <w:szCs w:val="22"/>
                <w:lang w:val="sr-Latn-ME" w:eastAsia="en-US"/>
              </w:rPr>
            </w:pPr>
            <w:r w:rsidRPr="0033403A">
              <w:rPr>
                <w:rFonts w:ascii="Arial" w:hAnsi="Arial" w:cs="Arial"/>
                <w:sz w:val="22"/>
                <w:szCs w:val="22"/>
                <w:lang w:val="sr-Latn-ME" w:eastAsia="en-US"/>
              </w:rPr>
              <w:t>Jednom u dvije godine – prilikom evaluacije Akcionog plana</w:t>
            </w:r>
          </w:p>
        </w:tc>
      </w:tr>
      <w:bookmarkEnd w:id="23"/>
      <w:tr w:rsidR="0033403A" w:rsidRPr="0033403A" w:rsidTr="00B76EFF">
        <w:tc>
          <w:tcPr>
            <w:tcW w:w="4054" w:type="dxa"/>
            <w:vMerge w:val="restart"/>
            <w:shd w:val="clear" w:color="auto" w:fill="DEEAF6" w:themeFill="accent1" w:themeFillTint="33"/>
          </w:tcPr>
          <w:p w:rsidR="0033403A" w:rsidRPr="0033403A" w:rsidRDefault="0033403A" w:rsidP="0033403A">
            <w:pPr>
              <w:spacing w:after="160" w:line="259" w:lineRule="auto"/>
              <w:rPr>
                <w:rFonts w:ascii="Arial" w:hAnsi="Arial" w:cs="Arial"/>
                <w:sz w:val="22"/>
                <w:szCs w:val="22"/>
                <w:lang w:val="sr-Latn-ME" w:eastAsia="en-US"/>
              </w:rPr>
            </w:pPr>
          </w:p>
          <w:p w:rsidR="0033403A" w:rsidRPr="0033403A" w:rsidRDefault="0033403A" w:rsidP="0033403A">
            <w:pPr>
              <w:spacing w:after="160" w:line="259" w:lineRule="auto"/>
              <w:rPr>
                <w:rFonts w:ascii="Arial" w:hAnsi="Arial" w:cs="Arial"/>
                <w:sz w:val="22"/>
                <w:szCs w:val="22"/>
                <w:lang w:val="sr-Latn-ME" w:eastAsia="en-US"/>
              </w:rPr>
            </w:pPr>
            <w:r w:rsidRPr="0033403A">
              <w:rPr>
                <w:rFonts w:ascii="Arial" w:hAnsi="Arial" w:cs="Arial"/>
                <w:sz w:val="22"/>
                <w:szCs w:val="22"/>
                <w:lang w:val="sr-Latn-ME" w:eastAsia="en-US"/>
              </w:rPr>
              <w:t>Kratak opis metodologije izračunavanja podataka</w:t>
            </w:r>
          </w:p>
        </w:tc>
        <w:tc>
          <w:tcPr>
            <w:tcW w:w="3326" w:type="dxa"/>
            <w:gridSpan w:val="2"/>
            <w:vMerge w:val="restart"/>
            <w:tcBorders>
              <w:right w:val="nil"/>
            </w:tcBorders>
            <w:vAlign w:val="center"/>
          </w:tcPr>
          <w:p w:rsidR="0033403A" w:rsidRPr="0033403A" w:rsidRDefault="0033403A" w:rsidP="0033403A">
            <w:pPr>
              <w:spacing w:after="160" w:line="259" w:lineRule="auto"/>
              <w:rPr>
                <w:rFonts w:ascii="Arial" w:hAnsi="Arial" w:cs="Arial"/>
                <w:sz w:val="22"/>
                <w:szCs w:val="22"/>
                <w:lang w:val="sr-Latn-ME" w:eastAsia="en-US"/>
              </w:rPr>
            </w:pPr>
            <w:r w:rsidRPr="0033403A">
              <w:rPr>
                <w:rFonts w:ascii="Arial" w:hAnsi="Arial" w:cs="Arial"/>
                <w:sz w:val="22"/>
                <w:szCs w:val="22"/>
                <w:lang w:val="sr-Latn-ME" w:eastAsia="en-US"/>
              </w:rPr>
              <w:t>Stopa otkrivanja nepravilnosti =</w:t>
            </w:r>
          </w:p>
        </w:tc>
        <w:tc>
          <w:tcPr>
            <w:tcW w:w="4612" w:type="dxa"/>
            <w:gridSpan w:val="3"/>
            <w:tcBorders>
              <w:left w:val="nil"/>
              <w:right w:val="nil"/>
            </w:tcBorders>
          </w:tcPr>
          <w:p w:rsidR="0033403A" w:rsidRPr="0033403A" w:rsidRDefault="0033403A" w:rsidP="0033403A">
            <w:pPr>
              <w:spacing w:after="160" w:line="259" w:lineRule="auto"/>
              <w:rPr>
                <w:rFonts w:ascii="Arial" w:hAnsi="Arial" w:cs="Arial"/>
                <w:sz w:val="22"/>
                <w:szCs w:val="22"/>
                <w:lang w:val="sr-Latn-ME" w:eastAsia="en-US"/>
              </w:rPr>
            </w:pPr>
            <w:r w:rsidRPr="0033403A">
              <w:rPr>
                <w:rFonts w:ascii="Arial" w:hAnsi="Arial" w:cs="Arial"/>
                <w:sz w:val="22"/>
                <w:szCs w:val="22"/>
                <w:lang w:val="sr-Latn-ME" w:eastAsia="en-US"/>
              </w:rPr>
              <w:t>Ukupni finansijski iznos pogođen nepravilnostima i prevarama</w:t>
            </w:r>
          </w:p>
        </w:tc>
        <w:tc>
          <w:tcPr>
            <w:tcW w:w="2048" w:type="dxa"/>
            <w:vMerge w:val="restart"/>
            <w:tcBorders>
              <w:left w:val="nil"/>
            </w:tcBorders>
            <w:vAlign w:val="center"/>
          </w:tcPr>
          <w:p w:rsidR="0033403A" w:rsidRPr="0033403A" w:rsidRDefault="0033403A" w:rsidP="0033403A">
            <w:pPr>
              <w:spacing w:after="160" w:line="259" w:lineRule="auto"/>
              <w:rPr>
                <w:rFonts w:ascii="Arial" w:hAnsi="Arial" w:cs="Arial"/>
                <w:sz w:val="22"/>
                <w:szCs w:val="22"/>
                <w:lang w:val="sr-Latn-ME" w:eastAsia="en-US"/>
              </w:rPr>
            </w:pPr>
            <w:r w:rsidRPr="0033403A">
              <w:rPr>
                <w:rFonts w:ascii="Arial" w:hAnsi="Arial" w:cs="Arial"/>
                <w:sz w:val="22"/>
                <w:szCs w:val="22"/>
                <w:lang w:val="sr-Latn-ME" w:eastAsia="en-US"/>
              </w:rPr>
              <w:t>X 100</w:t>
            </w:r>
          </w:p>
        </w:tc>
      </w:tr>
      <w:tr w:rsidR="0033403A" w:rsidRPr="0033403A" w:rsidTr="00B76EFF">
        <w:tc>
          <w:tcPr>
            <w:tcW w:w="4054" w:type="dxa"/>
            <w:vMerge/>
            <w:shd w:val="clear" w:color="auto" w:fill="DEEAF6" w:themeFill="accent1" w:themeFillTint="33"/>
          </w:tcPr>
          <w:p w:rsidR="0033403A" w:rsidRPr="0033403A" w:rsidRDefault="0033403A" w:rsidP="0033403A">
            <w:pPr>
              <w:spacing w:after="160" w:line="259" w:lineRule="auto"/>
              <w:rPr>
                <w:rFonts w:ascii="Arial" w:hAnsi="Arial" w:cs="Arial"/>
                <w:sz w:val="22"/>
                <w:szCs w:val="22"/>
                <w:lang w:val="sr-Latn-ME" w:eastAsia="en-US"/>
              </w:rPr>
            </w:pPr>
          </w:p>
        </w:tc>
        <w:tc>
          <w:tcPr>
            <w:tcW w:w="3326" w:type="dxa"/>
            <w:gridSpan w:val="2"/>
            <w:vMerge/>
            <w:tcBorders>
              <w:bottom w:val="single" w:sz="4" w:space="0" w:color="auto"/>
              <w:right w:val="nil"/>
            </w:tcBorders>
          </w:tcPr>
          <w:p w:rsidR="0033403A" w:rsidRPr="0033403A" w:rsidRDefault="0033403A" w:rsidP="0033403A">
            <w:pPr>
              <w:spacing w:after="160" w:line="259" w:lineRule="auto"/>
              <w:rPr>
                <w:rFonts w:ascii="Arial" w:hAnsi="Arial" w:cs="Arial"/>
                <w:sz w:val="22"/>
                <w:szCs w:val="22"/>
                <w:lang w:val="sr-Latn-ME" w:eastAsia="en-US"/>
              </w:rPr>
            </w:pPr>
          </w:p>
        </w:tc>
        <w:tc>
          <w:tcPr>
            <w:tcW w:w="4612" w:type="dxa"/>
            <w:gridSpan w:val="3"/>
            <w:tcBorders>
              <w:left w:val="nil"/>
              <w:bottom w:val="single" w:sz="4" w:space="0" w:color="auto"/>
              <w:right w:val="nil"/>
            </w:tcBorders>
          </w:tcPr>
          <w:p w:rsidR="0033403A" w:rsidRPr="0033403A" w:rsidRDefault="0033403A" w:rsidP="0033403A">
            <w:pPr>
              <w:spacing w:after="160" w:line="259" w:lineRule="auto"/>
              <w:rPr>
                <w:rFonts w:ascii="Arial" w:hAnsi="Arial" w:cs="Arial"/>
                <w:sz w:val="22"/>
                <w:szCs w:val="22"/>
                <w:lang w:val="sr-Latn-ME" w:eastAsia="en-US"/>
              </w:rPr>
            </w:pPr>
            <w:r w:rsidRPr="0033403A">
              <w:rPr>
                <w:rFonts w:ascii="Arial" w:hAnsi="Arial" w:cs="Arial"/>
                <w:sz w:val="22"/>
                <w:szCs w:val="22"/>
                <w:lang w:val="sr-Latn-ME" w:eastAsia="en-US"/>
              </w:rPr>
              <w:t xml:space="preserve">Ukupan iznos EU sredstava koji je primila Crna Gora za određeni program, definisanim posljednjim finansijskim sporazumom/adendumom </w:t>
            </w:r>
          </w:p>
        </w:tc>
        <w:tc>
          <w:tcPr>
            <w:tcW w:w="2048" w:type="dxa"/>
            <w:vMerge/>
            <w:tcBorders>
              <w:left w:val="nil"/>
              <w:bottom w:val="single" w:sz="4" w:space="0" w:color="auto"/>
            </w:tcBorders>
          </w:tcPr>
          <w:p w:rsidR="0033403A" w:rsidRPr="0033403A" w:rsidRDefault="0033403A" w:rsidP="0033403A">
            <w:pPr>
              <w:spacing w:after="160" w:line="259" w:lineRule="auto"/>
              <w:rPr>
                <w:rFonts w:ascii="Arial" w:hAnsi="Arial" w:cs="Arial"/>
                <w:sz w:val="22"/>
                <w:szCs w:val="22"/>
                <w:lang w:val="sr-Latn-ME" w:eastAsia="en-US"/>
              </w:rPr>
            </w:pPr>
          </w:p>
        </w:tc>
      </w:tr>
      <w:tr w:rsidR="0033403A" w:rsidRPr="0033403A" w:rsidTr="00B76EFF">
        <w:tc>
          <w:tcPr>
            <w:tcW w:w="4054" w:type="dxa"/>
            <w:vMerge/>
            <w:shd w:val="clear" w:color="auto" w:fill="DEEAF6" w:themeFill="accent1" w:themeFillTint="33"/>
          </w:tcPr>
          <w:p w:rsidR="0033403A" w:rsidRPr="0033403A" w:rsidRDefault="0033403A" w:rsidP="0033403A">
            <w:pPr>
              <w:spacing w:after="160" w:line="259" w:lineRule="auto"/>
              <w:rPr>
                <w:rFonts w:ascii="Arial" w:hAnsi="Arial" w:cs="Arial"/>
                <w:sz w:val="22"/>
                <w:szCs w:val="22"/>
                <w:lang w:val="sr-Latn-ME" w:eastAsia="en-US"/>
              </w:rPr>
            </w:pPr>
          </w:p>
        </w:tc>
        <w:tc>
          <w:tcPr>
            <w:tcW w:w="9986" w:type="dxa"/>
            <w:gridSpan w:val="6"/>
            <w:tcBorders>
              <w:top w:val="single" w:sz="4" w:space="0" w:color="auto"/>
            </w:tcBorders>
          </w:tcPr>
          <w:p w:rsidR="0033403A" w:rsidRPr="0033403A" w:rsidRDefault="0033403A" w:rsidP="0033403A">
            <w:pPr>
              <w:spacing w:after="160" w:line="259" w:lineRule="auto"/>
              <w:rPr>
                <w:rFonts w:ascii="Arial" w:hAnsi="Arial" w:cs="Arial"/>
                <w:sz w:val="22"/>
                <w:szCs w:val="22"/>
                <w:lang w:val="sr-Latn-ME" w:eastAsia="en-US"/>
              </w:rPr>
            </w:pPr>
            <w:r w:rsidRPr="0033403A">
              <w:rPr>
                <w:rFonts w:ascii="Arial" w:hAnsi="Arial" w:cs="Arial"/>
                <w:sz w:val="22"/>
                <w:szCs w:val="22"/>
                <w:lang w:val="sr-Latn-ME" w:eastAsia="en-US"/>
              </w:rPr>
              <w:t>Početna / osnovna vrijednost od 1,53% izračunata je na osnovu iznosa  za određeni program i nepravilnosti, podaci su uključeni u dokument Procjena rizika od prevara za 2024. godinu.</w:t>
            </w:r>
            <w:r w:rsidRPr="0033403A">
              <w:rPr>
                <w:rFonts w:ascii="Arial" w:hAnsi="Arial" w:cs="Arial"/>
                <w:sz w:val="22"/>
                <w:szCs w:val="22"/>
                <w:vertAlign w:val="superscript"/>
                <w:lang w:val="sr-Latn-ME" w:eastAsia="en-US"/>
              </w:rPr>
              <w:footnoteReference w:id="14"/>
            </w:r>
          </w:p>
        </w:tc>
      </w:tr>
      <w:tr w:rsidR="0033403A" w:rsidRPr="0033403A" w:rsidTr="00B76EFF">
        <w:tc>
          <w:tcPr>
            <w:tcW w:w="4054" w:type="dxa"/>
            <w:vMerge w:val="restart"/>
            <w:shd w:val="clear" w:color="auto" w:fill="DEEAF6" w:themeFill="accent1" w:themeFillTint="33"/>
          </w:tcPr>
          <w:p w:rsidR="0033403A" w:rsidRPr="0033403A" w:rsidRDefault="0033403A" w:rsidP="0033403A">
            <w:pPr>
              <w:spacing w:after="160" w:line="259" w:lineRule="auto"/>
              <w:rPr>
                <w:rFonts w:ascii="Arial" w:hAnsi="Arial" w:cs="Arial"/>
                <w:sz w:val="22"/>
                <w:szCs w:val="22"/>
                <w:lang w:val="lv-LV" w:eastAsia="en-US"/>
              </w:rPr>
            </w:pPr>
            <w:bookmarkStart w:id="24" w:name="_Hlk193183006"/>
            <w:r w:rsidRPr="0033403A">
              <w:rPr>
                <w:rFonts w:ascii="Arial" w:hAnsi="Arial" w:cs="Arial"/>
                <w:sz w:val="22"/>
                <w:szCs w:val="22"/>
                <w:lang w:val="mk-MK" w:eastAsia="en-US"/>
              </w:rPr>
              <w:t>Informacija o početnoj vrijednosti</w:t>
            </w:r>
            <w:r w:rsidRPr="0033403A">
              <w:rPr>
                <w:rFonts w:ascii="Arial" w:hAnsi="Arial" w:cs="Arial"/>
                <w:sz w:val="22"/>
                <w:szCs w:val="22"/>
                <w:lang w:val="lv-LV" w:eastAsia="en-US"/>
              </w:rPr>
              <w:t xml:space="preserve"> i </w:t>
            </w:r>
            <w:r w:rsidRPr="0033403A">
              <w:rPr>
                <w:rFonts w:ascii="Arial" w:hAnsi="Arial" w:cs="Arial"/>
                <w:sz w:val="22"/>
                <w:szCs w:val="22"/>
                <w:lang w:val="mk-MK" w:eastAsia="en-US"/>
              </w:rPr>
              <w:t>o ciljnim vrijednostima</w:t>
            </w:r>
          </w:p>
        </w:tc>
        <w:tc>
          <w:tcPr>
            <w:tcW w:w="2411" w:type="dxa"/>
          </w:tcPr>
          <w:p w:rsidR="0033403A" w:rsidRPr="0033403A" w:rsidRDefault="0033403A" w:rsidP="0033403A">
            <w:pPr>
              <w:spacing w:after="160" w:line="259" w:lineRule="auto"/>
              <w:rPr>
                <w:rFonts w:ascii="Arial" w:hAnsi="Arial" w:cs="Arial"/>
                <w:sz w:val="22"/>
                <w:szCs w:val="22"/>
                <w:lang w:eastAsia="en-US"/>
              </w:rPr>
            </w:pPr>
            <w:r w:rsidRPr="0033403A">
              <w:rPr>
                <w:rFonts w:ascii="Arial" w:hAnsi="Arial" w:cs="Arial"/>
                <w:sz w:val="22"/>
                <w:szCs w:val="22"/>
                <w:lang w:val="mk-MK" w:eastAsia="en-US"/>
              </w:rPr>
              <w:t>Godina</w:t>
            </w:r>
          </w:p>
        </w:tc>
        <w:tc>
          <w:tcPr>
            <w:tcW w:w="2411" w:type="dxa"/>
            <w:gridSpan w:val="2"/>
          </w:tcPr>
          <w:p w:rsidR="0033403A" w:rsidRPr="0033403A" w:rsidRDefault="0033403A" w:rsidP="0033403A">
            <w:pPr>
              <w:spacing w:after="160" w:line="259" w:lineRule="auto"/>
              <w:rPr>
                <w:rFonts w:ascii="Arial" w:hAnsi="Arial" w:cs="Arial"/>
                <w:sz w:val="22"/>
                <w:szCs w:val="22"/>
                <w:lang w:val="sr-Latn-ME" w:eastAsia="en-US"/>
              </w:rPr>
            </w:pPr>
            <w:r w:rsidRPr="0033403A">
              <w:rPr>
                <w:rFonts w:ascii="Arial" w:hAnsi="Arial" w:cs="Arial"/>
                <w:b/>
                <w:sz w:val="22"/>
                <w:szCs w:val="22"/>
                <w:lang w:val="sr-Latn-ME" w:eastAsia="en-US"/>
              </w:rPr>
              <w:t>Početna vrijednost u 2024</w:t>
            </w:r>
          </w:p>
        </w:tc>
        <w:tc>
          <w:tcPr>
            <w:tcW w:w="2411" w:type="dxa"/>
          </w:tcPr>
          <w:p w:rsidR="0033403A" w:rsidRPr="0033403A" w:rsidRDefault="0033403A" w:rsidP="0033403A">
            <w:pPr>
              <w:spacing w:after="160" w:line="259" w:lineRule="auto"/>
              <w:rPr>
                <w:rFonts w:ascii="Arial" w:hAnsi="Arial" w:cs="Arial"/>
                <w:sz w:val="22"/>
                <w:szCs w:val="22"/>
                <w:lang w:val="sr-Latn-ME" w:eastAsia="en-US"/>
              </w:rPr>
            </w:pPr>
            <w:r w:rsidRPr="0033403A">
              <w:rPr>
                <w:rFonts w:ascii="Arial" w:hAnsi="Arial" w:cs="Arial"/>
                <w:b/>
                <w:sz w:val="22"/>
                <w:szCs w:val="22"/>
                <w:lang w:val="sr-Latn-ME" w:eastAsia="en-US"/>
              </w:rPr>
              <w:t>Željena vrijednost u 2026</w:t>
            </w:r>
          </w:p>
        </w:tc>
        <w:tc>
          <w:tcPr>
            <w:tcW w:w="2753" w:type="dxa"/>
            <w:gridSpan w:val="2"/>
          </w:tcPr>
          <w:p w:rsidR="0033403A" w:rsidRPr="0033403A" w:rsidRDefault="0033403A" w:rsidP="0033403A">
            <w:pPr>
              <w:spacing w:after="160" w:line="259" w:lineRule="auto"/>
              <w:rPr>
                <w:rFonts w:ascii="Arial" w:hAnsi="Arial" w:cs="Arial"/>
                <w:sz w:val="22"/>
                <w:szCs w:val="22"/>
                <w:lang w:val="sr-Latn-ME" w:eastAsia="en-US"/>
              </w:rPr>
            </w:pPr>
            <w:r w:rsidRPr="0033403A">
              <w:rPr>
                <w:rFonts w:ascii="Arial" w:hAnsi="Arial" w:cs="Arial"/>
                <w:b/>
                <w:sz w:val="22"/>
                <w:szCs w:val="22"/>
                <w:lang w:val="sr-Latn-ME" w:eastAsia="en-US"/>
              </w:rPr>
              <w:t>Željena vrijednost u 2028</w:t>
            </w:r>
          </w:p>
        </w:tc>
      </w:tr>
      <w:bookmarkEnd w:id="24"/>
      <w:tr w:rsidR="0033403A" w:rsidRPr="0033403A" w:rsidTr="00B76EFF">
        <w:tc>
          <w:tcPr>
            <w:tcW w:w="4054" w:type="dxa"/>
            <w:vMerge/>
            <w:shd w:val="clear" w:color="auto" w:fill="DEEAF6" w:themeFill="accent1" w:themeFillTint="33"/>
          </w:tcPr>
          <w:p w:rsidR="0033403A" w:rsidRPr="0033403A" w:rsidRDefault="0033403A" w:rsidP="0033403A">
            <w:pPr>
              <w:spacing w:after="160" w:line="259" w:lineRule="auto"/>
              <w:rPr>
                <w:rFonts w:ascii="Arial" w:hAnsi="Arial" w:cs="Arial"/>
                <w:sz w:val="22"/>
                <w:szCs w:val="22"/>
                <w:lang w:eastAsia="en-US"/>
              </w:rPr>
            </w:pPr>
          </w:p>
        </w:tc>
        <w:tc>
          <w:tcPr>
            <w:tcW w:w="2411" w:type="dxa"/>
          </w:tcPr>
          <w:p w:rsidR="0033403A" w:rsidRPr="0033403A" w:rsidRDefault="0033403A" w:rsidP="0033403A">
            <w:pPr>
              <w:spacing w:after="160" w:line="259" w:lineRule="auto"/>
              <w:rPr>
                <w:rFonts w:ascii="Arial" w:hAnsi="Arial" w:cs="Arial"/>
                <w:sz w:val="22"/>
                <w:szCs w:val="22"/>
                <w:lang w:eastAsia="en-US"/>
              </w:rPr>
            </w:pPr>
            <w:r w:rsidRPr="0033403A">
              <w:rPr>
                <w:rFonts w:ascii="Arial" w:hAnsi="Arial" w:cs="Arial"/>
                <w:sz w:val="22"/>
                <w:szCs w:val="22"/>
                <w:lang w:val="mk-MK" w:eastAsia="en-US"/>
              </w:rPr>
              <w:t>Vrijednost</w:t>
            </w:r>
          </w:p>
        </w:tc>
        <w:tc>
          <w:tcPr>
            <w:tcW w:w="2411" w:type="dxa"/>
            <w:gridSpan w:val="2"/>
            <w:vAlign w:val="center"/>
          </w:tcPr>
          <w:p w:rsidR="0033403A" w:rsidRPr="0033403A" w:rsidRDefault="0033403A" w:rsidP="0033403A">
            <w:pPr>
              <w:spacing w:after="160" w:line="259" w:lineRule="auto"/>
              <w:rPr>
                <w:rFonts w:ascii="Arial" w:hAnsi="Arial" w:cs="Arial"/>
                <w:sz w:val="22"/>
                <w:szCs w:val="22"/>
                <w:lang w:eastAsia="en-US"/>
              </w:rPr>
            </w:pPr>
            <w:r w:rsidRPr="0033403A">
              <w:rPr>
                <w:rFonts w:ascii="Arial" w:hAnsi="Arial" w:cs="Arial"/>
                <w:bCs/>
                <w:sz w:val="22"/>
                <w:szCs w:val="22"/>
                <w:lang w:val="en-GB" w:eastAsia="en-US"/>
              </w:rPr>
              <w:t>1.53%</w:t>
            </w:r>
          </w:p>
        </w:tc>
        <w:tc>
          <w:tcPr>
            <w:tcW w:w="2411" w:type="dxa"/>
            <w:vAlign w:val="center"/>
          </w:tcPr>
          <w:p w:rsidR="0033403A" w:rsidRPr="0033403A" w:rsidRDefault="0033403A" w:rsidP="0033403A">
            <w:pPr>
              <w:spacing w:after="160" w:line="259" w:lineRule="auto"/>
              <w:rPr>
                <w:rFonts w:ascii="Arial" w:hAnsi="Arial" w:cs="Arial"/>
                <w:sz w:val="22"/>
                <w:szCs w:val="22"/>
                <w:lang w:eastAsia="en-US"/>
              </w:rPr>
            </w:pPr>
            <w:r w:rsidRPr="0033403A">
              <w:rPr>
                <w:rFonts w:ascii="Arial" w:hAnsi="Arial" w:cs="Arial"/>
                <w:bCs/>
                <w:sz w:val="22"/>
                <w:szCs w:val="22"/>
                <w:lang w:val="en-GB" w:eastAsia="en-US"/>
              </w:rPr>
              <w:t>&lt; 1.53%</w:t>
            </w:r>
          </w:p>
        </w:tc>
        <w:tc>
          <w:tcPr>
            <w:tcW w:w="2753" w:type="dxa"/>
            <w:gridSpan w:val="2"/>
            <w:vAlign w:val="center"/>
          </w:tcPr>
          <w:p w:rsidR="0033403A" w:rsidRPr="0033403A" w:rsidRDefault="0033403A" w:rsidP="0033403A">
            <w:pPr>
              <w:spacing w:after="160" w:line="259" w:lineRule="auto"/>
              <w:rPr>
                <w:rFonts w:ascii="Arial" w:hAnsi="Arial" w:cs="Arial"/>
                <w:sz w:val="22"/>
                <w:szCs w:val="22"/>
                <w:lang w:eastAsia="en-US"/>
              </w:rPr>
            </w:pPr>
            <w:r w:rsidRPr="0033403A">
              <w:rPr>
                <w:rFonts w:ascii="Arial" w:hAnsi="Arial" w:cs="Arial"/>
                <w:bCs/>
                <w:sz w:val="22"/>
                <w:szCs w:val="22"/>
                <w:lang w:val="en-GB" w:eastAsia="en-US"/>
              </w:rPr>
              <w:t>&lt; 1.53%</w:t>
            </w:r>
          </w:p>
        </w:tc>
      </w:tr>
    </w:tbl>
    <w:p w:rsidR="00B76EFF" w:rsidRDefault="00B76EFF" w:rsidP="00B76EFF">
      <w:pPr>
        <w:spacing w:after="160" w:line="259" w:lineRule="auto"/>
        <w:rPr>
          <w:rFonts w:ascii="Arial" w:hAnsi="Arial" w:cs="Arial"/>
        </w:rPr>
      </w:pPr>
    </w:p>
    <w:p w:rsidR="00B76EFF" w:rsidRPr="00B76EFF" w:rsidRDefault="00B76EFF" w:rsidP="00B76EFF">
      <w:pPr>
        <w:spacing w:after="160" w:line="259" w:lineRule="auto"/>
        <w:rPr>
          <w:rFonts w:ascii="Arial" w:hAnsi="Arial" w:cs="Arial"/>
          <w:lang w:val="sr-Latn-ME"/>
        </w:rPr>
      </w:pPr>
      <w:r w:rsidRPr="00B76EFF">
        <w:rPr>
          <w:rFonts w:ascii="Arial" w:hAnsi="Arial" w:cs="Arial"/>
          <w:lang w:val="sr-Latn-ME"/>
        </w:rPr>
        <w:t>Pasoš br. 2 (za indikator uspjeha 1.1)</w:t>
      </w:r>
    </w:p>
    <w:tbl>
      <w:tblPr>
        <w:tblStyle w:val="TableGrid"/>
        <w:tblW w:w="14040" w:type="dxa"/>
        <w:tblInd w:w="-95" w:type="dxa"/>
        <w:tblLook w:val="04A0" w:firstRow="1" w:lastRow="0" w:firstColumn="1" w:lastColumn="0" w:noHBand="0" w:noVBand="1"/>
      </w:tblPr>
      <w:tblGrid>
        <w:gridCol w:w="3682"/>
        <w:gridCol w:w="2255"/>
        <w:gridCol w:w="2587"/>
        <w:gridCol w:w="2587"/>
        <w:gridCol w:w="2929"/>
      </w:tblGrid>
      <w:tr w:rsidR="00B76EFF" w:rsidRPr="00B76EFF" w:rsidTr="00B76EFF">
        <w:tc>
          <w:tcPr>
            <w:tcW w:w="3682" w:type="dxa"/>
            <w:shd w:val="clear" w:color="auto" w:fill="657C9C" w:themeFill="text2" w:themeFillTint="BF"/>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Kategorija</w:t>
            </w:r>
          </w:p>
        </w:tc>
        <w:tc>
          <w:tcPr>
            <w:tcW w:w="10358" w:type="dxa"/>
            <w:gridSpan w:val="4"/>
            <w:shd w:val="clear" w:color="auto" w:fill="657C9C" w:themeFill="text2" w:themeFillTint="BF"/>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Opis</w:t>
            </w:r>
          </w:p>
        </w:tc>
      </w:tr>
      <w:tr w:rsidR="00B76EFF" w:rsidRPr="00B76EFF" w:rsidTr="00B76EFF">
        <w:tc>
          <w:tcPr>
            <w:tcW w:w="3682"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 xml:space="preserve">Naziv indikatora </w:t>
            </w:r>
          </w:p>
        </w:tc>
        <w:tc>
          <w:tcPr>
            <w:tcW w:w="10358" w:type="dxa"/>
            <w:gridSpan w:val="4"/>
            <w:shd w:val="clear" w:color="auto" w:fill="DEEAF6" w:themeFill="accent1" w:themeFillTint="33"/>
          </w:tcPr>
          <w:p w:rsidR="00B76EFF" w:rsidRPr="00B76EFF" w:rsidRDefault="00B76EFF" w:rsidP="00B76EFF">
            <w:pPr>
              <w:spacing w:after="160" w:line="259" w:lineRule="auto"/>
              <w:rPr>
                <w:rFonts w:ascii="Arial" w:hAnsi="Arial" w:cs="Arial"/>
                <w:b/>
                <w:bCs/>
                <w:sz w:val="22"/>
                <w:szCs w:val="22"/>
                <w:lang w:val="sr-Latn-ME" w:eastAsia="en-US"/>
              </w:rPr>
            </w:pPr>
            <w:r w:rsidRPr="00B76EFF">
              <w:rPr>
                <w:rFonts w:ascii="Arial" w:hAnsi="Arial" w:cs="Arial"/>
                <w:b/>
                <w:bCs/>
                <w:sz w:val="22"/>
                <w:szCs w:val="22"/>
                <w:lang w:val="sr-Latn-ME" w:eastAsia="en-US"/>
              </w:rPr>
              <w:t>Uspostavljen operativan i u potpunosti funkcionalan AFCOS sistem</w:t>
            </w:r>
          </w:p>
          <w:p w:rsidR="00B76EFF" w:rsidRPr="00B76EFF" w:rsidRDefault="00B76EFF" w:rsidP="00B76EFF">
            <w:pPr>
              <w:spacing w:after="160" w:line="259" w:lineRule="auto"/>
              <w:rPr>
                <w:rFonts w:ascii="Arial" w:hAnsi="Arial" w:cs="Arial"/>
                <w:sz w:val="22"/>
                <w:szCs w:val="22"/>
                <w:lang w:val="sr-Latn-ME" w:eastAsia="en-US"/>
              </w:rPr>
            </w:pPr>
          </w:p>
        </w:tc>
      </w:tr>
      <w:tr w:rsidR="00B76EFF" w:rsidRPr="00B76EFF" w:rsidTr="00B76EFF">
        <w:tc>
          <w:tcPr>
            <w:tcW w:w="3682"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Cilj na koji se indikator odnosi</w:t>
            </w:r>
          </w:p>
        </w:tc>
        <w:tc>
          <w:tcPr>
            <w:tcW w:w="10358" w:type="dxa"/>
            <w:gridSpan w:val="4"/>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b/>
                <w:sz w:val="22"/>
                <w:szCs w:val="22"/>
                <w:lang w:val="sr-Latn-ME" w:eastAsia="en-US"/>
              </w:rPr>
              <w:t>Operativni cilj 1:</w:t>
            </w:r>
            <w:r w:rsidRPr="00B76EFF">
              <w:rPr>
                <w:rFonts w:ascii="Arial" w:hAnsi="Arial" w:cs="Arial"/>
                <w:sz w:val="22"/>
                <w:szCs w:val="22"/>
                <w:lang w:val="sr-Latn-ME" w:eastAsia="en-US"/>
              </w:rPr>
              <w:t xml:space="preserve"> Unaprijeđenje pravnog okvira u cilju finalizacije uspostavljanja potpuno funkcionalnog AFCOS sistema.</w:t>
            </w:r>
          </w:p>
        </w:tc>
      </w:tr>
      <w:tr w:rsidR="00B76EFF" w:rsidRPr="00B76EFF" w:rsidTr="00B76EFF">
        <w:tc>
          <w:tcPr>
            <w:tcW w:w="3682"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Kratak opis indikatora</w:t>
            </w:r>
          </w:p>
        </w:tc>
        <w:tc>
          <w:tcPr>
            <w:tcW w:w="10358" w:type="dxa"/>
            <w:gridSpan w:val="4"/>
          </w:tcPr>
          <w:p w:rsidR="00B76EFF" w:rsidRPr="00B76EFF" w:rsidRDefault="00B76EFF" w:rsidP="00B76EFF">
            <w:pPr>
              <w:spacing w:after="160" w:line="259" w:lineRule="auto"/>
              <w:rPr>
                <w:rFonts w:ascii="Arial" w:hAnsi="Arial" w:cs="Arial"/>
                <w:sz w:val="22"/>
                <w:szCs w:val="22"/>
                <w:lang w:val="sr-Latn-ME" w:eastAsia="en-US"/>
              </w:rPr>
            </w:pPr>
          </w:p>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Usvojeni pravni akti i uspostavljena pravna osnova za adekvatno funkcionisanje AFCOS sistema</w:t>
            </w:r>
          </w:p>
        </w:tc>
      </w:tr>
      <w:tr w:rsidR="00B76EFF" w:rsidRPr="00B76EFF" w:rsidTr="00B76EFF">
        <w:tc>
          <w:tcPr>
            <w:tcW w:w="3682"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Podaci koje je potrebno prikupiti</w:t>
            </w:r>
          </w:p>
        </w:tc>
        <w:tc>
          <w:tcPr>
            <w:tcW w:w="10358" w:type="dxa"/>
            <w:gridSpan w:val="4"/>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Usvojeni pravni akti</w:t>
            </w:r>
          </w:p>
        </w:tc>
      </w:tr>
      <w:tr w:rsidR="00B76EFF" w:rsidRPr="00B76EFF" w:rsidTr="00B76EFF">
        <w:tc>
          <w:tcPr>
            <w:tcW w:w="3682"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Izvor podataka</w:t>
            </w:r>
          </w:p>
        </w:tc>
        <w:tc>
          <w:tcPr>
            <w:tcW w:w="10358" w:type="dxa"/>
            <w:gridSpan w:val="4"/>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 xml:space="preserve"> Službeni List Crne Gore</w:t>
            </w:r>
          </w:p>
        </w:tc>
      </w:tr>
      <w:tr w:rsidR="00B76EFF" w:rsidRPr="00B76EFF" w:rsidTr="00B76EFF">
        <w:tc>
          <w:tcPr>
            <w:tcW w:w="3682"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Informacija o instituciji odgovornoj za prikupljanje podataka</w:t>
            </w:r>
          </w:p>
        </w:tc>
        <w:tc>
          <w:tcPr>
            <w:tcW w:w="10358" w:type="dxa"/>
            <w:gridSpan w:val="4"/>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Direkcija za zaštitu finansijskih interesa EU/AFCOS – Ministarstvo finansija</w:t>
            </w:r>
          </w:p>
        </w:tc>
      </w:tr>
      <w:tr w:rsidR="00B76EFF" w:rsidRPr="00B76EFF" w:rsidTr="00B76EFF">
        <w:tc>
          <w:tcPr>
            <w:tcW w:w="3682"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Učestalost prikupljanja podataka</w:t>
            </w:r>
          </w:p>
        </w:tc>
        <w:tc>
          <w:tcPr>
            <w:tcW w:w="10358" w:type="dxa"/>
            <w:gridSpan w:val="4"/>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Jednom u dvije godine</w:t>
            </w:r>
          </w:p>
        </w:tc>
      </w:tr>
      <w:tr w:rsidR="00B76EFF" w:rsidRPr="00B76EFF" w:rsidTr="00B76EFF">
        <w:tc>
          <w:tcPr>
            <w:tcW w:w="3682"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Učestalost izvještavanja o vrijednosti indikatora</w:t>
            </w:r>
          </w:p>
        </w:tc>
        <w:tc>
          <w:tcPr>
            <w:tcW w:w="10358" w:type="dxa"/>
            <w:gridSpan w:val="4"/>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Jednom u dvije godine – prilikom evaluacije Akcionog plana</w:t>
            </w:r>
          </w:p>
        </w:tc>
      </w:tr>
      <w:tr w:rsidR="00B76EFF" w:rsidRPr="00B76EFF" w:rsidTr="00B76EFF">
        <w:tc>
          <w:tcPr>
            <w:tcW w:w="3682"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Kratak opis metodologije izračunavanja podataka</w:t>
            </w:r>
          </w:p>
        </w:tc>
        <w:tc>
          <w:tcPr>
            <w:tcW w:w="10358" w:type="dxa"/>
            <w:gridSpan w:val="4"/>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 xml:space="preserve">U okviru </w:t>
            </w:r>
            <w:r w:rsidRPr="00B76EFF">
              <w:rPr>
                <w:rFonts w:ascii="Arial" w:hAnsi="Arial" w:cs="Arial"/>
                <w:b/>
                <w:sz w:val="22"/>
                <w:szCs w:val="22"/>
                <w:lang w:val="sr-Latn-ME" w:eastAsia="en-US"/>
              </w:rPr>
              <w:t>Operativnog cilja 1</w:t>
            </w:r>
            <w:r w:rsidRPr="00B76EFF">
              <w:rPr>
                <w:rFonts w:ascii="Arial" w:hAnsi="Arial" w:cs="Arial"/>
                <w:sz w:val="22"/>
                <w:szCs w:val="22"/>
                <w:lang w:val="sr-Latn-ME" w:eastAsia="en-US"/>
              </w:rPr>
              <w:t xml:space="preserve"> u Akcionom planu ,kao pratećem dokumentu ove Strategije, predviđeno je nekoliko mjera kako bi se završilo uspostavljanje potpuno operativnog AFCOS sistema i sprovela dalja harmonizacija nacionalnog zakonodavstva sa zakonodavstvom EU - PIF Direktiva, Uredba 883/2013 i Uredba 2185/1996. </w:t>
            </w:r>
          </w:p>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 xml:space="preserve">Svaka od ovih komponenti može se procijeniti pojedinačno kao djelimično ili potpuno implementirana. </w:t>
            </w:r>
          </w:p>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 xml:space="preserve">Početna / osnovna vrijednost u trenutku  pisanja nove Strategije pretpostavlja da je AFCOS sistem djelimično uspostavljen, jer su već usvojene izmene Zakona o budžetu i fiskalnoj odgovornosti, </w:t>
            </w:r>
            <w:r w:rsidRPr="00B76EFF">
              <w:rPr>
                <w:rFonts w:ascii="Arial" w:hAnsi="Arial" w:cs="Arial"/>
                <w:sz w:val="22"/>
                <w:szCs w:val="22"/>
                <w:lang w:val="sr-Latn-ME" w:eastAsia="en-US"/>
              </w:rPr>
              <w:pgNum/>
            </w:r>
            <w:r w:rsidRPr="00B76EFF">
              <w:rPr>
                <w:rFonts w:ascii="Arial" w:hAnsi="Arial" w:cs="Arial"/>
                <w:sz w:val="22"/>
                <w:szCs w:val="22"/>
                <w:lang w:val="sr-Latn-ME" w:eastAsia="en-US"/>
              </w:rPr>
              <w:t>ndic Odluka o uspostavljanju AFCOS mreže, koji su relevantni u određenoj mjeri. Takođe, za zakonodavstvo EU u oblasti zaštite finansijskih interesa EU – nacionalno zakonodavstvo u Crnoj Gori je ocenjeno kao djelimično usklađeno.</w:t>
            </w:r>
          </w:p>
        </w:tc>
      </w:tr>
      <w:tr w:rsidR="00B76EFF" w:rsidRPr="00B76EFF" w:rsidTr="00B76EFF">
        <w:tc>
          <w:tcPr>
            <w:tcW w:w="3682" w:type="dxa"/>
            <w:vMerge w:val="restart"/>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Informacija o početnoj vrijednosti i o ciljnim vrijednostima</w:t>
            </w:r>
          </w:p>
        </w:tc>
        <w:tc>
          <w:tcPr>
            <w:tcW w:w="2255"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Godina</w:t>
            </w:r>
          </w:p>
        </w:tc>
        <w:tc>
          <w:tcPr>
            <w:tcW w:w="2587"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b/>
                <w:sz w:val="22"/>
                <w:szCs w:val="22"/>
                <w:lang w:val="sr-Latn-ME" w:eastAsia="en-US"/>
              </w:rPr>
              <w:t>Početna vrijednost u 2024</w:t>
            </w:r>
          </w:p>
        </w:tc>
        <w:tc>
          <w:tcPr>
            <w:tcW w:w="2587"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b/>
                <w:sz w:val="22"/>
                <w:szCs w:val="22"/>
                <w:lang w:val="sr-Latn-ME" w:eastAsia="en-US"/>
              </w:rPr>
              <w:t>Željena vrijednost u 2026</w:t>
            </w:r>
          </w:p>
        </w:tc>
        <w:tc>
          <w:tcPr>
            <w:tcW w:w="2929"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b/>
                <w:sz w:val="22"/>
                <w:szCs w:val="22"/>
                <w:lang w:val="sr-Latn-ME" w:eastAsia="en-US"/>
              </w:rPr>
              <w:t>Željena vrijednost u 2028</w:t>
            </w:r>
          </w:p>
        </w:tc>
      </w:tr>
      <w:tr w:rsidR="00B76EFF" w:rsidRPr="00B76EFF" w:rsidTr="00B76EFF">
        <w:tc>
          <w:tcPr>
            <w:tcW w:w="3682" w:type="dxa"/>
            <w:vMerge/>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p>
        </w:tc>
        <w:tc>
          <w:tcPr>
            <w:tcW w:w="2255"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Vrijednost</w:t>
            </w:r>
          </w:p>
        </w:tc>
        <w:tc>
          <w:tcPr>
            <w:tcW w:w="2587" w:type="dxa"/>
          </w:tcPr>
          <w:p w:rsidR="00B76EFF" w:rsidRPr="00B76EFF" w:rsidRDefault="00B76EFF" w:rsidP="00B76EFF">
            <w:pPr>
              <w:numPr>
                <w:ilvl w:val="0"/>
                <w:numId w:val="49"/>
              </w:num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 xml:space="preserve">AFCOS sistem – </w:t>
            </w:r>
            <w:r w:rsidRPr="00B76EFF">
              <w:rPr>
                <w:rFonts w:ascii="Arial" w:hAnsi="Arial" w:cs="Arial"/>
                <w:sz w:val="22"/>
                <w:szCs w:val="22"/>
                <w:u w:val="single"/>
                <w:lang w:val="sr-Latn-ME" w:eastAsia="en-US"/>
              </w:rPr>
              <w:t xml:space="preserve">djelimično </w:t>
            </w:r>
            <w:r w:rsidRPr="00B76EFF">
              <w:rPr>
                <w:rFonts w:ascii="Arial" w:hAnsi="Arial" w:cs="Arial"/>
                <w:sz w:val="22"/>
                <w:szCs w:val="22"/>
                <w:lang w:val="sr-Latn-ME" w:eastAsia="en-US"/>
              </w:rPr>
              <w:t>uspostavljen</w:t>
            </w:r>
          </w:p>
          <w:p w:rsidR="00B76EFF" w:rsidRPr="00B76EFF" w:rsidRDefault="00B76EFF" w:rsidP="00B76EFF">
            <w:pPr>
              <w:numPr>
                <w:ilvl w:val="0"/>
                <w:numId w:val="49"/>
              </w:num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 xml:space="preserve">Harmonizacija sa zakonodavstvom EU </w:t>
            </w:r>
            <w:r w:rsidRPr="00B76EFF">
              <w:rPr>
                <w:rFonts w:ascii="Arial" w:hAnsi="Arial" w:cs="Arial"/>
                <w:sz w:val="22"/>
                <w:szCs w:val="22"/>
                <w:u w:val="single"/>
                <w:lang w:val="sr-Latn-ME" w:eastAsia="en-US"/>
              </w:rPr>
              <w:t>– djelimično</w:t>
            </w:r>
            <w:r w:rsidRPr="00B76EFF">
              <w:rPr>
                <w:rFonts w:ascii="Arial" w:hAnsi="Arial" w:cs="Arial"/>
                <w:sz w:val="22"/>
                <w:szCs w:val="22"/>
                <w:lang w:val="sr-Latn-ME" w:eastAsia="en-US"/>
              </w:rPr>
              <w:t xml:space="preserve"> usklađeno</w:t>
            </w:r>
          </w:p>
        </w:tc>
        <w:tc>
          <w:tcPr>
            <w:tcW w:w="2587" w:type="dxa"/>
          </w:tcPr>
          <w:p w:rsidR="00B76EFF" w:rsidRPr="00B76EFF" w:rsidRDefault="00B76EFF" w:rsidP="00B76EFF">
            <w:pPr>
              <w:numPr>
                <w:ilvl w:val="0"/>
                <w:numId w:val="49"/>
              </w:numPr>
              <w:spacing w:after="160" w:line="259" w:lineRule="auto"/>
              <w:rPr>
                <w:rFonts w:ascii="Arial" w:hAnsi="Arial" w:cs="Arial"/>
                <w:bCs/>
                <w:sz w:val="22"/>
                <w:szCs w:val="22"/>
                <w:lang w:val="sr-Latn-ME" w:eastAsia="en-US"/>
              </w:rPr>
            </w:pPr>
            <w:r w:rsidRPr="00B76EFF">
              <w:rPr>
                <w:rFonts w:ascii="Arial" w:hAnsi="Arial" w:cs="Arial"/>
                <w:sz w:val="22"/>
                <w:szCs w:val="22"/>
                <w:lang w:val="sr-Latn-ME" w:eastAsia="en-US"/>
              </w:rPr>
              <w:t xml:space="preserve">AFCOS sistem – </w:t>
            </w:r>
            <w:r w:rsidRPr="00B76EFF">
              <w:rPr>
                <w:rFonts w:ascii="Arial" w:hAnsi="Arial" w:cs="Arial"/>
                <w:sz w:val="22"/>
                <w:szCs w:val="22"/>
                <w:u w:val="single"/>
                <w:lang w:val="sr-Latn-ME" w:eastAsia="en-US"/>
              </w:rPr>
              <w:t xml:space="preserve">potpuno </w:t>
            </w:r>
            <w:r w:rsidRPr="00B76EFF">
              <w:rPr>
                <w:rFonts w:ascii="Arial" w:hAnsi="Arial" w:cs="Arial"/>
                <w:sz w:val="22"/>
                <w:szCs w:val="22"/>
                <w:lang w:val="sr-Latn-ME" w:eastAsia="en-US"/>
              </w:rPr>
              <w:t>uspostavljen i funkcionalan</w:t>
            </w:r>
          </w:p>
          <w:p w:rsidR="00B76EFF" w:rsidRPr="00B76EFF" w:rsidRDefault="00B76EFF" w:rsidP="00B76EFF">
            <w:pPr>
              <w:numPr>
                <w:ilvl w:val="0"/>
                <w:numId w:val="49"/>
              </w:numPr>
              <w:spacing w:after="160" w:line="259" w:lineRule="auto"/>
              <w:rPr>
                <w:rFonts w:ascii="Arial" w:hAnsi="Arial" w:cs="Arial"/>
                <w:bCs/>
                <w:sz w:val="22"/>
                <w:szCs w:val="22"/>
                <w:lang w:val="sr-Latn-ME" w:eastAsia="en-US"/>
              </w:rPr>
            </w:pPr>
            <w:r w:rsidRPr="00B76EFF">
              <w:rPr>
                <w:rFonts w:ascii="Arial" w:hAnsi="Arial" w:cs="Arial"/>
                <w:sz w:val="22"/>
                <w:szCs w:val="22"/>
                <w:lang w:val="sr-Latn-ME" w:eastAsia="en-US"/>
              </w:rPr>
              <w:t xml:space="preserve"> Harmonizacija sa zakonodavstvom EU – </w:t>
            </w:r>
            <w:r w:rsidRPr="00B76EFF">
              <w:rPr>
                <w:rFonts w:ascii="Arial" w:hAnsi="Arial" w:cs="Arial"/>
                <w:sz w:val="22"/>
                <w:szCs w:val="22"/>
                <w:u w:val="single"/>
                <w:lang w:val="sr-Latn-ME" w:eastAsia="en-US"/>
              </w:rPr>
              <w:t>djelimično</w:t>
            </w:r>
            <w:r w:rsidRPr="00B76EFF">
              <w:rPr>
                <w:rFonts w:ascii="Arial" w:hAnsi="Arial" w:cs="Arial"/>
                <w:sz w:val="22"/>
                <w:szCs w:val="22"/>
                <w:lang w:val="sr-Latn-ME" w:eastAsia="en-US"/>
              </w:rPr>
              <w:t xml:space="preserve"> usklađeno</w:t>
            </w:r>
          </w:p>
        </w:tc>
        <w:tc>
          <w:tcPr>
            <w:tcW w:w="2929" w:type="dxa"/>
          </w:tcPr>
          <w:p w:rsidR="00B76EFF" w:rsidRPr="00B76EFF" w:rsidRDefault="00B76EFF" w:rsidP="00B76EFF">
            <w:pPr>
              <w:numPr>
                <w:ilvl w:val="0"/>
                <w:numId w:val="49"/>
              </w:num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 xml:space="preserve">AFCOS sistem – </w:t>
            </w:r>
            <w:r w:rsidRPr="00B76EFF">
              <w:rPr>
                <w:rFonts w:ascii="Arial" w:hAnsi="Arial" w:cs="Arial"/>
                <w:sz w:val="22"/>
                <w:szCs w:val="22"/>
                <w:u w:val="single"/>
                <w:lang w:val="sr-Latn-ME" w:eastAsia="en-US"/>
              </w:rPr>
              <w:t xml:space="preserve">potpuno </w:t>
            </w:r>
            <w:r w:rsidRPr="00B76EFF">
              <w:rPr>
                <w:rFonts w:ascii="Arial" w:hAnsi="Arial" w:cs="Arial"/>
                <w:sz w:val="22"/>
                <w:szCs w:val="22"/>
                <w:lang w:val="sr-Latn-ME" w:eastAsia="en-US"/>
              </w:rPr>
              <w:t>uspostavljen i funkcionalan</w:t>
            </w:r>
          </w:p>
          <w:p w:rsidR="00B76EFF" w:rsidRPr="00B76EFF" w:rsidRDefault="00B76EFF" w:rsidP="00B76EFF">
            <w:pPr>
              <w:numPr>
                <w:ilvl w:val="0"/>
                <w:numId w:val="49"/>
              </w:num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 xml:space="preserve"> Harmonizacija sa zakonodavstvom EU – </w:t>
            </w:r>
            <w:r w:rsidRPr="00B76EFF">
              <w:rPr>
                <w:rFonts w:ascii="Arial" w:hAnsi="Arial" w:cs="Arial"/>
                <w:sz w:val="22"/>
                <w:szCs w:val="22"/>
                <w:u w:val="single"/>
                <w:lang w:val="sr-Latn-ME" w:eastAsia="en-US"/>
              </w:rPr>
              <w:t>potpuno</w:t>
            </w:r>
            <w:r w:rsidRPr="00B76EFF">
              <w:rPr>
                <w:rFonts w:ascii="Arial" w:hAnsi="Arial" w:cs="Arial"/>
                <w:sz w:val="22"/>
                <w:szCs w:val="22"/>
                <w:lang w:val="sr-Latn-ME" w:eastAsia="en-US"/>
              </w:rPr>
              <w:t xml:space="preserve"> usklađeno</w:t>
            </w:r>
          </w:p>
        </w:tc>
      </w:tr>
    </w:tbl>
    <w:p w:rsidR="00B76EFF" w:rsidRPr="00B76EFF" w:rsidRDefault="00B76EFF" w:rsidP="00B76EFF">
      <w:pPr>
        <w:spacing w:after="160" w:line="259" w:lineRule="auto"/>
        <w:rPr>
          <w:rFonts w:ascii="Arial" w:hAnsi="Arial" w:cs="Arial"/>
          <w:lang w:val="sr-Latn-ME"/>
        </w:rPr>
      </w:pPr>
    </w:p>
    <w:p w:rsidR="00B76EFF" w:rsidRPr="00B76EFF" w:rsidRDefault="00B76EFF" w:rsidP="00B76EFF">
      <w:pPr>
        <w:spacing w:after="160" w:line="259" w:lineRule="auto"/>
        <w:rPr>
          <w:rFonts w:ascii="Arial" w:hAnsi="Arial" w:cs="Arial"/>
          <w:lang w:val="sr-Latn-ME"/>
        </w:rPr>
      </w:pPr>
      <w:r w:rsidRPr="00B76EFF">
        <w:rPr>
          <w:rFonts w:ascii="Arial" w:hAnsi="Arial" w:cs="Arial"/>
          <w:lang w:val="sr-Latn-ME"/>
        </w:rPr>
        <w:t>Pasoš  br. 3 (za indikator uspjeha 2.1)</w:t>
      </w:r>
    </w:p>
    <w:tbl>
      <w:tblPr>
        <w:tblStyle w:val="TableGrid"/>
        <w:tblW w:w="14040" w:type="dxa"/>
        <w:tblInd w:w="-95" w:type="dxa"/>
        <w:tblLook w:val="04A0" w:firstRow="1" w:lastRow="0" w:firstColumn="1" w:lastColumn="0" w:noHBand="0" w:noVBand="1"/>
      </w:tblPr>
      <w:tblGrid>
        <w:gridCol w:w="4059"/>
        <w:gridCol w:w="2409"/>
        <w:gridCol w:w="1135"/>
        <w:gridCol w:w="1275"/>
        <w:gridCol w:w="2410"/>
        <w:gridCol w:w="851"/>
        <w:gridCol w:w="1901"/>
      </w:tblGrid>
      <w:tr w:rsidR="00B76EFF" w:rsidRPr="00B76EFF" w:rsidTr="00B76EFF">
        <w:tc>
          <w:tcPr>
            <w:tcW w:w="4059" w:type="dxa"/>
            <w:shd w:val="clear" w:color="auto" w:fill="657C9C" w:themeFill="text2" w:themeFillTint="BF"/>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Kategorija</w:t>
            </w:r>
          </w:p>
        </w:tc>
        <w:tc>
          <w:tcPr>
            <w:tcW w:w="9981" w:type="dxa"/>
            <w:gridSpan w:val="6"/>
            <w:shd w:val="clear" w:color="auto" w:fill="657C9C" w:themeFill="text2" w:themeFillTint="BF"/>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Opis</w:t>
            </w:r>
          </w:p>
        </w:tc>
      </w:tr>
      <w:tr w:rsidR="00B76EFF" w:rsidRPr="00B76EFF" w:rsidTr="00B76EFF">
        <w:tc>
          <w:tcPr>
            <w:tcW w:w="405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Naziv indikatora</w:t>
            </w:r>
          </w:p>
        </w:tc>
        <w:tc>
          <w:tcPr>
            <w:tcW w:w="9981" w:type="dxa"/>
            <w:gridSpan w:val="6"/>
            <w:shd w:val="clear" w:color="auto" w:fill="DEEAF6" w:themeFill="accent1" w:themeFillTint="33"/>
          </w:tcPr>
          <w:p w:rsidR="00B76EFF" w:rsidRPr="00B76EFF" w:rsidRDefault="00B76EFF" w:rsidP="00B76EFF">
            <w:pPr>
              <w:spacing w:after="160" w:line="259" w:lineRule="auto"/>
              <w:rPr>
                <w:rFonts w:ascii="Arial" w:hAnsi="Arial" w:cs="Arial"/>
                <w:b/>
                <w:sz w:val="22"/>
                <w:szCs w:val="22"/>
                <w:lang w:val="sr-Latn-ME" w:eastAsia="en-US"/>
              </w:rPr>
            </w:pPr>
            <w:r w:rsidRPr="00B76EFF">
              <w:rPr>
                <w:rFonts w:ascii="Arial" w:hAnsi="Arial" w:cs="Arial"/>
                <w:b/>
                <w:sz w:val="22"/>
                <w:szCs w:val="22"/>
                <w:lang w:eastAsia="en-US"/>
              </w:rPr>
              <w:t>Indeks zadovoljstva saradnjom između institucija uključenih u zaštitu finansijskih interesa EU</w:t>
            </w:r>
          </w:p>
        </w:tc>
      </w:tr>
      <w:tr w:rsidR="00B76EFF" w:rsidRPr="00B76EFF" w:rsidTr="00B76EFF">
        <w:tc>
          <w:tcPr>
            <w:tcW w:w="405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Cilj na koji se indikator odnosi</w:t>
            </w:r>
          </w:p>
        </w:tc>
        <w:tc>
          <w:tcPr>
            <w:tcW w:w="9981" w:type="dxa"/>
            <w:gridSpan w:val="6"/>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b/>
                <w:sz w:val="22"/>
                <w:szCs w:val="22"/>
                <w:lang w:val="sr-Latn-ME" w:eastAsia="en-US"/>
              </w:rPr>
              <w:t>Operativni cilj 2</w:t>
            </w:r>
            <w:r w:rsidRPr="00B76EFF">
              <w:rPr>
                <w:rFonts w:ascii="Arial" w:hAnsi="Arial" w:cs="Arial"/>
                <w:sz w:val="22"/>
                <w:szCs w:val="22"/>
                <w:lang w:val="sr-Latn-ME" w:eastAsia="en-US"/>
              </w:rPr>
              <w:t>: Jačanje koordinacione uloge AFCOS kancelarije i unaprijeđenje saradnje između institucija uključenih u zaštitu finansijskih interesa EU.</w:t>
            </w:r>
          </w:p>
        </w:tc>
      </w:tr>
      <w:tr w:rsidR="00B76EFF" w:rsidRPr="00B76EFF" w:rsidTr="00B76EFF">
        <w:tc>
          <w:tcPr>
            <w:tcW w:w="405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Kratak opis indikatora</w:t>
            </w:r>
          </w:p>
        </w:tc>
        <w:tc>
          <w:tcPr>
            <w:tcW w:w="9981" w:type="dxa"/>
            <w:gridSpan w:val="6"/>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Ovaj indikator rezultata će pratiti nivo zadovoljstva saradnjom između institucija uključenih u zaštitu finansijskih interesa EU u Crnoj Gori.</w:t>
            </w:r>
          </w:p>
        </w:tc>
      </w:tr>
      <w:tr w:rsidR="00B76EFF" w:rsidRPr="00B76EFF" w:rsidTr="00B76EFF">
        <w:tc>
          <w:tcPr>
            <w:tcW w:w="405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Podaci koje je potrebno prikupiti</w:t>
            </w:r>
          </w:p>
        </w:tc>
        <w:tc>
          <w:tcPr>
            <w:tcW w:w="9981" w:type="dxa"/>
            <w:gridSpan w:val="6"/>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Samoprocjena o zadovoljstvu nivoom saradnje među institucijama, na skali od 10 poena (od minimuma 0 do maksimuma 10 poena).</w:t>
            </w:r>
          </w:p>
        </w:tc>
      </w:tr>
      <w:tr w:rsidR="00B76EFF" w:rsidRPr="00B76EFF" w:rsidTr="00B76EFF">
        <w:tc>
          <w:tcPr>
            <w:tcW w:w="405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Izvor podataka</w:t>
            </w:r>
          </w:p>
        </w:tc>
        <w:tc>
          <w:tcPr>
            <w:tcW w:w="9981" w:type="dxa"/>
            <w:gridSpan w:val="6"/>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Upitnici za samoprocjenu distribuirani među institucijama uključenim u zaštitu finansijskih interesa EU.</w:t>
            </w:r>
          </w:p>
        </w:tc>
      </w:tr>
      <w:tr w:rsidR="00B76EFF" w:rsidRPr="00B76EFF" w:rsidTr="00B76EFF">
        <w:tc>
          <w:tcPr>
            <w:tcW w:w="405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Informacija o instituciji odgovornoj za prikupljanje podataka</w:t>
            </w:r>
          </w:p>
        </w:tc>
        <w:tc>
          <w:tcPr>
            <w:tcW w:w="9981" w:type="dxa"/>
            <w:gridSpan w:val="6"/>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Direkcija za zaštitu finansijskih interesa EU/AFCOS – Ministarstvo finansija</w:t>
            </w:r>
          </w:p>
          <w:p w:rsidR="00B76EFF" w:rsidRPr="00B76EFF" w:rsidRDefault="00B76EFF" w:rsidP="00B76EFF">
            <w:pPr>
              <w:spacing w:after="160" w:line="259" w:lineRule="auto"/>
              <w:rPr>
                <w:rFonts w:ascii="Arial" w:hAnsi="Arial" w:cs="Arial"/>
                <w:sz w:val="22"/>
                <w:szCs w:val="22"/>
                <w:lang w:val="sr-Latn-ME" w:eastAsia="en-US"/>
              </w:rPr>
            </w:pPr>
          </w:p>
        </w:tc>
      </w:tr>
      <w:tr w:rsidR="00B76EFF" w:rsidRPr="00B76EFF" w:rsidTr="00B76EFF">
        <w:tc>
          <w:tcPr>
            <w:tcW w:w="405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Učestalost prikupljanja podataka</w:t>
            </w:r>
          </w:p>
        </w:tc>
        <w:tc>
          <w:tcPr>
            <w:tcW w:w="9981" w:type="dxa"/>
            <w:gridSpan w:val="6"/>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Jednom u dvije godine</w:t>
            </w:r>
          </w:p>
        </w:tc>
      </w:tr>
      <w:tr w:rsidR="00B76EFF" w:rsidRPr="00B76EFF" w:rsidTr="00B76EFF">
        <w:tc>
          <w:tcPr>
            <w:tcW w:w="405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Učestalost izvještavanja o vrijednosti indikatora</w:t>
            </w:r>
          </w:p>
        </w:tc>
        <w:tc>
          <w:tcPr>
            <w:tcW w:w="9981" w:type="dxa"/>
            <w:gridSpan w:val="6"/>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Jednom u dvije godine – prilikom evaluacije Akcionog plana</w:t>
            </w:r>
          </w:p>
        </w:tc>
      </w:tr>
      <w:tr w:rsidR="00B76EFF" w:rsidRPr="00B76EFF" w:rsidTr="00B76EFF">
        <w:tc>
          <w:tcPr>
            <w:tcW w:w="4059" w:type="dxa"/>
            <w:vMerge w:val="restart"/>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Kratak opis metodologije izračunavanja podataka</w:t>
            </w:r>
          </w:p>
        </w:tc>
        <w:tc>
          <w:tcPr>
            <w:tcW w:w="9981" w:type="dxa"/>
            <w:gridSpan w:val="6"/>
            <w:vAlign w:val="center"/>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Početna / osnovna vrijednost je pretpostavka zasnovana na rezultatima ankete distribuirane među tijelima AFCOS sistema tokom izrade Strategije, u oktobru 2024. godine. Dva su pitanja vezana za saradnju i razmjenu informacija unutar AFCOS sistema, a od 4 odgovora koja su primljena: 2 su naveli da je saradnja bila dobra ili adekvatna i da nije bilo problema sa primanjem informacija (pretpostavka: prosječno 8 poena od 10 za svako pitanje); 2 su naveli saradnju kao zadovoljavajuću sa preporukama za poboljšanje i  da nema problema u razmjeni informacija (pretpostavka: prosječno 6 poena od 10 za svako pitanje). Dakle, početna vrijednost je postavljena na 8+8+6+6=28/4=7,0 poena na skali od 10 poena.</w:t>
            </w:r>
          </w:p>
        </w:tc>
      </w:tr>
      <w:tr w:rsidR="00B76EFF" w:rsidRPr="00B76EFF" w:rsidTr="00B76EFF">
        <w:tc>
          <w:tcPr>
            <w:tcW w:w="4059" w:type="dxa"/>
            <w:vMerge/>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p>
        </w:tc>
        <w:tc>
          <w:tcPr>
            <w:tcW w:w="3544" w:type="dxa"/>
            <w:gridSpan w:val="2"/>
            <w:vMerge w:val="restart"/>
            <w:tcBorders>
              <w:right w:val="nil"/>
            </w:tcBorders>
            <w:vAlign w:val="center"/>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 xml:space="preserve">Index zadovoljstva = </w:t>
            </w:r>
          </w:p>
        </w:tc>
        <w:tc>
          <w:tcPr>
            <w:tcW w:w="4536" w:type="dxa"/>
            <w:gridSpan w:val="3"/>
            <w:tcBorders>
              <w:left w:val="nil"/>
              <w:right w:val="nil"/>
            </w:tcBorders>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Zbir prosječnog nivoa zadovoljstva u svakom popunjenom upitniku, na skali od 10 poena.</w:t>
            </w:r>
          </w:p>
        </w:tc>
        <w:tc>
          <w:tcPr>
            <w:tcW w:w="1901" w:type="dxa"/>
            <w:vMerge w:val="restart"/>
            <w:tcBorders>
              <w:left w:val="nil"/>
            </w:tcBorders>
          </w:tcPr>
          <w:p w:rsidR="00B76EFF" w:rsidRPr="00B76EFF" w:rsidRDefault="00B76EFF" w:rsidP="00B76EFF">
            <w:pPr>
              <w:spacing w:after="160" w:line="259" w:lineRule="auto"/>
              <w:rPr>
                <w:rFonts w:ascii="Arial" w:hAnsi="Arial" w:cs="Arial"/>
                <w:sz w:val="22"/>
                <w:szCs w:val="22"/>
                <w:lang w:val="sr-Latn-ME" w:eastAsia="en-US"/>
              </w:rPr>
            </w:pPr>
          </w:p>
        </w:tc>
      </w:tr>
      <w:tr w:rsidR="00B76EFF" w:rsidRPr="00B76EFF" w:rsidTr="00B76EFF">
        <w:tc>
          <w:tcPr>
            <w:tcW w:w="4059" w:type="dxa"/>
            <w:vMerge/>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p>
        </w:tc>
        <w:tc>
          <w:tcPr>
            <w:tcW w:w="3544" w:type="dxa"/>
            <w:gridSpan w:val="2"/>
            <w:vMerge/>
            <w:tcBorders>
              <w:right w:val="nil"/>
            </w:tcBorders>
          </w:tcPr>
          <w:p w:rsidR="00B76EFF" w:rsidRPr="00B76EFF" w:rsidRDefault="00B76EFF" w:rsidP="00B76EFF">
            <w:pPr>
              <w:spacing w:after="160" w:line="259" w:lineRule="auto"/>
              <w:rPr>
                <w:rFonts w:ascii="Arial" w:hAnsi="Arial" w:cs="Arial"/>
                <w:sz w:val="22"/>
                <w:szCs w:val="22"/>
                <w:lang w:val="sr-Latn-ME" w:eastAsia="en-US"/>
              </w:rPr>
            </w:pPr>
          </w:p>
        </w:tc>
        <w:tc>
          <w:tcPr>
            <w:tcW w:w="4536" w:type="dxa"/>
            <w:gridSpan w:val="3"/>
            <w:tcBorders>
              <w:left w:val="nil"/>
              <w:right w:val="nil"/>
            </w:tcBorders>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Broj popunjenih upitnika koji su primljeni.</w:t>
            </w:r>
          </w:p>
        </w:tc>
        <w:tc>
          <w:tcPr>
            <w:tcW w:w="1901" w:type="dxa"/>
            <w:vMerge/>
            <w:tcBorders>
              <w:left w:val="nil"/>
            </w:tcBorders>
          </w:tcPr>
          <w:p w:rsidR="00B76EFF" w:rsidRPr="00B76EFF" w:rsidRDefault="00B76EFF" w:rsidP="00B76EFF">
            <w:pPr>
              <w:spacing w:after="160" w:line="259" w:lineRule="auto"/>
              <w:rPr>
                <w:rFonts w:ascii="Arial" w:hAnsi="Arial" w:cs="Arial"/>
                <w:sz w:val="22"/>
                <w:szCs w:val="22"/>
                <w:lang w:val="sr-Latn-ME" w:eastAsia="en-US"/>
              </w:rPr>
            </w:pPr>
          </w:p>
        </w:tc>
      </w:tr>
      <w:tr w:rsidR="00B76EFF" w:rsidRPr="00B76EFF" w:rsidTr="00B76EFF">
        <w:tc>
          <w:tcPr>
            <w:tcW w:w="4059" w:type="dxa"/>
            <w:vMerge w:val="restart"/>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Informacija o početnoj vrijednosti i o ciljnim vrijednostima</w:t>
            </w:r>
          </w:p>
        </w:tc>
        <w:tc>
          <w:tcPr>
            <w:tcW w:w="2409"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Godina</w:t>
            </w:r>
          </w:p>
        </w:tc>
        <w:tc>
          <w:tcPr>
            <w:tcW w:w="2410" w:type="dxa"/>
            <w:gridSpan w:val="2"/>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b/>
                <w:sz w:val="22"/>
                <w:szCs w:val="22"/>
                <w:lang w:val="sr-Latn-ME" w:eastAsia="en-US"/>
              </w:rPr>
              <w:t>Početna vrijednost u 2024</w:t>
            </w:r>
          </w:p>
        </w:tc>
        <w:tc>
          <w:tcPr>
            <w:tcW w:w="2410"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b/>
                <w:sz w:val="22"/>
                <w:szCs w:val="22"/>
                <w:lang w:val="sr-Latn-ME" w:eastAsia="en-US"/>
              </w:rPr>
              <w:t>Željena vrijednost u 2026</w:t>
            </w:r>
          </w:p>
        </w:tc>
        <w:tc>
          <w:tcPr>
            <w:tcW w:w="2752" w:type="dxa"/>
            <w:gridSpan w:val="2"/>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b/>
                <w:sz w:val="22"/>
                <w:szCs w:val="22"/>
                <w:lang w:val="sr-Latn-ME" w:eastAsia="en-US"/>
              </w:rPr>
              <w:t>Željena vrijednost u 2028</w:t>
            </w:r>
          </w:p>
        </w:tc>
      </w:tr>
      <w:tr w:rsidR="00B76EFF" w:rsidRPr="00B76EFF" w:rsidTr="00B76EFF">
        <w:tc>
          <w:tcPr>
            <w:tcW w:w="4059" w:type="dxa"/>
            <w:vMerge/>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p>
        </w:tc>
        <w:tc>
          <w:tcPr>
            <w:tcW w:w="2409"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Vrijednost</w:t>
            </w:r>
          </w:p>
        </w:tc>
        <w:tc>
          <w:tcPr>
            <w:tcW w:w="2410" w:type="dxa"/>
            <w:gridSpan w:val="2"/>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 xml:space="preserve">7.0 poena na skali od </w:t>
            </w:r>
          </w:p>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10 poena</w:t>
            </w:r>
          </w:p>
        </w:tc>
        <w:tc>
          <w:tcPr>
            <w:tcW w:w="2410"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Najmanje 7.5 poena na skali od 10 poena</w:t>
            </w:r>
          </w:p>
        </w:tc>
        <w:tc>
          <w:tcPr>
            <w:tcW w:w="2752" w:type="dxa"/>
            <w:gridSpan w:val="2"/>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Najmanje 8 poena na skali od 10 poena</w:t>
            </w:r>
          </w:p>
        </w:tc>
      </w:tr>
    </w:tbl>
    <w:p w:rsidR="00B76EFF" w:rsidRPr="00B76EFF" w:rsidRDefault="00B76EFF" w:rsidP="00B76EFF">
      <w:pPr>
        <w:spacing w:after="160" w:line="259" w:lineRule="auto"/>
        <w:rPr>
          <w:rFonts w:ascii="Arial" w:hAnsi="Arial" w:cs="Arial"/>
          <w:lang w:val="sr-Latn-ME"/>
        </w:rPr>
      </w:pPr>
    </w:p>
    <w:p w:rsidR="00B76EFF" w:rsidRPr="00B76EFF" w:rsidRDefault="00B76EFF" w:rsidP="00B76EFF">
      <w:pPr>
        <w:spacing w:after="160" w:line="259" w:lineRule="auto"/>
        <w:rPr>
          <w:rFonts w:ascii="Arial" w:hAnsi="Arial" w:cs="Arial"/>
          <w:lang w:val="sr-Latn-ME"/>
        </w:rPr>
      </w:pPr>
      <w:r w:rsidRPr="00B76EFF">
        <w:rPr>
          <w:rFonts w:ascii="Arial" w:hAnsi="Arial" w:cs="Arial"/>
          <w:lang w:val="sr-Latn-ME"/>
        </w:rPr>
        <w:t>Pasoš br. 4 (za indikator uspjeha 2.2)</w:t>
      </w:r>
    </w:p>
    <w:p w:rsidR="00B76EFF" w:rsidRPr="00B76EFF" w:rsidRDefault="00B76EFF" w:rsidP="00B76EFF">
      <w:pPr>
        <w:spacing w:after="160" w:line="259" w:lineRule="auto"/>
        <w:rPr>
          <w:rFonts w:ascii="Arial" w:hAnsi="Arial" w:cs="Arial"/>
          <w:lang w:val="sr-Latn-ME"/>
        </w:rPr>
      </w:pPr>
    </w:p>
    <w:tbl>
      <w:tblPr>
        <w:tblStyle w:val="TableGrid"/>
        <w:tblW w:w="14040" w:type="dxa"/>
        <w:tblInd w:w="-95" w:type="dxa"/>
        <w:tblLook w:val="04A0" w:firstRow="1" w:lastRow="0" w:firstColumn="1" w:lastColumn="0" w:noHBand="0" w:noVBand="1"/>
      </w:tblPr>
      <w:tblGrid>
        <w:gridCol w:w="4059"/>
        <w:gridCol w:w="2409"/>
        <w:gridCol w:w="1135"/>
        <w:gridCol w:w="1275"/>
        <w:gridCol w:w="2410"/>
        <w:gridCol w:w="851"/>
        <w:gridCol w:w="1901"/>
      </w:tblGrid>
      <w:tr w:rsidR="00B76EFF" w:rsidRPr="00B76EFF" w:rsidTr="00B76EFF">
        <w:tc>
          <w:tcPr>
            <w:tcW w:w="4059" w:type="dxa"/>
            <w:shd w:val="clear" w:color="auto" w:fill="657C9C" w:themeFill="text2" w:themeFillTint="BF"/>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Kategorija</w:t>
            </w:r>
          </w:p>
        </w:tc>
        <w:tc>
          <w:tcPr>
            <w:tcW w:w="9981" w:type="dxa"/>
            <w:gridSpan w:val="6"/>
            <w:shd w:val="clear" w:color="auto" w:fill="657C9C" w:themeFill="text2" w:themeFillTint="BF"/>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Opis</w:t>
            </w:r>
          </w:p>
        </w:tc>
      </w:tr>
      <w:tr w:rsidR="00B76EFF" w:rsidRPr="00B76EFF" w:rsidTr="00B76EFF">
        <w:tc>
          <w:tcPr>
            <w:tcW w:w="405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Naziv indikatora</w:t>
            </w:r>
          </w:p>
        </w:tc>
        <w:tc>
          <w:tcPr>
            <w:tcW w:w="9981" w:type="dxa"/>
            <w:gridSpan w:val="6"/>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 xml:space="preserve">Stopa prisustva sastancima AFCOS radnog tijela za implementaciju aktivnosti za zaštitu finansijskih interesa EU u Crnoj Gori </w:t>
            </w:r>
          </w:p>
        </w:tc>
      </w:tr>
      <w:tr w:rsidR="00B76EFF" w:rsidRPr="00B76EFF" w:rsidTr="00B76EFF">
        <w:tc>
          <w:tcPr>
            <w:tcW w:w="405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Cilj na koji se indikator odnosi</w:t>
            </w:r>
          </w:p>
        </w:tc>
        <w:tc>
          <w:tcPr>
            <w:tcW w:w="9981" w:type="dxa"/>
            <w:gridSpan w:val="6"/>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b/>
                <w:sz w:val="22"/>
                <w:szCs w:val="22"/>
                <w:lang w:val="sr-Latn-ME" w:eastAsia="en-US"/>
              </w:rPr>
              <w:t>Operativni cilj 2:</w:t>
            </w:r>
            <w:r w:rsidRPr="00B76EFF">
              <w:rPr>
                <w:rFonts w:ascii="Arial" w:hAnsi="Arial" w:cs="Arial"/>
                <w:sz w:val="22"/>
                <w:szCs w:val="22"/>
                <w:lang w:val="sr-Latn-ME" w:eastAsia="en-US"/>
              </w:rPr>
              <w:t xml:space="preserve"> Jačanje koordinacione uloge Direkcije za zaštitu finansijskih interesa EU/AFCOS i unaprijeđenje saradnje između institucija uključenih u zaštitu finansijskih interesa EU.</w:t>
            </w:r>
          </w:p>
        </w:tc>
      </w:tr>
      <w:tr w:rsidR="00B76EFF" w:rsidRPr="00B76EFF" w:rsidTr="00B76EFF">
        <w:tc>
          <w:tcPr>
            <w:tcW w:w="405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Kratak opis indikatora</w:t>
            </w:r>
          </w:p>
        </w:tc>
        <w:tc>
          <w:tcPr>
            <w:tcW w:w="9981" w:type="dxa"/>
            <w:gridSpan w:val="6"/>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Ovaj indikator rezultata će doprinijeti praćenju stope prisustva redovnim sastancima AFCOS radnog tijela.</w:t>
            </w:r>
          </w:p>
        </w:tc>
      </w:tr>
      <w:tr w:rsidR="00B76EFF" w:rsidRPr="00B76EFF" w:rsidTr="00B76EFF">
        <w:tc>
          <w:tcPr>
            <w:tcW w:w="405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Podaci koje je potrebno prikupiti</w:t>
            </w:r>
          </w:p>
        </w:tc>
        <w:tc>
          <w:tcPr>
            <w:tcW w:w="9981" w:type="dxa"/>
            <w:gridSpan w:val="6"/>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Broj poziva putem e -mail-a na sastanke relevantnim institucijama / tijelima i broj učesnika sa svakog sastanka.</w:t>
            </w:r>
          </w:p>
        </w:tc>
      </w:tr>
      <w:tr w:rsidR="00B76EFF" w:rsidRPr="00B76EFF" w:rsidTr="00B76EFF">
        <w:tc>
          <w:tcPr>
            <w:tcW w:w="405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Izvor podataka</w:t>
            </w:r>
          </w:p>
        </w:tc>
        <w:tc>
          <w:tcPr>
            <w:tcW w:w="9981" w:type="dxa"/>
            <w:gridSpan w:val="6"/>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Poslati pozivni e-mail-ovi/ Lista predstavnika AFCOS radnog tijela</w:t>
            </w:r>
          </w:p>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Potpisane liste prisustva na sastancima</w:t>
            </w:r>
          </w:p>
        </w:tc>
      </w:tr>
      <w:tr w:rsidR="00B76EFF" w:rsidRPr="00B76EFF" w:rsidTr="00B76EFF">
        <w:tc>
          <w:tcPr>
            <w:tcW w:w="405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Informacija o instituciji odgovornoj za prikupljanje podataka</w:t>
            </w:r>
          </w:p>
        </w:tc>
        <w:tc>
          <w:tcPr>
            <w:tcW w:w="9981" w:type="dxa"/>
            <w:gridSpan w:val="6"/>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Direkcija za zaštitu finansijskih interesa EU/AFCOS – Ministarstvo finansija</w:t>
            </w:r>
          </w:p>
          <w:p w:rsidR="00B76EFF" w:rsidRPr="00B76EFF" w:rsidRDefault="00B76EFF" w:rsidP="00B76EFF">
            <w:pPr>
              <w:spacing w:after="160" w:line="259" w:lineRule="auto"/>
              <w:rPr>
                <w:rFonts w:ascii="Arial" w:hAnsi="Arial" w:cs="Arial"/>
                <w:sz w:val="22"/>
                <w:szCs w:val="22"/>
                <w:lang w:val="sr-Latn-ME" w:eastAsia="en-US"/>
              </w:rPr>
            </w:pPr>
          </w:p>
        </w:tc>
      </w:tr>
      <w:tr w:rsidR="00B76EFF" w:rsidRPr="00B76EFF" w:rsidTr="00B76EFF">
        <w:tc>
          <w:tcPr>
            <w:tcW w:w="405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Učestalost prikupljanja podataka</w:t>
            </w:r>
          </w:p>
        </w:tc>
        <w:tc>
          <w:tcPr>
            <w:tcW w:w="9981" w:type="dxa"/>
            <w:gridSpan w:val="6"/>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3-4 puta godišnje</w:t>
            </w:r>
          </w:p>
        </w:tc>
      </w:tr>
      <w:tr w:rsidR="00B76EFF" w:rsidRPr="00B76EFF" w:rsidTr="00B76EFF">
        <w:tc>
          <w:tcPr>
            <w:tcW w:w="405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Učestalost izvještavanja o vrijednosti indikatora</w:t>
            </w:r>
          </w:p>
        </w:tc>
        <w:tc>
          <w:tcPr>
            <w:tcW w:w="9981" w:type="dxa"/>
            <w:gridSpan w:val="6"/>
            <w:tcBorders>
              <w:bottom w:val="single" w:sz="4" w:space="0" w:color="auto"/>
            </w:tcBorders>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Jednom u dvije godine – prilikom evaluacije Akcionog plana</w:t>
            </w:r>
          </w:p>
        </w:tc>
      </w:tr>
      <w:tr w:rsidR="00B76EFF" w:rsidRPr="00B76EFF" w:rsidTr="00B76EFF">
        <w:tc>
          <w:tcPr>
            <w:tcW w:w="4059" w:type="dxa"/>
            <w:vMerge w:val="restart"/>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Kratak opis metodologije izračunavanja podataka</w:t>
            </w:r>
          </w:p>
        </w:tc>
        <w:tc>
          <w:tcPr>
            <w:tcW w:w="9981" w:type="dxa"/>
            <w:gridSpan w:val="6"/>
            <w:tcBorders>
              <w:bottom w:val="nil"/>
            </w:tcBorders>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Stopa prisustva se izračunava kao odnos između broja učesnika koji su prisustvovali sastanku i broja poslatih poziva za učešće na sastanku / ili broja delegiranih predstavnika AFCOS radnog tijela.</w:t>
            </w:r>
          </w:p>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Početna / osnovna vrijednost izračunata je na osnovu prisustva sastancima AFCOS mreže</w:t>
            </w:r>
            <w:r w:rsidRPr="00B76EFF">
              <w:rPr>
                <w:rFonts w:ascii="Arial" w:hAnsi="Arial" w:cs="Arial"/>
                <w:sz w:val="22"/>
                <w:szCs w:val="22"/>
                <w:vertAlign w:val="superscript"/>
                <w:lang w:val="sr-Latn-ME" w:eastAsia="en-US"/>
              </w:rPr>
              <w:footnoteReference w:id="15"/>
            </w:r>
            <w:r w:rsidRPr="00B76EFF">
              <w:rPr>
                <w:rFonts w:ascii="Arial" w:hAnsi="Arial" w:cs="Arial"/>
                <w:sz w:val="22"/>
                <w:szCs w:val="22"/>
                <w:lang w:val="sr-Latn-ME" w:eastAsia="en-US"/>
              </w:rPr>
              <w:t xml:space="preserve">  održanim u 2024. godini. Održana su 3 sastanka sa 8, 6 i 7 prisutnih od 13 predstavnika (10 institucija plus 3 zaposleni iz AFCOS-a). Prilikom izračunavanja stope prisustva, osim predstavnika AFCOS kancelarije, prosečna stopa prisustva u 2024. godini bila je 40%.</w:t>
            </w:r>
          </w:p>
        </w:tc>
      </w:tr>
      <w:tr w:rsidR="00B76EFF" w:rsidRPr="00B76EFF" w:rsidTr="00B76EFF">
        <w:tc>
          <w:tcPr>
            <w:tcW w:w="4059" w:type="dxa"/>
            <w:vMerge/>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p>
        </w:tc>
        <w:tc>
          <w:tcPr>
            <w:tcW w:w="3544" w:type="dxa"/>
            <w:gridSpan w:val="2"/>
            <w:vMerge w:val="restart"/>
            <w:tcBorders>
              <w:top w:val="nil"/>
              <w:right w:val="nil"/>
            </w:tcBorders>
            <w:vAlign w:val="center"/>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 xml:space="preserve">Stopa prisustva = </w:t>
            </w:r>
          </w:p>
        </w:tc>
        <w:tc>
          <w:tcPr>
            <w:tcW w:w="4536" w:type="dxa"/>
            <w:gridSpan w:val="3"/>
            <w:tcBorders>
              <w:top w:val="nil"/>
              <w:left w:val="nil"/>
              <w:right w:val="nil"/>
            </w:tcBorders>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Broj učesnika na sastanku</w:t>
            </w:r>
          </w:p>
        </w:tc>
        <w:tc>
          <w:tcPr>
            <w:tcW w:w="1901" w:type="dxa"/>
            <w:vMerge w:val="restart"/>
            <w:tcBorders>
              <w:top w:val="nil"/>
              <w:left w:val="nil"/>
            </w:tcBorders>
            <w:vAlign w:val="center"/>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X 100</w:t>
            </w:r>
          </w:p>
        </w:tc>
      </w:tr>
      <w:tr w:rsidR="00B76EFF" w:rsidRPr="00B76EFF" w:rsidTr="00B76EFF">
        <w:tc>
          <w:tcPr>
            <w:tcW w:w="4059" w:type="dxa"/>
            <w:vMerge/>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p>
        </w:tc>
        <w:tc>
          <w:tcPr>
            <w:tcW w:w="3544" w:type="dxa"/>
            <w:gridSpan w:val="2"/>
            <w:vMerge/>
            <w:tcBorders>
              <w:right w:val="nil"/>
            </w:tcBorders>
          </w:tcPr>
          <w:p w:rsidR="00B76EFF" w:rsidRPr="00B76EFF" w:rsidRDefault="00B76EFF" w:rsidP="00B76EFF">
            <w:pPr>
              <w:spacing w:after="160" w:line="259" w:lineRule="auto"/>
              <w:rPr>
                <w:rFonts w:ascii="Arial" w:hAnsi="Arial" w:cs="Arial"/>
                <w:sz w:val="22"/>
                <w:szCs w:val="22"/>
                <w:lang w:val="sr-Latn-ME" w:eastAsia="en-US"/>
              </w:rPr>
            </w:pPr>
          </w:p>
        </w:tc>
        <w:tc>
          <w:tcPr>
            <w:tcW w:w="4536" w:type="dxa"/>
            <w:gridSpan w:val="3"/>
            <w:tcBorders>
              <w:left w:val="nil"/>
              <w:right w:val="nil"/>
            </w:tcBorders>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Broj poslatih poziva za učešće</w:t>
            </w:r>
          </w:p>
        </w:tc>
        <w:tc>
          <w:tcPr>
            <w:tcW w:w="1901" w:type="dxa"/>
            <w:vMerge/>
            <w:tcBorders>
              <w:left w:val="nil"/>
            </w:tcBorders>
          </w:tcPr>
          <w:p w:rsidR="00B76EFF" w:rsidRPr="00B76EFF" w:rsidRDefault="00B76EFF" w:rsidP="00B76EFF">
            <w:pPr>
              <w:spacing w:after="160" w:line="259" w:lineRule="auto"/>
              <w:rPr>
                <w:rFonts w:ascii="Arial" w:hAnsi="Arial" w:cs="Arial"/>
                <w:sz w:val="22"/>
                <w:szCs w:val="22"/>
                <w:lang w:val="sr-Latn-ME" w:eastAsia="en-US"/>
              </w:rPr>
            </w:pPr>
          </w:p>
        </w:tc>
      </w:tr>
      <w:tr w:rsidR="00B76EFF" w:rsidRPr="00B76EFF" w:rsidTr="00B76EFF">
        <w:tc>
          <w:tcPr>
            <w:tcW w:w="4059" w:type="dxa"/>
            <w:vMerge w:val="restart"/>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Informacija o početnoj vrijednosti i o ciljnim vrijednostima</w:t>
            </w:r>
          </w:p>
        </w:tc>
        <w:tc>
          <w:tcPr>
            <w:tcW w:w="2409"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Godina</w:t>
            </w:r>
          </w:p>
        </w:tc>
        <w:tc>
          <w:tcPr>
            <w:tcW w:w="2410" w:type="dxa"/>
            <w:gridSpan w:val="2"/>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b/>
                <w:sz w:val="22"/>
                <w:szCs w:val="22"/>
                <w:lang w:val="sr-Latn-ME" w:eastAsia="en-US"/>
              </w:rPr>
              <w:t>Početna vrijednost u 2024</w:t>
            </w:r>
          </w:p>
        </w:tc>
        <w:tc>
          <w:tcPr>
            <w:tcW w:w="2410"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b/>
                <w:sz w:val="22"/>
                <w:szCs w:val="22"/>
                <w:lang w:val="sr-Latn-ME" w:eastAsia="en-US"/>
              </w:rPr>
              <w:t>Željena vrijednost u 2026</w:t>
            </w:r>
          </w:p>
        </w:tc>
        <w:tc>
          <w:tcPr>
            <w:tcW w:w="2752" w:type="dxa"/>
            <w:gridSpan w:val="2"/>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b/>
                <w:sz w:val="22"/>
                <w:szCs w:val="22"/>
                <w:lang w:val="sr-Latn-ME" w:eastAsia="en-US"/>
              </w:rPr>
              <w:t>Željena vrijednost u 2028</w:t>
            </w:r>
          </w:p>
        </w:tc>
      </w:tr>
      <w:tr w:rsidR="00B76EFF" w:rsidRPr="00B76EFF" w:rsidTr="00B76EFF">
        <w:tc>
          <w:tcPr>
            <w:tcW w:w="4059" w:type="dxa"/>
            <w:vMerge/>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p>
        </w:tc>
        <w:tc>
          <w:tcPr>
            <w:tcW w:w="2409"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Vrijednost</w:t>
            </w:r>
          </w:p>
        </w:tc>
        <w:tc>
          <w:tcPr>
            <w:tcW w:w="2410" w:type="dxa"/>
            <w:gridSpan w:val="2"/>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40%</w:t>
            </w:r>
          </w:p>
        </w:tc>
        <w:tc>
          <w:tcPr>
            <w:tcW w:w="2410"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60%</w:t>
            </w:r>
          </w:p>
        </w:tc>
        <w:tc>
          <w:tcPr>
            <w:tcW w:w="2752" w:type="dxa"/>
            <w:gridSpan w:val="2"/>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80%</w:t>
            </w:r>
          </w:p>
        </w:tc>
      </w:tr>
    </w:tbl>
    <w:p w:rsidR="00B76EFF" w:rsidRPr="00B76EFF" w:rsidRDefault="00B76EFF" w:rsidP="00B76EFF">
      <w:pPr>
        <w:spacing w:after="160" w:line="259" w:lineRule="auto"/>
        <w:rPr>
          <w:rFonts w:ascii="Arial" w:hAnsi="Arial" w:cs="Arial"/>
        </w:rPr>
      </w:pPr>
    </w:p>
    <w:p w:rsidR="00B76EFF" w:rsidRPr="00B76EFF" w:rsidRDefault="00B76EFF" w:rsidP="00B76EFF">
      <w:pPr>
        <w:spacing w:after="160" w:line="259" w:lineRule="auto"/>
        <w:rPr>
          <w:rFonts w:ascii="Arial" w:hAnsi="Arial" w:cs="Arial"/>
          <w:lang w:val="sr-Latn-ME"/>
        </w:rPr>
      </w:pPr>
      <w:r w:rsidRPr="00B76EFF">
        <w:rPr>
          <w:rFonts w:ascii="Arial" w:hAnsi="Arial" w:cs="Arial"/>
          <w:lang w:val="sr-Latn-ME"/>
        </w:rPr>
        <w:t>Pasoš br. 5 (za indikator uspjeha 2.3)</w:t>
      </w:r>
    </w:p>
    <w:tbl>
      <w:tblPr>
        <w:tblStyle w:val="TableGrid"/>
        <w:tblW w:w="14040" w:type="dxa"/>
        <w:tblInd w:w="-95" w:type="dxa"/>
        <w:tblLook w:val="04A0" w:firstRow="1" w:lastRow="0" w:firstColumn="1" w:lastColumn="0" w:noHBand="0" w:noVBand="1"/>
      </w:tblPr>
      <w:tblGrid>
        <w:gridCol w:w="4059"/>
        <w:gridCol w:w="2409"/>
        <w:gridCol w:w="2410"/>
        <w:gridCol w:w="2410"/>
        <w:gridCol w:w="2752"/>
      </w:tblGrid>
      <w:tr w:rsidR="00B76EFF" w:rsidRPr="00B76EFF" w:rsidTr="00B76EFF">
        <w:tc>
          <w:tcPr>
            <w:tcW w:w="4059" w:type="dxa"/>
            <w:shd w:val="clear" w:color="auto" w:fill="657C9C" w:themeFill="text2" w:themeFillTint="BF"/>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Kategorija</w:t>
            </w:r>
          </w:p>
        </w:tc>
        <w:tc>
          <w:tcPr>
            <w:tcW w:w="9981" w:type="dxa"/>
            <w:gridSpan w:val="4"/>
            <w:shd w:val="clear" w:color="auto" w:fill="657C9C" w:themeFill="text2" w:themeFillTint="BF"/>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Opis</w:t>
            </w:r>
          </w:p>
        </w:tc>
      </w:tr>
      <w:tr w:rsidR="00B76EFF" w:rsidRPr="00B76EFF" w:rsidTr="00B76EFF">
        <w:tc>
          <w:tcPr>
            <w:tcW w:w="405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Naziv indikatora</w:t>
            </w:r>
          </w:p>
        </w:tc>
        <w:tc>
          <w:tcPr>
            <w:tcW w:w="9981" w:type="dxa"/>
            <w:gridSpan w:val="4"/>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Broj sastanaka koje inicira struktura za izvještavanje o nepravilnostima i institucije AFCOS mreže</w:t>
            </w:r>
          </w:p>
        </w:tc>
      </w:tr>
      <w:tr w:rsidR="00B76EFF" w:rsidRPr="00B76EFF" w:rsidTr="00B76EFF">
        <w:tc>
          <w:tcPr>
            <w:tcW w:w="405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Cilj na koji se indikator odnosi</w:t>
            </w:r>
          </w:p>
        </w:tc>
        <w:tc>
          <w:tcPr>
            <w:tcW w:w="9981" w:type="dxa"/>
            <w:gridSpan w:val="4"/>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b/>
                <w:sz w:val="22"/>
                <w:szCs w:val="22"/>
                <w:lang w:val="sr-Latn-ME" w:eastAsia="en-US"/>
              </w:rPr>
              <w:t>Operativni cilj 2:</w:t>
            </w:r>
            <w:r w:rsidRPr="00B76EFF">
              <w:rPr>
                <w:rFonts w:ascii="Arial" w:hAnsi="Arial" w:cs="Arial"/>
                <w:sz w:val="22"/>
                <w:szCs w:val="22"/>
                <w:lang w:val="sr-Latn-ME" w:eastAsia="en-US"/>
              </w:rPr>
              <w:t xml:space="preserve"> Jačanje koordinacione uloge Direkcije za zaštitu finansijskih interesa EU/AFCOS i unapređenje saradnje između institucija uključenih u zaštitu finansijskih interesa EU</w:t>
            </w:r>
          </w:p>
        </w:tc>
      </w:tr>
      <w:tr w:rsidR="00B76EFF" w:rsidRPr="00B76EFF" w:rsidTr="00B76EFF">
        <w:tc>
          <w:tcPr>
            <w:tcW w:w="405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Kratak opis indikatora</w:t>
            </w:r>
          </w:p>
        </w:tc>
        <w:tc>
          <w:tcPr>
            <w:tcW w:w="9981" w:type="dxa"/>
            <w:gridSpan w:val="4"/>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Ovaj indikator rezultata će pratiti broj sastanaka koje iniciraju druge institucije kako bi koristile sastanke AFCOS radnog tijela za dalje rješavanje problema ili rješavanje pitanja relevantnih za bolju zaštitu finansijskih interesa EU.</w:t>
            </w:r>
          </w:p>
        </w:tc>
      </w:tr>
      <w:tr w:rsidR="00B76EFF" w:rsidRPr="00B76EFF" w:rsidTr="00B76EFF">
        <w:tc>
          <w:tcPr>
            <w:tcW w:w="405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Podaci koje je potrebno prikupiti</w:t>
            </w:r>
          </w:p>
        </w:tc>
        <w:tc>
          <w:tcPr>
            <w:tcW w:w="9981" w:type="dxa"/>
            <w:gridSpan w:val="4"/>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Broj održanih sastanaka</w:t>
            </w:r>
          </w:p>
        </w:tc>
      </w:tr>
      <w:tr w:rsidR="00B76EFF" w:rsidRPr="00B76EFF" w:rsidTr="00B76EFF">
        <w:tc>
          <w:tcPr>
            <w:tcW w:w="405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Izvor podataka</w:t>
            </w:r>
          </w:p>
        </w:tc>
        <w:tc>
          <w:tcPr>
            <w:tcW w:w="9981" w:type="dxa"/>
            <w:gridSpan w:val="4"/>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E-mail-ovi upućeni  Direkciji za zaštitu finansijskih interesa EU/AFCOS od strane tijela iz AFCOS sistema</w:t>
            </w:r>
          </w:p>
        </w:tc>
      </w:tr>
      <w:tr w:rsidR="00B76EFF" w:rsidRPr="00B76EFF" w:rsidTr="00B76EFF">
        <w:tc>
          <w:tcPr>
            <w:tcW w:w="405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Informacija o instituciji odgovornoj za prikupljanje podataka</w:t>
            </w:r>
          </w:p>
        </w:tc>
        <w:tc>
          <w:tcPr>
            <w:tcW w:w="9981" w:type="dxa"/>
            <w:gridSpan w:val="4"/>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Direkcija za zaštitu finansijskih interesa EU/AFCOS – Ministarstvo finansija</w:t>
            </w:r>
          </w:p>
          <w:p w:rsidR="00B76EFF" w:rsidRPr="00B76EFF" w:rsidRDefault="00B76EFF" w:rsidP="00B76EFF">
            <w:pPr>
              <w:spacing w:after="160" w:line="259" w:lineRule="auto"/>
              <w:rPr>
                <w:rFonts w:ascii="Arial" w:hAnsi="Arial" w:cs="Arial"/>
                <w:sz w:val="22"/>
                <w:szCs w:val="22"/>
                <w:lang w:val="sr-Latn-ME" w:eastAsia="en-US"/>
              </w:rPr>
            </w:pPr>
          </w:p>
        </w:tc>
      </w:tr>
      <w:tr w:rsidR="00B76EFF" w:rsidRPr="00B76EFF" w:rsidTr="00B76EFF">
        <w:tc>
          <w:tcPr>
            <w:tcW w:w="405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Učestalost prikupljanja podataka</w:t>
            </w:r>
          </w:p>
        </w:tc>
        <w:tc>
          <w:tcPr>
            <w:tcW w:w="9981" w:type="dxa"/>
            <w:gridSpan w:val="4"/>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Svaki sastanak koji inicira struktura za izvještavanje o nepravilnostima i institucije AFCOS mreže</w:t>
            </w:r>
          </w:p>
        </w:tc>
      </w:tr>
      <w:tr w:rsidR="00B76EFF" w:rsidRPr="00B76EFF" w:rsidTr="00B76EFF">
        <w:tc>
          <w:tcPr>
            <w:tcW w:w="405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Učestalost izvještavanja o vrijednosti indikatora</w:t>
            </w:r>
          </w:p>
        </w:tc>
        <w:tc>
          <w:tcPr>
            <w:tcW w:w="9981" w:type="dxa"/>
            <w:gridSpan w:val="4"/>
            <w:tcBorders>
              <w:bottom w:val="single" w:sz="4" w:space="0" w:color="auto"/>
            </w:tcBorders>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Jednom u dvije godine – prilikom evaluacije Akcionog plana</w:t>
            </w:r>
          </w:p>
        </w:tc>
      </w:tr>
      <w:tr w:rsidR="00B76EFF" w:rsidRPr="00B76EFF" w:rsidTr="00B76EFF">
        <w:tc>
          <w:tcPr>
            <w:tcW w:w="405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Kratak opis metodologije izračunavanja podataka</w:t>
            </w:r>
          </w:p>
        </w:tc>
        <w:tc>
          <w:tcPr>
            <w:tcW w:w="9981" w:type="dxa"/>
            <w:gridSpan w:val="4"/>
            <w:tcBorders>
              <w:bottom w:val="single" w:sz="4" w:space="0" w:color="auto"/>
            </w:tcBorders>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Brojanje svakog sastanka koji je iniciran od strane strukture za izvještavanje o nepravilnostima i institucije AFCOS mreže</w:t>
            </w:r>
          </w:p>
        </w:tc>
      </w:tr>
      <w:tr w:rsidR="00B76EFF" w:rsidRPr="00B76EFF" w:rsidTr="00B76EFF">
        <w:tc>
          <w:tcPr>
            <w:tcW w:w="4059" w:type="dxa"/>
            <w:vMerge w:val="restart"/>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Informacija o početnoj vrijednosti i o ciljnim vrijednostima</w:t>
            </w:r>
          </w:p>
        </w:tc>
        <w:tc>
          <w:tcPr>
            <w:tcW w:w="2409"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Godina</w:t>
            </w:r>
          </w:p>
        </w:tc>
        <w:tc>
          <w:tcPr>
            <w:tcW w:w="2410"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b/>
                <w:sz w:val="22"/>
                <w:szCs w:val="22"/>
                <w:lang w:val="sr-Latn-ME" w:eastAsia="en-US"/>
              </w:rPr>
              <w:t>Početna vrijednost u 2024</w:t>
            </w:r>
          </w:p>
        </w:tc>
        <w:tc>
          <w:tcPr>
            <w:tcW w:w="2410"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b/>
                <w:sz w:val="22"/>
                <w:szCs w:val="22"/>
                <w:lang w:val="sr-Latn-ME" w:eastAsia="en-US"/>
              </w:rPr>
              <w:t>Željena vrijednost u 2026</w:t>
            </w:r>
          </w:p>
        </w:tc>
        <w:tc>
          <w:tcPr>
            <w:tcW w:w="2752"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b/>
                <w:sz w:val="22"/>
                <w:szCs w:val="22"/>
                <w:lang w:val="sr-Latn-ME" w:eastAsia="en-US"/>
              </w:rPr>
              <w:t>Željena vrijednost u 2028</w:t>
            </w:r>
          </w:p>
        </w:tc>
      </w:tr>
      <w:tr w:rsidR="00B76EFF" w:rsidRPr="00B76EFF" w:rsidTr="00B76EFF">
        <w:tc>
          <w:tcPr>
            <w:tcW w:w="4059" w:type="dxa"/>
            <w:vMerge/>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p>
        </w:tc>
        <w:tc>
          <w:tcPr>
            <w:tcW w:w="2409"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Vrijednost</w:t>
            </w:r>
          </w:p>
        </w:tc>
        <w:tc>
          <w:tcPr>
            <w:tcW w:w="2410"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0</w:t>
            </w:r>
          </w:p>
        </w:tc>
        <w:tc>
          <w:tcPr>
            <w:tcW w:w="2410"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2</w:t>
            </w:r>
          </w:p>
        </w:tc>
        <w:tc>
          <w:tcPr>
            <w:tcW w:w="2752"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4</w:t>
            </w:r>
          </w:p>
        </w:tc>
      </w:tr>
    </w:tbl>
    <w:p w:rsidR="00B76EFF" w:rsidRDefault="00B76EFF" w:rsidP="00B76EFF">
      <w:pPr>
        <w:spacing w:after="160" w:line="259" w:lineRule="auto"/>
        <w:rPr>
          <w:rFonts w:ascii="Arial" w:hAnsi="Arial" w:cs="Arial"/>
          <w:lang w:val="sr-Latn-ME"/>
        </w:rPr>
      </w:pPr>
    </w:p>
    <w:p w:rsidR="0017225E" w:rsidRDefault="0017225E" w:rsidP="00B76EFF">
      <w:pPr>
        <w:spacing w:after="160" w:line="259" w:lineRule="auto"/>
        <w:rPr>
          <w:rFonts w:ascii="Arial" w:hAnsi="Arial" w:cs="Arial"/>
          <w:lang w:val="sr-Latn-ME"/>
        </w:rPr>
      </w:pPr>
    </w:p>
    <w:p w:rsidR="0017225E" w:rsidRDefault="0017225E" w:rsidP="00B76EFF">
      <w:pPr>
        <w:spacing w:after="160" w:line="259" w:lineRule="auto"/>
        <w:rPr>
          <w:rFonts w:ascii="Arial" w:hAnsi="Arial" w:cs="Arial"/>
          <w:lang w:val="sr-Latn-ME"/>
        </w:rPr>
      </w:pPr>
    </w:p>
    <w:p w:rsidR="0017225E" w:rsidRDefault="0017225E" w:rsidP="00B76EFF">
      <w:pPr>
        <w:spacing w:after="160" w:line="259" w:lineRule="auto"/>
        <w:rPr>
          <w:rFonts w:ascii="Arial" w:hAnsi="Arial" w:cs="Arial"/>
          <w:lang w:val="sr-Latn-ME"/>
        </w:rPr>
      </w:pPr>
    </w:p>
    <w:p w:rsidR="00B76EFF" w:rsidRPr="00B76EFF" w:rsidRDefault="00B76EFF" w:rsidP="00B76EFF">
      <w:pPr>
        <w:spacing w:after="160" w:line="259" w:lineRule="auto"/>
        <w:rPr>
          <w:rFonts w:ascii="Arial" w:hAnsi="Arial" w:cs="Arial"/>
          <w:lang w:val="sr-Latn-ME"/>
        </w:rPr>
      </w:pPr>
      <w:r w:rsidRPr="00B76EFF">
        <w:rPr>
          <w:rFonts w:ascii="Arial" w:hAnsi="Arial" w:cs="Arial"/>
          <w:lang w:val="sr-Latn-ME"/>
        </w:rPr>
        <w:t>Pasoš br. 6 (za indikator uspjeha 3.1)</w:t>
      </w:r>
    </w:p>
    <w:tbl>
      <w:tblPr>
        <w:tblStyle w:val="TableGrid"/>
        <w:tblW w:w="14130" w:type="dxa"/>
        <w:tblInd w:w="-95" w:type="dxa"/>
        <w:tblLook w:val="04A0" w:firstRow="1" w:lastRow="0" w:firstColumn="1" w:lastColumn="0" w:noHBand="0" w:noVBand="1"/>
      </w:tblPr>
      <w:tblGrid>
        <w:gridCol w:w="4059"/>
        <w:gridCol w:w="2409"/>
        <w:gridCol w:w="2410"/>
        <w:gridCol w:w="2410"/>
        <w:gridCol w:w="2842"/>
      </w:tblGrid>
      <w:tr w:rsidR="00B76EFF" w:rsidRPr="00B76EFF" w:rsidTr="00B76EFF">
        <w:tc>
          <w:tcPr>
            <w:tcW w:w="4059" w:type="dxa"/>
            <w:shd w:val="clear" w:color="auto" w:fill="657C9C" w:themeFill="text2" w:themeFillTint="BF"/>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Kategorija</w:t>
            </w:r>
          </w:p>
        </w:tc>
        <w:tc>
          <w:tcPr>
            <w:tcW w:w="10071" w:type="dxa"/>
            <w:gridSpan w:val="4"/>
            <w:shd w:val="clear" w:color="auto" w:fill="657C9C" w:themeFill="text2" w:themeFillTint="BF"/>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Opis</w:t>
            </w:r>
          </w:p>
        </w:tc>
      </w:tr>
      <w:tr w:rsidR="00B76EFF" w:rsidRPr="00B76EFF" w:rsidTr="00B76EFF">
        <w:tc>
          <w:tcPr>
            <w:tcW w:w="405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Naziv indikatora</w:t>
            </w:r>
          </w:p>
        </w:tc>
        <w:tc>
          <w:tcPr>
            <w:tcW w:w="10071" w:type="dxa"/>
            <w:gridSpan w:val="4"/>
            <w:shd w:val="clear" w:color="auto" w:fill="DEEAF6" w:themeFill="accent1" w:themeFillTint="33"/>
          </w:tcPr>
          <w:p w:rsidR="00B76EFF" w:rsidRPr="00B76EFF" w:rsidRDefault="00B76EFF" w:rsidP="00B76EFF">
            <w:pPr>
              <w:spacing w:after="160" w:line="259" w:lineRule="auto"/>
              <w:rPr>
                <w:rFonts w:ascii="Arial" w:hAnsi="Arial" w:cs="Arial"/>
                <w:b/>
                <w:sz w:val="22"/>
                <w:szCs w:val="22"/>
                <w:lang w:eastAsia="en-US"/>
              </w:rPr>
            </w:pPr>
            <w:r w:rsidRPr="00B76EFF">
              <w:rPr>
                <w:rFonts w:ascii="Arial" w:hAnsi="Arial" w:cs="Arial"/>
                <w:b/>
                <w:sz w:val="22"/>
                <w:szCs w:val="22"/>
                <w:lang w:eastAsia="en-US"/>
              </w:rPr>
              <w:t>Implementirane efikasne i proporcionalne mjere protiv nepravilnosti i prevara</w:t>
            </w:r>
          </w:p>
        </w:tc>
      </w:tr>
      <w:tr w:rsidR="00B76EFF" w:rsidRPr="00B76EFF" w:rsidTr="00B76EFF">
        <w:tc>
          <w:tcPr>
            <w:tcW w:w="405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Cilj na koji se indikator odnosi</w:t>
            </w:r>
          </w:p>
        </w:tc>
        <w:tc>
          <w:tcPr>
            <w:tcW w:w="10071" w:type="dxa"/>
            <w:gridSpan w:val="4"/>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b/>
                <w:sz w:val="22"/>
                <w:szCs w:val="22"/>
                <w:lang w:val="sr-Latn-ME" w:eastAsia="en-US"/>
              </w:rPr>
              <w:t>Operativni cilj 3:</w:t>
            </w:r>
            <w:r w:rsidRPr="00B76EFF">
              <w:rPr>
                <w:rFonts w:ascii="Arial" w:hAnsi="Arial" w:cs="Arial"/>
                <w:sz w:val="22"/>
                <w:szCs w:val="22"/>
                <w:lang w:val="sr-Latn-ME" w:eastAsia="en-US"/>
              </w:rPr>
              <w:t xml:space="preserve"> Dalje jačanje prevencije nepravilnosti i prevara kroz odgovarajuću procjenu rizika i uvođenje efikasnih i proporcionalnih mjera protiv nepravilnosti i prevara, uključujući uspostavljanje sistemskog pristupa edukacijama i podizanju svijesti.</w:t>
            </w:r>
          </w:p>
        </w:tc>
      </w:tr>
      <w:tr w:rsidR="00B76EFF" w:rsidRPr="00B76EFF" w:rsidTr="00B76EFF">
        <w:tc>
          <w:tcPr>
            <w:tcW w:w="405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Kratak opis indikatora</w:t>
            </w:r>
          </w:p>
        </w:tc>
        <w:tc>
          <w:tcPr>
            <w:tcW w:w="10071" w:type="dxa"/>
            <w:gridSpan w:val="4"/>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Ovaj indikator rezultata će pratiti implementaciju Akcionog plana unutar postavljenih rokova kako bi se pokazalo da su efikasne i proporcionalne mere za spriječavanje prevara implementirane</w:t>
            </w:r>
          </w:p>
        </w:tc>
      </w:tr>
      <w:tr w:rsidR="00B76EFF" w:rsidRPr="00B76EFF" w:rsidTr="00B76EFF">
        <w:tc>
          <w:tcPr>
            <w:tcW w:w="405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Podaci koje je potrebno prikupiti</w:t>
            </w:r>
          </w:p>
        </w:tc>
        <w:tc>
          <w:tcPr>
            <w:tcW w:w="10071" w:type="dxa"/>
            <w:gridSpan w:val="4"/>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Broj aktivnosti iz Akcionog plana koje su završene</w:t>
            </w:r>
          </w:p>
        </w:tc>
      </w:tr>
      <w:tr w:rsidR="00B76EFF" w:rsidRPr="00B76EFF" w:rsidTr="00B76EFF">
        <w:tc>
          <w:tcPr>
            <w:tcW w:w="405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Izvor podataka</w:t>
            </w:r>
          </w:p>
        </w:tc>
        <w:tc>
          <w:tcPr>
            <w:tcW w:w="10071" w:type="dxa"/>
            <w:gridSpan w:val="4"/>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Napredak u implementaciji Strategije - sastanci AFCOS radnog tijela, razmjena e-mailova sa nadležnim institucijama</w:t>
            </w:r>
          </w:p>
        </w:tc>
      </w:tr>
      <w:tr w:rsidR="00B76EFF" w:rsidRPr="00B76EFF" w:rsidTr="00B76EFF">
        <w:tc>
          <w:tcPr>
            <w:tcW w:w="405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Informacija o instituciji odgovornoj za prikupljanje podataka</w:t>
            </w:r>
          </w:p>
        </w:tc>
        <w:tc>
          <w:tcPr>
            <w:tcW w:w="10071" w:type="dxa"/>
            <w:gridSpan w:val="4"/>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Direkcija za zaštitu finansijskih interesa EU/AFCOS – Ministarstvo finansija</w:t>
            </w:r>
          </w:p>
        </w:tc>
      </w:tr>
      <w:tr w:rsidR="00B76EFF" w:rsidRPr="00B76EFF" w:rsidTr="00B76EFF">
        <w:tc>
          <w:tcPr>
            <w:tcW w:w="405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Učestalost prikupljanja podataka</w:t>
            </w:r>
          </w:p>
        </w:tc>
        <w:tc>
          <w:tcPr>
            <w:tcW w:w="10071" w:type="dxa"/>
            <w:gridSpan w:val="4"/>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Čim se aktivnost Akcionog plana implementira</w:t>
            </w:r>
          </w:p>
        </w:tc>
      </w:tr>
      <w:tr w:rsidR="00B76EFF" w:rsidRPr="00B76EFF" w:rsidTr="00B76EFF">
        <w:tc>
          <w:tcPr>
            <w:tcW w:w="405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Učestalost izvještavanja o vrijednosti indikatora</w:t>
            </w:r>
          </w:p>
        </w:tc>
        <w:tc>
          <w:tcPr>
            <w:tcW w:w="10071" w:type="dxa"/>
            <w:gridSpan w:val="4"/>
            <w:tcBorders>
              <w:bottom w:val="single" w:sz="4" w:space="0" w:color="auto"/>
            </w:tcBorders>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Jednom u dvije godine – prilikom evaluacije Akcionog plana</w:t>
            </w:r>
          </w:p>
        </w:tc>
      </w:tr>
      <w:tr w:rsidR="00B76EFF" w:rsidRPr="00B76EFF" w:rsidTr="00B76EFF">
        <w:tc>
          <w:tcPr>
            <w:tcW w:w="405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Kratak opis metodologije izračunavanja podataka</w:t>
            </w:r>
          </w:p>
        </w:tc>
        <w:tc>
          <w:tcPr>
            <w:tcW w:w="10071" w:type="dxa"/>
            <w:gridSpan w:val="4"/>
            <w:tcBorders>
              <w:bottom w:val="single" w:sz="4" w:space="0" w:color="auto"/>
            </w:tcBorders>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Brojanje svake mjere završene u Akcionom planu 2025-2026 i kasnije u Akcionom planu 2027-2028</w:t>
            </w:r>
            <w:r w:rsidRPr="00B76EFF">
              <w:rPr>
                <w:rFonts w:ascii="Arial" w:hAnsi="Arial" w:cs="Arial"/>
                <w:sz w:val="22"/>
                <w:szCs w:val="22"/>
                <w:lang w:val="sr-Latn-ME" w:eastAsia="en-US"/>
              </w:rPr>
              <w:br/>
              <w:t>Početna / osnovna vrijednost postavljena je u skladu sa ukupnim stepenom implementacije prethodne Strategije za 2019-2022.</w:t>
            </w:r>
          </w:p>
        </w:tc>
      </w:tr>
      <w:tr w:rsidR="00B76EFF" w:rsidRPr="00B76EFF" w:rsidTr="00B76EFF">
        <w:tc>
          <w:tcPr>
            <w:tcW w:w="4059" w:type="dxa"/>
            <w:vMerge w:val="restart"/>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Informacija o početnoj vrijednosti i o ciljnim vrijednostima</w:t>
            </w:r>
          </w:p>
        </w:tc>
        <w:tc>
          <w:tcPr>
            <w:tcW w:w="2409"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Godina</w:t>
            </w:r>
          </w:p>
        </w:tc>
        <w:tc>
          <w:tcPr>
            <w:tcW w:w="2410"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b/>
                <w:sz w:val="22"/>
                <w:szCs w:val="22"/>
                <w:lang w:val="sr-Latn-ME" w:eastAsia="en-US"/>
              </w:rPr>
              <w:t>Početna vrijednost u 2024</w:t>
            </w:r>
          </w:p>
        </w:tc>
        <w:tc>
          <w:tcPr>
            <w:tcW w:w="2410"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b/>
                <w:sz w:val="22"/>
                <w:szCs w:val="22"/>
                <w:lang w:val="sr-Latn-ME" w:eastAsia="en-US"/>
              </w:rPr>
              <w:t>Željena vrijednost u 2026</w:t>
            </w:r>
          </w:p>
        </w:tc>
        <w:tc>
          <w:tcPr>
            <w:tcW w:w="2842"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b/>
                <w:sz w:val="22"/>
                <w:szCs w:val="22"/>
                <w:lang w:val="sr-Latn-ME" w:eastAsia="en-US"/>
              </w:rPr>
              <w:t>Željena vrijednost u 2028</w:t>
            </w:r>
          </w:p>
        </w:tc>
      </w:tr>
      <w:tr w:rsidR="00B76EFF" w:rsidRPr="00B76EFF" w:rsidTr="00B76EFF">
        <w:tc>
          <w:tcPr>
            <w:tcW w:w="4059" w:type="dxa"/>
            <w:vMerge/>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p>
        </w:tc>
        <w:tc>
          <w:tcPr>
            <w:tcW w:w="2409"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Vrijednost</w:t>
            </w:r>
          </w:p>
        </w:tc>
        <w:tc>
          <w:tcPr>
            <w:tcW w:w="2410"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70%</w:t>
            </w:r>
          </w:p>
        </w:tc>
        <w:tc>
          <w:tcPr>
            <w:tcW w:w="2410"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100% aktivnosti iz Akcionog plana 2025-2026 implementirane su u roku.</w:t>
            </w:r>
          </w:p>
        </w:tc>
        <w:tc>
          <w:tcPr>
            <w:tcW w:w="2842"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100% aktivnosti iz Akcionog plana 2025-2026 implementirane su u roku.</w:t>
            </w:r>
          </w:p>
        </w:tc>
      </w:tr>
    </w:tbl>
    <w:p w:rsidR="00B76EFF" w:rsidRPr="00B76EFF" w:rsidRDefault="00B76EFF" w:rsidP="00B76EFF">
      <w:pPr>
        <w:spacing w:after="160" w:line="259" w:lineRule="auto"/>
        <w:rPr>
          <w:rFonts w:ascii="Arial" w:hAnsi="Arial" w:cs="Arial"/>
        </w:rPr>
      </w:pPr>
    </w:p>
    <w:p w:rsidR="00B76EFF" w:rsidRPr="00B76EFF" w:rsidRDefault="00B76EFF" w:rsidP="00B76EFF">
      <w:pPr>
        <w:spacing w:after="160" w:line="259" w:lineRule="auto"/>
        <w:rPr>
          <w:rFonts w:ascii="Arial" w:hAnsi="Arial" w:cs="Arial"/>
          <w:lang w:val="sr-Latn-ME"/>
        </w:rPr>
      </w:pPr>
      <w:r w:rsidRPr="00B76EFF">
        <w:rPr>
          <w:rFonts w:ascii="Arial" w:hAnsi="Arial" w:cs="Arial"/>
          <w:lang w:val="sr-Latn-ME"/>
        </w:rPr>
        <w:t>Pasoš  br. 7 (za indikator uspjeha 3.2)</w:t>
      </w:r>
    </w:p>
    <w:tbl>
      <w:tblPr>
        <w:tblStyle w:val="TableGrid"/>
        <w:tblW w:w="14130" w:type="dxa"/>
        <w:tblInd w:w="-95" w:type="dxa"/>
        <w:tblLook w:val="04A0" w:firstRow="1" w:lastRow="0" w:firstColumn="1" w:lastColumn="0" w:noHBand="0" w:noVBand="1"/>
      </w:tblPr>
      <w:tblGrid>
        <w:gridCol w:w="4059"/>
        <w:gridCol w:w="2409"/>
        <w:gridCol w:w="2410"/>
        <w:gridCol w:w="2410"/>
        <w:gridCol w:w="2842"/>
      </w:tblGrid>
      <w:tr w:rsidR="00B76EFF" w:rsidRPr="00B76EFF" w:rsidTr="00B76EFF">
        <w:tc>
          <w:tcPr>
            <w:tcW w:w="4059" w:type="dxa"/>
            <w:shd w:val="clear" w:color="auto" w:fill="657C9C" w:themeFill="text2" w:themeFillTint="BF"/>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Kategorija</w:t>
            </w:r>
          </w:p>
        </w:tc>
        <w:tc>
          <w:tcPr>
            <w:tcW w:w="10071" w:type="dxa"/>
            <w:gridSpan w:val="4"/>
            <w:shd w:val="clear" w:color="auto" w:fill="657C9C" w:themeFill="text2" w:themeFillTint="BF"/>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Opis</w:t>
            </w:r>
          </w:p>
        </w:tc>
      </w:tr>
      <w:tr w:rsidR="00B76EFF" w:rsidRPr="00B76EFF" w:rsidTr="00B76EFF">
        <w:tc>
          <w:tcPr>
            <w:tcW w:w="405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bookmarkStart w:id="25" w:name="_Hlk193284940"/>
            <w:r w:rsidRPr="00B76EFF">
              <w:rPr>
                <w:rFonts w:ascii="Arial" w:hAnsi="Arial" w:cs="Arial"/>
                <w:sz w:val="22"/>
                <w:szCs w:val="22"/>
                <w:lang w:val="sr-Latn-ME" w:eastAsia="en-US"/>
              </w:rPr>
              <w:t>Naziv indikatora</w:t>
            </w:r>
          </w:p>
        </w:tc>
        <w:tc>
          <w:tcPr>
            <w:tcW w:w="10071" w:type="dxa"/>
            <w:gridSpan w:val="4"/>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Broj obučenih službenika iz institucija i tijela  koja rade na zaštiti finansijskih interesa EU</w:t>
            </w:r>
          </w:p>
        </w:tc>
      </w:tr>
      <w:tr w:rsidR="00B76EFF" w:rsidRPr="00B76EFF" w:rsidTr="00B76EFF">
        <w:tc>
          <w:tcPr>
            <w:tcW w:w="405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Cilj na koji se indikator odnosi</w:t>
            </w:r>
          </w:p>
        </w:tc>
        <w:tc>
          <w:tcPr>
            <w:tcW w:w="10071" w:type="dxa"/>
            <w:gridSpan w:val="4"/>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b/>
                <w:sz w:val="22"/>
                <w:szCs w:val="22"/>
                <w:lang w:val="sr-Latn-ME" w:eastAsia="en-US"/>
              </w:rPr>
              <w:t>Operativni cilj 3:</w:t>
            </w:r>
            <w:r w:rsidRPr="00B76EFF">
              <w:rPr>
                <w:rFonts w:ascii="Arial" w:hAnsi="Arial" w:cs="Arial"/>
                <w:sz w:val="22"/>
                <w:szCs w:val="22"/>
                <w:lang w:val="sr-Latn-ME" w:eastAsia="en-US"/>
              </w:rPr>
              <w:t xml:space="preserve"> Dalje jačanje prevencije nepravilnosti i prevara kroz odgovarajuću procjenu rizika i uvođenje efikasnih i proporcionalnih mjera protiv nepravilnosti i prevara, uključujući uspostavljanje sistemskog pristupa edukacijama i podizanju svijesti.</w:t>
            </w:r>
          </w:p>
        </w:tc>
      </w:tr>
      <w:tr w:rsidR="00B76EFF" w:rsidRPr="00B76EFF" w:rsidTr="00B76EFF">
        <w:tc>
          <w:tcPr>
            <w:tcW w:w="405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Kratak opis indikatora</w:t>
            </w:r>
          </w:p>
        </w:tc>
        <w:tc>
          <w:tcPr>
            <w:tcW w:w="10071" w:type="dxa"/>
            <w:gridSpan w:val="4"/>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Ovaj indikator će pratiti broj službenika iz institucija koje rade na zaštiti finansijskih interesa EU, a koji su pohađali seminare i obučavali se na teme iz ove oblasti, u cilju jačanja prevencije u otkrivanja nepravilnosti i prevara, a samim tim podigli stepen zaštite finansijskih interesa EU.</w:t>
            </w:r>
          </w:p>
        </w:tc>
      </w:tr>
      <w:tr w:rsidR="00B76EFF" w:rsidRPr="00B76EFF" w:rsidTr="00B76EFF">
        <w:tc>
          <w:tcPr>
            <w:tcW w:w="405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Podaci koje je potrebno prikupiti</w:t>
            </w:r>
          </w:p>
        </w:tc>
        <w:tc>
          <w:tcPr>
            <w:tcW w:w="10071" w:type="dxa"/>
            <w:gridSpan w:val="4"/>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 xml:space="preserve">Broj službenika koji su prisustvovali obukama u oblasti Zaštita finansijskih interesa EU </w:t>
            </w:r>
          </w:p>
        </w:tc>
      </w:tr>
      <w:tr w:rsidR="00B76EFF" w:rsidRPr="00B76EFF" w:rsidTr="00B76EFF">
        <w:tc>
          <w:tcPr>
            <w:tcW w:w="405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Izvor podataka</w:t>
            </w:r>
          </w:p>
        </w:tc>
        <w:tc>
          <w:tcPr>
            <w:tcW w:w="10071" w:type="dxa"/>
            <w:gridSpan w:val="4"/>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Liste prisustva obukama ili sertifikati o završenoj obuci</w:t>
            </w:r>
          </w:p>
        </w:tc>
      </w:tr>
      <w:tr w:rsidR="00B76EFF" w:rsidRPr="00B76EFF" w:rsidTr="00B76EFF">
        <w:tc>
          <w:tcPr>
            <w:tcW w:w="405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Informacija o instituciji odgovornoj za prikupljanje podataka</w:t>
            </w:r>
          </w:p>
        </w:tc>
        <w:tc>
          <w:tcPr>
            <w:tcW w:w="10071" w:type="dxa"/>
            <w:gridSpan w:val="4"/>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Direkcija za zaštitu finansijskih interesa EU/AFCOS – Ministarstvo finansija</w:t>
            </w:r>
          </w:p>
          <w:p w:rsidR="00B76EFF" w:rsidRPr="00B76EFF" w:rsidRDefault="00B76EFF" w:rsidP="00B76EFF">
            <w:pPr>
              <w:spacing w:after="160" w:line="259" w:lineRule="auto"/>
              <w:rPr>
                <w:rFonts w:ascii="Arial" w:hAnsi="Arial" w:cs="Arial"/>
                <w:sz w:val="22"/>
                <w:szCs w:val="22"/>
                <w:lang w:val="sr-Latn-ME" w:eastAsia="en-US"/>
              </w:rPr>
            </w:pPr>
          </w:p>
        </w:tc>
      </w:tr>
      <w:tr w:rsidR="00B76EFF" w:rsidRPr="00B76EFF" w:rsidTr="00B76EFF">
        <w:tc>
          <w:tcPr>
            <w:tcW w:w="405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Učestalost prikupljanja podataka</w:t>
            </w:r>
          </w:p>
        </w:tc>
        <w:tc>
          <w:tcPr>
            <w:tcW w:w="10071" w:type="dxa"/>
            <w:gridSpan w:val="4"/>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Na svakoj obuci</w:t>
            </w:r>
          </w:p>
        </w:tc>
      </w:tr>
      <w:tr w:rsidR="00B76EFF" w:rsidRPr="00B76EFF" w:rsidTr="00B76EFF">
        <w:tc>
          <w:tcPr>
            <w:tcW w:w="405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Učestalost izvještavanja o vrijednosti indikatora</w:t>
            </w:r>
          </w:p>
        </w:tc>
        <w:tc>
          <w:tcPr>
            <w:tcW w:w="10071" w:type="dxa"/>
            <w:gridSpan w:val="4"/>
            <w:tcBorders>
              <w:bottom w:val="single" w:sz="4" w:space="0" w:color="auto"/>
            </w:tcBorders>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Jednom u dvije godine – prilikom evaluacije Akcionog plana</w:t>
            </w:r>
          </w:p>
        </w:tc>
      </w:tr>
      <w:tr w:rsidR="00B76EFF" w:rsidRPr="00B76EFF" w:rsidTr="00B76EFF">
        <w:tc>
          <w:tcPr>
            <w:tcW w:w="405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Kratak opis metodologije izračunavanja podataka</w:t>
            </w:r>
          </w:p>
        </w:tc>
        <w:tc>
          <w:tcPr>
            <w:tcW w:w="10071" w:type="dxa"/>
            <w:gridSpan w:val="4"/>
            <w:tcBorders>
              <w:bottom w:val="single" w:sz="4" w:space="0" w:color="auto"/>
            </w:tcBorders>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Sabiranje ukupnog broja obučenih službenika na svakoj relevantnoj obuci.</w:t>
            </w:r>
            <w:r w:rsidRPr="00B76EFF">
              <w:rPr>
                <w:rFonts w:ascii="Arial" w:hAnsi="Arial" w:cs="Arial"/>
                <w:sz w:val="22"/>
                <w:szCs w:val="22"/>
                <w:lang w:val="sr-Latn-ME" w:eastAsia="en-US"/>
              </w:rPr>
              <w:br/>
              <w:t>Početna / osnovna vrijednost postavljena je u skladu sa statistikom prisustva obukama iz 2024. godine.</w:t>
            </w:r>
          </w:p>
        </w:tc>
      </w:tr>
      <w:tr w:rsidR="00B76EFF" w:rsidRPr="00B76EFF" w:rsidTr="00B76EFF">
        <w:tc>
          <w:tcPr>
            <w:tcW w:w="4059" w:type="dxa"/>
            <w:vMerge w:val="restart"/>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Informacija o početnoj vrijednosti i o ciljnim vrijednostima</w:t>
            </w:r>
          </w:p>
        </w:tc>
        <w:tc>
          <w:tcPr>
            <w:tcW w:w="2409"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Godina</w:t>
            </w:r>
          </w:p>
        </w:tc>
        <w:tc>
          <w:tcPr>
            <w:tcW w:w="2410"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b/>
                <w:sz w:val="22"/>
                <w:szCs w:val="22"/>
                <w:lang w:val="sr-Latn-ME" w:eastAsia="en-US"/>
              </w:rPr>
              <w:t>Početna vrijednost u 2024</w:t>
            </w:r>
          </w:p>
        </w:tc>
        <w:tc>
          <w:tcPr>
            <w:tcW w:w="2410"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b/>
                <w:sz w:val="22"/>
                <w:szCs w:val="22"/>
                <w:lang w:val="sr-Latn-ME" w:eastAsia="en-US"/>
              </w:rPr>
              <w:t>Željena vrijednost u 2026</w:t>
            </w:r>
          </w:p>
        </w:tc>
        <w:tc>
          <w:tcPr>
            <w:tcW w:w="2842"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b/>
                <w:sz w:val="22"/>
                <w:szCs w:val="22"/>
                <w:lang w:val="sr-Latn-ME" w:eastAsia="en-US"/>
              </w:rPr>
              <w:t>Željena vrijednost u 2028</w:t>
            </w:r>
          </w:p>
        </w:tc>
      </w:tr>
      <w:bookmarkEnd w:id="25"/>
      <w:tr w:rsidR="00B76EFF" w:rsidRPr="00B76EFF" w:rsidTr="00B76EFF">
        <w:tc>
          <w:tcPr>
            <w:tcW w:w="4059" w:type="dxa"/>
            <w:vMerge/>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p>
        </w:tc>
        <w:tc>
          <w:tcPr>
            <w:tcW w:w="2409"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Vrijednost</w:t>
            </w:r>
          </w:p>
        </w:tc>
        <w:tc>
          <w:tcPr>
            <w:tcW w:w="2410"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25</w:t>
            </w:r>
          </w:p>
        </w:tc>
        <w:tc>
          <w:tcPr>
            <w:tcW w:w="2410"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35 (u 2025-2026) jednako zastupljeni muskarci i žene</w:t>
            </w:r>
          </w:p>
        </w:tc>
        <w:tc>
          <w:tcPr>
            <w:tcW w:w="2842" w:type="dxa"/>
            <w:vAlign w:val="center"/>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40 (u 2027-2028) jednako zastupljeni muskarci i žene</w:t>
            </w:r>
          </w:p>
        </w:tc>
      </w:tr>
    </w:tbl>
    <w:p w:rsidR="00B76EFF" w:rsidRPr="00B76EFF" w:rsidRDefault="00B76EFF" w:rsidP="00B76EFF">
      <w:pPr>
        <w:spacing w:after="160" w:line="259" w:lineRule="auto"/>
        <w:rPr>
          <w:rFonts w:ascii="Arial" w:hAnsi="Arial" w:cs="Arial"/>
        </w:rPr>
      </w:pPr>
    </w:p>
    <w:p w:rsidR="00B76EFF" w:rsidRPr="00B76EFF" w:rsidRDefault="00B76EFF" w:rsidP="00B76EFF">
      <w:pPr>
        <w:spacing w:after="160" w:line="259" w:lineRule="auto"/>
        <w:rPr>
          <w:rFonts w:ascii="Arial" w:hAnsi="Arial" w:cs="Arial"/>
          <w:lang w:val="sr-Latn-ME"/>
        </w:rPr>
      </w:pPr>
      <w:r w:rsidRPr="00B76EFF">
        <w:rPr>
          <w:rFonts w:ascii="Arial" w:hAnsi="Arial" w:cs="Arial"/>
          <w:lang w:val="sr-Latn-ME"/>
        </w:rPr>
        <w:t>Pasoš br. 8 (za indikator uspjeha 4.1)</w:t>
      </w:r>
    </w:p>
    <w:tbl>
      <w:tblPr>
        <w:tblStyle w:val="TableGrid"/>
        <w:tblW w:w="14125" w:type="dxa"/>
        <w:jc w:val="center"/>
        <w:tblLook w:val="04A0" w:firstRow="1" w:lastRow="0" w:firstColumn="1" w:lastColumn="0" w:noHBand="0" w:noVBand="1"/>
      </w:tblPr>
      <w:tblGrid>
        <w:gridCol w:w="4199"/>
        <w:gridCol w:w="3325"/>
        <w:gridCol w:w="250"/>
        <w:gridCol w:w="2428"/>
        <w:gridCol w:w="2655"/>
        <w:gridCol w:w="1268"/>
      </w:tblGrid>
      <w:tr w:rsidR="00B76EFF" w:rsidRPr="00B76EFF" w:rsidTr="00B76EFF">
        <w:trPr>
          <w:jc w:val="center"/>
        </w:trPr>
        <w:tc>
          <w:tcPr>
            <w:tcW w:w="4495" w:type="dxa"/>
            <w:shd w:val="clear" w:color="auto" w:fill="657C9C" w:themeFill="text2" w:themeFillTint="BF"/>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Kategorija</w:t>
            </w:r>
          </w:p>
        </w:tc>
        <w:tc>
          <w:tcPr>
            <w:tcW w:w="9630" w:type="dxa"/>
            <w:gridSpan w:val="5"/>
            <w:shd w:val="clear" w:color="auto" w:fill="657C9C" w:themeFill="text2" w:themeFillTint="BF"/>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Opis</w:t>
            </w:r>
          </w:p>
        </w:tc>
      </w:tr>
      <w:tr w:rsidR="00B76EFF" w:rsidRPr="00B76EFF" w:rsidTr="00B76EFF">
        <w:trPr>
          <w:jc w:val="center"/>
        </w:trPr>
        <w:tc>
          <w:tcPr>
            <w:tcW w:w="4495" w:type="dxa"/>
            <w:shd w:val="clear" w:color="auto" w:fill="657C9C" w:themeFill="text2" w:themeFillTint="BF"/>
          </w:tcPr>
          <w:p w:rsidR="00B76EFF" w:rsidRPr="00B76EFF" w:rsidRDefault="00B76EFF" w:rsidP="00B76EFF">
            <w:pPr>
              <w:spacing w:after="160" w:line="259" w:lineRule="auto"/>
              <w:rPr>
                <w:rFonts w:ascii="Arial" w:hAnsi="Arial" w:cs="Arial"/>
                <w:lang w:val="sr-Latn-ME"/>
              </w:rPr>
            </w:pPr>
          </w:p>
        </w:tc>
        <w:tc>
          <w:tcPr>
            <w:tcW w:w="9630" w:type="dxa"/>
            <w:gridSpan w:val="5"/>
            <w:shd w:val="clear" w:color="auto" w:fill="657C9C" w:themeFill="text2" w:themeFillTint="BF"/>
          </w:tcPr>
          <w:p w:rsidR="00B76EFF" w:rsidRPr="00B76EFF" w:rsidRDefault="00B76EFF" w:rsidP="00B76EFF">
            <w:pPr>
              <w:spacing w:after="160" w:line="259" w:lineRule="auto"/>
              <w:rPr>
                <w:rFonts w:ascii="Arial" w:hAnsi="Arial" w:cs="Arial"/>
                <w:lang w:val="sr-Latn-ME"/>
              </w:rPr>
            </w:pPr>
          </w:p>
        </w:tc>
      </w:tr>
      <w:tr w:rsidR="00B76EFF" w:rsidRPr="00B76EFF" w:rsidTr="00B76EFF">
        <w:trPr>
          <w:jc w:val="center"/>
        </w:trPr>
        <w:tc>
          <w:tcPr>
            <w:tcW w:w="4495"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Naziv indikatora</w:t>
            </w:r>
          </w:p>
        </w:tc>
        <w:tc>
          <w:tcPr>
            <w:tcW w:w="9630" w:type="dxa"/>
            <w:gridSpan w:val="5"/>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Procenat nepravilnosti prijavljenih u IMS-u u okviru postavljenih rokova (u roku od 45 dana od PACA datuma)</w:t>
            </w:r>
          </w:p>
        </w:tc>
      </w:tr>
      <w:tr w:rsidR="00B76EFF" w:rsidRPr="00B76EFF" w:rsidTr="00B76EFF">
        <w:trPr>
          <w:jc w:val="center"/>
        </w:trPr>
        <w:tc>
          <w:tcPr>
            <w:tcW w:w="4495"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Cilj na koji se indikator odnosi</w:t>
            </w:r>
          </w:p>
        </w:tc>
        <w:tc>
          <w:tcPr>
            <w:tcW w:w="9630" w:type="dxa"/>
            <w:gridSpan w:val="5"/>
          </w:tcPr>
          <w:p w:rsidR="00B76EFF" w:rsidRPr="00B76EFF" w:rsidRDefault="00B76EFF" w:rsidP="00B76EFF">
            <w:pPr>
              <w:spacing w:after="160" w:line="259" w:lineRule="auto"/>
              <w:rPr>
                <w:rFonts w:ascii="Arial" w:hAnsi="Arial" w:cs="Arial"/>
                <w:b/>
                <w:sz w:val="22"/>
                <w:szCs w:val="22"/>
                <w:lang w:val="sr-Latn-ME" w:eastAsia="en-US"/>
              </w:rPr>
            </w:pPr>
            <w:r w:rsidRPr="00B76EFF">
              <w:rPr>
                <w:rFonts w:ascii="Arial" w:hAnsi="Arial" w:cs="Arial"/>
                <w:b/>
                <w:sz w:val="22"/>
                <w:szCs w:val="22"/>
                <w:lang w:val="sr-Latn-ME" w:eastAsia="en-US"/>
              </w:rPr>
              <w:t>Operativni cilj 4:</w:t>
            </w:r>
            <w:r w:rsidRPr="00B76EFF">
              <w:rPr>
                <w:rFonts w:ascii="Arial" w:hAnsi="Arial" w:cs="Arial"/>
                <w:sz w:val="22"/>
                <w:szCs w:val="22"/>
                <w:lang w:val="sr-Latn-ME" w:eastAsia="en-US"/>
              </w:rPr>
              <w:t xml:space="preserve"> Održavanje kapaciteta za otkrivanje nepravilnosti uz istovremeno poboljšanje kvaliteta izvještavanja o nepravilnostima i unaprijeđenje prepoznavanja crvenih zastavica i znakova prevara</w:t>
            </w:r>
            <w:r w:rsidRPr="00B76EFF">
              <w:rPr>
                <w:rFonts w:ascii="Arial" w:hAnsi="Arial" w:cs="Arial"/>
                <w:b/>
                <w:sz w:val="22"/>
                <w:szCs w:val="22"/>
                <w:lang w:val="sr-Latn-ME" w:eastAsia="en-US"/>
              </w:rPr>
              <w:t>.</w:t>
            </w:r>
          </w:p>
          <w:p w:rsidR="00B76EFF" w:rsidRPr="00B76EFF" w:rsidRDefault="00B76EFF" w:rsidP="00B76EFF">
            <w:pPr>
              <w:spacing w:after="160" w:line="259" w:lineRule="auto"/>
              <w:rPr>
                <w:rFonts w:ascii="Arial" w:hAnsi="Arial" w:cs="Arial"/>
                <w:sz w:val="22"/>
                <w:szCs w:val="22"/>
                <w:lang w:val="sr-Latn-ME" w:eastAsia="en-US"/>
              </w:rPr>
            </w:pPr>
          </w:p>
        </w:tc>
      </w:tr>
      <w:tr w:rsidR="00B76EFF" w:rsidRPr="00B76EFF" w:rsidTr="00B76EFF">
        <w:trPr>
          <w:jc w:val="center"/>
        </w:trPr>
        <w:tc>
          <w:tcPr>
            <w:tcW w:w="4495"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Kratak opis indikatora</w:t>
            </w:r>
          </w:p>
        </w:tc>
        <w:tc>
          <w:tcPr>
            <w:tcW w:w="9630" w:type="dxa"/>
            <w:gridSpan w:val="5"/>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Ovaj indikator će pratiti kvalitet i efikasnost izvještavanja o nepravilnostima identifikovanjem procenta nepravilnosti prijavljenih u roku od 45 dana od PACA datuma u odnosu na ukupan broj nepravilnosti prijavljenih OLAF-u u IMS-u.</w:t>
            </w:r>
          </w:p>
        </w:tc>
      </w:tr>
      <w:tr w:rsidR="00B76EFF" w:rsidRPr="00B76EFF" w:rsidTr="00B76EFF">
        <w:trPr>
          <w:jc w:val="center"/>
        </w:trPr>
        <w:tc>
          <w:tcPr>
            <w:tcW w:w="4495"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Podaci koje je potrebno prikupiti</w:t>
            </w:r>
          </w:p>
        </w:tc>
        <w:tc>
          <w:tcPr>
            <w:tcW w:w="9630" w:type="dxa"/>
            <w:gridSpan w:val="5"/>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 xml:space="preserve">Broj nepravilnosti i njihov vremenski okvir izvještavanja </w:t>
            </w:r>
          </w:p>
        </w:tc>
      </w:tr>
      <w:tr w:rsidR="00B76EFF" w:rsidRPr="00B76EFF" w:rsidTr="00B76EFF">
        <w:trPr>
          <w:jc w:val="center"/>
        </w:trPr>
        <w:tc>
          <w:tcPr>
            <w:tcW w:w="4495"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Izvor podataka</w:t>
            </w:r>
          </w:p>
        </w:tc>
        <w:tc>
          <w:tcPr>
            <w:tcW w:w="9630" w:type="dxa"/>
            <w:gridSpan w:val="5"/>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IMS</w:t>
            </w:r>
          </w:p>
        </w:tc>
      </w:tr>
      <w:tr w:rsidR="00B76EFF" w:rsidRPr="00B76EFF" w:rsidTr="00B76EFF">
        <w:trPr>
          <w:jc w:val="center"/>
        </w:trPr>
        <w:tc>
          <w:tcPr>
            <w:tcW w:w="4495"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Informacija o instituciji odgovornoj za prikupljanje podataka</w:t>
            </w:r>
          </w:p>
        </w:tc>
        <w:tc>
          <w:tcPr>
            <w:tcW w:w="9630" w:type="dxa"/>
            <w:gridSpan w:val="5"/>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Direkcija za zaštitu finansijskih interesa EU/AFCOS – Ministarstvo finansija</w:t>
            </w:r>
          </w:p>
          <w:p w:rsidR="00B76EFF" w:rsidRPr="00B76EFF" w:rsidRDefault="00B76EFF" w:rsidP="00B76EFF">
            <w:pPr>
              <w:spacing w:after="160" w:line="259" w:lineRule="auto"/>
              <w:rPr>
                <w:rFonts w:ascii="Arial" w:hAnsi="Arial" w:cs="Arial"/>
                <w:sz w:val="22"/>
                <w:szCs w:val="22"/>
                <w:lang w:val="sr-Latn-ME" w:eastAsia="en-US"/>
              </w:rPr>
            </w:pPr>
          </w:p>
        </w:tc>
      </w:tr>
      <w:tr w:rsidR="00B76EFF" w:rsidRPr="00B76EFF" w:rsidTr="00B76EFF">
        <w:trPr>
          <w:jc w:val="center"/>
        </w:trPr>
        <w:tc>
          <w:tcPr>
            <w:tcW w:w="4495"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Učestalost prikupljanja podataka</w:t>
            </w:r>
          </w:p>
        </w:tc>
        <w:tc>
          <w:tcPr>
            <w:tcW w:w="9630" w:type="dxa"/>
            <w:gridSpan w:val="5"/>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Na godišnjem nivou</w:t>
            </w:r>
          </w:p>
        </w:tc>
      </w:tr>
      <w:tr w:rsidR="00B76EFF" w:rsidRPr="00B76EFF" w:rsidTr="00B76EFF">
        <w:trPr>
          <w:jc w:val="center"/>
        </w:trPr>
        <w:tc>
          <w:tcPr>
            <w:tcW w:w="4495"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Učestalost izvještavanja o vrijednosti indikatora</w:t>
            </w:r>
          </w:p>
        </w:tc>
        <w:tc>
          <w:tcPr>
            <w:tcW w:w="9630" w:type="dxa"/>
            <w:gridSpan w:val="5"/>
            <w:tcBorders>
              <w:bottom w:val="single" w:sz="4" w:space="0" w:color="auto"/>
            </w:tcBorders>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Jednom u dvije godine – prilikom evaluacije Akcionog plana</w:t>
            </w:r>
          </w:p>
        </w:tc>
      </w:tr>
      <w:tr w:rsidR="00B76EFF" w:rsidRPr="00B76EFF" w:rsidTr="00B76EFF">
        <w:trPr>
          <w:jc w:val="center"/>
        </w:trPr>
        <w:tc>
          <w:tcPr>
            <w:tcW w:w="4495" w:type="dxa"/>
            <w:vMerge w:val="restart"/>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Kratak opis metodologije izračunavanja podataka</w:t>
            </w:r>
          </w:p>
          <w:p w:rsidR="00B76EFF" w:rsidRPr="00B76EFF" w:rsidRDefault="00B76EFF" w:rsidP="00B76EFF">
            <w:pPr>
              <w:spacing w:after="160" w:line="259" w:lineRule="auto"/>
              <w:rPr>
                <w:rFonts w:ascii="Arial" w:hAnsi="Arial" w:cs="Arial"/>
                <w:sz w:val="22"/>
                <w:szCs w:val="22"/>
                <w:lang w:val="sr-Latn-ME" w:eastAsia="en-US"/>
              </w:rPr>
            </w:pPr>
          </w:p>
        </w:tc>
        <w:tc>
          <w:tcPr>
            <w:tcW w:w="9630" w:type="dxa"/>
            <w:gridSpan w:val="5"/>
            <w:tcBorders>
              <w:bottom w:val="nil"/>
            </w:tcBorders>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Broj slučajeva koji su prijavljeni u roku od 45 dana od PACA datuma podijeljen sa ukupnim brojem slučajeva nepravilnosti u IMS-u u relevantnoj godini. Početna / osnovna vrijednost postavljena je na 4% jer je od 77 nepravilnosti prijavljenih u IMS-u (100%) samo 3 (3/77*100=4%) prijavljeno u prvom mjesecu.</w:t>
            </w:r>
            <w:r w:rsidRPr="00B76EFF">
              <w:rPr>
                <w:rFonts w:ascii="Arial" w:hAnsi="Arial" w:cs="Arial"/>
                <w:sz w:val="22"/>
                <w:szCs w:val="22"/>
                <w:vertAlign w:val="superscript"/>
                <w:lang w:val="sr-Latn-ME" w:eastAsia="en-US"/>
              </w:rPr>
              <w:t xml:space="preserve"> </w:t>
            </w:r>
            <w:r w:rsidRPr="00B76EFF">
              <w:rPr>
                <w:rFonts w:ascii="Arial" w:hAnsi="Arial" w:cs="Arial"/>
                <w:sz w:val="22"/>
                <w:szCs w:val="22"/>
                <w:vertAlign w:val="superscript"/>
                <w:lang w:val="sr-Latn-ME" w:eastAsia="en-US"/>
              </w:rPr>
              <w:footnoteReference w:id="16"/>
            </w:r>
            <w:r w:rsidRPr="00B76EFF">
              <w:rPr>
                <w:rFonts w:ascii="Arial" w:hAnsi="Arial" w:cs="Arial"/>
                <w:sz w:val="22"/>
                <w:szCs w:val="22"/>
                <w:lang w:val="sr-Latn-ME" w:eastAsia="en-US"/>
              </w:rPr>
              <w:t xml:space="preserve">. </w:t>
            </w:r>
          </w:p>
        </w:tc>
      </w:tr>
      <w:tr w:rsidR="00B76EFF" w:rsidRPr="00B76EFF" w:rsidTr="00B76EFF">
        <w:trPr>
          <w:jc w:val="center"/>
        </w:trPr>
        <w:tc>
          <w:tcPr>
            <w:tcW w:w="4495" w:type="dxa"/>
            <w:vMerge/>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p>
        </w:tc>
        <w:tc>
          <w:tcPr>
            <w:tcW w:w="3573" w:type="dxa"/>
            <w:vMerge w:val="restart"/>
            <w:tcBorders>
              <w:top w:val="nil"/>
              <w:bottom w:val="single" w:sz="4" w:space="0" w:color="auto"/>
              <w:right w:val="nil"/>
            </w:tcBorders>
          </w:tcPr>
          <w:p w:rsidR="00B76EFF" w:rsidRPr="00B76EFF" w:rsidRDefault="00B76EFF" w:rsidP="00B76EFF">
            <w:pPr>
              <w:spacing w:after="160" w:line="259" w:lineRule="auto"/>
              <w:rPr>
                <w:rFonts w:ascii="Arial" w:hAnsi="Arial" w:cs="Arial"/>
                <w:sz w:val="22"/>
                <w:szCs w:val="22"/>
                <w:lang w:val="sr-Latn-ME" w:eastAsia="en-US"/>
              </w:rPr>
            </w:pPr>
          </w:p>
        </w:tc>
        <w:tc>
          <w:tcPr>
            <w:tcW w:w="2813" w:type="dxa"/>
            <w:gridSpan w:val="2"/>
            <w:vMerge w:val="restart"/>
            <w:tcBorders>
              <w:top w:val="nil"/>
              <w:left w:val="nil"/>
              <w:bottom w:val="single" w:sz="4" w:space="0" w:color="auto"/>
              <w:right w:val="nil"/>
            </w:tcBorders>
            <w:vAlign w:val="center"/>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Procenat nepravilnosti prijavljenih u IMS-u na vrijeme=</w:t>
            </w:r>
          </w:p>
        </w:tc>
        <w:tc>
          <w:tcPr>
            <w:tcW w:w="2791" w:type="dxa"/>
            <w:tcBorders>
              <w:top w:val="nil"/>
              <w:left w:val="nil"/>
              <w:bottom w:val="single" w:sz="4" w:space="0" w:color="auto"/>
              <w:right w:val="nil"/>
            </w:tcBorders>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Broj nepravilnosti prijavljenih u roku od 45 dana od PACA datuma (u određenom periodu)</w:t>
            </w:r>
          </w:p>
        </w:tc>
        <w:tc>
          <w:tcPr>
            <w:tcW w:w="453" w:type="dxa"/>
            <w:vMerge w:val="restart"/>
            <w:tcBorders>
              <w:top w:val="nil"/>
              <w:left w:val="nil"/>
              <w:bottom w:val="single" w:sz="4" w:space="0" w:color="auto"/>
            </w:tcBorders>
            <w:vAlign w:val="center"/>
          </w:tcPr>
          <w:p w:rsidR="00B76EFF" w:rsidRPr="00B76EFF" w:rsidRDefault="00B76EFF" w:rsidP="00B76EFF">
            <w:pPr>
              <w:spacing w:after="160" w:line="259" w:lineRule="auto"/>
              <w:rPr>
                <w:rFonts w:ascii="Arial" w:hAnsi="Arial" w:cs="Arial"/>
                <w:sz w:val="22"/>
                <w:szCs w:val="22"/>
                <w:lang w:val="sr-Latn-ME" w:eastAsia="en-US"/>
              </w:rPr>
            </w:pPr>
          </w:p>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X 100</w:t>
            </w:r>
          </w:p>
        </w:tc>
      </w:tr>
      <w:tr w:rsidR="00B76EFF" w:rsidRPr="00B76EFF" w:rsidTr="00B76EFF">
        <w:trPr>
          <w:jc w:val="center"/>
        </w:trPr>
        <w:tc>
          <w:tcPr>
            <w:tcW w:w="4495" w:type="dxa"/>
            <w:vMerge/>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p>
        </w:tc>
        <w:tc>
          <w:tcPr>
            <w:tcW w:w="3573" w:type="dxa"/>
            <w:vMerge/>
            <w:tcBorders>
              <w:top w:val="single" w:sz="4" w:space="0" w:color="auto"/>
              <w:bottom w:val="nil"/>
              <w:right w:val="nil"/>
            </w:tcBorders>
          </w:tcPr>
          <w:p w:rsidR="00B76EFF" w:rsidRPr="00B76EFF" w:rsidRDefault="00B76EFF" w:rsidP="00B76EFF">
            <w:pPr>
              <w:spacing w:after="160" w:line="259" w:lineRule="auto"/>
              <w:rPr>
                <w:rFonts w:ascii="Arial" w:hAnsi="Arial" w:cs="Arial"/>
                <w:sz w:val="22"/>
                <w:szCs w:val="22"/>
                <w:lang w:val="sr-Latn-ME" w:eastAsia="en-US"/>
              </w:rPr>
            </w:pPr>
          </w:p>
        </w:tc>
        <w:tc>
          <w:tcPr>
            <w:tcW w:w="2813" w:type="dxa"/>
            <w:gridSpan w:val="2"/>
            <w:vMerge/>
            <w:tcBorders>
              <w:top w:val="single" w:sz="4" w:space="0" w:color="auto"/>
              <w:left w:val="nil"/>
              <w:bottom w:val="nil"/>
              <w:right w:val="nil"/>
            </w:tcBorders>
          </w:tcPr>
          <w:p w:rsidR="00B76EFF" w:rsidRPr="00B76EFF" w:rsidRDefault="00B76EFF" w:rsidP="00B76EFF">
            <w:pPr>
              <w:spacing w:after="160" w:line="259" w:lineRule="auto"/>
              <w:rPr>
                <w:rFonts w:ascii="Arial" w:hAnsi="Arial" w:cs="Arial"/>
                <w:sz w:val="22"/>
                <w:szCs w:val="22"/>
                <w:lang w:val="sr-Latn-ME" w:eastAsia="en-US"/>
              </w:rPr>
            </w:pPr>
          </w:p>
        </w:tc>
        <w:tc>
          <w:tcPr>
            <w:tcW w:w="2791" w:type="dxa"/>
            <w:tcBorders>
              <w:top w:val="single" w:sz="4" w:space="0" w:color="auto"/>
              <w:left w:val="nil"/>
              <w:bottom w:val="single" w:sz="4" w:space="0" w:color="auto"/>
              <w:right w:val="nil"/>
            </w:tcBorders>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Ukupan broj nepravilnosti (u određenom periodu)</w:t>
            </w:r>
          </w:p>
        </w:tc>
        <w:tc>
          <w:tcPr>
            <w:tcW w:w="453" w:type="dxa"/>
            <w:vMerge/>
            <w:tcBorders>
              <w:top w:val="single" w:sz="4" w:space="0" w:color="auto"/>
              <w:left w:val="nil"/>
              <w:bottom w:val="nil"/>
            </w:tcBorders>
          </w:tcPr>
          <w:p w:rsidR="00B76EFF" w:rsidRPr="00B76EFF" w:rsidRDefault="00B76EFF" w:rsidP="00B76EFF">
            <w:pPr>
              <w:spacing w:after="160" w:line="259" w:lineRule="auto"/>
              <w:rPr>
                <w:rFonts w:ascii="Arial" w:hAnsi="Arial" w:cs="Arial"/>
                <w:sz w:val="22"/>
                <w:szCs w:val="22"/>
                <w:lang w:val="sr-Latn-ME" w:eastAsia="en-US"/>
              </w:rPr>
            </w:pPr>
          </w:p>
        </w:tc>
      </w:tr>
      <w:tr w:rsidR="00B76EFF" w:rsidRPr="00B76EFF" w:rsidTr="00B76EFF">
        <w:trPr>
          <w:jc w:val="center"/>
        </w:trPr>
        <w:tc>
          <w:tcPr>
            <w:tcW w:w="4495" w:type="dxa"/>
            <w:vMerge w:val="restart"/>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Informacija o početnoj vrijednosti i o ciljnim vrijednostima</w:t>
            </w:r>
          </w:p>
        </w:tc>
        <w:tc>
          <w:tcPr>
            <w:tcW w:w="3845" w:type="dxa"/>
            <w:gridSpan w:val="2"/>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Godina</w:t>
            </w:r>
          </w:p>
        </w:tc>
        <w:tc>
          <w:tcPr>
            <w:tcW w:w="2541"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b/>
                <w:sz w:val="22"/>
                <w:szCs w:val="22"/>
                <w:lang w:val="sr-Latn-ME" w:eastAsia="en-US"/>
              </w:rPr>
              <w:t>Početna vrijednost u 2024</w:t>
            </w:r>
          </w:p>
        </w:tc>
        <w:tc>
          <w:tcPr>
            <w:tcW w:w="2791"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b/>
                <w:sz w:val="22"/>
                <w:szCs w:val="22"/>
                <w:lang w:val="sr-Latn-ME" w:eastAsia="en-US"/>
              </w:rPr>
              <w:t>Željena vrijednost u 2026</w:t>
            </w:r>
          </w:p>
        </w:tc>
        <w:tc>
          <w:tcPr>
            <w:tcW w:w="453"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b/>
                <w:sz w:val="22"/>
                <w:szCs w:val="22"/>
                <w:lang w:val="sr-Latn-ME" w:eastAsia="en-US"/>
              </w:rPr>
              <w:t>Željena vrijednost u 2028</w:t>
            </w:r>
          </w:p>
        </w:tc>
      </w:tr>
      <w:tr w:rsidR="00B76EFF" w:rsidRPr="00B76EFF" w:rsidTr="00B76EFF">
        <w:trPr>
          <w:jc w:val="center"/>
        </w:trPr>
        <w:tc>
          <w:tcPr>
            <w:tcW w:w="4495" w:type="dxa"/>
            <w:vMerge/>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p>
        </w:tc>
        <w:tc>
          <w:tcPr>
            <w:tcW w:w="3845" w:type="dxa"/>
            <w:gridSpan w:val="2"/>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Vrijednost</w:t>
            </w:r>
          </w:p>
        </w:tc>
        <w:tc>
          <w:tcPr>
            <w:tcW w:w="2541"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4%</w:t>
            </w:r>
          </w:p>
        </w:tc>
        <w:tc>
          <w:tcPr>
            <w:tcW w:w="2791"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40%</w:t>
            </w:r>
          </w:p>
        </w:tc>
        <w:tc>
          <w:tcPr>
            <w:tcW w:w="453" w:type="dxa"/>
            <w:vAlign w:val="center"/>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65%</w:t>
            </w:r>
          </w:p>
        </w:tc>
      </w:tr>
    </w:tbl>
    <w:p w:rsidR="00B76EFF" w:rsidRPr="00B76EFF" w:rsidRDefault="00B76EFF" w:rsidP="00B76EFF">
      <w:pPr>
        <w:spacing w:after="160" w:line="259" w:lineRule="auto"/>
        <w:rPr>
          <w:rFonts w:ascii="Arial" w:hAnsi="Arial" w:cs="Arial"/>
        </w:rPr>
      </w:pPr>
    </w:p>
    <w:p w:rsidR="00B76EFF" w:rsidRPr="00B76EFF" w:rsidRDefault="00B76EFF" w:rsidP="00B76EFF">
      <w:pPr>
        <w:spacing w:after="160" w:line="259" w:lineRule="auto"/>
        <w:rPr>
          <w:rFonts w:ascii="Arial" w:hAnsi="Arial" w:cs="Arial"/>
          <w:lang w:val="sr-Latn-ME"/>
        </w:rPr>
      </w:pPr>
      <w:r w:rsidRPr="00B76EFF">
        <w:rPr>
          <w:rFonts w:ascii="Arial" w:hAnsi="Arial" w:cs="Arial"/>
          <w:lang w:val="sr-Latn-ME"/>
        </w:rPr>
        <w:t>Pasoš br. 9 (za indikator uspjeha 4.2)</w:t>
      </w:r>
    </w:p>
    <w:tbl>
      <w:tblPr>
        <w:tblStyle w:val="TableGrid"/>
        <w:tblW w:w="14130" w:type="dxa"/>
        <w:tblInd w:w="-95" w:type="dxa"/>
        <w:tblLook w:val="04A0" w:firstRow="1" w:lastRow="0" w:firstColumn="1" w:lastColumn="0" w:noHBand="0" w:noVBand="1"/>
      </w:tblPr>
      <w:tblGrid>
        <w:gridCol w:w="4059"/>
        <w:gridCol w:w="1276"/>
        <w:gridCol w:w="1133"/>
        <w:gridCol w:w="1542"/>
        <w:gridCol w:w="868"/>
        <w:gridCol w:w="2410"/>
        <w:gridCol w:w="2842"/>
      </w:tblGrid>
      <w:tr w:rsidR="00B76EFF" w:rsidRPr="00B76EFF" w:rsidTr="00B76EFF">
        <w:tc>
          <w:tcPr>
            <w:tcW w:w="4059" w:type="dxa"/>
            <w:shd w:val="clear" w:color="auto" w:fill="657C9C" w:themeFill="text2" w:themeFillTint="BF"/>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Kategorija</w:t>
            </w:r>
          </w:p>
        </w:tc>
        <w:tc>
          <w:tcPr>
            <w:tcW w:w="10071" w:type="dxa"/>
            <w:gridSpan w:val="6"/>
            <w:shd w:val="clear" w:color="auto" w:fill="657C9C" w:themeFill="text2" w:themeFillTint="BF"/>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Opis</w:t>
            </w:r>
          </w:p>
        </w:tc>
      </w:tr>
      <w:tr w:rsidR="00B76EFF" w:rsidRPr="00B76EFF" w:rsidTr="00B76EFF">
        <w:tc>
          <w:tcPr>
            <w:tcW w:w="405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bookmarkStart w:id="26" w:name="_Hlk193285836"/>
            <w:r w:rsidRPr="00B76EFF">
              <w:rPr>
                <w:rFonts w:ascii="Arial" w:hAnsi="Arial" w:cs="Arial"/>
                <w:sz w:val="22"/>
                <w:szCs w:val="22"/>
                <w:lang w:val="sr-Latn-ME" w:eastAsia="en-US"/>
              </w:rPr>
              <w:t>Naziv indikatora</w:t>
            </w:r>
          </w:p>
        </w:tc>
        <w:tc>
          <w:tcPr>
            <w:tcW w:w="10071" w:type="dxa"/>
            <w:gridSpan w:val="6"/>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Procenat nepravilnosti prijavljenih kao sumnja na prevaru</w:t>
            </w:r>
          </w:p>
        </w:tc>
      </w:tr>
      <w:tr w:rsidR="00B76EFF" w:rsidRPr="00B76EFF" w:rsidTr="00B76EFF">
        <w:tc>
          <w:tcPr>
            <w:tcW w:w="405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Cilj na koji se indikator odnosi</w:t>
            </w:r>
          </w:p>
        </w:tc>
        <w:tc>
          <w:tcPr>
            <w:tcW w:w="10071" w:type="dxa"/>
            <w:gridSpan w:val="6"/>
          </w:tcPr>
          <w:p w:rsidR="00B76EFF" w:rsidRPr="00B76EFF" w:rsidRDefault="00B76EFF" w:rsidP="00B76EFF">
            <w:pPr>
              <w:spacing w:after="160" w:line="259" w:lineRule="auto"/>
              <w:rPr>
                <w:rFonts w:ascii="Arial" w:hAnsi="Arial" w:cs="Arial"/>
                <w:b/>
                <w:sz w:val="22"/>
                <w:szCs w:val="22"/>
                <w:lang w:val="sr-Latn-ME" w:eastAsia="en-US"/>
              </w:rPr>
            </w:pPr>
            <w:r w:rsidRPr="00B76EFF">
              <w:rPr>
                <w:rFonts w:ascii="Arial" w:hAnsi="Arial" w:cs="Arial"/>
                <w:b/>
                <w:sz w:val="22"/>
                <w:szCs w:val="22"/>
                <w:lang w:val="sr-Latn-ME" w:eastAsia="en-US"/>
              </w:rPr>
              <w:t>Operativni cilj 4:</w:t>
            </w:r>
            <w:r w:rsidRPr="00B76EFF">
              <w:rPr>
                <w:rFonts w:ascii="Arial" w:hAnsi="Arial" w:cs="Arial"/>
                <w:sz w:val="22"/>
                <w:szCs w:val="22"/>
                <w:lang w:val="sr-Latn-ME" w:eastAsia="en-US"/>
              </w:rPr>
              <w:t xml:space="preserve"> Održavanje kapaciteta za otkrivanje nepravilnosti uz istovremeno poboljšanje kvaliteta izvještavanja o nepravilnostima i unaprijeđenje prepoznavanja crvenih zastavica i znakova prevara</w:t>
            </w:r>
            <w:r w:rsidRPr="00B76EFF">
              <w:rPr>
                <w:rFonts w:ascii="Arial" w:hAnsi="Arial" w:cs="Arial"/>
                <w:b/>
                <w:sz w:val="22"/>
                <w:szCs w:val="22"/>
                <w:lang w:val="sr-Latn-ME" w:eastAsia="en-US"/>
              </w:rPr>
              <w:t>.</w:t>
            </w:r>
          </w:p>
        </w:tc>
      </w:tr>
      <w:tr w:rsidR="00B76EFF" w:rsidRPr="00B76EFF" w:rsidTr="00B76EFF">
        <w:tc>
          <w:tcPr>
            <w:tcW w:w="405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Kratak opis indikatora</w:t>
            </w:r>
          </w:p>
        </w:tc>
        <w:tc>
          <w:tcPr>
            <w:tcW w:w="10071" w:type="dxa"/>
            <w:gridSpan w:val="6"/>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Ovaj indikator će pratiti procenat nepravilnosti koje su identifikovane kao prevarne u odnosu na sve prijavljene nepravilnosti.</w:t>
            </w:r>
          </w:p>
        </w:tc>
      </w:tr>
      <w:tr w:rsidR="00B76EFF" w:rsidRPr="00B76EFF" w:rsidTr="00B76EFF">
        <w:tc>
          <w:tcPr>
            <w:tcW w:w="405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Podaci koje je potrebno prikupiti</w:t>
            </w:r>
          </w:p>
        </w:tc>
        <w:tc>
          <w:tcPr>
            <w:tcW w:w="10071" w:type="dxa"/>
            <w:gridSpan w:val="6"/>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Broj nepravilnosti, kako prevarnih, tako i neprevarnih</w:t>
            </w:r>
          </w:p>
        </w:tc>
      </w:tr>
      <w:tr w:rsidR="00B76EFF" w:rsidRPr="00B76EFF" w:rsidTr="00B76EFF">
        <w:tc>
          <w:tcPr>
            <w:tcW w:w="405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Izvor podataka</w:t>
            </w:r>
          </w:p>
        </w:tc>
        <w:tc>
          <w:tcPr>
            <w:tcW w:w="10071" w:type="dxa"/>
            <w:gridSpan w:val="6"/>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IMS</w:t>
            </w:r>
          </w:p>
        </w:tc>
      </w:tr>
      <w:tr w:rsidR="00B76EFF" w:rsidRPr="00B76EFF" w:rsidTr="00B76EFF">
        <w:tc>
          <w:tcPr>
            <w:tcW w:w="405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Informacija o instituciji odgovornoj za prikupljanje podataka</w:t>
            </w:r>
          </w:p>
        </w:tc>
        <w:tc>
          <w:tcPr>
            <w:tcW w:w="10071" w:type="dxa"/>
            <w:gridSpan w:val="6"/>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Direkcija za zaštitu finansijskih interesa EU/AFCOS – Ministarstvo finansija</w:t>
            </w:r>
          </w:p>
          <w:p w:rsidR="00B76EFF" w:rsidRPr="00B76EFF" w:rsidRDefault="00B76EFF" w:rsidP="00B76EFF">
            <w:pPr>
              <w:spacing w:after="160" w:line="259" w:lineRule="auto"/>
              <w:rPr>
                <w:rFonts w:ascii="Arial" w:hAnsi="Arial" w:cs="Arial"/>
                <w:sz w:val="22"/>
                <w:szCs w:val="22"/>
                <w:lang w:val="sr-Latn-ME" w:eastAsia="en-US"/>
              </w:rPr>
            </w:pPr>
          </w:p>
        </w:tc>
      </w:tr>
      <w:tr w:rsidR="00B76EFF" w:rsidRPr="00B76EFF" w:rsidTr="00B76EFF">
        <w:tc>
          <w:tcPr>
            <w:tcW w:w="405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Učestalost prikupljanja podataka</w:t>
            </w:r>
          </w:p>
        </w:tc>
        <w:tc>
          <w:tcPr>
            <w:tcW w:w="10071" w:type="dxa"/>
            <w:gridSpan w:val="6"/>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Jednom u dvije godine</w:t>
            </w:r>
          </w:p>
        </w:tc>
      </w:tr>
      <w:tr w:rsidR="00B76EFF" w:rsidRPr="00B76EFF" w:rsidTr="00B76EFF">
        <w:tc>
          <w:tcPr>
            <w:tcW w:w="405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Učestalost izvještavanja o vrijednosti indikatora</w:t>
            </w:r>
          </w:p>
        </w:tc>
        <w:tc>
          <w:tcPr>
            <w:tcW w:w="10071" w:type="dxa"/>
            <w:gridSpan w:val="6"/>
            <w:tcBorders>
              <w:bottom w:val="single" w:sz="4" w:space="0" w:color="auto"/>
            </w:tcBorders>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Jednom u dvije godine – prilikom evaluacije Akcionog plana</w:t>
            </w:r>
          </w:p>
        </w:tc>
      </w:tr>
      <w:tr w:rsidR="00B76EFF" w:rsidRPr="00B76EFF" w:rsidTr="00B76EFF">
        <w:tc>
          <w:tcPr>
            <w:tcW w:w="4059" w:type="dxa"/>
            <w:vMerge w:val="restart"/>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Kratak opis metodologije izračunavanja podataka</w:t>
            </w:r>
          </w:p>
          <w:p w:rsidR="00B76EFF" w:rsidRPr="00B76EFF" w:rsidRDefault="00B76EFF" w:rsidP="00B76EFF">
            <w:pPr>
              <w:spacing w:after="160" w:line="259" w:lineRule="auto"/>
              <w:rPr>
                <w:rFonts w:ascii="Arial" w:hAnsi="Arial" w:cs="Arial"/>
                <w:sz w:val="22"/>
                <w:szCs w:val="22"/>
                <w:lang w:val="sr-Latn-ME" w:eastAsia="en-US"/>
              </w:rPr>
            </w:pPr>
          </w:p>
        </w:tc>
        <w:tc>
          <w:tcPr>
            <w:tcW w:w="10071" w:type="dxa"/>
            <w:gridSpan w:val="6"/>
            <w:tcBorders>
              <w:bottom w:val="nil"/>
            </w:tcBorders>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Procenat nepravilnosti prijavljenih kao sumnja na prevaru (u prosjeku godišnje) računa se tako što se ukupan  broj slučajeva koji su prijavljeni kao prevara dijeli sa ukupnim brojem nepravilnosti prijavljenih u IMS-u u posljednjoj godini..</w:t>
            </w:r>
            <w:r w:rsidRPr="00B76EFF">
              <w:rPr>
                <w:rFonts w:ascii="Arial" w:hAnsi="Arial" w:cs="Arial"/>
                <w:sz w:val="22"/>
                <w:szCs w:val="22"/>
                <w:lang w:val="sr-Latn-ME" w:eastAsia="en-US"/>
              </w:rPr>
              <w:br/>
              <w:t>Početna / osnovna vrijednost postavljena je na 5%, jer je od 2018. godine, od ukupnog broja prijavljenih nepravilnosti (77), samo četiri (4) slučaja prijavljena kao sumnja na prevaru</w:t>
            </w:r>
            <w:r w:rsidRPr="00B76EFF">
              <w:rPr>
                <w:rFonts w:ascii="Arial" w:hAnsi="Arial" w:cs="Arial"/>
                <w:sz w:val="22"/>
                <w:szCs w:val="22"/>
                <w:vertAlign w:val="superscript"/>
                <w:lang w:val="sr-Latn-ME" w:eastAsia="en-US"/>
              </w:rPr>
              <w:t xml:space="preserve"> </w:t>
            </w:r>
            <w:r w:rsidRPr="00B76EFF">
              <w:rPr>
                <w:rFonts w:ascii="Arial" w:hAnsi="Arial" w:cs="Arial"/>
                <w:sz w:val="22"/>
                <w:szCs w:val="22"/>
                <w:vertAlign w:val="superscript"/>
                <w:lang w:val="sr-Latn-ME" w:eastAsia="en-US"/>
              </w:rPr>
              <w:footnoteReference w:id="17"/>
            </w:r>
            <w:r w:rsidRPr="00B76EFF">
              <w:rPr>
                <w:rFonts w:ascii="Arial" w:hAnsi="Arial" w:cs="Arial"/>
                <w:sz w:val="22"/>
                <w:szCs w:val="22"/>
                <w:lang w:val="sr-Latn-ME" w:eastAsia="en-US"/>
              </w:rPr>
              <w:t xml:space="preserve"> – dakle, 5% nepravilnosti prijavljeno je kao prevarno.</w:t>
            </w:r>
          </w:p>
        </w:tc>
      </w:tr>
      <w:tr w:rsidR="00B76EFF" w:rsidRPr="00B76EFF" w:rsidTr="00B76EFF">
        <w:tc>
          <w:tcPr>
            <w:tcW w:w="4059" w:type="dxa"/>
            <w:vMerge/>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p>
        </w:tc>
        <w:tc>
          <w:tcPr>
            <w:tcW w:w="1276" w:type="dxa"/>
            <w:vMerge w:val="restart"/>
            <w:tcBorders>
              <w:top w:val="nil"/>
              <w:right w:val="nil"/>
            </w:tcBorders>
          </w:tcPr>
          <w:p w:rsidR="00B76EFF" w:rsidRPr="00B76EFF" w:rsidRDefault="00B76EFF" w:rsidP="00B76EFF">
            <w:pPr>
              <w:spacing w:after="160" w:line="259" w:lineRule="auto"/>
              <w:rPr>
                <w:rFonts w:ascii="Arial" w:hAnsi="Arial" w:cs="Arial"/>
                <w:sz w:val="22"/>
                <w:szCs w:val="22"/>
                <w:lang w:val="sr-Latn-ME" w:eastAsia="en-US"/>
              </w:rPr>
            </w:pPr>
          </w:p>
          <w:p w:rsidR="00B76EFF" w:rsidRPr="00B76EFF" w:rsidRDefault="00B76EFF" w:rsidP="00B76EFF">
            <w:pPr>
              <w:spacing w:after="160" w:line="259" w:lineRule="auto"/>
              <w:rPr>
                <w:rFonts w:ascii="Arial" w:hAnsi="Arial" w:cs="Arial"/>
                <w:sz w:val="22"/>
                <w:szCs w:val="22"/>
                <w:lang w:val="sr-Latn-ME" w:eastAsia="en-US"/>
              </w:rPr>
            </w:pPr>
          </w:p>
          <w:p w:rsidR="00B76EFF" w:rsidRPr="00B76EFF" w:rsidRDefault="00B76EFF" w:rsidP="00B76EFF">
            <w:pPr>
              <w:spacing w:after="160" w:line="259" w:lineRule="auto"/>
              <w:rPr>
                <w:rFonts w:ascii="Arial" w:hAnsi="Arial" w:cs="Arial"/>
                <w:sz w:val="22"/>
                <w:szCs w:val="22"/>
                <w:lang w:val="sr-Latn-ME" w:eastAsia="en-US"/>
              </w:rPr>
            </w:pPr>
          </w:p>
          <w:p w:rsidR="00B76EFF" w:rsidRPr="00B76EFF" w:rsidRDefault="00B76EFF" w:rsidP="00B76EFF">
            <w:pPr>
              <w:spacing w:after="160" w:line="259" w:lineRule="auto"/>
              <w:rPr>
                <w:rFonts w:ascii="Arial" w:hAnsi="Arial" w:cs="Arial"/>
                <w:sz w:val="22"/>
                <w:szCs w:val="22"/>
                <w:lang w:val="sr-Latn-ME" w:eastAsia="en-US"/>
              </w:rPr>
            </w:pPr>
          </w:p>
        </w:tc>
        <w:tc>
          <w:tcPr>
            <w:tcW w:w="2675" w:type="dxa"/>
            <w:gridSpan w:val="2"/>
            <w:vMerge w:val="restart"/>
            <w:tcBorders>
              <w:top w:val="nil"/>
              <w:left w:val="nil"/>
              <w:right w:val="nil"/>
            </w:tcBorders>
            <w:vAlign w:val="center"/>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Procenat(%) nepravilnosti prijavljenih kao prevara=</w:t>
            </w:r>
          </w:p>
        </w:tc>
        <w:tc>
          <w:tcPr>
            <w:tcW w:w="3278" w:type="dxa"/>
            <w:gridSpan w:val="2"/>
            <w:tcBorders>
              <w:top w:val="nil"/>
              <w:left w:val="nil"/>
              <w:bottom w:val="single" w:sz="4" w:space="0" w:color="auto"/>
              <w:right w:val="nil"/>
            </w:tcBorders>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Broj slučajeva prevare prijavljenih u IMS-u (u poslednjoj godini))</w:t>
            </w:r>
          </w:p>
        </w:tc>
        <w:tc>
          <w:tcPr>
            <w:tcW w:w="2842" w:type="dxa"/>
            <w:vMerge w:val="restart"/>
            <w:tcBorders>
              <w:top w:val="nil"/>
              <w:left w:val="nil"/>
            </w:tcBorders>
            <w:vAlign w:val="center"/>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X 100</w:t>
            </w:r>
          </w:p>
        </w:tc>
      </w:tr>
      <w:tr w:rsidR="00B76EFF" w:rsidRPr="00B76EFF" w:rsidTr="00B76EFF">
        <w:tc>
          <w:tcPr>
            <w:tcW w:w="4059" w:type="dxa"/>
            <w:vMerge/>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p>
        </w:tc>
        <w:tc>
          <w:tcPr>
            <w:tcW w:w="1276" w:type="dxa"/>
            <w:vMerge/>
            <w:tcBorders>
              <w:bottom w:val="single" w:sz="4" w:space="0" w:color="auto"/>
              <w:right w:val="nil"/>
            </w:tcBorders>
          </w:tcPr>
          <w:p w:rsidR="00B76EFF" w:rsidRPr="00B76EFF" w:rsidRDefault="00B76EFF" w:rsidP="00B76EFF">
            <w:pPr>
              <w:spacing w:after="160" w:line="259" w:lineRule="auto"/>
              <w:rPr>
                <w:rFonts w:ascii="Arial" w:hAnsi="Arial" w:cs="Arial"/>
                <w:sz w:val="22"/>
                <w:szCs w:val="22"/>
                <w:lang w:val="sr-Latn-ME" w:eastAsia="en-US"/>
              </w:rPr>
            </w:pPr>
          </w:p>
        </w:tc>
        <w:tc>
          <w:tcPr>
            <w:tcW w:w="2675" w:type="dxa"/>
            <w:gridSpan w:val="2"/>
            <w:vMerge/>
            <w:tcBorders>
              <w:left w:val="nil"/>
              <w:bottom w:val="single" w:sz="4" w:space="0" w:color="auto"/>
              <w:right w:val="nil"/>
            </w:tcBorders>
          </w:tcPr>
          <w:p w:rsidR="00B76EFF" w:rsidRPr="00B76EFF" w:rsidRDefault="00B76EFF" w:rsidP="00B76EFF">
            <w:pPr>
              <w:spacing w:after="160" w:line="259" w:lineRule="auto"/>
              <w:rPr>
                <w:rFonts w:ascii="Arial" w:hAnsi="Arial" w:cs="Arial"/>
                <w:sz w:val="22"/>
                <w:szCs w:val="22"/>
                <w:lang w:val="sr-Latn-ME" w:eastAsia="en-US"/>
              </w:rPr>
            </w:pPr>
          </w:p>
        </w:tc>
        <w:tc>
          <w:tcPr>
            <w:tcW w:w="3278" w:type="dxa"/>
            <w:gridSpan w:val="2"/>
            <w:tcBorders>
              <w:left w:val="nil"/>
              <w:bottom w:val="single" w:sz="4" w:space="0" w:color="auto"/>
              <w:right w:val="nil"/>
            </w:tcBorders>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Ukupan broj nepravilnosti u IMS-u (u poslednjoj godini)</w:t>
            </w:r>
          </w:p>
        </w:tc>
        <w:tc>
          <w:tcPr>
            <w:tcW w:w="2842" w:type="dxa"/>
            <w:vMerge/>
            <w:tcBorders>
              <w:left w:val="nil"/>
              <w:bottom w:val="single" w:sz="4" w:space="0" w:color="auto"/>
            </w:tcBorders>
          </w:tcPr>
          <w:p w:rsidR="00B76EFF" w:rsidRPr="00B76EFF" w:rsidRDefault="00B76EFF" w:rsidP="00B76EFF">
            <w:pPr>
              <w:spacing w:after="160" w:line="259" w:lineRule="auto"/>
              <w:rPr>
                <w:rFonts w:ascii="Arial" w:hAnsi="Arial" w:cs="Arial"/>
                <w:sz w:val="22"/>
                <w:szCs w:val="22"/>
                <w:lang w:val="sr-Latn-ME" w:eastAsia="en-US"/>
              </w:rPr>
            </w:pPr>
          </w:p>
        </w:tc>
      </w:tr>
      <w:tr w:rsidR="00B76EFF" w:rsidRPr="00B76EFF" w:rsidTr="00B76EFF">
        <w:tc>
          <w:tcPr>
            <w:tcW w:w="4059" w:type="dxa"/>
            <w:vMerge w:val="restart"/>
            <w:shd w:val="clear" w:color="auto" w:fill="DEEAF6" w:themeFill="accent1" w:themeFillTint="33"/>
          </w:tcPr>
          <w:p w:rsidR="00B76EFF" w:rsidRPr="00B76EFF" w:rsidRDefault="00B76EFF" w:rsidP="00B76EFF">
            <w:pPr>
              <w:spacing w:after="160" w:line="259" w:lineRule="auto"/>
              <w:rPr>
                <w:rFonts w:ascii="Arial" w:hAnsi="Arial" w:cs="Arial"/>
                <w:sz w:val="22"/>
                <w:szCs w:val="22"/>
                <w:lang w:eastAsia="en-US"/>
              </w:rPr>
            </w:pPr>
            <w:r w:rsidRPr="00B76EFF">
              <w:rPr>
                <w:rFonts w:ascii="Arial" w:hAnsi="Arial" w:cs="Arial"/>
                <w:sz w:val="22"/>
                <w:szCs w:val="22"/>
                <w:lang w:val="mk-MK" w:eastAsia="en-US"/>
              </w:rPr>
              <w:t>Informacija o početnoj vrijednosti</w:t>
            </w:r>
            <w:r w:rsidRPr="00B76EFF">
              <w:rPr>
                <w:rFonts w:ascii="Arial" w:hAnsi="Arial" w:cs="Arial"/>
                <w:sz w:val="22"/>
                <w:szCs w:val="22"/>
                <w:lang w:val="lv-LV" w:eastAsia="en-US"/>
              </w:rPr>
              <w:t xml:space="preserve"> i </w:t>
            </w:r>
            <w:r w:rsidRPr="00B76EFF">
              <w:rPr>
                <w:rFonts w:ascii="Arial" w:hAnsi="Arial" w:cs="Arial"/>
                <w:sz w:val="22"/>
                <w:szCs w:val="22"/>
                <w:lang w:val="mk-MK" w:eastAsia="en-US"/>
              </w:rPr>
              <w:t>o ciljnim vrijednostima</w:t>
            </w:r>
          </w:p>
        </w:tc>
        <w:tc>
          <w:tcPr>
            <w:tcW w:w="2409" w:type="dxa"/>
            <w:gridSpan w:val="2"/>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Godina</w:t>
            </w:r>
          </w:p>
        </w:tc>
        <w:tc>
          <w:tcPr>
            <w:tcW w:w="2410" w:type="dxa"/>
            <w:gridSpan w:val="2"/>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b/>
                <w:sz w:val="22"/>
                <w:szCs w:val="22"/>
                <w:lang w:val="sr-Latn-ME" w:eastAsia="en-US"/>
              </w:rPr>
              <w:t>Početna vrijednost u 2024</w:t>
            </w:r>
          </w:p>
        </w:tc>
        <w:tc>
          <w:tcPr>
            <w:tcW w:w="2410"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b/>
                <w:sz w:val="22"/>
                <w:szCs w:val="22"/>
                <w:lang w:val="sr-Latn-ME" w:eastAsia="en-US"/>
              </w:rPr>
              <w:t>Željena vrijednost u 2026</w:t>
            </w:r>
          </w:p>
        </w:tc>
        <w:tc>
          <w:tcPr>
            <w:tcW w:w="2842"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b/>
                <w:sz w:val="22"/>
                <w:szCs w:val="22"/>
                <w:lang w:val="sr-Latn-ME" w:eastAsia="en-US"/>
              </w:rPr>
              <w:t>Željena vrijednost u 2028</w:t>
            </w:r>
          </w:p>
        </w:tc>
      </w:tr>
      <w:bookmarkEnd w:id="26"/>
      <w:tr w:rsidR="00B76EFF" w:rsidRPr="00B76EFF" w:rsidTr="00B76EFF">
        <w:tc>
          <w:tcPr>
            <w:tcW w:w="4059" w:type="dxa"/>
            <w:vMerge/>
            <w:shd w:val="clear" w:color="auto" w:fill="DEEAF6" w:themeFill="accent1" w:themeFillTint="33"/>
          </w:tcPr>
          <w:p w:rsidR="00B76EFF" w:rsidRPr="00B76EFF" w:rsidRDefault="00B76EFF" w:rsidP="00B76EFF">
            <w:pPr>
              <w:spacing w:after="160" w:line="259" w:lineRule="auto"/>
              <w:rPr>
                <w:rFonts w:ascii="Arial" w:hAnsi="Arial" w:cs="Arial"/>
                <w:sz w:val="22"/>
                <w:szCs w:val="22"/>
                <w:lang w:eastAsia="en-US"/>
              </w:rPr>
            </w:pPr>
          </w:p>
        </w:tc>
        <w:tc>
          <w:tcPr>
            <w:tcW w:w="2409" w:type="dxa"/>
            <w:gridSpan w:val="2"/>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Vrijednost</w:t>
            </w:r>
          </w:p>
        </w:tc>
        <w:tc>
          <w:tcPr>
            <w:tcW w:w="2410" w:type="dxa"/>
            <w:gridSpan w:val="2"/>
          </w:tcPr>
          <w:p w:rsidR="00B76EFF" w:rsidRPr="00B76EFF" w:rsidRDefault="00B76EFF" w:rsidP="00B76EFF">
            <w:pPr>
              <w:spacing w:after="160" w:line="259" w:lineRule="auto"/>
              <w:rPr>
                <w:rFonts w:ascii="Arial" w:hAnsi="Arial" w:cs="Arial"/>
                <w:sz w:val="22"/>
                <w:szCs w:val="22"/>
                <w:lang w:val="en-GB" w:eastAsia="en-US"/>
              </w:rPr>
            </w:pPr>
            <w:r w:rsidRPr="00B76EFF">
              <w:rPr>
                <w:rFonts w:ascii="Arial" w:hAnsi="Arial" w:cs="Arial"/>
                <w:sz w:val="22"/>
                <w:szCs w:val="22"/>
                <w:lang w:val="en-GB" w:eastAsia="en-US"/>
              </w:rPr>
              <w:t>5%</w:t>
            </w:r>
          </w:p>
        </w:tc>
        <w:tc>
          <w:tcPr>
            <w:tcW w:w="2410" w:type="dxa"/>
          </w:tcPr>
          <w:p w:rsidR="00B76EFF" w:rsidRPr="00B76EFF" w:rsidRDefault="00B76EFF" w:rsidP="00B76EFF">
            <w:pPr>
              <w:spacing w:after="160" w:line="259" w:lineRule="auto"/>
              <w:rPr>
                <w:rFonts w:ascii="Arial" w:hAnsi="Arial" w:cs="Arial"/>
                <w:sz w:val="22"/>
                <w:szCs w:val="22"/>
                <w:lang w:val="en-GB" w:eastAsia="en-US"/>
              </w:rPr>
            </w:pPr>
            <w:r w:rsidRPr="00B76EFF">
              <w:rPr>
                <w:rFonts w:ascii="Arial" w:hAnsi="Arial" w:cs="Arial"/>
                <w:sz w:val="22"/>
                <w:szCs w:val="22"/>
                <w:lang w:val="en-GB" w:eastAsia="en-US"/>
              </w:rPr>
              <w:t>6%</w:t>
            </w:r>
          </w:p>
        </w:tc>
        <w:tc>
          <w:tcPr>
            <w:tcW w:w="2842" w:type="dxa"/>
            <w:vAlign w:val="center"/>
          </w:tcPr>
          <w:p w:rsidR="00B76EFF" w:rsidRPr="00B76EFF" w:rsidRDefault="00B76EFF" w:rsidP="00B76EFF">
            <w:pPr>
              <w:spacing w:after="160" w:line="259" w:lineRule="auto"/>
              <w:rPr>
                <w:rFonts w:ascii="Arial" w:hAnsi="Arial" w:cs="Arial"/>
                <w:sz w:val="22"/>
                <w:szCs w:val="22"/>
                <w:lang w:val="en-GB" w:eastAsia="en-US"/>
              </w:rPr>
            </w:pPr>
            <w:r w:rsidRPr="00B76EFF">
              <w:rPr>
                <w:rFonts w:ascii="Arial" w:hAnsi="Arial" w:cs="Arial"/>
                <w:sz w:val="22"/>
                <w:szCs w:val="22"/>
                <w:lang w:val="en-GB" w:eastAsia="en-US"/>
              </w:rPr>
              <w:t>8%</w:t>
            </w:r>
          </w:p>
        </w:tc>
      </w:tr>
    </w:tbl>
    <w:p w:rsidR="00B76EFF" w:rsidRPr="00B76EFF" w:rsidRDefault="00B76EFF" w:rsidP="00B76EFF">
      <w:pPr>
        <w:spacing w:after="160" w:line="259" w:lineRule="auto"/>
        <w:rPr>
          <w:rFonts w:ascii="Arial" w:hAnsi="Arial" w:cs="Arial"/>
        </w:rPr>
      </w:pPr>
    </w:p>
    <w:p w:rsidR="00B76EFF" w:rsidRPr="00B76EFF" w:rsidRDefault="00B76EFF" w:rsidP="00B76EFF">
      <w:pPr>
        <w:spacing w:after="160" w:line="259" w:lineRule="auto"/>
        <w:rPr>
          <w:rFonts w:ascii="Arial" w:hAnsi="Arial" w:cs="Arial"/>
          <w:lang w:val="sr-Latn-ME"/>
        </w:rPr>
      </w:pPr>
      <w:r w:rsidRPr="00B76EFF">
        <w:rPr>
          <w:rFonts w:ascii="Arial" w:hAnsi="Arial" w:cs="Arial"/>
          <w:lang w:val="sr-Latn-ME"/>
        </w:rPr>
        <w:t>Pasoš br. 10 (za indikator uspjeha 4.3)</w:t>
      </w:r>
    </w:p>
    <w:tbl>
      <w:tblPr>
        <w:tblStyle w:val="TableGrid"/>
        <w:tblW w:w="14220" w:type="dxa"/>
        <w:tblInd w:w="-185" w:type="dxa"/>
        <w:tblLook w:val="04A0" w:firstRow="1" w:lastRow="0" w:firstColumn="1" w:lastColumn="0" w:noHBand="0" w:noVBand="1"/>
      </w:tblPr>
      <w:tblGrid>
        <w:gridCol w:w="4149"/>
        <w:gridCol w:w="2409"/>
        <w:gridCol w:w="2410"/>
        <w:gridCol w:w="2410"/>
        <w:gridCol w:w="2842"/>
      </w:tblGrid>
      <w:tr w:rsidR="00B76EFF" w:rsidRPr="00B76EFF" w:rsidTr="00B76EFF">
        <w:tc>
          <w:tcPr>
            <w:tcW w:w="4149" w:type="dxa"/>
            <w:shd w:val="clear" w:color="auto" w:fill="657C9C" w:themeFill="text2" w:themeFillTint="BF"/>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Kategorija</w:t>
            </w:r>
          </w:p>
        </w:tc>
        <w:tc>
          <w:tcPr>
            <w:tcW w:w="10071" w:type="dxa"/>
            <w:gridSpan w:val="4"/>
            <w:shd w:val="clear" w:color="auto" w:fill="657C9C" w:themeFill="text2" w:themeFillTint="BF"/>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Opis</w:t>
            </w:r>
          </w:p>
        </w:tc>
      </w:tr>
      <w:tr w:rsidR="00B76EFF" w:rsidRPr="00B76EFF" w:rsidTr="00B76EFF">
        <w:tc>
          <w:tcPr>
            <w:tcW w:w="414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Naziv indikatora</w:t>
            </w:r>
          </w:p>
        </w:tc>
        <w:tc>
          <w:tcPr>
            <w:tcW w:w="10071" w:type="dxa"/>
            <w:gridSpan w:val="4"/>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Broj vraćenih izveštaja o nepravilnostima od strane Direkcije za zaštitu finansijskih interesa EU / AFCOS implementacionim agencijama / Posredničkim tijelima za finansijsko upravljanje, na doradu</w:t>
            </w:r>
          </w:p>
        </w:tc>
      </w:tr>
      <w:tr w:rsidR="00B76EFF" w:rsidRPr="00B76EFF" w:rsidTr="00B76EFF">
        <w:tc>
          <w:tcPr>
            <w:tcW w:w="414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Cilj na koji se indikator odnosi</w:t>
            </w:r>
          </w:p>
        </w:tc>
        <w:tc>
          <w:tcPr>
            <w:tcW w:w="10071" w:type="dxa"/>
            <w:gridSpan w:val="4"/>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b/>
                <w:sz w:val="22"/>
                <w:szCs w:val="22"/>
                <w:lang w:val="sr-Latn-ME" w:eastAsia="en-US"/>
              </w:rPr>
              <w:t>Operativni cilj 4:</w:t>
            </w:r>
            <w:r w:rsidRPr="00B76EFF">
              <w:rPr>
                <w:rFonts w:ascii="Arial" w:hAnsi="Arial" w:cs="Arial"/>
                <w:sz w:val="22"/>
                <w:szCs w:val="22"/>
                <w:lang w:val="sr-Latn-ME" w:eastAsia="en-US"/>
              </w:rPr>
              <w:t xml:space="preserve"> Održavanje kapaciteta za otkrivanje nepravilnosti uz istovremeno poboljšanje kvaliteta izvještavanja o nepravilnostima i unaprijeđenje prepoznavanja crvenih zastavica i znakova prevara</w:t>
            </w:r>
            <w:r w:rsidRPr="00B76EFF">
              <w:rPr>
                <w:rFonts w:ascii="Arial" w:hAnsi="Arial" w:cs="Arial"/>
                <w:b/>
                <w:sz w:val="22"/>
                <w:szCs w:val="22"/>
                <w:lang w:val="sr-Latn-ME" w:eastAsia="en-US"/>
              </w:rPr>
              <w:t>.</w:t>
            </w:r>
          </w:p>
        </w:tc>
      </w:tr>
      <w:tr w:rsidR="00B76EFF" w:rsidRPr="00B76EFF" w:rsidTr="00B76EFF">
        <w:tc>
          <w:tcPr>
            <w:tcW w:w="414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Kratak opis indikatora</w:t>
            </w:r>
          </w:p>
        </w:tc>
        <w:tc>
          <w:tcPr>
            <w:tcW w:w="10071" w:type="dxa"/>
            <w:gridSpan w:val="4"/>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Ovaj indikator će pratiti kvalitet i efikasnost izvještavanja o nepravilnostima identifikovanjem broja nepravilnosti koje je analizirala i provjerila Direkcija za zaštitu finansijskih interesa EU / AFCOS i koje su vraćene implementacionim agencijama / Posredničkim tijelima za finansijsko upravljanje, na doradu.</w:t>
            </w:r>
          </w:p>
        </w:tc>
      </w:tr>
      <w:tr w:rsidR="00B76EFF" w:rsidRPr="00B76EFF" w:rsidTr="00B76EFF">
        <w:tc>
          <w:tcPr>
            <w:tcW w:w="414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Podaci koje je potrebno prikupiti</w:t>
            </w:r>
          </w:p>
        </w:tc>
        <w:tc>
          <w:tcPr>
            <w:tcW w:w="10071" w:type="dxa"/>
            <w:gridSpan w:val="4"/>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Broj izveštaja o nepravilnostima vraćenih implementacionim agencijama / Posredničkim tijelima za finansijsko upravljanje, na doradu</w:t>
            </w:r>
          </w:p>
        </w:tc>
      </w:tr>
      <w:tr w:rsidR="00B76EFF" w:rsidRPr="00B76EFF" w:rsidTr="00B76EFF">
        <w:tc>
          <w:tcPr>
            <w:tcW w:w="414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Izvor podataka</w:t>
            </w:r>
          </w:p>
        </w:tc>
        <w:tc>
          <w:tcPr>
            <w:tcW w:w="10071" w:type="dxa"/>
            <w:gridSpan w:val="4"/>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IMS</w:t>
            </w:r>
          </w:p>
        </w:tc>
      </w:tr>
      <w:tr w:rsidR="00B76EFF" w:rsidRPr="00B76EFF" w:rsidTr="00B76EFF">
        <w:tc>
          <w:tcPr>
            <w:tcW w:w="414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Informacija o instituciji odgovornoj za prikupljanje podataka</w:t>
            </w:r>
          </w:p>
        </w:tc>
        <w:tc>
          <w:tcPr>
            <w:tcW w:w="10071" w:type="dxa"/>
            <w:gridSpan w:val="4"/>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Direkcija za zaštitu finansijskih interesa EU/AFCOS – Ministarstvo finansija</w:t>
            </w:r>
          </w:p>
        </w:tc>
      </w:tr>
      <w:tr w:rsidR="00B76EFF" w:rsidRPr="00B76EFF" w:rsidTr="00B76EFF">
        <w:tc>
          <w:tcPr>
            <w:tcW w:w="414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Učestalost prikupljanja podataka</w:t>
            </w:r>
          </w:p>
        </w:tc>
        <w:tc>
          <w:tcPr>
            <w:tcW w:w="10071" w:type="dxa"/>
            <w:gridSpan w:val="4"/>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Godišnje</w:t>
            </w:r>
          </w:p>
        </w:tc>
      </w:tr>
      <w:tr w:rsidR="00B76EFF" w:rsidRPr="00B76EFF" w:rsidTr="00B76EFF">
        <w:tc>
          <w:tcPr>
            <w:tcW w:w="414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Učestalost izvještavanja o vrijednosti indikatora</w:t>
            </w:r>
          </w:p>
        </w:tc>
        <w:tc>
          <w:tcPr>
            <w:tcW w:w="10071" w:type="dxa"/>
            <w:gridSpan w:val="4"/>
            <w:tcBorders>
              <w:bottom w:val="single" w:sz="4" w:space="0" w:color="auto"/>
            </w:tcBorders>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Jednom u dvije godine – prilikom evaluacije Akcionog plana</w:t>
            </w:r>
          </w:p>
        </w:tc>
      </w:tr>
      <w:tr w:rsidR="00B76EFF" w:rsidRPr="00B76EFF" w:rsidTr="00B76EFF">
        <w:tc>
          <w:tcPr>
            <w:tcW w:w="414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Kratak opis metodologije izračunavanja podataka</w:t>
            </w:r>
          </w:p>
          <w:p w:rsidR="00B76EFF" w:rsidRPr="00B76EFF" w:rsidRDefault="00B76EFF" w:rsidP="00B76EFF">
            <w:pPr>
              <w:spacing w:after="160" w:line="259" w:lineRule="auto"/>
              <w:rPr>
                <w:rFonts w:ascii="Arial" w:hAnsi="Arial" w:cs="Arial"/>
                <w:sz w:val="22"/>
                <w:szCs w:val="22"/>
                <w:lang w:val="sr-Latn-ME" w:eastAsia="en-US"/>
              </w:rPr>
            </w:pPr>
          </w:p>
        </w:tc>
        <w:tc>
          <w:tcPr>
            <w:tcW w:w="10071" w:type="dxa"/>
            <w:gridSpan w:val="4"/>
            <w:tcBorders>
              <w:bottom w:val="single" w:sz="4" w:space="0" w:color="auto"/>
            </w:tcBorders>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Sabiranje izveštaja o nepravilnostima koji su vraćeni implementacionim agencijama Posredničkim tijelima za finansijsko upravljanje nakon što je izvršena provjera kvaliteta od strane Direkcije za zaštitu finansijskih interesa EU / AFCOS,  tokom jedne izvještajne godine.</w:t>
            </w:r>
          </w:p>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Početna / osnovna vrijednost postavljena je na 24 vraćena izvještaja, kako je registrovano u IMS-u u 2024. godini.</w:t>
            </w:r>
          </w:p>
        </w:tc>
      </w:tr>
      <w:tr w:rsidR="00B76EFF" w:rsidRPr="00B76EFF" w:rsidTr="00B76EFF">
        <w:tc>
          <w:tcPr>
            <w:tcW w:w="4149" w:type="dxa"/>
            <w:vMerge w:val="restart"/>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Informacija o početnoj vrijednosti i o ciljnim vrijednostima</w:t>
            </w:r>
          </w:p>
        </w:tc>
        <w:tc>
          <w:tcPr>
            <w:tcW w:w="2409"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Godina</w:t>
            </w:r>
          </w:p>
        </w:tc>
        <w:tc>
          <w:tcPr>
            <w:tcW w:w="2410"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b/>
                <w:sz w:val="22"/>
                <w:szCs w:val="22"/>
                <w:lang w:val="sr-Latn-ME" w:eastAsia="en-US"/>
              </w:rPr>
              <w:t>Početna vrijednost u 2024</w:t>
            </w:r>
          </w:p>
        </w:tc>
        <w:tc>
          <w:tcPr>
            <w:tcW w:w="2410"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b/>
                <w:sz w:val="22"/>
                <w:szCs w:val="22"/>
                <w:lang w:val="sr-Latn-ME" w:eastAsia="en-US"/>
              </w:rPr>
              <w:t>Željena vrijednost u 2026</w:t>
            </w:r>
          </w:p>
        </w:tc>
        <w:tc>
          <w:tcPr>
            <w:tcW w:w="2842"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b/>
                <w:sz w:val="22"/>
                <w:szCs w:val="22"/>
                <w:lang w:val="sr-Latn-ME" w:eastAsia="en-US"/>
              </w:rPr>
              <w:t>Željena vrijednost u 2028</w:t>
            </w:r>
          </w:p>
        </w:tc>
      </w:tr>
      <w:tr w:rsidR="00B76EFF" w:rsidRPr="00B76EFF" w:rsidTr="00B76EFF">
        <w:trPr>
          <w:trHeight w:val="45"/>
        </w:trPr>
        <w:tc>
          <w:tcPr>
            <w:tcW w:w="4149" w:type="dxa"/>
            <w:vMerge/>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p>
        </w:tc>
        <w:tc>
          <w:tcPr>
            <w:tcW w:w="2409"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Vrijednost</w:t>
            </w:r>
          </w:p>
        </w:tc>
        <w:tc>
          <w:tcPr>
            <w:tcW w:w="2410"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24</w:t>
            </w:r>
          </w:p>
        </w:tc>
        <w:tc>
          <w:tcPr>
            <w:tcW w:w="2410"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&lt;20</w:t>
            </w:r>
          </w:p>
        </w:tc>
        <w:tc>
          <w:tcPr>
            <w:tcW w:w="2842" w:type="dxa"/>
            <w:vAlign w:val="center"/>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&lt;15</w:t>
            </w:r>
          </w:p>
        </w:tc>
      </w:tr>
    </w:tbl>
    <w:p w:rsidR="00B76EFF" w:rsidRDefault="00B76EFF" w:rsidP="00B76EFF">
      <w:pPr>
        <w:spacing w:after="160" w:line="259" w:lineRule="auto"/>
        <w:rPr>
          <w:rFonts w:ascii="Arial" w:hAnsi="Arial" w:cs="Arial"/>
          <w:lang w:val="sr-Latn-ME"/>
        </w:rPr>
      </w:pPr>
    </w:p>
    <w:p w:rsidR="00B76EFF" w:rsidRPr="00B76EFF" w:rsidRDefault="00B76EFF" w:rsidP="00B76EFF">
      <w:pPr>
        <w:spacing w:after="160" w:line="259" w:lineRule="auto"/>
        <w:rPr>
          <w:rFonts w:ascii="Arial" w:hAnsi="Arial" w:cs="Arial"/>
          <w:lang w:val="sr-Latn-ME"/>
        </w:rPr>
      </w:pPr>
      <w:r w:rsidRPr="00B76EFF">
        <w:rPr>
          <w:rFonts w:ascii="Arial" w:hAnsi="Arial" w:cs="Arial"/>
          <w:lang w:val="sr-Latn-ME"/>
        </w:rPr>
        <w:t>Pasoš br. 11 (za indikator uspjeha 5.1)</w:t>
      </w:r>
    </w:p>
    <w:tbl>
      <w:tblPr>
        <w:tblStyle w:val="TableGrid"/>
        <w:tblW w:w="14220" w:type="dxa"/>
        <w:tblInd w:w="-185" w:type="dxa"/>
        <w:tblLook w:val="04A0" w:firstRow="1" w:lastRow="0" w:firstColumn="1" w:lastColumn="0" w:noHBand="0" w:noVBand="1"/>
      </w:tblPr>
      <w:tblGrid>
        <w:gridCol w:w="4149"/>
        <w:gridCol w:w="1560"/>
        <w:gridCol w:w="849"/>
        <w:gridCol w:w="2082"/>
        <w:gridCol w:w="328"/>
        <w:gridCol w:w="2410"/>
        <w:gridCol w:w="2842"/>
      </w:tblGrid>
      <w:tr w:rsidR="00B76EFF" w:rsidRPr="00B76EFF" w:rsidTr="00B76EFF">
        <w:tc>
          <w:tcPr>
            <w:tcW w:w="4149" w:type="dxa"/>
            <w:shd w:val="clear" w:color="auto" w:fill="657C9C" w:themeFill="text2" w:themeFillTint="BF"/>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Kategorija</w:t>
            </w:r>
          </w:p>
        </w:tc>
        <w:tc>
          <w:tcPr>
            <w:tcW w:w="10071" w:type="dxa"/>
            <w:gridSpan w:val="6"/>
            <w:shd w:val="clear" w:color="auto" w:fill="657C9C" w:themeFill="text2" w:themeFillTint="BF"/>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Opis</w:t>
            </w:r>
          </w:p>
        </w:tc>
      </w:tr>
      <w:tr w:rsidR="00B76EFF" w:rsidRPr="00B76EFF" w:rsidTr="00B76EFF">
        <w:tc>
          <w:tcPr>
            <w:tcW w:w="414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Naziv indikatora</w:t>
            </w:r>
          </w:p>
        </w:tc>
        <w:tc>
          <w:tcPr>
            <w:tcW w:w="10071" w:type="dxa"/>
            <w:gridSpan w:val="6"/>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Svi OLAF-ovi zahtjevi su pravilno obrađeni i završeni</w:t>
            </w:r>
          </w:p>
        </w:tc>
      </w:tr>
      <w:tr w:rsidR="00B76EFF" w:rsidRPr="00B76EFF" w:rsidTr="00B76EFF">
        <w:tc>
          <w:tcPr>
            <w:tcW w:w="414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Cilj na koji se indikator odnosi</w:t>
            </w:r>
          </w:p>
        </w:tc>
        <w:tc>
          <w:tcPr>
            <w:tcW w:w="10071" w:type="dxa"/>
            <w:gridSpan w:val="6"/>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b/>
                <w:sz w:val="22"/>
                <w:szCs w:val="22"/>
                <w:lang w:val="sr-Latn-ME" w:eastAsia="en-US"/>
              </w:rPr>
              <w:t>Operativni cilj 5</w:t>
            </w:r>
            <w:r w:rsidRPr="00B76EFF">
              <w:rPr>
                <w:rFonts w:ascii="Arial" w:hAnsi="Arial" w:cs="Arial"/>
                <w:sz w:val="22"/>
                <w:szCs w:val="22"/>
                <w:lang w:val="sr-Latn-ME" w:eastAsia="en-US"/>
              </w:rPr>
              <w:t>: Unaprijeđenje saradnje između istražnih tijela, AFCOS-a i OLAF-a</w:t>
            </w:r>
          </w:p>
        </w:tc>
      </w:tr>
      <w:tr w:rsidR="00B76EFF" w:rsidRPr="00B76EFF" w:rsidTr="00B76EFF">
        <w:tc>
          <w:tcPr>
            <w:tcW w:w="414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Kratak opis indikatora</w:t>
            </w:r>
          </w:p>
        </w:tc>
        <w:tc>
          <w:tcPr>
            <w:tcW w:w="10071" w:type="dxa"/>
            <w:gridSpan w:val="6"/>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Ovaj indikator će pratiti da li su svi OLAF-ovi zahtjevi upućeni kontakt tački u Crnoj Gori (AFCOS-u), pravilno obrađeni i završeni, u skladu sa rokovima i uz saradnju svih relevantnih institucija na nacionalnom nivou.</w:t>
            </w:r>
          </w:p>
        </w:tc>
      </w:tr>
      <w:tr w:rsidR="00B76EFF" w:rsidRPr="00B76EFF" w:rsidTr="00B76EFF">
        <w:tc>
          <w:tcPr>
            <w:tcW w:w="414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Podaci koje je potrebno prikupiti</w:t>
            </w:r>
          </w:p>
        </w:tc>
        <w:tc>
          <w:tcPr>
            <w:tcW w:w="10071" w:type="dxa"/>
            <w:gridSpan w:val="6"/>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Broj OLAF-ovih administrativnih istražnih posjeta Crnoj Gori</w:t>
            </w:r>
          </w:p>
        </w:tc>
      </w:tr>
      <w:tr w:rsidR="00B76EFF" w:rsidRPr="00B76EFF" w:rsidTr="00B76EFF">
        <w:tc>
          <w:tcPr>
            <w:tcW w:w="414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Izvor podataka</w:t>
            </w:r>
          </w:p>
        </w:tc>
        <w:tc>
          <w:tcPr>
            <w:tcW w:w="10071" w:type="dxa"/>
            <w:gridSpan w:val="6"/>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AFCOS registri</w:t>
            </w:r>
          </w:p>
        </w:tc>
      </w:tr>
      <w:tr w:rsidR="00B76EFF" w:rsidRPr="00B76EFF" w:rsidTr="00B76EFF">
        <w:tc>
          <w:tcPr>
            <w:tcW w:w="414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Informacija o instituciji odgovornoj za prikupljanje podataka</w:t>
            </w:r>
          </w:p>
        </w:tc>
        <w:tc>
          <w:tcPr>
            <w:tcW w:w="10071" w:type="dxa"/>
            <w:gridSpan w:val="6"/>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Direkcija za zaštitu finansijskih interesa EU/AFCOS – Ministarstvo finansija</w:t>
            </w:r>
          </w:p>
        </w:tc>
      </w:tr>
      <w:tr w:rsidR="00B76EFF" w:rsidRPr="00B76EFF" w:rsidTr="00B76EFF">
        <w:tc>
          <w:tcPr>
            <w:tcW w:w="414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Učestalost prikupljanja podataka</w:t>
            </w:r>
          </w:p>
        </w:tc>
        <w:tc>
          <w:tcPr>
            <w:tcW w:w="10071" w:type="dxa"/>
            <w:gridSpan w:val="6"/>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 xml:space="preserve">Jednom u dvije godine </w:t>
            </w:r>
          </w:p>
        </w:tc>
      </w:tr>
      <w:tr w:rsidR="00B76EFF" w:rsidRPr="00B76EFF" w:rsidTr="00B76EFF">
        <w:tc>
          <w:tcPr>
            <w:tcW w:w="4149"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Učestalost izvještavanja o vrijednosti indikatora</w:t>
            </w:r>
          </w:p>
        </w:tc>
        <w:tc>
          <w:tcPr>
            <w:tcW w:w="10071" w:type="dxa"/>
            <w:gridSpan w:val="6"/>
            <w:tcBorders>
              <w:bottom w:val="single" w:sz="4" w:space="0" w:color="auto"/>
            </w:tcBorders>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Jednom u dvije godine – prilikom evaluacije Akcionog plana</w:t>
            </w:r>
          </w:p>
        </w:tc>
      </w:tr>
      <w:tr w:rsidR="00B76EFF" w:rsidRPr="00B76EFF" w:rsidTr="00B76EFF">
        <w:tc>
          <w:tcPr>
            <w:tcW w:w="4149" w:type="dxa"/>
            <w:vMerge w:val="restart"/>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Kratak opis metodologije izračunavanja podataka</w:t>
            </w:r>
          </w:p>
          <w:p w:rsidR="00B76EFF" w:rsidRPr="00B76EFF" w:rsidRDefault="00B76EFF" w:rsidP="00B76EFF">
            <w:pPr>
              <w:spacing w:after="160" w:line="259" w:lineRule="auto"/>
              <w:rPr>
                <w:rFonts w:ascii="Arial" w:hAnsi="Arial" w:cs="Arial"/>
                <w:sz w:val="22"/>
                <w:szCs w:val="22"/>
                <w:lang w:val="sr-Latn-ME" w:eastAsia="en-US"/>
              </w:rPr>
            </w:pPr>
          </w:p>
        </w:tc>
        <w:tc>
          <w:tcPr>
            <w:tcW w:w="10071" w:type="dxa"/>
            <w:gridSpan w:val="6"/>
            <w:tcBorders>
              <w:bottom w:val="nil"/>
            </w:tcBorders>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Procenat pravilno obrađenih OLAF-ovih zahtjeva računa se tako što se broj dobro završenih OLAF-ovih administrativnih istražnih posjeta  tj. zahtjeva upućenih Crnoj Gori dijeli sa ukupnim brojem primljenih OLAF-ovih zahtjeva.</w:t>
            </w:r>
            <w:r w:rsidRPr="00B76EFF">
              <w:rPr>
                <w:rFonts w:ascii="Arial" w:hAnsi="Arial" w:cs="Arial"/>
                <w:sz w:val="22"/>
                <w:szCs w:val="22"/>
                <w:lang w:val="sr-Latn-ME" w:eastAsia="en-US"/>
              </w:rPr>
              <w:br/>
              <w:t>Početna / osnovna vrijednost postavljena je na 100%, jer su sprovedene dvije OLAF posjete na terenu, koje su obrađene i završene bez problema.</w:t>
            </w:r>
          </w:p>
        </w:tc>
      </w:tr>
      <w:tr w:rsidR="00B76EFF" w:rsidRPr="00B76EFF" w:rsidTr="00B76EFF">
        <w:tc>
          <w:tcPr>
            <w:tcW w:w="4149" w:type="dxa"/>
            <w:vMerge/>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p>
        </w:tc>
        <w:tc>
          <w:tcPr>
            <w:tcW w:w="1560" w:type="dxa"/>
            <w:vMerge w:val="restart"/>
            <w:tcBorders>
              <w:top w:val="nil"/>
              <w:right w:val="nil"/>
            </w:tcBorders>
          </w:tcPr>
          <w:p w:rsidR="00B76EFF" w:rsidRPr="00B76EFF" w:rsidRDefault="00B76EFF" w:rsidP="00B76EFF">
            <w:pPr>
              <w:spacing w:after="160" w:line="259" w:lineRule="auto"/>
              <w:rPr>
                <w:rFonts w:ascii="Arial" w:hAnsi="Arial" w:cs="Arial"/>
                <w:sz w:val="22"/>
                <w:szCs w:val="22"/>
                <w:lang w:val="sr-Latn-ME" w:eastAsia="en-US"/>
              </w:rPr>
            </w:pPr>
          </w:p>
        </w:tc>
        <w:tc>
          <w:tcPr>
            <w:tcW w:w="2931" w:type="dxa"/>
            <w:gridSpan w:val="2"/>
            <w:vMerge w:val="restart"/>
            <w:tcBorders>
              <w:top w:val="nil"/>
              <w:left w:val="nil"/>
              <w:right w:val="nil"/>
            </w:tcBorders>
            <w:vAlign w:val="center"/>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Procenat (%)pravilno obrađenih OLAF-ovih zahtjeva =</w:t>
            </w:r>
          </w:p>
        </w:tc>
        <w:tc>
          <w:tcPr>
            <w:tcW w:w="2738" w:type="dxa"/>
            <w:gridSpan w:val="2"/>
            <w:tcBorders>
              <w:top w:val="nil"/>
              <w:left w:val="nil"/>
              <w:bottom w:val="single" w:sz="4" w:space="0" w:color="auto"/>
              <w:right w:val="nil"/>
            </w:tcBorders>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Broj pravilno obrađenih i završenih OLAF zahteva</w:t>
            </w:r>
          </w:p>
        </w:tc>
        <w:tc>
          <w:tcPr>
            <w:tcW w:w="2842" w:type="dxa"/>
            <w:vMerge w:val="restart"/>
            <w:tcBorders>
              <w:top w:val="nil"/>
              <w:left w:val="nil"/>
            </w:tcBorders>
            <w:vAlign w:val="center"/>
          </w:tcPr>
          <w:p w:rsidR="00B76EFF" w:rsidRPr="00B76EFF" w:rsidRDefault="00B76EFF" w:rsidP="00B76EFF">
            <w:pPr>
              <w:spacing w:after="160" w:line="259" w:lineRule="auto"/>
              <w:rPr>
                <w:rFonts w:ascii="Arial" w:hAnsi="Arial" w:cs="Arial"/>
                <w:sz w:val="22"/>
                <w:szCs w:val="22"/>
                <w:lang w:val="sr-Latn-ME" w:eastAsia="en-US"/>
              </w:rPr>
            </w:pPr>
          </w:p>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X 100</w:t>
            </w:r>
          </w:p>
        </w:tc>
      </w:tr>
      <w:tr w:rsidR="00B76EFF" w:rsidRPr="00B76EFF" w:rsidTr="00B76EFF">
        <w:tc>
          <w:tcPr>
            <w:tcW w:w="4149" w:type="dxa"/>
            <w:vMerge/>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p>
        </w:tc>
        <w:tc>
          <w:tcPr>
            <w:tcW w:w="1560" w:type="dxa"/>
            <w:vMerge/>
            <w:tcBorders>
              <w:bottom w:val="single" w:sz="4" w:space="0" w:color="auto"/>
              <w:right w:val="nil"/>
            </w:tcBorders>
          </w:tcPr>
          <w:p w:rsidR="00B76EFF" w:rsidRPr="00B76EFF" w:rsidRDefault="00B76EFF" w:rsidP="00B76EFF">
            <w:pPr>
              <w:spacing w:after="160" w:line="259" w:lineRule="auto"/>
              <w:rPr>
                <w:rFonts w:ascii="Arial" w:hAnsi="Arial" w:cs="Arial"/>
                <w:sz w:val="22"/>
                <w:szCs w:val="22"/>
                <w:lang w:val="sr-Latn-ME" w:eastAsia="en-US"/>
              </w:rPr>
            </w:pPr>
          </w:p>
        </w:tc>
        <w:tc>
          <w:tcPr>
            <w:tcW w:w="2931" w:type="dxa"/>
            <w:gridSpan w:val="2"/>
            <w:vMerge/>
            <w:tcBorders>
              <w:left w:val="nil"/>
              <w:bottom w:val="single" w:sz="4" w:space="0" w:color="auto"/>
              <w:right w:val="nil"/>
            </w:tcBorders>
          </w:tcPr>
          <w:p w:rsidR="00B76EFF" w:rsidRPr="00B76EFF" w:rsidRDefault="00B76EFF" w:rsidP="00B76EFF">
            <w:pPr>
              <w:spacing w:after="160" w:line="259" w:lineRule="auto"/>
              <w:rPr>
                <w:rFonts w:ascii="Arial" w:hAnsi="Arial" w:cs="Arial"/>
                <w:sz w:val="22"/>
                <w:szCs w:val="22"/>
                <w:lang w:val="sr-Latn-ME" w:eastAsia="en-US"/>
              </w:rPr>
            </w:pPr>
          </w:p>
        </w:tc>
        <w:tc>
          <w:tcPr>
            <w:tcW w:w="2738" w:type="dxa"/>
            <w:gridSpan w:val="2"/>
            <w:tcBorders>
              <w:left w:val="nil"/>
              <w:bottom w:val="single" w:sz="4" w:space="0" w:color="auto"/>
              <w:right w:val="nil"/>
            </w:tcBorders>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Broj svih OLAF-ovih zahtjeva</w:t>
            </w:r>
          </w:p>
        </w:tc>
        <w:tc>
          <w:tcPr>
            <w:tcW w:w="2842" w:type="dxa"/>
            <w:vMerge/>
            <w:tcBorders>
              <w:left w:val="nil"/>
              <w:bottom w:val="single" w:sz="4" w:space="0" w:color="auto"/>
            </w:tcBorders>
          </w:tcPr>
          <w:p w:rsidR="00B76EFF" w:rsidRPr="00B76EFF" w:rsidRDefault="00B76EFF" w:rsidP="00B76EFF">
            <w:pPr>
              <w:spacing w:after="160" w:line="259" w:lineRule="auto"/>
              <w:rPr>
                <w:rFonts w:ascii="Arial" w:hAnsi="Arial" w:cs="Arial"/>
                <w:sz w:val="22"/>
                <w:szCs w:val="22"/>
                <w:lang w:val="sr-Latn-ME" w:eastAsia="en-US"/>
              </w:rPr>
            </w:pPr>
          </w:p>
        </w:tc>
      </w:tr>
      <w:tr w:rsidR="00B76EFF" w:rsidRPr="00B76EFF" w:rsidTr="00B76EFF">
        <w:tc>
          <w:tcPr>
            <w:tcW w:w="4149" w:type="dxa"/>
            <w:vMerge w:val="restart"/>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Informacija o početnoj vrijednosti i o ciljnim vrijednostima</w:t>
            </w:r>
          </w:p>
        </w:tc>
        <w:tc>
          <w:tcPr>
            <w:tcW w:w="2409" w:type="dxa"/>
            <w:gridSpan w:val="2"/>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Godina</w:t>
            </w:r>
          </w:p>
        </w:tc>
        <w:tc>
          <w:tcPr>
            <w:tcW w:w="2410" w:type="dxa"/>
            <w:gridSpan w:val="2"/>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b/>
                <w:sz w:val="22"/>
                <w:szCs w:val="22"/>
                <w:lang w:val="sr-Latn-ME" w:eastAsia="en-US"/>
              </w:rPr>
              <w:t>Početna vrijednost u 2024</w:t>
            </w:r>
          </w:p>
        </w:tc>
        <w:tc>
          <w:tcPr>
            <w:tcW w:w="2410"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b/>
                <w:sz w:val="22"/>
                <w:szCs w:val="22"/>
                <w:lang w:val="sr-Latn-ME" w:eastAsia="en-US"/>
              </w:rPr>
              <w:t>Željena vrijednost u 2026</w:t>
            </w:r>
          </w:p>
        </w:tc>
        <w:tc>
          <w:tcPr>
            <w:tcW w:w="2842"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b/>
                <w:sz w:val="22"/>
                <w:szCs w:val="22"/>
                <w:lang w:val="sr-Latn-ME" w:eastAsia="en-US"/>
              </w:rPr>
              <w:t>Željena vrijednost u 2028</w:t>
            </w:r>
          </w:p>
        </w:tc>
      </w:tr>
      <w:tr w:rsidR="00B76EFF" w:rsidRPr="00B76EFF" w:rsidTr="00B76EFF">
        <w:tc>
          <w:tcPr>
            <w:tcW w:w="4149" w:type="dxa"/>
            <w:vMerge/>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p>
        </w:tc>
        <w:tc>
          <w:tcPr>
            <w:tcW w:w="2409" w:type="dxa"/>
            <w:gridSpan w:val="2"/>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Vrijednost</w:t>
            </w:r>
          </w:p>
        </w:tc>
        <w:tc>
          <w:tcPr>
            <w:tcW w:w="2410" w:type="dxa"/>
            <w:gridSpan w:val="2"/>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100%</w:t>
            </w:r>
          </w:p>
        </w:tc>
        <w:tc>
          <w:tcPr>
            <w:tcW w:w="2410"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100%</w:t>
            </w:r>
          </w:p>
        </w:tc>
        <w:tc>
          <w:tcPr>
            <w:tcW w:w="2842" w:type="dxa"/>
            <w:vAlign w:val="center"/>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100%</w:t>
            </w:r>
          </w:p>
        </w:tc>
      </w:tr>
    </w:tbl>
    <w:p w:rsidR="00B76EFF" w:rsidRPr="00B76EFF" w:rsidRDefault="00B76EFF" w:rsidP="00B76EFF">
      <w:pPr>
        <w:spacing w:after="160" w:line="259" w:lineRule="auto"/>
        <w:rPr>
          <w:rFonts w:ascii="Arial" w:hAnsi="Arial" w:cs="Arial"/>
        </w:rPr>
      </w:pPr>
    </w:p>
    <w:p w:rsidR="00B76EFF" w:rsidRPr="00B76EFF" w:rsidRDefault="00B76EFF" w:rsidP="00B76EFF">
      <w:pPr>
        <w:spacing w:after="160" w:line="259" w:lineRule="auto"/>
        <w:rPr>
          <w:rFonts w:ascii="Arial" w:hAnsi="Arial" w:cs="Arial"/>
        </w:rPr>
      </w:pPr>
      <w:r w:rsidRPr="00B76EFF">
        <w:rPr>
          <w:rFonts w:ascii="Arial" w:hAnsi="Arial" w:cs="Arial"/>
          <w:lang w:val="sr-Latn-ME"/>
        </w:rPr>
        <w:t>Pasoš br. 12 (za indikator uspjeha 6.1)</w:t>
      </w:r>
    </w:p>
    <w:tbl>
      <w:tblPr>
        <w:tblStyle w:val="TableGrid"/>
        <w:tblW w:w="14175" w:type="dxa"/>
        <w:jc w:val="center"/>
        <w:tblLook w:val="04A0" w:firstRow="1" w:lastRow="0" w:firstColumn="1" w:lastColumn="0" w:noHBand="0" w:noVBand="1"/>
      </w:tblPr>
      <w:tblGrid>
        <w:gridCol w:w="4536"/>
        <w:gridCol w:w="1843"/>
        <w:gridCol w:w="566"/>
        <w:gridCol w:w="1560"/>
        <w:gridCol w:w="850"/>
        <w:gridCol w:w="2410"/>
        <w:gridCol w:w="2410"/>
      </w:tblGrid>
      <w:tr w:rsidR="00B76EFF" w:rsidRPr="00B76EFF" w:rsidTr="00B76EFF">
        <w:trPr>
          <w:jc w:val="center"/>
        </w:trPr>
        <w:tc>
          <w:tcPr>
            <w:tcW w:w="4536" w:type="dxa"/>
            <w:shd w:val="clear" w:color="auto" w:fill="657C9C" w:themeFill="text2" w:themeFillTint="BF"/>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Kategorija</w:t>
            </w:r>
          </w:p>
        </w:tc>
        <w:tc>
          <w:tcPr>
            <w:tcW w:w="9639" w:type="dxa"/>
            <w:gridSpan w:val="6"/>
            <w:shd w:val="clear" w:color="auto" w:fill="657C9C" w:themeFill="text2" w:themeFillTint="BF"/>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Opis</w:t>
            </w:r>
          </w:p>
        </w:tc>
      </w:tr>
      <w:tr w:rsidR="00B76EFF" w:rsidRPr="00B76EFF" w:rsidTr="00B76EFF">
        <w:trPr>
          <w:jc w:val="center"/>
        </w:trPr>
        <w:tc>
          <w:tcPr>
            <w:tcW w:w="4536"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Naziv indikatora</w:t>
            </w:r>
          </w:p>
        </w:tc>
        <w:tc>
          <w:tcPr>
            <w:tcW w:w="9639" w:type="dxa"/>
            <w:gridSpan w:val="6"/>
            <w:shd w:val="clear" w:color="auto" w:fill="DEEAF6" w:themeFill="accent1" w:themeFillTint="33"/>
          </w:tcPr>
          <w:p w:rsidR="00B76EFF" w:rsidRPr="00B76EFF" w:rsidRDefault="00B76EFF" w:rsidP="00B76EFF">
            <w:pPr>
              <w:spacing w:after="160" w:line="259" w:lineRule="auto"/>
              <w:rPr>
                <w:rFonts w:ascii="Arial" w:hAnsi="Arial" w:cs="Arial"/>
                <w:b/>
                <w:bCs/>
                <w:sz w:val="22"/>
                <w:szCs w:val="22"/>
                <w:lang w:val="sr-Latn-ME" w:eastAsia="en-US"/>
              </w:rPr>
            </w:pPr>
            <w:r w:rsidRPr="00B76EFF">
              <w:rPr>
                <w:rFonts w:ascii="Arial" w:hAnsi="Arial" w:cs="Arial"/>
                <w:b/>
                <w:bCs/>
                <w:sz w:val="22"/>
                <w:szCs w:val="22"/>
                <w:lang w:val="sr-Latn-ME" w:eastAsia="en-US"/>
              </w:rPr>
              <w:t>Stopa povraćaja nepravilno utrošenih sredstava</w:t>
            </w:r>
          </w:p>
        </w:tc>
      </w:tr>
      <w:tr w:rsidR="00B76EFF" w:rsidRPr="00B76EFF" w:rsidTr="00B76EFF">
        <w:trPr>
          <w:jc w:val="center"/>
        </w:trPr>
        <w:tc>
          <w:tcPr>
            <w:tcW w:w="4536"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Cilj na koji se indikator odnosi</w:t>
            </w:r>
          </w:p>
        </w:tc>
        <w:tc>
          <w:tcPr>
            <w:tcW w:w="9639" w:type="dxa"/>
            <w:gridSpan w:val="6"/>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b/>
                <w:sz w:val="22"/>
                <w:szCs w:val="22"/>
                <w:lang w:val="sr-Latn-ME" w:eastAsia="en-US"/>
              </w:rPr>
              <w:t>Operativni cilj 6:</w:t>
            </w:r>
            <w:r w:rsidRPr="00B76EFF">
              <w:rPr>
                <w:rFonts w:ascii="Arial" w:hAnsi="Arial" w:cs="Arial"/>
                <w:sz w:val="22"/>
                <w:szCs w:val="22"/>
                <w:lang w:val="sr-Latn-ME" w:eastAsia="en-US"/>
              </w:rPr>
              <w:t xml:space="preserve"> Unaprijeđenje kapaciteta za osiguranje efektivnog i efikasnog povraćaja nepravilno utrošenih sredstava.</w:t>
            </w:r>
          </w:p>
        </w:tc>
      </w:tr>
      <w:tr w:rsidR="00B76EFF" w:rsidRPr="00B76EFF" w:rsidTr="00B76EFF">
        <w:trPr>
          <w:jc w:val="center"/>
        </w:trPr>
        <w:tc>
          <w:tcPr>
            <w:tcW w:w="4536"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Kratak opis indikatora</w:t>
            </w:r>
          </w:p>
        </w:tc>
        <w:tc>
          <w:tcPr>
            <w:tcW w:w="9639" w:type="dxa"/>
            <w:gridSpan w:val="6"/>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bCs/>
                <w:sz w:val="22"/>
                <w:szCs w:val="22"/>
                <w:lang w:val="sr-Latn-ME" w:eastAsia="en-US"/>
              </w:rPr>
              <w:t>Stopa povraćaja nepravilno utrošenih sredstava</w:t>
            </w:r>
            <w:r w:rsidRPr="00B76EFF">
              <w:rPr>
                <w:rFonts w:ascii="Arial" w:hAnsi="Arial" w:cs="Arial"/>
                <w:sz w:val="22"/>
                <w:szCs w:val="22"/>
                <w:lang w:val="sr-Latn-ME" w:eastAsia="en-US"/>
              </w:rPr>
              <w:t xml:space="preserve"> predstavlja procenat ukupnog iznosa koji je povraćen od izvođača / korisnika grantova u odnosu na ukupno utvrđeni iznos povraćaja tokom jedne izvještajne godine.</w:t>
            </w:r>
          </w:p>
        </w:tc>
      </w:tr>
      <w:tr w:rsidR="00B76EFF" w:rsidRPr="00B76EFF" w:rsidTr="00B76EFF">
        <w:trPr>
          <w:jc w:val="center"/>
        </w:trPr>
        <w:tc>
          <w:tcPr>
            <w:tcW w:w="4536"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Podaci koje je potrebno prikupiti</w:t>
            </w:r>
          </w:p>
        </w:tc>
        <w:tc>
          <w:tcPr>
            <w:tcW w:w="9639" w:type="dxa"/>
            <w:gridSpan w:val="6"/>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 xml:space="preserve">Ukupni iznos utvrđenih nepravilnosti; Ukupni iznos povraćenih IPA sredstava </w:t>
            </w:r>
          </w:p>
        </w:tc>
      </w:tr>
      <w:tr w:rsidR="00B76EFF" w:rsidRPr="00B76EFF" w:rsidTr="00B76EFF">
        <w:trPr>
          <w:jc w:val="center"/>
        </w:trPr>
        <w:tc>
          <w:tcPr>
            <w:tcW w:w="4536"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Izvor podataka</w:t>
            </w:r>
          </w:p>
        </w:tc>
        <w:tc>
          <w:tcPr>
            <w:tcW w:w="9639" w:type="dxa"/>
            <w:gridSpan w:val="6"/>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IMS</w:t>
            </w:r>
          </w:p>
        </w:tc>
      </w:tr>
      <w:tr w:rsidR="00B76EFF" w:rsidRPr="00B76EFF" w:rsidTr="00B76EFF">
        <w:trPr>
          <w:jc w:val="center"/>
        </w:trPr>
        <w:tc>
          <w:tcPr>
            <w:tcW w:w="4536"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Informacija o instituciji odgovornoj za prikupljanje podataka</w:t>
            </w:r>
          </w:p>
        </w:tc>
        <w:tc>
          <w:tcPr>
            <w:tcW w:w="9639" w:type="dxa"/>
            <w:gridSpan w:val="6"/>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Direkcija za zaštitu finansijskih interesa EU/AFCOS – Ministarstvo finansija</w:t>
            </w:r>
          </w:p>
        </w:tc>
      </w:tr>
      <w:tr w:rsidR="00B76EFF" w:rsidRPr="00B76EFF" w:rsidTr="00B76EFF">
        <w:trPr>
          <w:jc w:val="center"/>
        </w:trPr>
        <w:tc>
          <w:tcPr>
            <w:tcW w:w="4536"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Učestalost prikupljanja podataka</w:t>
            </w:r>
          </w:p>
        </w:tc>
        <w:tc>
          <w:tcPr>
            <w:tcW w:w="9639" w:type="dxa"/>
            <w:gridSpan w:val="6"/>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Godišnje</w:t>
            </w:r>
          </w:p>
        </w:tc>
      </w:tr>
      <w:tr w:rsidR="00B76EFF" w:rsidRPr="00B76EFF" w:rsidTr="00B76EFF">
        <w:trPr>
          <w:jc w:val="center"/>
        </w:trPr>
        <w:tc>
          <w:tcPr>
            <w:tcW w:w="4536" w:type="dxa"/>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Učestalost izvještavanja o vrijednosti indikatora</w:t>
            </w:r>
          </w:p>
        </w:tc>
        <w:tc>
          <w:tcPr>
            <w:tcW w:w="9639" w:type="dxa"/>
            <w:gridSpan w:val="6"/>
            <w:tcBorders>
              <w:bottom w:val="single" w:sz="4" w:space="0" w:color="auto"/>
            </w:tcBorders>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Jednom u dvije godine – prilikom evaluacije Akcionog plana</w:t>
            </w:r>
          </w:p>
        </w:tc>
      </w:tr>
      <w:tr w:rsidR="00B76EFF" w:rsidRPr="00B76EFF" w:rsidTr="00B76EFF">
        <w:trPr>
          <w:jc w:val="center"/>
        </w:trPr>
        <w:tc>
          <w:tcPr>
            <w:tcW w:w="4536" w:type="dxa"/>
            <w:vMerge w:val="restart"/>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Kratak opis metodologije izračunavanja podataka</w:t>
            </w:r>
          </w:p>
          <w:p w:rsidR="00B76EFF" w:rsidRPr="00B76EFF" w:rsidRDefault="00B76EFF" w:rsidP="00B76EFF">
            <w:pPr>
              <w:spacing w:after="160" w:line="259" w:lineRule="auto"/>
              <w:rPr>
                <w:rFonts w:ascii="Arial" w:hAnsi="Arial" w:cs="Arial"/>
                <w:sz w:val="22"/>
                <w:szCs w:val="22"/>
                <w:lang w:val="sr-Latn-ME" w:eastAsia="en-US"/>
              </w:rPr>
            </w:pPr>
          </w:p>
        </w:tc>
        <w:tc>
          <w:tcPr>
            <w:tcW w:w="9639" w:type="dxa"/>
            <w:gridSpan w:val="6"/>
            <w:tcBorders>
              <w:bottom w:val="nil"/>
            </w:tcBorders>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b/>
                <w:bCs/>
                <w:sz w:val="22"/>
                <w:szCs w:val="22"/>
                <w:lang w:val="sr-Latn-ME" w:eastAsia="en-US"/>
              </w:rPr>
              <w:t>Stopa povraćaja nepravilno utrošenih sredstava</w:t>
            </w:r>
            <w:r w:rsidRPr="00B76EFF">
              <w:rPr>
                <w:rFonts w:ascii="Arial" w:hAnsi="Arial" w:cs="Arial"/>
                <w:sz w:val="22"/>
                <w:szCs w:val="22"/>
                <w:lang w:val="sr-Latn-ME" w:eastAsia="en-US"/>
              </w:rPr>
              <w:t xml:space="preserve"> računa se tako što se iznos već povraćenih sredstava u jednoj izveštajnoj godini dijeli sa ukupnim iznosom utvrđenih nepravilnosti u istom periodu, uz prilagođavanje za buduće obaveze – iznose koji još treba da se povrate.</w:t>
            </w:r>
            <w:r w:rsidRPr="00B76EFF">
              <w:rPr>
                <w:rFonts w:ascii="Arial" w:hAnsi="Arial" w:cs="Arial"/>
                <w:sz w:val="22"/>
                <w:szCs w:val="22"/>
                <w:lang w:val="sr-Latn-ME" w:eastAsia="en-US"/>
              </w:rPr>
              <w:br/>
              <w:t>Početna / osnovna vrijednost postavljena je na 43% na osnovu statističke analize iznosa nepravilnosti na nivou programa uključene u Analizu rizika od prevara iz 2024. godine</w:t>
            </w:r>
            <w:r w:rsidRPr="00B76EFF">
              <w:rPr>
                <w:rFonts w:ascii="Arial" w:hAnsi="Arial" w:cs="Arial"/>
                <w:sz w:val="22"/>
                <w:szCs w:val="22"/>
                <w:vertAlign w:val="superscript"/>
                <w:lang w:val="sr-Latn-ME" w:eastAsia="en-US"/>
              </w:rPr>
              <w:t xml:space="preserve"> </w:t>
            </w:r>
            <w:r w:rsidRPr="00B76EFF">
              <w:rPr>
                <w:rFonts w:ascii="Arial" w:hAnsi="Arial" w:cs="Arial"/>
                <w:sz w:val="22"/>
                <w:szCs w:val="22"/>
                <w:vertAlign w:val="superscript"/>
                <w:lang w:val="sr-Latn-ME" w:eastAsia="en-US"/>
              </w:rPr>
              <w:footnoteReference w:id="18"/>
            </w:r>
            <w:r w:rsidRPr="00B76EFF">
              <w:rPr>
                <w:rFonts w:ascii="Arial" w:hAnsi="Arial" w:cs="Arial"/>
                <w:sz w:val="22"/>
                <w:szCs w:val="22"/>
                <w:lang w:val="sr-Latn-ME" w:eastAsia="en-US"/>
              </w:rPr>
              <w:t xml:space="preserve">. </w:t>
            </w:r>
          </w:p>
        </w:tc>
      </w:tr>
      <w:tr w:rsidR="00B76EFF" w:rsidRPr="00B76EFF" w:rsidTr="00B76EFF">
        <w:trPr>
          <w:jc w:val="center"/>
        </w:trPr>
        <w:tc>
          <w:tcPr>
            <w:tcW w:w="4536" w:type="dxa"/>
            <w:vMerge/>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p>
        </w:tc>
        <w:tc>
          <w:tcPr>
            <w:tcW w:w="1843" w:type="dxa"/>
            <w:vMerge w:val="restart"/>
            <w:tcBorders>
              <w:top w:val="nil"/>
              <w:right w:val="nil"/>
            </w:tcBorders>
          </w:tcPr>
          <w:p w:rsidR="00B76EFF" w:rsidRPr="00B76EFF" w:rsidRDefault="00B76EFF" w:rsidP="00B76EFF">
            <w:pPr>
              <w:spacing w:after="160" w:line="259" w:lineRule="auto"/>
              <w:rPr>
                <w:rFonts w:ascii="Arial" w:hAnsi="Arial" w:cs="Arial"/>
                <w:sz w:val="22"/>
                <w:szCs w:val="22"/>
                <w:lang w:val="sr-Latn-ME" w:eastAsia="en-US"/>
              </w:rPr>
            </w:pPr>
          </w:p>
        </w:tc>
        <w:tc>
          <w:tcPr>
            <w:tcW w:w="2126" w:type="dxa"/>
            <w:gridSpan w:val="2"/>
            <w:vMerge w:val="restart"/>
            <w:tcBorders>
              <w:top w:val="nil"/>
              <w:left w:val="nil"/>
              <w:right w:val="nil"/>
            </w:tcBorders>
            <w:vAlign w:val="center"/>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Stopa povraćaja=</w:t>
            </w:r>
          </w:p>
        </w:tc>
        <w:tc>
          <w:tcPr>
            <w:tcW w:w="3260" w:type="dxa"/>
            <w:gridSpan w:val="2"/>
            <w:tcBorders>
              <w:top w:val="nil"/>
              <w:left w:val="nil"/>
              <w:bottom w:val="single" w:sz="4" w:space="0" w:color="auto"/>
              <w:right w:val="nil"/>
            </w:tcBorders>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iznos već povraćenih IPA sredstava</w:t>
            </w:r>
          </w:p>
        </w:tc>
        <w:tc>
          <w:tcPr>
            <w:tcW w:w="2410" w:type="dxa"/>
            <w:vMerge w:val="restart"/>
            <w:tcBorders>
              <w:top w:val="nil"/>
              <w:left w:val="nil"/>
            </w:tcBorders>
            <w:vAlign w:val="center"/>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X 100</w:t>
            </w:r>
          </w:p>
        </w:tc>
      </w:tr>
      <w:tr w:rsidR="00B76EFF" w:rsidRPr="00B76EFF" w:rsidTr="00B76EFF">
        <w:trPr>
          <w:jc w:val="center"/>
        </w:trPr>
        <w:tc>
          <w:tcPr>
            <w:tcW w:w="4536" w:type="dxa"/>
            <w:vMerge/>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p>
        </w:tc>
        <w:tc>
          <w:tcPr>
            <w:tcW w:w="1843" w:type="dxa"/>
            <w:vMerge/>
            <w:tcBorders>
              <w:bottom w:val="single" w:sz="4" w:space="0" w:color="auto"/>
              <w:right w:val="nil"/>
            </w:tcBorders>
          </w:tcPr>
          <w:p w:rsidR="00B76EFF" w:rsidRPr="00B76EFF" w:rsidRDefault="00B76EFF" w:rsidP="00B76EFF">
            <w:pPr>
              <w:spacing w:after="160" w:line="259" w:lineRule="auto"/>
              <w:rPr>
                <w:rFonts w:ascii="Arial" w:hAnsi="Arial" w:cs="Arial"/>
                <w:sz w:val="22"/>
                <w:szCs w:val="22"/>
                <w:lang w:val="sr-Latn-ME" w:eastAsia="en-US"/>
              </w:rPr>
            </w:pPr>
          </w:p>
        </w:tc>
        <w:tc>
          <w:tcPr>
            <w:tcW w:w="2126" w:type="dxa"/>
            <w:gridSpan w:val="2"/>
            <w:vMerge/>
            <w:tcBorders>
              <w:left w:val="nil"/>
              <w:bottom w:val="single" w:sz="4" w:space="0" w:color="auto"/>
              <w:right w:val="nil"/>
            </w:tcBorders>
          </w:tcPr>
          <w:p w:rsidR="00B76EFF" w:rsidRPr="00B76EFF" w:rsidRDefault="00B76EFF" w:rsidP="00B76EFF">
            <w:pPr>
              <w:spacing w:after="160" w:line="259" w:lineRule="auto"/>
              <w:rPr>
                <w:rFonts w:ascii="Arial" w:hAnsi="Arial" w:cs="Arial"/>
                <w:sz w:val="22"/>
                <w:szCs w:val="22"/>
                <w:lang w:val="sr-Latn-ME" w:eastAsia="en-US"/>
              </w:rPr>
            </w:pPr>
          </w:p>
        </w:tc>
        <w:tc>
          <w:tcPr>
            <w:tcW w:w="3260" w:type="dxa"/>
            <w:gridSpan w:val="2"/>
            <w:tcBorders>
              <w:left w:val="nil"/>
              <w:bottom w:val="single" w:sz="4" w:space="0" w:color="auto"/>
              <w:right w:val="nil"/>
            </w:tcBorders>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ukupnim iznosom utvrđenih nepravilnosti (uz prilagođavanja)</w:t>
            </w:r>
          </w:p>
        </w:tc>
        <w:tc>
          <w:tcPr>
            <w:tcW w:w="2410" w:type="dxa"/>
            <w:vMerge/>
            <w:tcBorders>
              <w:left w:val="nil"/>
              <w:bottom w:val="single" w:sz="4" w:space="0" w:color="auto"/>
            </w:tcBorders>
          </w:tcPr>
          <w:p w:rsidR="00B76EFF" w:rsidRPr="00B76EFF" w:rsidRDefault="00B76EFF" w:rsidP="00B76EFF">
            <w:pPr>
              <w:spacing w:after="160" w:line="259" w:lineRule="auto"/>
              <w:rPr>
                <w:rFonts w:ascii="Arial" w:hAnsi="Arial" w:cs="Arial"/>
                <w:sz w:val="22"/>
                <w:szCs w:val="22"/>
                <w:lang w:val="sr-Latn-ME" w:eastAsia="en-US"/>
              </w:rPr>
            </w:pPr>
          </w:p>
        </w:tc>
      </w:tr>
      <w:tr w:rsidR="00B76EFF" w:rsidRPr="00B76EFF" w:rsidTr="00B76EFF">
        <w:trPr>
          <w:jc w:val="center"/>
        </w:trPr>
        <w:tc>
          <w:tcPr>
            <w:tcW w:w="4536" w:type="dxa"/>
            <w:vMerge w:val="restart"/>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Informacija o početnoj vrijednosti i o ciljnim vrijednostima</w:t>
            </w:r>
          </w:p>
        </w:tc>
        <w:tc>
          <w:tcPr>
            <w:tcW w:w="2409" w:type="dxa"/>
            <w:gridSpan w:val="2"/>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Godina</w:t>
            </w:r>
          </w:p>
        </w:tc>
        <w:tc>
          <w:tcPr>
            <w:tcW w:w="2410" w:type="dxa"/>
            <w:gridSpan w:val="2"/>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b/>
                <w:sz w:val="22"/>
                <w:szCs w:val="22"/>
                <w:lang w:val="sr-Latn-ME" w:eastAsia="en-US"/>
              </w:rPr>
              <w:t>Početna vrijednost u 2024</w:t>
            </w:r>
          </w:p>
        </w:tc>
        <w:tc>
          <w:tcPr>
            <w:tcW w:w="2410"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b/>
                <w:sz w:val="22"/>
                <w:szCs w:val="22"/>
                <w:lang w:val="sr-Latn-ME" w:eastAsia="en-US"/>
              </w:rPr>
              <w:t>Željena vrijednost u 2026</w:t>
            </w:r>
          </w:p>
        </w:tc>
        <w:tc>
          <w:tcPr>
            <w:tcW w:w="2410"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b/>
                <w:sz w:val="22"/>
                <w:szCs w:val="22"/>
                <w:lang w:val="sr-Latn-ME" w:eastAsia="en-US"/>
              </w:rPr>
              <w:t>Željena vrijednost u 2028</w:t>
            </w:r>
          </w:p>
        </w:tc>
      </w:tr>
      <w:tr w:rsidR="00B76EFF" w:rsidRPr="00B76EFF" w:rsidTr="00B76EFF">
        <w:trPr>
          <w:jc w:val="center"/>
        </w:trPr>
        <w:tc>
          <w:tcPr>
            <w:tcW w:w="4536" w:type="dxa"/>
            <w:vMerge/>
            <w:shd w:val="clear" w:color="auto" w:fill="DEEAF6" w:themeFill="accent1" w:themeFillTint="33"/>
          </w:tcPr>
          <w:p w:rsidR="00B76EFF" w:rsidRPr="00B76EFF" w:rsidRDefault="00B76EFF" w:rsidP="00B76EFF">
            <w:pPr>
              <w:spacing w:after="160" w:line="259" w:lineRule="auto"/>
              <w:rPr>
                <w:rFonts w:ascii="Arial" w:hAnsi="Arial" w:cs="Arial"/>
                <w:sz w:val="22"/>
                <w:szCs w:val="22"/>
                <w:lang w:val="sr-Latn-ME" w:eastAsia="en-US"/>
              </w:rPr>
            </w:pPr>
          </w:p>
        </w:tc>
        <w:tc>
          <w:tcPr>
            <w:tcW w:w="2409" w:type="dxa"/>
            <w:gridSpan w:val="2"/>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Vrijednost</w:t>
            </w:r>
          </w:p>
        </w:tc>
        <w:tc>
          <w:tcPr>
            <w:tcW w:w="2410" w:type="dxa"/>
            <w:gridSpan w:val="2"/>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43%</w:t>
            </w:r>
          </w:p>
        </w:tc>
        <w:tc>
          <w:tcPr>
            <w:tcW w:w="2410" w:type="dxa"/>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60%</w:t>
            </w:r>
          </w:p>
        </w:tc>
        <w:tc>
          <w:tcPr>
            <w:tcW w:w="2410" w:type="dxa"/>
            <w:vAlign w:val="center"/>
          </w:tcPr>
          <w:p w:rsidR="00B76EFF" w:rsidRPr="00B76EFF" w:rsidRDefault="00B76EFF" w:rsidP="00B76EFF">
            <w:pPr>
              <w:spacing w:after="160" w:line="259" w:lineRule="auto"/>
              <w:rPr>
                <w:rFonts w:ascii="Arial" w:hAnsi="Arial" w:cs="Arial"/>
                <w:sz w:val="22"/>
                <w:szCs w:val="22"/>
                <w:lang w:val="sr-Latn-ME" w:eastAsia="en-US"/>
              </w:rPr>
            </w:pPr>
            <w:r w:rsidRPr="00B76EFF">
              <w:rPr>
                <w:rFonts w:ascii="Arial" w:hAnsi="Arial" w:cs="Arial"/>
                <w:sz w:val="22"/>
                <w:szCs w:val="22"/>
                <w:lang w:val="sr-Latn-ME" w:eastAsia="en-US"/>
              </w:rPr>
              <w:t>75%</w:t>
            </w:r>
          </w:p>
        </w:tc>
      </w:tr>
    </w:tbl>
    <w:p w:rsidR="00B76EFF" w:rsidRPr="00B76EFF" w:rsidRDefault="00B76EFF" w:rsidP="00B76EFF">
      <w:pPr>
        <w:spacing w:after="160" w:line="259" w:lineRule="auto"/>
        <w:rPr>
          <w:rFonts w:ascii="Arial" w:hAnsi="Arial" w:cs="Arial"/>
        </w:rPr>
      </w:pPr>
    </w:p>
    <w:p w:rsidR="00B76EFF" w:rsidRDefault="00B76EFF" w:rsidP="00B76EFF">
      <w:pPr>
        <w:spacing w:after="160" w:line="259" w:lineRule="auto"/>
        <w:rPr>
          <w:rFonts w:ascii="Arial" w:hAnsi="Arial" w:cs="Arial"/>
        </w:rPr>
      </w:pPr>
    </w:p>
    <w:p w:rsidR="00621357" w:rsidRDefault="00621357" w:rsidP="00B76EFF">
      <w:pPr>
        <w:spacing w:after="160" w:line="259" w:lineRule="auto"/>
        <w:rPr>
          <w:rFonts w:ascii="Arial" w:hAnsi="Arial" w:cs="Arial"/>
        </w:rPr>
      </w:pPr>
    </w:p>
    <w:p w:rsidR="00621357" w:rsidRDefault="00621357" w:rsidP="00B76EFF">
      <w:pPr>
        <w:spacing w:after="160" w:line="259" w:lineRule="auto"/>
        <w:rPr>
          <w:rFonts w:ascii="Arial" w:hAnsi="Arial" w:cs="Arial"/>
        </w:rPr>
      </w:pPr>
    </w:p>
    <w:p w:rsidR="00621357" w:rsidRDefault="00621357" w:rsidP="00B76EFF">
      <w:pPr>
        <w:spacing w:after="160" w:line="259" w:lineRule="auto"/>
        <w:rPr>
          <w:rFonts w:ascii="Arial" w:hAnsi="Arial" w:cs="Arial"/>
        </w:rPr>
      </w:pPr>
    </w:p>
    <w:p w:rsidR="00621357" w:rsidRDefault="00621357" w:rsidP="00B76EFF">
      <w:pPr>
        <w:spacing w:after="160" w:line="259" w:lineRule="auto"/>
        <w:rPr>
          <w:rFonts w:ascii="Arial" w:hAnsi="Arial" w:cs="Arial"/>
        </w:rPr>
      </w:pPr>
    </w:p>
    <w:p w:rsidR="00621357" w:rsidRDefault="00621357" w:rsidP="00B76EFF">
      <w:pPr>
        <w:spacing w:after="160" w:line="259" w:lineRule="auto"/>
        <w:rPr>
          <w:rFonts w:ascii="Arial" w:hAnsi="Arial" w:cs="Arial"/>
        </w:rPr>
      </w:pPr>
    </w:p>
    <w:p w:rsidR="00621357" w:rsidRPr="00B76EFF" w:rsidRDefault="00621357" w:rsidP="00B76EFF">
      <w:pPr>
        <w:spacing w:after="160" w:line="259" w:lineRule="auto"/>
        <w:rPr>
          <w:rFonts w:ascii="Arial" w:hAnsi="Arial" w:cs="Arial"/>
        </w:rPr>
      </w:pPr>
    </w:p>
    <w:p w:rsidR="00B76EFF" w:rsidRPr="00621357" w:rsidRDefault="00621357" w:rsidP="00621357">
      <w:pPr>
        <w:spacing w:after="160" w:line="259" w:lineRule="auto"/>
        <w:jc w:val="center"/>
        <w:rPr>
          <w:rFonts w:ascii="Arial" w:hAnsi="Arial" w:cs="Arial"/>
          <w:b/>
        </w:rPr>
      </w:pPr>
      <w:r w:rsidRPr="00621357">
        <w:rPr>
          <w:rFonts w:ascii="Arial" w:hAnsi="Arial" w:cs="Arial"/>
          <w:b/>
        </w:rPr>
        <w:t>AKCIONI PLAN 2025-2026</w:t>
      </w:r>
    </w:p>
    <w:tbl>
      <w:tblPr>
        <w:tblStyle w:val="TableGrid"/>
        <w:tblW w:w="15310" w:type="dxa"/>
        <w:tblInd w:w="-7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40"/>
        <w:gridCol w:w="1932"/>
        <w:gridCol w:w="2039"/>
        <w:gridCol w:w="1818"/>
        <w:gridCol w:w="36"/>
        <w:gridCol w:w="560"/>
        <w:gridCol w:w="643"/>
        <w:gridCol w:w="34"/>
        <w:gridCol w:w="1373"/>
        <w:gridCol w:w="78"/>
        <w:gridCol w:w="2128"/>
        <w:gridCol w:w="383"/>
        <w:gridCol w:w="1746"/>
      </w:tblGrid>
      <w:tr w:rsidR="00621357" w:rsidRPr="00621357" w:rsidTr="007904C2">
        <w:tc>
          <w:tcPr>
            <w:tcW w:w="2540" w:type="dxa"/>
            <w:shd w:val="clear" w:color="auto" w:fill="7BAAEF"/>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Strateški cilj</w:t>
            </w:r>
          </w:p>
        </w:tc>
        <w:tc>
          <w:tcPr>
            <w:tcW w:w="12770" w:type="dxa"/>
            <w:gridSpan w:val="12"/>
            <w:shd w:val="clear" w:color="auto" w:fill="7BAAEF"/>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Smanjiti prevaru i druge nepravilnosti koje utiču na EU finansijske interese u Crnoj Gori do 2028. godine jačanjem AFCOS sistema, koordinacione uloge Direkcije za zaštitu finansijskih interesa EU/AFCOS, poboljšanjem saradnje među svim zainteresovanim stranama, sprovođenjem preventivnih mjera i održavanjem kapaciteta za detekciju nepravilnosti, čime će se osigurati zaštita novca poreskih obveznika EU i Crne Gore, kao i efikasna i efektivna upotreba EU resursa.</w:t>
            </w:r>
          </w:p>
        </w:tc>
      </w:tr>
      <w:tr w:rsidR="00621357" w:rsidRPr="00621357" w:rsidTr="007904C2">
        <w:tc>
          <w:tcPr>
            <w:tcW w:w="2540" w:type="dxa"/>
            <w:shd w:val="clear" w:color="auto" w:fill="7BAAEF"/>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Indikator uspjeha</w:t>
            </w:r>
          </w:p>
        </w:tc>
        <w:tc>
          <w:tcPr>
            <w:tcW w:w="7062" w:type="dxa"/>
            <w:gridSpan w:val="7"/>
            <w:shd w:val="clear" w:color="auto" w:fill="7BAAEF"/>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Stopa otkrivanja nepravilnosti</w:t>
            </w:r>
          </w:p>
        </w:tc>
        <w:tc>
          <w:tcPr>
            <w:tcW w:w="1373" w:type="dxa"/>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 xml:space="preserve">Početna vrijednost u 2024: </w:t>
            </w:r>
          </w:p>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b/>
                <w:sz w:val="22"/>
                <w:szCs w:val="22"/>
                <w:lang w:val="sr-Latn-ME" w:eastAsia="en-US"/>
              </w:rPr>
              <w:t>1.53%</w:t>
            </w:r>
          </w:p>
        </w:tc>
        <w:tc>
          <w:tcPr>
            <w:tcW w:w="2589" w:type="dxa"/>
            <w:gridSpan w:val="3"/>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Ciljana vrijednost u 2026:</w:t>
            </w:r>
          </w:p>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&lt;1.53%</w:t>
            </w:r>
          </w:p>
        </w:tc>
        <w:tc>
          <w:tcPr>
            <w:tcW w:w="1746" w:type="dxa"/>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 xml:space="preserve">Ciljana vrijednost u 2028: </w:t>
            </w:r>
          </w:p>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b/>
                <w:sz w:val="22"/>
                <w:szCs w:val="22"/>
                <w:lang w:val="sr-Latn-ME" w:eastAsia="en-US"/>
              </w:rPr>
              <w:t>&lt;1.53%</w:t>
            </w:r>
          </w:p>
        </w:tc>
      </w:tr>
      <w:tr w:rsidR="00621357" w:rsidRPr="00621357" w:rsidTr="007904C2">
        <w:tc>
          <w:tcPr>
            <w:tcW w:w="2540" w:type="dxa"/>
            <w:shd w:val="clear" w:color="auto" w:fill="DEEAF6" w:themeFill="accent1" w:themeFillTint="33"/>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Operativni cilj 1</w:t>
            </w:r>
          </w:p>
        </w:tc>
        <w:tc>
          <w:tcPr>
            <w:tcW w:w="12770" w:type="dxa"/>
            <w:gridSpan w:val="12"/>
            <w:shd w:val="clear" w:color="auto" w:fill="DEEAF6" w:themeFill="accent1" w:themeFillTint="3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Unaprjeđenje pravnog okvira u cilju finalizacije uspostavljanja potpuno funkcionalnog AFCOS sistema</w:t>
            </w:r>
          </w:p>
          <w:p w:rsidR="00621357" w:rsidRPr="00621357" w:rsidRDefault="00621357" w:rsidP="00621357">
            <w:pPr>
              <w:spacing w:after="160" w:line="259" w:lineRule="auto"/>
              <w:rPr>
                <w:rFonts w:ascii="Arial" w:hAnsi="Arial" w:cs="Arial"/>
                <w:sz w:val="22"/>
                <w:szCs w:val="22"/>
                <w:lang w:val="sr-Latn-ME" w:eastAsia="en-US"/>
              </w:rPr>
            </w:pPr>
          </w:p>
        </w:tc>
      </w:tr>
      <w:tr w:rsidR="00621357" w:rsidRPr="00621357" w:rsidTr="007904C2">
        <w:tc>
          <w:tcPr>
            <w:tcW w:w="2540" w:type="dxa"/>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Indikator uspjeha 1.1</w:t>
            </w:r>
          </w:p>
        </w:tc>
        <w:tc>
          <w:tcPr>
            <w:tcW w:w="7062" w:type="dxa"/>
            <w:gridSpan w:val="7"/>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Uspostavljen operativan i potpuno funkcionalan AFCOS sistem</w:t>
            </w:r>
          </w:p>
        </w:tc>
        <w:tc>
          <w:tcPr>
            <w:tcW w:w="1373" w:type="dxa"/>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 xml:space="preserve">Početna vrijednost u 2024: </w:t>
            </w:r>
          </w:p>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30%</w:t>
            </w:r>
          </w:p>
        </w:tc>
        <w:tc>
          <w:tcPr>
            <w:tcW w:w="2589" w:type="dxa"/>
            <w:gridSpan w:val="3"/>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Ciljana vrijednost u 2026:</w:t>
            </w:r>
          </w:p>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60%</w:t>
            </w:r>
          </w:p>
        </w:tc>
        <w:tc>
          <w:tcPr>
            <w:tcW w:w="1746" w:type="dxa"/>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 xml:space="preserve">Ciljana vrijednost u 2028: </w:t>
            </w:r>
          </w:p>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100%</w:t>
            </w:r>
          </w:p>
        </w:tc>
      </w:tr>
      <w:tr w:rsidR="00621357" w:rsidRPr="00621357" w:rsidTr="007904C2">
        <w:tc>
          <w:tcPr>
            <w:tcW w:w="2540" w:type="dxa"/>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bookmarkStart w:id="27" w:name="_Hlk194042714"/>
            <w:r w:rsidRPr="00621357">
              <w:rPr>
                <w:rFonts w:ascii="Arial" w:hAnsi="Arial" w:cs="Arial"/>
                <w:b/>
                <w:sz w:val="22"/>
                <w:szCs w:val="22"/>
                <w:lang w:val="sr-Latn-ME" w:eastAsia="en-US"/>
              </w:rPr>
              <w:t>Mjere povezane sa operativnim ciljem 1</w:t>
            </w:r>
          </w:p>
        </w:tc>
        <w:tc>
          <w:tcPr>
            <w:tcW w:w="1932" w:type="dxa"/>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Aktivnost</w:t>
            </w:r>
          </w:p>
        </w:tc>
        <w:tc>
          <w:tcPr>
            <w:tcW w:w="2039" w:type="dxa"/>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Indikator učinka</w:t>
            </w:r>
          </w:p>
        </w:tc>
        <w:tc>
          <w:tcPr>
            <w:tcW w:w="1854" w:type="dxa"/>
            <w:gridSpan w:val="2"/>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Odgovorna institucija</w:t>
            </w:r>
          </w:p>
        </w:tc>
        <w:tc>
          <w:tcPr>
            <w:tcW w:w="1237" w:type="dxa"/>
            <w:gridSpan w:val="3"/>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 xml:space="preserve">Datum početka </w:t>
            </w:r>
          </w:p>
        </w:tc>
        <w:tc>
          <w:tcPr>
            <w:tcW w:w="1373" w:type="dxa"/>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Datum završetka</w:t>
            </w:r>
          </w:p>
        </w:tc>
        <w:tc>
          <w:tcPr>
            <w:tcW w:w="2589" w:type="dxa"/>
            <w:gridSpan w:val="3"/>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Predviđeni troškovi</w:t>
            </w:r>
          </w:p>
        </w:tc>
        <w:tc>
          <w:tcPr>
            <w:tcW w:w="1746" w:type="dxa"/>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Izvor finansiranja</w:t>
            </w:r>
          </w:p>
        </w:tc>
      </w:tr>
      <w:bookmarkEnd w:id="27"/>
      <w:tr w:rsidR="00621357" w:rsidRPr="00621357" w:rsidTr="007904C2">
        <w:tc>
          <w:tcPr>
            <w:tcW w:w="2540"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1.1. Usvajanje izmjena i dopuna Zakona o budžetu i fiskalnoj odgovornosti</w:t>
            </w:r>
          </w:p>
        </w:tc>
        <w:tc>
          <w:tcPr>
            <w:tcW w:w="1932"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Usvojiti izmjene i dopune Zakona o budžetu i fiskalnoj odgovornosti</w:t>
            </w:r>
          </w:p>
        </w:tc>
        <w:tc>
          <w:tcPr>
            <w:tcW w:w="2039"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Izmjene i dopune Zakona o budžetu i fiskalnoj odgovornosti usvojene</w:t>
            </w:r>
          </w:p>
        </w:tc>
        <w:tc>
          <w:tcPr>
            <w:tcW w:w="1854" w:type="dxa"/>
            <w:gridSpan w:val="2"/>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Ministarstvo finansija</w:t>
            </w:r>
          </w:p>
        </w:tc>
        <w:tc>
          <w:tcPr>
            <w:tcW w:w="1237"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 Q 2025</w:t>
            </w:r>
          </w:p>
        </w:tc>
        <w:tc>
          <w:tcPr>
            <w:tcW w:w="1373"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IV 2026</w:t>
            </w:r>
          </w:p>
        </w:tc>
        <w:tc>
          <w:tcPr>
            <w:tcW w:w="2589"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3.500,00EUR</w:t>
            </w:r>
          </w:p>
        </w:tc>
        <w:tc>
          <w:tcPr>
            <w:tcW w:w="1746"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 xml:space="preserve">Twinning light projekat </w:t>
            </w:r>
            <w:r w:rsidRPr="00621357">
              <w:rPr>
                <w:rFonts w:ascii="Arial" w:hAnsi="Arial" w:cs="Arial"/>
                <w:bCs/>
                <w:sz w:val="22"/>
                <w:szCs w:val="22"/>
                <w:lang w:val="sr-Latn-ME" w:eastAsia="en-US"/>
              </w:rPr>
              <w:t>„Dalje unaprijeđenje funkcionisanja crnogorskog AFCOS sistema u cilju efikasne zaštite finansijskih interesa EU“</w:t>
            </w:r>
          </w:p>
        </w:tc>
      </w:tr>
      <w:tr w:rsidR="00621357" w:rsidRPr="00621357" w:rsidTr="007904C2">
        <w:tc>
          <w:tcPr>
            <w:tcW w:w="2540" w:type="dxa"/>
            <w:vMerge w:val="restart"/>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1.2. Usvajanje podzakonskih akata za funkcionisanje sistema zaštite finansijskih interesa EU u CG</w:t>
            </w:r>
          </w:p>
        </w:tc>
        <w:tc>
          <w:tcPr>
            <w:tcW w:w="1932"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 xml:space="preserve">Usvojiti Uredbu o institucionalnom okviru funkcionisanja sistema za borbu protiv prevara i nepravilnosti (AFCOS sistem) </w:t>
            </w:r>
          </w:p>
        </w:tc>
        <w:tc>
          <w:tcPr>
            <w:tcW w:w="2039"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Uredba o institucionalnom okviru funkcionisanja sistema za borbu protiv prevara i nepravilnosti (AFCOS sistem) usvojena</w:t>
            </w:r>
          </w:p>
        </w:tc>
        <w:tc>
          <w:tcPr>
            <w:tcW w:w="1854" w:type="dxa"/>
            <w:gridSpan w:val="2"/>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Direkcija za zaštitu finansijskih interesa EU /Ministarstvo finansija</w:t>
            </w:r>
          </w:p>
        </w:tc>
        <w:tc>
          <w:tcPr>
            <w:tcW w:w="1237"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 Q 2025</w:t>
            </w:r>
          </w:p>
        </w:tc>
        <w:tc>
          <w:tcPr>
            <w:tcW w:w="1373"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IV 2026</w:t>
            </w:r>
          </w:p>
        </w:tc>
        <w:tc>
          <w:tcPr>
            <w:tcW w:w="2589"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3.500,00EUR</w:t>
            </w:r>
          </w:p>
        </w:tc>
        <w:tc>
          <w:tcPr>
            <w:tcW w:w="1746"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 xml:space="preserve">Twinning light projekat </w:t>
            </w:r>
            <w:r w:rsidRPr="00621357">
              <w:rPr>
                <w:rFonts w:ascii="Arial" w:hAnsi="Arial" w:cs="Arial"/>
                <w:bCs/>
                <w:sz w:val="22"/>
                <w:szCs w:val="22"/>
                <w:lang w:val="sr-Latn-ME" w:eastAsia="en-US"/>
              </w:rPr>
              <w:t>„Dalje unaprijeđenje funkcionisanja crnogorskog AFCOS sistema u cilju efikasne zaštite finansijskih interesa EU“</w:t>
            </w:r>
          </w:p>
        </w:tc>
      </w:tr>
      <w:tr w:rsidR="00621357" w:rsidRPr="00621357" w:rsidTr="007904C2">
        <w:trPr>
          <w:trHeight w:val="848"/>
        </w:trPr>
        <w:tc>
          <w:tcPr>
            <w:tcW w:w="2540" w:type="dxa"/>
            <w:vMerge/>
          </w:tcPr>
          <w:p w:rsidR="00621357" w:rsidRPr="00621357" w:rsidRDefault="00621357" w:rsidP="00621357">
            <w:pPr>
              <w:spacing w:after="160" w:line="259" w:lineRule="auto"/>
              <w:rPr>
                <w:rFonts w:ascii="Arial" w:hAnsi="Arial" w:cs="Arial"/>
                <w:sz w:val="22"/>
                <w:szCs w:val="22"/>
                <w:lang w:val="sr-Latn-ME" w:eastAsia="en-US"/>
              </w:rPr>
            </w:pPr>
          </w:p>
        </w:tc>
        <w:tc>
          <w:tcPr>
            <w:tcW w:w="1932"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Usvojiti Uredbu o načinu sprovođenja podrške EU kroz Instrument za Reformu i rast</w:t>
            </w:r>
          </w:p>
        </w:tc>
        <w:tc>
          <w:tcPr>
            <w:tcW w:w="2039"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Uredbu o načinu sprovođenja podrške EU kroz Instrument za Reformu i rast usvojena</w:t>
            </w:r>
          </w:p>
        </w:tc>
        <w:tc>
          <w:tcPr>
            <w:tcW w:w="1854" w:type="dxa"/>
            <w:gridSpan w:val="2"/>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Ministarstvo finansija</w:t>
            </w:r>
          </w:p>
        </w:tc>
        <w:tc>
          <w:tcPr>
            <w:tcW w:w="1237"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III Q 2025</w:t>
            </w:r>
          </w:p>
        </w:tc>
        <w:tc>
          <w:tcPr>
            <w:tcW w:w="1373"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IV 2026</w:t>
            </w:r>
          </w:p>
        </w:tc>
        <w:tc>
          <w:tcPr>
            <w:tcW w:w="2589"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Ova aktivnost će biti implementirana od strane odgovorne institucije u okviru postojećeg budžeta.</w:t>
            </w:r>
          </w:p>
        </w:tc>
        <w:tc>
          <w:tcPr>
            <w:tcW w:w="1746"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Ministarstvo finansija</w:t>
            </w:r>
          </w:p>
        </w:tc>
      </w:tr>
      <w:tr w:rsidR="00621357" w:rsidRPr="00621357" w:rsidTr="007904C2">
        <w:tc>
          <w:tcPr>
            <w:tcW w:w="2540" w:type="dxa"/>
            <w:vMerge/>
          </w:tcPr>
          <w:p w:rsidR="00621357" w:rsidRPr="00621357" w:rsidRDefault="00621357" w:rsidP="00621357">
            <w:pPr>
              <w:spacing w:after="160" w:line="259" w:lineRule="auto"/>
              <w:rPr>
                <w:rFonts w:ascii="Arial" w:hAnsi="Arial" w:cs="Arial"/>
                <w:sz w:val="22"/>
                <w:szCs w:val="22"/>
                <w:lang w:val="sr-Latn-ME" w:eastAsia="en-US"/>
              </w:rPr>
            </w:pPr>
          </w:p>
        </w:tc>
        <w:tc>
          <w:tcPr>
            <w:tcW w:w="1932"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Usvojiti Odluku o uspostavljanju Radnog tijela za sprovodjenje aktivnosti na polju zaštite finansijskih interesa EU u CG</w:t>
            </w:r>
          </w:p>
        </w:tc>
        <w:tc>
          <w:tcPr>
            <w:tcW w:w="2039"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Odluka o uspostavljanju Radnog tijela za sprovodjenje aktivnosti na polju zaštite finansijskih interesa EU u CG usvojena</w:t>
            </w:r>
          </w:p>
        </w:tc>
        <w:tc>
          <w:tcPr>
            <w:tcW w:w="1854" w:type="dxa"/>
            <w:gridSpan w:val="2"/>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Direkcija za zaštitu finansijskih interesa EU /Ministarstvo finansija</w:t>
            </w:r>
          </w:p>
        </w:tc>
        <w:tc>
          <w:tcPr>
            <w:tcW w:w="1237"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 Q 2025</w:t>
            </w:r>
          </w:p>
        </w:tc>
        <w:tc>
          <w:tcPr>
            <w:tcW w:w="1373"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IVQ2025</w:t>
            </w:r>
          </w:p>
        </w:tc>
        <w:tc>
          <w:tcPr>
            <w:tcW w:w="2589"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3.500,00EUR</w:t>
            </w:r>
          </w:p>
        </w:tc>
        <w:tc>
          <w:tcPr>
            <w:tcW w:w="1746"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 xml:space="preserve">Twinning light projekat </w:t>
            </w:r>
            <w:r w:rsidRPr="00621357">
              <w:rPr>
                <w:rFonts w:ascii="Arial" w:hAnsi="Arial" w:cs="Arial"/>
                <w:bCs/>
                <w:sz w:val="22"/>
                <w:szCs w:val="22"/>
                <w:lang w:val="sr-Latn-ME" w:eastAsia="en-US"/>
              </w:rPr>
              <w:t>„Dalje unaprijeđenje funkcionisanja crnogorskog AFCOS sistema u cilju efikasne zaštite finansijskih interesa EU“</w:t>
            </w:r>
          </w:p>
        </w:tc>
      </w:tr>
      <w:tr w:rsidR="00621357" w:rsidRPr="00621357" w:rsidTr="007904C2">
        <w:tc>
          <w:tcPr>
            <w:tcW w:w="2540" w:type="dxa"/>
          </w:tcPr>
          <w:p w:rsidR="00621357" w:rsidRPr="00621357" w:rsidRDefault="00621357" w:rsidP="00621357">
            <w:pPr>
              <w:spacing w:after="160" w:line="259" w:lineRule="auto"/>
              <w:rPr>
                <w:rFonts w:ascii="Arial" w:hAnsi="Arial" w:cs="Arial"/>
                <w:sz w:val="22"/>
                <w:szCs w:val="22"/>
                <w:lang w:val="sr-Latn-ME" w:eastAsia="en-US"/>
              </w:rPr>
            </w:pPr>
            <w:bookmarkStart w:id="28" w:name="_Hlk197948728"/>
            <w:r w:rsidRPr="00621357">
              <w:rPr>
                <w:rFonts w:ascii="Arial" w:hAnsi="Arial" w:cs="Arial"/>
                <w:sz w:val="22"/>
                <w:szCs w:val="22"/>
                <w:lang w:val="sr-Latn-ME" w:eastAsia="en-US"/>
              </w:rPr>
              <w:t>1.3. Dalje uskladjivanje nacionalnog zakonodavstva sa EU legislativom/PIF Direktivom</w:t>
            </w:r>
          </w:p>
        </w:tc>
        <w:tc>
          <w:tcPr>
            <w:tcW w:w="1932" w:type="dxa"/>
          </w:tcPr>
          <w:p w:rsidR="00621357" w:rsidRPr="00621357" w:rsidRDefault="00621357" w:rsidP="00621357">
            <w:pPr>
              <w:spacing w:after="160" w:line="259" w:lineRule="auto"/>
              <w:rPr>
                <w:rFonts w:ascii="Arial" w:hAnsi="Arial" w:cs="Arial"/>
                <w:sz w:val="22"/>
                <w:szCs w:val="22"/>
                <w:lang w:val="sr-Latn-ME" w:eastAsia="en-US"/>
              </w:rPr>
            </w:pPr>
            <w:bookmarkStart w:id="29" w:name="_Hlk197951183"/>
            <w:r w:rsidRPr="00621357">
              <w:rPr>
                <w:rFonts w:ascii="Arial" w:hAnsi="Arial" w:cs="Arial"/>
                <w:sz w:val="22"/>
                <w:szCs w:val="22"/>
                <w:lang w:val="sr-Latn-ME" w:eastAsia="en-US"/>
              </w:rPr>
              <w:t xml:space="preserve">Usvojiti amandmane Krivičnog zakonika u skladu sa PIF Direktivom </w:t>
            </w:r>
            <w:bookmarkEnd w:id="29"/>
          </w:p>
        </w:tc>
        <w:tc>
          <w:tcPr>
            <w:tcW w:w="2039"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Krivični zakonik u dijelu uskladjenosti sa PIF Direktivom izmijenjen</w:t>
            </w:r>
          </w:p>
        </w:tc>
        <w:tc>
          <w:tcPr>
            <w:tcW w:w="1854" w:type="dxa"/>
            <w:gridSpan w:val="2"/>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Direktorat za krivično i građansko zakonodavstvo/ Ministarstvo pravde</w:t>
            </w:r>
          </w:p>
        </w:tc>
        <w:tc>
          <w:tcPr>
            <w:tcW w:w="1237"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 Q 2026</w:t>
            </w:r>
            <w:r w:rsidRPr="00621357">
              <w:rPr>
                <w:rFonts w:ascii="Arial" w:hAnsi="Arial" w:cs="Arial"/>
                <w:sz w:val="22"/>
                <w:szCs w:val="22"/>
                <w:lang w:val="sr-Latn-ME" w:eastAsia="en-US"/>
              </w:rPr>
              <w:tab/>
            </w:r>
          </w:p>
        </w:tc>
        <w:tc>
          <w:tcPr>
            <w:tcW w:w="1373"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IVQ 2026</w:t>
            </w:r>
          </w:p>
        </w:tc>
        <w:tc>
          <w:tcPr>
            <w:tcW w:w="2589"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Ova aktivnost će biti implementirana od strane odgovorne institucije u okviru postojećeg budžeta.</w:t>
            </w:r>
          </w:p>
        </w:tc>
        <w:tc>
          <w:tcPr>
            <w:tcW w:w="1746"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Ministarstvo pravde</w:t>
            </w:r>
          </w:p>
        </w:tc>
      </w:tr>
      <w:bookmarkEnd w:id="28"/>
      <w:tr w:rsidR="00621357" w:rsidRPr="00621357" w:rsidTr="007904C2">
        <w:tc>
          <w:tcPr>
            <w:tcW w:w="2540"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1.4.</w:t>
            </w:r>
            <w:bookmarkStart w:id="30" w:name="_Hlk197951334"/>
            <w:r w:rsidRPr="00621357">
              <w:rPr>
                <w:rFonts w:ascii="Arial" w:hAnsi="Arial" w:cs="Arial"/>
                <w:sz w:val="22"/>
                <w:szCs w:val="22"/>
                <w:lang w:val="sr-Latn-ME" w:eastAsia="en-US"/>
              </w:rPr>
              <w:t>Dalje uskladjivanje nacionalnog zakonodavstva sa EU legislativom/ Regulativom 883/2013 i Regulativom 2185/1996</w:t>
            </w:r>
            <w:bookmarkEnd w:id="30"/>
          </w:p>
        </w:tc>
        <w:tc>
          <w:tcPr>
            <w:tcW w:w="1932" w:type="dxa"/>
          </w:tcPr>
          <w:p w:rsidR="00621357" w:rsidRPr="00621357" w:rsidRDefault="00621357" w:rsidP="00621357">
            <w:pPr>
              <w:spacing w:after="160" w:line="259" w:lineRule="auto"/>
              <w:rPr>
                <w:rFonts w:ascii="Arial" w:hAnsi="Arial" w:cs="Arial"/>
                <w:sz w:val="22"/>
                <w:szCs w:val="22"/>
                <w:lang w:val="sr-Latn-ME" w:eastAsia="en-US"/>
              </w:rPr>
            </w:pPr>
            <w:bookmarkStart w:id="31" w:name="_Hlk197951379"/>
            <w:r w:rsidRPr="00621357">
              <w:rPr>
                <w:rFonts w:ascii="Arial" w:hAnsi="Arial" w:cs="Arial"/>
                <w:sz w:val="22"/>
                <w:szCs w:val="22"/>
                <w:lang w:val="sr-Latn-ME" w:eastAsia="en-US"/>
              </w:rPr>
              <w:t>Izmijeniti pravne akte koji definišu oblast koje se tiču usaglašavanja sa Regulativama 883/2013 i 2185/1996</w:t>
            </w:r>
            <w:bookmarkEnd w:id="31"/>
          </w:p>
        </w:tc>
        <w:tc>
          <w:tcPr>
            <w:tcW w:w="2039"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Pravni akti koji definišu oblast koje se tiču usaglašavanja sa Regulativama 883/2013 i 2185/1996 izmijenjeni</w:t>
            </w:r>
          </w:p>
        </w:tc>
        <w:tc>
          <w:tcPr>
            <w:tcW w:w="1854" w:type="dxa"/>
            <w:gridSpan w:val="2"/>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Direkcija za zaštitu finansijskih interesa EU/ Ministarstvo finansija</w:t>
            </w:r>
          </w:p>
        </w:tc>
        <w:tc>
          <w:tcPr>
            <w:tcW w:w="1237"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 Q 2026</w:t>
            </w:r>
            <w:r w:rsidRPr="00621357">
              <w:rPr>
                <w:rFonts w:ascii="Arial" w:hAnsi="Arial" w:cs="Arial"/>
                <w:sz w:val="22"/>
                <w:szCs w:val="22"/>
                <w:lang w:val="sr-Latn-ME" w:eastAsia="en-US"/>
              </w:rPr>
              <w:tab/>
            </w:r>
          </w:p>
        </w:tc>
        <w:tc>
          <w:tcPr>
            <w:tcW w:w="1373"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IVQ 2026</w:t>
            </w:r>
          </w:p>
        </w:tc>
        <w:tc>
          <w:tcPr>
            <w:tcW w:w="2589"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Ova aktivnost će biti implementirana od strane odgovorne institucije u okviru postojećeg budžeta.</w:t>
            </w:r>
          </w:p>
        </w:tc>
        <w:tc>
          <w:tcPr>
            <w:tcW w:w="1746"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Ministarstvo finansija</w:t>
            </w:r>
          </w:p>
        </w:tc>
      </w:tr>
      <w:tr w:rsidR="00621357" w:rsidRPr="00621357" w:rsidTr="007904C2">
        <w:tc>
          <w:tcPr>
            <w:tcW w:w="2540" w:type="dxa"/>
          </w:tcPr>
          <w:p w:rsidR="00621357" w:rsidRPr="00621357" w:rsidRDefault="00621357" w:rsidP="00621357">
            <w:pPr>
              <w:spacing w:after="160" w:line="259" w:lineRule="auto"/>
              <w:rPr>
                <w:rFonts w:ascii="Arial" w:hAnsi="Arial" w:cs="Arial"/>
                <w:sz w:val="22"/>
                <w:szCs w:val="22"/>
                <w:lang w:val="sr-Latn-ME" w:eastAsia="en-US"/>
              </w:rPr>
            </w:pPr>
            <w:bookmarkStart w:id="32" w:name="_Hlk197951531"/>
            <w:r w:rsidRPr="00621357">
              <w:rPr>
                <w:rFonts w:ascii="Arial" w:hAnsi="Arial" w:cs="Arial"/>
                <w:sz w:val="22"/>
                <w:szCs w:val="22"/>
                <w:lang w:val="sr-Latn-ME" w:eastAsia="en-US"/>
              </w:rPr>
              <w:t>1.5. Usaglašavanje nacionalnog zakonodavstva sa EU legislativom/ Drektivom 2019/1937 o zaštiti lica koja prijavlju povrede prava Evropske unije (Direktiva o zaštiti zviždača)</w:t>
            </w:r>
            <w:bookmarkEnd w:id="32"/>
          </w:p>
        </w:tc>
        <w:tc>
          <w:tcPr>
            <w:tcW w:w="1932" w:type="dxa"/>
          </w:tcPr>
          <w:p w:rsidR="00621357" w:rsidRPr="00621357" w:rsidRDefault="00621357" w:rsidP="00621357">
            <w:pPr>
              <w:spacing w:after="160" w:line="259" w:lineRule="auto"/>
              <w:rPr>
                <w:rFonts w:ascii="Arial" w:hAnsi="Arial" w:cs="Arial"/>
                <w:sz w:val="22"/>
                <w:szCs w:val="22"/>
                <w:lang w:val="sr-Latn-ME" w:eastAsia="en-US"/>
              </w:rPr>
            </w:pPr>
            <w:bookmarkStart w:id="33" w:name="_Hlk197951560"/>
            <w:r w:rsidRPr="00621357">
              <w:rPr>
                <w:rFonts w:ascii="Arial" w:hAnsi="Arial" w:cs="Arial"/>
                <w:sz w:val="22"/>
                <w:szCs w:val="22"/>
                <w:lang w:val="sr-Latn-ME" w:eastAsia="en-US"/>
              </w:rPr>
              <w:t>Donošenje posebnog Zakona o zaštiti zviždača</w:t>
            </w:r>
            <w:bookmarkEnd w:id="33"/>
          </w:p>
        </w:tc>
        <w:tc>
          <w:tcPr>
            <w:tcW w:w="2039"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Zakona o zaštiti zviždača usvojen</w:t>
            </w:r>
          </w:p>
        </w:tc>
        <w:tc>
          <w:tcPr>
            <w:tcW w:w="1854" w:type="dxa"/>
            <w:gridSpan w:val="2"/>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 xml:space="preserve">Ministarstvo pravde </w:t>
            </w:r>
          </w:p>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Agencija za spriječavanje korupcije (ASK)</w:t>
            </w:r>
          </w:p>
        </w:tc>
        <w:tc>
          <w:tcPr>
            <w:tcW w:w="1237"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IV Q 2025</w:t>
            </w:r>
          </w:p>
        </w:tc>
        <w:tc>
          <w:tcPr>
            <w:tcW w:w="1373"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IV Q 2026</w:t>
            </w:r>
          </w:p>
        </w:tc>
        <w:tc>
          <w:tcPr>
            <w:tcW w:w="2589"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Ova aktivnost će biti implementirana od strane odgovorne institucije u okviru postojećeg budžeta.</w:t>
            </w:r>
          </w:p>
        </w:tc>
        <w:tc>
          <w:tcPr>
            <w:tcW w:w="1746"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 xml:space="preserve">Ministarstvo pravde </w:t>
            </w:r>
          </w:p>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Agencija za sprečavanje korupcije  (ASK)</w:t>
            </w:r>
          </w:p>
        </w:tc>
      </w:tr>
      <w:tr w:rsidR="00621357" w:rsidRPr="00621357" w:rsidTr="007904C2">
        <w:tc>
          <w:tcPr>
            <w:tcW w:w="2540" w:type="dxa"/>
            <w:shd w:val="clear" w:color="auto" w:fill="DEEAF6" w:themeFill="accent1" w:themeFillTint="33"/>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Operativni cilj 2</w:t>
            </w:r>
          </w:p>
        </w:tc>
        <w:tc>
          <w:tcPr>
            <w:tcW w:w="12770" w:type="dxa"/>
            <w:gridSpan w:val="12"/>
            <w:shd w:val="clear" w:color="auto" w:fill="DEEAF6" w:themeFill="accent1" w:themeFillTint="3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Jačanje koordinacione uloge AFCOS kancelarije i unapređenje saradnje između institucija uključenih u zaštitu finansijskih interesa EU</w:t>
            </w:r>
          </w:p>
          <w:p w:rsidR="00621357" w:rsidRPr="00621357" w:rsidRDefault="00621357" w:rsidP="00621357">
            <w:pPr>
              <w:spacing w:after="160" w:line="259" w:lineRule="auto"/>
              <w:rPr>
                <w:rFonts w:ascii="Arial" w:hAnsi="Arial" w:cs="Arial"/>
                <w:sz w:val="22"/>
                <w:szCs w:val="22"/>
                <w:lang w:val="sr-Latn-ME" w:eastAsia="en-US"/>
              </w:rPr>
            </w:pPr>
          </w:p>
        </w:tc>
      </w:tr>
      <w:tr w:rsidR="00621357" w:rsidRPr="00621357" w:rsidTr="007904C2">
        <w:tc>
          <w:tcPr>
            <w:tcW w:w="2540" w:type="dxa"/>
          </w:tcPr>
          <w:p w:rsidR="00621357" w:rsidRPr="00621357" w:rsidRDefault="00621357" w:rsidP="00621357">
            <w:pPr>
              <w:spacing w:after="160" w:line="259" w:lineRule="auto"/>
              <w:rPr>
                <w:rFonts w:ascii="Arial" w:hAnsi="Arial" w:cs="Arial"/>
                <w:b/>
                <w:sz w:val="22"/>
                <w:szCs w:val="22"/>
                <w:lang w:val="sr-Latn-ME" w:eastAsia="en-US"/>
              </w:rPr>
            </w:pPr>
            <w:bookmarkStart w:id="34" w:name="_Hlk191037343"/>
            <w:r w:rsidRPr="00621357">
              <w:rPr>
                <w:rFonts w:ascii="Arial" w:hAnsi="Arial" w:cs="Arial"/>
                <w:b/>
                <w:sz w:val="22"/>
                <w:szCs w:val="22"/>
                <w:lang w:val="sr-Latn-ME" w:eastAsia="en-US"/>
              </w:rPr>
              <w:t>Indikator uspjeha 2.1</w:t>
            </w:r>
          </w:p>
        </w:tc>
        <w:tc>
          <w:tcPr>
            <w:tcW w:w="7062" w:type="dxa"/>
            <w:gridSpan w:val="7"/>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Indeks zadovoljstva saradnjom između institucija uključenih u zaštitu finansijskih interesa EU.</w:t>
            </w:r>
          </w:p>
        </w:tc>
        <w:tc>
          <w:tcPr>
            <w:tcW w:w="1373" w:type="dxa"/>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 xml:space="preserve">Početna vrijednost u 2024: </w:t>
            </w:r>
          </w:p>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7.0 poena na skali do 10</w:t>
            </w:r>
          </w:p>
        </w:tc>
        <w:tc>
          <w:tcPr>
            <w:tcW w:w="2589" w:type="dxa"/>
            <w:gridSpan w:val="3"/>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 xml:space="preserve">Ciljana vrijednost u 2026: </w:t>
            </w:r>
          </w:p>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Najmanje 7.5 poena na skali od 10</w:t>
            </w:r>
          </w:p>
        </w:tc>
        <w:tc>
          <w:tcPr>
            <w:tcW w:w="1746" w:type="dxa"/>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Ciljana</w:t>
            </w:r>
          </w:p>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 xml:space="preserve">vrijednost u 2028: </w:t>
            </w:r>
          </w:p>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Najmanje 7.5 poena na skali od 10</w:t>
            </w:r>
          </w:p>
        </w:tc>
      </w:tr>
      <w:bookmarkEnd w:id="34"/>
      <w:tr w:rsidR="00621357" w:rsidRPr="00621357" w:rsidTr="007904C2">
        <w:tc>
          <w:tcPr>
            <w:tcW w:w="2540" w:type="dxa"/>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Indikator uspjeha 2.2</w:t>
            </w:r>
          </w:p>
        </w:tc>
        <w:tc>
          <w:tcPr>
            <w:tcW w:w="7062" w:type="dxa"/>
            <w:gridSpan w:val="7"/>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Stopa prisustva sastancima Radnog tijela za implementaciju aktivnosti za zaštitu finansijskih interesa EU u Crnoj Gori.</w:t>
            </w:r>
          </w:p>
        </w:tc>
        <w:tc>
          <w:tcPr>
            <w:tcW w:w="1373" w:type="dxa"/>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 xml:space="preserve">Početna vrijednost u 2024: </w:t>
            </w:r>
          </w:p>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30%</w:t>
            </w:r>
          </w:p>
        </w:tc>
        <w:tc>
          <w:tcPr>
            <w:tcW w:w="2589" w:type="dxa"/>
            <w:gridSpan w:val="3"/>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 xml:space="preserve">Ciljana vrijednost u 2026: </w:t>
            </w:r>
          </w:p>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70%</w:t>
            </w:r>
          </w:p>
        </w:tc>
        <w:tc>
          <w:tcPr>
            <w:tcW w:w="1746" w:type="dxa"/>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Ciljana</w:t>
            </w:r>
          </w:p>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 xml:space="preserve">vrijednost u 2028: </w:t>
            </w:r>
          </w:p>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90%</w:t>
            </w:r>
          </w:p>
        </w:tc>
      </w:tr>
      <w:tr w:rsidR="00621357" w:rsidRPr="00621357" w:rsidTr="007904C2">
        <w:tc>
          <w:tcPr>
            <w:tcW w:w="2540" w:type="dxa"/>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Indikator uspjeha 2.3</w:t>
            </w:r>
          </w:p>
        </w:tc>
        <w:tc>
          <w:tcPr>
            <w:tcW w:w="7062" w:type="dxa"/>
            <w:gridSpan w:val="7"/>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Broj sastanaka koje inicira struktura za izvještavanje o nepravilnostima i institucije AFCOS mreže.</w:t>
            </w:r>
          </w:p>
        </w:tc>
        <w:tc>
          <w:tcPr>
            <w:tcW w:w="1373" w:type="dxa"/>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 xml:space="preserve">Početna vrijednost u 2024: </w:t>
            </w:r>
          </w:p>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0</w:t>
            </w:r>
          </w:p>
        </w:tc>
        <w:tc>
          <w:tcPr>
            <w:tcW w:w="2589" w:type="dxa"/>
            <w:gridSpan w:val="3"/>
            <w:tcBorders>
              <w:right w:val="single" w:sz="4" w:space="0" w:color="auto"/>
            </w:tcBorders>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 xml:space="preserve">Ciljana vrijednost u 2026: </w:t>
            </w:r>
          </w:p>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 xml:space="preserve">2 </w:t>
            </w:r>
          </w:p>
        </w:tc>
        <w:tc>
          <w:tcPr>
            <w:tcW w:w="1746" w:type="dxa"/>
            <w:tcBorders>
              <w:left w:val="single" w:sz="4" w:space="0" w:color="auto"/>
            </w:tcBorders>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Ciljana</w:t>
            </w:r>
          </w:p>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 xml:space="preserve">vrijednost u 2028: </w:t>
            </w:r>
          </w:p>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4</w:t>
            </w:r>
          </w:p>
        </w:tc>
      </w:tr>
      <w:tr w:rsidR="00621357" w:rsidRPr="00621357" w:rsidTr="007904C2">
        <w:tc>
          <w:tcPr>
            <w:tcW w:w="2540" w:type="dxa"/>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Mjere povezane sa operativnim ciljem 2</w:t>
            </w:r>
          </w:p>
        </w:tc>
        <w:tc>
          <w:tcPr>
            <w:tcW w:w="1932" w:type="dxa"/>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Aktivnost</w:t>
            </w:r>
          </w:p>
        </w:tc>
        <w:tc>
          <w:tcPr>
            <w:tcW w:w="2039" w:type="dxa"/>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Indikator učinka</w:t>
            </w:r>
          </w:p>
        </w:tc>
        <w:tc>
          <w:tcPr>
            <w:tcW w:w="1854" w:type="dxa"/>
            <w:gridSpan w:val="2"/>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Odgovorna institucija</w:t>
            </w:r>
          </w:p>
        </w:tc>
        <w:tc>
          <w:tcPr>
            <w:tcW w:w="1237" w:type="dxa"/>
            <w:gridSpan w:val="3"/>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 xml:space="preserve">datum početka </w:t>
            </w:r>
          </w:p>
        </w:tc>
        <w:tc>
          <w:tcPr>
            <w:tcW w:w="1373" w:type="dxa"/>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datum završetka</w:t>
            </w:r>
          </w:p>
        </w:tc>
        <w:tc>
          <w:tcPr>
            <w:tcW w:w="2589" w:type="dxa"/>
            <w:gridSpan w:val="3"/>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Predviđeni troškovi</w:t>
            </w:r>
          </w:p>
        </w:tc>
        <w:tc>
          <w:tcPr>
            <w:tcW w:w="1746" w:type="dxa"/>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Izvor finansiranja</w:t>
            </w:r>
          </w:p>
        </w:tc>
      </w:tr>
      <w:tr w:rsidR="00621357" w:rsidRPr="00621357" w:rsidTr="007904C2">
        <w:tc>
          <w:tcPr>
            <w:tcW w:w="2540"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2.1. Organizovanje godišnjeg događaja za razmjenu iskustava na polju zaštite finansijkih interesa EU</w:t>
            </w:r>
          </w:p>
        </w:tc>
        <w:tc>
          <w:tcPr>
            <w:tcW w:w="1932"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Organizovati godišnji događaj razmjene iskustava između strukture za izvještavanje o nepravilnostima i AFCOS mreže</w:t>
            </w:r>
          </w:p>
        </w:tc>
        <w:tc>
          <w:tcPr>
            <w:tcW w:w="2039"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2 događaja razmjene iskustava i na polju zaštite finansijkih interesa EU organitovana</w:t>
            </w:r>
          </w:p>
          <w:p w:rsidR="00621357" w:rsidRPr="00621357" w:rsidRDefault="00621357" w:rsidP="00621357">
            <w:pPr>
              <w:spacing w:after="160" w:line="259" w:lineRule="auto"/>
              <w:rPr>
                <w:rFonts w:ascii="Arial" w:hAnsi="Arial" w:cs="Arial"/>
                <w:sz w:val="22"/>
                <w:szCs w:val="22"/>
                <w:lang w:val="sr-Latn-ME" w:eastAsia="en-US"/>
              </w:rPr>
            </w:pPr>
          </w:p>
          <w:p w:rsidR="00621357" w:rsidRPr="00621357" w:rsidRDefault="00621357" w:rsidP="00621357">
            <w:pPr>
              <w:spacing w:after="160" w:line="259" w:lineRule="auto"/>
              <w:rPr>
                <w:rFonts w:ascii="Arial" w:hAnsi="Arial" w:cs="Arial"/>
                <w:sz w:val="22"/>
                <w:szCs w:val="22"/>
                <w:lang w:val="sr-Latn-ME" w:eastAsia="en-US"/>
              </w:rPr>
            </w:pPr>
          </w:p>
        </w:tc>
        <w:tc>
          <w:tcPr>
            <w:tcW w:w="1854" w:type="dxa"/>
            <w:gridSpan w:val="2"/>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 xml:space="preserve">Direkcija za zaštitu finansijskih interesa EU/ AFCOS Ministarstvo finansija </w:t>
            </w:r>
          </w:p>
          <w:p w:rsidR="00621357" w:rsidRPr="00621357" w:rsidRDefault="00621357" w:rsidP="00621357">
            <w:pPr>
              <w:spacing w:after="160" w:line="259" w:lineRule="auto"/>
              <w:rPr>
                <w:rFonts w:ascii="Arial" w:hAnsi="Arial" w:cs="Arial"/>
                <w:sz w:val="22"/>
                <w:szCs w:val="22"/>
                <w:lang w:val="sr-Latn-ME" w:eastAsia="en-US"/>
              </w:rPr>
            </w:pPr>
          </w:p>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Struktura za izvještavanje o AFCOS mreža</w:t>
            </w:r>
          </w:p>
        </w:tc>
        <w:tc>
          <w:tcPr>
            <w:tcW w:w="1237"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IQ 2025</w:t>
            </w:r>
          </w:p>
        </w:tc>
        <w:tc>
          <w:tcPr>
            <w:tcW w:w="1373"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IVQ 2026</w:t>
            </w:r>
          </w:p>
        </w:tc>
        <w:tc>
          <w:tcPr>
            <w:tcW w:w="2589"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Neophodno je isplanirati u budžetu iznos od 200,00 EUR</w:t>
            </w:r>
          </w:p>
        </w:tc>
        <w:tc>
          <w:tcPr>
            <w:tcW w:w="1746"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Ministarstvo finansija</w:t>
            </w:r>
          </w:p>
        </w:tc>
      </w:tr>
      <w:tr w:rsidR="00621357" w:rsidRPr="00621357" w:rsidTr="007904C2">
        <w:tc>
          <w:tcPr>
            <w:tcW w:w="2540"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2.2. Razvoj online platforme za dokumentaciju radi efikasnije razmjene informacija</w:t>
            </w:r>
            <w:r w:rsidRPr="00621357">
              <w:rPr>
                <w:rFonts w:ascii="Arial" w:hAnsi="Arial" w:cs="Arial"/>
                <w:sz w:val="22"/>
                <w:szCs w:val="22"/>
                <w:lang w:val="sr-Latn-ME" w:eastAsia="en-US"/>
              </w:rPr>
              <w:br/>
            </w:r>
          </w:p>
          <w:p w:rsidR="00621357" w:rsidRPr="00621357" w:rsidRDefault="00621357" w:rsidP="00621357">
            <w:pPr>
              <w:spacing w:after="160" w:line="259" w:lineRule="auto"/>
              <w:rPr>
                <w:rFonts w:ascii="Arial" w:hAnsi="Arial" w:cs="Arial"/>
                <w:sz w:val="22"/>
                <w:szCs w:val="22"/>
                <w:lang w:val="sr-Latn-ME" w:eastAsia="en-US"/>
              </w:rPr>
            </w:pPr>
          </w:p>
        </w:tc>
        <w:tc>
          <w:tcPr>
            <w:tcW w:w="1932"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Razviti online platformu za dokumentaciju za razmjenu informacija između AFCOS kancelarije, strukture za izvještavanje o nepravilnostima i AFCOS mreže.</w:t>
            </w:r>
          </w:p>
        </w:tc>
        <w:tc>
          <w:tcPr>
            <w:tcW w:w="2039"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1 online platforma za dokumentaciju razvijena</w:t>
            </w:r>
            <w:r w:rsidRPr="00621357">
              <w:rPr>
                <w:rFonts w:ascii="Arial" w:hAnsi="Arial" w:cs="Arial"/>
                <w:sz w:val="22"/>
                <w:szCs w:val="22"/>
                <w:lang w:val="sr-Latn-ME" w:eastAsia="en-US"/>
              </w:rPr>
              <w:br/>
            </w:r>
          </w:p>
          <w:p w:rsidR="00621357" w:rsidRPr="00621357" w:rsidRDefault="00621357" w:rsidP="00621357">
            <w:pPr>
              <w:spacing w:after="160" w:line="259" w:lineRule="auto"/>
              <w:rPr>
                <w:rFonts w:ascii="Arial" w:hAnsi="Arial" w:cs="Arial"/>
                <w:sz w:val="22"/>
                <w:szCs w:val="22"/>
                <w:lang w:val="sr-Latn-ME" w:eastAsia="en-US"/>
              </w:rPr>
            </w:pPr>
          </w:p>
        </w:tc>
        <w:tc>
          <w:tcPr>
            <w:tcW w:w="1854" w:type="dxa"/>
            <w:gridSpan w:val="2"/>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 xml:space="preserve">Direkcija za zaštitu finansijskih interesa EU/ AFCOS Ministarstvo finansija </w:t>
            </w:r>
          </w:p>
          <w:p w:rsidR="00621357" w:rsidRPr="00621357" w:rsidRDefault="00621357" w:rsidP="00621357">
            <w:pPr>
              <w:spacing w:after="160" w:line="259" w:lineRule="auto"/>
              <w:rPr>
                <w:rFonts w:ascii="Arial" w:hAnsi="Arial" w:cs="Arial"/>
                <w:sz w:val="22"/>
                <w:szCs w:val="22"/>
                <w:lang w:val="sr-Latn-ME" w:eastAsia="en-US"/>
              </w:rPr>
            </w:pPr>
          </w:p>
        </w:tc>
        <w:tc>
          <w:tcPr>
            <w:tcW w:w="1237"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IQ 2026</w:t>
            </w:r>
          </w:p>
        </w:tc>
        <w:tc>
          <w:tcPr>
            <w:tcW w:w="1373"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IVQ 2026</w:t>
            </w:r>
          </w:p>
        </w:tc>
        <w:tc>
          <w:tcPr>
            <w:tcW w:w="2589"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Ova aktivnost će biti implementirana od strane odgovorne institucije u okviru postojećeg budžeta.</w:t>
            </w:r>
          </w:p>
        </w:tc>
        <w:tc>
          <w:tcPr>
            <w:tcW w:w="1746"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Ministarstvo finansija</w:t>
            </w:r>
          </w:p>
        </w:tc>
      </w:tr>
      <w:tr w:rsidR="00621357" w:rsidRPr="00621357" w:rsidTr="007904C2">
        <w:tc>
          <w:tcPr>
            <w:tcW w:w="2540"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2.3. Organizovanje obuka sa učešćem eksperata iz OLAF-a i zemalja članica EU</w:t>
            </w:r>
            <w:r w:rsidRPr="00621357">
              <w:rPr>
                <w:rFonts w:ascii="Arial" w:hAnsi="Arial" w:cs="Arial"/>
                <w:sz w:val="22"/>
                <w:szCs w:val="22"/>
                <w:lang w:val="sr-Latn-ME" w:eastAsia="en-US"/>
              </w:rPr>
              <w:br/>
            </w:r>
          </w:p>
          <w:p w:rsidR="00621357" w:rsidRPr="00621357" w:rsidRDefault="00621357" w:rsidP="00621357">
            <w:pPr>
              <w:spacing w:after="160" w:line="259" w:lineRule="auto"/>
              <w:rPr>
                <w:rFonts w:ascii="Arial" w:hAnsi="Arial" w:cs="Arial"/>
                <w:sz w:val="22"/>
                <w:szCs w:val="22"/>
                <w:lang w:val="sr-Latn-ME" w:eastAsia="en-US"/>
              </w:rPr>
            </w:pPr>
          </w:p>
        </w:tc>
        <w:tc>
          <w:tcPr>
            <w:tcW w:w="1932"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Organizovati obuke sa učešćem eksperata iz OLAF-a i zemalja članica EU za predstavnike strukture za izvještavanje o nepravilnostima i AFCOS mreže.</w:t>
            </w:r>
          </w:p>
        </w:tc>
        <w:tc>
          <w:tcPr>
            <w:tcW w:w="2039"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2 obuke obuke sa učešćem stručnjaka iz OLAF-a i zemalja članica EU za predstavnike strukture za izvještavanje o nepravilnostima i AFCOS mreže.</w:t>
            </w:r>
          </w:p>
        </w:tc>
        <w:tc>
          <w:tcPr>
            <w:tcW w:w="1854" w:type="dxa"/>
            <w:gridSpan w:val="2"/>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Direkcija za zaštitu finansijskih interesa EU/ AFCOS</w:t>
            </w:r>
          </w:p>
        </w:tc>
        <w:tc>
          <w:tcPr>
            <w:tcW w:w="1237"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IQ 2025</w:t>
            </w:r>
          </w:p>
        </w:tc>
        <w:tc>
          <w:tcPr>
            <w:tcW w:w="1373"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IVQ 2026</w:t>
            </w:r>
          </w:p>
        </w:tc>
        <w:tc>
          <w:tcPr>
            <w:tcW w:w="2589"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Neophodno je isplanirati u budžetu iznos od 3.500,00 EUR</w:t>
            </w:r>
          </w:p>
        </w:tc>
        <w:tc>
          <w:tcPr>
            <w:tcW w:w="1746"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Ministarstvo finansija</w:t>
            </w:r>
          </w:p>
        </w:tc>
      </w:tr>
      <w:tr w:rsidR="00621357" w:rsidRPr="00621357" w:rsidTr="007904C2">
        <w:tc>
          <w:tcPr>
            <w:tcW w:w="2540" w:type="dxa"/>
            <w:shd w:val="clear" w:color="auto" w:fill="DEEAF6" w:themeFill="accent1" w:themeFillTint="33"/>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Operativni cilj 3</w:t>
            </w:r>
          </w:p>
        </w:tc>
        <w:tc>
          <w:tcPr>
            <w:tcW w:w="12770" w:type="dxa"/>
            <w:gridSpan w:val="12"/>
            <w:shd w:val="clear" w:color="auto" w:fill="DEEAF6" w:themeFill="accent1" w:themeFillTint="33"/>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Dalje jačanje prevencije nepravilnosti i prevara kroz odgovarajuće procjene rizika i uvođenje efikasnih i proporcionalnih mjera protiv nepravilnosti i prevara, uključujući uspostavljanje sistemskog pristupa edukacijama i podizanju svijesti</w:t>
            </w:r>
          </w:p>
        </w:tc>
      </w:tr>
      <w:tr w:rsidR="00621357" w:rsidRPr="00621357" w:rsidTr="007904C2">
        <w:tc>
          <w:tcPr>
            <w:tcW w:w="2540" w:type="dxa"/>
          </w:tcPr>
          <w:p w:rsidR="00621357" w:rsidRPr="00621357" w:rsidRDefault="00621357" w:rsidP="00621357">
            <w:pPr>
              <w:spacing w:after="160" w:line="259" w:lineRule="auto"/>
              <w:rPr>
                <w:rFonts w:ascii="Arial" w:hAnsi="Arial" w:cs="Arial"/>
                <w:b/>
                <w:sz w:val="22"/>
                <w:szCs w:val="22"/>
                <w:lang w:val="sr-Latn-ME" w:eastAsia="en-US"/>
              </w:rPr>
            </w:pPr>
            <w:bookmarkStart w:id="35" w:name="_Hlk197939448"/>
            <w:r w:rsidRPr="00621357">
              <w:rPr>
                <w:rFonts w:ascii="Arial" w:hAnsi="Arial" w:cs="Arial"/>
                <w:b/>
                <w:sz w:val="22"/>
                <w:szCs w:val="22"/>
                <w:lang w:val="sr-Latn-ME" w:eastAsia="en-US"/>
              </w:rPr>
              <w:t>Indikator uspjeha 3.1</w:t>
            </w:r>
          </w:p>
        </w:tc>
        <w:tc>
          <w:tcPr>
            <w:tcW w:w="6385" w:type="dxa"/>
            <w:gridSpan w:val="5"/>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Implementirane efikasne i proporcionalne mjere protiv prevara</w:t>
            </w:r>
          </w:p>
        </w:tc>
        <w:tc>
          <w:tcPr>
            <w:tcW w:w="2128" w:type="dxa"/>
            <w:gridSpan w:val="4"/>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Početna vrijednost u 2024:</w:t>
            </w:r>
          </w:p>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70%</w:t>
            </w:r>
          </w:p>
        </w:tc>
        <w:tc>
          <w:tcPr>
            <w:tcW w:w="2128" w:type="dxa"/>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Ciljana vrijednost u 2026:</w:t>
            </w:r>
          </w:p>
          <w:p w:rsidR="00621357" w:rsidRPr="00621357" w:rsidRDefault="00621357" w:rsidP="00621357">
            <w:pPr>
              <w:spacing w:after="160" w:line="259" w:lineRule="auto"/>
              <w:rPr>
                <w:rFonts w:ascii="Arial" w:hAnsi="Arial" w:cs="Arial"/>
                <w:b/>
                <w:sz w:val="22"/>
                <w:szCs w:val="22"/>
                <w:lang w:val="sr-Latn-ME" w:eastAsia="en-US"/>
              </w:rPr>
            </w:pPr>
          </w:p>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bCs/>
                <w:sz w:val="22"/>
                <w:szCs w:val="22"/>
                <w:lang w:eastAsia="en-US"/>
              </w:rPr>
              <w:t>100% aktivnosti iz Akcionog plana za 2025-2026. su implementirane u roku</w:t>
            </w:r>
          </w:p>
        </w:tc>
        <w:tc>
          <w:tcPr>
            <w:tcW w:w="2129" w:type="dxa"/>
            <w:gridSpan w:val="2"/>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Ciljana</w:t>
            </w:r>
          </w:p>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 xml:space="preserve">vrijednost u 2028: </w:t>
            </w:r>
          </w:p>
          <w:p w:rsidR="00621357" w:rsidRPr="00621357" w:rsidRDefault="00621357" w:rsidP="00621357">
            <w:pPr>
              <w:spacing w:after="160" w:line="259" w:lineRule="auto"/>
              <w:rPr>
                <w:rFonts w:ascii="Arial" w:hAnsi="Arial" w:cs="Arial"/>
                <w:sz w:val="22"/>
                <w:szCs w:val="22"/>
                <w:lang w:val="sr-Latn-ME" w:eastAsia="en-US"/>
              </w:rPr>
            </w:pPr>
          </w:p>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b/>
                <w:bCs/>
                <w:sz w:val="22"/>
                <w:szCs w:val="22"/>
                <w:lang w:eastAsia="en-US"/>
              </w:rPr>
              <w:t>100% aktivnosti iz Akcionog plana za 2027-2028. su implementirane u roku</w:t>
            </w:r>
          </w:p>
        </w:tc>
      </w:tr>
      <w:bookmarkEnd w:id="35"/>
      <w:tr w:rsidR="00621357" w:rsidRPr="00621357" w:rsidTr="007904C2">
        <w:tc>
          <w:tcPr>
            <w:tcW w:w="2540" w:type="dxa"/>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Indikator uspjeha 3.2</w:t>
            </w:r>
          </w:p>
        </w:tc>
        <w:tc>
          <w:tcPr>
            <w:tcW w:w="6385" w:type="dxa"/>
            <w:gridSpan w:val="5"/>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Broj obučenih službenika iz institucija i tijela  koja rade na zaštiti finansijskih interesa EU</w:t>
            </w:r>
          </w:p>
        </w:tc>
        <w:tc>
          <w:tcPr>
            <w:tcW w:w="2128" w:type="dxa"/>
            <w:gridSpan w:val="4"/>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Početna vrijednost u 2024:</w:t>
            </w:r>
          </w:p>
          <w:p w:rsidR="00621357" w:rsidRPr="00621357" w:rsidRDefault="00621357" w:rsidP="00621357">
            <w:pPr>
              <w:spacing w:after="160" w:line="259" w:lineRule="auto"/>
              <w:rPr>
                <w:rFonts w:ascii="Arial" w:hAnsi="Arial" w:cs="Arial"/>
                <w:sz w:val="22"/>
                <w:szCs w:val="22"/>
                <w:lang w:val="sr-Latn-ME" w:eastAsia="en-US"/>
              </w:rPr>
            </w:pPr>
          </w:p>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55</w:t>
            </w:r>
          </w:p>
        </w:tc>
        <w:tc>
          <w:tcPr>
            <w:tcW w:w="2128" w:type="dxa"/>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Ciljana vrijednost u 2026:</w:t>
            </w:r>
          </w:p>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b/>
                <w:bCs/>
                <w:sz w:val="22"/>
                <w:szCs w:val="22"/>
                <w:lang w:eastAsia="en-US"/>
              </w:rPr>
              <w:t>55 (u 2025-2026) ravnomjerno raspoređeni među muškarcima i ženama</w:t>
            </w:r>
          </w:p>
          <w:p w:rsidR="00621357" w:rsidRPr="00621357" w:rsidRDefault="00621357" w:rsidP="00621357">
            <w:pPr>
              <w:spacing w:after="160" w:line="259" w:lineRule="auto"/>
              <w:rPr>
                <w:rFonts w:ascii="Arial" w:hAnsi="Arial" w:cs="Arial"/>
                <w:sz w:val="22"/>
                <w:szCs w:val="22"/>
                <w:lang w:val="sr-Latn-ME" w:eastAsia="en-US"/>
              </w:rPr>
            </w:pPr>
          </w:p>
        </w:tc>
        <w:tc>
          <w:tcPr>
            <w:tcW w:w="2129" w:type="dxa"/>
            <w:gridSpan w:val="2"/>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Ciljana</w:t>
            </w:r>
          </w:p>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 xml:space="preserve">vrijednost u 2028: </w:t>
            </w:r>
          </w:p>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b/>
                <w:bCs/>
                <w:sz w:val="22"/>
                <w:szCs w:val="22"/>
                <w:lang w:eastAsia="en-US"/>
              </w:rPr>
              <w:t>55 (u 2027-2028) ravnomjerno raspoređeni među muškarcima i ženama</w:t>
            </w:r>
          </w:p>
        </w:tc>
      </w:tr>
      <w:tr w:rsidR="00621357" w:rsidRPr="00621357" w:rsidTr="007904C2">
        <w:tc>
          <w:tcPr>
            <w:tcW w:w="2540" w:type="dxa"/>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bookmarkStart w:id="36" w:name="_Hlk191040612"/>
            <w:r w:rsidRPr="00621357">
              <w:rPr>
                <w:rFonts w:ascii="Arial" w:hAnsi="Arial" w:cs="Arial"/>
                <w:b/>
                <w:sz w:val="22"/>
                <w:szCs w:val="22"/>
                <w:lang w:val="sr-Latn-ME" w:eastAsia="en-US"/>
              </w:rPr>
              <w:t>Mjere povezane sa operativnim ciljem 3</w:t>
            </w:r>
          </w:p>
        </w:tc>
        <w:tc>
          <w:tcPr>
            <w:tcW w:w="1932" w:type="dxa"/>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Aktivnost</w:t>
            </w:r>
          </w:p>
        </w:tc>
        <w:tc>
          <w:tcPr>
            <w:tcW w:w="2039" w:type="dxa"/>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Indikator učinka</w:t>
            </w:r>
          </w:p>
        </w:tc>
        <w:tc>
          <w:tcPr>
            <w:tcW w:w="1854" w:type="dxa"/>
            <w:gridSpan w:val="2"/>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Odgovorna institucija</w:t>
            </w:r>
          </w:p>
        </w:tc>
        <w:tc>
          <w:tcPr>
            <w:tcW w:w="1237" w:type="dxa"/>
            <w:gridSpan w:val="3"/>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Datum početka</w:t>
            </w:r>
          </w:p>
        </w:tc>
        <w:tc>
          <w:tcPr>
            <w:tcW w:w="1373" w:type="dxa"/>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Datum završetka</w:t>
            </w:r>
          </w:p>
        </w:tc>
        <w:tc>
          <w:tcPr>
            <w:tcW w:w="2589" w:type="dxa"/>
            <w:gridSpan w:val="3"/>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Predviđeni troškovi</w:t>
            </w:r>
          </w:p>
        </w:tc>
        <w:tc>
          <w:tcPr>
            <w:tcW w:w="1746" w:type="dxa"/>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Izvor finansiranja</w:t>
            </w:r>
          </w:p>
        </w:tc>
      </w:tr>
      <w:bookmarkEnd w:id="36"/>
      <w:tr w:rsidR="00621357" w:rsidRPr="00621357" w:rsidTr="007904C2">
        <w:tc>
          <w:tcPr>
            <w:tcW w:w="2540" w:type="dxa"/>
            <w:vMerge w:val="restart"/>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3.1. Uspostavljanje održivog sistema obuka za institucije koje su uključene u zaštitu finansijskih interesa EU</w:t>
            </w:r>
          </w:p>
        </w:tc>
        <w:tc>
          <w:tcPr>
            <w:tcW w:w="1932"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Sprovesti novu analizu potreba za obukama za predstavnike strukture za izvještavanje o nepravilnostima i AFCOS mreže.</w:t>
            </w:r>
          </w:p>
          <w:p w:rsidR="00621357" w:rsidRPr="00621357" w:rsidRDefault="00621357" w:rsidP="00621357">
            <w:pPr>
              <w:spacing w:after="160" w:line="259" w:lineRule="auto"/>
              <w:rPr>
                <w:rFonts w:ascii="Arial" w:hAnsi="Arial" w:cs="Arial"/>
                <w:sz w:val="22"/>
                <w:szCs w:val="22"/>
                <w:lang w:val="sr-Latn-ME" w:eastAsia="en-US"/>
              </w:rPr>
            </w:pPr>
          </w:p>
        </w:tc>
        <w:tc>
          <w:tcPr>
            <w:tcW w:w="2039"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Analiza potreba za obukama sprovedena</w:t>
            </w:r>
          </w:p>
        </w:tc>
        <w:tc>
          <w:tcPr>
            <w:tcW w:w="1854" w:type="dxa"/>
            <w:gridSpan w:val="2"/>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 xml:space="preserve">Direkcija za zaštitu finansijskih interesa EU/Ministarstvo finansija </w:t>
            </w:r>
          </w:p>
          <w:p w:rsidR="00621357" w:rsidRPr="00621357" w:rsidRDefault="00621357" w:rsidP="00621357">
            <w:pPr>
              <w:spacing w:after="160" w:line="259" w:lineRule="auto"/>
              <w:rPr>
                <w:rFonts w:ascii="Arial" w:hAnsi="Arial" w:cs="Arial"/>
                <w:sz w:val="22"/>
                <w:szCs w:val="22"/>
                <w:lang w:val="sr-Latn-ME" w:eastAsia="en-US"/>
              </w:rPr>
            </w:pPr>
          </w:p>
        </w:tc>
        <w:tc>
          <w:tcPr>
            <w:tcW w:w="1237"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IQ 2025</w:t>
            </w:r>
          </w:p>
        </w:tc>
        <w:tc>
          <w:tcPr>
            <w:tcW w:w="1373"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IIIQ 2025</w:t>
            </w:r>
          </w:p>
        </w:tc>
        <w:tc>
          <w:tcPr>
            <w:tcW w:w="2589"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6.000,00 EUR</w:t>
            </w:r>
          </w:p>
        </w:tc>
        <w:tc>
          <w:tcPr>
            <w:tcW w:w="1746"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PFM/CEF</w:t>
            </w:r>
          </w:p>
        </w:tc>
      </w:tr>
      <w:tr w:rsidR="00621357" w:rsidRPr="00621357" w:rsidTr="007904C2">
        <w:trPr>
          <w:trHeight w:val="865"/>
        </w:trPr>
        <w:tc>
          <w:tcPr>
            <w:tcW w:w="2540" w:type="dxa"/>
            <w:vMerge/>
          </w:tcPr>
          <w:p w:rsidR="00621357" w:rsidRPr="00621357" w:rsidRDefault="00621357" w:rsidP="00621357">
            <w:pPr>
              <w:spacing w:after="160" w:line="259" w:lineRule="auto"/>
              <w:rPr>
                <w:rFonts w:ascii="Arial" w:hAnsi="Arial" w:cs="Arial"/>
                <w:sz w:val="22"/>
                <w:szCs w:val="22"/>
                <w:lang w:val="sr-Latn-ME" w:eastAsia="en-US"/>
              </w:rPr>
            </w:pPr>
          </w:p>
        </w:tc>
        <w:tc>
          <w:tcPr>
            <w:tcW w:w="1932"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Izraditi program i plan obuka za period 2025-2028 u skladu sa rezultatima analize potreba za obukama.</w:t>
            </w:r>
          </w:p>
          <w:p w:rsidR="00621357" w:rsidRPr="00621357" w:rsidRDefault="00621357" w:rsidP="00621357">
            <w:pPr>
              <w:spacing w:after="160" w:line="259" w:lineRule="auto"/>
              <w:rPr>
                <w:rFonts w:ascii="Arial" w:hAnsi="Arial" w:cs="Arial"/>
                <w:sz w:val="22"/>
                <w:szCs w:val="22"/>
                <w:lang w:val="sr-Latn-ME" w:eastAsia="en-US"/>
              </w:rPr>
            </w:pPr>
          </w:p>
        </w:tc>
        <w:tc>
          <w:tcPr>
            <w:tcW w:w="2039"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 xml:space="preserve">Trening program i plan za period 2025-2028 izrađen </w:t>
            </w:r>
          </w:p>
        </w:tc>
        <w:tc>
          <w:tcPr>
            <w:tcW w:w="1854" w:type="dxa"/>
            <w:gridSpan w:val="2"/>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 xml:space="preserve">Direkcija za zaštitu finansijskih interesa EU/Ministarstvo finansija </w:t>
            </w:r>
          </w:p>
          <w:p w:rsidR="00621357" w:rsidRPr="00621357" w:rsidRDefault="00621357" w:rsidP="00621357">
            <w:pPr>
              <w:spacing w:after="160" w:line="259" w:lineRule="auto"/>
              <w:rPr>
                <w:rFonts w:ascii="Arial" w:hAnsi="Arial" w:cs="Arial"/>
                <w:sz w:val="22"/>
                <w:szCs w:val="22"/>
                <w:lang w:val="sr-Latn-ME" w:eastAsia="en-US"/>
              </w:rPr>
            </w:pPr>
          </w:p>
        </w:tc>
        <w:tc>
          <w:tcPr>
            <w:tcW w:w="1237"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IQ 2025</w:t>
            </w:r>
          </w:p>
        </w:tc>
        <w:tc>
          <w:tcPr>
            <w:tcW w:w="1373"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IIIQ 2025</w:t>
            </w:r>
          </w:p>
        </w:tc>
        <w:tc>
          <w:tcPr>
            <w:tcW w:w="2589"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6.000,00EUR</w:t>
            </w:r>
          </w:p>
        </w:tc>
        <w:tc>
          <w:tcPr>
            <w:tcW w:w="1746"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PFM/CEF</w:t>
            </w:r>
          </w:p>
        </w:tc>
      </w:tr>
      <w:tr w:rsidR="00621357" w:rsidRPr="00621357" w:rsidTr="007904C2">
        <w:tc>
          <w:tcPr>
            <w:tcW w:w="2540" w:type="dxa"/>
            <w:vMerge/>
          </w:tcPr>
          <w:p w:rsidR="00621357" w:rsidRPr="00621357" w:rsidRDefault="00621357" w:rsidP="00621357">
            <w:pPr>
              <w:spacing w:after="160" w:line="259" w:lineRule="auto"/>
              <w:rPr>
                <w:rFonts w:ascii="Arial" w:hAnsi="Arial" w:cs="Arial"/>
                <w:sz w:val="22"/>
                <w:szCs w:val="22"/>
                <w:lang w:val="sr-Latn-ME" w:eastAsia="en-US"/>
              </w:rPr>
            </w:pPr>
          </w:p>
        </w:tc>
        <w:tc>
          <w:tcPr>
            <w:tcW w:w="1932"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Sprovoditi obuke u saradnji sa Agencijom za sprečavanje korupcije (ASK).</w:t>
            </w:r>
          </w:p>
        </w:tc>
        <w:tc>
          <w:tcPr>
            <w:tcW w:w="2039"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Obuke za osobe zadužene za prijem i postupanje po izvještajima sprovedene</w:t>
            </w:r>
          </w:p>
        </w:tc>
        <w:tc>
          <w:tcPr>
            <w:tcW w:w="1854" w:type="dxa"/>
            <w:gridSpan w:val="2"/>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 xml:space="preserve">Direkcija za zaštitu finansijskih interesa EU/Ministarstvo finansija </w:t>
            </w:r>
          </w:p>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  Agencija za sprečavanje korupcije  (ASK)</w:t>
            </w:r>
          </w:p>
          <w:p w:rsidR="00621357" w:rsidRPr="00621357" w:rsidRDefault="00621357" w:rsidP="00621357">
            <w:pPr>
              <w:spacing w:after="160" w:line="259" w:lineRule="auto"/>
              <w:rPr>
                <w:rFonts w:ascii="Arial" w:hAnsi="Arial" w:cs="Arial"/>
                <w:sz w:val="22"/>
                <w:szCs w:val="22"/>
                <w:lang w:val="sr-Latn-ME" w:eastAsia="en-US"/>
              </w:rPr>
            </w:pPr>
          </w:p>
        </w:tc>
        <w:tc>
          <w:tcPr>
            <w:tcW w:w="1237"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IIQ2026</w:t>
            </w:r>
            <w:r w:rsidRPr="00621357">
              <w:rPr>
                <w:rFonts w:ascii="Arial" w:hAnsi="Arial" w:cs="Arial"/>
                <w:sz w:val="22"/>
                <w:szCs w:val="22"/>
                <w:lang w:val="sr-Latn-ME" w:eastAsia="en-US"/>
              </w:rPr>
              <w:tab/>
            </w:r>
          </w:p>
        </w:tc>
        <w:tc>
          <w:tcPr>
            <w:tcW w:w="1373"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IIIQ2026</w:t>
            </w:r>
          </w:p>
        </w:tc>
        <w:tc>
          <w:tcPr>
            <w:tcW w:w="2589"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Ova aktivnost će biti implementirana od strane odgovorne institucije u okviru postojećeg budžeta.</w:t>
            </w:r>
          </w:p>
          <w:p w:rsidR="00621357" w:rsidRPr="00621357" w:rsidRDefault="00621357" w:rsidP="00621357">
            <w:pPr>
              <w:spacing w:after="160" w:line="259" w:lineRule="auto"/>
              <w:rPr>
                <w:rFonts w:ascii="Arial" w:hAnsi="Arial" w:cs="Arial"/>
                <w:sz w:val="22"/>
                <w:szCs w:val="22"/>
                <w:lang w:val="sr-Latn-ME" w:eastAsia="en-US"/>
              </w:rPr>
            </w:pPr>
          </w:p>
        </w:tc>
        <w:tc>
          <w:tcPr>
            <w:tcW w:w="1746"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Agencija za sprečavanje korupcije  (ASK)</w:t>
            </w:r>
          </w:p>
          <w:p w:rsidR="00621357" w:rsidRPr="00621357" w:rsidRDefault="00621357" w:rsidP="00621357">
            <w:pPr>
              <w:spacing w:after="160" w:line="259" w:lineRule="auto"/>
              <w:rPr>
                <w:rFonts w:ascii="Arial" w:hAnsi="Arial" w:cs="Arial"/>
                <w:sz w:val="22"/>
                <w:szCs w:val="22"/>
                <w:lang w:val="sr-Latn-ME" w:eastAsia="en-US"/>
              </w:rPr>
            </w:pPr>
          </w:p>
          <w:p w:rsidR="00621357" w:rsidRPr="00621357" w:rsidRDefault="00621357" w:rsidP="00621357">
            <w:pPr>
              <w:spacing w:after="160" w:line="259" w:lineRule="auto"/>
              <w:rPr>
                <w:rFonts w:ascii="Arial" w:hAnsi="Arial" w:cs="Arial"/>
                <w:sz w:val="22"/>
                <w:szCs w:val="22"/>
                <w:lang w:val="sr-Latn-ME" w:eastAsia="en-US"/>
              </w:rPr>
            </w:pPr>
          </w:p>
          <w:p w:rsidR="00621357" w:rsidRPr="00621357" w:rsidRDefault="00621357" w:rsidP="00621357">
            <w:pPr>
              <w:spacing w:after="160" w:line="259" w:lineRule="auto"/>
              <w:rPr>
                <w:rFonts w:ascii="Arial" w:hAnsi="Arial" w:cs="Arial"/>
                <w:sz w:val="22"/>
                <w:szCs w:val="22"/>
                <w:lang w:val="sr-Latn-ME" w:eastAsia="en-US"/>
              </w:rPr>
            </w:pPr>
          </w:p>
        </w:tc>
      </w:tr>
      <w:tr w:rsidR="00621357" w:rsidRPr="00621357" w:rsidTr="007904C2">
        <w:tc>
          <w:tcPr>
            <w:tcW w:w="2540"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3.2. Održavanje operativnog sistema upravljanja rizikom od nepravilnosti i prevara.</w:t>
            </w:r>
          </w:p>
        </w:tc>
        <w:tc>
          <w:tcPr>
            <w:tcW w:w="1932"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Sprovođenje analize rizika od nepravilnosti i prevara u skladu sa metodologijom upravljanja rizicima u oblasti nepravilnosti i prevara u okviru upravljanja i korišćenja EU fondova.</w:t>
            </w:r>
          </w:p>
          <w:p w:rsidR="00621357" w:rsidRPr="00621357" w:rsidRDefault="00621357" w:rsidP="00621357">
            <w:pPr>
              <w:spacing w:after="160" w:line="259" w:lineRule="auto"/>
              <w:rPr>
                <w:rFonts w:ascii="Arial" w:hAnsi="Arial" w:cs="Arial"/>
                <w:sz w:val="22"/>
                <w:szCs w:val="22"/>
                <w:lang w:val="sr-Latn-ME" w:eastAsia="en-US"/>
              </w:rPr>
            </w:pPr>
          </w:p>
        </w:tc>
        <w:tc>
          <w:tcPr>
            <w:tcW w:w="2039"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Analiza rizika od prevara za 2025-2026. sprovedena</w:t>
            </w:r>
          </w:p>
          <w:p w:rsidR="00621357" w:rsidRPr="00621357" w:rsidRDefault="00621357" w:rsidP="00621357">
            <w:pPr>
              <w:spacing w:after="160" w:line="259" w:lineRule="auto"/>
              <w:rPr>
                <w:rFonts w:ascii="Arial" w:hAnsi="Arial" w:cs="Arial"/>
                <w:sz w:val="22"/>
                <w:szCs w:val="22"/>
                <w:lang w:val="sr-Latn-ME" w:eastAsia="en-US"/>
              </w:rPr>
            </w:pPr>
          </w:p>
        </w:tc>
        <w:tc>
          <w:tcPr>
            <w:tcW w:w="1854" w:type="dxa"/>
            <w:gridSpan w:val="2"/>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 xml:space="preserve">Direkcija za zaštitu finansijskih interesa EU /Ministarstvo finansija </w:t>
            </w:r>
          </w:p>
          <w:p w:rsidR="00621357" w:rsidRPr="00621357" w:rsidRDefault="00621357" w:rsidP="00621357">
            <w:pPr>
              <w:spacing w:after="160" w:line="259" w:lineRule="auto"/>
              <w:rPr>
                <w:rFonts w:ascii="Arial" w:hAnsi="Arial" w:cs="Arial"/>
                <w:sz w:val="22"/>
                <w:szCs w:val="22"/>
                <w:lang w:val="sr-Latn-ME" w:eastAsia="en-US"/>
              </w:rPr>
            </w:pPr>
          </w:p>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Struktura za izvještavanje o nepravilnostima</w:t>
            </w:r>
          </w:p>
          <w:p w:rsidR="00621357" w:rsidRPr="00621357" w:rsidRDefault="00621357" w:rsidP="00621357">
            <w:pPr>
              <w:spacing w:after="160" w:line="259" w:lineRule="auto"/>
              <w:rPr>
                <w:rFonts w:ascii="Arial" w:hAnsi="Arial" w:cs="Arial"/>
                <w:sz w:val="22"/>
                <w:szCs w:val="22"/>
                <w:lang w:val="sr-Latn-ME" w:eastAsia="en-US"/>
              </w:rPr>
            </w:pPr>
          </w:p>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AFCOS mreža</w:t>
            </w:r>
          </w:p>
          <w:p w:rsidR="00621357" w:rsidRPr="00621357" w:rsidRDefault="00621357" w:rsidP="00621357">
            <w:pPr>
              <w:spacing w:after="160" w:line="259" w:lineRule="auto"/>
              <w:rPr>
                <w:rFonts w:ascii="Arial" w:hAnsi="Arial" w:cs="Arial"/>
                <w:sz w:val="22"/>
                <w:szCs w:val="22"/>
                <w:lang w:val="sr-Latn-ME" w:eastAsia="en-US"/>
              </w:rPr>
            </w:pPr>
          </w:p>
        </w:tc>
        <w:tc>
          <w:tcPr>
            <w:tcW w:w="1237"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IIIQ 2026</w:t>
            </w:r>
          </w:p>
        </w:tc>
        <w:tc>
          <w:tcPr>
            <w:tcW w:w="1373"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IVQ 2026</w:t>
            </w:r>
          </w:p>
        </w:tc>
        <w:tc>
          <w:tcPr>
            <w:tcW w:w="2589"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Ova aktivnost će biti implementirana od strane odgovorne institucije u okviru postojećeg budžeta.</w:t>
            </w:r>
          </w:p>
        </w:tc>
        <w:tc>
          <w:tcPr>
            <w:tcW w:w="1746"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Ministarstvo finansija</w:t>
            </w:r>
          </w:p>
        </w:tc>
      </w:tr>
      <w:tr w:rsidR="00621357" w:rsidRPr="00621357" w:rsidTr="007904C2">
        <w:tc>
          <w:tcPr>
            <w:tcW w:w="2540"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3.3. Obezbjeđivanje adekvatne vidljivosti i transparentnosti u vezi sa EU fondovima i podizanje svijesti o značaju procesa za zaštitu finansijskih interesa EU i nacionalnih finansijskih interesa</w:t>
            </w:r>
            <w:r w:rsidRPr="00621357">
              <w:rPr>
                <w:rFonts w:ascii="Arial" w:hAnsi="Arial" w:cs="Arial"/>
                <w:sz w:val="22"/>
                <w:szCs w:val="22"/>
                <w:lang w:val="sr-Latn-ME" w:eastAsia="en-US"/>
              </w:rPr>
              <w:br/>
            </w:r>
            <w:r w:rsidRPr="00621357">
              <w:rPr>
                <w:rFonts w:ascii="Arial" w:hAnsi="Arial" w:cs="Arial"/>
                <w:sz w:val="22"/>
                <w:szCs w:val="22"/>
                <w:lang w:val="sr-Latn-ME" w:eastAsia="en-US"/>
              </w:rPr>
              <w:br/>
            </w:r>
          </w:p>
        </w:tc>
        <w:tc>
          <w:tcPr>
            <w:tcW w:w="1932"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Razviti sveobuhvatnu komunikacionu strategiju</w:t>
            </w:r>
          </w:p>
        </w:tc>
        <w:tc>
          <w:tcPr>
            <w:tcW w:w="2039"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Komunikaciona strategija za period 2026-2028 usvojena</w:t>
            </w:r>
            <w:r w:rsidRPr="00621357">
              <w:rPr>
                <w:rFonts w:ascii="Arial" w:hAnsi="Arial" w:cs="Arial"/>
                <w:sz w:val="22"/>
                <w:szCs w:val="22"/>
                <w:lang w:val="sr-Latn-ME" w:eastAsia="en-US"/>
              </w:rPr>
              <w:br/>
            </w:r>
          </w:p>
        </w:tc>
        <w:tc>
          <w:tcPr>
            <w:tcW w:w="1854" w:type="dxa"/>
            <w:gridSpan w:val="2"/>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Direkcija za zaštitu finansijskih interesa EU/Ministarstvo finansija</w:t>
            </w:r>
          </w:p>
        </w:tc>
        <w:tc>
          <w:tcPr>
            <w:tcW w:w="1237"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IIQ 2025</w:t>
            </w:r>
          </w:p>
        </w:tc>
        <w:tc>
          <w:tcPr>
            <w:tcW w:w="1373"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IVQ 2026</w:t>
            </w:r>
          </w:p>
        </w:tc>
        <w:tc>
          <w:tcPr>
            <w:tcW w:w="2589"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21.000,00 EUR</w:t>
            </w:r>
          </w:p>
        </w:tc>
        <w:tc>
          <w:tcPr>
            <w:tcW w:w="1746"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 xml:space="preserve">Twinning light projekat </w:t>
            </w:r>
            <w:r w:rsidRPr="00621357">
              <w:rPr>
                <w:rFonts w:ascii="Arial" w:hAnsi="Arial" w:cs="Arial"/>
                <w:bCs/>
                <w:sz w:val="22"/>
                <w:szCs w:val="22"/>
                <w:lang w:val="sr-Latn-ME" w:eastAsia="en-US"/>
              </w:rPr>
              <w:t>„Dalje unaprijeđenje funkcionisanja crnogorskog AFCOS sistema u cilju efikasne zaštite finansijskih interesa EU“</w:t>
            </w:r>
          </w:p>
        </w:tc>
      </w:tr>
      <w:tr w:rsidR="00621357" w:rsidRPr="00621357" w:rsidTr="007904C2">
        <w:tc>
          <w:tcPr>
            <w:tcW w:w="2540" w:type="dxa"/>
            <w:vMerge w:val="restart"/>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3.4. Praćenje najnovijih razvoja mjera protiv nepravilnosti i prevara i razmjena najboljih praksi.</w:t>
            </w:r>
          </w:p>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br/>
            </w:r>
            <w:r w:rsidRPr="00621357">
              <w:rPr>
                <w:rFonts w:ascii="Arial" w:hAnsi="Arial" w:cs="Arial"/>
                <w:sz w:val="22"/>
                <w:szCs w:val="22"/>
                <w:lang w:val="sr-Latn-ME" w:eastAsia="en-US"/>
              </w:rPr>
              <w:br/>
            </w:r>
          </w:p>
          <w:p w:rsidR="00621357" w:rsidRPr="00621357" w:rsidRDefault="00621357" w:rsidP="00621357">
            <w:pPr>
              <w:spacing w:after="160" w:line="259" w:lineRule="auto"/>
              <w:rPr>
                <w:rFonts w:ascii="Arial" w:hAnsi="Arial" w:cs="Arial"/>
                <w:sz w:val="22"/>
                <w:szCs w:val="22"/>
                <w:lang w:val="sr-Latn-ME" w:eastAsia="en-US"/>
              </w:rPr>
            </w:pPr>
          </w:p>
        </w:tc>
        <w:tc>
          <w:tcPr>
            <w:tcW w:w="1932"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Redovno učešće na godišnjim konferencijama koje organizuje OLAF</w:t>
            </w:r>
            <w:r w:rsidRPr="00621357">
              <w:rPr>
                <w:rFonts w:ascii="Arial" w:hAnsi="Arial" w:cs="Arial"/>
                <w:sz w:val="22"/>
                <w:szCs w:val="22"/>
                <w:lang w:val="sr-Latn-ME" w:eastAsia="en-US"/>
              </w:rPr>
              <w:br/>
            </w:r>
            <w:r w:rsidRPr="00621357">
              <w:rPr>
                <w:rFonts w:ascii="Arial" w:hAnsi="Arial" w:cs="Arial"/>
                <w:sz w:val="22"/>
                <w:szCs w:val="22"/>
                <w:lang w:val="sr-Latn-ME" w:eastAsia="en-US"/>
              </w:rPr>
              <w:br/>
            </w:r>
          </w:p>
          <w:p w:rsidR="00621357" w:rsidRPr="00621357" w:rsidRDefault="00621357" w:rsidP="00621357">
            <w:pPr>
              <w:spacing w:after="160" w:line="259" w:lineRule="auto"/>
              <w:rPr>
                <w:rFonts w:ascii="Arial" w:hAnsi="Arial" w:cs="Arial"/>
                <w:sz w:val="22"/>
                <w:szCs w:val="22"/>
                <w:lang w:val="sr-Latn-ME" w:eastAsia="en-US"/>
              </w:rPr>
            </w:pPr>
          </w:p>
        </w:tc>
        <w:tc>
          <w:tcPr>
            <w:tcW w:w="2039"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2 godišnje konferencije koje je organizovao OLAF posjećene</w:t>
            </w:r>
          </w:p>
        </w:tc>
        <w:tc>
          <w:tcPr>
            <w:tcW w:w="1854" w:type="dxa"/>
            <w:gridSpan w:val="2"/>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Direkcija za zaštitu finansijskih interesa EU/Ministarstvo finansija</w:t>
            </w:r>
          </w:p>
        </w:tc>
        <w:tc>
          <w:tcPr>
            <w:tcW w:w="1237"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IIIQ 2025</w:t>
            </w:r>
          </w:p>
        </w:tc>
        <w:tc>
          <w:tcPr>
            <w:tcW w:w="1373"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IVQ 2026</w:t>
            </w:r>
          </w:p>
        </w:tc>
        <w:tc>
          <w:tcPr>
            <w:tcW w:w="2589"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8.800EUR</w:t>
            </w:r>
          </w:p>
        </w:tc>
        <w:tc>
          <w:tcPr>
            <w:tcW w:w="1746"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OLAF</w:t>
            </w:r>
          </w:p>
        </w:tc>
      </w:tr>
      <w:tr w:rsidR="00621357" w:rsidRPr="00621357" w:rsidTr="007904C2">
        <w:tc>
          <w:tcPr>
            <w:tcW w:w="2540" w:type="dxa"/>
            <w:vMerge/>
          </w:tcPr>
          <w:p w:rsidR="00621357" w:rsidRPr="00621357" w:rsidRDefault="00621357" w:rsidP="00621357">
            <w:pPr>
              <w:spacing w:after="160" w:line="259" w:lineRule="auto"/>
              <w:rPr>
                <w:rFonts w:ascii="Arial" w:hAnsi="Arial" w:cs="Arial"/>
                <w:sz w:val="22"/>
                <w:szCs w:val="22"/>
                <w:lang w:val="sr-Latn-ME" w:eastAsia="en-US"/>
              </w:rPr>
            </w:pPr>
          </w:p>
        </w:tc>
        <w:tc>
          <w:tcPr>
            <w:tcW w:w="1932"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Organizovati barem jedan seminar o značaju prijavljivanja nepravilnosti i o različitim vrstama prevara i nepravilnosti za Jedinicu za implementaciju projekta</w:t>
            </w:r>
          </w:p>
        </w:tc>
        <w:tc>
          <w:tcPr>
            <w:tcW w:w="2039"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Jedan seminar u periodu 2025-2026 organizovan</w:t>
            </w:r>
          </w:p>
        </w:tc>
        <w:tc>
          <w:tcPr>
            <w:tcW w:w="1854" w:type="dxa"/>
            <w:gridSpan w:val="2"/>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Direkcija za zaštitu finansijskih interesa EU/Ministarstvo finansija</w:t>
            </w:r>
          </w:p>
        </w:tc>
        <w:tc>
          <w:tcPr>
            <w:tcW w:w="1237"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IIIQ 2025</w:t>
            </w:r>
          </w:p>
        </w:tc>
        <w:tc>
          <w:tcPr>
            <w:tcW w:w="1373"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IVQ 2026</w:t>
            </w:r>
          </w:p>
        </w:tc>
        <w:tc>
          <w:tcPr>
            <w:tcW w:w="2589"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Neophodno je isplanirati u budžetu iznos od 2.000,00 EUR</w:t>
            </w:r>
          </w:p>
        </w:tc>
        <w:tc>
          <w:tcPr>
            <w:tcW w:w="1746"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Ministarstvo finansija</w:t>
            </w:r>
          </w:p>
        </w:tc>
      </w:tr>
      <w:tr w:rsidR="00621357" w:rsidRPr="00621357" w:rsidTr="007904C2">
        <w:tc>
          <w:tcPr>
            <w:tcW w:w="2540"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3.5. Uključivanje Direkcije za zaštitu finansijskih interesa EU / AFCOS u IPA Monitoring komitet kao posmatrača.</w:t>
            </w:r>
          </w:p>
          <w:p w:rsidR="00621357" w:rsidRPr="00621357" w:rsidRDefault="00621357" w:rsidP="00621357">
            <w:pPr>
              <w:spacing w:after="160" w:line="259" w:lineRule="auto"/>
              <w:rPr>
                <w:rFonts w:ascii="Arial" w:hAnsi="Arial" w:cs="Arial"/>
                <w:sz w:val="22"/>
                <w:szCs w:val="22"/>
                <w:lang w:val="sr-Latn-ME" w:eastAsia="en-US"/>
              </w:rPr>
            </w:pPr>
          </w:p>
        </w:tc>
        <w:tc>
          <w:tcPr>
            <w:tcW w:w="1932"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Usvojiti promjene u sastavu Monitoring komiteta</w:t>
            </w:r>
            <w:r w:rsidRPr="00621357">
              <w:rPr>
                <w:rFonts w:ascii="Arial" w:hAnsi="Arial" w:cs="Arial"/>
                <w:sz w:val="22"/>
                <w:szCs w:val="22"/>
                <w:lang w:val="sr-Latn-ME" w:eastAsia="en-US"/>
              </w:rPr>
              <w:br/>
            </w:r>
            <w:r w:rsidRPr="00621357">
              <w:rPr>
                <w:rFonts w:ascii="Arial" w:hAnsi="Arial" w:cs="Arial"/>
                <w:sz w:val="22"/>
                <w:szCs w:val="22"/>
                <w:lang w:val="sr-Latn-ME" w:eastAsia="en-US"/>
              </w:rPr>
              <w:br/>
            </w:r>
          </w:p>
          <w:p w:rsidR="00621357" w:rsidRPr="00621357" w:rsidRDefault="00621357" w:rsidP="00621357">
            <w:pPr>
              <w:spacing w:after="160" w:line="259" w:lineRule="auto"/>
              <w:rPr>
                <w:rFonts w:ascii="Arial" w:hAnsi="Arial" w:cs="Arial"/>
                <w:sz w:val="22"/>
                <w:szCs w:val="22"/>
                <w:lang w:val="sr-Latn-ME" w:eastAsia="en-US"/>
              </w:rPr>
            </w:pPr>
          </w:p>
        </w:tc>
        <w:tc>
          <w:tcPr>
            <w:tcW w:w="2039"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Promjene u sastavu Monitoring komiteta odobrene</w:t>
            </w:r>
          </w:p>
        </w:tc>
        <w:tc>
          <w:tcPr>
            <w:tcW w:w="1854" w:type="dxa"/>
            <w:gridSpan w:val="2"/>
          </w:tcPr>
          <w:p w:rsidR="00621357" w:rsidRPr="00621357" w:rsidRDefault="00621357" w:rsidP="00621357">
            <w:pPr>
              <w:spacing w:after="160" w:line="259" w:lineRule="auto"/>
              <w:rPr>
                <w:rFonts w:ascii="Arial" w:hAnsi="Arial" w:cs="Arial"/>
                <w:sz w:val="22"/>
                <w:szCs w:val="22"/>
                <w:lang w:val="sr-Latn-RS" w:eastAsia="en-US"/>
              </w:rPr>
            </w:pPr>
            <w:r w:rsidRPr="00621357">
              <w:rPr>
                <w:rFonts w:ascii="Arial" w:hAnsi="Arial" w:cs="Arial"/>
                <w:sz w:val="22"/>
                <w:szCs w:val="22"/>
                <w:lang w:val="sr-Latn-RS" w:eastAsia="en-US"/>
              </w:rPr>
              <w:t>Direktorat za upravljanje strukturama pretpristupne podrške EU</w:t>
            </w:r>
          </w:p>
          <w:p w:rsidR="00621357" w:rsidRPr="00621357" w:rsidRDefault="00621357" w:rsidP="00621357">
            <w:pPr>
              <w:spacing w:after="160" w:line="259" w:lineRule="auto"/>
              <w:rPr>
                <w:rFonts w:ascii="Arial" w:hAnsi="Arial" w:cs="Arial"/>
                <w:sz w:val="22"/>
                <w:szCs w:val="22"/>
                <w:lang w:val="sr-Latn-ME" w:eastAsia="en-US"/>
              </w:rPr>
            </w:pPr>
          </w:p>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NIPAK</w:t>
            </w:r>
          </w:p>
        </w:tc>
        <w:tc>
          <w:tcPr>
            <w:tcW w:w="1237"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IIIQ 2025</w:t>
            </w:r>
          </w:p>
        </w:tc>
        <w:tc>
          <w:tcPr>
            <w:tcW w:w="1373"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IVQ 2025</w:t>
            </w:r>
          </w:p>
        </w:tc>
        <w:tc>
          <w:tcPr>
            <w:tcW w:w="2589"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Ova aktivnost će biti implementirana od strane odgovorne institucije u okviru postojećeg budžeta.</w:t>
            </w:r>
          </w:p>
        </w:tc>
        <w:tc>
          <w:tcPr>
            <w:tcW w:w="1746"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Ministarstvo finansija</w:t>
            </w:r>
          </w:p>
          <w:p w:rsidR="00621357" w:rsidRPr="00621357" w:rsidRDefault="00621357" w:rsidP="00621357">
            <w:pPr>
              <w:spacing w:after="160" w:line="259" w:lineRule="auto"/>
              <w:rPr>
                <w:rFonts w:ascii="Arial" w:hAnsi="Arial" w:cs="Arial"/>
                <w:sz w:val="22"/>
                <w:szCs w:val="22"/>
                <w:lang w:val="sr-Latn-ME" w:eastAsia="en-US"/>
              </w:rPr>
            </w:pPr>
          </w:p>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Ministarstvo evropskih poslova</w:t>
            </w:r>
          </w:p>
        </w:tc>
      </w:tr>
      <w:tr w:rsidR="00621357" w:rsidRPr="00621357" w:rsidTr="007904C2">
        <w:tc>
          <w:tcPr>
            <w:tcW w:w="2540" w:type="dxa"/>
            <w:shd w:val="clear" w:color="auto" w:fill="DEEAF6" w:themeFill="accent1" w:themeFillTint="33"/>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 xml:space="preserve">Operativni cilj 4 </w:t>
            </w:r>
          </w:p>
        </w:tc>
        <w:tc>
          <w:tcPr>
            <w:tcW w:w="12770" w:type="dxa"/>
            <w:gridSpan w:val="12"/>
            <w:shd w:val="clear" w:color="auto" w:fill="DEEAF6" w:themeFill="accent1" w:themeFillTint="33"/>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Održavanje kapaciteta za otkrivanje nepravilnosti uz istovremeno poboljšanje kvaliteta izvještavanja o nepravilnostima i unapređenje prepoznavanja crvenih zastavica i znakova prevara.</w:t>
            </w:r>
          </w:p>
          <w:p w:rsidR="00621357" w:rsidRPr="00621357" w:rsidRDefault="00621357" w:rsidP="00621357">
            <w:pPr>
              <w:spacing w:after="160" w:line="259" w:lineRule="auto"/>
              <w:rPr>
                <w:rFonts w:ascii="Arial" w:hAnsi="Arial" w:cs="Arial"/>
                <w:b/>
                <w:sz w:val="22"/>
                <w:szCs w:val="22"/>
                <w:lang w:val="sr-Latn-ME" w:eastAsia="en-US"/>
              </w:rPr>
            </w:pPr>
          </w:p>
        </w:tc>
      </w:tr>
      <w:tr w:rsidR="00621357" w:rsidRPr="00621357" w:rsidTr="007904C2">
        <w:tc>
          <w:tcPr>
            <w:tcW w:w="2540" w:type="dxa"/>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Indikator uspjeha 4.1</w:t>
            </w:r>
          </w:p>
        </w:tc>
        <w:tc>
          <w:tcPr>
            <w:tcW w:w="7062" w:type="dxa"/>
            <w:gridSpan w:val="7"/>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Procenat nepravilnosti prijavljenih u IMS unutar postavljenog roka (u roku od 45</w:t>
            </w:r>
            <w:r w:rsidRPr="00621357">
              <w:rPr>
                <w:rFonts w:ascii="Arial" w:hAnsi="Arial" w:cs="Arial"/>
                <w:sz w:val="22"/>
                <w:szCs w:val="22"/>
                <w:vertAlign w:val="superscript"/>
                <w:lang w:val="sr-Latn-ME" w:eastAsia="en-US"/>
              </w:rPr>
              <w:footnoteReference w:id="19"/>
            </w:r>
            <w:r w:rsidRPr="00621357">
              <w:rPr>
                <w:rFonts w:ascii="Arial" w:hAnsi="Arial" w:cs="Arial"/>
                <w:sz w:val="22"/>
                <w:szCs w:val="22"/>
                <w:lang w:val="sr-Latn-ME" w:eastAsia="en-US"/>
              </w:rPr>
              <w:t xml:space="preserve"> dana od PACA datuma).</w:t>
            </w:r>
          </w:p>
          <w:p w:rsidR="00621357" w:rsidRPr="00621357" w:rsidRDefault="00621357" w:rsidP="00621357">
            <w:pPr>
              <w:spacing w:after="160" w:line="259" w:lineRule="auto"/>
              <w:rPr>
                <w:rFonts w:ascii="Arial" w:hAnsi="Arial" w:cs="Arial"/>
                <w:sz w:val="22"/>
                <w:szCs w:val="22"/>
                <w:lang w:val="sr-Latn-ME" w:eastAsia="en-US"/>
              </w:rPr>
            </w:pPr>
          </w:p>
        </w:tc>
        <w:tc>
          <w:tcPr>
            <w:tcW w:w="1373" w:type="dxa"/>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 xml:space="preserve">Početna vrijednost u 2024: </w:t>
            </w:r>
          </w:p>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4%</w:t>
            </w:r>
          </w:p>
        </w:tc>
        <w:tc>
          <w:tcPr>
            <w:tcW w:w="2589" w:type="dxa"/>
            <w:gridSpan w:val="3"/>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Ciljana vrijednost u 2026:</w:t>
            </w:r>
          </w:p>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50%</w:t>
            </w:r>
          </w:p>
        </w:tc>
        <w:tc>
          <w:tcPr>
            <w:tcW w:w="1746" w:type="dxa"/>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Ciljana vrijednost u 2028:</w:t>
            </w:r>
          </w:p>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90%</w:t>
            </w:r>
          </w:p>
        </w:tc>
      </w:tr>
      <w:tr w:rsidR="00621357" w:rsidRPr="00621357" w:rsidTr="007904C2">
        <w:tc>
          <w:tcPr>
            <w:tcW w:w="2540" w:type="dxa"/>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Indikator uspjeha 4.2</w:t>
            </w:r>
          </w:p>
        </w:tc>
        <w:tc>
          <w:tcPr>
            <w:tcW w:w="7062" w:type="dxa"/>
            <w:gridSpan w:val="7"/>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 xml:space="preserve">Procenat nepravilnosti prijavljenih kao sumnja na prevaru </w:t>
            </w:r>
          </w:p>
          <w:p w:rsidR="00621357" w:rsidRPr="00621357" w:rsidRDefault="00621357" w:rsidP="00621357">
            <w:pPr>
              <w:spacing w:after="160" w:line="259" w:lineRule="auto"/>
              <w:rPr>
                <w:rFonts w:ascii="Arial" w:hAnsi="Arial" w:cs="Arial"/>
                <w:sz w:val="22"/>
                <w:szCs w:val="22"/>
                <w:lang w:val="sr-Latn-ME" w:eastAsia="en-US"/>
              </w:rPr>
            </w:pPr>
          </w:p>
        </w:tc>
        <w:tc>
          <w:tcPr>
            <w:tcW w:w="1373" w:type="dxa"/>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 xml:space="preserve">Početna vrijednost u 2024: </w:t>
            </w:r>
          </w:p>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5%</w:t>
            </w:r>
          </w:p>
        </w:tc>
        <w:tc>
          <w:tcPr>
            <w:tcW w:w="2589" w:type="dxa"/>
            <w:gridSpan w:val="3"/>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Ciljana vrijednost u 2026:</w:t>
            </w:r>
          </w:p>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6%</w:t>
            </w:r>
          </w:p>
        </w:tc>
        <w:tc>
          <w:tcPr>
            <w:tcW w:w="1746" w:type="dxa"/>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 xml:space="preserve">Ciljana vrijednost u 2028: </w:t>
            </w:r>
          </w:p>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8%</w:t>
            </w:r>
          </w:p>
        </w:tc>
      </w:tr>
      <w:tr w:rsidR="00621357" w:rsidRPr="00621357" w:rsidTr="007904C2">
        <w:tc>
          <w:tcPr>
            <w:tcW w:w="2540" w:type="dxa"/>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Indikator uspjeha 4.3</w:t>
            </w:r>
          </w:p>
        </w:tc>
        <w:tc>
          <w:tcPr>
            <w:tcW w:w="7062" w:type="dxa"/>
            <w:gridSpan w:val="7"/>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Broj vraćenih izvještaja o nepravilnostima od strane Direkcije za zaštitu finansijskih interesa EU/AFCOS  Implementacionim agencijama/ Posredničkim tijelima za finansijsko upravljanje, radi dorade.</w:t>
            </w:r>
          </w:p>
        </w:tc>
        <w:tc>
          <w:tcPr>
            <w:tcW w:w="1373" w:type="dxa"/>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 xml:space="preserve">Početna vrijednost u 2024: </w:t>
            </w:r>
          </w:p>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60</w:t>
            </w:r>
          </w:p>
        </w:tc>
        <w:tc>
          <w:tcPr>
            <w:tcW w:w="2589" w:type="dxa"/>
            <w:gridSpan w:val="3"/>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Ciljana vrijednost u 2026:</w:t>
            </w:r>
          </w:p>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40</w:t>
            </w:r>
          </w:p>
        </w:tc>
        <w:tc>
          <w:tcPr>
            <w:tcW w:w="1746" w:type="dxa"/>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Ciljana vrijednost u 2028:</w:t>
            </w:r>
          </w:p>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 xml:space="preserve">20 </w:t>
            </w:r>
          </w:p>
        </w:tc>
      </w:tr>
      <w:tr w:rsidR="00621357" w:rsidRPr="00621357" w:rsidTr="007904C2">
        <w:tc>
          <w:tcPr>
            <w:tcW w:w="2540" w:type="dxa"/>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Mjere povezane sa operativnim ciljem 4</w:t>
            </w:r>
            <w:r w:rsidRPr="00621357">
              <w:rPr>
                <w:rFonts w:ascii="Arial" w:hAnsi="Arial" w:cs="Arial"/>
                <w:b/>
                <w:sz w:val="22"/>
                <w:szCs w:val="22"/>
                <w:lang w:val="sr-Latn-ME" w:eastAsia="en-US"/>
              </w:rPr>
              <w:tab/>
            </w:r>
          </w:p>
        </w:tc>
        <w:tc>
          <w:tcPr>
            <w:tcW w:w="1932" w:type="dxa"/>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Aktivnost</w:t>
            </w:r>
          </w:p>
        </w:tc>
        <w:tc>
          <w:tcPr>
            <w:tcW w:w="2039" w:type="dxa"/>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Indikator učinka</w:t>
            </w:r>
          </w:p>
        </w:tc>
        <w:tc>
          <w:tcPr>
            <w:tcW w:w="1854" w:type="dxa"/>
            <w:gridSpan w:val="2"/>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Odgovorna institucija</w:t>
            </w:r>
          </w:p>
        </w:tc>
        <w:tc>
          <w:tcPr>
            <w:tcW w:w="1237" w:type="dxa"/>
            <w:gridSpan w:val="3"/>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Datum početka</w:t>
            </w:r>
          </w:p>
        </w:tc>
        <w:tc>
          <w:tcPr>
            <w:tcW w:w="1373" w:type="dxa"/>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Datum završetka</w:t>
            </w:r>
          </w:p>
        </w:tc>
        <w:tc>
          <w:tcPr>
            <w:tcW w:w="2589" w:type="dxa"/>
            <w:gridSpan w:val="3"/>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Predviđeni troškovi</w:t>
            </w:r>
          </w:p>
        </w:tc>
        <w:tc>
          <w:tcPr>
            <w:tcW w:w="1746" w:type="dxa"/>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Izvor finansiranja</w:t>
            </w:r>
          </w:p>
        </w:tc>
      </w:tr>
      <w:tr w:rsidR="00621357" w:rsidRPr="00621357" w:rsidTr="007904C2">
        <w:tc>
          <w:tcPr>
            <w:tcW w:w="2540" w:type="dxa"/>
            <w:vMerge w:val="restart"/>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4.1 Unaprjeđenje Smjernica o upravljanju nepravilnostima</w:t>
            </w:r>
          </w:p>
          <w:p w:rsidR="00621357" w:rsidRPr="00621357" w:rsidRDefault="00621357" w:rsidP="00621357">
            <w:pPr>
              <w:spacing w:after="160" w:line="259" w:lineRule="auto"/>
              <w:rPr>
                <w:rFonts w:ascii="Arial" w:hAnsi="Arial" w:cs="Arial"/>
                <w:sz w:val="22"/>
                <w:szCs w:val="22"/>
                <w:lang w:val="sr-Latn-ME" w:eastAsia="en-US"/>
              </w:rPr>
            </w:pPr>
          </w:p>
        </w:tc>
        <w:tc>
          <w:tcPr>
            <w:tcW w:w="1932"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Pregled smjernica o nepravilnostima i prilagođavanje istih sa zahtjevima IPA III regulative</w:t>
            </w:r>
          </w:p>
        </w:tc>
        <w:tc>
          <w:tcPr>
            <w:tcW w:w="2039"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Smjernice o nepravilnostima ažurirane i odobrene</w:t>
            </w:r>
          </w:p>
          <w:p w:rsidR="00621357" w:rsidRPr="00621357" w:rsidRDefault="00621357" w:rsidP="00621357">
            <w:pPr>
              <w:spacing w:after="160" w:line="259" w:lineRule="auto"/>
              <w:rPr>
                <w:rFonts w:ascii="Arial" w:hAnsi="Arial" w:cs="Arial"/>
                <w:sz w:val="22"/>
                <w:szCs w:val="22"/>
                <w:lang w:val="sr-Latn-ME" w:eastAsia="en-US"/>
              </w:rPr>
            </w:pPr>
          </w:p>
        </w:tc>
        <w:tc>
          <w:tcPr>
            <w:tcW w:w="1854" w:type="dxa"/>
            <w:gridSpan w:val="2"/>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 xml:space="preserve">Direkcija za zaštitu finansijskih interesa EU </w:t>
            </w:r>
          </w:p>
          <w:p w:rsidR="00621357" w:rsidRPr="00621357" w:rsidRDefault="00621357" w:rsidP="00621357">
            <w:pPr>
              <w:spacing w:after="160" w:line="259" w:lineRule="auto"/>
              <w:rPr>
                <w:rFonts w:ascii="Arial" w:hAnsi="Arial" w:cs="Arial"/>
                <w:sz w:val="22"/>
                <w:szCs w:val="22"/>
                <w:lang w:val="sr-Latn-ME" w:eastAsia="en-US"/>
              </w:rPr>
            </w:pPr>
          </w:p>
          <w:p w:rsidR="00621357" w:rsidRPr="00621357" w:rsidRDefault="00621357" w:rsidP="00621357">
            <w:pPr>
              <w:spacing w:after="160" w:line="259" w:lineRule="auto"/>
              <w:rPr>
                <w:rFonts w:ascii="Arial" w:hAnsi="Arial" w:cs="Arial"/>
                <w:sz w:val="22"/>
                <w:szCs w:val="22"/>
                <w:lang w:val="sr-Latn-RS" w:eastAsia="en-US"/>
              </w:rPr>
            </w:pPr>
            <w:r w:rsidRPr="00621357">
              <w:rPr>
                <w:rFonts w:ascii="Arial" w:hAnsi="Arial" w:cs="Arial"/>
                <w:sz w:val="22"/>
                <w:szCs w:val="22"/>
                <w:lang w:val="sr-Latn-RS" w:eastAsia="en-US"/>
              </w:rPr>
              <w:t>Direktorat za upravljanje strukturama pretpristupne podrške EU</w:t>
            </w:r>
          </w:p>
          <w:p w:rsidR="00621357" w:rsidRPr="00621357" w:rsidRDefault="00621357" w:rsidP="00621357">
            <w:pPr>
              <w:spacing w:after="160" w:line="259" w:lineRule="auto"/>
              <w:rPr>
                <w:rFonts w:ascii="Arial" w:hAnsi="Arial" w:cs="Arial"/>
                <w:sz w:val="22"/>
                <w:szCs w:val="22"/>
                <w:lang w:val="sr-Latn-ME" w:eastAsia="en-US"/>
              </w:rPr>
            </w:pPr>
          </w:p>
        </w:tc>
        <w:tc>
          <w:tcPr>
            <w:tcW w:w="1237"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IIIQ 2025</w:t>
            </w:r>
          </w:p>
        </w:tc>
        <w:tc>
          <w:tcPr>
            <w:tcW w:w="1373"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IVQ 2025</w:t>
            </w:r>
          </w:p>
        </w:tc>
        <w:tc>
          <w:tcPr>
            <w:tcW w:w="2589"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Ova aktivnost će biti implementirana od strane odgovorne institucije u okviru postojećeg budžeta.</w:t>
            </w:r>
          </w:p>
        </w:tc>
        <w:tc>
          <w:tcPr>
            <w:tcW w:w="1746"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Ministarstvo finansija</w:t>
            </w:r>
          </w:p>
        </w:tc>
      </w:tr>
      <w:tr w:rsidR="00621357" w:rsidRPr="00621357" w:rsidTr="007904C2">
        <w:tc>
          <w:tcPr>
            <w:tcW w:w="2540" w:type="dxa"/>
            <w:vMerge/>
          </w:tcPr>
          <w:p w:rsidR="00621357" w:rsidRPr="00621357" w:rsidRDefault="00621357" w:rsidP="00621357">
            <w:pPr>
              <w:spacing w:after="160" w:line="259" w:lineRule="auto"/>
              <w:rPr>
                <w:rFonts w:ascii="Arial" w:hAnsi="Arial" w:cs="Arial"/>
                <w:sz w:val="22"/>
                <w:szCs w:val="22"/>
                <w:lang w:val="sr-Latn-ME" w:eastAsia="en-US"/>
              </w:rPr>
            </w:pPr>
          </w:p>
        </w:tc>
        <w:tc>
          <w:tcPr>
            <w:tcW w:w="1932"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Uključivanje procedura iz ažuriranih Smjernica o nepravilnostima u poglavlje "Nepravilnosti" Priručnika o procedurama</w:t>
            </w:r>
          </w:p>
          <w:p w:rsidR="00621357" w:rsidRPr="00621357" w:rsidRDefault="00621357" w:rsidP="00621357">
            <w:pPr>
              <w:spacing w:after="160" w:line="259" w:lineRule="auto"/>
              <w:rPr>
                <w:rFonts w:ascii="Arial" w:hAnsi="Arial" w:cs="Arial"/>
                <w:sz w:val="22"/>
                <w:szCs w:val="22"/>
                <w:lang w:val="sr-Latn-ME" w:eastAsia="en-US"/>
              </w:rPr>
            </w:pPr>
          </w:p>
        </w:tc>
        <w:tc>
          <w:tcPr>
            <w:tcW w:w="2039"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Poglavlje "Nepravilnosti" u Priručniku procedurama ažurirano</w:t>
            </w:r>
          </w:p>
          <w:p w:rsidR="00621357" w:rsidRPr="00621357" w:rsidRDefault="00621357" w:rsidP="00621357">
            <w:pPr>
              <w:spacing w:after="160" w:line="259" w:lineRule="auto"/>
              <w:rPr>
                <w:rFonts w:ascii="Arial" w:hAnsi="Arial" w:cs="Arial"/>
                <w:sz w:val="22"/>
                <w:szCs w:val="22"/>
                <w:lang w:val="sr-Latn-ME" w:eastAsia="en-US"/>
              </w:rPr>
            </w:pPr>
          </w:p>
        </w:tc>
        <w:tc>
          <w:tcPr>
            <w:tcW w:w="1854" w:type="dxa"/>
            <w:gridSpan w:val="2"/>
          </w:tcPr>
          <w:p w:rsidR="00621357" w:rsidRPr="00621357" w:rsidRDefault="00621357" w:rsidP="00621357">
            <w:pPr>
              <w:spacing w:after="160" w:line="259" w:lineRule="auto"/>
              <w:rPr>
                <w:rFonts w:ascii="Arial" w:hAnsi="Arial" w:cs="Arial"/>
                <w:sz w:val="22"/>
                <w:szCs w:val="22"/>
                <w:lang w:val="sr-Latn-RS" w:eastAsia="en-US"/>
              </w:rPr>
            </w:pPr>
            <w:r w:rsidRPr="00621357">
              <w:rPr>
                <w:rFonts w:ascii="Arial" w:hAnsi="Arial" w:cs="Arial"/>
                <w:sz w:val="22"/>
                <w:szCs w:val="22"/>
                <w:lang w:val="sr-Latn-RS" w:eastAsia="en-US"/>
              </w:rPr>
              <w:t>Direktorat za upravljanje strukturama pretpristupne podrške EU</w:t>
            </w:r>
          </w:p>
          <w:p w:rsidR="00621357" w:rsidRPr="00621357" w:rsidRDefault="00621357" w:rsidP="00621357">
            <w:pPr>
              <w:spacing w:after="160" w:line="259" w:lineRule="auto"/>
              <w:rPr>
                <w:rFonts w:ascii="Arial" w:hAnsi="Arial" w:cs="Arial"/>
                <w:sz w:val="22"/>
                <w:szCs w:val="22"/>
                <w:lang w:val="sr-Latn-ME" w:eastAsia="en-US"/>
              </w:rPr>
            </w:pPr>
          </w:p>
        </w:tc>
        <w:tc>
          <w:tcPr>
            <w:tcW w:w="1237"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IQ 2026</w:t>
            </w:r>
          </w:p>
        </w:tc>
        <w:tc>
          <w:tcPr>
            <w:tcW w:w="1373"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IIQ 2026</w:t>
            </w:r>
          </w:p>
        </w:tc>
        <w:tc>
          <w:tcPr>
            <w:tcW w:w="2589"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Ova aktivnost će biti implementirana od strane odgovorne institucije u okviru postojećeg budžeta.</w:t>
            </w:r>
          </w:p>
        </w:tc>
        <w:tc>
          <w:tcPr>
            <w:tcW w:w="1746"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Ministarstvo finansija</w:t>
            </w:r>
          </w:p>
        </w:tc>
      </w:tr>
      <w:tr w:rsidR="00621357" w:rsidRPr="00621357" w:rsidTr="007904C2">
        <w:tc>
          <w:tcPr>
            <w:tcW w:w="2540" w:type="dxa"/>
            <w:vMerge w:val="restart"/>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4.2 Unaprjeđenje indirektnog sistema upravljanja i kontrole za implementaciju projekata iz IPA fondova</w:t>
            </w:r>
          </w:p>
          <w:p w:rsidR="00621357" w:rsidRPr="00621357" w:rsidRDefault="00621357" w:rsidP="00621357">
            <w:pPr>
              <w:spacing w:after="160" w:line="259" w:lineRule="auto"/>
              <w:rPr>
                <w:rFonts w:ascii="Arial" w:hAnsi="Arial" w:cs="Arial"/>
                <w:sz w:val="22"/>
                <w:szCs w:val="22"/>
                <w:lang w:val="sr-Latn-ME" w:eastAsia="en-US"/>
              </w:rPr>
            </w:pPr>
          </w:p>
        </w:tc>
        <w:tc>
          <w:tcPr>
            <w:tcW w:w="1932"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 xml:space="preserve">Kreirati jedinstvenu elektronsku bazu podataka projekata finansiranih iz EU podrške tj. internet platformu za EU fondove u Crnoj Gori i omogućiti pristup istoj u cilju objedinjavanja svih neophodnih informacija za krajnje korisnike  EU podrške i budué potencijalne aplikante </w:t>
            </w:r>
          </w:p>
        </w:tc>
        <w:tc>
          <w:tcPr>
            <w:tcW w:w="2039"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 xml:space="preserve">Internet platforma za EU fondove u Crnoj Gori </w:t>
            </w:r>
          </w:p>
        </w:tc>
        <w:tc>
          <w:tcPr>
            <w:tcW w:w="1854" w:type="dxa"/>
            <w:gridSpan w:val="2"/>
          </w:tcPr>
          <w:p w:rsidR="00621357" w:rsidRPr="00621357" w:rsidRDefault="00621357" w:rsidP="00621357">
            <w:pPr>
              <w:spacing w:after="160" w:line="259" w:lineRule="auto"/>
              <w:rPr>
                <w:rFonts w:ascii="Arial" w:hAnsi="Arial" w:cs="Arial"/>
                <w:sz w:val="22"/>
                <w:szCs w:val="22"/>
                <w:lang w:val="sr-Latn-RS" w:eastAsia="en-US"/>
              </w:rPr>
            </w:pPr>
            <w:r w:rsidRPr="00621357">
              <w:rPr>
                <w:rFonts w:ascii="Arial" w:hAnsi="Arial" w:cs="Arial"/>
                <w:sz w:val="22"/>
                <w:szCs w:val="22"/>
                <w:lang w:val="sr-Latn-RS" w:eastAsia="en-US"/>
              </w:rPr>
              <w:t>Direktorat za upravljanje strukturama pretpristupne podrške EU (Ministarstvo finansija)</w:t>
            </w:r>
          </w:p>
          <w:p w:rsidR="00621357" w:rsidRPr="00621357" w:rsidRDefault="00621357" w:rsidP="00621357">
            <w:pPr>
              <w:spacing w:after="160" w:line="259" w:lineRule="auto"/>
              <w:rPr>
                <w:rFonts w:ascii="Arial" w:hAnsi="Arial" w:cs="Arial"/>
                <w:sz w:val="22"/>
                <w:szCs w:val="22"/>
                <w:lang w:val="sr-Latn-ME" w:eastAsia="en-US"/>
              </w:rPr>
            </w:pPr>
          </w:p>
        </w:tc>
        <w:tc>
          <w:tcPr>
            <w:tcW w:w="1237"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IVQ 2025</w:t>
            </w:r>
          </w:p>
        </w:tc>
        <w:tc>
          <w:tcPr>
            <w:tcW w:w="1373"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IVQ 2026</w:t>
            </w:r>
          </w:p>
        </w:tc>
        <w:tc>
          <w:tcPr>
            <w:tcW w:w="2589"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Sredstva će biti obezbijeđena ili iz EU donacija ili iz planiranih sredstava u budžetu Ministarstva finansija – budžetska linija za Direktorat za upravljanje strukturama pretpristupne podrške EU u za razvoj jedinstvene baze podataka.</w:t>
            </w:r>
          </w:p>
        </w:tc>
        <w:tc>
          <w:tcPr>
            <w:tcW w:w="1746"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Ministarstvo finansija</w:t>
            </w:r>
          </w:p>
        </w:tc>
      </w:tr>
      <w:tr w:rsidR="00621357" w:rsidRPr="00621357" w:rsidTr="007904C2">
        <w:tc>
          <w:tcPr>
            <w:tcW w:w="2540" w:type="dxa"/>
            <w:vMerge/>
          </w:tcPr>
          <w:p w:rsidR="00621357" w:rsidRPr="00621357" w:rsidRDefault="00621357" w:rsidP="00621357">
            <w:pPr>
              <w:spacing w:after="160" w:line="259" w:lineRule="auto"/>
              <w:rPr>
                <w:rFonts w:ascii="Arial" w:hAnsi="Arial" w:cs="Arial"/>
                <w:sz w:val="22"/>
                <w:szCs w:val="22"/>
                <w:lang w:val="sr-Latn-ME" w:eastAsia="en-US"/>
              </w:rPr>
            </w:pPr>
          </w:p>
        </w:tc>
        <w:tc>
          <w:tcPr>
            <w:tcW w:w="1932"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Propisati preciznu proceduru linija komuniciranja između svih nadležnih IPA tijela za provjeru povezanosti osoba koje sprovode kontrole na licu mjesta sa osobama koje su predmet kontrole kako bi se izbjegao potencijalni konflikt interesa.</w:t>
            </w:r>
          </w:p>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Dodatno osigurati potpisivanje Izjave o nepristrasnosti od strane svih uključenih lica u procesu.</w:t>
            </w:r>
          </w:p>
        </w:tc>
        <w:tc>
          <w:tcPr>
            <w:tcW w:w="2039"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Postupak komunikacije između IPA struktura za provjeru povezanosti osoba koje sprovode kontrolu na licu mjesta sa osobama koje su predmet kontrole definisan i potpisivanje Izjave o nepristrasnosti osiguran</w:t>
            </w:r>
          </w:p>
        </w:tc>
        <w:tc>
          <w:tcPr>
            <w:tcW w:w="1854" w:type="dxa"/>
            <w:gridSpan w:val="2"/>
          </w:tcPr>
          <w:p w:rsidR="00621357" w:rsidRPr="00621357" w:rsidRDefault="00621357" w:rsidP="00621357">
            <w:pPr>
              <w:spacing w:after="160" w:line="259" w:lineRule="auto"/>
              <w:rPr>
                <w:rFonts w:ascii="Arial" w:hAnsi="Arial" w:cs="Arial"/>
                <w:sz w:val="22"/>
                <w:szCs w:val="22"/>
                <w:lang w:val="sr-Latn-RS" w:eastAsia="en-US"/>
              </w:rPr>
            </w:pPr>
            <w:r w:rsidRPr="00621357">
              <w:rPr>
                <w:rFonts w:ascii="Arial" w:hAnsi="Arial" w:cs="Arial"/>
                <w:sz w:val="22"/>
                <w:szCs w:val="22"/>
                <w:lang w:val="sr-Latn-RS" w:eastAsia="en-US"/>
              </w:rPr>
              <w:t>Direktorat za upravljanje strukturama pretpristupne podrške EU</w:t>
            </w:r>
          </w:p>
          <w:p w:rsidR="00621357" w:rsidRPr="00621357" w:rsidRDefault="00621357" w:rsidP="00621357">
            <w:pPr>
              <w:spacing w:after="160" w:line="259" w:lineRule="auto"/>
              <w:rPr>
                <w:rFonts w:ascii="Arial" w:hAnsi="Arial" w:cs="Arial"/>
                <w:sz w:val="22"/>
                <w:szCs w:val="22"/>
                <w:lang w:val="sr-Latn-ME" w:eastAsia="en-US"/>
              </w:rPr>
            </w:pPr>
          </w:p>
        </w:tc>
        <w:tc>
          <w:tcPr>
            <w:tcW w:w="1237"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IIIQ 2025</w:t>
            </w:r>
          </w:p>
        </w:tc>
        <w:tc>
          <w:tcPr>
            <w:tcW w:w="1373"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IVQ 2026</w:t>
            </w:r>
          </w:p>
        </w:tc>
        <w:tc>
          <w:tcPr>
            <w:tcW w:w="2589"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Ova aktivnost će biti implementirana od strane odgovorne institucije u okviru postojećeg budžeta.</w:t>
            </w:r>
          </w:p>
        </w:tc>
        <w:tc>
          <w:tcPr>
            <w:tcW w:w="1746"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Ministarstvo finansija</w:t>
            </w:r>
          </w:p>
        </w:tc>
      </w:tr>
      <w:tr w:rsidR="00621357" w:rsidRPr="00621357" w:rsidTr="007904C2">
        <w:tc>
          <w:tcPr>
            <w:tcW w:w="2540" w:type="dxa"/>
            <w:shd w:val="clear" w:color="auto" w:fill="DEEAF6" w:themeFill="accent1" w:themeFillTint="33"/>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Operativni cilj 5</w:t>
            </w:r>
          </w:p>
        </w:tc>
        <w:tc>
          <w:tcPr>
            <w:tcW w:w="12770" w:type="dxa"/>
            <w:gridSpan w:val="12"/>
            <w:shd w:val="clear" w:color="auto" w:fill="DEEAF6" w:themeFill="accent1" w:themeFillTint="33"/>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Unaprjeđenje saradnje između istražnih tijela, AFCOS-a i OLAF-a</w:t>
            </w:r>
          </w:p>
          <w:p w:rsidR="00621357" w:rsidRPr="00621357" w:rsidRDefault="00621357" w:rsidP="00621357">
            <w:pPr>
              <w:spacing w:after="160" w:line="259" w:lineRule="auto"/>
              <w:rPr>
                <w:rFonts w:ascii="Arial" w:hAnsi="Arial" w:cs="Arial"/>
                <w:b/>
                <w:sz w:val="22"/>
                <w:szCs w:val="22"/>
                <w:lang w:val="sr-Latn-ME" w:eastAsia="en-US"/>
              </w:rPr>
            </w:pPr>
          </w:p>
        </w:tc>
      </w:tr>
      <w:tr w:rsidR="00621357" w:rsidRPr="00621357" w:rsidTr="007904C2">
        <w:tc>
          <w:tcPr>
            <w:tcW w:w="2540" w:type="dxa"/>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Indikator uspjeha 5.1</w:t>
            </w:r>
          </w:p>
        </w:tc>
        <w:tc>
          <w:tcPr>
            <w:tcW w:w="7062" w:type="dxa"/>
            <w:gridSpan w:val="7"/>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Svi OLAF-ovi zahtjevi su pravilno obrađeni i završeni</w:t>
            </w:r>
          </w:p>
          <w:p w:rsidR="00621357" w:rsidRPr="00621357" w:rsidRDefault="00621357" w:rsidP="00621357">
            <w:pPr>
              <w:spacing w:after="160" w:line="259" w:lineRule="auto"/>
              <w:rPr>
                <w:rFonts w:ascii="Arial" w:hAnsi="Arial" w:cs="Arial"/>
                <w:sz w:val="22"/>
                <w:szCs w:val="22"/>
                <w:lang w:val="sr-Latn-ME" w:eastAsia="en-US"/>
              </w:rPr>
            </w:pPr>
          </w:p>
        </w:tc>
        <w:tc>
          <w:tcPr>
            <w:tcW w:w="1373" w:type="dxa"/>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 xml:space="preserve">Početna vrijednost u 2024: </w:t>
            </w:r>
          </w:p>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b/>
                <w:sz w:val="22"/>
                <w:szCs w:val="22"/>
                <w:lang w:val="sr-Latn-ME" w:eastAsia="en-US"/>
              </w:rPr>
              <w:t>100%</w:t>
            </w:r>
          </w:p>
        </w:tc>
        <w:tc>
          <w:tcPr>
            <w:tcW w:w="2589" w:type="dxa"/>
            <w:gridSpan w:val="3"/>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Ciljana vrijednost u 2026:</w:t>
            </w:r>
          </w:p>
          <w:p w:rsidR="00621357" w:rsidRPr="00621357" w:rsidRDefault="00621357" w:rsidP="00621357">
            <w:pPr>
              <w:spacing w:after="160" w:line="259" w:lineRule="auto"/>
              <w:rPr>
                <w:rFonts w:ascii="Arial" w:hAnsi="Arial" w:cs="Arial"/>
                <w:b/>
                <w:sz w:val="22"/>
                <w:szCs w:val="22"/>
                <w:lang w:val="sr-Latn-ME" w:eastAsia="en-US"/>
              </w:rPr>
            </w:pPr>
          </w:p>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b/>
                <w:sz w:val="22"/>
                <w:szCs w:val="22"/>
                <w:lang w:val="sr-Latn-ME" w:eastAsia="en-US"/>
              </w:rPr>
              <w:t>100%</w:t>
            </w:r>
          </w:p>
        </w:tc>
        <w:tc>
          <w:tcPr>
            <w:tcW w:w="1746" w:type="dxa"/>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Ciljana vrijednost u 2028:</w:t>
            </w:r>
          </w:p>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b/>
                <w:sz w:val="22"/>
                <w:szCs w:val="22"/>
                <w:lang w:val="sr-Latn-ME" w:eastAsia="en-US"/>
              </w:rPr>
              <w:t>100%</w:t>
            </w:r>
          </w:p>
        </w:tc>
      </w:tr>
      <w:tr w:rsidR="00621357" w:rsidRPr="00621357" w:rsidTr="007904C2">
        <w:tc>
          <w:tcPr>
            <w:tcW w:w="2540" w:type="dxa"/>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Mjere povezane sa operativnim ciljem 4</w:t>
            </w:r>
          </w:p>
        </w:tc>
        <w:tc>
          <w:tcPr>
            <w:tcW w:w="1932" w:type="dxa"/>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Aktivnost</w:t>
            </w:r>
          </w:p>
        </w:tc>
        <w:tc>
          <w:tcPr>
            <w:tcW w:w="2039" w:type="dxa"/>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Indikator učinka</w:t>
            </w:r>
          </w:p>
        </w:tc>
        <w:tc>
          <w:tcPr>
            <w:tcW w:w="1818" w:type="dxa"/>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Odgovorna institucija</w:t>
            </w:r>
          </w:p>
        </w:tc>
        <w:tc>
          <w:tcPr>
            <w:tcW w:w="1273" w:type="dxa"/>
            <w:gridSpan w:val="4"/>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Datum početka</w:t>
            </w:r>
          </w:p>
        </w:tc>
        <w:tc>
          <w:tcPr>
            <w:tcW w:w="1373" w:type="dxa"/>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Datum završetka</w:t>
            </w:r>
          </w:p>
        </w:tc>
        <w:tc>
          <w:tcPr>
            <w:tcW w:w="2589" w:type="dxa"/>
            <w:gridSpan w:val="3"/>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Predviđeni troškovi</w:t>
            </w:r>
          </w:p>
        </w:tc>
        <w:tc>
          <w:tcPr>
            <w:tcW w:w="1746" w:type="dxa"/>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Izvor finansiranja</w:t>
            </w:r>
          </w:p>
        </w:tc>
      </w:tr>
      <w:tr w:rsidR="00621357" w:rsidRPr="00621357" w:rsidTr="007904C2">
        <w:tc>
          <w:tcPr>
            <w:tcW w:w="2540" w:type="dxa"/>
          </w:tcPr>
          <w:p w:rsidR="00621357" w:rsidRPr="00621357" w:rsidRDefault="00621357" w:rsidP="00621357">
            <w:pPr>
              <w:spacing w:after="160" w:line="259" w:lineRule="auto"/>
              <w:rPr>
                <w:rFonts w:ascii="Arial" w:hAnsi="Arial" w:cs="Arial"/>
                <w:sz w:val="22"/>
                <w:szCs w:val="22"/>
                <w:lang w:val="sr-Latn-ME" w:eastAsia="en-US"/>
              </w:rPr>
            </w:pPr>
            <w:bookmarkStart w:id="37" w:name="_Hlk194044338"/>
            <w:r w:rsidRPr="00621357">
              <w:rPr>
                <w:rFonts w:ascii="Arial" w:hAnsi="Arial" w:cs="Arial"/>
                <w:sz w:val="22"/>
                <w:szCs w:val="22"/>
                <w:lang w:val="sr-Latn-ME" w:eastAsia="en-US"/>
              </w:rPr>
              <w:t xml:space="preserve">5.1 Unaprjeđenje saradnje jasnim definisanjem mehanizama i odgovornosti za saradnju sa OLAF-om i Direkcijom za zaštitu finansijskih interesa EU/AFCOS </w:t>
            </w:r>
          </w:p>
          <w:p w:rsidR="00621357" w:rsidRPr="00621357" w:rsidRDefault="00621357" w:rsidP="00621357">
            <w:pPr>
              <w:spacing w:after="160" w:line="259" w:lineRule="auto"/>
              <w:rPr>
                <w:rFonts w:ascii="Arial" w:hAnsi="Arial" w:cs="Arial"/>
                <w:sz w:val="22"/>
                <w:szCs w:val="22"/>
                <w:lang w:val="sr-Latn-ME" w:eastAsia="en-US"/>
              </w:rPr>
            </w:pPr>
          </w:p>
        </w:tc>
        <w:tc>
          <w:tcPr>
            <w:tcW w:w="1932"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 xml:space="preserve">Izrada procedura o postupanju u slučaju posjete OLAF-ovih inspektora i saradnja nacionalnih tijela sa AFCOS kancelarijom </w:t>
            </w:r>
          </w:p>
          <w:p w:rsidR="00621357" w:rsidRPr="00621357" w:rsidRDefault="00621357" w:rsidP="00621357">
            <w:pPr>
              <w:spacing w:after="160" w:line="259" w:lineRule="auto"/>
              <w:rPr>
                <w:rFonts w:ascii="Arial" w:hAnsi="Arial" w:cs="Arial"/>
                <w:sz w:val="22"/>
                <w:szCs w:val="22"/>
                <w:lang w:val="sr-Latn-ME" w:eastAsia="en-US"/>
              </w:rPr>
            </w:pPr>
          </w:p>
        </w:tc>
        <w:tc>
          <w:tcPr>
            <w:tcW w:w="2039"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Procedure za postupanje u slučaju posjete OLAF-ovih istražitelja i saradnja nacionalnih tijela sa AFCOS kancelarijom izrađene.</w:t>
            </w:r>
          </w:p>
          <w:p w:rsidR="00621357" w:rsidRPr="00621357" w:rsidRDefault="00621357" w:rsidP="00621357">
            <w:pPr>
              <w:spacing w:after="160" w:line="259" w:lineRule="auto"/>
              <w:rPr>
                <w:rFonts w:ascii="Arial" w:hAnsi="Arial" w:cs="Arial"/>
                <w:sz w:val="22"/>
                <w:szCs w:val="22"/>
                <w:lang w:val="sr-Latn-ME" w:eastAsia="en-US"/>
              </w:rPr>
            </w:pPr>
          </w:p>
          <w:p w:rsidR="00621357" w:rsidRPr="00621357" w:rsidRDefault="00621357" w:rsidP="00621357">
            <w:pPr>
              <w:spacing w:after="160" w:line="259" w:lineRule="auto"/>
              <w:rPr>
                <w:rFonts w:ascii="Arial" w:hAnsi="Arial" w:cs="Arial"/>
                <w:sz w:val="22"/>
                <w:szCs w:val="22"/>
                <w:lang w:val="sr-Latn-ME" w:eastAsia="en-US"/>
              </w:rPr>
            </w:pPr>
          </w:p>
        </w:tc>
        <w:tc>
          <w:tcPr>
            <w:tcW w:w="1854" w:type="dxa"/>
            <w:gridSpan w:val="2"/>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Direkcija za zaštitu finansijskih interesa EU/AFCOS</w:t>
            </w:r>
          </w:p>
        </w:tc>
        <w:tc>
          <w:tcPr>
            <w:tcW w:w="1237"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IQ 2026</w:t>
            </w:r>
          </w:p>
        </w:tc>
        <w:tc>
          <w:tcPr>
            <w:tcW w:w="1373"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IVQ 2026</w:t>
            </w:r>
          </w:p>
        </w:tc>
        <w:tc>
          <w:tcPr>
            <w:tcW w:w="2589"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Ova aktivnost će biti implementirana od strane odgovorne institucije u okviru postojećeg budžeta.</w:t>
            </w:r>
          </w:p>
        </w:tc>
        <w:tc>
          <w:tcPr>
            <w:tcW w:w="1746"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Ministarstvo finansija</w:t>
            </w:r>
          </w:p>
        </w:tc>
      </w:tr>
      <w:bookmarkEnd w:id="37"/>
      <w:tr w:rsidR="00621357" w:rsidRPr="00621357" w:rsidTr="007904C2">
        <w:tc>
          <w:tcPr>
            <w:tcW w:w="2540" w:type="dxa"/>
            <w:shd w:val="clear" w:color="auto" w:fill="DEEAF6" w:themeFill="accent1" w:themeFillTint="33"/>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Operativni cilj 6</w:t>
            </w:r>
          </w:p>
        </w:tc>
        <w:tc>
          <w:tcPr>
            <w:tcW w:w="12770" w:type="dxa"/>
            <w:gridSpan w:val="12"/>
            <w:shd w:val="clear" w:color="auto" w:fill="DEEAF6" w:themeFill="accent1" w:themeFillTint="33"/>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Unaprjeđenje kapaciteta za osiguranje efikasnih i efektivnih povraćaja nepravilno utrošenih sredstava</w:t>
            </w:r>
          </w:p>
          <w:p w:rsidR="00621357" w:rsidRPr="00621357" w:rsidRDefault="00621357" w:rsidP="00621357">
            <w:pPr>
              <w:spacing w:after="160" w:line="259" w:lineRule="auto"/>
              <w:rPr>
                <w:rFonts w:ascii="Arial" w:hAnsi="Arial" w:cs="Arial"/>
                <w:b/>
                <w:sz w:val="22"/>
                <w:szCs w:val="22"/>
                <w:lang w:val="sr-Latn-ME" w:eastAsia="en-US"/>
              </w:rPr>
            </w:pPr>
          </w:p>
          <w:p w:rsidR="00621357" w:rsidRPr="00621357" w:rsidRDefault="00621357" w:rsidP="00621357">
            <w:pPr>
              <w:spacing w:after="160" w:line="259" w:lineRule="auto"/>
              <w:rPr>
                <w:rFonts w:ascii="Arial" w:hAnsi="Arial" w:cs="Arial"/>
                <w:b/>
                <w:sz w:val="22"/>
                <w:szCs w:val="22"/>
                <w:lang w:val="sr-Latn-ME" w:eastAsia="en-US"/>
              </w:rPr>
            </w:pPr>
          </w:p>
          <w:p w:rsidR="00621357" w:rsidRPr="00621357" w:rsidRDefault="00621357" w:rsidP="00621357">
            <w:pPr>
              <w:spacing w:after="160" w:line="259" w:lineRule="auto"/>
              <w:rPr>
                <w:rFonts w:ascii="Arial" w:hAnsi="Arial" w:cs="Arial"/>
                <w:b/>
                <w:sz w:val="22"/>
                <w:szCs w:val="22"/>
                <w:lang w:val="sr-Latn-ME" w:eastAsia="en-US"/>
              </w:rPr>
            </w:pPr>
          </w:p>
        </w:tc>
      </w:tr>
      <w:tr w:rsidR="00621357" w:rsidRPr="00621357" w:rsidTr="007904C2">
        <w:tc>
          <w:tcPr>
            <w:tcW w:w="2540" w:type="dxa"/>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Indikator uspjeha 6.1</w:t>
            </w:r>
          </w:p>
        </w:tc>
        <w:tc>
          <w:tcPr>
            <w:tcW w:w="7062" w:type="dxa"/>
            <w:gridSpan w:val="7"/>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Stopa povraćaja nepravilno utrošenih sredstava</w:t>
            </w:r>
          </w:p>
          <w:p w:rsidR="00621357" w:rsidRPr="00621357" w:rsidRDefault="00621357" w:rsidP="00621357">
            <w:pPr>
              <w:spacing w:after="160" w:line="259" w:lineRule="auto"/>
              <w:rPr>
                <w:rFonts w:ascii="Arial" w:hAnsi="Arial" w:cs="Arial"/>
                <w:sz w:val="22"/>
                <w:szCs w:val="22"/>
                <w:lang w:val="sr-Latn-ME" w:eastAsia="en-US"/>
              </w:rPr>
            </w:pPr>
          </w:p>
        </w:tc>
        <w:tc>
          <w:tcPr>
            <w:tcW w:w="1373" w:type="dxa"/>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 xml:space="preserve">Početna vrijednost u 2024: </w:t>
            </w:r>
          </w:p>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b/>
                <w:sz w:val="22"/>
                <w:szCs w:val="22"/>
                <w:lang w:val="sr-Latn-ME" w:eastAsia="en-US"/>
              </w:rPr>
              <w:t>43%</w:t>
            </w:r>
          </w:p>
        </w:tc>
        <w:tc>
          <w:tcPr>
            <w:tcW w:w="2589" w:type="dxa"/>
            <w:gridSpan w:val="3"/>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Ciljana vrijednost u 2026:</w:t>
            </w:r>
          </w:p>
          <w:p w:rsidR="00621357" w:rsidRPr="00621357" w:rsidRDefault="00621357" w:rsidP="00621357">
            <w:pPr>
              <w:spacing w:after="160" w:line="259" w:lineRule="auto"/>
              <w:rPr>
                <w:rFonts w:ascii="Arial" w:hAnsi="Arial" w:cs="Arial"/>
                <w:b/>
                <w:sz w:val="22"/>
                <w:szCs w:val="22"/>
                <w:lang w:val="sr-Latn-ME" w:eastAsia="en-US"/>
              </w:rPr>
            </w:pPr>
          </w:p>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b/>
                <w:sz w:val="22"/>
                <w:szCs w:val="22"/>
                <w:lang w:val="sr-Latn-ME" w:eastAsia="en-US"/>
              </w:rPr>
              <w:t>60%</w:t>
            </w:r>
          </w:p>
        </w:tc>
        <w:tc>
          <w:tcPr>
            <w:tcW w:w="1746" w:type="dxa"/>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Ciljana vrijednost u 2028:</w:t>
            </w:r>
          </w:p>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b/>
                <w:sz w:val="22"/>
                <w:szCs w:val="22"/>
                <w:lang w:val="sr-Latn-ME" w:eastAsia="en-US"/>
              </w:rPr>
              <w:t>75%</w:t>
            </w:r>
          </w:p>
        </w:tc>
      </w:tr>
      <w:tr w:rsidR="00621357" w:rsidRPr="00621357" w:rsidTr="007904C2">
        <w:tc>
          <w:tcPr>
            <w:tcW w:w="2540" w:type="dxa"/>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Mjere povezane sa operativnim ciljem 4</w:t>
            </w:r>
          </w:p>
        </w:tc>
        <w:tc>
          <w:tcPr>
            <w:tcW w:w="1932" w:type="dxa"/>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Aktivnost</w:t>
            </w:r>
          </w:p>
        </w:tc>
        <w:tc>
          <w:tcPr>
            <w:tcW w:w="2039" w:type="dxa"/>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Indikator učinka</w:t>
            </w:r>
          </w:p>
        </w:tc>
        <w:tc>
          <w:tcPr>
            <w:tcW w:w="1854" w:type="dxa"/>
            <w:gridSpan w:val="2"/>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Odgovorna institucija</w:t>
            </w:r>
          </w:p>
        </w:tc>
        <w:tc>
          <w:tcPr>
            <w:tcW w:w="1237" w:type="dxa"/>
            <w:gridSpan w:val="3"/>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Datum početka</w:t>
            </w:r>
          </w:p>
        </w:tc>
        <w:tc>
          <w:tcPr>
            <w:tcW w:w="1373" w:type="dxa"/>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Datum završetka</w:t>
            </w:r>
          </w:p>
        </w:tc>
        <w:tc>
          <w:tcPr>
            <w:tcW w:w="2589" w:type="dxa"/>
            <w:gridSpan w:val="3"/>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Predviđeni troškovi</w:t>
            </w:r>
          </w:p>
        </w:tc>
        <w:tc>
          <w:tcPr>
            <w:tcW w:w="1746" w:type="dxa"/>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Izvor finansiranja</w:t>
            </w:r>
          </w:p>
        </w:tc>
      </w:tr>
      <w:tr w:rsidR="00621357" w:rsidRPr="00621357" w:rsidTr="007904C2">
        <w:tc>
          <w:tcPr>
            <w:tcW w:w="2540"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6.1 Analiza uzroka niske stope povraćaja sredstava i naredne korektivne akcije</w:t>
            </w:r>
          </w:p>
        </w:tc>
        <w:tc>
          <w:tcPr>
            <w:tcW w:w="1932"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Sprovesti analizu uzroka niske stope povraćaja sredstava iz dosadašnjih implementiranih projekata</w:t>
            </w:r>
          </w:p>
        </w:tc>
        <w:tc>
          <w:tcPr>
            <w:tcW w:w="2039"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Analiza uzroka niske stope povraćaja sprovedena</w:t>
            </w:r>
          </w:p>
        </w:tc>
        <w:tc>
          <w:tcPr>
            <w:tcW w:w="1854" w:type="dxa"/>
            <w:gridSpan w:val="2"/>
          </w:tcPr>
          <w:p w:rsidR="00621357" w:rsidRPr="00621357" w:rsidRDefault="00621357" w:rsidP="00621357">
            <w:pPr>
              <w:spacing w:after="160" w:line="259" w:lineRule="auto"/>
              <w:rPr>
                <w:rFonts w:ascii="Arial" w:hAnsi="Arial" w:cs="Arial"/>
                <w:sz w:val="22"/>
                <w:szCs w:val="22"/>
                <w:lang w:val="sr-Latn-RS" w:eastAsia="en-US"/>
              </w:rPr>
            </w:pPr>
            <w:r w:rsidRPr="00621357">
              <w:rPr>
                <w:rFonts w:ascii="Arial" w:hAnsi="Arial" w:cs="Arial"/>
                <w:sz w:val="22"/>
                <w:szCs w:val="22"/>
                <w:lang w:val="sr-Latn-RS" w:eastAsia="en-US"/>
              </w:rPr>
              <w:t>Direktorat za upravljanje strukturama pretpristupne podrške EU</w:t>
            </w:r>
          </w:p>
          <w:p w:rsidR="00621357" w:rsidRPr="00621357" w:rsidRDefault="00621357" w:rsidP="00621357">
            <w:pPr>
              <w:spacing w:after="160" w:line="259" w:lineRule="auto"/>
              <w:rPr>
                <w:rFonts w:ascii="Arial" w:hAnsi="Arial" w:cs="Arial"/>
                <w:sz w:val="22"/>
                <w:szCs w:val="22"/>
                <w:lang w:val="sr-Latn-ME" w:eastAsia="en-US"/>
              </w:rPr>
            </w:pPr>
          </w:p>
        </w:tc>
        <w:tc>
          <w:tcPr>
            <w:tcW w:w="1237"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IIIQ 2026</w:t>
            </w:r>
          </w:p>
        </w:tc>
        <w:tc>
          <w:tcPr>
            <w:tcW w:w="1373"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IVQ 2026</w:t>
            </w:r>
          </w:p>
        </w:tc>
        <w:tc>
          <w:tcPr>
            <w:tcW w:w="2589"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Ova aktivnost će biti implementirana od strane odgovorne institucije u okviru postojećeg budžeta.</w:t>
            </w:r>
          </w:p>
        </w:tc>
        <w:tc>
          <w:tcPr>
            <w:tcW w:w="1746"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Ministarstvo finansija</w:t>
            </w:r>
          </w:p>
        </w:tc>
      </w:tr>
      <w:tr w:rsidR="00621357" w:rsidRPr="00621357" w:rsidTr="007904C2">
        <w:tc>
          <w:tcPr>
            <w:tcW w:w="15310" w:type="dxa"/>
            <w:gridSpan w:val="13"/>
            <w:shd w:val="clear" w:color="auto" w:fill="ACB9CA" w:themeFill="text2" w:themeFillTint="66"/>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KOMUNIKACIRANJE REFORMSKIH AKTIVNOSTI</w:t>
            </w:r>
          </w:p>
        </w:tc>
      </w:tr>
      <w:tr w:rsidR="00621357" w:rsidRPr="00621357" w:rsidTr="007904C2">
        <w:tc>
          <w:tcPr>
            <w:tcW w:w="2540" w:type="dxa"/>
            <w:shd w:val="clear" w:color="auto" w:fill="9CC2E5" w:themeFill="accent1" w:themeFillTint="99"/>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b/>
                <w:sz w:val="22"/>
                <w:szCs w:val="22"/>
                <w:lang w:val="sr-Latn-ME" w:eastAsia="en-US"/>
              </w:rPr>
              <w:t xml:space="preserve">Mjere </w:t>
            </w:r>
          </w:p>
        </w:tc>
        <w:tc>
          <w:tcPr>
            <w:tcW w:w="1932" w:type="dxa"/>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Aktivnost</w:t>
            </w:r>
          </w:p>
        </w:tc>
        <w:tc>
          <w:tcPr>
            <w:tcW w:w="2039" w:type="dxa"/>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Indikator učinka</w:t>
            </w:r>
          </w:p>
        </w:tc>
        <w:tc>
          <w:tcPr>
            <w:tcW w:w="1854" w:type="dxa"/>
            <w:gridSpan w:val="2"/>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Odgovorna institucija</w:t>
            </w:r>
          </w:p>
        </w:tc>
        <w:tc>
          <w:tcPr>
            <w:tcW w:w="1203" w:type="dxa"/>
            <w:gridSpan w:val="2"/>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Datum početka</w:t>
            </w:r>
          </w:p>
        </w:tc>
        <w:tc>
          <w:tcPr>
            <w:tcW w:w="1407" w:type="dxa"/>
            <w:gridSpan w:val="2"/>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Datum završetka</w:t>
            </w:r>
          </w:p>
        </w:tc>
        <w:tc>
          <w:tcPr>
            <w:tcW w:w="2589" w:type="dxa"/>
            <w:gridSpan w:val="3"/>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Predviđeni troškovi</w:t>
            </w:r>
          </w:p>
        </w:tc>
        <w:tc>
          <w:tcPr>
            <w:tcW w:w="1746" w:type="dxa"/>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Izvor finansiranja</w:t>
            </w:r>
          </w:p>
        </w:tc>
      </w:tr>
      <w:tr w:rsidR="00621357" w:rsidRPr="00621357" w:rsidTr="007904C2">
        <w:tc>
          <w:tcPr>
            <w:tcW w:w="2540"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1.Usvajanje IPA III komunikacione strategije</w:t>
            </w:r>
          </w:p>
        </w:tc>
        <w:tc>
          <w:tcPr>
            <w:tcW w:w="1932"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Promovisanje značaja Strategije i ostvaraenih ciljeva, kroz aktivnosti predviđene ovom strategijom</w:t>
            </w:r>
          </w:p>
        </w:tc>
        <w:tc>
          <w:tcPr>
            <w:tcW w:w="2039"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Podizanje svijesti o značaju realizacije ciljeva Strategije</w:t>
            </w:r>
          </w:p>
        </w:tc>
        <w:tc>
          <w:tcPr>
            <w:tcW w:w="1854" w:type="dxa"/>
            <w:gridSpan w:val="2"/>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Ministarstvo evropskih poslova</w:t>
            </w:r>
          </w:p>
        </w:tc>
        <w:tc>
          <w:tcPr>
            <w:tcW w:w="1203" w:type="dxa"/>
            <w:gridSpan w:val="2"/>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 Q 2025</w:t>
            </w:r>
          </w:p>
        </w:tc>
        <w:tc>
          <w:tcPr>
            <w:tcW w:w="1407" w:type="dxa"/>
            <w:gridSpan w:val="2"/>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IV Q 2028</w:t>
            </w:r>
          </w:p>
        </w:tc>
        <w:tc>
          <w:tcPr>
            <w:tcW w:w="2589"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Ova aktivnost će biti implementirana od strane odgovorne institucije u okviru postojećeg budžeta.</w:t>
            </w:r>
          </w:p>
        </w:tc>
        <w:tc>
          <w:tcPr>
            <w:tcW w:w="1746"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Ministarstvo evropskih poslova</w:t>
            </w:r>
          </w:p>
        </w:tc>
      </w:tr>
      <w:tr w:rsidR="00621357" w:rsidRPr="00621357" w:rsidTr="007904C2">
        <w:tc>
          <w:tcPr>
            <w:tcW w:w="2540"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2.Organizovanje seminara u svrhu promocije Strateškog dokumenta</w:t>
            </w:r>
          </w:p>
        </w:tc>
        <w:tc>
          <w:tcPr>
            <w:tcW w:w="1932"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Organizovati seminare na kojima će se promovisati Strategija i Akcioni plan i obrađivati teme od značaja za uspješnu realizaciju definisanih ciljeva</w:t>
            </w:r>
          </w:p>
        </w:tc>
        <w:tc>
          <w:tcPr>
            <w:tcW w:w="2039"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Podizanje svijesti o značaju realizacije ciljeva Strategije</w:t>
            </w:r>
          </w:p>
        </w:tc>
        <w:tc>
          <w:tcPr>
            <w:tcW w:w="1854" w:type="dxa"/>
            <w:gridSpan w:val="2"/>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Ministarstvo finansija</w:t>
            </w:r>
          </w:p>
        </w:tc>
        <w:tc>
          <w:tcPr>
            <w:tcW w:w="1203" w:type="dxa"/>
            <w:gridSpan w:val="2"/>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 Q 2025</w:t>
            </w:r>
          </w:p>
        </w:tc>
        <w:tc>
          <w:tcPr>
            <w:tcW w:w="1407" w:type="dxa"/>
            <w:gridSpan w:val="2"/>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IV Q 2028</w:t>
            </w:r>
          </w:p>
        </w:tc>
        <w:tc>
          <w:tcPr>
            <w:tcW w:w="2589"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Predviđeni troškovi kroz aktivnosti navedene ovim Akcionim planom</w:t>
            </w:r>
          </w:p>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(2000,00EUR)</w:t>
            </w:r>
          </w:p>
        </w:tc>
        <w:tc>
          <w:tcPr>
            <w:tcW w:w="1746"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Ministarstvo finansija</w:t>
            </w:r>
          </w:p>
        </w:tc>
      </w:tr>
      <w:tr w:rsidR="00621357" w:rsidRPr="00621357" w:rsidTr="007904C2">
        <w:tc>
          <w:tcPr>
            <w:tcW w:w="2540"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3.Unaprijeđenje vidljivosti kroz pojačanu saradnju sa PR službom u skladu sa internim pravilima komunikacije sa javnošću</w:t>
            </w:r>
          </w:p>
        </w:tc>
        <w:tc>
          <w:tcPr>
            <w:tcW w:w="1932"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Promovisanje preko društvenih mreža</w:t>
            </w:r>
          </w:p>
        </w:tc>
        <w:tc>
          <w:tcPr>
            <w:tcW w:w="2039"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Podizanje svijesti o značaju realizacije ciljeva Strategije</w:t>
            </w:r>
          </w:p>
        </w:tc>
        <w:tc>
          <w:tcPr>
            <w:tcW w:w="1854" w:type="dxa"/>
            <w:gridSpan w:val="2"/>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Ministarstvo finansija</w:t>
            </w:r>
          </w:p>
        </w:tc>
        <w:tc>
          <w:tcPr>
            <w:tcW w:w="1203" w:type="dxa"/>
            <w:gridSpan w:val="2"/>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 Q 2025</w:t>
            </w:r>
          </w:p>
        </w:tc>
        <w:tc>
          <w:tcPr>
            <w:tcW w:w="1407" w:type="dxa"/>
            <w:gridSpan w:val="2"/>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IV Q 2026</w:t>
            </w:r>
          </w:p>
        </w:tc>
        <w:tc>
          <w:tcPr>
            <w:tcW w:w="2589"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Ova aktivnost će biti implementirana od strane odgovorne institucije u okviru postojećeg budžeta</w:t>
            </w:r>
          </w:p>
        </w:tc>
        <w:tc>
          <w:tcPr>
            <w:tcW w:w="1746"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Ministarstvo finansija</w:t>
            </w:r>
          </w:p>
        </w:tc>
      </w:tr>
      <w:tr w:rsidR="00621357" w:rsidRPr="00621357" w:rsidTr="007904C2">
        <w:tc>
          <w:tcPr>
            <w:tcW w:w="2540"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 xml:space="preserve">4.Razviti komunikacionu strategiju za oblast zaštite finansijskih interesa EU </w:t>
            </w:r>
          </w:p>
        </w:tc>
        <w:tc>
          <w:tcPr>
            <w:tcW w:w="1932"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Usvojiti komunikacionu strategiju za oblast zaštite finansijskih interesa EU</w:t>
            </w:r>
          </w:p>
        </w:tc>
        <w:tc>
          <w:tcPr>
            <w:tcW w:w="2039"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Usvojena komunikaciona strategija za period 2026-2028</w:t>
            </w:r>
          </w:p>
        </w:tc>
        <w:tc>
          <w:tcPr>
            <w:tcW w:w="1854" w:type="dxa"/>
            <w:gridSpan w:val="2"/>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Direkcija za zaštitu finansijskih interesa EU/AFCOS</w:t>
            </w:r>
          </w:p>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Ministarstvo finansija</w:t>
            </w:r>
          </w:p>
        </w:tc>
        <w:tc>
          <w:tcPr>
            <w:tcW w:w="1203" w:type="dxa"/>
            <w:gridSpan w:val="2"/>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II Q 2025</w:t>
            </w:r>
          </w:p>
        </w:tc>
        <w:tc>
          <w:tcPr>
            <w:tcW w:w="1407" w:type="dxa"/>
            <w:gridSpan w:val="2"/>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IV Q 2026</w:t>
            </w:r>
          </w:p>
        </w:tc>
        <w:tc>
          <w:tcPr>
            <w:tcW w:w="2589"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Ova aktivnost će biti implementirana od strane odgovorne institucije u okviru postojećeg budžeta.</w:t>
            </w:r>
          </w:p>
        </w:tc>
        <w:tc>
          <w:tcPr>
            <w:tcW w:w="1746"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Ministarstvo finansija</w:t>
            </w:r>
          </w:p>
        </w:tc>
      </w:tr>
      <w:tr w:rsidR="00621357" w:rsidRPr="00621357" w:rsidTr="007904C2">
        <w:tc>
          <w:tcPr>
            <w:tcW w:w="15310" w:type="dxa"/>
            <w:gridSpan w:val="13"/>
            <w:shd w:val="clear" w:color="auto" w:fill="DEEAF6" w:themeFill="accent1" w:themeFillTint="33"/>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Presjek stanja nakon 2 godine</w:t>
            </w:r>
          </w:p>
        </w:tc>
      </w:tr>
      <w:tr w:rsidR="00621357" w:rsidRPr="00621357" w:rsidTr="007904C2">
        <w:tc>
          <w:tcPr>
            <w:tcW w:w="4472" w:type="dxa"/>
            <w:gridSpan w:val="2"/>
            <w:shd w:val="clear" w:color="auto" w:fill="9CC2E5" w:themeFill="accent1" w:themeFillTint="99"/>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Aktivnost</w:t>
            </w:r>
          </w:p>
        </w:tc>
        <w:tc>
          <w:tcPr>
            <w:tcW w:w="2039" w:type="dxa"/>
            <w:shd w:val="clear" w:color="auto" w:fill="9CC2E5" w:themeFill="accent1" w:themeFillTint="99"/>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b/>
                <w:sz w:val="22"/>
                <w:szCs w:val="22"/>
                <w:lang w:val="sr-Latn-ME" w:eastAsia="en-US"/>
              </w:rPr>
              <w:t>Indikator učinka</w:t>
            </w:r>
          </w:p>
        </w:tc>
        <w:tc>
          <w:tcPr>
            <w:tcW w:w="1854" w:type="dxa"/>
            <w:gridSpan w:val="2"/>
            <w:shd w:val="clear" w:color="auto" w:fill="9CC2E5" w:themeFill="accent1" w:themeFillTint="99"/>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b/>
                <w:sz w:val="22"/>
                <w:szCs w:val="22"/>
                <w:lang w:val="sr-Latn-ME" w:eastAsia="en-US"/>
              </w:rPr>
              <w:t>Odgovorna institucija</w:t>
            </w:r>
          </w:p>
        </w:tc>
        <w:tc>
          <w:tcPr>
            <w:tcW w:w="1237" w:type="dxa"/>
            <w:gridSpan w:val="3"/>
            <w:shd w:val="clear" w:color="auto" w:fill="9CC2E5" w:themeFill="accent1" w:themeFillTint="99"/>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b/>
                <w:sz w:val="22"/>
                <w:szCs w:val="22"/>
                <w:lang w:val="sr-Latn-ME" w:eastAsia="en-US"/>
              </w:rPr>
              <w:t>Datum početka</w:t>
            </w:r>
          </w:p>
        </w:tc>
        <w:tc>
          <w:tcPr>
            <w:tcW w:w="1373" w:type="dxa"/>
            <w:shd w:val="clear" w:color="auto" w:fill="9CC2E5" w:themeFill="accent1" w:themeFillTint="99"/>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b/>
                <w:sz w:val="22"/>
                <w:szCs w:val="22"/>
                <w:lang w:val="sr-Latn-ME" w:eastAsia="en-US"/>
              </w:rPr>
              <w:t>Datum završetka</w:t>
            </w:r>
          </w:p>
        </w:tc>
        <w:tc>
          <w:tcPr>
            <w:tcW w:w="2589" w:type="dxa"/>
            <w:gridSpan w:val="3"/>
            <w:shd w:val="clear" w:color="auto" w:fill="9CC2E5" w:themeFill="accent1" w:themeFillTint="99"/>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b/>
                <w:sz w:val="22"/>
                <w:szCs w:val="22"/>
                <w:lang w:val="sr-Latn-ME" w:eastAsia="en-US"/>
              </w:rPr>
              <w:t>Predviđeni troškovi</w:t>
            </w:r>
          </w:p>
        </w:tc>
        <w:tc>
          <w:tcPr>
            <w:tcW w:w="1746" w:type="dxa"/>
            <w:shd w:val="clear" w:color="auto" w:fill="9CC2E5" w:themeFill="accent1" w:themeFillTint="99"/>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b/>
                <w:sz w:val="22"/>
                <w:szCs w:val="22"/>
                <w:lang w:val="sr-Latn-ME" w:eastAsia="en-US"/>
              </w:rPr>
              <w:t>Izvor finansiranja</w:t>
            </w:r>
          </w:p>
        </w:tc>
      </w:tr>
      <w:tr w:rsidR="00621357" w:rsidRPr="00621357" w:rsidTr="007904C2">
        <w:tc>
          <w:tcPr>
            <w:tcW w:w="4472" w:type="dxa"/>
            <w:gridSpan w:val="2"/>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Izrada Akcionog plana za period 2027-2028</w:t>
            </w:r>
          </w:p>
        </w:tc>
        <w:tc>
          <w:tcPr>
            <w:tcW w:w="2039"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Akcioni plan 2027-2028 izrađen</w:t>
            </w:r>
          </w:p>
        </w:tc>
        <w:tc>
          <w:tcPr>
            <w:tcW w:w="1854" w:type="dxa"/>
            <w:gridSpan w:val="2"/>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Direkcija za zaštitu finansijskih interesa EU/AFCOS</w:t>
            </w:r>
          </w:p>
        </w:tc>
        <w:tc>
          <w:tcPr>
            <w:tcW w:w="1237"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IIIQ 2026</w:t>
            </w:r>
          </w:p>
        </w:tc>
        <w:tc>
          <w:tcPr>
            <w:tcW w:w="1373"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IVQ 2026</w:t>
            </w:r>
          </w:p>
        </w:tc>
        <w:tc>
          <w:tcPr>
            <w:tcW w:w="2589"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Ova aktivnost će biti implementirana od strane odgovorne institucije u okviru postojećeg budžeta.</w:t>
            </w:r>
          </w:p>
        </w:tc>
        <w:tc>
          <w:tcPr>
            <w:tcW w:w="1746"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Ministarstvo finansija</w:t>
            </w:r>
          </w:p>
        </w:tc>
      </w:tr>
      <w:tr w:rsidR="00621357" w:rsidRPr="00621357" w:rsidTr="007904C2">
        <w:tc>
          <w:tcPr>
            <w:tcW w:w="15310" w:type="dxa"/>
            <w:gridSpan w:val="13"/>
            <w:shd w:val="clear" w:color="auto" w:fill="DEEAF6" w:themeFill="accent1" w:themeFillTint="33"/>
          </w:tcPr>
          <w:p w:rsidR="00621357" w:rsidRPr="00621357" w:rsidRDefault="00621357" w:rsidP="00621357">
            <w:pPr>
              <w:spacing w:after="160" w:line="259" w:lineRule="auto"/>
              <w:rPr>
                <w:rFonts w:ascii="Arial" w:hAnsi="Arial" w:cs="Arial"/>
                <w:b/>
                <w:sz w:val="22"/>
                <w:szCs w:val="22"/>
                <w:lang w:val="sr-Latn-ME" w:eastAsia="en-US"/>
              </w:rPr>
            </w:pPr>
            <w:r w:rsidRPr="00621357">
              <w:rPr>
                <w:rFonts w:ascii="Arial" w:hAnsi="Arial" w:cs="Arial"/>
                <w:b/>
                <w:sz w:val="22"/>
                <w:szCs w:val="22"/>
                <w:lang w:val="sr-Latn-ME" w:eastAsia="en-US"/>
              </w:rPr>
              <w:t>Evaluacija Strategije na kraju perioda važenja</w:t>
            </w:r>
          </w:p>
        </w:tc>
      </w:tr>
      <w:tr w:rsidR="00621357" w:rsidRPr="00621357" w:rsidTr="007904C2">
        <w:tc>
          <w:tcPr>
            <w:tcW w:w="4472" w:type="dxa"/>
            <w:gridSpan w:val="2"/>
            <w:shd w:val="clear" w:color="auto" w:fill="9CC2E5" w:themeFill="accent1" w:themeFillTint="99"/>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b/>
                <w:sz w:val="22"/>
                <w:szCs w:val="22"/>
                <w:lang w:val="sr-Latn-ME" w:eastAsia="en-US"/>
              </w:rPr>
              <w:t>Aktivnost</w:t>
            </w:r>
          </w:p>
        </w:tc>
        <w:tc>
          <w:tcPr>
            <w:tcW w:w="2039" w:type="dxa"/>
            <w:shd w:val="clear" w:color="auto" w:fill="9CC2E5" w:themeFill="accent1" w:themeFillTint="99"/>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b/>
                <w:sz w:val="22"/>
                <w:szCs w:val="22"/>
                <w:lang w:val="sr-Latn-ME" w:eastAsia="en-US"/>
              </w:rPr>
              <w:t>Indikator učinka</w:t>
            </w:r>
          </w:p>
        </w:tc>
        <w:tc>
          <w:tcPr>
            <w:tcW w:w="1854" w:type="dxa"/>
            <w:gridSpan w:val="2"/>
            <w:shd w:val="clear" w:color="auto" w:fill="9CC2E5" w:themeFill="accent1" w:themeFillTint="99"/>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b/>
                <w:sz w:val="22"/>
                <w:szCs w:val="22"/>
                <w:lang w:val="sr-Latn-ME" w:eastAsia="en-US"/>
              </w:rPr>
              <w:t>Odgovorna institucija</w:t>
            </w:r>
          </w:p>
        </w:tc>
        <w:tc>
          <w:tcPr>
            <w:tcW w:w="1237" w:type="dxa"/>
            <w:gridSpan w:val="3"/>
            <w:shd w:val="clear" w:color="auto" w:fill="9CC2E5" w:themeFill="accent1" w:themeFillTint="99"/>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b/>
                <w:sz w:val="22"/>
                <w:szCs w:val="22"/>
                <w:lang w:val="sr-Latn-ME" w:eastAsia="en-US"/>
              </w:rPr>
              <w:t>Datum početka</w:t>
            </w:r>
          </w:p>
        </w:tc>
        <w:tc>
          <w:tcPr>
            <w:tcW w:w="1373" w:type="dxa"/>
            <w:shd w:val="clear" w:color="auto" w:fill="9CC2E5" w:themeFill="accent1" w:themeFillTint="99"/>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b/>
                <w:sz w:val="22"/>
                <w:szCs w:val="22"/>
                <w:lang w:val="sr-Latn-ME" w:eastAsia="en-US"/>
              </w:rPr>
              <w:t>Datum završetka</w:t>
            </w:r>
          </w:p>
        </w:tc>
        <w:tc>
          <w:tcPr>
            <w:tcW w:w="2589" w:type="dxa"/>
            <w:gridSpan w:val="3"/>
            <w:shd w:val="clear" w:color="auto" w:fill="9CC2E5" w:themeFill="accent1" w:themeFillTint="99"/>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b/>
                <w:sz w:val="22"/>
                <w:szCs w:val="22"/>
                <w:lang w:val="sr-Latn-ME" w:eastAsia="en-US"/>
              </w:rPr>
              <w:t>Predviđeni troškovi</w:t>
            </w:r>
          </w:p>
        </w:tc>
        <w:tc>
          <w:tcPr>
            <w:tcW w:w="1746" w:type="dxa"/>
            <w:shd w:val="clear" w:color="auto" w:fill="9CC2E5" w:themeFill="accent1" w:themeFillTint="99"/>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b/>
                <w:sz w:val="22"/>
                <w:szCs w:val="22"/>
                <w:lang w:val="sr-Latn-ME" w:eastAsia="en-US"/>
              </w:rPr>
              <w:t>Izvor finansiranja</w:t>
            </w:r>
          </w:p>
        </w:tc>
      </w:tr>
      <w:tr w:rsidR="00621357" w:rsidRPr="00621357" w:rsidTr="007904C2">
        <w:tc>
          <w:tcPr>
            <w:tcW w:w="4472" w:type="dxa"/>
            <w:gridSpan w:val="2"/>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Evaluacija Strategije 2025-2028</w:t>
            </w:r>
          </w:p>
        </w:tc>
        <w:tc>
          <w:tcPr>
            <w:tcW w:w="2039"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Izvještaj evaluacije pripremljen i poslat Vladi Crne Gore na usvajanje</w:t>
            </w:r>
          </w:p>
        </w:tc>
        <w:tc>
          <w:tcPr>
            <w:tcW w:w="1854" w:type="dxa"/>
            <w:gridSpan w:val="2"/>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Direkcija za zaštitu finansijskih interesa EU/AFCOS</w:t>
            </w:r>
          </w:p>
        </w:tc>
        <w:tc>
          <w:tcPr>
            <w:tcW w:w="1237"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IV Q 2028</w:t>
            </w:r>
          </w:p>
        </w:tc>
        <w:tc>
          <w:tcPr>
            <w:tcW w:w="1373"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II Q 2029</w:t>
            </w:r>
          </w:p>
        </w:tc>
        <w:tc>
          <w:tcPr>
            <w:tcW w:w="2589" w:type="dxa"/>
            <w:gridSpan w:val="3"/>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Neophodno je isplanirati u budžetu iznos od 60.000,00 EUR za angažovanje eksternog evaluatora</w:t>
            </w:r>
          </w:p>
        </w:tc>
        <w:tc>
          <w:tcPr>
            <w:tcW w:w="1746" w:type="dxa"/>
          </w:tcPr>
          <w:p w:rsidR="00621357" w:rsidRPr="00621357" w:rsidRDefault="00621357" w:rsidP="00621357">
            <w:pPr>
              <w:spacing w:after="160" w:line="259" w:lineRule="auto"/>
              <w:rPr>
                <w:rFonts w:ascii="Arial" w:hAnsi="Arial" w:cs="Arial"/>
                <w:sz w:val="22"/>
                <w:szCs w:val="22"/>
                <w:lang w:val="sr-Latn-ME" w:eastAsia="en-US"/>
              </w:rPr>
            </w:pPr>
            <w:r w:rsidRPr="00621357">
              <w:rPr>
                <w:rFonts w:ascii="Arial" w:hAnsi="Arial" w:cs="Arial"/>
                <w:sz w:val="22"/>
                <w:szCs w:val="22"/>
                <w:lang w:val="sr-Latn-ME" w:eastAsia="en-US"/>
              </w:rPr>
              <w:t>Twinnig light projekat</w:t>
            </w:r>
          </w:p>
        </w:tc>
      </w:tr>
    </w:tbl>
    <w:p w:rsidR="00B76EFF" w:rsidRPr="00B76EFF" w:rsidRDefault="00B76EFF" w:rsidP="00B76EFF">
      <w:pPr>
        <w:spacing w:after="160" w:line="259" w:lineRule="auto"/>
        <w:rPr>
          <w:rFonts w:ascii="Arial" w:hAnsi="Arial" w:cs="Arial"/>
        </w:rPr>
      </w:pPr>
    </w:p>
    <w:p w:rsidR="00C555BF" w:rsidRDefault="00C555BF">
      <w:pPr>
        <w:spacing w:after="160" w:line="259" w:lineRule="auto"/>
        <w:rPr>
          <w:rFonts w:ascii="Arial" w:hAnsi="Arial" w:cs="Arial"/>
          <w:lang w:val="sr-Latn-ME"/>
        </w:rPr>
      </w:pPr>
    </w:p>
    <w:p w:rsidR="000F471C" w:rsidRPr="001302F9" w:rsidRDefault="000F471C" w:rsidP="000F471C">
      <w:pPr>
        <w:rPr>
          <w:rFonts w:ascii="Arial" w:hAnsi="Arial" w:cs="Arial"/>
          <w:lang w:val="sr-Latn-ME"/>
        </w:rPr>
      </w:pPr>
    </w:p>
    <w:p w:rsidR="000F471C" w:rsidRPr="001302F9" w:rsidRDefault="000F471C" w:rsidP="000F471C">
      <w:pPr>
        <w:jc w:val="both"/>
        <w:rPr>
          <w:rFonts w:ascii="Arial" w:hAnsi="Arial" w:cs="Arial"/>
          <w:lang w:val="sr-Latn-ME"/>
        </w:rPr>
      </w:pPr>
    </w:p>
    <w:p w:rsidR="00470302" w:rsidRPr="001302F9" w:rsidRDefault="00470302" w:rsidP="00EE65EF">
      <w:pPr>
        <w:spacing w:before="120" w:after="120" w:line="240" w:lineRule="auto"/>
        <w:jc w:val="both"/>
        <w:rPr>
          <w:rFonts w:ascii="Arial" w:hAnsi="Arial" w:cs="Arial"/>
          <w:lang w:val="sr-Latn-ME"/>
        </w:rPr>
      </w:pPr>
    </w:p>
    <w:sectPr w:rsidR="00470302" w:rsidRPr="001302F9" w:rsidSect="0033403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7B6" w:rsidRDefault="004067B6" w:rsidP="008533CC">
      <w:pPr>
        <w:spacing w:after="0" w:line="240" w:lineRule="auto"/>
      </w:pPr>
      <w:r>
        <w:separator/>
      </w:r>
    </w:p>
  </w:endnote>
  <w:endnote w:type="continuationSeparator" w:id="0">
    <w:p w:rsidR="004067B6" w:rsidRDefault="004067B6" w:rsidP="00853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EFF" w:rsidRDefault="00B76E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464423"/>
      <w:docPartObj>
        <w:docPartGallery w:val="Page Numbers (Bottom of Page)"/>
        <w:docPartUnique/>
      </w:docPartObj>
    </w:sdtPr>
    <w:sdtEndPr>
      <w:rPr>
        <w:noProof/>
      </w:rPr>
    </w:sdtEndPr>
    <w:sdtContent>
      <w:p w:rsidR="00B76EFF" w:rsidRDefault="00B76EFF" w:rsidP="00EE65EF">
        <w:pPr>
          <w:pStyle w:val="Footer"/>
          <w:jc w:val="center"/>
        </w:pPr>
        <w:r>
          <w:fldChar w:fldCharType="begin"/>
        </w:r>
        <w:r>
          <w:instrText xml:space="preserve"> PAGE   \* MERGEFORMAT </w:instrText>
        </w:r>
        <w:r>
          <w:fldChar w:fldCharType="separate"/>
        </w:r>
        <w:r>
          <w:rPr>
            <w:noProof/>
          </w:rPr>
          <w:t>34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EFF" w:rsidRDefault="00B76EFF">
    <w:pPr>
      <w:pStyle w:val="Footer"/>
      <w:jc w:val="center"/>
    </w:pPr>
  </w:p>
  <w:p w:rsidR="00B76EFF" w:rsidRDefault="00B76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7B6" w:rsidRDefault="004067B6" w:rsidP="008533CC">
      <w:pPr>
        <w:spacing w:after="0" w:line="240" w:lineRule="auto"/>
      </w:pPr>
      <w:r>
        <w:separator/>
      </w:r>
    </w:p>
  </w:footnote>
  <w:footnote w:type="continuationSeparator" w:id="0">
    <w:p w:rsidR="004067B6" w:rsidRDefault="004067B6" w:rsidP="008533CC">
      <w:pPr>
        <w:spacing w:after="0" w:line="240" w:lineRule="auto"/>
      </w:pPr>
      <w:r>
        <w:continuationSeparator/>
      </w:r>
    </w:p>
  </w:footnote>
  <w:footnote w:id="1">
    <w:p w:rsidR="00B76EFF" w:rsidRPr="00774C59" w:rsidRDefault="00B76EFF" w:rsidP="00774C59">
      <w:pPr>
        <w:pStyle w:val="FootnoteText"/>
        <w:jc w:val="both"/>
        <w:rPr>
          <w:rFonts w:asciiTheme="minorHAnsi" w:hAnsiTheme="minorHAnsi" w:cstheme="minorHAnsi"/>
          <w:sz w:val="18"/>
          <w:szCs w:val="18"/>
        </w:rPr>
      </w:pPr>
      <w:r w:rsidRPr="00774C59">
        <w:rPr>
          <w:rStyle w:val="FootnoteReference"/>
          <w:rFonts w:asciiTheme="minorHAnsi" w:hAnsiTheme="minorHAnsi" w:cstheme="minorHAnsi"/>
          <w:sz w:val="18"/>
          <w:szCs w:val="18"/>
        </w:rPr>
        <w:footnoteRef/>
      </w:r>
      <w:r w:rsidRPr="00774C59">
        <w:rPr>
          <w:rFonts w:asciiTheme="minorHAnsi" w:hAnsiTheme="minorHAnsi" w:cstheme="minorHAnsi"/>
          <w:sz w:val="18"/>
          <w:szCs w:val="18"/>
        </w:rPr>
        <w:t xml:space="preserve"> </w:t>
      </w:r>
      <w:r w:rsidRPr="00B21E98">
        <w:rPr>
          <w:rFonts w:asciiTheme="minorHAnsi" w:hAnsiTheme="minorHAnsi" w:cstheme="minorHAnsi"/>
          <w:sz w:val="18"/>
          <w:szCs w:val="18"/>
        </w:rPr>
        <w:t>IPA obuka o nepravilnostima koju su održali predstavnici AFCOS ureda u novembru 2024.; Kroz TA projekat PPF sa NIPAC kancelarijom kao i kroz TA projekat sa Upravljačkom strukturom, planirane su obuke iz oblasti nepravilnosti za 2025. godinu, kako bi se podigla svest o ovoj specifičnoj IPA oblasti i važnosti zaštite finansijskih interesa EU.</w:t>
      </w:r>
    </w:p>
  </w:footnote>
  <w:footnote w:id="2">
    <w:p w:rsidR="00B76EFF" w:rsidRPr="000E778B" w:rsidRDefault="00B76EFF" w:rsidP="000E778B">
      <w:pPr>
        <w:pStyle w:val="FootnoteText"/>
        <w:jc w:val="both"/>
        <w:rPr>
          <w:rFonts w:ascii="Calibri" w:hAnsi="Calibri" w:cs="Calibri"/>
          <w:sz w:val="18"/>
          <w:szCs w:val="18"/>
          <w:lang w:val="lv-LV"/>
        </w:rPr>
      </w:pPr>
      <w:r w:rsidRPr="000E778B">
        <w:rPr>
          <w:rStyle w:val="FootnoteReference"/>
          <w:rFonts w:ascii="Calibri" w:hAnsi="Calibri" w:cs="Calibri"/>
          <w:sz w:val="18"/>
          <w:szCs w:val="18"/>
        </w:rPr>
        <w:footnoteRef/>
      </w:r>
      <w:r w:rsidRPr="000E778B">
        <w:rPr>
          <w:rFonts w:ascii="Calibri" w:hAnsi="Calibri" w:cs="Calibri"/>
          <w:sz w:val="18"/>
          <w:szCs w:val="18"/>
        </w:rPr>
        <w:t xml:space="preserve"> “</w:t>
      </w:r>
      <w:r w:rsidRPr="00B21E98">
        <w:rPr>
          <w:rFonts w:ascii="Helvetica" w:eastAsia="Calibri" w:hAnsi="Helvetica" w:cs="Helvetica"/>
          <w:color w:val="3C4043"/>
          <w:sz w:val="27"/>
          <w:szCs w:val="27"/>
          <w:shd w:val="clear" w:color="auto" w:fill="D2E3FC"/>
          <w:lang w:val="en-US" w:eastAsia="en-US"/>
        </w:rPr>
        <w:t xml:space="preserve"> </w:t>
      </w:r>
      <w:r w:rsidRPr="00B21E98">
        <w:rPr>
          <w:rFonts w:ascii="Calibri" w:hAnsi="Calibri" w:cs="Calibri"/>
          <w:sz w:val="18"/>
          <w:szCs w:val="18"/>
          <w:lang w:val="en-US"/>
        </w:rPr>
        <w:t>Analiza rizika od prevara sa statističkom analizom slučajeva nepravilnosti, u kontekstu realizacije projekata finansiranih iz IPA fondova“, usvojena odlukom Vlade Crne Gore u julu 2024. godine</w:t>
      </w:r>
    </w:p>
  </w:footnote>
  <w:footnote w:id="3">
    <w:p w:rsidR="00B76EFF" w:rsidRPr="00D24F0F" w:rsidRDefault="00B76EFF" w:rsidP="00D24F0F">
      <w:pPr>
        <w:pStyle w:val="FootnoteText"/>
        <w:jc w:val="both"/>
        <w:rPr>
          <w:rFonts w:asciiTheme="minorHAnsi" w:hAnsiTheme="minorHAnsi" w:cstheme="minorHAnsi"/>
          <w:sz w:val="18"/>
          <w:szCs w:val="18"/>
        </w:rPr>
      </w:pPr>
      <w:r w:rsidRPr="00D24F0F">
        <w:rPr>
          <w:rStyle w:val="FootnoteReference"/>
          <w:rFonts w:asciiTheme="minorHAnsi" w:hAnsiTheme="minorHAnsi" w:cstheme="minorHAnsi"/>
          <w:sz w:val="18"/>
          <w:szCs w:val="18"/>
        </w:rPr>
        <w:footnoteRef/>
      </w:r>
      <w:r w:rsidRPr="00D24F0F">
        <w:rPr>
          <w:rFonts w:asciiTheme="minorHAnsi" w:hAnsiTheme="minorHAnsi" w:cstheme="minorHAnsi"/>
          <w:sz w:val="18"/>
          <w:szCs w:val="18"/>
        </w:rPr>
        <w:t xml:space="preserve"> EC Guidelines “Fraud Risk Assessment and Effective and Proportionate Anti-Fraud Measures” of June 2014, Ref. EGESIF 14-0021-00 16/06/2014</w:t>
      </w:r>
    </w:p>
  </w:footnote>
  <w:footnote w:id="4">
    <w:p w:rsidR="00B76EFF" w:rsidRPr="00AD60B4" w:rsidRDefault="00B76EFF" w:rsidP="000F471C">
      <w:pPr>
        <w:jc w:val="both"/>
        <w:rPr>
          <w:rFonts w:ascii="Arial" w:hAnsi="Arial" w:cs="Arial"/>
          <w:sz w:val="16"/>
          <w:szCs w:val="16"/>
          <w:lang w:val="sr-Latn-ME"/>
        </w:rPr>
      </w:pPr>
      <w:r w:rsidRPr="00AD60B4">
        <w:rPr>
          <w:rStyle w:val="FootnoteReference"/>
          <w:rFonts w:cs="Arial"/>
          <w:sz w:val="16"/>
          <w:szCs w:val="16"/>
        </w:rPr>
        <w:footnoteRef/>
      </w:r>
      <w:r w:rsidRPr="00AD60B4">
        <w:rPr>
          <w:rFonts w:ascii="Arial" w:hAnsi="Arial" w:cs="Arial"/>
          <w:sz w:val="16"/>
          <w:szCs w:val="16"/>
        </w:rPr>
        <w:t xml:space="preserve"> "Analiza rizika od prevare sa statističkom analizom slučajeva nepravilnosti, u kontekstu sprovođenja projekata koji se finansiraju iz IPA fondova", usvojena odlukom Vlade Crne Gore u julu 2024. godine, sprovedenom u skladu sa Zaključkom Vlade br. 07-430/23-4407/2 sa 68. sjednice, održane 12. oktobra 2023. godine, "</w:t>
      </w:r>
      <w:r>
        <w:rPr>
          <w:rFonts w:ascii="Arial" w:hAnsi="Arial" w:cs="Arial"/>
          <w:sz w:val="16"/>
          <w:szCs w:val="16"/>
        </w:rPr>
        <w:t xml:space="preserve"> </w:t>
      </w:r>
      <w:r w:rsidRPr="00AD60B4">
        <w:rPr>
          <w:rFonts w:ascii="Arial" w:hAnsi="Arial" w:cs="Arial"/>
          <w:sz w:val="16"/>
          <w:szCs w:val="16"/>
        </w:rPr>
        <w:t>Ministarstvo finansija ima zadatak da pripremi analizu sistemskog rizika u oblasti spriječavanja prevara i upravljanja nepravilnostima, koristeći metodologiju koju je razvio OLAF"</w:t>
      </w:r>
      <w:r>
        <w:rPr>
          <w:rFonts w:ascii="Arial" w:hAnsi="Arial" w:cs="Arial"/>
          <w:sz w:val="16"/>
          <w:szCs w:val="16"/>
        </w:rPr>
        <w:t>.</w:t>
      </w:r>
    </w:p>
  </w:footnote>
  <w:footnote w:id="5">
    <w:p w:rsidR="00B76EFF" w:rsidRPr="00051EEA" w:rsidRDefault="00B76EFF" w:rsidP="000F471C">
      <w:pPr>
        <w:pStyle w:val="FootnoteText"/>
        <w:rPr>
          <w:rFonts w:cstheme="minorHAnsi"/>
          <w:color w:val="000080"/>
          <w:sz w:val="18"/>
          <w:szCs w:val="18"/>
          <w:u w:val="single"/>
        </w:rPr>
      </w:pPr>
      <w:r>
        <w:rPr>
          <w:rStyle w:val="FootnoteReference"/>
        </w:rPr>
        <w:footnoteRef/>
      </w:r>
      <w:r>
        <w:t xml:space="preserve"> </w:t>
      </w:r>
      <w:hyperlink r:id="rId1" w:history="1">
        <w:r w:rsidRPr="00E83F47">
          <w:rPr>
            <w:rStyle w:val="Hyperlink"/>
            <w:rFonts w:cstheme="minorHAnsi"/>
            <w:sz w:val="18"/>
            <w:szCs w:val="18"/>
          </w:rPr>
          <w:t>https://anti-fraud.ec.europa.eu/about-us/reports/annual-reports-protection-eus-financial-interests-pif-report_en</w:t>
        </w:r>
      </w:hyperlink>
    </w:p>
  </w:footnote>
  <w:footnote w:id="6">
    <w:p w:rsidR="00B76EFF" w:rsidRDefault="00B76EFF" w:rsidP="000F471C">
      <w:pPr>
        <w:pStyle w:val="FootnoteText"/>
      </w:pPr>
      <w:r>
        <w:rPr>
          <w:rStyle w:val="FootnoteReference"/>
        </w:rPr>
        <w:footnoteRef/>
      </w:r>
      <w:r>
        <w:t xml:space="preserve"> </w:t>
      </w:r>
      <w:r w:rsidRPr="005F369D">
        <w:t>Detaljnije pogledajte "Analiza rizika od prevare sa statističkom analizom slučajeva nepravilnosti, u kontekstu sprovođenja projekata koji se finansiraju iz IPA fondova" iz jula 2024. godine, odeljak II "</w:t>
      </w:r>
      <w:r>
        <w:rPr>
          <w:lang w:val="sr-Latn-RS"/>
        </w:rPr>
        <w:t>S</w:t>
      </w:r>
      <w:r w:rsidRPr="005F369D">
        <w:t xml:space="preserve">tatistička analiza slučajeva nepravilnosti prijavljenih putem </w:t>
      </w:r>
      <w:r>
        <w:rPr>
          <w:lang w:val="sr-Latn-RS"/>
        </w:rPr>
        <w:t>IMS</w:t>
      </w:r>
      <w:r w:rsidRPr="005F369D">
        <w:t xml:space="preserve"> softvera", br. 12) "Broj anonimnih prijava, kao i izveštaja iz spoljnih izvora"</w:t>
      </w:r>
    </w:p>
  </w:footnote>
  <w:footnote w:id="7">
    <w:p w:rsidR="00B76EFF" w:rsidRPr="002E239F" w:rsidRDefault="00B76EFF" w:rsidP="000F471C">
      <w:pPr>
        <w:pStyle w:val="FootnoteText"/>
        <w:rPr>
          <w:rFonts w:ascii="Arial" w:hAnsi="Arial" w:cs="Arial"/>
          <w:sz w:val="16"/>
          <w:szCs w:val="16"/>
        </w:rPr>
      </w:pPr>
      <w:r>
        <w:rPr>
          <w:rStyle w:val="FootnoteReference"/>
        </w:rPr>
        <w:footnoteRef/>
      </w:r>
      <w:r>
        <w:t xml:space="preserve"> </w:t>
      </w:r>
      <w:r w:rsidRPr="002E239F">
        <w:rPr>
          <w:rFonts w:ascii="Arial" w:hAnsi="Arial" w:cs="Arial"/>
          <w:sz w:val="16"/>
          <w:szCs w:val="16"/>
        </w:rPr>
        <w:t>Detaljnije pogledajte "Analiza rizika od prevare sa statističkom analizom slučajeva nepravilnosti, u kontekstu sprovođenja projekata koji se finansiraju iz IPA fondova" iz jula 2024. godine, tabela br. 20 i od</w:t>
      </w:r>
      <w:r>
        <w:rPr>
          <w:rFonts w:ascii="Arial" w:hAnsi="Arial" w:cs="Arial"/>
          <w:sz w:val="16"/>
          <w:szCs w:val="16"/>
        </w:rPr>
        <w:t>j</w:t>
      </w:r>
      <w:r w:rsidRPr="002E239F">
        <w:rPr>
          <w:rFonts w:ascii="Arial" w:hAnsi="Arial" w:cs="Arial"/>
          <w:sz w:val="16"/>
          <w:szCs w:val="16"/>
        </w:rPr>
        <w:t>eljak II "STATISTIČKA ANALIZA SLUČAJEVA NEPRAVILNOSTI PRIJAVLJENIH PUTEM IMS SOFTVERA", br. 10) "Vremenski period između otkrivanja i prijavljivanja nepravilnosti</w:t>
      </w:r>
      <w:r>
        <w:rPr>
          <w:rFonts w:ascii="Arial" w:hAnsi="Arial" w:cs="Arial"/>
          <w:sz w:val="16"/>
          <w:szCs w:val="16"/>
        </w:rPr>
        <w:t>.</w:t>
      </w:r>
      <w:r w:rsidRPr="002E239F">
        <w:rPr>
          <w:rFonts w:ascii="Arial" w:hAnsi="Arial" w:cs="Arial"/>
          <w:sz w:val="16"/>
          <w:szCs w:val="16"/>
        </w:rPr>
        <w:t>"</w:t>
      </w:r>
    </w:p>
    <w:p w:rsidR="00B76EFF" w:rsidRDefault="00B76EFF" w:rsidP="000F471C">
      <w:pPr>
        <w:pStyle w:val="FootnoteText"/>
      </w:pPr>
    </w:p>
    <w:p w:rsidR="00B76EFF" w:rsidRDefault="00B76EFF" w:rsidP="000F471C">
      <w:pPr>
        <w:pStyle w:val="FootnoteText"/>
      </w:pPr>
    </w:p>
  </w:footnote>
  <w:footnote w:id="8">
    <w:p w:rsidR="00B76EFF" w:rsidRPr="00DA2797" w:rsidRDefault="00B76EFF" w:rsidP="000F471C">
      <w:pPr>
        <w:pStyle w:val="FootnoteText"/>
        <w:jc w:val="both"/>
        <w:rPr>
          <w:rFonts w:ascii="Arial" w:hAnsi="Arial" w:cs="Arial"/>
          <w:sz w:val="16"/>
          <w:szCs w:val="16"/>
        </w:rPr>
      </w:pPr>
      <w:r>
        <w:rPr>
          <w:rStyle w:val="FootnoteReference"/>
        </w:rPr>
        <w:footnoteRef/>
      </w:r>
      <w:r>
        <w:t xml:space="preserve"> </w:t>
      </w:r>
      <w:r w:rsidRPr="00DA2797">
        <w:rPr>
          <w:rFonts w:ascii="Arial" w:hAnsi="Arial" w:cs="Arial"/>
          <w:sz w:val="16"/>
          <w:szCs w:val="16"/>
        </w:rPr>
        <w:t>Odredbe FFA / FFPA / Sektorski sporazum</w:t>
      </w:r>
    </w:p>
  </w:footnote>
  <w:footnote w:id="9">
    <w:p w:rsidR="00B76EFF" w:rsidRPr="00DA2797" w:rsidRDefault="00B76EFF" w:rsidP="000F471C">
      <w:pPr>
        <w:pStyle w:val="FootnoteText"/>
        <w:jc w:val="both"/>
        <w:rPr>
          <w:rFonts w:ascii="Arial" w:hAnsi="Arial" w:cs="Arial"/>
          <w:sz w:val="16"/>
          <w:szCs w:val="16"/>
        </w:rPr>
      </w:pPr>
      <w:r w:rsidRPr="00DA2797">
        <w:rPr>
          <w:rStyle w:val="FootnoteReference"/>
          <w:rFonts w:cs="Arial"/>
          <w:sz w:val="16"/>
          <w:szCs w:val="16"/>
        </w:rPr>
        <w:footnoteRef/>
      </w:r>
      <w:r w:rsidRPr="00DA2797">
        <w:rPr>
          <w:rFonts w:ascii="Arial" w:hAnsi="Arial" w:cs="Arial"/>
          <w:sz w:val="16"/>
          <w:szCs w:val="16"/>
        </w:rPr>
        <w:t xml:space="preserve"> Okvirni sporazum precizira da svaka situacija, koja se može tretirati kao nepravilnost, prevara, greška itd., koja se dogodi u bilo kom trenutku tokom implementacije IPA pomoći ili je rezultat revizije, može dovesti do povrata sredstava Komisiji. NAO će povratiti dio sredstava EU Komisiji do roka koji je odredila Komisija, čak i ako IBFM nije uspio da povrati sva ili dio sredstava od izvođača radova/korisnika grantova. Tako će dio sredstava EU biti vraćen iz državnog budžeta.</w:t>
      </w:r>
    </w:p>
  </w:footnote>
  <w:footnote w:id="10">
    <w:p w:rsidR="00B76EFF" w:rsidRDefault="00B76EFF" w:rsidP="000F471C">
      <w:pPr>
        <w:pStyle w:val="FootnoteText"/>
        <w:jc w:val="both"/>
      </w:pPr>
      <w:r w:rsidRPr="00DA2797">
        <w:rPr>
          <w:rStyle w:val="FootnoteReference"/>
          <w:rFonts w:cs="Arial"/>
          <w:sz w:val="16"/>
          <w:szCs w:val="16"/>
        </w:rPr>
        <w:footnoteRef/>
      </w:r>
      <w:r w:rsidRPr="00DA2797">
        <w:rPr>
          <w:rFonts w:ascii="Arial" w:hAnsi="Arial" w:cs="Arial"/>
          <w:sz w:val="16"/>
          <w:szCs w:val="16"/>
        </w:rPr>
        <w:t xml:space="preserve"> U slučajevima kada izvođači/korisnici bespovratnih sredstava ne povrate sredstva, u Priručniku o procedurama, kao i u Ugovorima o implementaciji i operativnim sporazumima za IPA II/III je dalje definisano da je potrebna bliska</w:t>
      </w:r>
      <w:r w:rsidRPr="009D50F3">
        <w:t xml:space="preserve"> </w:t>
      </w:r>
      <w:r w:rsidRPr="00DA2797">
        <w:rPr>
          <w:rFonts w:ascii="Arial" w:hAnsi="Arial" w:cs="Arial"/>
          <w:sz w:val="16"/>
          <w:szCs w:val="16"/>
        </w:rPr>
        <w:t>saradnja i komunikacija između NAO/DMS, MA, IBFM i IBPM kako bi se donijele odluke na nivou IPA strukture u odnosu na koja specifična sredstva nacionalnog budžetskog programa treba da budu vraćena EK.</w:t>
      </w:r>
    </w:p>
  </w:footnote>
  <w:footnote w:id="11">
    <w:p w:rsidR="00B76EFF" w:rsidRPr="005908FF" w:rsidRDefault="00B76EFF" w:rsidP="000F471C">
      <w:pPr>
        <w:pStyle w:val="FootnoteText"/>
        <w:jc w:val="both"/>
        <w:rPr>
          <w:rFonts w:ascii="Arial" w:hAnsi="Arial" w:cs="Arial"/>
          <w:sz w:val="16"/>
          <w:szCs w:val="16"/>
        </w:rPr>
      </w:pPr>
      <w:r>
        <w:rPr>
          <w:rStyle w:val="FootnoteReference"/>
        </w:rPr>
        <w:footnoteRef/>
      </w:r>
      <w:r>
        <w:t xml:space="preserve"> </w:t>
      </w:r>
      <w:r w:rsidRPr="005908FF">
        <w:rPr>
          <w:rFonts w:ascii="Arial" w:hAnsi="Arial" w:cs="Arial"/>
          <w:sz w:val="16"/>
          <w:szCs w:val="16"/>
        </w:rPr>
        <w:t>"Analiza rizika od prevara sa statističkom analizom slučajeva nepravilnosti, u kontekstu sprovođenja projekata koji se finansiraju iz IPA fondova" iz jula 2024. godine, tabela br. 19 i odeljak II "STATISTIČKA ANALIZA SLUČAJEVA NEPRAVILNOSTI PRIJAVLJENIH PUTEM IMS SOFTVERA", br. 8) "Iznos povraćaja iz državnog budžeta"</w:t>
      </w:r>
    </w:p>
  </w:footnote>
  <w:footnote w:id="12">
    <w:p w:rsidR="00B76EFF" w:rsidRPr="005908FF" w:rsidRDefault="00B76EFF" w:rsidP="000F471C">
      <w:pPr>
        <w:pStyle w:val="FootnoteText"/>
        <w:jc w:val="both"/>
        <w:rPr>
          <w:rFonts w:ascii="Arial" w:hAnsi="Arial" w:cs="Arial"/>
          <w:sz w:val="16"/>
          <w:szCs w:val="16"/>
          <w:lang w:val="sr-Latn-ME"/>
        </w:rPr>
      </w:pPr>
      <w:r w:rsidRPr="005908FF">
        <w:rPr>
          <w:rStyle w:val="FootnoteReference"/>
          <w:rFonts w:cs="Arial"/>
          <w:sz w:val="16"/>
          <w:szCs w:val="16"/>
        </w:rPr>
        <w:footnoteRef/>
      </w:r>
      <w:r w:rsidRPr="005908FF">
        <w:rPr>
          <w:rFonts w:ascii="Arial" w:hAnsi="Arial" w:cs="Arial"/>
          <w:sz w:val="16"/>
          <w:szCs w:val="16"/>
        </w:rPr>
        <w:t xml:space="preserve"> Realizovana u okviru pripremne faze ove Strategije u okviru projekta Twinning Light "Dalje unapređenje funkcionisanja crnogorskog AFCOS sistema u cilju efikasne zaštite finansijskih interesa EU"</w:t>
      </w:r>
    </w:p>
  </w:footnote>
  <w:footnote w:id="13">
    <w:p w:rsidR="00B76EFF" w:rsidRPr="00497A32" w:rsidRDefault="00B76EFF">
      <w:pPr>
        <w:pStyle w:val="FootnoteText"/>
        <w:rPr>
          <w:lang w:val="sr-Latn-ME"/>
        </w:rPr>
      </w:pPr>
      <w:r>
        <w:rPr>
          <w:rStyle w:val="FootnoteReference"/>
        </w:rPr>
        <w:footnoteRef/>
      </w:r>
      <w:r>
        <w:t xml:space="preserve"> </w:t>
      </w:r>
      <w:r w:rsidRPr="00497A32">
        <w:rPr>
          <w:lang w:val="en-US"/>
        </w:rPr>
        <w:t>Sporazum</w:t>
      </w:r>
      <w:r w:rsidRPr="00497A32">
        <w:rPr>
          <w:lang w:val="sr-Latn-ME"/>
        </w:rPr>
        <w:t xml:space="preserve"> </w:t>
      </w:r>
      <w:r w:rsidRPr="00497A32">
        <w:rPr>
          <w:lang w:val="en-US"/>
        </w:rPr>
        <w:t>o</w:t>
      </w:r>
      <w:r w:rsidRPr="00497A32">
        <w:rPr>
          <w:lang w:val="sr-Latn-ME"/>
        </w:rPr>
        <w:t xml:space="preserve"> </w:t>
      </w:r>
      <w:r w:rsidRPr="00497A32">
        <w:rPr>
          <w:lang w:val="en-US"/>
        </w:rPr>
        <w:t>saradnji</w:t>
      </w:r>
      <w:r w:rsidRPr="00497A32">
        <w:rPr>
          <w:lang w:val="sr-Latn-ME"/>
        </w:rPr>
        <w:t xml:space="preserve"> </w:t>
      </w:r>
      <w:r w:rsidRPr="00497A32">
        <w:rPr>
          <w:lang w:val="en-US"/>
        </w:rPr>
        <w:t>izme</w:t>
      </w:r>
      <w:r w:rsidRPr="00497A32">
        <w:rPr>
          <w:lang w:val="sr-Latn-ME"/>
        </w:rPr>
        <w:t>đ</w:t>
      </w:r>
      <w:r w:rsidRPr="00497A32">
        <w:rPr>
          <w:lang w:val="en-US"/>
        </w:rPr>
        <w:t>u</w:t>
      </w:r>
      <w:r w:rsidRPr="00497A32">
        <w:rPr>
          <w:lang w:val="sr-Latn-ME"/>
        </w:rPr>
        <w:t xml:space="preserve"> </w:t>
      </w:r>
      <w:r w:rsidRPr="00497A32">
        <w:rPr>
          <w:lang w:val="en-US"/>
        </w:rPr>
        <w:t>Vrhovnog</w:t>
      </w:r>
      <w:r w:rsidRPr="00497A32">
        <w:rPr>
          <w:lang w:val="sr-Latn-ME"/>
        </w:rPr>
        <w:t xml:space="preserve"> </w:t>
      </w:r>
      <w:r w:rsidRPr="00497A32">
        <w:rPr>
          <w:lang w:val="en-US"/>
        </w:rPr>
        <w:t>dr</w:t>
      </w:r>
      <w:r w:rsidRPr="00497A32">
        <w:rPr>
          <w:lang w:val="sr-Latn-ME"/>
        </w:rPr>
        <w:t>ž</w:t>
      </w:r>
      <w:r w:rsidRPr="00497A32">
        <w:rPr>
          <w:lang w:val="en-US"/>
        </w:rPr>
        <w:t>avnog</w:t>
      </w:r>
      <w:r w:rsidRPr="00497A32">
        <w:rPr>
          <w:lang w:val="sr-Latn-ME"/>
        </w:rPr>
        <w:t xml:space="preserve"> </w:t>
      </w:r>
      <w:r w:rsidRPr="00497A32">
        <w:rPr>
          <w:lang w:val="en-US"/>
        </w:rPr>
        <w:t>tu</w:t>
      </w:r>
      <w:r w:rsidRPr="00497A32">
        <w:rPr>
          <w:lang w:val="sr-Latn-ME"/>
        </w:rPr>
        <w:t>ž</w:t>
      </w:r>
      <w:r w:rsidRPr="00497A32">
        <w:rPr>
          <w:lang w:val="en-US"/>
        </w:rPr>
        <w:t>ila</w:t>
      </w:r>
      <w:r w:rsidRPr="00497A32">
        <w:rPr>
          <w:lang w:val="sr-Latn-ME"/>
        </w:rPr>
        <w:t>š</w:t>
      </w:r>
      <w:r w:rsidRPr="00497A32">
        <w:rPr>
          <w:lang w:val="en-US"/>
        </w:rPr>
        <w:t>tva</w:t>
      </w:r>
      <w:r w:rsidRPr="00497A32">
        <w:rPr>
          <w:lang w:val="sr-Latn-ME"/>
        </w:rPr>
        <w:t xml:space="preserve"> </w:t>
      </w:r>
      <w:r w:rsidRPr="00497A32">
        <w:rPr>
          <w:lang w:val="en-US"/>
        </w:rPr>
        <w:t>Crne</w:t>
      </w:r>
      <w:r w:rsidRPr="00497A32">
        <w:rPr>
          <w:lang w:val="sr-Latn-ME"/>
        </w:rPr>
        <w:t xml:space="preserve"> </w:t>
      </w:r>
      <w:r w:rsidRPr="00497A32">
        <w:rPr>
          <w:lang w:val="en-US"/>
        </w:rPr>
        <w:t>Gore</w:t>
      </w:r>
      <w:r w:rsidRPr="00497A32">
        <w:rPr>
          <w:lang w:val="sr-Latn-ME"/>
        </w:rPr>
        <w:t xml:space="preserve"> </w:t>
      </w:r>
      <w:r w:rsidRPr="00497A32">
        <w:rPr>
          <w:lang w:val="en-US"/>
        </w:rPr>
        <w:t>i</w:t>
      </w:r>
      <w:r w:rsidRPr="00497A32">
        <w:rPr>
          <w:lang w:val="sr-Latn-ME"/>
        </w:rPr>
        <w:t xml:space="preserve"> </w:t>
      </w:r>
      <w:r w:rsidRPr="00497A32">
        <w:rPr>
          <w:lang w:val="en-US"/>
        </w:rPr>
        <w:t>Kancelarije</w:t>
      </w:r>
      <w:r w:rsidRPr="00497A32">
        <w:rPr>
          <w:lang w:val="sr-Latn-ME"/>
        </w:rPr>
        <w:t xml:space="preserve"> </w:t>
      </w:r>
      <w:r w:rsidRPr="00497A32">
        <w:rPr>
          <w:lang w:val="en-US"/>
        </w:rPr>
        <w:t>evropskog</w:t>
      </w:r>
      <w:r w:rsidRPr="00497A32">
        <w:rPr>
          <w:lang w:val="sr-Latn-ME"/>
        </w:rPr>
        <w:t xml:space="preserve"> </w:t>
      </w:r>
      <w:r w:rsidRPr="00497A32">
        <w:rPr>
          <w:lang w:val="en-US"/>
        </w:rPr>
        <w:t>javnog</w:t>
      </w:r>
      <w:r w:rsidRPr="00497A32">
        <w:rPr>
          <w:lang w:val="sr-Latn-ME"/>
        </w:rPr>
        <w:t xml:space="preserve"> </w:t>
      </w:r>
      <w:r w:rsidRPr="00497A32">
        <w:rPr>
          <w:lang w:val="en-US"/>
        </w:rPr>
        <w:t>tu</w:t>
      </w:r>
      <w:r w:rsidRPr="00497A32">
        <w:rPr>
          <w:lang w:val="sr-Latn-ME"/>
        </w:rPr>
        <w:t>ž</w:t>
      </w:r>
      <w:r w:rsidRPr="00497A32">
        <w:rPr>
          <w:lang w:val="en-US"/>
        </w:rPr>
        <w:t>ioca</w:t>
      </w:r>
      <w:r w:rsidRPr="00497A32">
        <w:rPr>
          <w:lang w:val="sr-Latn-ME"/>
        </w:rPr>
        <w:t xml:space="preserve"> (</w:t>
      </w:r>
      <w:r w:rsidRPr="00497A32">
        <w:rPr>
          <w:lang w:val="en-US"/>
        </w:rPr>
        <w:t>EPPO</w:t>
      </w:r>
      <w:r w:rsidRPr="00497A32">
        <w:rPr>
          <w:lang w:val="sr-Latn-ME"/>
        </w:rPr>
        <w:t>)</w:t>
      </w:r>
      <w:r>
        <w:rPr>
          <w:lang w:val="sr-Latn-ME"/>
        </w:rPr>
        <w:t>, potpisan je u septembru 2022.godine</w:t>
      </w:r>
    </w:p>
  </w:footnote>
  <w:footnote w:id="14">
    <w:p w:rsidR="00B76EFF" w:rsidRPr="00495F20" w:rsidRDefault="00B76EFF" w:rsidP="0033403A">
      <w:pPr>
        <w:pStyle w:val="FootnoteText"/>
        <w:rPr>
          <w:lang w:val="sr-Latn-ME"/>
        </w:rPr>
      </w:pPr>
      <w:r w:rsidRPr="00680204">
        <w:rPr>
          <w:rStyle w:val="FootnoteReference"/>
          <w:rFonts w:ascii="Arial" w:eastAsia="Calibri" w:hAnsi="Arial" w:cs="Arial"/>
        </w:rPr>
        <w:footnoteRef/>
      </w:r>
      <w:r w:rsidRPr="00680204">
        <w:rPr>
          <w:rFonts w:ascii="Arial" w:hAnsi="Arial" w:cs="Arial"/>
        </w:rPr>
        <w:t xml:space="preserve"> </w:t>
      </w:r>
      <w:r w:rsidRPr="00680204">
        <w:rPr>
          <w:rFonts w:ascii="Arial" w:hAnsi="Arial" w:cs="Arial"/>
          <w:lang w:val="sr-Latn-ME"/>
        </w:rPr>
        <w:t>Pogledati "Analizu rizika od prevara sa statističkom analizom slučajeva nepravilnosti, u kontekstu implementacije projekata finansiranih iz IPA fondova", usvojenu odlukom Vlade Crne Gore u julu 2024. godine, odjeljak II "STATISTIČKA ANALIZA SLUČAJEVA NEPRAVILNOSTI PRIJAVLJENIH KROZ IMS SOFTVER", tačka br. 2) "Finansijski uticaj prijavljenih nepravilnosti i stopa finansijskog uticaja</w:t>
      </w:r>
      <w:r w:rsidRPr="00680204">
        <w:rPr>
          <w:lang w:val="sr-Latn-ME"/>
        </w:rPr>
        <w:t>".</w:t>
      </w:r>
    </w:p>
  </w:footnote>
  <w:footnote w:id="15">
    <w:p w:rsidR="00B76EFF" w:rsidRPr="00F24989" w:rsidRDefault="00B76EFF" w:rsidP="00B76EFF">
      <w:pPr>
        <w:pStyle w:val="FootnoteText"/>
        <w:rPr>
          <w:lang w:val="sr-Latn-ME"/>
        </w:rPr>
      </w:pPr>
      <w:r>
        <w:rPr>
          <w:rStyle w:val="FootnoteReference"/>
          <w:rFonts w:eastAsia="Calibri"/>
        </w:rPr>
        <w:footnoteRef/>
      </w:r>
      <w:r>
        <w:t xml:space="preserve"> </w:t>
      </w:r>
      <w:r w:rsidRPr="00680204">
        <w:rPr>
          <w:rFonts w:ascii="Arial" w:hAnsi="Arial" w:cs="Arial"/>
          <w:lang w:val="sr-Latn-ME"/>
        </w:rPr>
        <w:t>U narednom periodu će se zvati AFCOS radno tijelo, a u prethodnom periodu je definisano kao AFCOS mreža</w:t>
      </w:r>
    </w:p>
  </w:footnote>
  <w:footnote w:id="16">
    <w:p w:rsidR="00B76EFF" w:rsidRPr="001168C1" w:rsidRDefault="00B76EFF" w:rsidP="00B76EFF">
      <w:pPr>
        <w:pStyle w:val="FootnoteText"/>
        <w:jc w:val="both"/>
        <w:rPr>
          <w:rFonts w:ascii="Calibri" w:hAnsi="Calibri" w:cs="Calibri"/>
          <w:lang w:val="sr-Latn-ME"/>
        </w:rPr>
      </w:pPr>
      <w:r w:rsidRPr="001168C1">
        <w:rPr>
          <w:rStyle w:val="FootnoteReference"/>
          <w:rFonts w:eastAsia="Calibri" w:cs="Calibri"/>
          <w:lang w:val="sr-Latn-ME"/>
        </w:rPr>
        <w:footnoteRef/>
      </w:r>
      <w:r w:rsidRPr="001168C1">
        <w:rPr>
          <w:rFonts w:ascii="Calibri" w:hAnsi="Calibri" w:cs="Calibri"/>
          <w:lang w:val="sr-Latn-ME"/>
        </w:rPr>
        <w:t xml:space="preserve"> </w:t>
      </w:r>
      <w:r w:rsidRPr="001168C1">
        <w:rPr>
          <w:rFonts w:ascii="Arial" w:hAnsi="Arial" w:cs="Arial"/>
          <w:lang w:val="sr-Latn-ME"/>
        </w:rPr>
        <w:t>Vidi „Analiza rizika od prevara uz statističku analizu slučajeva nepravilnosti, u kontekstu implementacije projekata finansiranih iz IPA fondova“, koju je usvojila Odluka Vlade Crne Gore u julu 2024. godine, Tabela br. 20. Zbog razloga prilagođavanja, vremenski okvir od 1 mjeseca prikazan u tabeli, postavljen je na period od 45 dana.</w:t>
      </w:r>
    </w:p>
  </w:footnote>
  <w:footnote w:id="17">
    <w:p w:rsidR="00B76EFF" w:rsidRPr="005E46B0" w:rsidRDefault="00B76EFF" w:rsidP="00B76EFF">
      <w:pPr>
        <w:pStyle w:val="FootnoteText"/>
        <w:jc w:val="both"/>
        <w:rPr>
          <w:rFonts w:ascii="Calibri" w:hAnsi="Calibri" w:cs="Calibri"/>
          <w:lang w:val="sr-Latn-ME"/>
        </w:rPr>
      </w:pPr>
      <w:r w:rsidRPr="005E46B0">
        <w:rPr>
          <w:rStyle w:val="FootnoteReference"/>
          <w:rFonts w:eastAsia="Calibri" w:cs="Calibri"/>
          <w:lang w:val="sr-Latn-ME"/>
        </w:rPr>
        <w:footnoteRef/>
      </w:r>
      <w:r w:rsidRPr="005E46B0">
        <w:rPr>
          <w:rFonts w:ascii="Calibri" w:hAnsi="Calibri" w:cs="Calibri"/>
          <w:lang w:val="sr-Latn-ME"/>
        </w:rPr>
        <w:t xml:space="preserve"> </w:t>
      </w:r>
      <w:r w:rsidRPr="005E46B0">
        <w:rPr>
          <w:rFonts w:ascii="Arial" w:hAnsi="Arial" w:cs="Arial"/>
          <w:lang w:val="sr-Latn-ME"/>
        </w:rPr>
        <w:t>Vidi „Analizu rizika od prevara uz statističku analizu slučajeva nepravilnosti, u kontekstu implementacije projekata finansiranih iz IPA fondova“, koju je usvojila Odluka Vlade Crne Gore u julu 2024. godine, sekcija II „STATISTIČKA ANALIZA SLUČAJEVA NEPRAVILNOSTI PRIJAVLJENIH KROZ IMS SOFTVER“, br. 13) „Ukupan broj prijavljenih prevara“.</w:t>
      </w:r>
    </w:p>
  </w:footnote>
  <w:footnote w:id="18">
    <w:p w:rsidR="00B76EFF" w:rsidRPr="00EE0C9F" w:rsidRDefault="00B76EFF" w:rsidP="00B76EFF">
      <w:pPr>
        <w:pStyle w:val="FootnoteText"/>
        <w:jc w:val="both"/>
        <w:rPr>
          <w:lang w:val="lv-LV"/>
        </w:rPr>
      </w:pPr>
      <w:r>
        <w:rPr>
          <w:rStyle w:val="FootnoteReference"/>
          <w:rFonts w:eastAsia="Calibri"/>
        </w:rPr>
        <w:footnoteRef/>
      </w:r>
      <w:r>
        <w:t xml:space="preserve"> </w:t>
      </w:r>
      <w:r w:rsidRPr="009848DB">
        <w:rPr>
          <w:rFonts w:ascii="Arial" w:hAnsi="Arial" w:cs="Arial"/>
          <w:lang w:val="sr-Latn-ME"/>
        </w:rPr>
        <w:t>Vidi „Analizu rizika od prevara uz statističku analizu slučajeva nepravilnosti, u kontekstu implementacije projekata finansiranih iz IPA fondova“, koju</w:t>
      </w:r>
      <w:r w:rsidRPr="00F86D91">
        <w:rPr>
          <w:rFonts w:ascii="Arial" w:hAnsi="Arial" w:cs="Arial"/>
        </w:rPr>
        <w:t xml:space="preserve"> </w:t>
      </w:r>
      <w:r w:rsidRPr="009848DB">
        <w:rPr>
          <w:rFonts w:ascii="Arial" w:hAnsi="Arial" w:cs="Arial"/>
          <w:lang w:val="sr-Latn-ME"/>
        </w:rPr>
        <w:t>je usvojila Vlada Crne Gore u julu 2024. godine, sekcija II „STATISTIČKA ANALIZA SLUČAJEVA NEPRAVILNOSTI PRIJAVLJENIH KROZ IMS SOFTVER“, br. 8) „Iznos povrata iz državnog budžeta“, Tabela br. 19.</w:t>
      </w:r>
    </w:p>
  </w:footnote>
  <w:footnote w:id="19">
    <w:p w:rsidR="00621357" w:rsidRDefault="00621357" w:rsidP="00621357">
      <w:pPr>
        <w:pStyle w:val="FootnoteText"/>
      </w:pPr>
      <w:r>
        <w:rPr>
          <w:rStyle w:val="FootnoteReference"/>
        </w:rPr>
        <w:footnoteRef/>
      </w:r>
      <w:r>
        <w:t xml:space="preserve"> Ranije je rok bio 30 dana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EFF" w:rsidRDefault="00B76E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EFF" w:rsidRDefault="00B76E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EFF" w:rsidRDefault="00B76E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5374"/>
    <w:multiLevelType w:val="multilevel"/>
    <w:tmpl w:val="8878F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01CCA"/>
    <w:multiLevelType w:val="hybridMultilevel"/>
    <w:tmpl w:val="2CF86C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F92013"/>
    <w:multiLevelType w:val="hybridMultilevel"/>
    <w:tmpl w:val="65666658"/>
    <w:lvl w:ilvl="0" w:tplc="0409000D">
      <w:start w:val="1"/>
      <w:numFmt w:val="bullet"/>
      <w:lvlText w:val=""/>
      <w:lvlJc w:val="left"/>
      <w:pPr>
        <w:ind w:left="1394" w:hanging="360"/>
      </w:pPr>
      <w:rPr>
        <w:rFonts w:ascii="Wingdings" w:hAnsi="Wingdings" w:hint="default"/>
        <w:color w:val="auto"/>
      </w:rPr>
    </w:lvl>
    <w:lvl w:ilvl="1" w:tplc="04090003" w:tentative="1">
      <w:start w:val="1"/>
      <w:numFmt w:val="bullet"/>
      <w:lvlText w:val="o"/>
      <w:lvlJc w:val="left"/>
      <w:pPr>
        <w:ind w:left="2114" w:hanging="360"/>
      </w:pPr>
      <w:rPr>
        <w:rFonts w:ascii="Courier New" w:hAnsi="Courier New" w:cs="Courier New" w:hint="default"/>
      </w:rPr>
    </w:lvl>
    <w:lvl w:ilvl="2" w:tplc="04090005" w:tentative="1">
      <w:start w:val="1"/>
      <w:numFmt w:val="bullet"/>
      <w:lvlText w:val=""/>
      <w:lvlJc w:val="left"/>
      <w:pPr>
        <w:ind w:left="2834" w:hanging="360"/>
      </w:pPr>
      <w:rPr>
        <w:rFonts w:ascii="Wingdings" w:hAnsi="Wingdings" w:hint="default"/>
      </w:rPr>
    </w:lvl>
    <w:lvl w:ilvl="3" w:tplc="04090001" w:tentative="1">
      <w:start w:val="1"/>
      <w:numFmt w:val="bullet"/>
      <w:lvlText w:val=""/>
      <w:lvlJc w:val="left"/>
      <w:pPr>
        <w:ind w:left="3554" w:hanging="360"/>
      </w:pPr>
      <w:rPr>
        <w:rFonts w:ascii="Symbol" w:hAnsi="Symbol" w:hint="default"/>
      </w:rPr>
    </w:lvl>
    <w:lvl w:ilvl="4" w:tplc="04090003" w:tentative="1">
      <w:start w:val="1"/>
      <w:numFmt w:val="bullet"/>
      <w:lvlText w:val="o"/>
      <w:lvlJc w:val="left"/>
      <w:pPr>
        <w:ind w:left="4274" w:hanging="360"/>
      </w:pPr>
      <w:rPr>
        <w:rFonts w:ascii="Courier New" w:hAnsi="Courier New" w:cs="Courier New" w:hint="default"/>
      </w:rPr>
    </w:lvl>
    <w:lvl w:ilvl="5" w:tplc="04090005" w:tentative="1">
      <w:start w:val="1"/>
      <w:numFmt w:val="bullet"/>
      <w:lvlText w:val=""/>
      <w:lvlJc w:val="left"/>
      <w:pPr>
        <w:ind w:left="4994" w:hanging="360"/>
      </w:pPr>
      <w:rPr>
        <w:rFonts w:ascii="Wingdings" w:hAnsi="Wingdings" w:hint="default"/>
      </w:rPr>
    </w:lvl>
    <w:lvl w:ilvl="6" w:tplc="04090001" w:tentative="1">
      <w:start w:val="1"/>
      <w:numFmt w:val="bullet"/>
      <w:lvlText w:val=""/>
      <w:lvlJc w:val="left"/>
      <w:pPr>
        <w:ind w:left="5714" w:hanging="360"/>
      </w:pPr>
      <w:rPr>
        <w:rFonts w:ascii="Symbol" w:hAnsi="Symbol" w:hint="default"/>
      </w:rPr>
    </w:lvl>
    <w:lvl w:ilvl="7" w:tplc="04090003" w:tentative="1">
      <w:start w:val="1"/>
      <w:numFmt w:val="bullet"/>
      <w:lvlText w:val="o"/>
      <w:lvlJc w:val="left"/>
      <w:pPr>
        <w:ind w:left="6434" w:hanging="360"/>
      </w:pPr>
      <w:rPr>
        <w:rFonts w:ascii="Courier New" w:hAnsi="Courier New" w:cs="Courier New" w:hint="default"/>
      </w:rPr>
    </w:lvl>
    <w:lvl w:ilvl="8" w:tplc="04090005" w:tentative="1">
      <w:start w:val="1"/>
      <w:numFmt w:val="bullet"/>
      <w:lvlText w:val=""/>
      <w:lvlJc w:val="left"/>
      <w:pPr>
        <w:ind w:left="7154" w:hanging="360"/>
      </w:pPr>
      <w:rPr>
        <w:rFonts w:ascii="Wingdings" w:hAnsi="Wingdings" w:hint="default"/>
      </w:rPr>
    </w:lvl>
  </w:abstractNum>
  <w:abstractNum w:abstractNumId="3" w15:restartNumberingAfterBreak="0">
    <w:nsid w:val="08E147A9"/>
    <w:multiLevelType w:val="multilevel"/>
    <w:tmpl w:val="0DACDFDC"/>
    <w:lvl w:ilvl="0">
      <w:start w:val="2"/>
      <w:numFmt w:val="decimal"/>
      <w:lvlText w:val="%1."/>
      <w:lvlJc w:val="left"/>
      <w:pPr>
        <w:ind w:left="720" w:hanging="360"/>
      </w:pPr>
      <w:rPr>
        <w:rFonts w:hint="default"/>
        <w:caps w:val="0"/>
        <w:strike w:val="0"/>
        <w:dstrike w:val="0"/>
        <w:vanish w:val="0"/>
        <w:color w:val="000000"/>
        <w:sz w:val="24"/>
        <w:vertAlign w:val="baseline"/>
      </w:rPr>
    </w:lvl>
    <w:lvl w:ilvl="1">
      <w:start w:val="1"/>
      <w:numFmt w:val="decimal"/>
      <w:isLgl/>
      <w:lvlText w:val="%1.%2."/>
      <w:lvlJc w:val="left"/>
      <w:pPr>
        <w:ind w:left="927"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09D13E61"/>
    <w:multiLevelType w:val="hybridMultilevel"/>
    <w:tmpl w:val="93046A32"/>
    <w:lvl w:ilvl="0" w:tplc="FFFFFFFF">
      <w:start w:val="1"/>
      <w:numFmt w:val="bullet"/>
      <w:lvlText w:val="–"/>
      <w:lvlJc w:val="left"/>
      <w:pPr>
        <w:ind w:left="360" w:hanging="360"/>
      </w:pPr>
      <w:rPr>
        <w:rFonts w:ascii="Times New Roman" w:hAnsi="Times New Roman" w:cs="Times New Roman" w:hint="default"/>
        <w:caps w:val="0"/>
        <w:strike w:val="0"/>
        <w:dstrike w:val="0"/>
        <w:vanish w:val="0"/>
        <w:color w:val="000000"/>
        <w:sz w:val="24"/>
        <w:vertAlign w:val="baseline"/>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5" w15:restartNumberingAfterBreak="0">
    <w:nsid w:val="0D5B1095"/>
    <w:multiLevelType w:val="hybridMultilevel"/>
    <w:tmpl w:val="1A7EB802"/>
    <w:lvl w:ilvl="0" w:tplc="FFFFFFFF">
      <w:start w:val="1"/>
      <w:numFmt w:val="decimal"/>
      <w:lvlText w:val="%1."/>
      <w:lvlJc w:val="left"/>
      <w:pPr>
        <w:ind w:left="720" w:hanging="360"/>
      </w:pPr>
    </w:lvl>
    <w:lvl w:ilvl="1" w:tplc="ABAEAEA2">
      <w:numFmt w:val="bullet"/>
      <w:lvlText w:val="-"/>
      <w:lvlJc w:val="left"/>
      <w:pPr>
        <w:ind w:left="1440" w:hanging="360"/>
      </w:pPr>
      <w:rPr>
        <w:rFonts w:ascii="Calibri" w:eastAsia="Calibr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2053E4"/>
    <w:multiLevelType w:val="hybridMultilevel"/>
    <w:tmpl w:val="043E1208"/>
    <w:lvl w:ilvl="0" w:tplc="B0842F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D41DEC"/>
    <w:multiLevelType w:val="multilevel"/>
    <w:tmpl w:val="4D52D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934368"/>
    <w:multiLevelType w:val="hybridMultilevel"/>
    <w:tmpl w:val="4BCE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E56AE1"/>
    <w:multiLevelType w:val="hybridMultilevel"/>
    <w:tmpl w:val="466AE41C"/>
    <w:lvl w:ilvl="0" w:tplc="04260001">
      <w:start w:val="1"/>
      <w:numFmt w:val="bullet"/>
      <w:lvlText w:val=""/>
      <w:lvlJc w:val="left"/>
      <w:pPr>
        <w:ind w:left="1080" w:hanging="360"/>
      </w:pPr>
      <w:rPr>
        <w:rFonts w:ascii="Symbol" w:hAnsi="Symbol"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10" w15:restartNumberingAfterBreak="0">
    <w:nsid w:val="209F18B0"/>
    <w:multiLevelType w:val="hybridMultilevel"/>
    <w:tmpl w:val="4A88A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C85BD8"/>
    <w:multiLevelType w:val="hybridMultilevel"/>
    <w:tmpl w:val="53928F70"/>
    <w:lvl w:ilvl="0" w:tplc="FFFFFFFF">
      <w:start w:val="1"/>
      <w:numFmt w:val="bullet"/>
      <w:lvlText w:val="–"/>
      <w:lvlJc w:val="left"/>
      <w:pPr>
        <w:ind w:left="720" w:hanging="360"/>
      </w:pPr>
      <w:rPr>
        <w:rFonts w:ascii="Times New Roman" w:hAnsi="Times New Roman" w:cs="Times New Roman" w:hint="default"/>
        <w:caps w:val="0"/>
        <w:strike w:val="0"/>
        <w:dstrike w:val="0"/>
        <w:vanish w:val="0"/>
        <w:color w:val="000000"/>
        <w:sz w:val="24"/>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2584817"/>
    <w:multiLevelType w:val="hybridMultilevel"/>
    <w:tmpl w:val="B18A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8F073F"/>
    <w:multiLevelType w:val="hybridMultilevel"/>
    <w:tmpl w:val="740C6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5D06662"/>
    <w:multiLevelType w:val="hybridMultilevel"/>
    <w:tmpl w:val="F7540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D4113C"/>
    <w:multiLevelType w:val="multilevel"/>
    <w:tmpl w:val="065C335A"/>
    <w:lvl w:ilvl="0">
      <w:start w:val="1"/>
      <w:numFmt w:val="decimal"/>
      <w:lvlText w:val="%1."/>
      <w:lvlJc w:val="left"/>
      <w:pPr>
        <w:ind w:left="720" w:hanging="360"/>
      </w:pPr>
      <w:rPr>
        <w:rFonts w:hint="default"/>
      </w:rPr>
    </w:lvl>
    <w:lvl w:ilvl="1">
      <w:start w:val="6"/>
      <w:numFmt w:val="decimal"/>
      <w:isLgl/>
      <w:lvlText w:val="%1.%2."/>
      <w:lvlJc w:val="left"/>
      <w:pPr>
        <w:ind w:left="927"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2DCA5495"/>
    <w:multiLevelType w:val="hybridMultilevel"/>
    <w:tmpl w:val="36327A7E"/>
    <w:lvl w:ilvl="0" w:tplc="0409000F">
      <w:start w:val="1"/>
      <w:numFmt w:val="decimal"/>
      <w:lvlText w:val="%1."/>
      <w:lvlJc w:val="left"/>
      <w:pPr>
        <w:ind w:left="1080" w:hanging="360"/>
      </w:pPr>
      <w:rPr>
        <w:rFonts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17" w15:restartNumberingAfterBreak="0">
    <w:nsid w:val="2E1F2296"/>
    <w:multiLevelType w:val="hybridMultilevel"/>
    <w:tmpl w:val="231C5A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1B11AD9"/>
    <w:multiLevelType w:val="hybridMultilevel"/>
    <w:tmpl w:val="36F6FDAA"/>
    <w:lvl w:ilvl="0" w:tplc="0426000F">
      <w:start w:val="1"/>
      <w:numFmt w:val="decimal"/>
      <w:lvlText w:val="%1."/>
      <w:lvlJc w:val="left"/>
      <w:pPr>
        <w:ind w:left="643"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2813708"/>
    <w:multiLevelType w:val="hybridMultilevel"/>
    <w:tmpl w:val="C0E0F992"/>
    <w:lvl w:ilvl="0" w:tplc="0B7A95F6">
      <w:start w:val="1"/>
      <w:numFmt w:val="bullet"/>
      <w:lvlText w:val="-"/>
      <w:lvlJc w:val="left"/>
      <w:pPr>
        <w:ind w:left="360" w:hanging="360"/>
      </w:pPr>
      <w:rPr>
        <w:rFonts w:ascii="Bookman Old Style" w:eastAsia="Times New Roman" w:hAnsi="Bookman Old Style"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3F4949"/>
    <w:multiLevelType w:val="hybridMultilevel"/>
    <w:tmpl w:val="4DAE84BC"/>
    <w:lvl w:ilvl="0" w:tplc="0409000D">
      <w:start w:val="1"/>
      <w:numFmt w:val="bullet"/>
      <w:lvlText w:val=""/>
      <w:lvlJc w:val="left"/>
      <w:pPr>
        <w:ind w:left="2055" w:hanging="360"/>
      </w:pPr>
      <w:rPr>
        <w:rFonts w:ascii="Wingdings" w:hAnsi="Wingdings"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abstractNum w:abstractNumId="21" w15:restartNumberingAfterBreak="0">
    <w:nsid w:val="3C1C4E40"/>
    <w:multiLevelType w:val="multilevel"/>
    <w:tmpl w:val="5C62B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9152D4"/>
    <w:multiLevelType w:val="hybridMultilevel"/>
    <w:tmpl w:val="BCC0C718"/>
    <w:lvl w:ilvl="0" w:tplc="0B7A95F6">
      <w:start w:val="1"/>
      <w:numFmt w:val="bullet"/>
      <w:lvlText w:val="-"/>
      <w:lvlJc w:val="left"/>
      <w:pPr>
        <w:ind w:left="720" w:hanging="360"/>
      </w:pPr>
      <w:rPr>
        <w:rFonts w:ascii="Bookman Old Style" w:eastAsia="Times New Roman" w:hAnsi="Bookman Old Styl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E14B9D"/>
    <w:multiLevelType w:val="hybridMultilevel"/>
    <w:tmpl w:val="F4A27B00"/>
    <w:lvl w:ilvl="0" w:tplc="0B7A95F6">
      <w:start w:val="1"/>
      <w:numFmt w:val="bullet"/>
      <w:lvlText w:val="-"/>
      <w:lvlJc w:val="left"/>
      <w:pPr>
        <w:ind w:left="720" w:hanging="360"/>
      </w:pPr>
      <w:rPr>
        <w:rFonts w:ascii="Bookman Old Style" w:eastAsia="Times New Roman" w:hAnsi="Bookman Old Style"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4" w15:restartNumberingAfterBreak="0">
    <w:nsid w:val="413C6785"/>
    <w:multiLevelType w:val="multilevel"/>
    <w:tmpl w:val="0DACDFDC"/>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43001D58"/>
    <w:multiLevelType w:val="multilevel"/>
    <w:tmpl w:val="031A6B9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EF0675"/>
    <w:multiLevelType w:val="hybridMultilevel"/>
    <w:tmpl w:val="C2A4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307B13"/>
    <w:multiLevelType w:val="multilevel"/>
    <w:tmpl w:val="B384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AD70BB"/>
    <w:multiLevelType w:val="multilevel"/>
    <w:tmpl w:val="031A6B9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9C0CE3"/>
    <w:multiLevelType w:val="hybridMultilevel"/>
    <w:tmpl w:val="27FA181C"/>
    <w:lvl w:ilvl="0" w:tplc="0409000D">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30" w15:restartNumberingAfterBreak="0">
    <w:nsid w:val="53AC2AF5"/>
    <w:multiLevelType w:val="multilevel"/>
    <w:tmpl w:val="6846A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625EFE"/>
    <w:multiLevelType w:val="multilevel"/>
    <w:tmpl w:val="15A00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6E4F8F"/>
    <w:multiLevelType w:val="hybridMultilevel"/>
    <w:tmpl w:val="CA10448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92E76B4"/>
    <w:multiLevelType w:val="multilevel"/>
    <w:tmpl w:val="43B277A6"/>
    <w:lvl w:ilvl="0">
      <w:start w:val="1"/>
      <w:numFmt w:val="bullet"/>
      <w:lvlText w:val="-"/>
      <w:lvlJc w:val="left"/>
      <w:pPr>
        <w:tabs>
          <w:tab w:val="num" w:pos="360"/>
        </w:tabs>
        <w:ind w:left="360" w:hanging="360"/>
      </w:pPr>
      <w:rPr>
        <w:rFonts w:ascii="Bookman Old Style" w:eastAsia="Times New Roman" w:hAnsi="Bookman Old Style"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5CF85B86"/>
    <w:multiLevelType w:val="multilevel"/>
    <w:tmpl w:val="9B98B690"/>
    <w:lvl w:ilvl="0">
      <w:start w:val="1"/>
      <w:numFmt w:val="decimal"/>
      <w:lvlText w:val="%1."/>
      <w:lvlJc w:val="left"/>
      <w:pPr>
        <w:ind w:left="720" w:hanging="360"/>
      </w:pPr>
      <w:rPr>
        <w:rFonts w:hint="default"/>
        <w:b w:val="0"/>
        <w:caps w:val="0"/>
        <w:strike w:val="0"/>
        <w:dstrike w:val="0"/>
        <w:vanish w:val="0"/>
        <w:color w:val="000000"/>
        <w:sz w:val="24"/>
        <w:vertAlign w:val="baseline"/>
      </w:rPr>
    </w:lvl>
    <w:lvl w:ilvl="1">
      <w:start w:val="1"/>
      <w:numFmt w:val="decimal"/>
      <w:isLgl/>
      <w:lvlText w:val="%1.%2."/>
      <w:lvlJc w:val="left"/>
      <w:pPr>
        <w:ind w:left="927"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5" w15:restartNumberingAfterBreak="0">
    <w:nsid w:val="5F742362"/>
    <w:multiLevelType w:val="multilevel"/>
    <w:tmpl w:val="1A86FA0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6" w15:restartNumberingAfterBreak="0">
    <w:nsid w:val="641B195A"/>
    <w:multiLevelType w:val="hybridMultilevel"/>
    <w:tmpl w:val="B38C6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4E4D4C"/>
    <w:multiLevelType w:val="hybridMultilevel"/>
    <w:tmpl w:val="54CC85C2"/>
    <w:lvl w:ilvl="0" w:tplc="0B7A95F6">
      <w:start w:val="1"/>
      <w:numFmt w:val="bullet"/>
      <w:lvlText w:val="-"/>
      <w:lvlJc w:val="left"/>
      <w:pPr>
        <w:ind w:left="720" w:hanging="360"/>
      </w:pPr>
      <w:rPr>
        <w:rFonts w:ascii="Bookman Old Style" w:eastAsia="Times New Roman" w:hAnsi="Bookman Old Styl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49633C"/>
    <w:multiLevelType w:val="hybridMultilevel"/>
    <w:tmpl w:val="CD3E44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65C3285"/>
    <w:multiLevelType w:val="hybridMultilevel"/>
    <w:tmpl w:val="642A3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E1F71"/>
    <w:multiLevelType w:val="hybridMultilevel"/>
    <w:tmpl w:val="925C4C50"/>
    <w:lvl w:ilvl="0" w:tplc="0B7A95F6">
      <w:start w:val="1"/>
      <w:numFmt w:val="bullet"/>
      <w:lvlText w:val="-"/>
      <w:lvlJc w:val="left"/>
      <w:pPr>
        <w:ind w:left="720" w:hanging="360"/>
      </w:pPr>
      <w:rPr>
        <w:rFonts w:ascii="Bookman Old Style" w:eastAsia="Times New Roman" w:hAnsi="Bookman Old Styl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521B66"/>
    <w:multiLevelType w:val="multilevel"/>
    <w:tmpl w:val="B864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DE79C3"/>
    <w:multiLevelType w:val="multilevel"/>
    <w:tmpl w:val="2690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517803"/>
    <w:multiLevelType w:val="multilevel"/>
    <w:tmpl w:val="DC508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4265B1"/>
    <w:multiLevelType w:val="multilevel"/>
    <w:tmpl w:val="1ADA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A067F4"/>
    <w:multiLevelType w:val="hybridMultilevel"/>
    <w:tmpl w:val="97CE3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882780"/>
    <w:multiLevelType w:val="hybridMultilevel"/>
    <w:tmpl w:val="1C3A51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5044D9"/>
    <w:multiLevelType w:val="hybridMultilevel"/>
    <w:tmpl w:val="D2C6A008"/>
    <w:lvl w:ilvl="0" w:tplc="0409000D">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48" w15:restartNumberingAfterBreak="0">
    <w:nsid w:val="7FAA7591"/>
    <w:multiLevelType w:val="hybridMultilevel"/>
    <w:tmpl w:val="511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8"/>
  </w:num>
  <w:num w:numId="3">
    <w:abstractNumId w:val="11"/>
  </w:num>
  <w:num w:numId="4">
    <w:abstractNumId w:val="37"/>
  </w:num>
  <w:num w:numId="5">
    <w:abstractNumId w:val="5"/>
  </w:num>
  <w:num w:numId="6">
    <w:abstractNumId w:val="34"/>
  </w:num>
  <w:num w:numId="7">
    <w:abstractNumId w:val="18"/>
  </w:num>
  <w:num w:numId="8">
    <w:abstractNumId w:val="25"/>
  </w:num>
  <w:num w:numId="9">
    <w:abstractNumId w:val="28"/>
  </w:num>
  <w:num w:numId="10">
    <w:abstractNumId w:val="15"/>
  </w:num>
  <w:num w:numId="11">
    <w:abstractNumId w:val="9"/>
  </w:num>
  <w:num w:numId="12">
    <w:abstractNumId w:val="24"/>
  </w:num>
  <w:num w:numId="13">
    <w:abstractNumId w:val="3"/>
  </w:num>
  <w:num w:numId="14">
    <w:abstractNumId w:val="7"/>
  </w:num>
  <w:num w:numId="15">
    <w:abstractNumId w:val="27"/>
  </w:num>
  <w:num w:numId="16">
    <w:abstractNumId w:val="0"/>
  </w:num>
  <w:num w:numId="17">
    <w:abstractNumId w:val="41"/>
  </w:num>
  <w:num w:numId="18">
    <w:abstractNumId w:val="30"/>
  </w:num>
  <w:num w:numId="19">
    <w:abstractNumId w:val="42"/>
  </w:num>
  <w:num w:numId="20">
    <w:abstractNumId w:val="43"/>
  </w:num>
  <w:num w:numId="21">
    <w:abstractNumId w:val="10"/>
  </w:num>
  <w:num w:numId="22">
    <w:abstractNumId w:val="19"/>
  </w:num>
  <w:num w:numId="23">
    <w:abstractNumId w:val="33"/>
  </w:num>
  <w:num w:numId="24">
    <w:abstractNumId w:val="48"/>
  </w:num>
  <w:num w:numId="25">
    <w:abstractNumId w:val="13"/>
  </w:num>
  <w:num w:numId="26">
    <w:abstractNumId w:val="32"/>
  </w:num>
  <w:num w:numId="27">
    <w:abstractNumId w:val="47"/>
  </w:num>
  <w:num w:numId="28">
    <w:abstractNumId w:val="29"/>
  </w:num>
  <w:num w:numId="29">
    <w:abstractNumId w:val="20"/>
  </w:num>
  <w:num w:numId="30">
    <w:abstractNumId w:val="2"/>
  </w:num>
  <w:num w:numId="31">
    <w:abstractNumId w:val="1"/>
  </w:num>
  <w:num w:numId="32">
    <w:abstractNumId w:val="17"/>
  </w:num>
  <w:num w:numId="33">
    <w:abstractNumId w:val="39"/>
  </w:num>
  <w:num w:numId="34">
    <w:abstractNumId w:val="26"/>
  </w:num>
  <w:num w:numId="35">
    <w:abstractNumId w:val="36"/>
  </w:num>
  <w:num w:numId="36">
    <w:abstractNumId w:val="14"/>
  </w:num>
  <w:num w:numId="37">
    <w:abstractNumId w:val="12"/>
  </w:num>
  <w:num w:numId="38">
    <w:abstractNumId w:val="23"/>
  </w:num>
  <w:num w:numId="39">
    <w:abstractNumId w:val="22"/>
  </w:num>
  <w:num w:numId="40">
    <w:abstractNumId w:val="40"/>
  </w:num>
  <w:num w:numId="41">
    <w:abstractNumId w:val="4"/>
  </w:num>
  <w:num w:numId="42">
    <w:abstractNumId w:val="16"/>
  </w:num>
  <w:num w:numId="43">
    <w:abstractNumId w:val="46"/>
  </w:num>
  <w:num w:numId="44">
    <w:abstractNumId w:val="6"/>
  </w:num>
  <w:num w:numId="45">
    <w:abstractNumId w:val="44"/>
  </w:num>
  <w:num w:numId="46">
    <w:abstractNumId w:val="21"/>
  </w:num>
  <w:num w:numId="47">
    <w:abstractNumId w:val="31"/>
  </w:num>
  <w:num w:numId="48">
    <w:abstractNumId w:val="8"/>
  </w:num>
  <w:num w:numId="49">
    <w:abstractNumId w:val="4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D25"/>
    <w:rsid w:val="000000CB"/>
    <w:rsid w:val="00000BAB"/>
    <w:rsid w:val="00002192"/>
    <w:rsid w:val="000023CC"/>
    <w:rsid w:val="00002644"/>
    <w:rsid w:val="000043AD"/>
    <w:rsid w:val="00004460"/>
    <w:rsid w:val="000049C8"/>
    <w:rsid w:val="00005128"/>
    <w:rsid w:val="00005661"/>
    <w:rsid w:val="00005851"/>
    <w:rsid w:val="000067A9"/>
    <w:rsid w:val="00007A9E"/>
    <w:rsid w:val="00007FA1"/>
    <w:rsid w:val="00010080"/>
    <w:rsid w:val="000101A5"/>
    <w:rsid w:val="00011365"/>
    <w:rsid w:val="00011564"/>
    <w:rsid w:val="00011D6A"/>
    <w:rsid w:val="00013FDA"/>
    <w:rsid w:val="00014486"/>
    <w:rsid w:val="000146DD"/>
    <w:rsid w:val="000151F8"/>
    <w:rsid w:val="0001659E"/>
    <w:rsid w:val="00016B35"/>
    <w:rsid w:val="00017036"/>
    <w:rsid w:val="000176A6"/>
    <w:rsid w:val="000177EB"/>
    <w:rsid w:val="00017C69"/>
    <w:rsid w:val="00017FEE"/>
    <w:rsid w:val="00020951"/>
    <w:rsid w:val="00021959"/>
    <w:rsid w:val="00022F93"/>
    <w:rsid w:val="0002411F"/>
    <w:rsid w:val="000248AB"/>
    <w:rsid w:val="00026F8A"/>
    <w:rsid w:val="00027DFE"/>
    <w:rsid w:val="00031B08"/>
    <w:rsid w:val="000323FB"/>
    <w:rsid w:val="00032D9C"/>
    <w:rsid w:val="00035AE5"/>
    <w:rsid w:val="00035BEC"/>
    <w:rsid w:val="00035CB4"/>
    <w:rsid w:val="000363C3"/>
    <w:rsid w:val="000369B3"/>
    <w:rsid w:val="00037894"/>
    <w:rsid w:val="00040DC6"/>
    <w:rsid w:val="00041271"/>
    <w:rsid w:val="00041997"/>
    <w:rsid w:val="00041A6E"/>
    <w:rsid w:val="00043073"/>
    <w:rsid w:val="00043237"/>
    <w:rsid w:val="00045D6C"/>
    <w:rsid w:val="00046A1D"/>
    <w:rsid w:val="00046F44"/>
    <w:rsid w:val="00047286"/>
    <w:rsid w:val="00050E67"/>
    <w:rsid w:val="000510F1"/>
    <w:rsid w:val="00053287"/>
    <w:rsid w:val="00053DB2"/>
    <w:rsid w:val="00054108"/>
    <w:rsid w:val="00054E75"/>
    <w:rsid w:val="000556FC"/>
    <w:rsid w:val="00056E36"/>
    <w:rsid w:val="00056FA6"/>
    <w:rsid w:val="00057672"/>
    <w:rsid w:val="0005768C"/>
    <w:rsid w:val="00060207"/>
    <w:rsid w:val="00060756"/>
    <w:rsid w:val="0006079F"/>
    <w:rsid w:val="00061417"/>
    <w:rsid w:val="0006174A"/>
    <w:rsid w:val="00061C22"/>
    <w:rsid w:val="00061EF9"/>
    <w:rsid w:val="000622EC"/>
    <w:rsid w:val="00063697"/>
    <w:rsid w:val="000636A8"/>
    <w:rsid w:val="00063E5B"/>
    <w:rsid w:val="00063EC6"/>
    <w:rsid w:val="00064936"/>
    <w:rsid w:val="0006515B"/>
    <w:rsid w:val="00065227"/>
    <w:rsid w:val="00066701"/>
    <w:rsid w:val="00066BC9"/>
    <w:rsid w:val="00066E07"/>
    <w:rsid w:val="00067B13"/>
    <w:rsid w:val="000700B5"/>
    <w:rsid w:val="000713BF"/>
    <w:rsid w:val="00071AA2"/>
    <w:rsid w:val="00071CE5"/>
    <w:rsid w:val="00073865"/>
    <w:rsid w:val="00073AB2"/>
    <w:rsid w:val="00074EDF"/>
    <w:rsid w:val="00074FF6"/>
    <w:rsid w:val="000753CD"/>
    <w:rsid w:val="00075D1E"/>
    <w:rsid w:val="000771F3"/>
    <w:rsid w:val="00077669"/>
    <w:rsid w:val="00077FAD"/>
    <w:rsid w:val="0008096E"/>
    <w:rsid w:val="00080A38"/>
    <w:rsid w:val="00080DD8"/>
    <w:rsid w:val="000813D5"/>
    <w:rsid w:val="00081A05"/>
    <w:rsid w:val="00081E2B"/>
    <w:rsid w:val="000829C9"/>
    <w:rsid w:val="000829EB"/>
    <w:rsid w:val="00082C2B"/>
    <w:rsid w:val="00084489"/>
    <w:rsid w:val="000844FC"/>
    <w:rsid w:val="000846C5"/>
    <w:rsid w:val="000853F5"/>
    <w:rsid w:val="00086FFF"/>
    <w:rsid w:val="0008727D"/>
    <w:rsid w:val="000904DD"/>
    <w:rsid w:val="0009121E"/>
    <w:rsid w:val="0009170A"/>
    <w:rsid w:val="00091E11"/>
    <w:rsid w:val="0009280B"/>
    <w:rsid w:val="00092CF3"/>
    <w:rsid w:val="0009338E"/>
    <w:rsid w:val="000936AC"/>
    <w:rsid w:val="0009383A"/>
    <w:rsid w:val="00093EF4"/>
    <w:rsid w:val="00094C5D"/>
    <w:rsid w:val="00094D0A"/>
    <w:rsid w:val="00094D0D"/>
    <w:rsid w:val="0009534F"/>
    <w:rsid w:val="00095E1C"/>
    <w:rsid w:val="0009610C"/>
    <w:rsid w:val="0009631F"/>
    <w:rsid w:val="00096817"/>
    <w:rsid w:val="00096EDF"/>
    <w:rsid w:val="00097145"/>
    <w:rsid w:val="000A0211"/>
    <w:rsid w:val="000A04F4"/>
    <w:rsid w:val="000A0858"/>
    <w:rsid w:val="000A140D"/>
    <w:rsid w:val="000A2A81"/>
    <w:rsid w:val="000A3BA9"/>
    <w:rsid w:val="000A5AF0"/>
    <w:rsid w:val="000A78B8"/>
    <w:rsid w:val="000A7B7A"/>
    <w:rsid w:val="000B051B"/>
    <w:rsid w:val="000B0B3A"/>
    <w:rsid w:val="000B1271"/>
    <w:rsid w:val="000B1B01"/>
    <w:rsid w:val="000B1B71"/>
    <w:rsid w:val="000B28DF"/>
    <w:rsid w:val="000B2C89"/>
    <w:rsid w:val="000B3350"/>
    <w:rsid w:val="000B37D4"/>
    <w:rsid w:val="000B4A3C"/>
    <w:rsid w:val="000B5936"/>
    <w:rsid w:val="000B5E23"/>
    <w:rsid w:val="000B6364"/>
    <w:rsid w:val="000B64E3"/>
    <w:rsid w:val="000B6582"/>
    <w:rsid w:val="000B6742"/>
    <w:rsid w:val="000B7F55"/>
    <w:rsid w:val="000C0280"/>
    <w:rsid w:val="000C02B0"/>
    <w:rsid w:val="000C0677"/>
    <w:rsid w:val="000C0A01"/>
    <w:rsid w:val="000C11DD"/>
    <w:rsid w:val="000C14A2"/>
    <w:rsid w:val="000C1860"/>
    <w:rsid w:val="000C31AC"/>
    <w:rsid w:val="000C344B"/>
    <w:rsid w:val="000C435E"/>
    <w:rsid w:val="000C5132"/>
    <w:rsid w:val="000C528F"/>
    <w:rsid w:val="000C5591"/>
    <w:rsid w:val="000C587D"/>
    <w:rsid w:val="000C5A6F"/>
    <w:rsid w:val="000C5CD9"/>
    <w:rsid w:val="000C6156"/>
    <w:rsid w:val="000C6435"/>
    <w:rsid w:val="000C7254"/>
    <w:rsid w:val="000D0330"/>
    <w:rsid w:val="000D13B7"/>
    <w:rsid w:val="000D3128"/>
    <w:rsid w:val="000D3797"/>
    <w:rsid w:val="000D4909"/>
    <w:rsid w:val="000D4D22"/>
    <w:rsid w:val="000D6385"/>
    <w:rsid w:val="000D699A"/>
    <w:rsid w:val="000D6BA1"/>
    <w:rsid w:val="000D738A"/>
    <w:rsid w:val="000E0BA7"/>
    <w:rsid w:val="000E16AA"/>
    <w:rsid w:val="000E2CE0"/>
    <w:rsid w:val="000E2D8E"/>
    <w:rsid w:val="000E2EA9"/>
    <w:rsid w:val="000E32E4"/>
    <w:rsid w:val="000E3938"/>
    <w:rsid w:val="000E3B26"/>
    <w:rsid w:val="000E3B3B"/>
    <w:rsid w:val="000E474E"/>
    <w:rsid w:val="000E4763"/>
    <w:rsid w:val="000E4817"/>
    <w:rsid w:val="000E49F7"/>
    <w:rsid w:val="000E4AF1"/>
    <w:rsid w:val="000E51F2"/>
    <w:rsid w:val="000E52E3"/>
    <w:rsid w:val="000E5B8B"/>
    <w:rsid w:val="000E6635"/>
    <w:rsid w:val="000E6B55"/>
    <w:rsid w:val="000E6E17"/>
    <w:rsid w:val="000E778B"/>
    <w:rsid w:val="000F01E1"/>
    <w:rsid w:val="000F03F9"/>
    <w:rsid w:val="000F0DFE"/>
    <w:rsid w:val="000F0E02"/>
    <w:rsid w:val="000F1F8E"/>
    <w:rsid w:val="000F2758"/>
    <w:rsid w:val="000F31D8"/>
    <w:rsid w:val="000F471C"/>
    <w:rsid w:val="000F520B"/>
    <w:rsid w:val="000F5563"/>
    <w:rsid w:val="000F5696"/>
    <w:rsid w:val="000F6A63"/>
    <w:rsid w:val="000F6BBA"/>
    <w:rsid w:val="000F7AC4"/>
    <w:rsid w:val="000F7EF0"/>
    <w:rsid w:val="0010031C"/>
    <w:rsid w:val="00100FF8"/>
    <w:rsid w:val="001017B2"/>
    <w:rsid w:val="001019A0"/>
    <w:rsid w:val="00102221"/>
    <w:rsid w:val="001025F0"/>
    <w:rsid w:val="001030DA"/>
    <w:rsid w:val="00103B3F"/>
    <w:rsid w:val="00104911"/>
    <w:rsid w:val="00106D55"/>
    <w:rsid w:val="00110C68"/>
    <w:rsid w:val="00110E74"/>
    <w:rsid w:val="00110FA2"/>
    <w:rsid w:val="00111198"/>
    <w:rsid w:val="00111E16"/>
    <w:rsid w:val="00111F5A"/>
    <w:rsid w:val="00112E84"/>
    <w:rsid w:val="00113633"/>
    <w:rsid w:val="00113A14"/>
    <w:rsid w:val="00113C00"/>
    <w:rsid w:val="001159B8"/>
    <w:rsid w:val="001162AE"/>
    <w:rsid w:val="001164DD"/>
    <w:rsid w:val="00116579"/>
    <w:rsid w:val="001168DC"/>
    <w:rsid w:val="00116FBB"/>
    <w:rsid w:val="001173B0"/>
    <w:rsid w:val="00117F99"/>
    <w:rsid w:val="001203C6"/>
    <w:rsid w:val="00120862"/>
    <w:rsid w:val="00121415"/>
    <w:rsid w:val="001216C9"/>
    <w:rsid w:val="00121C87"/>
    <w:rsid w:val="00121EAD"/>
    <w:rsid w:val="00123C82"/>
    <w:rsid w:val="00123F4A"/>
    <w:rsid w:val="00124932"/>
    <w:rsid w:val="00125171"/>
    <w:rsid w:val="00125404"/>
    <w:rsid w:val="00126701"/>
    <w:rsid w:val="0012707F"/>
    <w:rsid w:val="0012767E"/>
    <w:rsid w:val="00127BC5"/>
    <w:rsid w:val="001302F9"/>
    <w:rsid w:val="00131482"/>
    <w:rsid w:val="00132D68"/>
    <w:rsid w:val="00133DEE"/>
    <w:rsid w:val="0013426F"/>
    <w:rsid w:val="00134564"/>
    <w:rsid w:val="00134BA0"/>
    <w:rsid w:val="00134F63"/>
    <w:rsid w:val="00134F79"/>
    <w:rsid w:val="001371C3"/>
    <w:rsid w:val="0013774E"/>
    <w:rsid w:val="001379CE"/>
    <w:rsid w:val="00140D76"/>
    <w:rsid w:val="0014174A"/>
    <w:rsid w:val="00142106"/>
    <w:rsid w:val="00142194"/>
    <w:rsid w:val="00142E66"/>
    <w:rsid w:val="0014346E"/>
    <w:rsid w:val="00146429"/>
    <w:rsid w:val="0014673D"/>
    <w:rsid w:val="00146BCB"/>
    <w:rsid w:val="00147136"/>
    <w:rsid w:val="001473F8"/>
    <w:rsid w:val="00147408"/>
    <w:rsid w:val="0014793B"/>
    <w:rsid w:val="00147CB5"/>
    <w:rsid w:val="00147F02"/>
    <w:rsid w:val="00150006"/>
    <w:rsid w:val="0015087C"/>
    <w:rsid w:val="00151A58"/>
    <w:rsid w:val="00153219"/>
    <w:rsid w:val="00153ABD"/>
    <w:rsid w:val="00155380"/>
    <w:rsid w:val="0015585F"/>
    <w:rsid w:val="00155C84"/>
    <w:rsid w:val="00155F8D"/>
    <w:rsid w:val="00156DAB"/>
    <w:rsid w:val="001572CF"/>
    <w:rsid w:val="001606DD"/>
    <w:rsid w:val="00160C5F"/>
    <w:rsid w:val="00160D92"/>
    <w:rsid w:val="0016122A"/>
    <w:rsid w:val="001622A8"/>
    <w:rsid w:val="00162AC3"/>
    <w:rsid w:val="00162ADA"/>
    <w:rsid w:val="00164A04"/>
    <w:rsid w:val="00166D25"/>
    <w:rsid w:val="00167F20"/>
    <w:rsid w:val="00170922"/>
    <w:rsid w:val="00171B34"/>
    <w:rsid w:val="00171CB5"/>
    <w:rsid w:val="00171D4A"/>
    <w:rsid w:val="0017225E"/>
    <w:rsid w:val="00172D6B"/>
    <w:rsid w:val="00172F7E"/>
    <w:rsid w:val="001742A3"/>
    <w:rsid w:val="00174389"/>
    <w:rsid w:val="001750AE"/>
    <w:rsid w:val="0017510A"/>
    <w:rsid w:val="00175655"/>
    <w:rsid w:val="00177404"/>
    <w:rsid w:val="00177A06"/>
    <w:rsid w:val="00177A99"/>
    <w:rsid w:val="001807DB"/>
    <w:rsid w:val="00180A12"/>
    <w:rsid w:val="00180D21"/>
    <w:rsid w:val="00180E5D"/>
    <w:rsid w:val="0018122D"/>
    <w:rsid w:val="0018162D"/>
    <w:rsid w:val="00181664"/>
    <w:rsid w:val="00182B0E"/>
    <w:rsid w:val="00182D2F"/>
    <w:rsid w:val="00182D43"/>
    <w:rsid w:val="001831C7"/>
    <w:rsid w:val="00183A16"/>
    <w:rsid w:val="00183DCB"/>
    <w:rsid w:val="00183ED3"/>
    <w:rsid w:val="00183EE9"/>
    <w:rsid w:val="00186182"/>
    <w:rsid w:val="00186385"/>
    <w:rsid w:val="00186CF2"/>
    <w:rsid w:val="001908AC"/>
    <w:rsid w:val="00190DE2"/>
    <w:rsid w:val="001926A6"/>
    <w:rsid w:val="00194533"/>
    <w:rsid w:val="001945A1"/>
    <w:rsid w:val="00194A86"/>
    <w:rsid w:val="00194E4F"/>
    <w:rsid w:val="001A00A4"/>
    <w:rsid w:val="001A016A"/>
    <w:rsid w:val="001A08E1"/>
    <w:rsid w:val="001A0A1F"/>
    <w:rsid w:val="001A1BED"/>
    <w:rsid w:val="001A1CC4"/>
    <w:rsid w:val="001A3939"/>
    <w:rsid w:val="001A411A"/>
    <w:rsid w:val="001A4556"/>
    <w:rsid w:val="001A4626"/>
    <w:rsid w:val="001A55EA"/>
    <w:rsid w:val="001A63EA"/>
    <w:rsid w:val="001A6522"/>
    <w:rsid w:val="001A69DA"/>
    <w:rsid w:val="001A6D4E"/>
    <w:rsid w:val="001A75DF"/>
    <w:rsid w:val="001B0A05"/>
    <w:rsid w:val="001B117E"/>
    <w:rsid w:val="001B179E"/>
    <w:rsid w:val="001B1C08"/>
    <w:rsid w:val="001B2262"/>
    <w:rsid w:val="001B322D"/>
    <w:rsid w:val="001B4650"/>
    <w:rsid w:val="001B4A3F"/>
    <w:rsid w:val="001B5543"/>
    <w:rsid w:val="001B589E"/>
    <w:rsid w:val="001B62C7"/>
    <w:rsid w:val="001B62F0"/>
    <w:rsid w:val="001B6447"/>
    <w:rsid w:val="001B6BA7"/>
    <w:rsid w:val="001B7A95"/>
    <w:rsid w:val="001B7C0F"/>
    <w:rsid w:val="001C0405"/>
    <w:rsid w:val="001C0BD7"/>
    <w:rsid w:val="001C107E"/>
    <w:rsid w:val="001C1771"/>
    <w:rsid w:val="001C1AA2"/>
    <w:rsid w:val="001C29EF"/>
    <w:rsid w:val="001C2AC6"/>
    <w:rsid w:val="001C379B"/>
    <w:rsid w:val="001C3A01"/>
    <w:rsid w:val="001C3B64"/>
    <w:rsid w:val="001C3F4A"/>
    <w:rsid w:val="001C4BB0"/>
    <w:rsid w:val="001C5D08"/>
    <w:rsid w:val="001C64CD"/>
    <w:rsid w:val="001C76EC"/>
    <w:rsid w:val="001C77FA"/>
    <w:rsid w:val="001D0E46"/>
    <w:rsid w:val="001D19AB"/>
    <w:rsid w:val="001D28B9"/>
    <w:rsid w:val="001D30B6"/>
    <w:rsid w:val="001D3D22"/>
    <w:rsid w:val="001D445B"/>
    <w:rsid w:val="001D4854"/>
    <w:rsid w:val="001D6AE7"/>
    <w:rsid w:val="001D6D4F"/>
    <w:rsid w:val="001D70E0"/>
    <w:rsid w:val="001D7A7A"/>
    <w:rsid w:val="001E0A9E"/>
    <w:rsid w:val="001E1F0B"/>
    <w:rsid w:val="001E2324"/>
    <w:rsid w:val="001E24C3"/>
    <w:rsid w:val="001E3885"/>
    <w:rsid w:val="001E4B35"/>
    <w:rsid w:val="001E4D02"/>
    <w:rsid w:val="001E537F"/>
    <w:rsid w:val="001E54EA"/>
    <w:rsid w:val="001E5DE9"/>
    <w:rsid w:val="001E6D0A"/>
    <w:rsid w:val="001F199E"/>
    <w:rsid w:val="001F1A91"/>
    <w:rsid w:val="001F20CA"/>
    <w:rsid w:val="001F3484"/>
    <w:rsid w:val="001F3BBF"/>
    <w:rsid w:val="001F4240"/>
    <w:rsid w:val="001F4DC6"/>
    <w:rsid w:val="001F591A"/>
    <w:rsid w:val="001F5CF8"/>
    <w:rsid w:val="001F7DB2"/>
    <w:rsid w:val="00200A76"/>
    <w:rsid w:val="0020149F"/>
    <w:rsid w:val="00201516"/>
    <w:rsid w:val="002025A3"/>
    <w:rsid w:val="002031C8"/>
    <w:rsid w:val="00203A4B"/>
    <w:rsid w:val="00203BBB"/>
    <w:rsid w:val="0020436C"/>
    <w:rsid w:val="0020462F"/>
    <w:rsid w:val="0020477A"/>
    <w:rsid w:val="00204B98"/>
    <w:rsid w:val="00204C79"/>
    <w:rsid w:val="00204F37"/>
    <w:rsid w:val="00205591"/>
    <w:rsid w:val="002066D2"/>
    <w:rsid w:val="0020697A"/>
    <w:rsid w:val="0020709F"/>
    <w:rsid w:val="00207FE1"/>
    <w:rsid w:val="002117B5"/>
    <w:rsid w:val="00211831"/>
    <w:rsid w:val="002122C6"/>
    <w:rsid w:val="00212C26"/>
    <w:rsid w:val="00213965"/>
    <w:rsid w:val="00213B84"/>
    <w:rsid w:val="00213EC0"/>
    <w:rsid w:val="00214392"/>
    <w:rsid w:val="002154B7"/>
    <w:rsid w:val="00215529"/>
    <w:rsid w:val="002156CF"/>
    <w:rsid w:val="00215C97"/>
    <w:rsid w:val="00216B34"/>
    <w:rsid w:val="00216C69"/>
    <w:rsid w:val="0021738B"/>
    <w:rsid w:val="00217AFB"/>
    <w:rsid w:val="00220B1B"/>
    <w:rsid w:val="00220B72"/>
    <w:rsid w:val="00221034"/>
    <w:rsid w:val="00221075"/>
    <w:rsid w:val="002216FF"/>
    <w:rsid w:val="00221748"/>
    <w:rsid w:val="0022324D"/>
    <w:rsid w:val="00223DA3"/>
    <w:rsid w:val="00224D57"/>
    <w:rsid w:val="00225687"/>
    <w:rsid w:val="0022619E"/>
    <w:rsid w:val="00227AC8"/>
    <w:rsid w:val="00227CF8"/>
    <w:rsid w:val="00231135"/>
    <w:rsid w:val="00231724"/>
    <w:rsid w:val="00231BB1"/>
    <w:rsid w:val="00232619"/>
    <w:rsid w:val="0023274E"/>
    <w:rsid w:val="00232B74"/>
    <w:rsid w:val="00234348"/>
    <w:rsid w:val="002344FA"/>
    <w:rsid w:val="0023471A"/>
    <w:rsid w:val="00234CAD"/>
    <w:rsid w:val="0023543E"/>
    <w:rsid w:val="002368CA"/>
    <w:rsid w:val="00237E92"/>
    <w:rsid w:val="0024091C"/>
    <w:rsid w:val="00240A75"/>
    <w:rsid w:val="00240F38"/>
    <w:rsid w:val="002410FE"/>
    <w:rsid w:val="00241433"/>
    <w:rsid w:val="0024160F"/>
    <w:rsid w:val="00241C03"/>
    <w:rsid w:val="00241C54"/>
    <w:rsid w:val="002421F5"/>
    <w:rsid w:val="00243446"/>
    <w:rsid w:val="00243B86"/>
    <w:rsid w:val="002446CF"/>
    <w:rsid w:val="00245566"/>
    <w:rsid w:val="00245D1E"/>
    <w:rsid w:val="00245FB4"/>
    <w:rsid w:val="00246D15"/>
    <w:rsid w:val="00250096"/>
    <w:rsid w:val="0025062E"/>
    <w:rsid w:val="00251D43"/>
    <w:rsid w:val="00252B3A"/>
    <w:rsid w:val="00253F5F"/>
    <w:rsid w:val="0025471F"/>
    <w:rsid w:val="00254BA5"/>
    <w:rsid w:val="00254CFF"/>
    <w:rsid w:val="00255CCC"/>
    <w:rsid w:val="00257677"/>
    <w:rsid w:val="00257BD9"/>
    <w:rsid w:val="00261257"/>
    <w:rsid w:val="0026185B"/>
    <w:rsid w:val="00262300"/>
    <w:rsid w:val="0026254F"/>
    <w:rsid w:val="002633AF"/>
    <w:rsid w:val="002637BD"/>
    <w:rsid w:val="002646CE"/>
    <w:rsid w:val="002653FA"/>
    <w:rsid w:val="00265BEE"/>
    <w:rsid w:val="00265D07"/>
    <w:rsid w:val="00266AA2"/>
    <w:rsid w:val="00267100"/>
    <w:rsid w:val="00272D98"/>
    <w:rsid w:val="00273B0C"/>
    <w:rsid w:val="00273C35"/>
    <w:rsid w:val="00273E8B"/>
    <w:rsid w:val="0027422E"/>
    <w:rsid w:val="002754D9"/>
    <w:rsid w:val="002755B0"/>
    <w:rsid w:val="00275963"/>
    <w:rsid w:val="00275DEE"/>
    <w:rsid w:val="00275E2A"/>
    <w:rsid w:val="002766C5"/>
    <w:rsid w:val="00277198"/>
    <w:rsid w:val="00277EAE"/>
    <w:rsid w:val="0028085E"/>
    <w:rsid w:val="00280A10"/>
    <w:rsid w:val="00280ABE"/>
    <w:rsid w:val="002810B6"/>
    <w:rsid w:val="00281A7B"/>
    <w:rsid w:val="00281E6B"/>
    <w:rsid w:val="00281F6A"/>
    <w:rsid w:val="002820BE"/>
    <w:rsid w:val="00282109"/>
    <w:rsid w:val="002835D4"/>
    <w:rsid w:val="002841B9"/>
    <w:rsid w:val="00284565"/>
    <w:rsid w:val="00284C4B"/>
    <w:rsid w:val="002853E9"/>
    <w:rsid w:val="00286E35"/>
    <w:rsid w:val="00290023"/>
    <w:rsid w:val="002901D6"/>
    <w:rsid w:val="00291308"/>
    <w:rsid w:val="00291D64"/>
    <w:rsid w:val="002927DE"/>
    <w:rsid w:val="00292B65"/>
    <w:rsid w:val="00293042"/>
    <w:rsid w:val="00293249"/>
    <w:rsid w:val="00294080"/>
    <w:rsid w:val="00294620"/>
    <w:rsid w:val="00294F48"/>
    <w:rsid w:val="002954A0"/>
    <w:rsid w:val="00295B7F"/>
    <w:rsid w:val="00296852"/>
    <w:rsid w:val="00296EFE"/>
    <w:rsid w:val="0029728A"/>
    <w:rsid w:val="002A00DB"/>
    <w:rsid w:val="002A01E4"/>
    <w:rsid w:val="002A1433"/>
    <w:rsid w:val="002A1AC9"/>
    <w:rsid w:val="002A1CCD"/>
    <w:rsid w:val="002A48C4"/>
    <w:rsid w:val="002A51D2"/>
    <w:rsid w:val="002A5CD6"/>
    <w:rsid w:val="002A6AEB"/>
    <w:rsid w:val="002A6DA7"/>
    <w:rsid w:val="002A7F99"/>
    <w:rsid w:val="002B1A16"/>
    <w:rsid w:val="002B1E99"/>
    <w:rsid w:val="002B1EC3"/>
    <w:rsid w:val="002B4262"/>
    <w:rsid w:val="002B4757"/>
    <w:rsid w:val="002B4F40"/>
    <w:rsid w:val="002B5972"/>
    <w:rsid w:val="002B5D7F"/>
    <w:rsid w:val="002B5E17"/>
    <w:rsid w:val="002B5FD6"/>
    <w:rsid w:val="002B61FB"/>
    <w:rsid w:val="002B7237"/>
    <w:rsid w:val="002B740F"/>
    <w:rsid w:val="002B7C86"/>
    <w:rsid w:val="002C09FC"/>
    <w:rsid w:val="002C2C09"/>
    <w:rsid w:val="002C39E8"/>
    <w:rsid w:val="002C4257"/>
    <w:rsid w:val="002C46D6"/>
    <w:rsid w:val="002C54B6"/>
    <w:rsid w:val="002C602F"/>
    <w:rsid w:val="002C71CB"/>
    <w:rsid w:val="002C7237"/>
    <w:rsid w:val="002C7830"/>
    <w:rsid w:val="002D043D"/>
    <w:rsid w:val="002D058A"/>
    <w:rsid w:val="002D2005"/>
    <w:rsid w:val="002D25BB"/>
    <w:rsid w:val="002D2DDA"/>
    <w:rsid w:val="002D2EF6"/>
    <w:rsid w:val="002D3400"/>
    <w:rsid w:val="002D37A1"/>
    <w:rsid w:val="002D395A"/>
    <w:rsid w:val="002D39BF"/>
    <w:rsid w:val="002D3CCA"/>
    <w:rsid w:val="002D4B2A"/>
    <w:rsid w:val="002D5602"/>
    <w:rsid w:val="002D5C0F"/>
    <w:rsid w:val="002D5F0D"/>
    <w:rsid w:val="002D662C"/>
    <w:rsid w:val="002D77A1"/>
    <w:rsid w:val="002D7B30"/>
    <w:rsid w:val="002E109E"/>
    <w:rsid w:val="002E1461"/>
    <w:rsid w:val="002E2167"/>
    <w:rsid w:val="002E2351"/>
    <w:rsid w:val="002E24EA"/>
    <w:rsid w:val="002E2E41"/>
    <w:rsid w:val="002E33FD"/>
    <w:rsid w:val="002E3C65"/>
    <w:rsid w:val="002E49B9"/>
    <w:rsid w:val="002E5268"/>
    <w:rsid w:val="002E527A"/>
    <w:rsid w:val="002E536D"/>
    <w:rsid w:val="002E57A9"/>
    <w:rsid w:val="002E59E6"/>
    <w:rsid w:val="002E5D0C"/>
    <w:rsid w:val="002E6DBA"/>
    <w:rsid w:val="002F0AB6"/>
    <w:rsid w:val="002F169A"/>
    <w:rsid w:val="002F1AA5"/>
    <w:rsid w:val="002F1F7C"/>
    <w:rsid w:val="002F38FD"/>
    <w:rsid w:val="002F41B5"/>
    <w:rsid w:val="002F485B"/>
    <w:rsid w:val="002F522E"/>
    <w:rsid w:val="002F68AA"/>
    <w:rsid w:val="002F792A"/>
    <w:rsid w:val="002F7AC7"/>
    <w:rsid w:val="002F7C18"/>
    <w:rsid w:val="00300479"/>
    <w:rsid w:val="003006A8"/>
    <w:rsid w:val="003009CF"/>
    <w:rsid w:val="00300E49"/>
    <w:rsid w:val="0030149D"/>
    <w:rsid w:val="003016B6"/>
    <w:rsid w:val="00301951"/>
    <w:rsid w:val="0030203F"/>
    <w:rsid w:val="003023FF"/>
    <w:rsid w:val="0030283D"/>
    <w:rsid w:val="003035CA"/>
    <w:rsid w:val="0030377B"/>
    <w:rsid w:val="00303DA7"/>
    <w:rsid w:val="0030512C"/>
    <w:rsid w:val="003060D8"/>
    <w:rsid w:val="00307332"/>
    <w:rsid w:val="00307AE9"/>
    <w:rsid w:val="00311050"/>
    <w:rsid w:val="0031167B"/>
    <w:rsid w:val="0031235B"/>
    <w:rsid w:val="00313779"/>
    <w:rsid w:val="00313D31"/>
    <w:rsid w:val="00313D44"/>
    <w:rsid w:val="00313E0F"/>
    <w:rsid w:val="0031554D"/>
    <w:rsid w:val="003162CB"/>
    <w:rsid w:val="00317058"/>
    <w:rsid w:val="00317592"/>
    <w:rsid w:val="00317A58"/>
    <w:rsid w:val="00317D93"/>
    <w:rsid w:val="00321DDA"/>
    <w:rsid w:val="0032224B"/>
    <w:rsid w:val="00324B3E"/>
    <w:rsid w:val="00325D9B"/>
    <w:rsid w:val="00326419"/>
    <w:rsid w:val="00327161"/>
    <w:rsid w:val="003271B9"/>
    <w:rsid w:val="003305C1"/>
    <w:rsid w:val="00330E43"/>
    <w:rsid w:val="00331265"/>
    <w:rsid w:val="00331799"/>
    <w:rsid w:val="00331E02"/>
    <w:rsid w:val="003337FC"/>
    <w:rsid w:val="0033398D"/>
    <w:rsid w:val="0033403A"/>
    <w:rsid w:val="003341FD"/>
    <w:rsid w:val="00335706"/>
    <w:rsid w:val="00340453"/>
    <w:rsid w:val="00340A1A"/>
    <w:rsid w:val="00340A43"/>
    <w:rsid w:val="00340F74"/>
    <w:rsid w:val="003417BA"/>
    <w:rsid w:val="00341F72"/>
    <w:rsid w:val="003422A4"/>
    <w:rsid w:val="00342967"/>
    <w:rsid w:val="00342B96"/>
    <w:rsid w:val="00343287"/>
    <w:rsid w:val="00343372"/>
    <w:rsid w:val="0034487D"/>
    <w:rsid w:val="00345602"/>
    <w:rsid w:val="003461CD"/>
    <w:rsid w:val="00346609"/>
    <w:rsid w:val="00346C60"/>
    <w:rsid w:val="00347177"/>
    <w:rsid w:val="00347F4D"/>
    <w:rsid w:val="00347FA0"/>
    <w:rsid w:val="00350511"/>
    <w:rsid w:val="0035091E"/>
    <w:rsid w:val="00351805"/>
    <w:rsid w:val="00351C82"/>
    <w:rsid w:val="0035219D"/>
    <w:rsid w:val="0035241B"/>
    <w:rsid w:val="0035392D"/>
    <w:rsid w:val="00353B87"/>
    <w:rsid w:val="003545F8"/>
    <w:rsid w:val="00355B24"/>
    <w:rsid w:val="00355C97"/>
    <w:rsid w:val="00357181"/>
    <w:rsid w:val="00360244"/>
    <w:rsid w:val="00361CA8"/>
    <w:rsid w:val="00362648"/>
    <w:rsid w:val="00362727"/>
    <w:rsid w:val="0036344D"/>
    <w:rsid w:val="0036387A"/>
    <w:rsid w:val="00364E9F"/>
    <w:rsid w:val="00364FD5"/>
    <w:rsid w:val="00365509"/>
    <w:rsid w:val="00365778"/>
    <w:rsid w:val="00367EE7"/>
    <w:rsid w:val="00367EF1"/>
    <w:rsid w:val="003701A6"/>
    <w:rsid w:val="0037064F"/>
    <w:rsid w:val="003723D9"/>
    <w:rsid w:val="00373103"/>
    <w:rsid w:val="00373393"/>
    <w:rsid w:val="003747FE"/>
    <w:rsid w:val="0037485B"/>
    <w:rsid w:val="003749A7"/>
    <w:rsid w:val="003750DA"/>
    <w:rsid w:val="00375F6F"/>
    <w:rsid w:val="0038037C"/>
    <w:rsid w:val="00380743"/>
    <w:rsid w:val="00380B94"/>
    <w:rsid w:val="00381722"/>
    <w:rsid w:val="00381816"/>
    <w:rsid w:val="00381A3A"/>
    <w:rsid w:val="00381ED1"/>
    <w:rsid w:val="003821B7"/>
    <w:rsid w:val="00382C7B"/>
    <w:rsid w:val="003832B5"/>
    <w:rsid w:val="00383DFF"/>
    <w:rsid w:val="00384527"/>
    <w:rsid w:val="00384CBE"/>
    <w:rsid w:val="00385897"/>
    <w:rsid w:val="00387605"/>
    <w:rsid w:val="003879E8"/>
    <w:rsid w:val="00387D27"/>
    <w:rsid w:val="00390704"/>
    <w:rsid w:val="00391073"/>
    <w:rsid w:val="00391934"/>
    <w:rsid w:val="00391C42"/>
    <w:rsid w:val="00392209"/>
    <w:rsid w:val="00392911"/>
    <w:rsid w:val="003937FC"/>
    <w:rsid w:val="00393E91"/>
    <w:rsid w:val="00393F98"/>
    <w:rsid w:val="00394C75"/>
    <w:rsid w:val="00394E09"/>
    <w:rsid w:val="00395E5A"/>
    <w:rsid w:val="003969B7"/>
    <w:rsid w:val="0039708F"/>
    <w:rsid w:val="003A0155"/>
    <w:rsid w:val="003A0546"/>
    <w:rsid w:val="003A193D"/>
    <w:rsid w:val="003A3269"/>
    <w:rsid w:val="003A32D7"/>
    <w:rsid w:val="003A3561"/>
    <w:rsid w:val="003A3589"/>
    <w:rsid w:val="003A3EB9"/>
    <w:rsid w:val="003A6460"/>
    <w:rsid w:val="003A64DD"/>
    <w:rsid w:val="003A68B7"/>
    <w:rsid w:val="003A6CA4"/>
    <w:rsid w:val="003A72FC"/>
    <w:rsid w:val="003B028E"/>
    <w:rsid w:val="003B0B91"/>
    <w:rsid w:val="003B0CFE"/>
    <w:rsid w:val="003B0F3D"/>
    <w:rsid w:val="003B0FDE"/>
    <w:rsid w:val="003B203B"/>
    <w:rsid w:val="003B204B"/>
    <w:rsid w:val="003B3FCF"/>
    <w:rsid w:val="003B4350"/>
    <w:rsid w:val="003B61FD"/>
    <w:rsid w:val="003B6C6D"/>
    <w:rsid w:val="003B72FB"/>
    <w:rsid w:val="003C058F"/>
    <w:rsid w:val="003C0CE0"/>
    <w:rsid w:val="003C13A5"/>
    <w:rsid w:val="003C1F27"/>
    <w:rsid w:val="003C26C1"/>
    <w:rsid w:val="003C27A9"/>
    <w:rsid w:val="003C30C3"/>
    <w:rsid w:val="003C331E"/>
    <w:rsid w:val="003C36D6"/>
    <w:rsid w:val="003C37EC"/>
    <w:rsid w:val="003C37EE"/>
    <w:rsid w:val="003C4357"/>
    <w:rsid w:val="003C51C2"/>
    <w:rsid w:val="003C5FCB"/>
    <w:rsid w:val="003C79A6"/>
    <w:rsid w:val="003D0351"/>
    <w:rsid w:val="003D0BB6"/>
    <w:rsid w:val="003D0C8A"/>
    <w:rsid w:val="003D2547"/>
    <w:rsid w:val="003D259C"/>
    <w:rsid w:val="003D271A"/>
    <w:rsid w:val="003D55B2"/>
    <w:rsid w:val="003D60A0"/>
    <w:rsid w:val="003D66C6"/>
    <w:rsid w:val="003D68D4"/>
    <w:rsid w:val="003E03C8"/>
    <w:rsid w:val="003E0931"/>
    <w:rsid w:val="003E0EA7"/>
    <w:rsid w:val="003E17CD"/>
    <w:rsid w:val="003E1921"/>
    <w:rsid w:val="003E193F"/>
    <w:rsid w:val="003E30BB"/>
    <w:rsid w:val="003E39A8"/>
    <w:rsid w:val="003E46AF"/>
    <w:rsid w:val="003E47F5"/>
    <w:rsid w:val="003E485D"/>
    <w:rsid w:val="003E611C"/>
    <w:rsid w:val="003E68FF"/>
    <w:rsid w:val="003E6985"/>
    <w:rsid w:val="003E7A11"/>
    <w:rsid w:val="003F0085"/>
    <w:rsid w:val="003F1395"/>
    <w:rsid w:val="003F2603"/>
    <w:rsid w:val="003F278E"/>
    <w:rsid w:val="003F36E1"/>
    <w:rsid w:val="003F3FD1"/>
    <w:rsid w:val="003F4A87"/>
    <w:rsid w:val="003F51AA"/>
    <w:rsid w:val="003F5EDB"/>
    <w:rsid w:val="003F6520"/>
    <w:rsid w:val="003F7845"/>
    <w:rsid w:val="00400B83"/>
    <w:rsid w:val="00401157"/>
    <w:rsid w:val="0040157B"/>
    <w:rsid w:val="00402546"/>
    <w:rsid w:val="00402A4B"/>
    <w:rsid w:val="00402DD9"/>
    <w:rsid w:val="0040319C"/>
    <w:rsid w:val="0040385E"/>
    <w:rsid w:val="00403A7F"/>
    <w:rsid w:val="00404044"/>
    <w:rsid w:val="0040444C"/>
    <w:rsid w:val="00404860"/>
    <w:rsid w:val="00404B11"/>
    <w:rsid w:val="0040679B"/>
    <w:rsid w:val="004067B6"/>
    <w:rsid w:val="00406AB1"/>
    <w:rsid w:val="00406CB5"/>
    <w:rsid w:val="00407DDF"/>
    <w:rsid w:val="004111D2"/>
    <w:rsid w:val="00411484"/>
    <w:rsid w:val="004115E1"/>
    <w:rsid w:val="00412AC9"/>
    <w:rsid w:val="00412D4E"/>
    <w:rsid w:val="00413202"/>
    <w:rsid w:val="0041323E"/>
    <w:rsid w:val="00413854"/>
    <w:rsid w:val="0041407B"/>
    <w:rsid w:val="00414379"/>
    <w:rsid w:val="00414965"/>
    <w:rsid w:val="00415A29"/>
    <w:rsid w:val="004165F2"/>
    <w:rsid w:val="00416A5F"/>
    <w:rsid w:val="0041713B"/>
    <w:rsid w:val="00420AD2"/>
    <w:rsid w:val="0042100D"/>
    <w:rsid w:val="0042142F"/>
    <w:rsid w:val="00421D33"/>
    <w:rsid w:val="00422072"/>
    <w:rsid w:val="00422D19"/>
    <w:rsid w:val="00422D2A"/>
    <w:rsid w:val="004247BC"/>
    <w:rsid w:val="00424DB7"/>
    <w:rsid w:val="00425F77"/>
    <w:rsid w:val="0042656D"/>
    <w:rsid w:val="0042686B"/>
    <w:rsid w:val="004278A1"/>
    <w:rsid w:val="00427B21"/>
    <w:rsid w:val="00427B89"/>
    <w:rsid w:val="00430041"/>
    <w:rsid w:val="004304F4"/>
    <w:rsid w:val="004312CF"/>
    <w:rsid w:val="00431CCC"/>
    <w:rsid w:val="00431F88"/>
    <w:rsid w:val="00432B07"/>
    <w:rsid w:val="00432C7C"/>
    <w:rsid w:val="004330FC"/>
    <w:rsid w:val="00433B2D"/>
    <w:rsid w:val="00433D4C"/>
    <w:rsid w:val="00433F1D"/>
    <w:rsid w:val="00434789"/>
    <w:rsid w:val="0043597A"/>
    <w:rsid w:val="00435AFF"/>
    <w:rsid w:val="00435ECA"/>
    <w:rsid w:val="00435F98"/>
    <w:rsid w:val="00436623"/>
    <w:rsid w:val="00436789"/>
    <w:rsid w:val="00436B1A"/>
    <w:rsid w:val="00437B78"/>
    <w:rsid w:val="00440094"/>
    <w:rsid w:val="00440267"/>
    <w:rsid w:val="004404D8"/>
    <w:rsid w:val="00440507"/>
    <w:rsid w:val="00440884"/>
    <w:rsid w:val="004423A7"/>
    <w:rsid w:val="00443796"/>
    <w:rsid w:val="0044397E"/>
    <w:rsid w:val="00443C96"/>
    <w:rsid w:val="00444B45"/>
    <w:rsid w:val="00444FAE"/>
    <w:rsid w:val="00445638"/>
    <w:rsid w:val="004477D9"/>
    <w:rsid w:val="00447F4B"/>
    <w:rsid w:val="00450E17"/>
    <w:rsid w:val="0045119B"/>
    <w:rsid w:val="004512C3"/>
    <w:rsid w:val="00451521"/>
    <w:rsid w:val="004524E5"/>
    <w:rsid w:val="004525B2"/>
    <w:rsid w:val="00452A7F"/>
    <w:rsid w:val="004535F8"/>
    <w:rsid w:val="00455865"/>
    <w:rsid w:val="004559F6"/>
    <w:rsid w:val="00455E3F"/>
    <w:rsid w:val="004570D0"/>
    <w:rsid w:val="00457131"/>
    <w:rsid w:val="00457511"/>
    <w:rsid w:val="004576F5"/>
    <w:rsid w:val="004606FC"/>
    <w:rsid w:val="0046141A"/>
    <w:rsid w:val="004616E5"/>
    <w:rsid w:val="00462053"/>
    <w:rsid w:val="004636DD"/>
    <w:rsid w:val="004656DB"/>
    <w:rsid w:val="0046781D"/>
    <w:rsid w:val="00470300"/>
    <w:rsid w:val="00470302"/>
    <w:rsid w:val="00470536"/>
    <w:rsid w:val="004707C0"/>
    <w:rsid w:val="00470CDD"/>
    <w:rsid w:val="0047141C"/>
    <w:rsid w:val="004716A3"/>
    <w:rsid w:val="00471951"/>
    <w:rsid w:val="00471A02"/>
    <w:rsid w:val="00471F30"/>
    <w:rsid w:val="00472FAE"/>
    <w:rsid w:val="00473FAD"/>
    <w:rsid w:val="00474EF3"/>
    <w:rsid w:val="0047563C"/>
    <w:rsid w:val="00475644"/>
    <w:rsid w:val="00475DCC"/>
    <w:rsid w:val="0047620D"/>
    <w:rsid w:val="004766F9"/>
    <w:rsid w:val="00476A92"/>
    <w:rsid w:val="004779A8"/>
    <w:rsid w:val="00477A96"/>
    <w:rsid w:val="0048084A"/>
    <w:rsid w:val="00480A40"/>
    <w:rsid w:val="00481E94"/>
    <w:rsid w:val="0048225E"/>
    <w:rsid w:val="00482E40"/>
    <w:rsid w:val="00483884"/>
    <w:rsid w:val="004846D3"/>
    <w:rsid w:val="004859A8"/>
    <w:rsid w:val="004864FC"/>
    <w:rsid w:val="0048654D"/>
    <w:rsid w:val="004870F5"/>
    <w:rsid w:val="004905E3"/>
    <w:rsid w:val="0049192F"/>
    <w:rsid w:val="00492282"/>
    <w:rsid w:val="004929B3"/>
    <w:rsid w:val="00492FA9"/>
    <w:rsid w:val="004931F4"/>
    <w:rsid w:val="00493557"/>
    <w:rsid w:val="00493866"/>
    <w:rsid w:val="004941DE"/>
    <w:rsid w:val="00494791"/>
    <w:rsid w:val="00494A37"/>
    <w:rsid w:val="0049518E"/>
    <w:rsid w:val="00495FAC"/>
    <w:rsid w:val="004962BE"/>
    <w:rsid w:val="004969BC"/>
    <w:rsid w:val="004970F3"/>
    <w:rsid w:val="0049788F"/>
    <w:rsid w:val="00497A32"/>
    <w:rsid w:val="004A03F3"/>
    <w:rsid w:val="004A063A"/>
    <w:rsid w:val="004A0831"/>
    <w:rsid w:val="004A0FA6"/>
    <w:rsid w:val="004A1080"/>
    <w:rsid w:val="004A1CD0"/>
    <w:rsid w:val="004A2D21"/>
    <w:rsid w:val="004A2E1C"/>
    <w:rsid w:val="004A3617"/>
    <w:rsid w:val="004A3EE4"/>
    <w:rsid w:val="004A470E"/>
    <w:rsid w:val="004A571B"/>
    <w:rsid w:val="004A59D0"/>
    <w:rsid w:val="004A5CD8"/>
    <w:rsid w:val="004A5D8F"/>
    <w:rsid w:val="004A68EF"/>
    <w:rsid w:val="004A6B23"/>
    <w:rsid w:val="004A76CB"/>
    <w:rsid w:val="004B0212"/>
    <w:rsid w:val="004B231B"/>
    <w:rsid w:val="004B300C"/>
    <w:rsid w:val="004B4109"/>
    <w:rsid w:val="004B4620"/>
    <w:rsid w:val="004B470D"/>
    <w:rsid w:val="004B5504"/>
    <w:rsid w:val="004B6D3C"/>
    <w:rsid w:val="004B785B"/>
    <w:rsid w:val="004B7F88"/>
    <w:rsid w:val="004C005A"/>
    <w:rsid w:val="004C07B1"/>
    <w:rsid w:val="004C07F8"/>
    <w:rsid w:val="004C0B25"/>
    <w:rsid w:val="004C177B"/>
    <w:rsid w:val="004C3809"/>
    <w:rsid w:val="004C4528"/>
    <w:rsid w:val="004C4AC9"/>
    <w:rsid w:val="004C5C0D"/>
    <w:rsid w:val="004C769A"/>
    <w:rsid w:val="004D00FD"/>
    <w:rsid w:val="004D095E"/>
    <w:rsid w:val="004D09DD"/>
    <w:rsid w:val="004D142E"/>
    <w:rsid w:val="004D1562"/>
    <w:rsid w:val="004D1710"/>
    <w:rsid w:val="004D232B"/>
    <w:rsid w:val="004D44AC"/>
    <w:rsid w:val="004D4C37"/>
    <w:rsid w:val="004D6445"/>
    <w:rsid w:val="004D6A0E"/>
    <w:rsid w:val="004D734F"/>
    <w:rsid w:val="004D7960"/>
    <w:rsid w:val="004D79D4"/>
    <w:rsid w:val="004E1052"/>
    <w:rsid w:val="004E14E3"/>
    <w:rsid w:val="004E34DA"/>
    <w:rsid w:val="004E380A"/>
    <w:rsid w:val="004E38FE"/>
    <w:rsid w:val="004E51AE"/>
    <w:rsid w:val="004E6E80"/>
    <w:rsid w:val="004F0572"/>
    <w:rsid w:val="004F1399"/>
    <w:rsid w:val="004F1DD9"/>
    <w:rsid w:val="004F2326"/>
    <w:rsid w:val="004F2348"/>
    <w:rsid w:val="004F2935"/>
    <w:rsid w:val="004F2DFB"/>
    <w:rsid w:val="004F305A"/>
    <w:rsid w:val="004F339B"/>
    <w:rsid w:val="004F4B66"/>
    <w:rsid w:val="004F529F"/>
    <w:rsid w:val="004F5658"/>
    <w:rsid w:val="004F657E"/>
    <w:rsid w:val="004F71B0"/>
    <w:rsid w:val="004F765B"/>
    <w:rsid w:val="004F77B0"/>
    <w:rsid w:val="00500071"/>
    <w:rsid w:val="00501F8B"/>
    <w:rsid w:val="0050246B"/>
    <w:rsid w:val="00502D81"/>
    <w:rsid w:val="00503B80"/>
    <w:rsid w:val="00503BD8"/>
    <w:rsid w:val="00504EBC"/>
    <w:rsid w:val="00504F27"/>
    <w:rsid w:val="0050642E"/>
    <w:rsid w:val="005067AE"/>
    <w:rsid w:val="005069F9"/>
    <w:rsid w:val="00506E51"/>
    <w:rsid w:val="005076F3"/>
    <w:rsid w:val="0050775C"/>
    <w:rsid w:val="0051066E"/>
    <w:rsid w:val="00510B60"/>
    <w:rsid w:val="00511960"/>
    <w:rsid w:val="00511FFA"/>
    <w:rsid w:val="005121E9"/>
    <w:rsid w:val="00512EC7"/>
    <w:rsid w:val="00513054"/>
    <w:rsid w:val="005139EC"/>
    <w:rsid w:val="005140FE"/>
    <w:rsid w:val="00515401"/>
    <w:rsid w:val="00515DB9"/>
    <w:rsid w:val="0051607D"/>
    <w:rsid w:val="0051613E"/>
    <w:rsid w:val="005161CE"/>
    <w:rsid w:val="005163C7"/>
    <w:rsid w:val="0051669E"/>
    <w:rsid w:val="0051701B"/>
    <w:rsid w:val="0051799D"/>
    <w:rsid w:val="00517EE3"/>
    <w:rsid w:val="00520805"/>
    <w:rsid w:val="00522AEC"/>
    <w:rsid w:val="00524E78"/>
    <w:rsid w:val="00525177"/>
    <w:rsid w:val="00525FC5"/>
    <w:rsid w:val="005268FA"/>
    <w:rsid w:val="00526D51"/>
    <w:rsid w:val="005300CF"/>
    <w:rsid w:val="00530F7F"/>
    <w:rsid w:val="00531C62"/>
    <w:rsid w:val="00531E96"/>
    <w:rsid w:val="00534772"/>
    <w:rsid w:val="00535064"/>
    <w:rsid w:val="00536862"/>
    <w:rsid w:val="00537A27"/>
    <w:rsid w:val="00540355"/>
    <w:rsid w:val="0054068F"/>
    <w:rsid w:val="00540F74"/>
    <w:rsid w:val="00541005"/>
    <w:rsid w:val="00541BED"/>
    <w:rsid w:val="00543D6F"/>
    <w:rsid w:val="005447B6"/>
    <w:rsid w:val="00545B8F"/>
    <w:rsid w:val="00545E6C"/>
    <w:rsid w:val="005462C5"/>
    <w:rsid w:val="0054692A"/>
    <w:rsid w:val="00546C6A"/>
    <w:rsid w:val="0054728B"/>
    <w:rsid w:val="005501CF"/>
    <w:rsid w:val="00550465"/>
    <w:rsid w:val="00551DC4"/>
    <w:rsid w:val="00552EB0"/>
    <w:rsid w:val="005533EF"/>
    <w:rsid w:val="005542A3"/>
    <w:rsid w:val="00554D9C"/>
    <w:rsid w:val="00554F40"/>
    <w:rsid w:val="0055511F"/>
    <w:rsid w:val="005555C2"/>
    <w:rsid w:val="005560D1"/>
    <w:rsid w:val="0055672B"/>
    <w:rsid w:val="00556F0D"/>
    <w:rsid w:val="005577C4"/>
    <w:rsid w:val="00557B1B"/>
    <w:rsid w:val="00557FA6"/>
    <w:rsid w:val="00562214"/>
    <w:rsid w:val="005624FF"/>
    <w:rsid w:val="00562806"/>
    <w:rsid w:val="005634B0"/>
    <w:rsid w:val="00563CE2"/>
    <w:rsid w:val="0056407D"/>
    <w:rsid w:val="00564402"/>
    <w:rsid w:val="005644F1"/>
    <w:rsid w:val="00564B78"/>
    <w:rsid w:val="005651BC"/>
    <w:rsid w:val="00565596"/>
    <w:rsid w:val="005656D0"/>
    <w:rsid w:val="0056601D"/>
    <w:rsid w:val="0056623E"/>
    <w:rsid w:val="005662CC"/>
    <w:rsid w:val="005665E3"/>
    <w:rsid w:val="00566763"/>
    <w:rsid w:val="00567C92"/>
    <w:rsid w:val="00570507"/>
    <w:rsid w:val="005706DA"/>
    <w:rsid w:val="00570F9D"/>
    <w:rsid w:val="005727C1"/>
    <w:rsid w:val="00573BAF"/>
    <w:rsid w:val="00573FDB"/>
    <w:rsid w:val="00574328"/>
    <w:rsid w:val="00574B90"/>
    <w:rsid w:val="00574CE4"/>
    <w:rsid w:val="005773B1"/>
    <w:rsid w:val="005775CA"/>
    <w:rsid w:val="00577A70"/>
    <w:rsid w:val="005829D4"/>
    <w:rsid w:val="00584625"/>
    <w:rsid w:val="00584998"/>
    <w:rsid w:val="005856B5"/>
    <w:rsid w:val="00585C9C"/>
    <w:rsid w:val="00586138"/>
    <w:rsid w:val="005864F3"/>
    <w:rsid w:val="005868B9"/>
    <w:rsid w:val="005869C4"/>
    <w:rsid w:val="0058706A"/>
    <w:rsid w:val="00587C6E"/>
    <w:rsid w:val="0059040D"/>
    <w:rsid w:val="00590920"/>
    <w:rsid w:val="00591D1E"/>
    <w:rsid w:val="00591E20"/>
    <w:rsid w:val="00592BAD"/>
    <w:rsid w:val="00593707"/>
    <w:rsid w:val="005937FB"/>
    <w:rsid w:val="005940BB"/>
    <w:rsid w:val="00594C4E"/>
    <w:rsid w:val="00596157"/>
    <w:rsid w:val="00596279"/>
    <w:rsid w:val="005967C9"/>
    <w:rsid w:val="00596FC0"/>
    <w:rsid w:val="005A04AC"/>
    <w:rsid w:val="005A0E4E"/>
    <w:rsid w:val="005A15F6"/>
    <w:rsid w:val="005A26C8"/>
    <w:rsid w:val="005A2C8E"/>
    <w:rsid w:val="005A35EB"/>
    <w:rsid w:val="005A3611"/>
    <w:rsid w:val="005A4159"/>
    <w:rsid w:val="005A4181"/>
    <w:rsid w:val="005A4EEA"/>
    <w:rsid w:val="005A65E5"/>
    <w:rsid w:val="005A6745"/>
    <w:rsid w:val="005A6873"/>
    <w:rsid w:val="005A740C"/>
    <w:rsid w:val="005A7EED"/>
    <w:rsid w:val="005B026F"/>
    <w:rsid w:val="005B0325"/>
    <w:rsid w:val="005B0DA1"/>
    <w:rsid w:val="005B16B1"/>
    <w:rsid w:val="005B1FA8"/>
    <w:rsid w:val="005B2090"/>
    <w:rsid w:val="005B31EA"/>
    <w:rsid w:val="005B37C7"/>
    <w:rsid w:val="005B3E65"/>
    <w:rsid w:val="005B3F3D"/>
    <w:rsid w:val="005B415C"/>
    <w:rsid w:val="005B4362"/>
    <w:rsid w:val="005B54B7"/>
    <w:rsid w:val="005B5BD8"/>
    <w:rsid w:val="005B5C76"/>
    <w:rsid w:val="005B72A3"/>
    <w:rsid w:val="005B7A46"/>
    <w:rsid w:val="005C05C9"/>
    <w:rsid w:val="005C1169"/>
    <w:rsid w:val="005C2776"/>
    <w:rsid w:val="005C32E2"/>
    <w:rsid w:val="005C4998"/>
    <w:rsid w:val="005C5A2B"/>
    <w:rsid w:val="005C699A"/>
    <w:rsid w:val="005C774D"/>
    <w:rsid w:val="005D0820"/>
    <w:rsid w:val="005D3989"/>
    <w:rsid w:val="005D4073"/>
    <w:rsid w:val="005D4CB6"/>
    <w:rsid w:val="005D5EAB"/>
    <w:rsid w:val="005D6759"/>
    <w:rsid w:val="005D697E"/>
    <w:rsid w:val="005D6FCE"/>
    <w:rsid w:val="005D76B6"/>
    <w:rsid w:val="005D799C"/>
    <w:rsid w:val="005E011E"/>
    <w:rsid w:val="005E0986"/>
    <w:rsid w:val="005E0BAA"/>
    <w:rsid w:val="005E1E60"/>
    <w:rsid w:val="005E300F"/>
    <w:rsid w:val="005E3DC3"/>
    <w:rsid w:val="005E41C6"/>
    <w:rsid w:val="005E4240"/>
    <w:rsid w:val="005E43F3"/>
    <w:rsid w:val="005E4536"/>
    <w:rsid w:val="005E4736"/>
    <w:rsid w:val="005E4E6E"/>
    <w:rsid w:val="005E4E73"/>
    <w:rsid w:val="005E5752"/>
    <w:rsid w:val="005E6435"/>
    <w:rsid w:val="005E6934"/>
    <w:rsid w:val="005E7C5F"/>
    <w:rsid w:val="005F06C8"/>
    <w:rsid w:val="005F11A1"/>
    <w:rsid w:val="005F1995"/>
    <w:rsid w:val="005F5746"/>
    <w:rsid w:val="005F5834"/>
    <w:rsid w:val="005F59A8"/>
    <w:rsid w:val="005F6955"/>
    <w:rsid w:val="005F6A2C"/>
    <w:rsid w:val="005F71E8"/>
    <w:rsid w:val="005F7F0E"/>
    <w:rsid w:val="006000F7"/>
    <w:rsid w:val="0060091C"/>
    <w:rsid w:val="00600AD0"/>
    <w:rsid w:val="00600F25"/>
    <w:rsid w:val="00600F41"/>
    <w:rsid w:val="00600FFE"/>
    <w:rsid w:val="00601F29"/>
    <w:rsid w:val="00602678"/>
    <w:rsid w:val="0060293C"/>
    <w:rsid w:val="00603834"/>
    <w:rsid w:val="00603976"/>
    <w:rsid w:val="00604675"/>
    <w:rsid w:val="006048CD"/>
    <w:rsid w:val="0060556A"/>
    <w:rsid w:val="0060651F"/>
    <w:rsid w:val="00607314"/>
    <w:rsid w:val="00607467"/>
    <w:rsid w:val="00607B03"/>
    <w:rsid w:val="0061023E"/>
    <w:rsid w:val="00610E05"/>
    <w:rsid w:val="00611053"/>
    <w:rsid w:val="0061152A"/>
    <w:rsid w:val="006116BE"/>
    <w:rsid w:val="00611D93"/>
    <w:rsid w:val="006128F0"/>
    <w:rsid w:val="006131D9"/>
    <w:rsid w:val="00613586"/>
    <w:rsid w:val="00613A6B"/>
    <w:rsid w:val="0061518D"/>
    <w:rsid w:val="00615FCF"/>
    <w:rsid w:val="0061623D"/>
    <w:rsid w:val="0061793A"/>
    <w:rsid w:val="006209C4"/>
    <w:rsid w:val="00620A60"/>
    <w:rsid w:val="006210BE"/>
    <w:rsid w:val="00621357"/>
    <w:rsid w:val="00621DAE"/>
    <w:rsid w:val="00621EA3"/>
    <w:rsid w:val="00622BC6"/>
    <w:rsid w:val="00622C03"/>
    <w:rsid w:val="006233FA"/>
    <w:rsid w:val="006243DA"/>
    <w:rsid w:val="00624967"/>
    <w:rsid w:val="00624CEA"/>
    <w:rsid w:val="00625246"/>
    <w:rsid w:val="00625660"/>
    <w:rsid w:val="00626434"/>
    <w:rsid w:val="00626812"/>
    <w:rsid w:val="00626D25"/>
    <w:rsid w:val="00626F5B"/>
    <w:rsid w:val="00627CC6"/>
    <w:rsid w:val="00630A71"/>
    <w:rsid w:val="00630C31"/>
    <w:rsid w:val="00630CA3"/>
    <w:rsid w:val="0063110F"/>
    <w:rsid w:val="0063149B"/>
    <w:rsid w:val="006325C5"/>
    <w:rsid w:val="006327C6"/>
    <w:rsid w:val="00632CF9"/>
    <w:rsid w:val="00632F73"/>
    <w:rsid w:val="00633135"/>
    <w:rsid w:val="0063360F"/>
    <w:rsid w:val="00633C30"/>
    <w:rsid w:val="00633E10"/>
    <w:rsid w:val="0063411A"/>
    <w:rsid w:val="006347CC"/>
    <w:rsid w:val="00634F25"/>
    <w:rsid w:val="00635181"/>
    <w:rsid w:val="00636048"/>
    <w:rsid w:val="00636683"/>
    <w:rsid w:val="00637B8A"/>
    <w:rsid w:val="00637F41"/>
    <w:rsid w:val="00637FE2"/>
    <w:rsid w:val="00640243"/>
    <w:rsid w:val="006403AA"/>
    <w:rsid w:val="0064040A"/>
    <w:rsid w:val="0064092D"/>
    <w:rsid w:val="00641694"/>
    <w:rsid w:val="006423C7"/>
    <w:rsid w:val="006429DA"/>
    <w:rsid w:val="00643409"/>
    <w:rsid w:val="006446CA"/>
    <w:rsid w:val="00644D55"/>
    <w:rsid w:val="00645F16"/>
    <w:rsid w:val="006468AD"/>
    <w:rsid w:val="00646BB2"/>
    <w:rsid w:val="00647387"/>
    <w:rsid w:val="006477F1"/>
    <w:rsid w:val="006479A9"/>
    <w:rsid w:val="00650A23"/>
    <w:rsid w:val="006511F1"/>
    <w:rsid w:val="00652153"/>
    <w:rsid w:val="00652693"/>
    <w:rsid w:val="0065303B"/>
    <w:rsid w:val="00653B9D"/>
    <w:rsid w:val="00653F34"/>
    <w:rsid w:val="006543F9"/>
    <w:rsid w:val="00656F7C"/>
    <w:rsid w:val="00657155"/>
    <w:rsid w:val="00657236"/>
    <w:rsid w:val="0065780A"/>
    <w:rsid w:val="00661264"/>
    <w:rsid w:val="0066271F"/>
    <w:rsid w:val="00662FDB"/>
    <w:rsid w:val="00663F3E"/>
    <w:rsid w:val="00664481"/>
    <w:rsid w:val="00665D4D"/>
    <w:rsid w:val="006660D5"/>
    <w:rsid w:val="00667502"/>
    <w:rsid w:val="00667CFD"/>
    <w:rsid w:val="006709C5"/>
    <w:rsid w:val="006718C1"/>
    <w:rsid w:val="00671982"/>
    <w:rsid w:val="00672773"/>
    <w:rsid w:val="00672B21"/>
    <w:rsid w:val="00672E05"/>
    <w:rsid w:val="00673786"/>
    <w:rsid w:val="0067397E"/>
    <w:rsid w:val="00673B05"/>
    <w:rsid w:val="00673EAE"/>
    <w:rsid w:val="00674ACE"/>
    <w:rsid w:val="00675EE9"/>
    <w:rsid w:val="0067677D"/>
    <w:rsid w:val="00677350"/>
    <w:rsid w:val="00677E00"/>
    <w:rsid w:val="00677FDE"/>
    <w:rsid w:val="00681C82"/>
    <w:rsid w:val="00683C02"/>
    <w:rsid w:val="00683D04"/>
    <w:rsid w:val="0068404E"/>
    <w:rsid w:val="00686976"/>
    <w:rsid w:val="0068794D"/>
    <w:rsid w:val="00690356"/>
    <w:rsid w:val="00692DD3"/>
    <w:rsid w:val="00693CBA"/>
    <w:rsid w:val="00693FD8"/>
    <w:rsid w:val="006940BE"/>
    <w:rsid w:val="006941F9"/>
    <w:rsid w:val="00695CEE"/>
    <w:rsid w:val="00695DE6"/>
    <w:rsid w:val="00695FF1"/>
    <w:rsid w:val="00696910"/>
    <w:rsid w:val="006A06BA"/>
    <w:rsid w:val="006A0EBB"/>
    <w:rsid w:val="006A11DA"/>
    <w:rsid w:val="006A1A03"/>
    <w:rsid w:val="006A1E41"/>
    <w:rsid w:val="006A1EE3"/>
    <w:rsid w:val="006A2149"/>
    <w:rsid w:val="006A2307"/>
    <w:rsid w:val="006A389C"/>
    <w:rsid w:val="006A4E59"/>
    <w:rsid w:val="006A4F66"/>
    <w:rsid w:val="006A5CE3"/>
    <w:rsid w:val="006A5E1B"/>
    <w:rsid w:val="006A6CCC"/>
    <w:rsid w:val="006A6D5C"/>
    <w:rsid w:val="006A7429"/>
    <w:rsid w:val="006A7A4F"/>
    <w:rsid w:val="006A7C7B"/>
    <w:rsid w:val="006A7E14"/>
    <w:rsid w:val="006B181E"/>
    <w:rsid w:val="006B1C44"/>
    <w:rsid w:val="006B21AE"/>
    <w:rsid w:val="006B37FB"/>
    <w:rsid w:val="006B3B7B"/>
    <w:rsid w:val="006B3F8D"/>
    <w:rsid w:val="006B4110"/>
    <w:rsid w:val="006B4BCB"/>
    <w:rsid w:val="006B733C"/>
    <w:rsid w:val="006B7762"/>
    <w:rsid w:val="006B7F27"/>
    <w:rsid w:val="006C138A"/>
    <w:rsid w:val="006C1A8C"/>
    <w:rsid w:val="006C202C"/>
    <w:rsid w:val="006C2572"/>
    <w:rsid w:val="006C2AC3"/>
    <w:rsid w:val="006C2B71"/>
    <w:rsid w:val="006C3765"/>
    <w:rsid w:val="006C43DF"/>
    <w:rsid w:val="006C46DA"/>
    <w:rsid w:val="006C4AA7"/>
    <w:rsid w:val="006C4DDE"/>
    <w:rsid w:val="006C4FF2"/>
    <w:rsid w:val="006C547B"/>
    <w:rsid w:val="006C570E"/>
    <w:rsid w:val="006C5940"/>
    <w:rsid w:val="006C657E"/>
    <w:rsid w:val="006C681E"/>
    <w:rsid w:val="006C6B05"/>
    <w:rsid w:val="006C6B2A"/>
    <w:rsid w:val="006D02F2"/>
    <w:rsid w:val="006D04B6"/>
    <w:rsid w:val="006D0A8C"/>
    <w:rsid w:val="006D15B5"/>
    <w:rsid w:val="006D2015"/>
    <w:rsid w:val="006D219D"/>
    <w:rsid w:val="006D23CC"/>
    <w:rsid w:val="006D25F0"/>
    <w:rsid w:val="006D39A7"/>
    <w:rsid w:val="006D43F5"/>
    <w:rsid w:val="006D4A89"/>
    <w:rsid w:val="006D4D65"/>
    <w:rsid w:val="006D50DB"/>
    <w:rsid w:val="006D5372"/>
    <w:rsid w:val="006D55BF"/>
    <w:rsid w:val="006D602B"/>
    <w:rsid w:val="006D6C3E"/>
    <w:rsid w:val="006E0605"/>
    <w:rsid w:val="006E277A"/>
    <w:rsid w:val="006E3F68"/>
    <w:rsid w:val="006E43B4"/>
    <w:rsid w:val="006E4CED"/>
    <w:rsid w:val="006E4D55"/>
    <w:rsid w:val="006E5633"/>
    <w:rsid w:val="006E5868"/>
    <w:rsid w:val="006E5877"/>
    <w:rsid w:val="006E6149"/>
    <w:rsid w:val="006E623E"/>
    <w:rsid w:val="006E696C"/>
    <w:rsid w:val="006E6EC2"/>
    <w:rsid w:val="006E706B"/>
    <w:rsid w:val="006E75D5"/>
    <w:rsid w:val="006F104E"/>
    <w:rsid w:val="006F20C1"/>
    <w:rsid w:val="006F25E2"/>
    <w:rsid w:val="006F3036"/>
    <w:rsid w:val="006F5191"/>
    <w:rsid w:val="006F5625"/>
    <w:rsid w:val="006F6819"/>
    <w:rsid w:val="006F6E9E"/>
    <w:rsid w:val="006F7D38"/>
    <w:rsid w:val="006F7FE5"/>
    <w:rsid w:val="00700F16"/>
    <w:rsid w:val="00701221"/>
    <w:rsid w:val="00701F5C"/>
    <w:rsid w:val="00701F6A"/>
    <w:rsid w:val="007022AF"/>
    <w:rsid w:val="0070280D"/>
    <w:rsid w:val="00702951"/>
    <w:rsid w:val="00702B9E"/>
    <w:rsid w:val="00704792"/>
    <w:rsid w:val="00704FE4"/>
    <w:rsid w:val="0070501D"/>
    <w:rsid w:val="0070538E"/>
    <w:rsid w:val="00706DFB"/>
    <w:rsid w:val="0070747B"/>
    <w:rsid w:val="00707514"/>
    <w:rsid w:val="0071112C"/>
    <w:rsid w:val="00712AE2"/>
    <w:rsid w:val="00713887"/>
    <w:rsid w:val="007140A1"/>
    <w:rsid w:val="00714409"/>
    <w:rsid w:val="00714497"/>
    <w:rsid w:val="00714AC6"/>
    <w:rsid w:val="0071601A"/>
    <w:rsid w:val="00716ECF"/>
    <w:rsid w:val="0071777C"/>
    <w:rsid w:val="00717880"/>
    <w:rsid w:val="007200AC"/>
    <w:rsid w:val="00720C00"/>
    <w:rsid w:val="00721BD4"/>
    <w:rsid w:val="007226E2"/>
    <w:rsid w:val="0072283F"/>
    <w:rsid w:val="0072315A"/>
    <w:rsid w:val="00723627"/>
    <w:rsid w:val="007236AD"/>
    <w:rsid w:val="00724140"/>
    <w:rsid w:val="007241FD"/>
    <w:rsid w:val="00725810"/>
    <w:rsid w:val="00725951"/>
    <w:rsid w:val="00725B70"/>
    <w:rsid w:val="00727006"/>
    <w:rsid w:val="00730DB2"/>
    <w:rsid w:val="00730F1E"/>
    <w:rsid w:val="007311F5"/>
    <w:rsid w:val="00733751"/>
    <w:rsid w:val="0073398C"/>
    <w:rsid w:val="00734EE0"/>
    <w:rsid w:val="00734F70"/>
    <w:rsid w:val="00735B30"/>
    <w:rsid w:val="007360BE"/>
    <w:rsid w:val="007361E6"/>
    <w:rsid w:val="00736819"/>
    <w:rsid w:val="00736B28"/>
    <w:rsid w:val="00737652"/>
    <w:rsid w:val="007400CD"/>
    <w:rsid w:val="007406FC"/>
    <w:rsid w:val="0074170A"/>
    <w:rsid w:val="00741ADD"/>
    <w:rsid w:val="0074245C"/>
    <w:rsid w:val="007430BE"/>
    <w:rsid w:val="00743349"/>
    <w:rsid w:val="007434D0"/>
    <w:rsid w:val="007439D1"/>
    <w:rsid w:val="00744550"/>
    <w:rsid w:val="007449BF"/>
    <w:rsid w:val="00744BB0"/>
    <w:rsid w:val="0074555F"/>
    <w:rsid w:val="00745696"/>
    <w:rsid w:val="0074661E"/>
    <w:rsid w:val="00746E68"/>
    <w:rsid w:val="0074755C"/>
    <w:rsid w:val="00747C9A"/>
    <w:rsid w:val="007505EA"/>
    <w:rsid w:val="00750937"/>
    <w:rsid w:val="00750C73"/>
    <w:rsid w:val="00751504"/>
    <w:rsid w:val="0075171D"/>
    <w:rsid w:val="007525BC"/>
    <w:rsid w:val="007539F0"/>
    <w:rsid w:val="00753C8E"/>
    <w:rsid w:val="00754757"/>
    <w:rsid w:val="00754897"/>
    <w:rsid w:val="00754AEE"/>
    <w:rsid w:val="00756ED7"/>
    <w:rsid w:val="00757EA2"/>
    <w:rsid w:val="0076003B"/>
    <w:rsid w:val="0076096D"/>
    <w:rsid w:val="00760D28"/>
    <w:rsid w:val="00761152"/>
    <w:rsid w:val="00761193"/>
    <w:rsid w:val="00761B71"/>
    <w:rsid w:val="00761C5C"/>
    <w:rsid w:val="00761EF8"/>
    <w:rsid w:val="007629D9"/>
    <w:rsid w:val="00762C83"/>
    <w:rsid w:val="00763B9C"/>
    <w:rsid w:val="0076408D"/>
    <w:rsid w:val="007649F9"/>
    <w:rsid w:val="00765CE6"/>
    <w:rsid w:val="007669C9"/>
    <w:rsid w:val="00766EA1"/>
    <w:rsid w:val="0076750E"/>
    <w:rsid w:val="00767DFC"/>
    <w:rsid w:val="0077017A"/>
    <w:rsid w:val="00770B9D"/>
    <w:rsid w:val="007715D1"/>
    <w:rsid w:val="00772979"/>
    <w:rsid w:val="00772A68"/>
    <w:rsid w:val="00773AEA"/>
    <w:rsid w:val="00773B7B"/>
    <w:rsid w:val="00773F10"/>
    <w:rsid w:val="00773FEA"/>
    <w:rsid w:val="00774AD6"/>
    <w:rsid w:val="00774C59"/>
    <w:rsid w:val="00775860"/>
    <w:rsid w:val="00776231"/>
    <w:rsid w:val="0077731E"/>
    <w:rsid w:val="00777A6F"/>
    <w:rsid w:val="00781690"/>
    <w:rsid w:val="007821A4"/>
    <w:rsid w:val="007822EC"/>
    <w:rsid w:val="0078420E"/>
    <w:rsid w:val="00784438"/>
    <w:rsid w:val="007845CF"/>
    <w:rsid w:val="0078460A"/>
    <w:rsid w:val="00784734"/>
    <w:rsid w:val="007848D1"/>
    <w:rsid w:val="007853A4"/>
    <w:rsid w:val="00785EA1"/>
    <w:rsid w:val="007862DC"/>
    <w:rsid w:val="00786BC3"/>
    <w:rsid w:val="00786DB1"/>
    <w:rsid w:val="007906AA"/>
    <w:rsid w:val="007908EF"/>
    <w:rsid w:val="00791AC7"/>
    <w:rsid w:val="00792D11"/>
    <w:rsid w:val="007939EF"/>
    <w:rsid w:val="00793FA5"/>
    <w:rsid w:val="00794128"/>
    <w:rsid w:val="00794375"/>
    <w:rsid w:val="007948DE"/>
    <w:rsid w:val="00794FB6"/>
    <w:rsid w:val="007950FB"/>
    <w:rsid w:val="007958C6"/>
    <w:rsid w:val="00796246"/>
    <w:rsid w:val="0079654B"/>
    <w:rsid w:val="007A031E"/>
    <w:rsid w:val="007A0A4B"/>
    <w:rsid w:val="007A0EF8"/>
    <w:rsid w:val="007A1023"/>
    <w:rsid w:val="007A176E"/>
    <w:rsid w:val="007A177E"/>
    <w:rsid w:val="007A2836"/>
    <w:rsid w:val="007A2C55"/>
    <w:rsid w:val="007A3480"/>
    <w:rsid w:val="007A350E"/>
    <w:rsid w:val="007A36DF"/>
    <w:rsid w:val="007A46E6"/>
    <w:rsid w:val="007A4C95"/>
    <w:rsid w:val="007A54DC"/>
    <w:rsid w:val="007A57CC"/>
    <w:rsid w:val="007A6A87"/>
    <w:rsid w:val="007A710A"/>
    <w:rsid w:val="007A71C9"/>
    <w:rsid w:val="007A76F7"/>
    <w:rsid w:val="007B0E8C"/>
    <w:rsid w:val="007B194A"/>
    <w:rsid w:val="007B1A22"/>
    <w:rsid w:val="007B1B38"/>
    <w:rsid w:val="007B210D"/>
    <w:rsid w:val="007B27AC"/>
    <w:rsid w:val="007B2AAF"/>
    <w:rsid w:val="007B2DA4"/>
    <w:rsid w:val="007B3288"/>
    <w:rsid w:val="007B4055"/>
    <w:rsid w:val="007B4105"/>
    <w:rsid w:val="007B47F8"/>
    <w:rsid w:val="007B545B"/>
    <w:rsid w:val="007B5A55"/>
    <w:rsid w:val="007B66EA"/>
    <w:rsid w:val="007B676F"/>
    <w:rsid w:val="007B6A09"/>
    <w:rsid w:val="007B6AE9"/>
    <w:rsid w:val="007B773D"/>
    <w:rsid w:val="007C21D8"/>
    <w:rsid w:val="007C3330"/>
    <w:rsid w:val="007C55B6"/>
    <w:rsid w:val="007D08E6"/>
    <w:rsid w:val="007D1F37"/>
    <w:rsid w:val="007D2841"/>
    <w:rsid w:val="007D2CCE"/>
    <w:rsid w:val="007D310B"/>
    <w:rsid w:val="007D3367"/>
    <w:rsid w:val="007D33AF"/>
    <w:rsid w:val="007D355D"/>
    <w:rsid w:val="007D3E16"/>
    <w:rsid w:val="007D4E1A"/>
    <w:rsid w:val="007D57F4"/>
    <w:rsid w:val="007D5F88"/>
    <w:rsid w:val="007E0257"/>
    <w:rsid w:val="007E0998"/>
    <w:rsid w:val="007E1287"/>
    <w:rsid w:val="007E1A50"/>
    <w:rsid w:val="007E1E1B"/>
    <w:rsid w:val="007E3051"/>
    <w:rsid w:val="007E3882"/>
    <w:rsid w:val="007E3A8A"/>
    <w:rsid w:val="007E3D5D"/>
    <w:rsid w:val="007E4799"/>
    <w:rsid w:val="007E5A2E"/>
    <w:rsid w:val="007E5D00"/>
    <w:rsid w:val="007E69E0"/>
    <w:rsid w:val="007E7CC6"/>
    <w:rsid w:val="007F019F"/>
    <w:rsid w:val="007F0330"/>
    <w:rsid w:val="007F046D"/>
    <w:rsid w:val="007F0C22"/>
    <w:rsid w:val="007F1907"/>
    <w:rsid w:val="007F1F7E"/>
    <w:rsid w:val="007F238E"/>
    <w:rsid w:val="007F239D"/>
    <w:rsid w:val="007F23D3"/>
    <w:rsid w:val="007F3A69"/>
    <w:rsid w:val="007F3D2E"/>
    <w:rsid w:val="007F3D64"/>
    <w:rsid w:val="007F3FFF"/>
    <w:rsid w:val="007F41E6"/>
    <w:rsid w:val="007F4DFD"/>
    <w:rsid w:val="007F4F39"/>
    <w:rsid w:val="007F5678"/>
    <w:rsid w:val="007F5872"/>
    <w:rsid w:val="007F5B63"/>
    <w:rsid w:val="007F5F08"/>
    <w:rsid w:val="007F5F6F"/>
    <w:rsid w:val="007F780D"/>
    <w:rsid w:val="008004D6"/>
    <w:rsid w:val="0080066A"/>
    <w:rsid w:val="00800D7D"/>
    <w:rsid w:val="008010C5"/>
    <w:rsid w:val="00801561"/>
    <w:rsid w:val="0080307B"/>
    <w:rsid w:val="008031BB"/>
    <w:rsid w:val="008037A4"/>
    <w:rsid w:val="00803BA3"/>
    <w:rsid w:val="00803E20"/>
    <w:rsid w:val="008046F1"/>
    <w:rsid w:val="008048E0"/>
    <w:rsid w:val="00804CFB"/>
    <w:rsid w:val="00804F46"/>
    <w:rsid w:val="008054E4"/>
    <w:rsid w:val="008060A0"/>
    <w:rsid w:val="008068F3"/>
    <w:rsid w:val="0080799F"/>
    <w:rsid w:val="00810155"/>
    <w:rsid w:val="00810CB3"/>
    <w:rsid w:val="00811432"/>
    <w:rsid w:val="008117B1"/>
    <w:rsid w:val="00811D1D"/>
    <w:rsid w:val="0081436E"/>
    <w:rsid w:val="00814F25"/>
    <w:rsid w:val="008151CE"/>
    <w:rsid w:val="008157F0"/>
    <w:rsid w:val="00815E8E"/>
    <w:rsid w:val="00816631"/>
    <w:rsid w:val="00817487"/>
    <w:rsid w:val="00820581"/>
    <w:rsid w:val="008208BF"/>
    <w:rsid w:val="00820A49"/>
    <w:rsid w:val="008220AE"/>
    <w:rsid w:val="008224B6"/>
    <w:rsid w:val="00823439"/>
    <w:rsid w:val="00823F30"/>
    <w:rsid w:val="0082576C"/>
    <w:rsid w:val="00826DBD"/>
    <w:rsid w:val="008275D9"/>
    <w:rsid w:val="00827D18"/>
    <w:rsid w:val="008310EE"/>
    <w:rsid w:val="008317DC"/>
    <w:rsid w:val="008321B1"/>
    <w:rsid w:val="0083303A"/>
    <w:rsid w:val="008340EE"/>
    <w:rsid w:val="00834738"/>
    <w:rsid w:val="00835D6C"/>
    <w:rsid w:val="00835FB1"/>
    <w:rsid w:val="008374EE"/>
    <w:rsid w:val="00840047"/>
    <w:rsid w:val="008401BA"/>
    <w:rsid w:val="0084184A"/>
    <w:rsid w:val="00841B97"/>
    <w:rsid w:val="00841D13"/>
    <w:rsid w:val="0084212A"/>
    <w:rsid w:val="00843405"/>
    <w:rsid w:val="00843589"/>
    <w:rsid w:val="0084406C"/>
    <w:rsid w:val="00844D10"/>
    <w:rsid w:val="00844EC7"/>
    <w:rsid w:val="0084585C"/>
    <w:rsid w:val="008464B0"/>
    <w:rsid w:val="008468A5"/>
    <w:rsid w:val="0084691F"/>
    <w:rsid w:val="00846DC4"/>
    <w:rsid w:val="008472A8"/>
    <w:rsid w:val="0085064D"/>
    <w:rsid w:val="00851F1F"/>
    <w:rsid w:val="008521F4"/>
    <w:rsid w:val="00852521"/>
    <w:rsid w:val="008533CC"/>
    <w:rsid w:val="00853404"/>
    <w:rsid w:val="0085376D"/>
    <w:rsid w:val="008539D5"/>
    <w:rsid w:val="008547D7"/>
    <w:rsid w:val="00855972"/>
    <w:rsid w:val="008560B9"/>
    <w:rsid w:val="00856C21"/>
    <w:rsid w:val="00857A15"/>
    <w:rsid w:val="00857CE1"/>
    <w:rsid w:val="008602AD"/>
    <w:rsid w:val="00860D78"/>
    <w:rsid w:val="0086121E"/>
    <w:rsid w:val="00863600"/>
    <w:rsid w:val="00863E72"/>
    <w:rsid w:val="00864CB7"/>
    <w:rsid w:val="00864FA6"/>
    <w:rsid w:val="00865526"/>
    <w:rsid w:val="008662D5"/>
    <w:rsid w:val="008668ED"/>
    <w:rsid w:val="00867FE2"/>
    <w:rsid w:val="008703E5"/>
    <w:rsid w:val="00870C93"/>
    <w:rsid w:val="008725E0"/>
    <w:rsid w:val="0087260A"/>
    <w:rsid w:val="00872808"/>
    <w:rsid w:val="008731BC"/>
    <w:rsid w:val="00873418"/>
    <w:rsid w:val="00873C60"/>
    <w:rsid w:val="00873DF7"/>
    <w:rsid w:val="00876E36"/>
    <w:rsid w:val="0087721C"/>
    <w:rsid w:val="008773F3"/>
    <w:rsid w:val="00877882"/>
    <w:rsid w:val="00877B4C"/>
    <w:rsid w:val="00877D5E"/>
    <w:rsid w:val="00880581"/>
    <w:rsid w:val="00881828"/>
    <w:rsid w:val="00882CD6"/>
    <w:rsid w:val="00883730"/>
    <w:rsid w:val="00883799"/>
    <w:rsid w:val="00883D38"/>
    <w:rsid w:val="008845E5"/>
    <w:rsid w:val="00885BD8"/>
    <w:rsid w:val="00887771"/>
    <w:rsid w:val="0089080C"/>
    <w:rsid w:val="00890C2C"/>
    <w:rsid w:val="00890DD4"/>
    <w:rsid w:val="008911AB"/>
    <w:rsid w:val="00891BA7"/>
    <w:rsid w:val="00892106"/>
    <w:rsid w:val="00892791"/>
    <w:rsid w:val="00892CB7"/>
    <w:rsid w:val="00892E4C"/>
    <w:rsid w:val="00893A8E"/>
    <w:rsid w:val="00893C8A"/>
    <w:rsid w:val="00894BA6"/>
    <w:rsid w:val="0089527D"/>
    <w:rsid w:val="00895586"/>
    <w:rsid w:val="00895F4F"/>
    <w:rsid w:val="0089640E"/>
    <w:rsid w:val="008979B9"/>
    <w:rsid w:val="008A0287"/>
    <w:rsid w:val="008A1073"/>
    <w:rsid w:val="008A1E8E"/>
    <w:rsid w:val="008A341D"/>
    <w:rsid w:val="008A3CE6"/>
    <w:rsid w:val="008A4290"/>
    <w:rsid w:val="008A4906"/>
    <w:rsid w:val="008A57C0"/>
    <w:rsid w:val="008A6010"/>
    <w:rsid w:val="008A694E"/>
    <w:rsid w:val="008A6B71"/>
    <w:rsid w:val="008A6F51"/>
    <w:rsid w:val="008A7786"/>
    <w:rsid w:val="008B0CDB"/>
    <w:rsid w:val="008B0EE6"/>
    <w:rsid w:val="008B1C64"/>
    <w:rsid w:val="008B225D"/>
    <w:rsid w:val="008B259D"/>
    <w:rsid w:val="008B25C6"/>
    <w:rsid w:val="008B2A9A"/>
    <w:rsid w:val="008B30B4"/>
    <w:rsid w:val="008B3907"/>
    <w:rsid w:val="008B3EFE"/>
    <w:rsid w:val="008B4864"/>
    <w:rsid w:val="008B5790"/>
    <w:rsid w:val="008B6F22"/>
    <w:rsid w:val="008B7DF5"/>
    <w:rsid w:val="008B7F5E"/>
    <w:rsid w:val="008C0B72"/>
    <w:rsid w:val="008C0E3C"/>
    <w:rsid w:val="008C1A77"/>
    <w:rsid w:val="008C31DC"/>
    <w:rsid w:val="008C325F"/>
    <w:rsid w:val="008C3D3B"/>
    <w:rsid w:val="008C4A74"/>
    <w:rsid w:val="008C5374"/>
    <w:rsid w:val="008C55EB"/>
    <w:rsid w:val="008C58AC"/>
    <w:rsid w:val="008C620A"/>
    <w:rsid w:val="008C728E"/>
    <w:rsid w:val="008C760F"/>
    <w:rsid w:val="008D01C9"/>
    <w:rsid w:val="008D073F"/>
    <w:rsid w:val="008D0C9E"/>
    <w:rsid w:val="008D1A2B"/>
    <w:rsid w:val="008D25A3"/>
    <w:rsid w:val="008D3166"/>
    <w:rsid w:val="008D35CA"/>
    <w:rsid w:val="008D3949"/>
    <w:rsid w:val="008D4636"/>
    <w:rsid w:val="008D48FC"/>
    <w:rsid w:val="008D4B27"/>
    <w:rsid w:val="008D5187"/>
    <w:rsid w:val="008D554D"/>
    <w:rsid w:val="008D579B"/>
    <w:rsid w:val="008D5932"/>
    <w:rsid w:val="008D5FD1"/>
    <w:rsid w:val="008D61F7"/>
    <w:rsid w:val="008E1209"/>
    <w:rsid w:val="008E15BA"/>
    <w:rsid w:val="008E1B0B"/>
    <w:rsid w:val="008E2C76"/>
    <w:rsid w:val="008E3AFE"/>
    <w:rsid w:val="008E3FEB"/>
    <w:rsid w:val="008E4BC0"/>
    <w:rsid w:val="008E5AE2"/>
    <w:rsid w:val="008E5D04"/>
    <w:rsid w:val="008E67B7"/>
    <w:rsid w:val="008E6DE7"/>
    <w:rsid w:val="008F05F4"/>
    <w:rsid w:val="008F0971"/>
    <w:rsid w:val="008F0CAD"/>
    <w:rsid w:val="008F19F5"/>
    <w:rsid w:val="008F22FC"/>
    <w:rsid w:val="008F2A41"/>
    <w:rsid w:val="008F32E8"/>
    <w:rsid w:val="008F3F72"/>
    <w:rsid w:val="008F4153"/>
    <w:rsid w:val="008F50B6"/>
    <w:rsid w:val="008F5F60"/>
    <w:rsid w:val="008F6302"/>
    <w:rsid w:val="008F6C2B"/>
    <w:rsid w:val="00900842"/>
    <w:rsid w:val="00901B07"/>
    <w:rsid w:val="0090264D"/>
    <w:rsid w:val="0090299E"/>
    <w:rsid w:val="00902A9F"/>
    <w:rsid w:val="00902F73"/>
    <w:rsid w:val="0090577E"/>
    <w:rsid w:val="009059A9"/>
    <w:rsid w:val="00905AFC"/>
    <w:rsid w:val="00906521"/>
    <w:rsid w:val="00910315"/>
    <w:rsid w:val="009105C4"/>
    <w:rsid w:val="00910B90"/>
    <w:rsid w:val="00911CD9"/>
    <w:rsid w:val="009135D0"/>
    <w:rsid w:val="0091555E"/>
    <w:rsid w:val="00915807"/>
    <w:rsid w:val="00915D2D"/>
    <w:rsid w:val="00915F9F"/>
    <w:rsid w:val="00916295"/>
    <w:rsid w:val="009164AE"/>
    <w:rsid w:val="009164CB"/>
    <w:rsid w:val="00916B05"/>
    <w:rsid w:val="00916C6A"/>
    <w:rsid w:val="00917293"/>
    <w:rsid w:val="00917635"/>
    <w:rsid w:val="0092089E"/>
    <w:rsid w:val="00920AA8"/>
    <w:rsid w:val="00921D43"/>
    <w:rsid w:val="00921E83"/>
    <w:rsid w:val="00921F82"/>
    <w:rsid w:val="00921FEB"/>
    <w:rsid w:val="00922403"/>
    <w:rsid w:val="00922FBF"/>
    <w:rsid w:val="00922FE4"/>
    <w:rsid w:val="00923058"/>
    <w:rsid w:val="00923D7D"/>
    <w:rsid w:val="00926271"/>
    <w:rsid w:val="00926AAD"/>
    <w:rsid w:val="0092755B"/>
    <w:rsid w:val="00927793"/>
    <w:rsid w:val="00927AB1"/>
    <w:rsid w:val="00927C93"/>
    <w:rsid w:val="00930CDC"/>
    <w:rsid w:val="00930DB0"/>
    <w:rsid w:val="00932725"/>
    <w:rsid w:val="0093373C"/>
    <w:rsid w:val="009337BD"/>
    <w:rsid w:val="00934092"/>
    <w:rsid w:val="0093484A"/>
    <w:rsid w:val="00934CDE"/>
    <w:rsid w:val="00934D89"/>
    <w:rsid w:val="00935220"/>
    <w:rsid w:val="0093584A"/>
    <w:rsid w:val="009363D1"/>
    <w:rsid w:val="009366EF"/>
    <w:rsid w:val="00936841"/>
    <w:rsid w:val="00936858"/>
    <w:rsid w:val="00940F46"/>
    <w:rsid w:val="009412A0"/>
    <w:rsid w:val="009415EE"/>
    <w:rsid w:val="00942289"/>
    <w:rsid w:val="009424C1"/>
    <w:rsid w:val="00951B37"/>
    <w:rsid w:val="00952CE0"/>
    <w:rsid w:val="00953C4E"/>
    <w:rsid w:val="009540B4"/>
    <w:rsid w:val="00954C2D"/>
    <w:rsid w:val="00954E90"/>
    <w:rsid w:val="00955283"/>
    <w:rsid w:val="00955949"/>
    <w:rsid w:val="00955AB8"/>
    <w:rsid w:val="00955FFA"/>
    <w:rsid w:val="00957C53"/>
    <w:rsid w:val="009607B3"/>
    <w:rsid w:val="00960C85"/>
    <w:rsid w:val="009616E8"/>
    <w:rsid w:val="00961815"/>
    <w:rsid w:val="009618E8"/>
    <w:rsid w:val="00961DA8"/>
    <w:rsid w:val="00963D6C"/>
    <w:rsid w:val="009644A1"/>
    <w:rsid w:val="00964A91"/>
    <w:rsid w:val="00965084"/>
    <w:rsid w:val="0096512D"/>
    <w:rsid w:val="00965AA1"/>
    <w:rsid w:val="009707A1"/>
    <w:rsid w:val="00972709"/>
    <w:rsid w:val="0097322A"/>
    <w:rsid w:val="00980177"/>
    <w:rsid w:val="00980A7A"/>
    <w:rsid w:val="00981B47"/>
    <w:rsid w:val="00983226"/>
    <w:rsid w:val="00986190"/>
    <w:rsid w:val="00987003"/>
    <w:rsid w:val="00990209"/>
    <w:rsid w:val="00991A22"/>
    <w:rsid w:val="00992394"/>
    <w:rsid w:val="009924B2"/>
    <w:rsid w:val="00992762"/>
    <w:rsid w:val="0099286D"/>
    <w:rsid w:val="00992AF9"/>
    <w:rsid w:val="009933C1"/>
    <w:rsid w:val="00993A42"/>
    <w:rsid w:val="00994318"/>
    <w:rsid w:val="009949F9"/>
    <w:rsid w:val="00995047"/>
    <w:rsid w:val="00995290"/>
    <w:rsid w:val="009953B5"/>
    <w:rsid w:val="0099548D"/>
    <w:rsid w:val="00995629"/>
    <w:rsid w:val="00995F7D"/>
    <w:rsid w:val="009965C7"/>
    <w:rsid w:val="00996C8A"/>
    <w:rsid w:val="00997CF9"/>
    <w:rsid w:val="00997D61"/>
    <w:rsid w:val="00997E6F"/>
    <w:rsid w:val="009A2550"/>
    <w:rsid w:val="009A32DA"/>
    <w:rsid w:val="009A452B"/>
    <w:rsid w:val="009A471B"/>
    <w:rsid w:val="009A4C9B"/>
    <w:rsid w:val="009A5224"/>
    <w:rsid w:val="009A5914"/>
    <w:rsid w:val="009B0723"/>
    <w:rsid w:val="009B0C42"/>
    <w:rsid w:val="009B19D2"/>
    <w:rsid w:val="009B29A1"/>
    <w:rsid w:val="009B2CF4"/>
    <w:rsid w:val="009B2ECF"/>
    <w:rsid w:val="009B2EF6"/>
    <w:rsid w:val="009B4044"/>
    <w:rsid w:val="009B423B"/>
    <w:rsid w:val="009B458B"/>
    <w:rsid w:val="009B4A46"/>
    <w:rsid w:val="009B4B11"/>
    <w:rsid w:val="009B4C53"/>
    <w:rsid w:val="009B50E4"/>
    <w:rsid w:val="009B6409"/>
    <w:rsid w:val="009B6B3B"/>
    <w:rsid w:val="009B6BF6"/>
    <w:rsid w:val="009B7675"/>
    <w:rsid w:val="009B78CA"/>
    <w:rsid w:val="009C086E"/>
    <w:rsid w:val="009C0BB0"/>
    <w:rsid w:val="009C1B31"/>
    <w:rsid w:val="009C353C"/>
    <w:rsid w:val="009C430B"/>
    <w:rsid w:val="009C48B4"/>
    <w:rsid w:val="009C5380"/>
    <w:rsid w:val="009C54A6"/>
    <w:rsid w:val="009C5BEB"/>
    <w:rsid w:val="009C6146"/>
    <w:rsid w:val="009C6DD3"/>
    <w:rsid w:val="009C7335"/>
    <w:rsid w:val="009C73C2"/>
    <w:rsid w:val="009D01A9"/>
    <w:rsid w:val="009D01C5"/>
    <w:rsid w:val="009D061F"/>
    <w:rsid w:val="009D0A24"/>
    <w:rsid w:val="009D0F32"/>
    <w:rsid w:val="009D11CA"/>
    <w:rsid w:val="009D1386"/>
    <w:rsid w:val="009D1F60"/>
    <w:rsid w:val="009D2339"/>
    <w:rsid w:val="009D264F"/>
    <w:rsid w:val="009D3F62"/>
    <w:rsid w:val="009D51A5"/>
    <w:rsid w:val="009D5351"/>
    <w:rsid w:val="009D6200"/>
    <w:rsid w:val="009D62BA"/>
    <w:rsid w:val="009D6343"/>
    <w:rsid w:val="009D72BF"/>
    <w:rsid w:val="009D7B3A"/>
    <w:rsid w:val="009E0622"/>
    <w:rsid w:val="009E1D8D"/>
    <w:rsid w:val="009E2CE8"/>
    <w:rsid w:val="009E33DD"/>
    <w:rsid w:val="009E4127"/>
    <w:rsid w:val="009E4190"/>
    <w:rsid w:val="009E46E8"/>
    <w:rsid w:val="009E51E6"/>
    <w:rsid w:val="009E5F44"/>
    <w:rsid w:val="009E5F63"/>
    <w:rsid w:val="009E66E7"/>
    <w:rsid w:val="009F1220"/>
    <w:rsid w:val="009F1319"/>
    <w:rsid w:val="009F16E0"/>
    <w:rsid w:val="009F1850"/>
    <w:rsid w:val="009F221C"/>
    <w:rsid w:val="009F235C"/>
    <w:rsid w:val="009F331E"/>
    <w:rsid w:val="009F3958"/>
    <w:rsid w:val="009F5867"/>
    <w:rsid w:val="009F6173"/>
    <w:rsid w:val="009F76A6"/>
    <w:rsid w:val="00A007D4"/>
    <w:rsid w:val="00A01732"/>
    <w:rsid w:val="00A01C46"/>
    <w:rsid w:val="00A0244A"/>
    <w:rsid w:val="00A0321B"/>
    <w:rsid w:val="00A03507"/>
    <w:rsid w:val="00A03B8C"/>
    <w:rsid w:val="00A03FD7"/>
    <w:rsid w:val="00A04F40"/>
    <w:rsid w:val="00A055C3"/>
    <w:rsid w:val="00A05A5D"/>
    <w:rsid w:val="00A116C5"/>
    <w:rsid w:val="00A116CD"/>
    <w:rsid w:val="00A11D2D"/>
    <w:rsid w:val="00A11D5C"/>
    <w:rsid w:val="00A126AA"/>
    <w:rsid w:val="00A128AF"/>
    <w:rsid w:val="00A13224"/>
    <w:rsid w:val="00A13608"/>
    <w:rsid w:val="00A1364E"/>
    <w:rsid w:val="00A1426A"/>
    <w:rsid w:val="00A14524"/>
    <w:rsid w:val="00A14CB0"/>
    <w:rsid w:val="00A15A2B"/>
    <w:rsid w:val="00A15F34"/>
    <w:rsid w:val="00A208EE"/>
    <w:rsid w:val="00A20D85"/>
    <w:rsid w:val="00A2153D"/>
    <w:rsid w:val="00A22543"/>
    <w:rsid w:val="00A22D6E"/>
    <w:rsid w:val="00A2406E"/>
    <w:rsid w:val="00A24154"/>
    <w:rsid w:val="00A24759"/>
    <w:rsid w:val="00A2490F"/>
    <w:rsid w:val="00A25A98"/>
    <w:rsid w:val="00A26A9C"/>
    <w:rsid w:val="00A26CD8"/>
    <w:rsid w:val="00A27A88"/>
    <w:rsid w:val="00A30025"/>
    <w:rsid w:val="00A30075"/>
    <w:rsid w:val="00A30440"/>
    <w:rsid w:val="00A30F41"/>
    <w:rsid w:val="00A3108E"/>
    <w:rsid w:val="00A32345"/>
    <w:rsid w:val="00A330B0"/>
    <w:rsid w:val="00A3331A"/>
    <w:rsid w:val="00A33C3A"/>
    <w:rsid w:val="00A342AF"/>
    <w:rsid w:val="00A347AE"/>
    <w:rsid w:val="00A356C9"/>
    <w:rsid w:val="00A35BC3"/>
    <w:rsid w:val="00A37515"/>
    <w:rsid w:val="00A37890"/>
    <w:rsid w:val="00A37CCF"/>
    <w:rsid w:val="00A40963"/>
    <w:rsid w:val="00A41441"/>
    <w:rsid w:val="00A41617"/>
    <w:rsid w:val="00A41B8D"/>
    <w:rsid w:val="00A41C18"/>
    <w:rsid w:val="00A4215C"/>
    <w:rsid w:val="00A424FF"/>
    <w:rsid w:val="00A42534"/>
    <w:rsid w:val="00A42A56"/>
    <w:rsid w:val="00A4362D"/>
    <w:rsid w:val="00A44564"/>
    <w:rsid w:val="00A45BAA"/>
    <w:rsid w:val="00A46D48"/>
    <w:rsid w:val="00A50C33"/>
    <w:rsid w:val="00A50C6C"/>
    <w:rsid w:val="00A510DF"/>
    <w:rsid w:val="00A52552"/>
    <w:rsid w:val="00A52A98"/>
    <w:rsid w:val="00A53058"/>
    <w:rsid w:val="00A53587"/>
    <w:rsid w:val="00A5386C"/>
    <w:rsid w:val="00A5432F"/>
    <w:rsid w:val="00A55DE1"/>
    <w:rsid w:val="00A5634A"/>
    <w:rsid w:val="00A565D0"/>
    <w:rsid w:val="00A5663E"/>
    <w:rsid w:val="00A5699F"/>
    <w:rsid w:val="00A5794A"/>
    <w:rsid w:val="00A57B03"/>
    <w:rsid w:val="00A57B35"/>
    <w:rsid w:val="00A57E14"/>
    <w:rsid w:val="00A6032F"/>
    <w:rsid w:val="00A60647"/>
    <w:rsid w:val="00A606E7"/>
    <w:rsid w:val="00A60ED8"/>
    <w:rsid w:val="00A62691"/>
    <w:rsid w:val="00A64070"/>
    <w:rsid w:val="00A65F2A"/>
    <w:rsid w:val="00A660C1"/>
    <w:rsid w:val="00A660C7"/>
    <w:rsid w:val="00A6693A"/>
    <w:rsid w:val="00A66FD8"/>
    <w:rsid w:val="00A6702E"/>
    <w:rsid w:val="00A70B58"/>
    <w:rsid w:val="00A70E6D"/>
    <w:rsid w:val="00A710A6"/>
    <w:rsid w:val="00A711FD"/>
    <w:rsid w:val="00A71390"/>
    <w:rsid w:val="00A718D0"/>
    <w:rsid w:val="00A71ABA"/>
    <w:rsid w:val="00A71DCD"/>
    <w:rsid w:val="00A72006"/>
    <w:rsid w:val="00A721CF"/>
    <w:rsid w:val="00A72D57"/>
    <w:rsid w:val="00A73EE7"/>
    <w:rsid w:val="00A73F1E"/>
    <w:rsid w:val="00A747D7"/>
    <w:rsid w:val="00A74C81"/>
    <w:rsid w:val="00A756F8"/>
    <w:rsid w:val="00A75B7D"/>
    <w:rsid w:val="00A76A38"/>
    <w:rsid w:val="00A77724"/>
    <w:rsid w:val="00A7792C"/>
    <w:rsid w:val="00A801E1"/>
    <w:rsid w:val="00A8044D"/>
    <w:rsid w:val="00A805DE"/>
    <w:rsid w:val="00A80A8D"/>
    <w:rsid w:val="00A81EA1"/>
    <w:rsid w:val="00A823A9"/>
    <w:rsid w:val="00A82B93"/>
    <w:rsid w:val="00A83301"/>
    <w:rsid w:val="00A834A5"/>
    <w:rsid w:val="00A84AA6"/>
    <w:rsid w:val="00A86BBB"/>
    <w:rsid w:val="00A86C2E"/>
    <w:rsid w:val="00A87201"/>
    <w:rsid w:val="00A878B5"/>
    <w:rsid w:val="00A87DB2"/>
    <w:rsid w:val="00A87F47"/>
    <w:rsid w:val="00A90878"/>
    <w:rsid w:val="00A91072"/>
    <w:rsid w:val="00A91374"/>
    <w:rsid w:val="00A91EB0"/>
    <w:rsid w:val="00A925E0"/>
    <w:rsid w:val="00A92D0E"/>
    <w:rsid w:val="00A94983"/>
    <w:rsid w:val="00A95F33"/>
    <w:rsid w:val="00A96806"/>
    <w:rsid w:val="00A97249"/>
    <w:rsid w:val="00A974C0"/>
    <w:rsid w:val="00A97704"/>
    <w:rsid w:val="00A9776A"/>
    <w:rsid w:val="00AA1A52"/>
    <w:rsid w:val="00AA3047"/>
    <w:rsid w:val="00AA33EA"/>
    <w:rsid w:val="00AA3894"/>
    <w:rsid w:val="00AA4A71"/>
    <w:rsid w:val="00AA6054"/>
    <w:rsid w:val="00AA60C6"/>
    <w:rsid w:val="00AA6195"/>
    <w:rsid w:val="00AA68FA"/>
    <w:rsid w:val="00AA6F76"/>
    <w:rsid w:val="00AA70FC"/>
    <w:rsid w:val="00AA7816"/>
    <w:rsid w:val="00AB07CB"/>
    <w:rsid w:val="00AB0AD0"/>
    <w:rsid w:val="00AB1642"/>
    <w:rsid w:val="00AB1E7D"/>
    <w:rsid w:val="00AB272D"/>
    <w:rsid w:val="00AB2894"/>
    <w:rsid w:val="00AB2EA2"/>
    <w:rsid w:val="00AB3CED"/>
    <w:rsid w:val="00AB431D"/>
    <w:rsid w:val="00AB4523"/>
    <w:rsid w:val="00AB49CD"/>
    <w:rsid w:val="00AB4F3B"/>
    <w:rsid w:val="00AB5158"/>
    <w:rsid w:val="00AB6119"/>
    <w:rsid w:val="00AB65ED"/>
    <w:rsid w:val="00AB7575"/>
    <w:rsid w:val="00AC08CA"/>
    <w:rsid w:val="00AC0D20"/>
    <w:rsid w:val="00AC2010"/>
    <w:rsid w:val="00AC3C84"/>
    <w:rsid w:val="00AC414D"/>
    <w:rsid w:val="00AC4399"/>
    <w:rsid w:val="00AC483C"/>
    <w:rsid w:val="00AC491C"/>
    <w:rsid w:val="00AC4F68"/>
    <w:rsid w:val="00AC575C"/>
    <w:rsid w:val="00AC6122"/>
    <w:rsid w:val="00AC65F3"/>
    <w:rsid w:val="00AC6D6F"/>
    <w:rsid w:val="00AC6E54"/>
    <w:rsid w:val="00AC72F4"/>
    <w:rsid w:val="00AC7312"/>
    <w:rsid w:val="00AD0CBA"/>
    <w:rsid w:val="00AD0D2A"/>
    <w:rsid w:val="00AD236A"/>
    <w:rsid w:val="00AD238E"/>
    <w:rsid w:val="00AD27BB"/>
    <w:rsid w:val="00AD2BCD"/>
    <w:rsid w:val="00AD33A2"/>
    <w:rsid w:val="00AD4861"/>
    <w:rsid w:val="00AD496E"/>
    <w:rsid w:val="00AD4AA0"/>
    <w:rsid w:val="00AD4DDE"/>
    <w:rsid w:val="00AD560D"/>
    <w:rsid w:val="00AD7090"/>
    <w:rsid w:val="00AD72B2"/>
    <w:rsid w:val="00AD7608"/>
    <w:rsid w:val="00AE10A5"/>
    <w:rsid w:val="00AE1165"/>
    <w:rsid w:val="00AE1BF5"/>
    <w:rsid w:val="00AE22E2"/>
    <w:rsid w:val="00AE28C8"/>
    <w:rsid w:val="00AE2EE0"/>
    <w:rsid w:val="00AE3ABD"/>
    <w:rsid w:val="00AE3C57"/>
    <w:rsid w:val="00AE3C67"/>
    <w:rsid w:val="00AE5159"/>
    <w:rsid w:val="00AE5459"/>
    <w:rsid w:val="00AE5484"/>
    <w:rsid w:val="00AE56AF"/>
    <w:rsid w:val="00AE57BF"/>
    <w:rsid w:val="00AE5907"/>
    <w:rsid w:val="00AE5B6D"/>
    <w:rsid w:val="00AE62C7"/>
    <w:rsid w:val="00AE6451"/>
    <w:rsid w:val="00AE6A3E"/>
    <w:rsid w:val="00AE7D27"/>
    <w:rsid w:val="00AF0E28"/>
    <w:rsid w:val="00AF14E0"/>
    <w:rsid w:val="00AF24AF"/>
    <w:rsid w:val="00AF25D3"/>
    <w:rsid w:val="00AF282A"/>
    <w:rsid w:val="00AF2CD2"/>
    <w:rsid w:val="00AF32D7"/>
    <w:rsid w:val="00AF43E4"/>
    <w:rsid w:val="00AF4D63"/>
    <w:rsid w:val="00AF5643"/>
    <w:rsid w:val="00AF67D2"/>
    <w:rsid w:val="00AF6CD3"/>
    <w:rsid w:val="00AF71BD"/>
    <w:rsid w:val="00AF7308"/>
    <w:rsid w:val="00AF7728"/>
    <w:rsid w:val="00AF7AFE"/>
    <w:rsid w:val="00B001C5"/>
    <w:rsid w:val="00B0034C"/>
    <w:rsid w:val="00B00549"/>
    <w:rsid w:val="00B00961"/>
    <w:rsid w:val="00B013F8"/>
    <w:rsid w:val="00B028C6"/>
    <w:rsid w:val="00B04E35"/>
    <w:rsid w:val="00B066D2"/>
    <w:rsid w:val="00B07476"/>
    <w:rsid w:val="00B0789A"/>
    <w:rsid w:val="00B10074"/>
    <w:rsid w:val="00B102FD"/>
    <w:rsid w:val="00B1056D"/>
    <w:rsid w:val="00B10E7B"/>
    <w:rsid w:val="00B11626"/>
    <w:rsid w:val="00B117C5"/>
    <w:rsid w:val="00B11E0A"/>
    <w:rsid w:val="00B126D2"/>
    <w:rsid w:val="00B13BAD"/>
    <w:rsid w:val="00B14702"/>
    <w:rsid w:val="00B1473C"/>
    <w:rsid w:val="00B152C5"/>
    <w:rsid w:val="00B15612"/>
    <w:rsid w:val="00B20230"/>
    <w:rsid w:val="00B21ACB"/>
    <w:rsid w:val="00B21D9C"/>
    <w:rsid w:val="00B21E98"/>
    <w:rsid w:val="00B22027"/>
    <w:rsid w:val="00B22423"/>
    <w:rsid w:val="00B22D7C"/>
    <w:rsid w:val="00B238ED"/>
    <w:rsid w:val="00B26FC0"/>
    <w:rsid w:val="00B30290"/>
    <w:rsid w:val="00B30592"/>
    <w:rsid w:val="00B32288"/>
    <w:rsid w:val="00B32317"/>
    <w:rsid w:val="00B329BF"/>
    <w:rsid w:val="00B33DF6"/>
    <w:rsid w:val="00B35DDC"/>
    <w:rsid w:val="00B36368"/>
    <w:rsid w:val="00B36A7A"/>
    <w:rsid w:val="00B37666"/>
    <w:rsid w:val="00B400A7"/>
    <w:rsid w:val="00B407AA"/>
    <w:rsid w:val="00B40982"/>
    <w:rsid w:val="00B4137B"/>
    <w:rsid w:val="00B41D0D"/>
    <w:rsid w:val="00B42232"/>
    <w:rsid w:val="00B42EE9"/>
    <w:rsid w:val="00B433AD"/>
    <w:rsid w:val="00B43D50"/>
    <w:rsid w:val="00B441D2"/>
    <w:rsid w:val="00B44A67"/>
    <w:rsid w:val="00B44BFF"/>
    <w:rsid w:val="00B44FD8"/>
    <w:rsid w:val="00B45285"/>
    <w:rsid w:val="00B4554A"/>
    <w:rsid w:val="00B4766F"/>
    <w:rsid w:val="00B50637"/>
    <w:rsid w:val="00B51ECE"/>
    <w:rsid w:val="00B5224C"/>
    <w:rsid w:val="00B526B2"/>
    <w:rsid w:val="00B52A69"/>
    <w:rsid w:val="00B532CF"/>
    <w:rsid w:val="00B533F8"/>
    <w:rsid w:val="00B535A8"/>
    <w:rsid w:val="00B53BDF"/>
    <w:rsid w:val="00B546CD"/>
    <w:rsid w:val="00B548D5"/>
    <w:rsid w:val="00B55D35"/>
    <w:rsid w:val="00B56DE5"/>
    <w:rsid w:val="00B572FA"/>
    <w:rsid w:val="00B57988"/>
    <w:rsid w:val="00B57C75"/>
    <w:rsid w:val="00B60487"/>
    <w:rsid w:val="00B610E1"/>
    <w:rsid w:val="00B61679"/>
    <w:rsid w:val="00B62214"/>
    <w:rsid w:val="00B62439"/>
    <w:rsid w:val="00B625E2"/>
    <w:rsid w:val="00B63315"/>
    <w:rsid w:val="00B63E2D"/>
    <w:rsid w:val="00B645D6"/>
    <w:rsid w:val="00B64AC0"/>
    <w:rsid w:val="00B64B09"/>
    <w:rsid w:val="00B64E60"/>
    <w:rsid w:val="00B64F50"/>
    <w:rsid w:val="00B65259"/>
    <w:rsid w:val="00B65BDA"/>
    <w:rsid w:val="00B667EE"/>
    <w:rsid w:val="00B66AED"/>
    <w:rsid w:val="00B67039"/>
    <w:rsid w:val="00B67816"/>
    <w:rsid w:val="00B71018"/>
    <w:rsid w:val="00B72AD6"/>
    <w:rsid w:val="00B72F8C"/>
    <w:rsid w:val="00B73DEF"/>
    <w:rsid w:val="00B75363"/>
    <w:rsid w:val="00B76EFF"/>
    <w:rsid w:val="00B7738F"/>
    <w:rsid w:val="00B8055D"/>
    <w:rsid w:val="00B80949"/>
    <w:rsid w:val="00B81006"/>
    <w:rsid w:val="00B81945"/>
    <w:rsid w:val="00B81E91"/>
    <w:rsid w:val="00B81F99"/>
    <w:rsid w:val="00B83000"/>
    <w:rsid w:val="00B83202"/>
    <w:rsid w:val="00B83B76"/>
    <w:rsid w:val="00B850F8"/>
    <w:rsid w:val="00B851D7"/>
    <w:rsid w:val="00B8545A"/>
    <w:rsid w:val="00B8577D"/>
    <w:rsid w:val="00B85A6D"/>
    <w:rsid w:val="00B86171"/>
    <w:rsid w:val="00B862F3"/>
    <w:rsid w:val="00B86525"/>
    <w:rsid w:val="00B86586"/>
    <w:rsid w:val="00B874FC"/>
    <w:rsid w:val="00B87D06"/>
    <w:rsid w:val="00B91483"/>
    <w:rsid w:val="00B91772"/>
    <w:rsid w:val="00B921D3"/>
    <w:rsid w:val="00B9230C"/>
    <w:rsid w:val="00B92AA0"/>
    <w:rsid w:val="00B94F9F"/>
    <w:rsid w:val="00B95E30"/>
    <w:rsid w:val="00B9613B"/>
    <w:rsid w:val="00B9615E"/>
    <w:rsid w:val="00B962A7"/>
    <w:rsid w:val="00B96704"/>
    <w:rsid w:val="00B96EF0"/>
    <w:rsid w:val="00B97EF9"/>
    <w:rsid w:val="00BA08F4"/>
    <w:rsid w:val="00BA288F"/>
    <w:rsid w:val="00BA2A0B"/>
    <w:rsid w:val="00BA2C0D"/>
    <w:rsid w:val="00BA36B8"/>
    <w:rsid w:val="00BA37ED"/>
    <w:rsid w:val="00BA5651"/>
    <w:rsid w:val="00BA59DF"/>
    <w:rsid w:val="00BA6149"/>
    <w:rsid w:val="00BA6BCF"/>
    <w:rsid w:val="00BA799D"/>
    <w:rsid w:val="00BA7FFA"/>
    <w:rsid w:val="00BB0A40"/>
    <w:rsid w:val="00BB1E66"/>
    <w:rsid w:val="00BB2725"/>
    <w:rsid w:val="00BB3004"/>
    <w:rsid w:val="00BB3231"/>
    <w:rsid w:val="00BB3B2A"/>
    <w:rsid w:val="00BB3EFA"/>
    <w:rsid w:val="00BB4662"/>
    <w:rsid w:val="00BB4DB3"/>
    <w:rsid w:val="00BB69AD"/>
    <w:rsid w:val="00BB76D4"/>
    <w:rsid w:val="00BC073E"/>
    <w:rsid w:val="00BC0878"/>
    <w:rsid w:val="00BC100F"/>
    <w:rsid w:val="00BC1A2F"/>
    <w:rsid w:val="00BC2EFA"/>
    <w:rsid w:val="00BC3DAE"/>
    <w:rsid w:val="00BC3E0B"/>
    <w:rsid w:val="00BC4D52"/>
    <w:rsid w:val="00BC4D71"/>
    <w:rsid w:val="00BC4E49"/>
    <w:rsid w:val="00BC4E5C"/>
    <w:rsid w:val="00BC5955"/>
    <w:rsid w:val="00BC5D45"/>
    <w:rsid w:val="00BC69E7"/>
    <w:rsid w:val="00BC6B69"/>
    <w:rsid w:val="00BC74AE"/>
    <w:rsid w:val="00BD0168"/>
    <w:rsid w:val="00BD06E7"/>
    <w:rsid w:val="00BD0737"/>
    <w:rsid w:val="00BD0C7A"/>
    <w:rsid w:val="00BD0F66"/>
    <w:rsid w:val="00BD101B"/>
    <w:rsid w:val="00BD15E2"/>
    <w:rsid w:val="00BD165D"/>
    <w:rsid w:val="00BD166E"/>
    <w:rsid w:val="00BD16C2"/>
    <w:rsid w:val="00BD16DA"/>
    <w:rsid w:val="00BD1C58"/>
    <w:rsid w:val="00BD2ACF"/>
    <w:rsid w:val="00BD3414"/>
    <w:rsid w:val="00BD3975"/>
    <w:rsid w:val="00BD3CC3"/>
    <w:rsid w:val="00BD4F12"/>
    <w:rsid w:val="00BD5501"/>
    <w:rsid w:val="00BD5D4F"/>
    <w:rsid w:val="00BD5DBA"/>
    <w:rsid w:val="00BD73BD"/>
    <w:rsid w:val="00BD7A27"/>
    <w:rsid w:val="00BE07D4"/>
    <w:rsid w:val="00BE0FF3"/>
    <w:rsid w:val="00BE139B"/>
    <w:rsid w:val="00BE167E"/>
    <w:rsid w:val="00BE16BA"/>
    <w:rsid w:val="00BE26A5"/>
    <w:rsid w:val="00BE2D3A"/>
    <w:rsid w:val="00BE3109"/>
    <w:rsid w:val="00BE3E1C"/>
    <w:rsid w:val="00BE435F"/>
    <w:rsid w:val="00BE5449"/>
    <w:rsid w:val="00BE5A2F"/>
    <w:rsid w:val="00BE5A9F"/>
    <w:rsid w:val="00BE6958"/>
    <w:rsid w:val="00BE6F76"/>
    <w:rsid w:val="00BE79BD"/>
    <w:rsid w:val="00BF0452"/>
    <w:rsid w:val="00BF072D"/>
    <w:rsid w:val="00BF0D88"/>
    <w:rsid w:val="00BF2003"/>
    <w:rsid w:val="00BF2532"/>
    <w:rsid w:val="00BF5373"/>
    <w:rsid w:val="00BF567B"/>
    <w:rsid w:val="00BF6A2F"/>
    <w:rsid w:val="00BF7372"/>
    <w:rsid w:val="00BF7537"/>
    <w:rsid w:val="00BF795E"/>
    <w:rsid w:val="00C0040B"/>
    <w:rsid w:val="00C01022"/>
    <w:rsid w:val="00C01A72"/>
    <w:rsid w:val="00C02536"/>
    <w:rsid w:val="00C02D8B"/>
    <w:rsid w:val="00C032AF"/>
    <w:rsid w:val="00C03368"/>
    <w:rsid w:val="00C04540"/>
    <w:rsid w:val="00C04B79"/>
    <w:rsid w:val="00C04F98"/>
    <w:rsid w:val="00C06863"/>
    <w:rsid w:val="00C06B2A"/>
    <w:rsid w:val="00C06E7F"/>
    <w:rsid w:val="00C0729D"/>
    <w:rsid w:val="00C07A09"/>
    <w:rsid w:val="00C10A4D"/>
    <w:rsid w:val="00C118F6"/>
    <w:rsid w:val="00C12C92"/>
    <w:rsid w:val="00C12CC5"/>
    <w:rsid w:val="00C1315E"/>
    <w:rsid w:val="00C138F4"/>
    <w:rsid w:val="00C13E0F"/>
    <w:rsid w:val="00C14C11"/>
    <w:rsid w:val="00C1522C"/>
    <w:rsid w:val="00C15E1C"/>
    <w:rsid w:val="00C1614F"/>
    <w:rsid w:val="00C16905"/>
    <w:rsid w:val="00C17293"/>
    <w:rsid w:val="00C17404"/>
    <w:rsid w:val="00C21ED8"/>
    <w:rsid w:val="00C22044"/>
    <w:rsid w:val="00C22F41"/>
    <w:rsid w:val="00C2413F"/>
    <w:rsid w:val="00C2475E"/>
    <w:rsid w:val="00C24CFC"/>
    <w:rsid w:val="00C267A5"/>
    <w:rsid w:val="00C268E7"/>
    <w:rsid w:val="00C26AF6"/>
    <w:rsid w:val="00C26CC5"/>
    <w:rsid w:val="00C26CE5"/>
    <w:rsid w:val="00C27F54"/>
    <w:rsid w:val="00C32A3F"/>
    <w:rsid w:val="00C32BA0"/>
    <w:rsid w:val="00C333D5"/>
    <w:rsid w:val="00C355C1"/>
    <w:rsid w:val="00C3711D"/>
    <w:rsid w:val="00C3723B"/>
    <w:rsid w:val="00C37DA1"/>
    <w:rsid w:val="00C37FE9"/>
    <w:rsid w:val="00C40377"/>
    <w:rsid w:val="00C40D0A"/>
    <w:rsid w:val="00C41074"/>
    <w:rsid w:val="00C41631"/>
    <w:rsid w:val="00C42E32"/>
    <w:rsid w:val="00C44200"/>
    <w:rsid w:val="00C4473A"/>
    <w:rsid w:val="00C448F5"/>
    <w:rsid w:val="00C45E3F"/>
    <w:rsid w:val="00C46202"/>
    <w:rsid w:val="00C471B0"/>
    <w:rsid w:val="00C52B5B"/>
    <w:rsid w:val="00C53D20"/>
    <w:rsid w:val="00C5489E"/>
    <w:rsid w:val="00C5547B"/>
    <w:rsid w:val="00C555BF"/>
    <w:rsid w:val="00C56488"/>
    <w:rsid w:val="00C56C0B"/>
    <w:rsid w:val="00C6048C"/>
    <w:rsid w:val="00C612C2"/>
    <w:rsid w:val="00C61DD1"/>
    <w:rsid w:val="00C62480"/>
    <w:rsid w:val="00C634CD"/>
    <w:rsid w:val="00C63847"/>
    <w:rsid w:val="00C63BC2"/>
    <w:rsid w:val="00C644FF"/>
    <w:rsid w:val="00C65361"/>
    <w:rsid w:val="00C65551"/>
    <w:rsid w:val="00C670CF"/>
    <w:rsid w:val="00C67132"/>
    <w:rsid w:val="00C67D15"/>
    <w:rsid w:val="00C70E13"/>
    <w:rsid w:val="00C70E54"/>
    <w:rsid w:val="00C71BD9"/>
    <w:rsid w:val="00C71CCD"/>
    <w:rsid w:val="00C71E05"/>
    <w:rsid w:val="00C735CF"/>
    <w:rsid w:val="00C73E50"/>
    <w:rsid w:val="00C7457D"/>
    <w:rsid w:val="00C754BC"/>
    <w:rsid w:val="00C771C7"/>
    <w:rsid w:val="00C77DC5"/>
    <w:rsid w:val="00C80478"/>
    <w:rsid w:val="00C812E9"/>
    <w:rsid w:val="00C821F2"/>
    <w:rsid w:val="00C829D5"/>
    <w:rsid w:val="00C832B6"/>
    <w:rsid w:val="00C83790"/>
    <w:rsid w:val="00C84043"/>
    <w:rsid w:val="00C8410E"/>
    <w:rsid w:val="00C864F0"/>
    <w:rsid w:val="00C86913"/>
    <w:rsid w:val="00C86CBA"/>
    <w:rsid w:val="00C86D66"/>
    <w:rsid w:val="00C86F72"/>
    <w:rsid w:val="00C879D2"/>
    <w:rsid w:val="00C90186"/>
    <w:rsid w:val="00C90398"/>
    <w:rsid w:val="00C912F1"/>
    <w:rsid w:val="00C91833"/>
    <w:rsid w:val="00C91A21"/>
    <w:rsid w:val="00C91C83"/>
    <w:rsid w:val="00C91FCB"/>
    <w:rsid w:val="00C92B5D"/>
    <w:rsid w:val="00C92F2E"/>
    <w:rsid w:val="00C931AE"/>
    <w:rsid w:val="00C93511"/>
    <w:rsid w:val="00C93E07"/>
    <w:rsid w:val="00C94EB3"/>
    <w:rsid w:val="00C950D2"/>
    <w:rsid w:val="00C96FDC"/>
    <w:rsid w:val="00CA02C6"/>
    <w:rsid w:val="00CA1FCD"/>
    <w:rsid w:val="00CA218E"/>
    <w:rsid w:val="00CA2376"/>
    <w:rsid w:val="00CA325E"/>
    <w:rsid w:val="00CA33A6"/>
    <w:rsid w:val="00CA33AB"/>
    <w:rsid w:val="00CA4339"/>
    <w:rsid w:val="00CA4A5B"/>
    <w:rsid w:val="00CA4B6E"/>
    <w:rsid w:val="00CA4CCB"/>
    <w:rsid w:val="00CA5529"/>
    <w:rsid w:val="00CA6BC1"/>
    <w:rsid w:val="00CA7988"/>
    <w:rsid w:val="00CA7ABB"/>
    <w:rsid w:val="00CB00C2"/>
    <w:rsid w:val="00CB0AD1"/>
    <w:rsid w:val="00CB122D"/>
    <w:rsid w:val="00CB15E0"/>
    <w:rsid w:val="00CB17E0"/>
    <w:rsid w:val="00CB1FBA"/>
    <w:rsid w:val="00CB28FA"/>
    <w:rsid w:val="00CB3D0B"/>
    <w:rsid w:val="00CB4234"/>
    <w:rsid w:val="00CB42A1"/>
    <w:rsid w:val="00CB4FA0"/>
    <w:rsid w:val="00CB5925"/>
    <w:rsid w:val="00CB5EE5"/>
    <w:rsid w:val="00CB5F79"/>
    <w:rsid w:val="00CB614A"/>
    <w:rsid w:val="00CB6480"/>
    <w:rsid w:val="00CB69BD"/>
    <w:rsid w:val="00CB6FB1"/>
    <w:rsid w:val="00CB6FE0"/>
    <w:rsid w:val="00CB75E9"/>
    <w:rsid w:val="00CC1B2B"/>
    <w:rsid w:val="00CC4EC1"/>
    <w:rsid w:val="00CC5E5B"/>
    <w:rsid w:val="00CC6120"/>
    <w:rsid w:val="00CC750A"/>
    <w:rsid w:val="00CC7565"/>
    <w:rsid w:val="00CC7E3E"/>
    <w:rsid w:val="00CC7EF0"/>
    <w:rsid w:val="00CC7F1F"/>
    <w:rsid w:val="00CD1BD7"/>
    <w:rsid w:val="00CD1DE6"/>
    <w:rsid w:val="00CD20A0"/>
    <w:rsid w:val="00CD2A94"/>
    <w:rsid w:val="00CD2C5B"/>
    <w:rsid w:val="00CD3242"/>
    <w:rsid w:val="00CD45BA"/>
    <w:rsid w:val="00CD515D"/>
    <w:rsid w:val="00CD52AA"/>
    <w:rsid w:val="00CD52F4"/>
    <w:rsid w:val="00CD5370"/>
    <w:rsid w:val="00CD5B2C"/>
    <w:rsid w:val="00CD6894"/>
    <w:rsid w:val="00CD7B87"/>
    <w:rsid w:val="00CE03AE"/>
    <w:rsid w:val="00CE0B15"/>
    <w:rsid w:val="00CE1F44"/>
    <w:rsid w:val="00CE2FC1"/>
    <w:rsid w:val="00CE3481"/>
    <w:rsid w:val="00CE3528"/>
    <w:rsid w:val="00CE376C"/>
    <w:rsid w:val="00CE3872"/>
    <w:rsid w:val="00CE43B5"/>
    <w:rsid w:val="00CE44F2"/>
    <w:rsid w:val="00CE4608"/>
    <w:rsid w:val="00CE55E9"/>
    <w:rsid w:val="00CE571B"/>
    <w:rsid w:val="00CE5790"/>
    <w:rsid w:val="00CE5DA0"/>
    <w:rsid w:val="00CE6CDD"/>
    <w:rsid w:val="00CE6FBC"/>
    <w:rsid w:val="00CF026E"/>
    <w:rsid w:val="00CF0687"/>
    <w:rsid w:val="00CF1E47"/>
    <w:rsid w:val="00CF2438"/>
    <w:rsid w:val="00CF281B"/>
    <w:rsid w:val="00CF30E6"/>
    <w:rsid w:val="00CF368C"/>
    <w:rsid w:val="00CF3A98"/>
    <w:rsid w:val="00CF3C9F"/>
    <w:rsid w:val="00CF5175"/>
    <w:rsid w:val="00CF5FC0"/>
    <w:rsid w:val="00CF62D3"/>
    <w:rsid w:val="00CF66D4"/>
    <w:rsid w:val="00CF6F69"/>
    <w:rsid w:val="00CF7259"/>
    <w:rsid w:val="00CF7865"/>
    <w:rsid w:val="00CF7FC0"/>
    <w:rsid w:val="00D003B4"/>
    <w:rsid w:val="00D00969"/>
    <w:rsid w:val="00D00CB0"/>
    <w:rsid w:val="00D01249"/>
    <w:rsid w:val="00D0149B"/>
    <w:rsid w:val="00D02517"/>
    <w:rsid w:val="00D02701"/>
    <w:rsid w:val="00D02F61"/>
    <w:rsid w:val="00D03804"/>
    <w:rsid w:val="00D04C19"/>
    <w:rsid w:val="00D05577"/>
    <w:rsid w:val="00D062C3"/>
    <w:rsid w:val="00D06BC8"/>
    <w:rsid w:val="00D072E1"/>
    <w:rsid w:val="00D075B1"/>
    <w:rsid w:val="00D0791C"/>
    <w:rsid w:val="00D109C5"/>
    <w:rsid w:val="00D10B00"/>
    <w:rsid w:val="00D11003"/>
    <w:rsid w:val="00D11184"/>
    <w:rsid w:val="00D11A4A"/>
    <w:rsid w:val="00D122D6"/>
    <w:rsid w:val="00D134E8"/>
    <w:rsid w:val="00D1399D"/>
    <w:rsid w:val="00D14D1C"/>
    <w:rsid w:val="00D1589C"/>
    <w:rsid w:val="00D162FD"/>
    <w:rsid w:val="00D175C7"/>
    <w:rsid w:val="00D2035F"/>
    <w:rsid w:val="00D215DB"/>
    <w:rsid w:val="00D226E1"/>
    <w:rsid w:val="00D234AD"/>
    <w:rsid w:val="00D23779"/>
    <w:rsid w:val="00D23BC2"/>
    <w:rsid w:val="00D242A9"/>
    <w:rsid w:val="00D24F0F"/>
    <w:rsid w:val="00D25027"/>
    <w:rsid w:val="00D25447"/>
    <w:rsid w:val="00D25B23"/>
    <w:rsid w:val="00D25D27"/>
    <w:rsid w:val="00D27AEF"/>
    <w:rsid w:val="00D27D74"/>
    <w:rsid w:val="00D30033"/>
    <w:rsid w:val="00D3032F"/>
    <w:rsid w:val="00D30952"/>
    <w:rsid w:val="00D30E66"/>
    <w:rsid w:val="00D3250B"/>
    <w:rsid w:val="00D32D6A"/>
    <w:rsid w:val="00D33484"/>
    <w:rsid w:val="00D33E80"/>
    <w:rsid w:val="00D34261"/>
    <w:rsid w:val="00D3494B"/>
    <w:rsid w:val="00D34EBD"/>
    <w:rsid w:val="00D3508F"/>
    <w:rsid w:val="00D35AA0"/>
    <w:rsid w:val="00D37851"/>
    <w:rsid w:val="00D40964"/>
    <w:rsid w:val="00D410B9"/>
    <w:rsid w:val="00D421A3"/>
    <w:rsid w:val="00D42442"/>
    <w:rsid w:val="00D44F1D"/>
    <w:rsid w:val="00D4514B"/>
    <w:rsid w:val="00D453F5"/>
    <w:rsid w:val="00D45DEC"/>
    <w:rsid w:val="00D45FAC"/>
    <w:rsid w:val="00D46334"/>
    <w:rsid w:val="00D46BF5"/>
    <w:rsid w:val="00D47BDB"/>
    <w:rsid w:val="00D47E0D"/>
    <w:rsid w:val="00D5135F"/>
    <w:rsid w:val="00D516FE"/>
    <w:rsid w:val="00D51D96"/>
    <w:rsid w:val="00D52784"/>
    <w:rsid w:val="00D531C6"/>
    <w:rsid w:val="00D5390A"/>
    <w:rsid w:val="00D53D07"/>
    <w:rsid w:val="00D544A9"/>
    <w:rsid w:val="00D569D9"/>
    <w:rsid w:val="00D6007F"/>
    <w:rsid w:val="00D608CC"/>
    <w:rsid w:val="00D6095F"/>
    <w:rsid w:val="00D60A2A"/>
    <w:rsid w:val="00D61198"/>
    <w:rsid w:val="00D611A6"/>
    <w:rsid w:val="00D61BA1"/>
    <w:rsid w:val="00D62301"/>
    <w:rsid w:val="00D62564"/>
    <w:rsid w:val="00D62F66"/>
    <w:rsid w:val="00D63019"/>
    <w:rsid w:val="00D63392"/>
    <w:rsid w:val="00D6412B"/>
    <w:rsid w:val="00D64970"/>
    <w:rsid w:val="00D66209"/>
    <w:rsid w:val="00D700DE"/>
    <w:rsid w:val="00D70732"/>
    <w:rsid w:val="00D70DE8"/>
    <w:rsid w:val="00D72B19"/>
    <w:rsid w:val="00D75A41"/>
    <w:rsid w:val="00D75E9B"/>
    <w:rsid w:val="00D76C33"/>
    <w:rsid w:val="00D777E6"/>
    <w:rsid w:val="00D801C7"/>
    <w:rsid w:val="00D81A8F"/>
    <w:rsid w:val="00D81B76"/>
    <w:rsid w:val="00D82EA6"/>
    <w:rsid w:val="00D836FC"/>
    <w:rsid w:val="00D84405"/>
    <w:rsid w:val="00D84E61"/>
    <w:rsid w:val="00D85DBE"/>
    <w:rsid w:val="00D86283"/>
    <w:rsid w:val="00D87037"/>
    <w:rsid w:val="00D87AB9"/>
    <w:rsid w:val="00D90181"/>
    <w:rsid w:val="00D919D4"/>
    <w:rsid w:val="00D91E39"/>
    <w:rsid w:val="00D9244B"/>
    <w:rsid w:val="00D92E70"/>
    <w:rsid w:val="00D94095"/>
    <w:rsid w:val="00D942FE"/>
    <w:rsid w:val="00D95BBE"/>
    <w:rsid w:val="00D95CF4"/>
    <w:rsid w:val="00D960ED"/>
    <w:rsid w:val="00D964B9"/>
    <w:rsid w:val="00D96ED8"/>
    <w:rsid w:val="00DA0A36"/>
    <w:rsid w:val="00DA0B97"/>
    <w:rsid w:val="00DA0F78"/>
    <w:rsid w:val="00DA11DF"/>
    <w:rsid w:val="00DA235A"/>
    <w:rsid w:val="00DA395B"/>
    <w:rsid w:val="00DA3BA8"/>
    <w:rsid w:val="00DA4B72"/>
    <w:rsid w:val="00DA7970"/>
    <w:rsid w:val="00DA7AC9"/>
    <w:rsid w:val="00DB152E"/>
    <w:rsid w:val="00DB1ACA"/>
    <w:rsid w:val="00DB2E45"/>
    <w:rsid w:val="00DB3ECF"/>
    <w:rsid w:val="00DB3F60"/>
    <w:rsid w:val="00DB3FBD"/>
    <w:rsid w:val="00DB49F2"/>
    <w:rsid w:val="00DB5177"/>
    <w:rsid w:val="00DB542D"/>
    <w:rsid w:val="00DB56A0"/>
    <w:rsid w:val="00DB59B3"/>
    <w:rsid w:val="00DB5D37"/>
    <w:rsid w:val="00DB61AC"/>
    <w:rsid w:val="00DC1BFD"/>
    <w:rsid w:val="00DC2D77"/>
    <w:rsid w:val="00DC3EF7"/>
    <w:rsid w:val="00DC57D9"/>
    <w:rsid w:val="00DC6145"/>
    <w:rsid w:val="00DC61F3"/>
    <w:rsid w:val="00DC63EC"/>
    <w:rsid w:val="00DC6944"/>
    <w:rsid w:val="00DC7895"/>
    <w:rsid w:val="00DC7B3B"/>
    <w:rsid w:val="00DC7DE7"/>
    <w:rsid w:val="00DD062C"/>
    <w:rsid w:val="00DD0FD3"/>
    <w:rsid w:val="00DD2BEE"/>
    <w:rsid w:val="00DD3225"/>
    <w:rsid w:val="00DD358C"/>
    <w:rsid w:val="00DD37CF"/>
    <w:rsid w:val="00DD3CDB"/>
    <w:rsid w:val="00DD3F40"/>
    <w:rsid w:val="00DD560D"/>
    <w:rsid w:val="00DD5DE7"/>
    <w:rsid w:val="00DD6C1E"/>
    <w:rsid w:val="00DD7B03"/>
    <w:rsid w:val="00DE02CD"/>
    <w:rsid w:val="00DE0966"/>
    <w:rsid w:val="00DE17A8"/>
    <w:rsid w:val="00DE1BDE"/>
    <w:rsid w:val="00DE2AEA"/>
    <w:rsid w:val="00DE3A22"/>
    <w:rsid w:val="00DE3D73"/>
    <w:rsid w:val="00DE47F5"/>
    <w:rsid w:val="00DE5D24"/>
    <w:rsid w:val="00DE6D83"/>
    <w:rsid w:val="00DF0283"/>
    <w:rsid w:val="00DF0692"/>
    <w:rsid w:val="00DF0887"/>
    <w:rsid w:val="00DF1CB2"/>
    <w:rsid w:val="00DF2187"/>
    <w:rsid w:val="00DF2853"/>
    <w:rsid w:val="00DF2B84"/>
    <w:rsid w:val="00DF30C9"/>
    <w:rsid w:val="00DF506A"/>
    <w:rsid w:val="00DF57A5"/>
    <w:rsid w:val="00DF5FEC"/>
    <w:rsid w:val="00DF64B1"/>
    <w:rsid w:val="00DF684B"/>
    <w:rsid w:val="00DF6E7A"/>
    <w:rsid w:val="00DF7232"/>
    <w:rsid w:val="00DF7CC3"/>
    <w:rsid w:val="00E007AD"/>
    <w:rsid w:val="00E01ABE"/>
    <w:rsid w:val="00E02373"/>
    <w:rsid w:val="00E02DF3"/>
    <w:rsid w:val="00E02E3F"/>
    <w:rsid w:val="00E0349C"/>
    <w:rsid w:val="00E03640"/>
    <w:rsid w:val="00E03C57"/>
    <w:rsid w:val="00E04CB0"/>
    <w:rsid w:val="00E059EC"/>
    <w:rsid w:val="00E071D8"/>
    <w:rsid w:val="00E0760D"/>
    <w:rsid w:val="00E07D4E"/>
    <w:rsid w:val="00E105B2"/>
    <w:rsid w:val="00E109D1"/>
    <w:rsid w:val="00E10EC8"/>
    <w:rsid w:val="00E1187C"/>
    <w:rsid w:val="00E12768"/>
    <w:rsid w:val="00E12986"/>
    <w:rsid w:val="00E12C30"/>
    <w:rsid w:val="00E141CA"/>
    <w:rsid w:val="00E14B19"/>
    <w:rsid w:val="00E1553A"/>
    <w:rsid w:val="00E1585E"/>
    <w:rsid w:val="00E159F1"/>
    <w:rsid w:val="00E15EEA"/>
    <w:rsid w:val="00E16B24"/>
    <w:rsid w:val="00E17EB6"/>
    <w:rsid w:val="00E21CA2"/>
    <w:rsid w:val="00E220AB"/>
    <w:rsid w:val="00E22D70"/>
    <w:rsid w:val="00E23E38"/>
    <w:rsid w:val="00E242AC"/>
    <w:rsid w:val="00E24F72"/>
    <w:rsid w:val="00E253A7"/>
    <w:rsid w:val="00E25FA3"/>
    <w:rsid w:val="00E26302"/>
    <w:rsid w:val="00E26402"/>
    <w:rsid w:val="00E273C6"/>
    <w:rsid w:val="00E27504"/>
    <w:rsid w:val="00E27881"/>
    <w:rsid w:val="00E27B4F"/>
    <w:rsid w:val="00E30B7A"/>
    <w:rsid w:val="00E3183C"/>
    <w:rsid w:val="00E31B88"/>
    <w:rsid w:val="00E3208D"/>
    <w:rsid w:val="00E320E8"/>
    <w:rsid w:val="00E3288E"/>
    <w:rsid w:val="00E33652"/>
    <w:rsid w:val="00E337AC"/>
    <w:rsid w:val="00E3481F"/>
    <w:rsid w:val="00E34B41"/>
    <w:rsid w:val="00E34BA8"/>
    <w:rsid w:val="00E35C21"/>
    <w:rsid w:val="00E35C56"/>
    <w:rsid w:val="00E36172"/>
    <w:rsid w:val="00E363C1"/>
    <w:rsid w:val="00E3669E"/>
    <w:rsid w:val="00E37B50"/>
    <w:rsid w:val="00E417FF"/>
    <w:rsid w:val="00E41AD0"/>
    <w:rsid w:val="00E422E7"/>
    <w:rsid w:val="00E42945"/>
    <w:rsid w:val="00E42BF5"/>
    <w:rsid w:val="00E42E24"/>
    <w:rsid w:val="00E434AE"/>
    <w:rsid w:val="00E43F36"/>
    <w:rsid w:val="00E43F88"/>
    <w:rsid w:val="00E44A4B"/>
    <w:rsid w:val="00E44D3E"/>
    <w:rsid w:val="00E45413"/>
    <w:rsid w:val="00E45AD5"/>
    <w:rsid w:val="00E46CBB"/>
    <w:rsid w:val="00E46CD1"/>
    <w:rsid w:val="00E5045D"/>
    <w:rsid w:val="00E50D14"/>
    <w:rsid w:val="00E51874"/>
    <w:rsid w:val="00E51D67"/>
    <w:rsid w:val="00E52121"/>
    <w:rsid w:val="00E533A4"/>
    <w:rsid w:val="00E53601"/>
    <w:rsid w:val="00E53A22"/>
    <w:rsid w:val="00E53C2A"/>
    <w:rsid w:val="00E5555C"/>
    <w:rsid w:val="00E5633C"/>
    <w:rsid w:val="00E56A39"/>
    <w:rsid w:val="00E57A4A"/>
    <w:rsid w:val="00E61A34"/>
    <w:rsid w:val="00E61C69"/>
    <w:rsid w:val="00E62B11"/>
    <w:rsid w:val="00E632D0"/>
    <w:rsid w:val="00E65C67"/>
    <w:rsid w:val="00E660A0"/>
    <w:rsid w:val="00E6643B"/>
    <w:rsid w:val="00E6687D"/>
    <w:rsid w:val="00E70226"/>
    <w:rsid w:val="00E70763"/>
    <w:rsid w:val="00E707E9"/>
    <w:rsid w:val="00E7274F"/>
    <w:rsid w:val="00E73300"/>
    <w:rsid w:val="00E733B9"/>
    <w:rsid w:val="00E737ED"/>
    <w:rsid w:val="00E73C6C"/>
    <w:rsid w:val="00E753AB"/>
    <w:rsid w:val="00E75F85"/>
    <w:rsid w:val="00E76000"/>
    <w:rsid w:val="00E7646D"/>
    <w:rsid w:val="00E77FA8"/>
    <w:rsid w:val="00E80C26"/>
    <w:rsid w:val="00E8111B"/>
    <w:rsid w:val="00E824A0"/>
    <w:rsid w:val="00E82880"/>
    <w:rsid w:val="00E82C9E"/>
    <w:rsid w:val="00E83D63"/>
    <w:rsid w:val="00E83DC5"/>
    <w:rsid w:val="00E83F47"/>
    <w:rsid w:val="00E84185"/>
    <w:rsid w:val="00E843BC"/>
    <w:rsid w:val="00E84D47"/>
    <w:rsid w:val="00E8594F"/>
    <w:rsid w:val="00E85A78"/>
    <w:rsid w:val="00E87573"/>
    <w:rsid w:val="00E8782F"/>
    <w:rsid w:val="00E907FC"/>
    <w:rsid w:val="00E91CD1"/>
    <w:rsid w:val="00E91E6B"/>
    <w:rsid w:val="00E922C6"/>
    <w:rsid w:val="00E92569"/>
    <w:rsid w:val="00E92D87"/>
    <w:rsid w:val="00E93299"/>
    <w:rsid w:val="00E94402"/>
    <w:rsid w:val="00E95F2F"/>
    <w:rsid w:val="00E963F3"/>
    <w:rsid w:val="00E96A68"/>
    <w:rsid w:val="00E96B48"/>
    <w:rsid w:val="00E9761A"/>
    <w:rsid w:val="00E9773C"/>
    <w:rsid w:val="00EA06C8"/>
    <w:rsid w:val="00EA0C7A"/>
    <w:rsid w:val="00EA17D6"/>
    <w:rsid w:val="00EA180A"/>
    <w:rsid w:val="00EA2489"/>
    <w:rsid w:val="00EA528E"/>
    <w:rsid w:val="00EA55EA"/>
    <w:rsid w:val="00EA5B48"/>
    <w:rsid w:val="00EA6E8E"/>
    <w:rsid w:val="00EA75F8"/>
    <w:rsid w:val="00EA7680"/>
    <w:rsid w:val="00EA79C8"/>
    <w:rsid w:val="00EB05FE"/>
    <w:rsid w:val="00EB073E"/>
    <w:rsid w:val="00EB1116"/>
    <w:rsid w:val="00EB157A"/>
    <w:rsid w:val="00EB15AB"/>
    <w:rsid w:val="00EB1749"/>
    <w:rsid w:val="00EB300B"/>
    <w:rsid w:val="00EB3067"/>
    <w:rsid w:val="00EB36C6"/>
    <w:rsid w:val="00EB3DE2"/>
    <w:rsid w:val="00EB688B"/>
    <w:rsid w:val="00EB6EA9"/>
    <w:rsid w:val="00EB6FCE"/>
    <w:rsid w:val="00EC158F"/>
    <w:rsid w:val="00EC191F"/>
    <w:rsid w:val="00EC1E69"/>
    <w:rsid w:val="00EC25EF"/>
    <w:rsid w:val="00EC2706"/>
    <w:rsid w:val="00EC2757"/>
    <w:rsid w:val="00EC3B92"/>
    <w:rsid w:val="00EC3BCF"/>
    <w:rsid w:val="00EC4B4E"/>
    <w:rsid w:val="00EC5959"/>
    <w:rsid w:val="00EC655A"/>
    <w:rsid w:val="00EC74DC"/>
    <w:rsid w:val="00EC7C61"/>
    <w:rsid w:val="00EC7D13"/>
    <w:rsid w:val="00EC7D98"/>
    <w:rsid w:val="00ED03E9"/>
    <w:rsid w:val="00ED0D81"/>
    <w:rsid w:val="00ED2C2C"/>
    <w:rsid w:val="00ED3909"/>
    <w:rsid w:val="00ED3DC5"/>
    <w:rsid w:val="00ED49D4"/>
    <w:rsid w:val="00ED5C52"/>
    <w:rsid w:val="00ED6FE9"/>
    <w:rsid w:val="00ED7CBA"/>
    <w:rsid w:val="00EE0BB8"/>
    <w:rsid w:val="00EE0CCC"/>
    <w:rsid w:val="00EE0F44"/>
    <w:rsid w:val="00EE1690"/>
    <w:rsid w:val="00EE1E09"/>
    <w:rsid w:val="00EE2D53"/>
    <w:rsid w:val="00EE35AE"/>
    <w:rsid w:val="00EE361B"/>
    <w:rsid w:val="00EE3C11"/>
    <w:rsid w:val="00EE415B"/>
    <w:rsid w:val="00EE4534"/>
    <w:rsid w:val="00EE5865"/>
    <w:rsid w:val="00EE5945"/>
    <w:rsid w:val="00EE5B3D"/>
    <w:rsid w:val="00EE65EF"/>
    <w:rsid w:val="00EE7545"/>
    <w:rsid w:val="00EE7930"/>
    <w:rsid w:val="00EE7958"/>
    <w:rsid w:val="00EF0024"/>
    <w:rsid w:val="00EF03DE"/>
    <w:rsid w:val="00EF0D3D"/>
    <w:rsid w:val="00EF1507"/>
    <w:rsid w:val="00EF1AA7"/>
    <w:rsid w:val="00EF1AEB"/>
    <w:rsid w:val="00EF21F4"/>
    <w:rsid w:val="00EF3CB2"/>
    <w:rsid w:val="00EF3DE8"/>
    <w:rsid w:val="00EF43E5"/>
    <w:rsid w:val="00EF5BA1"/>
    <w:rsid w:val="00EF609E"/>
    <w:rsid w:val="00EF67BE"/>
    <w:rsid w:val="00EF742B"/>
    <w:rsid w:val="00F0015E"/>
    <w:rsid w:val="00F0195A"/>
    <w:rsid w:val="00F0240F"/>
    <w:rsid w:val="00F024E6"/>
    <w:rsid w:val="00F02890"/>
    <w:rsid w:val="00F02A2C"/>
    <w:rsid w:val="00F02F62"/>
    <w:rsid w:val="00F03F4F"/>
    <w:rsid w:val="00F04AC6"/>
    <w:rsid w:val="00F04D93"/>
    <w:rsid w:val="00F06CE0"/>
    <w:rsid w:val="00F073EC"/>
    <w:rsid w:val="00F07591"/>
    <w:rsid w:val="00F07BF2"/>
    <w:rsid w:val="00F10094"/>
    <w:rsid w:val="00F100B1"/>
    <w:rsid w:val="00F105C3"/>
    <w:rsid w:val="00F1070B"/>
    <w:rsid w:val="00F11440"/>
    <w:rsid w:val="00F12106"/>
    <w:rsid w:val="00F1457B"/>
    <w:rsid w:val="00F14AC8"/>
    <w:rsid w:val="00F175C1"/>
    <w:rsid w:val="00F201BB"/>
    <w:rsid w:val="00F20970"/>
    <w:rsid w:val="00F21B66"/>
    <w:rsid w:val="00F23529"/>
    <w:rsid w:val="00F23D60"/>
    <w:rsid w:val="00F242D0"/>
    <w:rsid w:val="00F243B3"/>
    <w:rsid w:val="00F24C0B"/>
    <w:rsid w:val="00F25A4C"/>
    <w:rsid w:val="00F25DF4"/>
    <w:rsid w:val="00F25E1D"/>
    <w:rsid w:val="00F260E0"/>
    <w:rsid w:val="00F26153"/>
    <w:rsid w:val="00F26C30"/>
    <w:rsid w:val="00F273E0"/>
    <w:rsid w:val="00F27739"/>
    <w:rsid w:val="00F2773C"/>
    <w:rsid w:val="00F27830"/>
    <w:rsid w:val="00F278F0"/>
    <w:rsid w:val="00F27C34"/>
    <w:rsid w:val="00F3024B"/>
    <w:rsid w:val="00F304E6"/>
    <w:rsid w:val="00F308F2"/>
    <w:rsid w:val="00F31502"/>
    <w:rsid w:val="00F318BF"/>
    <w:rsid w:val="00F31D66"/>
    <w:rsid w:val="00F322D6"/>
    <w:rsid w:val="00F33325"/>
    <w:rsid w:val="00F3375E"/>
    <w:rsid w:val="00F33F3E"/>
    <w:rsid w:val="00F345EF"/>
    <w:rsid w:val="00F34F0A"/>
    <w:rsid w:val="00F353C6"/>
    <w:rsid w:val="00F35E26"/>
    <w:rsid w:val="00F36B55"/>
    <w:rsid w:val="00F37798"/>
    <w:rsid w:val="00F37C31"/>
    <w:rsid w:val="00F37DE8"/>
    <w:rsid w:val="00F37E3D"/>
    <w:rsid w:val="00F40085"/>
    <w:rsid w:val="00F41411"/>
    <w:rsid w:val="00F426B1"/>
    <w:rsid w:val="00F42DEC"/>
    <w:rsid w:val="00F42E92"/>
    <w:rsid w:val="00F43043"/>
    <w:rsid w:val="00F43354"/>
    <w:rsid w:val="00F437DB"/>
    <w:rsid w:val="00F4526C"/>
    <w:rsid w:val="00F46F0D"/>
    <w:rsid w:val="00F5052E"/>
    <w:rsid w:val="00F5110A"/>
    <w:rsid w:val="00F51620"/>
    <w:rsid w:val="00F518C5"/>
    <w:rsid w:val="00F51E72"/>
    <w:rsid w:val="00F52712"/>
    <w:rsid w:val="00F5382C"/>
    <w:rsid w:val="00F53895"/>
    <w:rsid w:val="00F5390F"/>
    <w:rsid w:val="00F54965"/>
    <w:rsid w:val="00F55A3C"/>
    <w:rsid w:val="00F55CB0"/>
    <w:rsid w:val="00F572A0"/>
    <w:rsid w:val="00F574BA"/>
    <w:rsid w:val="00F574F0"/>
    <w:rsid w:val="00F606AC"/>
    <w:rsid w:val="00F618E0"/>
    <w:rsid w:val="00F629DE"/>
    <w:rsid w:val="00F62B10"/>
    <w:rsid w:val="00F64D16"/>
    <w:rsid w:val="00F6509E"/>
    <w:rsid w:val="00F65CA4"/>
    <w:rsid w:val="00F67418"/>
    <w:rsid w:val="00F6749A"/>
    <w:rsid w:val="00F67762"/>
    <w:rsid w:val="00F678F8"/>
    <w:rsid w:val="00F67E33"/>
    <w:rsid w:val="00F7528C"/>
    <w:rsid w:val="00F75CD0"/>
    <w:rsid w:val="00F768E8"/>
    <w:rsid w:val="00F8023A"/>
    <w:rsid w:val="00F808A6"/>
    <w:rsid w:val="00F80ACE"/>
    <w:rsid w:val="00F8153B"/>
    <w:rsid w:val="00F8158E"/>
    <w:rsid w:val="00F82B13"/>
    <w:rsid w:val="00F82E88"/>
    <w:rsid w:val="00F8373A"/>
    <w:rsid w:val="00F83905"/>
    <w:rsid w:val="00F84AE9"/>
    <w:rsid w:val="00F84BF4"/>
    <w:rsid w:val="00F8574A"/>
    <w:rsid w:val="00F860B4"/>
    <w:rsid w:val="00F86578"/>
    <w:rsid w:val="00F86BB5"/>
    <w:rsid w:val="00F87F26"/>
    <w:rsid w:val="00F90267"/>
    <w:rsid w:val="00F92207"/>
    <w:rsid w:val="00F93977"/>
    <w:rsid w:val="00F94DA2"/>
    <w:rsid w:val="00F94DBB"/>
    <w:rsid w:val="00F960DB"/>
    <w:rsid w:val="00FA1F13"/>
    <w:rsid w:val="00FA1F38"/>
    <w:rsid w:val="00FA20C1"/>
    <w:rsid w:val="00FA28E8"/>
    <w:rsid w:val="00FA3391"/>
    <w:rsid w:val="00FA3582"/>
    <w:rsid w:val="00FA35BF"/>
    <w:rsid w:val="00FA3A32"/>
    <w:rsid w:val="00FA3F03"/>
    <w:rsid w:val="00FA4312"/>
    <w:rsid w:val="00FA5D52"/>
    <w:rsid w:val="00FA68FF"/>
    <w:rsid w:val="00FA6A30"/>
    <w:rsid w:val="00FA6F09"/>
    <w:rsid w:val="00FA6FAA"/>
    <w:rsid w:val="00FA7774"/>
    <w:rsid w:val="00FA7FB3"/>
    <w:rsid w:val="00FB0523"/>
    <w:rsid w:val="00FB14F3"/>
    <w:rsid w:val="00FB226F"/>
    <w:rsid w:val="00FB2534"/>
    <w:rsid w:val="00FB27E3"/>
    <w:rsid w:val="00FB30C6"/>
    <w:rsid w:val="00FB41D6"/>
    <w:rsid w:val="00FB4771"/>
    <w:rsid w:val="00FB4973"/>
    <w:rsid w:val="00FB4B09"/>
    <w:rsid w:val="00FB5D36"/>
    <w:rsid w:val="00FB6D42"/>
    <w:rsid w:val="00FB6F7D"/>
    <w:rsid w:val="00FB7DBA"/>
    <w:rsid w:val="00FC0957"/>
    <w:rsid w:val="00FC09A0"/>
    <w:rsid w:val="00FC0F8F"/>
    <w:rsid w:val="00FC1277"/>
    <w:rsid w:val="00FC1BEF"/>
    <w:rsid w:val="00FC20BC"/>
    <w:rsid w:val="00FC2AB7"/>
    <w:rsid w:val="00FC3117"/>
    <w:rsid w:val="00FC4C5C"/>
    <w:rsid w:val="00FC5DFF"/>
    <w:rsid w:val="00FC65F6"/>
    <w:rsid w:val="00FC692C"/>
    <w:rsid w:val="00FC69F0"/>
    <w:rsid w:val="00FC74E2"/>
    <w:rsid w:val="00FC74E6"/>
    <w:rsid w:val="00FC7512"/>
    <w:rsid w:val="00FC7DF5"/>
    <w:rsid w:val="00FD0334"/>
    <w:rsid w:val="00FD0826"/>
    <w:rsid w:val="00FD0FB5"/>
    <w:rsid w:val="00FD18FD"/>
    <w:rsid w:val="00FD292B"/>
    <w:rsid w:val="00FD36B2"/>
    <w:rsid w:val="00FD445D"/>
    <w:rsid w:val="00FD49DD"/>
    <w:rsid w:val="00FD4BC9"/>
    <w:rsid w:val="00FD52D5"/>
    <w:rsid w:val="00FD5AFB"/>
    <w:rsid w:val="00FD5B16"/>
    <w:rsid w:val="00FD60A2"/>
    <w:rsid w:val="00FD6593"/>
    <w:rsid w:val="00FD6961"/>
    <w:rsid w:val="00FD7C55"/>
    <w:rsid w:val="00FE0486"/>
    <w:rsid w:val="00FE0CB5"/>
    <w:rsid w:val="00FE1025"/>
    <w:rsid w:val="00FE1437"/>
    <w:rsid w:val="00FE1CA1"/>
    <w:rsid w:val="00FE214C"/>
    <w:rsid w:val="00FE22E7"/>
    <w:rsid w:val="00FE271F"/>
    <w:rsid w:val="00FE2930"/>
    <w:rsid w:val="00FE30F4"/>
    <w:rsid w:val="00FE4320"/>
    <w:rsid w:val="00FE45CF"/>
    <w:rsid w:val="00FE4F8E"/>
    <w:rsid w:val="00FE5D8E"/>
    <w:rsid w:val="00FE6BFE"/>
    <w:rsid w:val="00FE70E6"/>
    <w:rsid w:val="00FE7CD3"/>
    <w:rsid w:val="00FF1272"/>
    <w:rsid w:val="00FF193C"/>
    <w:rsid w:val="00FF1EB2"/>
    <w:rsid w:val="00FF21FE"/>
    <w:rsid w:val="00FF22D0"/>
    <w:rsid w:val="00FF34FC"/>
    <w:rsid w:val="00FF36F4"/>
    <w:rsid w:val="00FF399E"/>
    <w:rsid w:val="00FF40EF"/>
    <w:rsid w:val="00FF44E3"/>
    <w:rsid w:val="00FF4A02"/>
    <w:rsid w:val="00FF727D"/>
    <w:rsid w:val="00FF7771"/>
    <w:rsid w:val="00FF79F6"/>
    <w:rsid w:val="00FF7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625B0"/>
  <w15:docId w15:val="{ECF6706C-FFE2-4311-9A48-23049373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22C6"/>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8533CC"/>
    <w:pPr>
      <w:keepNext/>
      <w:keepLines/>
      <w:spacing w:before="480" w:after="0"/>
      <w:outlineLvl w:val="0"/>
    </w:pPr>
    <w:rPr>
      <w:rFonts w:ascii="Times New Roman" w:eastAsia="Times New Roman" w:hAnsi="Times New Roman"/>
      <w:b/>
      <w:bCs/>
      <w:sz w:val="28"/>
      <w:szCs w:val="28"/>
      <w:lang w:val="x-none" w:eastAsia="x-none"/>
    </w:rPr>
  </w:style>
  <w:style w:type="paragraph" w:styleId="Heading2">
    <w:name w:val="heading 2"/>
    <w:basedOn w:val="Normal"/>
    <w:next w:val="Normal"/>
    <w:link w:val="Heading2Char"/>
    <w:uiPriority w:val="9"/>
    <w:unhideWhenUsed/>
    <w:qFormat/>
    <w:rsid w:val="008533CC"/>
    <w:pPr>
      <w:keepNext/>
      <w:spacing w:before="240" w:after="60"/>
      <w:outlineLvl w:val="1"/>
    </w:pPr>
    <w:rPr>
      <w:rFonts w:ascii="Times New Roman" w:eastAsia="Times New Roman" w:hAnsi="Times New Roman"/>
      <w:b/>
      <w:bCs/>
      <w:i/>
      <w:iCs/>
      <w:sz w:val="28"/>
      <w:szCs w:val="28"/>
      <w:lang w:val="x-none" w:eastAsia="x-none"/>
    </w:rPr>
  </w:style>
  <w:style w:type="paragraph" w:styleId="Heading3">
    <w:name w:val="heading 3"/>
    <w:basedOn w:val="Normal"/>
    <w:next w:val="Normal"/>
    <w:link w:val="Heading3Char"/>
    <w:qFormat/>
    <w:rsid w:val="008533CC"/>
    <w:pPr>
      <w:keepNext/>
      <w:spacing w:before="240" w:after="60" w:line="240" w:lineRule="auto"/>
      <w:outlineLvl w:val="2"/>
    </w:pPr>
    <w:rPr>
      <w:rFonts w:ascii="Times New Roman" w:eastAsia="Times New Roman" w:hAnsi="Times New Roman"/>
      <w:b/>
      <w:bCs/>
      <w:color w:val="000000"/>
      <w:sz w:val="26"/>
      <w:szCs w:val="26"/>
      <w:lang w:val="x-none" w:eastAsia="x-none"/>
    </w:rPr>
  </w:style>
  <w:style w:type="paragraph" w:styleId="Heading4">
    <w:name w:val="heading 4"/>
    <w:basedOn w:val="Normal"/>
    <w:next w:val="Normal"/>
    <w:link w:val="Heading4Char"/>
    <w:uiPriority w:val="9"/>
    <w:unhideWhenUsed/>
    <w:qFormat/>
    <w:rsid w:val="008533CC"/>
    <w:pPr>
      <w:keepNext/>
      <w:spacing w:before="240" w:after="60"/>
      <w:outlineLvl w:val="3"/>
    </w:pPr>
    <w:rPr>
      <w:rFonts w:eastAsia="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46F1"/>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046F1"/>
    <w:rPr>
      <w:b/>
      <w:bCs/>
    </w:rPr>
  </w:style>
  <w:style w:type="paragraph" w:styleId="Footer">
    <w:name w:val="footer"/>
    <w:basedOn w:val="Normal"/>
    <w:link w:val="FooterChar"/>
    <w:uiPriority w:val="99"/>
    <w:unhideWhenUsed/>
    <w:rsid w:val="008533CC"/>
    <w:pPr>
      <w:tabs>
        <w:tab w:val="center" w:pos="4703"/>
        <w:tab w:val="right" w:pos="9406"/>
      </w:tabs>
      <w:spacing w:after="0" w:line="240" w:lineRule="auto"/>
    </w:pPr>
  </w:style>
  <w:style w:type="character" w:customStyle="1" w:styleId="FooterChar">
    <w:name w:val="Footer Char"/>
    <w:basedOn w:val="DefaultParagraphFont"/>
    <w:link w:val="Footer"/>
    <w:uiPriority w:val="99"/>
    <w:rsid w:val="008533CC"/>
    <w:rPr>
      <w:rFonts w:ascii="Calibri" w:eastAsia="Calibri" w:hAnsi="Calibri" w:cs="Times New Roman"/>
      <w:lang w:val="en-US"/>
    </w:rPr>
  </w:style>
  <w:style w:type="character" w:customStyle="1" w:styleId="Heading1Char">
    <w:name w:val="Heading 1 Char"/>
    <w:basedOn w:val="DefaultParagraphFont"/>
    <w:link w:val="Heading1"/>
    <w:uiPriority w:val="9"/>
    <w:rsid w:val="008533CC"/>
    <w:rPr>
      <w:rFonts w:ascii="Times New Roman" w:eastAsia="Times New Roman" w:hAnsi="Times New Roman" w:cs="Times New Roman"/>
      <w:b/>
      <w:bCs/>
      <w:sz w:val="28"/>
      <w:szCs w:val="28"/>
      <w:lang w:val="x-none" w:eastAsia="x-none"/>
    </w:rPr>
  </w:style>
  <w:style w:type="character" w:customStyle="1" w:styleId="Heading2Char">
    <w:name w:val="Heading 2 Char"/>
    <w:basedOn w:val="DefaultParagraphFont"/>
    <w:link w:val="Heading2"/>
    <w:uiPriority w:val="9"/>
    <w:rsid w:val="008533CC"/>
    <w:rPr>
      <w:rFonts w:ascii="Times New Roman" w:eastAsia="Times New Roman" w:hAnsi="Times New Roman" w:cs="Times New Roman"/>
      <w:b/>
      <w:bCs/>
      <w:i/>
      <w:iCs/>
      <w:sz w:val="28"/>
      <w:szCs w:val="28"/>
      <w:lang w:val="x-none" w:eastAsia="x-none"/>
    </w:rPr>
  </w:style>
  <w:style w:type="character" w:customStyle="1" w:styleId="Heading3Char">
    <w:name w:val="Heading 3 Char"/>
    <w:basedOn w:val="DefaultParagraphFont"/>
    <w:link w:val="Heading3"/>
    <w:rsid w:val="008533CC"/>
    <w:rPr>
      <w:rFonts w:ascii="Times New Roman" w:eastAsia="Times New Roman" w:hAnsi="Times New Roman" w:cs="Times New Roman"/>
      <w:b/>
      <w:bCs/>
      <w:color w:val="000000"/>
      <w:sz w:val="26"/>
      <w:szCs w:val="26"/>
      <w:lang w:val="x-none" w:eastAsia="x-none"/>
    </w:rPr>
  </w:style>
  <w:style w:type="character" w:customStyle="1" w:styleId="Heading4Char">
    <w:name w:val="Heading 4 Char"/>
    <w:basedOn w:val="DefaultParagraphFont"/>
    <w:link w:val="Heading4"/>
    <w:uiPriority w:val="9"/>
    <w:rsid w:val="008533CC"/>
    <w:rPr>
      <w:rFonts w:ascii="Calibri" w:eastAsia="Times New Roman" w:hAnsi="Calibri" w:cs="Times New Roman"/>
      <w:b/>
      <w:bCs/>
      <w:sz w:val="28"/>
      <w:szCs w:val="28"/>
      <w:lang w:val="x-none" w:eastAsia="x-none"/>
    </w:rPr>
  </w:style>
  <w:style w:type="numbering" w:customStyle="1" w:styleId="NoList1">
    <w:name w:val="No List1"/>
    <w:next w:val="NoList"/>
    <w:uiPriority w:val="99"/>
    <w:semiHidden/>
    <w:unhideWhenUsed/>
    <w:rsid w:val="008533CC"/>
  </w:style>
  <w:style w:type="paragraph" w:styleId="ListParagraph">
    <w:name w:val="List Paragraph"/>
    <w:basedOn w:val="Normal"/>
    <w:link w:val="ListParagraphChar"/>
    <w:uiPriority w:val="34"/>
    <w:qFormat/>
    <w:rsid w:val="008533CC"/>
    <w:pPr>
      <w:shd w:val="clear" w:color="auto" w:fill="FFFFFF"/>
      <w:ind w:left="720"/>
      <w:contextualSpacing/>
      <w:jc w:val="both"/>
    </w:pPr>
    <w:rPr>
      <w:rFonts w:ascii="Arial" w:eastAsia="Times New Roman" w:hAnsi="Arial"/>
      <w:color w:val="000000"/>
      <w:sz w:val="24"/>
      <w:szCs w:val="24"/>
      <w:lang w:val="x-none" w:eastAsia="x-none"/>
    </w:rPr>
  </w:style>
  <w:style w:type="character" w:customStyle="1" w:styleId="ListParagraphChar">
    <w:name w:val="List Paragraph Char"/>
    <w:link w:val="ListParagraph"/>
    <w:uiPriority w:val="34"/>
    <w:locked/>
    <w:rsid w:val="008533CC"/>
    <w:rPr>
      <w:rFonts w:ascii="Arial" w:eastAsia="Times New Roman" w:hAnsi="Arial" w:cs="Times New Roman"/>
      <w:color w:val="000000"/>
      <w:sz w:val="24"/>
      <w:szCs w:val="24"/>
      <w:shd w:val="clear" w:color="auto" w:fill="FFFFFF"/>
      <w:lang w:val="x-none" w:eastAsia="x-none"/>
    </w:rPr>
  </w:style>
  <w:style w:type="paragraph" w:styleId="FootnoteText">
    <w:name w:val="footnote text"/>
    <w:aliases w:val="Fußnote,stile 1,Footnote,Footnote1,Footnote2,Footnote3,Footnote4,Footnote5,Footnote6,Footnote7,Footnote8,Footnote9,Footnote10,Footnote11,Footnote21,Footnote31,Footnote41,Footnote51,Footnote61,Footnote71,Footnote81,Footnote91,Fußnot,Char"/>
    <w:basedOn w:val="Normal"/>
    <w:link w:val="FootnoteTextChar"/>
    <w:uiPriority w:val="99"/>
    <w:rsid w:val="008533CC"/>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Fußnote Char,stile 1 Char,Footnote Char,Footnote1 Char,Footnote2 Char,Footnote3 Char,Footnote4 Char,Footnote5 Char,Footnote6 Char,Footnote7 Char,Footnote8 Char,Footnote9 Char,Footnote10 Char,Footnote11 Char,Footnote21 Char,Fußnot Char"/>
    <w:basedOn w:val="DefaultParagraphFont"/>
    <w:link w:val="FootnoteText"/>
    <w:uiPriority w:val="99"/>
    <w:rsid w:val="008533CC"/>
    <w:rPr>
      <w:rFonts w:ascii="Times New Roman" w:eastAsia="Times New Roman" w:hAnsi="Times New Roman" w:cs="Times New Roman"/>
      <w:sz w:val="20"/>
      <w:szCs w:val="20"/>
      <w:lang w:val="x-none" w:eastAsia="x-none"/>
    </w:rPr>
  </w:style>
  <w:style w:type="character" w:styleId="FootnoteReference">
    <w:name w:val="footnote reference"/>
    <w:aliases w:val="BVI fnr,Footnote symbol,BVI fnr Char Char Char Char Char,BVI fnr Car Car Char Char Char Char Char,BVI fnr Car Char Char Char Char Char,BVI fnr Car Car Car Car Char Char Char1 Char Char Char,BVI fnr Car C,ftref,16 Point,fr,Ref"/>
    <w:link w:val="FootnoteReferenceLVL6"/>
    <w:uiPriority w:val="99"/>
    <w:qFormat/>
    <w:rsid w:val="008533CC"/>
    <w:rPr>
      <w:vertAlign w:val="superscript"/>
    </w:rPr>
  </w:style>
  <w:style w:type="character" w:styleId="CommentReference">
    <w:name w:val="annotation reference"/>
    <w:uiPriority w:val="99"/>
    <w:semiHidden/>
    <w:unhideWhenUsed/>
    <w:rsid w:val="008533CC"/>
    <w:rPr>
      <w:sz w:val="16"/>
      <w:szCs w:val="16"/>
    </w:rPr>
  </w:style>
  <w:style w:type="paragraph" w:styleId="CommentText">
    <w:name w:val="annotation text"/>
    <w:basedOn w:val="Normal"/>
    <w:link w:val="CommentTextChar"/>
    <w:uiPriority w:val="99"/>
    <w:unhideWhenUsed/>
    <w:rsid w:val="008533CC"/>
    <w:pPr>
      <w:spacing w:line="240" w:lineRule="auto"/>
    </w:pPr>
    <w:rPr>
      <w:sz w:val="20"/>
      <w:szCs w:val="20"/>
      <w:lang w:val="x-none" w:eastAsia="x-none"/>
    </w:rPr>
  </w:style>
  <w:style w:type="character" w:customStyle="1" w:styleId="CommentTextChar">
    <w:name w:val="Comment Text Char"/>
    <w:basedOn w:val="DefaultParagraphFont"/>
    <w:link w:val="CommentText"/>
    <w:uiPriority w:val="99"/>
    <w:rsid w:val="008533CC"/>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8533CC"/>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8533CC"/>
    <w:rPr>
      <w:rFonts w:ascii="Tahoma" w:eastAsia="Calibri" w:hAnsi="Tahoma" w:cs="Times New Roman"/>
      <w:sz w:val="16"/>
      <w:szCs w:val="16"/>
      <w:lang w:val="x-none" w:eastAsia="x-none"/>
    </w:rPr>
  </w:style>
  <w:style w:type="paragraph" w:styleId="NoSpacing">
    <w:name w:val="No Spacing"/>
    <w:uiPriority w:val="1"/>
    <w:qFormat/>
    <w:rsid w:val="008533CC"/>
    <w:pPr>
      <w:spacing w:after="0" w:line="240" w:lineRule="auto"/>
    </w:pPr>
    <w:rPr>
      <w:rFonts w:ascii="Calibri" w:eastAsia="Times New Roman" w:hAnsi="Calibri" w:cs="Times New Roman"/>
      <w:lang w:val="en-US"/>
    </w:rPr>
  </w:style>
  <w:style w:type="paragraph" w:customStyle="1" w:styleId="t-9-8">
    <w:name w:val="t-9-8"/>
    <w:basedOn w:val="Normal"/>
    <w:rsid w:val="008533CC"/>
    <w:pPr>
      <w:spacing w:before="100" w:beforeAutospacing="1" w:after="100" w:afterAutospacing="1" w:line="240" w:lineRule="auto"/>
    </w:pPr>
    <w:rPr>
      <w:rFonts w:ascii="Times New Roman" w:eastAsia="Times New Roman" w:hAnsi="Times New Roman"/>
      <w:sz w:val="24"/>
      <w:szCs w:val="24"/>
      <w:lang w:val="hr-HR" w:eastAsia="hr-HR"/>
    </w:rPr>
  </w:style>
  <w:style w:type="paragraph" w:customStyle="1" w:styleId="t-11-9-sred">
    <w:name w:val="t-11-9-sred"/>
    <w:basedOn w:val="Normal"/>
    <w:rsid w:val="008533CC"/>
    <w:pPr>
      <w:spacing w:before="100" w:beforeAutospacing="1" w:after="100" w:afterAutospacing="1" w:line="240" w:lineRule="auto"/>
      <w:jc w:val="center"/>
    </w:pPr>
    <w:rPr>
      <w:rFonts w:ascii="Times New Roman" w:eastAsia="Times New Roman" w:hAnsi="Times New Roman"/>
      <w:sz w:val="28"/>
      <w:szCs w:val="28"/>
      <w:lang w:val="hr-HR" w:eastAsia="hr-HR"/>
    </w:rPr>
  </w:style>
  <w:style w:type="paragraph" w:customStyle="1" w:styleId="Default">
    <w:name w:val="Default"/>
    <w:rsid w:val="008533C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Hyperlink">
    <w:name w:val="Hyperlink"/>
    <w:uiPriority w:val="99"/>
    <w:rsid w:val="008533CC"/>
    <w:rPr>
      <w:color w:val="000080"/>
      <w:u w:val="single"/>
    </w:rPr>
  </w:style>
  <w:style w:type="paragraph" w:customStyle="1" w:styleId="ColorfulList-Accent11">
    <w:name w:val="Colorful List - Accent 11"/>
    <w:basedOn w:val="Normal"/>
    <w:qFormat/>
    <w:rsid w:val="008533CC"/>
    <w:pPr>
      <w:spacing w:after="0" w:line="240" w:lineRule="auto"/>
      <w:ind w:left="708"/>
    </w:pPr>
    <w:rPr>
      <w:rFonts w:ascii="Times New Roman" w:eastAsia="Times New Roman" w:hAnsi="Times New Roman"/>
      <w:sz w:val="24"/>
      <w:szCs w:val="24"/>
      <w:lang w:val="en-GB" w:eastAsia="hr-HR"/>
    </w:rPr>
  </w:style>
  <w:style w:type="paragraph" w:customStyle="1" w:styleId="ListNumberLevel2">
    <w:name w:val="List Number (Level 2)"/>
    <w:basedOn w:val="Normal"/>
    <w:qFormat/>
    <w:rsid w:val="008533CC"/>
    <w:pPr>
      <w:spacing w:after="120"/>
      <w:jc w:val="both"/>
    </w:pPr>
    <w:rPr>
      <w:rFonts w:ascii="Arial" w:eastAsia="MS Gothic" w:hAnsi="Arial"/>
    </w:rPr>
  </w:style>
  <w:style w:type="paragraph" w:styleId="ListNumber">
    <w:name w:val="List Number"/>
    <w:basedOn w:val="Normal"/>
    <w:uiPriority w:val="99"/>
    <w:semiHidden/>
    <w:unhideWhenUsed/>
    <w:rsid w:val="008533CC"/>
    <w:pPr>
      <w:ind w:left="786" w:hanging="360"/>
      <w:contextualSpacing/>
    </w:pPr>
  </w:style>
  <w:style w:type="paragraph" w:customStyle="1" w:styleId="ListNumberLevel4">
    <w:name w:val="List Number (Level 4)"/>
    <w:basedOn w:val="Normal"/>
    <w:autoRedefine/>
    <w:qFormat/>
    <w:rsid w:val="008533CC"/>
    <w:pPr>
      <w:tabs>
        <w:tab w:val="left" w:pos="630"/>
      </w:tabs>
      <w:suppressAutoHyphens/>
      <w:autoSpaceDN w:val="0"/>
      <w:spacing w:after="0" w:line="240" w:lineRule="auto"/>
      <w:jc w:val="both"/>
      <w:textAlignment w:val="baseline"/>
    </w:pPr>
    <w:rPr>
      <w:rFonts w:ascii="Times New Roman" w:eastAsia="MS Gothic" w:hAnsi="Times New Roman"/>
    </w:rPr>
  </w:style>
  <w:style w:type="table" w:styleId="TableGrid">
    <w:name w:val="Table Grid"/>
    <w:basedOn w:val="TableNormal"/>
    <w:uiPriority w:val="39"/>
    <w:rsid w:val="008533C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3CC"/>
    <w:pPr>
      <w:tabs>
        <w:tab w:val="center" w:pos="4703"/>
        <w:tab w:val="right" w:pos="9406"/>
      </w:tabs>
      <w:spacing w:after="0" w:line="240" w:lineRule="auto"/>
    </w:pPr>
  </w:style>
  <w:style w:type="character" w:customStyle="1" w:styleId="HeaderChar">
    <w:name w:val="Header Char"/>
    <w:basedOn w:val="DefaultParagraphFont"/>
    <w:link w:val="Header"/>
    <w:uiPriority w:val="99"/>
    <w:rsid w:val="008533CC"/>
    <w:rPr>
      <w:rFonts w:ascii="Calibri" w:eastAsia="Calibri" w:hAnsi="Calibri" w:cs="Times New Roman"/>
      <w:lang w:val="en-US"/>
    </w:rPr>
  </w:style>
  <w:style w:type="paragraph" w:styleId="CommentSubject">
    <w:name w:val="annotation subject"/>
    <w:basedOn w:val="CommentText"/>
    <w:next w:val="CommentText"/>
    <w:link w:val="CommentSubjectChar"/>
    <w:uiPriority w:val="99"/>
    <w:semiHidden/>
    <w:unhideWhenUsed/>
    <w:rsid w:val="008533CC"/>
    <w:rPr>
      <w:b/>
      <w:bCs/>
    </w:rPr>
  </w:style>
  <w:style w:type="character" w:customStyle="1" w:styleId="CommentSubjectChar">
    <w:name w:val="Comment Subject Char"/>
    <w:basedOn w:val="CommentTextChar"/>
    <w:link w:val="CommentSubject"/>
    <w:uiPriority w:val="99"/>
    <w:semiHidden/>
    <w:rsid w:val="008533CC"/>
    <w:rPr>
      <w:rFonts w:ascii="Calibri" w:eastAsia="Calibri" w:hAnsi="Calibri" w:cs="Times New Roman"/>
      <w:b/>
      <w:bCs/>
      <w:sz w:val="20"/>
      <w:szCs w:val="20"/>
      <w:lang w:val="x-none" w:eastAsia="x-none"/>
    </w:rPr>
  </w:style>
  <w:style w:type="paragraph" w:styleId="TOCHeading">
    <w:name w:val="TOC Heading"/>
    <w:basedOn w:val="Heading1"/>
    <w:next w:val="Normal"/>
    <w:uiPriority w:val="39"/>
    <w:unhideWhenUsed/>
    <w:qFormat/>
    <w:rsid w:val="008533CC"/>
    <w:pPr>
      <w:outlineLvl w:val="9"/>
    </w:pPr>
  </w:style>
  <w:style w:type="paragraph" w:styleId="TOC2">
    <w:name w:val="toc 2"/>
    <w:basedOn w:val="Normal"/>
    <w:next w:val="Normal"/>
    <w:autoRedefine/>
    <w:uiPriority w:val="39"/>
    <w:unhideWhenUsed/>
    <w:qFormat/>
    <w:rsid w:val="008533CC"/>
    <w:pPr>
      <w:spacing w:after="100"/>
      <w:ind w:left="220"/>
    </w:pPr>
    <w:rPr>
      <w:rFonts w:eastAsia="Times New Roman"/>
    </w:rPr>
  </w:style>
  <w:style w:type="paragraph" w:styleId="TOC1">
    <w:name w:val="toc 1"/>
    <w:basedOn w:val="Normal"/>
    <w:next w:val="Normal"/>
    <w:autoRedefine/>
    <w:uiPriority w:val="39"/>
    <w:unhideWhenUsed/>
    <w:qFormat/>
    <w:rsid w:val="008533CC"/>
    <w:pPr>
      <w:spacing w:after="100"/>
    </w:pPr>
    <w:rPr>
      <w:rFonts w:eastAsia="Times New Roman"/>
    </w:rPr>
  </w:style>
  <w:style w:type="paragraph" w:styleId="TOC3">
    <w:name w:val="toc 3"/>
    <w:basedOn w:val="Normal"/>
    <w:next w:val="Normal"/>
    <w:autoRedefine/>
    <w:uiPriority w:val="39"/>
    <w:unhideWhenUsed/>
    <w:qFormat/>
    <w:rsid w:val="008533CC"/>
    <w:pPr>
      <w:spacing w:after="100"/>
      <w:ind w:left="440"/>
    </w:pPr>
    <w:rPr>
      <w:rFonts w:eastAsia="Times New Roman"/>
    </w:rPr>
  </w:style>
  <w:style w:type="paragraph" w:styleId="Title">
    <w:name w:val="Title"/>
    <w:basedOn w:val="Normal"/>
    <w:next w:val="Normal"/>
    <w:link w:val="TitleChar"/>
    <w:uiPriority w:val="10"/>
    <w:qFormat/>
    <w:rsid w:val="008731BC"/>
    <w:pPr>
      <w:spacing w:before="120" w:after="80" w:line="192" w:lineRule="auto"/>
      <w:ind w:left="1134"/>
    </w:pPr>
    <w:rPr>
      <w:rFonts w:eastAsia="Times New Roman"/>
      <w:noProof/>
      <w:spacing w:val="-10"/>
      <w:kern w:val="28"/>
      <w:sz w:val="28"/>
      <w:szCs w:val="40"/>
    </w:rPr>
  </w:style>
  <w:style w:type="character" w:customStyle="1" w:styleId="TitleChar">
    <w:name w:val="Title Char"/>
    <w:basedOn w:val="DefaultParagraphFont"/>
    <w:link w:val="Title"/>
    <w:uiPriority w:val="10"/>
    <w:rsid w:val="008731BC"/>
    <w:rPr>
      <w:rFonts w:ascii="Calibri" w:eastAsia="Times New Roman" w:hAnsi="Calibri" w:cs="Times New Roman"/>
      <w:noProof/>
      <w:spacing w:val="-10"/>
      <w:kern w:val="28"/>
      <w:sz w:val="28"/>
      <w:szCs w:val="40"/>
      <w:lang w:val="en-US"/>
    </w:rPr>
  </w:style>
  <w:style w:type="paragraph" w:customStyle="1" w:styleId="FootnoteReferenceLVL6">
    <w:name w:val="Footnote Reference_LVL6"/>
    <w:aliases w:val="Footnote Reference_LVL61,Footnote Reference_LVL62,Footnote Reference_LVL63,Footnote Reference_LVL64,Odwo&lt;0142&gt;anie przypisu,SUPER,BVI fnr Char1 Char"/>
    <w:basedOn w:val="Normal"/>
    <w:next w:val="Normal"/>
    <w:link w:val="FootnoteReference"/>
    <w:uiPriority w:val="99"/>
    <w:rsid w:val="00D61BA1"/>
    <w:pPr>
      <w:spacing w:before="120" w:after="160" w:line="240" w:lineRule="exact"/>
      <w:jc w:val="both"/>
    </w:pPr>
    <w:rPr>
      <w:rFonts w:asciiTheme="minorHAnsi" w:eastAsiaTheme="minorHAnsi" w:hAnsiTheme="minorHAnsi" w:cstheme="minorBidi"/>
      <w:vertAlign w:val="superscript"/>
      <w:lang w:val="en-GB"/>
    </w:rPr>
  </w:style>
  <w:style w:type="paragraph" w:customStyle="1" w:styleId="oj-normal">
    <w:name w:val="oj-normal"/>
    <w:basedOn w:val="Normal"/>
    <w:rsid w:val="000A140D"/>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Revision">
    <w:name w:val="Revision"/>
    <w:hidden/>
    <w:uiPriority w:val="99"/>
    <w:semiHidden/>
    <w:rsid w:val="004F1DD9"/>
    <w:pPr>
      <w:spacing w:after="0" w:line="240" w:lineRule="auto"/>
    </w:pPr>
    <w:rPr>
      <w:rFonts w:ascii="Calibri" w:eastAsia="Calibri" w:hAnsi="Calibri" w:cs="Times New Roman"/>
      <w:lang w:val="en-US"/>
    </w:rPr>
  </w:style>
  <w:style w:type="paragraph" w:customStyle="1" w:styleId="BVIfnrChar1CharCharChar">
    <w:name w:val="BVI fnr Char1 Char Char Char"/>
    <w:aliases w:val="BVI fnr Car Car Char1 Char Char Char,BVI fnr Car Char1 Char Char Char,BVI fnr Car Car Car Car Char Char1 Char Char"/>
    <w:basedOn w:val="Normal"/>
    <w:uiPriority w:val="99"/>
    <w:rsid w:val="00DE17A8"/>
    <w:pPr>
      <w:spacing w:before="120" w:after="160" w:line="240" w:lineRule="exact"/>
      <w:jc w:val="both"/>
    </w:pPr>
    <w:rPr>
      <w:sz w:val="20"/>
      <w:szCs w:val="20"/>
      <w:vertAlign w:val="superscript"/>
      <w:lang w:val="hr-HR" w:eastAsia="hr-HR"/>
    </w:rPr>
  </w:style>
  <w:style w:type="table" w:styleId="GridTable2-Accent5">
    <w:name w:val="Grid Table 2 Accent 5"/>
    <w:basedOn w:val="TableNormal"/>
    <w:uiPriority w:val="47"/>
    <w:rsid w:val="00151A58"/>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5">
    <w:name w:val="Grid Table 4 Accent 5"/>
    <w:basedOn w:val="TableNormal"/>
    <w:uiPriority w:val="49"/>
    <w:rsid w:val="00151A5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UnresolvedMention">
    <w:name w:val="Unresolved Mention"/>
    <w:basedOn w:val="DefaultParagraphFont"/>
    <w:uiPriority w:val="99"/>
    <w:semiHidden/>
    <w:unhideWhenUsed/>
    <w:rsid w:val="00E7274F"/>
    <w:rPr>
      <w:color w:val="605E5C"/>
      <w:shd w:val="clear" w:color="auto" w:fill="E1DFDD"/>
    </w:rPr>
  </w:style>
  <w:style w:type="table" w:styleId="GridTable6Colorful-Accent5">
    <w:name w:val="Grid Table 6 Colorful Accent 5"/>
    <w:basedOn w:val="TableNormal"/>
    <w:uiPriority w:val="51"/>
    <w:rsid w:val="00600F41"/>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3-Accent4">
    <w:name w:val="List Table 3 Accent 4"/>
    <w:basedOn w:val="TableNormal"/>
    <w:uiPriority w:val="48"/>
    <w:rsid w:val="001C2AC6"/>
    <w:pPr>
      <w:spacing w:after="0" w:line="240" w:lineRule="auto"/>
    </w:pPr>
    <w:rPr>
      <w:kern w:val="2"/>
      <w:lang w:val="en-US"/>
      <w14:ligatures w14:val="standardContextual"/>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1893">
      <w:bodyDiv w:val="1"/>
      <w:marLeft w:val="0"/>
      <w:marRight w:val="0"/>
      <w:marTop w:val="0"/>
      <w:marBottom w:val="0"/>
      <w:divBdr>
        <w:top w:val="none" w:sz="0" w:space="0" w:color="auto"/>
        <w:left w:val="none" w:sz="0" w:space="0" w:color="auto"/>
        <w:bottom w:val="none" w:sz="0" w:space="0" w:color="auto"/>
        <w:right w:val="none" w:sz="0" w:space="0" w:color="auto"/>
      </w:divBdr>
    </w:div>
    <w:div w:id="17119443">
      <w:bodyDiv w:val="1"/>
      <w:marLeft w:val="0"/>
      <w:marRight w:val="0"/>
      <w:marTop w:val="0"/>
      <w:marBottom w:val="0"/>
      <w:divBdr>
        <w:top w:val="none" w:sz="0" w:space="0" w:color="auto"/>
        <w:left w:val="none" w:sz="0" w:space="0" w:color="auto"/>
        <w:bottom w:val="none" w:sz="0" w:space="0" w:color="auto"/>
        <w:right w:val="none" w:sz="0" w:space="0" w:color="auto"/>
      </w:divBdr>
    </w:div>
    <w:div w:id="129904043">
      <w:bodyDiv w:val="1"/>
      <w:marLeft w:val="0"/>
      <w:marRight w:val="0"/>
      <w:marTop w:val="0"/>
      <w:marBottom w:val="0"/>
      <w:divBdr>
        <w:top w:val="none" w:sz="0" w:space="0" w:color="auto"/>
        <w:left w:val="none" w:sz="0" w:space="0" w:color="auto"/>
        <w:bottom w:val="none" w:sz="0" w:space="0" w:color="auto"/>
        <w:right w:val="none" w:sz="0" w:space="0" w:color="auto"/>
      </w:divBdr>
    </w:div>
    <w:div w:id="143282451">
      <w:bodyDiv w:val="1"/>
      <w:marLeft w:val="0"/>
      <w:marRight w:val="0"/>
      <w:marTop w:val="0"/>
      <w:marBottom w:val="0"/>
      <w:divBdr>
        <w:top w:val="none" w:sz="0" w:space="0" w:color="auto"/>
        <w:left w:val="none" w:sz="0" w:space="0" w:color="auto"/>
        <w:bottom w:val="none" w:sz="0" w:space="0" w:color="auto"/>
        <w:right w:val="none" w:sz="0" w:space="0" w:color="auto"/>
      </w:divBdr>
    </w:div>
    <w:div w:id="161631595">
      <w:bodyDiv w:val="1"/>
      <w:marLeft w:val="0"/>
      <w:marRight w:val="0"/>
      <w:marTop w:val="0"/>
      <w:marBottom w:val="0"/>
      <w:divBdr>
        <w:top w:val="none" w:sz="0" w:space="0" w:color="auto"/>
        <w:left w:val="none" w:sz="0" w:space="0" w:color="auto"/>
        <w:bottom w:val="none" w:sz="0" w:space="0" w:color="auto"/>
        <w:right w:val="none" w:sz="0" w:space="0" w:color="auto"/>
      </w:divBdr>
    </w:div>
    <w:div w:id="184516462">
      <w:bodyDiv w:val="1"/>
      <w:marLeft w:val="0"/>
      <w:marRight w:val="0"/>
      <w:marTop w:val="0"/>
      <w:marBottom w:val="0"/>
      <w:divBdr>
        <w:top w:val="none" w:sz="0" w:space="0" w:color="auto"/>
        <w:left w:val="none" w:sz="0" w:space="0" w:color="auto"/>
        <w:bottom w:val="none" w:sz="0" w:space="0" w:color="auto"/>
        <w:right w:val="none" w:sz="0" w:space="0" w:color="auto"/>
      </w:divBdr>
    </w:div>
    <w:div w:id="202057267">
      <w:bodyDiv w:val="1"/>
      <w:marLeft w:val="0"/>
      <w:marRight w:val="0"/>
      <w:marTop w:val="0"/>
      <w:marBottom w:val="0"/>
      <w:divBdr>
        <w:top w:val="none" w:sz="0" w:space="0" w:color="auto"/>
        <w:left w:val="none" w:sz="0" w:space="0" w:color="auto"/>
        <w:bottom w:val="none" w:sz="0" w:space="0" w:color="auto"/>
        <w:right w:val="none" w:sz="0" w:space="0" w:color="auto"/>
      </w:divBdr>
    </w:div>
    <w:div w:id="233666109">
      <w:bodyDiv w:val="1"/>
      <w:marLeft w:val="0"/>
      <w:marRight w:val="0"/>
      <w:marTop w:val="0"/>
      <w:marBottom w:val="0"/>
      <w:divBdr>
        <w:top w:val="none" w:sz="0" w:space="0" w:color="auto"/>
        <w:left w:val="none" w:sz="0" w:space="0" w:color="auto"/>
        <w:bottom w:val="none" w:sz="0" w:space="0" w:color="auto"/>
        <w:right w:val="none" w:sz="0" w:space="0" w:color="auto"/>
      </w:divBdr>
    </w:div>
    <w:div w:id="252250551">
      <w:bodyDiv w:val="1"/>
      <w:marLeft w:val="0"/>
      <w:marRight w:val="0"/>
      <w:marTop w:val="0"/>
      <w:marBottom w:val="0"/>
      <w:divBdr>
        <w:top w:val="none" w:sz="0" w:space="0" w:color="auto"/>
        <w:left w:val="none" w:sz="0" w:space="0" w:color="auto"/>
        <w:bottom w:val="none" w:sz="0" w:space="0" w:color="auto"/>
        <w:right w:val="none" w:sz="0" w:space="0" w:color="auto"/>
      </w:divBdr>
    </w:div>
    <w:div w:id="262612175">
      <w:bodyDiv w:val="1"/>
      <w:marLeft w:val="0"/>
      <w:marRight w:val="0"/>
      <w:marTop w:val="0"/>
      <w:marBottom w:val="0"/>
      <w:divBdr>
        <w:top w:val="none" w:sz="0" w:space="0" w:color="auto"/>
        <w:left w:val="none" w:sz="0" w:space="0" w:color="auto"/>
        <w:bottom w:val="none" w:sz="0" w:space="0" w:color="auto"/>
        <w:right w:val="none" w:sz="0" w:space="0" w:color="auto"/>
      </w:divBdr>
    </w:div>
    <w:div w:id="287514061">
      <w:bodyDiv w:val="1"/>
      <w:marLeft w:val="0"/>
      <w:marRight w:val="0"/>
      <w:marTop w:val="0"/>
      <w:marBottom w:val="0"/>
      <w:divBdr>
        <w:top w:val="none" w:sz="0" w:space="0" w:color="auto"/>
        <w:left w:val="none" w:sz="0" w:space="0" w:color="auto"/>
        <w:bottom w:val="none" w:sz="0" w:space="0" w:color="auto"/>
        <w:right w:val="none" w:sz="0" w:space="0" w:color="auto"/>
      </w:divBdr>
    </w:div>
    <w:div w:id="299960789">
      <w:bodyDiv w:val="1"/>
      <w:marLeft w:val="0"/>
      <w:marRight w:val="0"/>
      <w:marTop w:val="0"/>
      <w:marBottom w:val="0"/>
      <w:divBdr>
        <w:top w:val="none" w:sz="0" w:space="0" w:color="auto"/>
        <w:left w:val="none" w:sz="0" w:space="0" w:color="auto"/>
        <w:bottom w:val="none" w:sz="0" w:space="0" w:color="auto"/>
        <w:right w:val="none" w:sz="0" w:space="0" w:color="auto"/>
      </w:divBdr>
    </w:div>
    <w:div w:id="313602377">
      <w:bodyDiv w:val="1"/>
      <w:marLeft w:val="0"/>
      <w:marRight w:val="0"/>
      <w:marTop w:val="0"/>
      <w:marBottom w:val="0"/>
      <w:divBdr>
        <w:top w:val="none" w:sz="0" w:space="0" w:color="auto"/>
        <w:left w:val="none" w:sz="0" w:space="0" w:color="auto"/>
        <w:bottom w:val="none" w:sz="0" w:space="0" w:color="auto"/>
        <w:right w:val="none" w:sz="0" w:space="0" w:color="auto"/>
      </w:divBdr>
    </w:div>
    <w:div w:id="360204803">
      <w:bodyDiv w:val="1"/>
      <w:marLeft w:val="0"/>
      <w:marRight w:val="0"/>
      <w:marTop w:val="0"/>
      <w:marBottom w:val="0"/>
      <w:divBdr>
        <w:top w:val="none" w:sz="0" w:space="0" w:color="auto"/>
        <w:left w:val="none" w:sz="0" w:space="0" w:color="auto"/>
        <w:bottom w:val="none" w:sz="0" w:space="0" w:color="auto"/>
        <w:right w:val="none" w:sz="0" w:space="0" w:color="auto"/>
      </w:divBdr>
    </w:div>
    <w:div w:id="361133398">
      <w:bodyDiv w:val="1"/>
      <w:marLeft w:val="0"/>
      <w:marRight w:val="0"/>
      <w:marTop w:val="0"/>
      <w:marBottom w:val="0"/>
      <w:divBdr>
        <w:top w:val="none" w:sz="0" w:space="0" w:color="auto"/>
        <w:left w:val="none" w:sz="0" w:space="0" w:color="auto"/>
        <w:bottom w:val="none" w:sz="0" w:space="0" w:color="auto"/>
        <w:right w:val="none" w:sz="0" w:space="0" w:color="auto"/>
      </w:divBdr>
    </w:div>
    <w:div w:id="383868566">
      <w:bodyDiv w:val="1"/>
      <w:marLeft w:val="0"/>
      <w:marRight w:val="0"/>
      <w:marTop w:val="0"/>
      <w:marBottom w:val="0"/>
      <w:divBdr>
        <w:top w:val="none" w:sz="0" w:space="0" w:color="auto"/>
        <w:left w:val="none" w:sz="0" w:space="0" w:color="auto"/>
        <w:bottom w:val="none" w:sz="0" w:space="0" w:color="auto"/>
        <w:right w:val="none" w:sz="0" w:space="0" w:color="auto"/>
      </w:divBdr>
    </w:div>
    <w:div w:id="384958963">
      <w:bodyDiv w:val="1"/>
      <w:marLeft w:val="0"/>
      <w:marRight w:val="0"/>
      <w:marTop w:val="0"/>
      <w:marBottom w:val="0"/>
      <w:divBdr>
        <w:top w:val="none" w:sz="0" w:space="0" w:color="auto"/>
        <w:left w:val="none" w:sz="0" w:space="0" w:color="auto"/>
        <w:bottom w:val="none" w:sz="0" w:space="0" w:color="auto"/>
        <w:right w:val="none" w:sz="0" w:space="0" w:color="auto"/>
      </w:divBdr>
    </w:div>
    <w:div w:id="386953651">
      <w:bodyDiv w:val="1"/>
      <w:marLeft w:val="0"/>
      <w:marRight w:val="0"/>
      <w:marTop w:val="0"/>
      <w:marBottom w:val="0"/>
      <w:divBdr>
        <w:top w:val="none" w:sz="0" w:space="0" w:color="auto"/>
        <w:left w:val="none" w:sz="0" w:space="0" w:color="auto"/>
        <w:bottom w:val="none" w:sz="0" w:space="0" w:color="auto"/>
        <w:right w:val="none" w:sz="0" w:space="0" w:color="auto"/>
      </w:divBdr>
    </w:div>
    <w:div w:id="390661291">
      <w:bodyDiv w:val="1"/>
      <w:marLeft w:val="0"/>
      <w:marRight w:val="0"/>
      <w:marTop w:val="0"/>
      <w:marBottom w:val="0"/>
      <w:divBdr>
        <w:top w:val="none" w:sz="0" w:space="0" w:color="auto"/>
        <w:left w:val="none" w:sz="0" w:space="0" w:color="auto"/>
        <w:bottom w:val="none" w:sz="0" w:space="0" w:color="auto"/>
        <w:right w:val="none" w:sz="0" w:space="0" w:color="auto"/>
      </w:divBdr>
      <w:divsChild>
        <w:div w:id="1837067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0419133">
      <w:bodyDiv w:val="1"/>
      <w:marLeft w:val="0"/>
      <w:marRight w:val="0"/>
      <w:marTop w:val="0"/>
      <w:marBottom w:val="0"/>
      <w:divBdr>
        <w:top w:val="none" w:sz="0" w:space="0" w:color="auto"/>
        <w:left w:val="none" w:sz="0" w:space="0" w:color="auto"/>
        <w:bottom w:val="none" w:sz="0" w:space="0" w:color="auto"/>
        <w:right w:val="none" w:sz="0" w:space="0" w:color="auto"/>
      </w:divBdr>
    </w:div>
    <w:div w:id="424426720">
      <w:bodyDiv w:val="1"/>
      <w:marLeft w:val="0"/>
      <w:marRight w:val="0"/>
      <w:marTop w:val="0"/>
      <w:marBottom w:val="0"/>
      <w:divBdr>
        <w:top w:val="none" w:sz="0" w:space="0" w:color="auto"/>
        <w:left w:val="none" w:sz="0" w:space="0" w:color="auto"/>
        <w:bottom w:val="none" w:sz="0" w:space="0" w:color="auto"/>
        <w:right w:val="none" w:sz="0" w:space="0" w:color="auto"/>
      </w:divBdr>
    </w:div>
    <w:div w:id="430200214">
      <w:bodyDiv w:val="1"/>
      <w:marLeft w:val="0"/>
      <w:marRight w:val="0"/>
      <w:marTop w:val="0"/>
      <w:marBottom w:val="0"/>
      <w:divBdr>
        <w:top w:val="none" w:sz="0" w:space="0" w:color="auto"/>
        <w:left w:val="none" w:sz="0" w:space="0" w:color="auto"/>
        <w:bottom w:val="none" w:sz="0" w:space="0" w:color="auto"/>
        <w:right w:val="none" w:sz="0" w:space="0" w:color="auto"/>
      </w:divBdr>
    </w:div>
    <w:div w:id="431171042">
      <w:bodyDiv w:val="1"/>
      <w:marLeft w:val="0"/>
      <w:marRight w:val="0"/>
      <w:marTop w:val="0"/>
      <w:marBottom w:val="0"/>
      <w:divBdr>
        <w:top w:val="none" w:sz="0" w:space="0" w:color="auto"/>
        <w:left w:val="none" w:sz="0" w:space="0" w:color="auto"/>
        <w:bottom w:val="none" w:sz="0" w:space="0" w:color="auto"/>
        <w:right w:val="none" w:sz="0" w:space="0" w:color="auto"/>
      </w:divBdr>
    </w:div>
    <w:div w:id="432559230">
      <w:bodyDiv w:val="1"/>
      <w:marLeft w:val="0"/>
      <w:marRight w:val="0"/>
      <w:marTop w:val="0"/>
      <w:marBottom w:val="0"/>
      <w:divBdr>
        <w:top w:val="none" w:sz="0" w:space="0" w:color="auto"/>
        <w:left w:val="none" w:sz="0" w:space="0" w:color="auto"/>
        <w:bottom w:val="none" w:sz="0" w:space="0" w:color="auto"/>
        <w:right w:val="none" w:sz="0" w:space="0" w:color="auto"/>
      </w:divBdr>
    </w:div>
    <w:div w:id="460851731">
      <w:bodyDiv w:val="1"/>
      <w:marLeft w:val="0"/>
      <w:marRight w:val="0"/>
      <w:marTop w:val="0"/>
      <w:marBottom w:val="0"/>
      <w:divBdr>
        <w:top w:val="none" w:sz="0" w:space="0" w:color="auto"/>
        <w:left w:val="none" w:sz="0" w:space="0" w:color="auto"/>
        <w:bottom w:val="none" w:sz="0" w:space="0" w:color="auto"/>
        <w:right w:val="none" w:sz="0" w:space="0" w:color="auto"/>
      </w:divBdr>
    </w:div>
    <w:div w:id="492572962">
      <w:bodyDiv w:val="1"/>
      <w:marLeft w:val="0"/>
      <w:marRight w:val="0"/>
      <w:marTop w:val="0"/>
      <w:marBottom w:val="0"/>
      <w:divBdr>
        <w:top w:val="none" w:sz="0" w:space="0" w:color="auto"/>
        <w:left w:val="none" w:sz="0" w:space="0" w:color="auto"/>
        <w:bottom w:val="none" w:sz="0" w:space="0" w:color="auto"/>
        <w:right w:val="none" w:sz="0" w:space="0" w:color="auto"/>
      </w:divBdr>
    </w:div>
    <w:div w:id="495654684">
      <w:bodyDiv w:val="1"/>
      <w:marLeft w:val="0"/>
      <w:marRight w:val="0"/>
      <w:marTop w:val="0"/>
      <w:marBottom w:val="0"/>
      <w:divBdr>
        <w:top w:val="none" w:sz="0" w:space="0" w:color="auto"/>
        <w:left w:val="none" w:sz="0" w:space="0" w:color="auto"/>
        <w:bottom w:val="none" w:sz="0" w:space="0" w:color="auto"/>
        <w:right w:val="none" w:sz="0" w:space="0" w:color="auto"/>
      </w:divBdr>
    </w:div>
    <w:div w:id="527567993">
      <w:bodyDiv w:val="1"/>
      <w:marLeft w:val="0"/>
      <w:marRight w:val="0"/>
      <w:marTop w:val="0"/>
      <w:marBottom w:val="0"/>
      <w:divBdr>
        <w:top w:val="none" w:sz="0" w:space="0" w:color="auto"/>
        <w:left w:val="none" w:sz="0" w:space="0" w:color="auto"/>
        <w:bottom w:val="none" w:sz="0" w:space="0" w:color="auto"/>
        <w:right w:val="none" w:sz="0" w:space="0" w:color="auto"/>
      </w:divBdr>
    </w:div>
    <w:div w:id="538591948">
      <w:bodyDiv w:val="1"/>
      <w:marLeft w:val="0"/>
      <w:marRight w:val="0"/>
      <w:marTop w:val="0"/>
      <w:marBottom w:val="0"/>
      <w:divBdr>
        <w:top w:val="none" w:sz="0" w:space="0" w:color="auto"/>
        <w:left w:val="none" w:sz="0" w:space="0" w:color="auto"/>
        <w:bottom w:val="none" w:sz="0" w:space="0" w:color="auto"/>
        <w:right w:val="none" w:sz="0" w:space="0" w:color="auto"/>
      </w:divBdr>
    </w:div>
    <w:div w:id="622736103">
      <w:bodyDiv w:val="1"/>
      <w:marLeft w:val="0"/>
      <w:marRight w:val="0"/>
      <w:marTop w:val="0"/>
      <w:marBottom w:val="0"/>
      <w:divBdr>
        <w:top w:val="none" w:sz="0" w:space="0" w:color="auto"/>
        <w:left w:val="none" w:sz="0" w:space="0" w:color="auto"/>
        <w:bottom w:val="none" w:sz="0" w:space="0" w:color="auto"/>
        <w:right w:val="none" w:sz="0" w:space="0" w:color="auto"/>
      </w:divBdr>
    </w:div>
    <w:div w:id="671102578">
      <w:bodyDiv w:val="1"/>
      <w:marLeft w:val="0"/>
      <w:marRight w:val="0"/>
      <w:marTop w:val="0"/>
      <w:marBottom w:val="0"/>
      <w:divBdr>
        <w:top w:val="none" w:sz="0" w:space="0" w:color="auto"/>
        <w:left w:val="none" w:sz="0" w:space="0" w:color="auto"/>
        <w:bottom w:val="none" w:sz="0" w:space="0" w:color="auto"/>
        <w:right w:val="none" w:sz="0" w:space="0" w:color="auto"/>
      </w:divBdr>
    </w:div>
    <w:div w:id="690493055">
      <w:bodyDiv w:val="1"/>
      <w:marLeft w:val="0"/>
      <w:marRight w:val="0"/>
      <w:marTop w:val="0"/>
      <w:marBottom w:val="0"/>
      <w:divBdr>
        <w:top w:val="none" w:sz="0" w:space="0" w:color="auto"/>
        <w:left w:val="none" w:sz="0" w:space="0" w:color="auto"/>
        <w:bottom w:val="none" w:sz="0" w:space="0" w:color="auto"/>
        <w:right w:val="none" w:sz="0" w:space="0" w:color="auto"/>
      </w:divBdr>
    </w:div>
    <w:div w:id="714624308">
      <w:bodyDiv w:val="1"/>
      <w:marLeft w:val="0"/>
      <w:marRight w:val="0"/>
      <w:marTop w:val="0"/>
      <w:marBottom w:val="0"/>
      <w:divBdr>
        <w:top w:val="none" w:sz="0" w:space="0" w:color="auto"/>
        <w:left w:val="none" w:sz="0" w:space="0" w:color="auto"/>
        <w:bottom w:val="none" w:sz="0" w:space="0" w:color="auto"/>
        <w:right w:val="none" w:sz="0" w:space="0" w:color="auto"/>
      </w:divBdr>
      <w:divsChild>
        <w:div w:id="566495080">
          <w:marLeft w:val="0"/>
          <w:marRight w:val="0"/>
          <w:marTop w:val="0"/>
          <w:marBottom w:val="0"/>
          <w:divBdr>
            <w:top w:val="none" w:sz="0" w:space="0" w:color="auto"/>
            <w:left w:val="none" w:sz="0" w:space="0" w:color="auto"/>
            <w:bottom w:val="none" w:sz="0" w:space="0" w:color="auto"/>
            <w:right w:val="none" w:sz="0" w:space="0" w:color="auto"/>
          </w:divBdr>
          <w:divsChild>
            <w:div w:id="1516503815">
              <w:marLeft w:val="0"/>
              <w:marRight w:val="0"/>
              <w:marTop w:val="0"/>
              <w:marBottom w:val="0"/>
              <w:divBdr>
                <w:top w:val="none" w:sz="0" w:space="0" w:color="auto"/>
                <w:left w:val="none" w:sz="0" w:space="0" w:color="auto"/>
                <w:bottom w:val="none" w:sz="0" w:space="0" w:color="auto"/>
                <w:right w:val="none" w:sz="0" w:space="0" w:color="auto"/>
              </w:divBdr>
              <w:divsChild>
                <w:div w:id="919485290">
                  <w:marLeft w:val="0"/>
                  <w:marRight w:val="0"/>
                  <w:marTop w:val="0"/>
                  <w:marBottom w:val="0"/>
                  <w:divBdr>
                    <w:top w:val="none" w:sz="0" w:space="0" w:color="auto"/>
                    <w:left w:val="none" w:sz="0" w:space="0" w:color="auto"/>
                    <w:bottom w:val="none" w:sz="0" w:space="0" w:color="auto"/>
                    <w:right w:val="none" w:sz="0" w:space="0" w:color="auto"/>
                  </w:divBdr>
                  <w:divsChild>
                    <w:div w:id="800461109">
                      <w:marLeft w:val="0"/>
                      <w:marRight w:val="0"/>
                      <w:marTop w:val="0"/>
                      <w:marBottom w:val="0"/>
                      <w:divBdr>
                        <w:top w:val="none" w:sz="0" w:space="0" w:color="auto"/>
                        <w:left w:val="none" w:sz="0" w:space="0" w:color="auto"/>
                        <w:bottom w:val="none" w:sz="0" w:space="0" w:color="auto"/>
                        <w:right w:val="none" w:sz="0" w:space="0" w:color="auto"/>
                      </w:divBdr>
                      <w:divsChild>
                        <w:div w:id="1337926703">
                          <w:marLeft w:val="0"/>
                          <w:marRight w:val="0"/>
                          <w:marTop w:val="0"/>
                          <w:marBottom w:val="0"/>
                          <w:divBdr>
                            <w:top w:val="none" w:sz="0" w:space="0" w:color="auto"/>
                            <w:left w:val="none" w:sz="0" w:space="0" w:color="auto"/>
                            <w:bottom w:val="none" w:sz="0" w:space="0" w:color="auto"/>
                            <w:right w:val="none" w:sz="0" w:space="0" w:color="auto"/>
                          </w:divBdr>
                          <w:divsChild>
                            <w:div w:id="410396598">
                              <w:marLeft w:val="0"/>
                              <w:marRight w:val="0"/>
                              <w:marTop w:val="0"/>
                              <w:marBottom w:val="0"/>
                              <w:divBdr>
                                <w:top w:val="none" w:sz="0" w:space="0" w:color="auto"/>
                                <w:left w:val="none" w:sz="0" w:space="0" w:color="auto"/>
                                <w:bottom w:val="none" w:sz="0" w:space="0" w:color="auto"/>
                                <w:right w:val="none" w:sz="0" w:space="0" w:color="auto"/>
                              </w:divBdr>
                            </w:div>
                            <w:div w:id="2113434467">
                              <w:marLeft w:val="0"/>
                              <w:marRight w:val="0"/>
                              <w:marTop w:val="0"/>
                              <w:marBottom w:val="0"/>
                              <w:divBdr>
                                <w:top w:val="none" w:sz="0" w:space="0" w:color="auto"/>
                                <w:left w:val="none" w:sz="0" w:space="0" w:color="auto"/>
                                <w:bottom w:val="none" w:sz="0" w:space="0" w:color="auto"/>
                                <w:right w:val="none" w:sz="0" w:space="0" w:color="auto"/>
                              </w:divBdr>
                              <w:divsChild>
                                <w:div w:id="1653408655">
                                  <w:marLeft w:val="0"/>
                                  <w:marRight w:val="0"/>
                                  <w:marTop w:val="0"/>
                                  <w:marBottom w:val="0"/>
                                  <w:divBdr>
                                    <w:top w:val="none" w:sz="0" w:space="0" w:color="auto"/>
                                    <w:left w:val="none" w:sz="0" w:space="0" w:color="auto"/>
                                    <w:bottom w:val="none" w:sz="0" w:space="0" w:color="auto"/>
                                    <w:right w:val="none" w:sz="0" w:space="0" w:color="auto"/>
                                  </w:divBdr>
                                  <w:divsChild>
                                    <w:div w:id="1793085538">
                                      <w:marLeft w:val="0"/>
                                      <w:marRight w:val="0"/>
                                      <w:marTop w:val="0"/>
                                      <w:marBottom w:val="0"/>
                                      <w:divBdr>
                                        <w:top w:val="none" w:sz="0" w:space="0" w:color="auto"/>
                                        <w:left w:val="none" w:sz="0" w:space="0" w:color="auto"/>
                                        <w:bottom w:val="none" w:sz="0" w:space="0" w:color="auto"/>
                                        <w:right w:val="none" w:sz="0" w:space="0" w:color="auto"/>
                                      </w:divBdr>
                                      <w:divsChild>
                                        <w:div w:id="1736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942208">
      <w:bodyDiv w:val="1"/>
      <w:marLeft w:val="0"/>
      <w:marRight w:val="0"/>
      <w:marTop w:val="0"/>
      <w:marBottom w:val="0"/>
      <w:divBdr>
        <w:top w:val="none" w:sz="0" w:space="0" w:color="auto"/>
        <w:left w:val="none" w:sz="0" w:space="0" w:color="auto"/>
        <w:bottom w:val="none" w:sz="0" w:space="0" w:color="auto"/>
        <w:right w:val="none" w:sz="0" w:space="0" w:color="auto"/>
      </w:divBdr>
    </w:div>
    <w:div w:id="729231392">
      <w:bodyDiv w:val="1"/>
      <w:marLeft w:val="0"/>
      <w:marRight w:val="0"/>
      <w:marTop w:val="0"/>
      <w:marBottom w:val="0"/>
      <w:divBdr>
        <w:top w:val="none" w:sz="0" w:space="0" w:color="auto"/>
        <w:left w:val="none" w:sz="0" w:space="0" w:color="auto"/>
        <w:bottom w:val="none" w:sz="0" w:space="0" w:color="auto"/>
        <w:right w:val="none" w:sz="0" w:space="0" w:color="auto"/>
      </w:divBdr>
    </w:div>
    <w:div w:id="731272488">
      <w:bodyDiv w:val="1"/>
      <w:marLeft w:val="0"/>
      <w:marRight w:val="0"/>
      <w:marTop w:val="0"/>
      <w:marBottom w:val="0"/>
      <w:divBdr>
        <w:top w:val="none" w:sz="0" w:space="0" w:color="auto"/>
        <w:left w:val="none" w:sz="0" w:space="0" w:color="auto"/>
        <w:bottom w:val="none" w:sz="0" w:space="0" w:color="auto"/>
        <w:right w:val="none" w:sz="0" w:space="0" w:color="auto"/>
      </w:divBdr>
    </w:div>
    <w:div w:id="782845095">
      <w:bodyDiv w:val="1"/>
      <w:marLeft w:val="0"/>
      <w:marRight w:val="0"/>
      <w:marTop w:val="0"/>
      <w:marBottom w:val="0"/>
      <w:divBdr>
        <w:top w:val="none" w:sz="0" w:space="0" w:color="auto"/>
        <w:left w:val="none" w:sz="0" w:space="0" w:color="auto"/>
        <w:bottom w:val="none" w:sz="0" w:space="0" w:color="auto"/>
        <w:right w:val="none" w:sz="0" w:space="0" w:color="auto"/>
      </w:divBdr>
    </w:div>
    <w:div w:id="793132635">
      <w:bodyDiv w:val="1"/>
      <w:marLeft w:val="0"/>
      <w:marRight w:val="0"/>
      <w:marTop w:val="0"/>
      <w:marBottom w:val="0"/>
      <w:divBdr>
        <w:top w:val="none" w:sz="0" w:space="0" w:color="auto"/>
        <w:left w:val="none" w:sz="0" w:space="0" w:color="auto"/>
        <w:bottom w:val="none" w:sz="0" w:space="0" w:color="auto"/>
        <w:right w:val="none" w:sz="0" w:space="0" w:color="auto"/>
      </w:divBdr>
    </w:div>
    <w:div w:id="799883480">
      <w:bodyDiv w:val="1"/>
      <w:marLeft w:val="0"/>
      <w:marRight w:val="0"/>
      <w:marTop w:val="0"/>
      <w:marBottom w:val="0"/>
      <w:divBdr>
        <w:top w:val="none" w:sz="0" w:space="0" w:color="auto"/>
        <w:left w:val="none" w:sz="0" w:space="0" w:color="auto"/>
        <w:bottom w:val="none" w:sz="0" w:space="0" w:color="auto"/>
        <w:right w:val="none" w:sz="0" w:space="0" w:color="auto"/>
      </w:divBdr>
    </w:div>
    <w:div w:id="812598598">
      <w:bodyDiv w:val="1"/>
      <w:marLeft w:val="0"/>
      <w:marRight w:val="0"/>
      <w:marTop w:val="0"/>
      <w:marBottom w:val="0"/>
      <w:divBdr>
        <w:top w:val="none" w:sz="0" w:space="0" w:color="auto"/>
        <w:left w:val="none" w:sz="0" w:space="0" w:color="auto"/>
        <w:bottom w:val="none" w:sz="0" w:space="0" w:color="auto"/>
        <w:right w:val="none" w:sz="0" w:space="0" w:color="auto"/>
      </w:divBdr>
    </w:div>
    <w:div w:id="826822414">
      <w:bodyDiv w:val="1"/>
      <w:marLeft w:val="0"/>
      <w:marRight w:val="0"/>
      <w:marTop w:val="0"/>
      <w:marBottom w:val="0"/>
      <w:divBdr>
        <w:top w:val="none" w:sz="0" w:space="0" w:color="auto"/>
        <w:left w:val="none" w:sz="0" w:space="0" w:color="auto"/>
        <w:bottom w:val="none" w:sz="0" w:space="0" w:color="auto"/>
        <w:right w:val="none" w:sz="0" w:space="0" w:color="auto"/>
      </w:divBdr>
    </w:div>
    <w:div w:id="869225836">
      <w:bodyDiv w:val="1"/>
      <w:marLeft w:val="0"/>
      <w:marRight w:val="0"/>
      <w:marTop w:val="0"/>
      <w:marBottom w:val="0"/>
      <w:divBdr>
        <w:top w:val="none" w:sz="0" w:space="0" w:color="auto"/>
        <w:left w:val="none" w:sz="0" w:space="0" w:color="auto"/>
        <w:bottom w:val="none" w:sz="0" w:space="0" w:color="auto"/>
        <w:right w:val="none" w:sz="0" w:space="0" w:color="auto"/>
      </w:divBdr>
    </w:div>
    <w:div w:id="882012249">
      <w:bodyDiv w:val="1"/>
      <w:marLeft w:val="0"/>
      <w:marRight w:val="0"/>
      <w:marTop w:val="0"/>
      <w:marBottom w:val="0"/>
      <w:divBdr>
        <w:top w:val="none" w:sz="0" w:space="0" w:color="auto"/>
        <w:left w:val="none" w:sz="0" w:space="0" w:color="auto"/>
        <w:bottom w:val="none" w:sz="0" w:space="0" w:color="auto"/>
        <w:right w:val="none" w:sz="0" w:space="0" w:color="auto"/>
      </w:divBdr>
    </w:div>
    <w:div w:id="901713171">
      <w:bodyDiv w:val="1"/>
      <w:marLeft w:val="0"/>
      <w:marRight w:val="0"/>
      <w:marTop w:val="0"/>
      <w:marBottom w:val="0"/>
      <w:divBdr>
        <w:top w:val="none" w:sz="0" w:space="0" w:color="auto"/>
        <w:left w:val="none" w:sz="0" w:space="0" w:color="auto"/>
        <w:bottom w:val="none" w:sz="0" w:space="0" w:color="auto"/>
        <w:right w:val="none" w:sz="0" w:space="0" w:color="auto"/>
      </w:divBdr>
    </w:div>
    <w:div w:id="931206322">
      <w:bodyDiv w:val="1"/>
      <w:marLeft w:val="0"/>
      <w:marRight w:val="0"/>
      <w:marTop w:val="0"/>
      <w:marBottom w:val="0"/>
      <w:divBdr>
        <w:top w:val="none" w:sz="0" w:space="0" w:color="auto"/>
        <w:left w:val="none" w:sz="0" w:space="0" w:color="auto"/>
        <w:bottom w:val="none" w:sz="0" w:space="0" w:color="auto"/>
        <w:right w:val="none" w:sz="0" w:space="0" w:color="auto"/>
      </w:divBdr>
    </w:div>
    <w:div w:id="931863730">
      <w:bodyDiv w:val="1"/>
      <w:marLeft w:val="0"/>
      <w:marRight w:val="0"/>
      <w:marTop w:val="0"/>
      <w:marBottom w:val="0"/>
      <w:divBdr>
        <w:top w:val="none" w:sz="0" w:space="0" w:color="auto"/>
        <w:left w:val="none" w:sz="0" w:space="0" w:color="auto"/>
        <w:bottom w:val="none" w:sz="0" w:space="0" w:color="auto"/>
        <w:right w:val="none" w:sz="0" w:space="0" w:color="auto"/>
      </w:divBdr>
    </w:div>
    <w:div w:id="957838597">
      <w:bodyDiv w:val="1"/>
      <w:marLeft w:val="0"/>
      <w:marRight w:val="0"/>
      <w:marTop w:val="0"/>
      <w:marBottom w:val="0"/>
      <w:divBdr>
        <w:top w:val="none" w:sz="0" w:space="0" w:color="auto"/>
        <w:left w:val="none" w:sz="0" w:space="0" w:color="auto"/>
        <w:bottom w:val="none" w:sz="0" w:space="0" w:color="auto"/>
        <w:right w:val="none" w:sz="0" w:space="0" w:color="auto"/>
      </w:divBdr>
    </w:div>
    <w:div w:id="961420903">
      <w:bodyDiv w:val="1"/>
      <w:marLeft w:val="0"/>
      <w:marRight w:val="0"/>
      <w:marTop w:val="0"/>
      <w:marBottom w:val="0"/>
      <w:divBdr>
        <w:top w:val="none" w:sz="0" w:space="0" w:color="auto"/>
        <w:left w:val="none" w:sz="0" w:space="0" w:color="auto"/>
        <w:bottom w:val="none" w:sz="0" w:space="0" w:color="auto"/>
        <w:right w:val="none" w:sz="0" w:space="0" w:color="auto"/>
      </w:divBdr>
    </w:div>
    <w:div w:id="969898183">
      <w:bodyDiv w:val="1"/>
      <w:marLeft w:val="0"/>
      <w:marRight w:val="0"/>
      <w:marTop w:val="0"/>
      <w:marBottom w:val="0"/>
      <w:divBdr>
        <w:top w:val="none" w:sz="0" w:space="0" w:color="auto"/>
        <w:left w:val="none" w:sz="0" w:space="0" w:color="auto"/>
        <w:bottom w:val="none" w:sz="0" w:space="0" w:color="auto"/>
        <w:right w:val="none" w:sz="0" w:space="0" w:color="auto"/>
      </w:divBdr>
    </w:div>
    <w:div w:id="993145160">
      <w:bodyDiv w:val="1"/>
      <w:marLeft w:val="0"/>
      <w:marRight w:val="0"/>
      <w:marTop w:val="0"/>
      <w:marBottom w:val="0"/>
      <w:divBdr>
        <w:top w:val="none" w:sz="0" w:space="0" w:color="auto"/>
        <w:left w:val="none" w:sz="0" w:space="0" w:color="auto"/>
        <w:bottom w:val="none" w:sz="0" w:space="0" w:color="auto"/>
        <w:right w:val="none" w:sz="0" w:space="0" w:color="auto"/>
      </w:divBdr>
    </w:div>
    <w:div w:id="1044867687">
      <w:bodyDiv w:val="1"/>
      <w:marLeft w:val="0"/>
      <w:marRight w:val="0"/>
      <w:marTop w:val="0"/>
      <w:marBottom w:val="0"/>
      <w:divBdr>
        <w:top w:val="none" w:sz="0" w:space="0" w:color="auto"/>
        <w:left w:val="none" w:sz="0" w:space="0" w:color="auto"/>
        <w:bottom w:val="none" w:sz="0" w:space="0" w:color="auto"/>
        <w:right w:val="none" w:sz="0" w:space="0" w:color="auto"/>
      </w:divBdr>
    </w:div>
    <w:div w:id="1048265025">
      <w:bodyDiv w:val="1"/>
      <w:marLeft w:val="0"/>
      <w:marRight w:val="0"/>
      <w:marTop w:val="0"/>
      <w:marBottom w:val="0"/>
      <w:divBdr>
        <w:top w:val="none" w:sz="0" w:space="0" w:color="auto"/>
        <w:left w:val="none" w:sz="0" w:space="0" w:color="auto"/>
        <w:bottom w:val="none" w:sz="0" w:space="0" w:color="auto"/>
        <w:right w:val="none" w:sz="0" w:space="0" w:color="auto"/>
      </w:divBdr>
    </w:div>
    <w:div w:id="1093936826">
      <w:bodyDiv w:val="1"/>
      <w:marLeft w:val="0"/>
      <w:marRight w:val="0"/>
      <w:marTop w:val="0"/>
      <w:marBottom w:val="0"/>
      <w:divBdr>
        <w:top w:val="none" w:sz="0" w:space="0" w:color="auto"/>
        <w:left w:val="none" w:sz="0" w:space="0" w:color="auto"/>
        <w:bottom w:val="none" w:sz="0" w:space="0" w:color="auto"/>
        <w:right w:val="none" w:sz="0" w:space="0" w:color="auto"/>
      </w:divBdr>
    </w:div>
    <w:div w:id="1106852333">
      <w:bodyDiv w:val="1"/>
      <w:marLeft w:val="0"/>
      <w:marRight w:val="0"/>
      <w:marTop w:val="0"/>
      <w:marBottom w:val="0"/>
      <w:divBdr>
        <w:top w:val="none" w:sz="0" w:space="0" w:color="auto"/>
        <w:left w:val="none" w:sz="0" w:space="0" w:color="auto"/>
        <w:bottom w:val="none" w:sz="0" w:space="0" w:color="auto"/>
        <w:right w:val="none" w:sz="0" w:space="0" w:color="auto"/>
      </w:divBdr>
    </w:div>
    <w:div w:id="1111778925">
      <w:bodyDiv w:val="1"/>
      <w:marLeft w:val="0"/>
      <w:marRight w:val="0"/>
      <w:marTop w:val="0"/>
      <w:marBottom w:val="0"/>
      <w:divBdr>
        <w:top w:val="none" w:sz="0" w:space="0" w:color="auto"/>
        <w:left w:val="none" w:sz="0" w:space="0" w:color="auto"/>
        <w:bottom w:val="none" w:sz="0" w:space="0" w:color="auto"/>
        <w:right w:val="none" w:sz="0" w:space="0" w:color="auto"/>
      </w:divBdr>
    </w:div>
    <w:div w:id="1142623149">
      <w:bodyDiv w:val="1"/>
      <w:marLeft w:val="0"/>
      <w:marRight w:val="0"/>
      <w:marTop w:val="0"/>
      <w:marBottom w:val="0"/>
      <w:divBdr>
        <w:top w:val="none" w:sz="0" w:space="0" w:color="auto"/>
        <w:left w:val="none" w:sz="0" w:space="0" w:color="auto"/>
        <w:bottom w:val="none" w:sz="0" w:space="0" w:color="auto"/>
        <w:right w:val="none" w:sz="0" w:space="0" w:color="auto"/>
      </w:divBdr>
    </w:div>
    <w:div w:id="1212574366">
      <w:bodyDiv w:val="1"/>
      <w:marLeft w:val="0"/>
      <w:marRight w:val="0"/>
      <w:marTop w:val="0"/>
      <w:marBottom w:val="0"/>
      <w:divBdr>
        <w:top w:val="none" w:sz="0" w:space="0" w:color="auto"/>
        <w:left w:val="none" w:sz="0" w:space="0" w:color="auto"/>
        <w:bottom w:val="none" w:sz="0" w:space="0" w:color="auto"/>
        <w:right w:val="none" w:sz="0" w:space="0" w:color="auto"/>
      </w:divBdr>
    </w:div>
    <w:div w:id="1226795486">
      <w:bodyDiv w:val="1"/>
      <w:marLeft w:val="0"/>
      <w:marRight w:val="0"/>
      <w:marTop w:val="0"/>
      <w:marBottom w:val="0"/>
      <w:divBdr>
        <w:top w:val="none" w:sz="0" w:space="0" w:color="auto"/>
        <w:left w:val="none" w:sz="0" w:space="0" w:color="auto"/>
        <w:bottom w:val="none" w:sz="0" w:space="0" w:color="auto"/>
        <w:right w:val="none" w:sz="0" w:space="0" w:color="auto"/>
      </w:divBdr>
    </w:div>
    <w:div w:id="1232083647">
      <w:bodyDiv w:val="1"/>
      <w:marLeft w:val="0"/>
      <w:marRight w:val="0"/>
      <w:marTop w:val="0"/>
      <w:marBottom w:val="0"/>
      <w:divBdr>
        <w:top w:val="none" w:sz="0" w:space="0" w:color="auto"/>
        <w:left w:val="none" w:sz="0" w:space="0" w:color="auto"/>
        <w:bottom w:val="none" w:sz="0" w:space="0" w:color="auto"/>
        <w:right w:val="none" w:sz="0" w:space="0" w:color="auto"/>
      </w:divBdr>
    </w:div>
    <w:div w:id="1266038083">
      <w:bodyDiv w:val="1"/>
      <w:marLeft w:val="0"/>
      <w:marRight w:val="0"/>
      <w:marTop w:val="0"/>
      <w:marBottom w:val="0"/>
      <w:divBdr>
        <w:top w:val="none" w:sz="0" w:space="0" w:color="auto"/>
        <w:left w:val="none" w:sz="0" w:space="0" w:color="auto"/>
        <w:bottom w:val="none" w:sz="0" w:space="0" w:color="auto"/>
        <w:right w:val="none" w:sz="0" w:space="0" w:color="auto"/>
      </w:divBdr>
    </w:div>
    <w:div w:id="1341853933">
      <w:bodyDiv w:val="1"/>
      <w:marLeft w:val="0"/>
      <w:marRight w:val="0"/>
      <w:marTop w:val="0"/>
      <w:marBottom w:val="0"/>
      <w:divBdr>
        <w:top w:val="none" w:sz="0" w:space="0" w:color="auto"/>
        <w:left w:val="none" w:sz="0" w:space="0" w:color="auto"/>
        <w:bottom w:val="none" w:sz="0" w:space="0" w:color="auto"/>
        <w:right w:val="none" w:sz="0" w:space="0" w:color="auto"/>
      </w:divBdr>
    </w:div>
    <w:div w:id="1366710800">
      <w:bodyDiv w:val="1"/>
      <w:marLeft w:val="0"/>
      <w:marRight w:val="0"/>
      <w:marTop w:val="0"/>
      <w:marBottom w:val="0"/>
      <w:divBdr>
        <w:top w:val="none" w:sz="0" w:space="0" w:color="auto"/>
        <w:left w:val="none" w:sz="0" w:space="0" w:color="auto"/>
        <w:bottom w:val="none" w:sz="0" w:space="0" w:color="auto"/>
        <w:right w:val="none" w:sz="0" w:space="0" w:color="auto"/>
      </w:divBdr>
    </w:div>
    <w:div w:id="1398557164">
      <w:bodyDiv w:val="1"/>
      <w:marLeft w:val="0"/>
      <w:marRight w:val="0"/>
      <w:marTop w:val="0"/>
      <w:marBottom w:val="0"/>
      <w:divBdr>
        <w:top w:val="none" w:sz="0" w:space="0" w:color="auto"/>
        <w:left w:val="none" w:sz="0" w:space="0" w:color="auto"/>
        <w:bottom w:val="none" w:sz="0" w:space="0" w:color="auto"/>
        <w:right w:val="none" w:sz="0" w:space="0" w:color="auto"/>
      </w:divBdr>
    </w:div>
    <w:div w:id="1415661024">
      <w:bodyDiv w:val="1"/>
      <w:marLeft w:val="0"/>
      <w:marRight w:val="0"/>
      <w:marTop w:val="0"/>
      <w:marBottom w:val="0"/>
      <w:divBdr>
        <w:top w:val="none" w:sz="0" w:space="0" w:color="auto"/>
        <w:left w:val="none" w:sz="0" w:space="0" w:color="auto"/>
        <w:bottom w:val="none" w:sz="0" w:space="0" w:color="auto"/>
        <w:right w:val="none" w:sz="0" w:space="0" w:color="auto"/>
      </w:divBdr>
    </w:div>
    <w:div w:id="1419138766">
      <w:bodyDiv w:val="1"/>
      <w:marLeft w:val="0"/>
      <w:marRight w:val="0"/>
      <w:marTop w:val="0"/>
      <w:marBottom w:val="0"/>
      <w:divBdr>
        <w:top w:val="none" w:sz="0" w:space="0" w:color="auto"/>
        <w:left w:val="none" w:sz="0" w:space="0" w:color="auto"/>
        <w:bottom w:val="none" w:sz="0" w:space="0" w:color="auto"/>
        <w:right w:val="none" w:sz="0" w:space="0" w:color="auto"/>
      </w:divBdr>
    </w:div>
    <w:div w:id="1441338640">
      <w:bodyDiv w:val="1"/>
      <w:marLeft w:val="0"/>
      <w:marRight w:val="0"/>
      <w:marTop w:val="0"/>
      <w:marBottom w:val="0"/>
      <w:divBdr>
        <w:top w:val="none" w:sz="0" w:space="0" w:color="auto"/>
        <w:left w:val="none" w:sz="0" w:space="0" w:color="auto"/>
        <w:bottom w:val="none" w:sz="0" w:space="0" w:color="auto"/>
        <w:right w:val="none" w:sz="0" w:space="0" w:color="auto"/>
      </w:divBdr>
    </w:div>
    <w:div w:id="1497375321">
      <w:bodyDiv w:val="1"/>
      <w:marLeft w:val="0"/>
      <w:marRight w:val="0"/>
      <w:marTop w:val="0"/>
      <w:marBottom w:val="0"/>
      <w:divBdr>
        <w:top w:val="none" w:sz="0" w:space="0" w:color="auto"/>
        <w:left w:val="none" w:sz="0" w:space="0" w:color="auto"/>
        <w:bottom w:val="none" w:sz="0" w:space="0" w:color="auto"/>
        <w:right w:val="none" w:sz="0" w:space="0" w:color="auto"/>
      </w:divBdr>
    </w:div>
    <w:div w:id="1529678892">
      <w:bodyDiv w:val="1"/>
      <w:marLeft w:val="0"/>
      <w:marRight w:val="0"/>
      <w:marTop w:val="0"/>
      <w:marBottom w:val="0"/>
      <w:divBdr>
        <w:top w:val="none" w:sz="0" w:space="0" w:color="auto"/>
        <w:left w:val="none" w:sz="0" w:space="0" w:color="auto"/>
        <w:bottom w:val="none" w:sz="0" w:space="0" w:color="auto"/>
        <w:right w:val="none" w:sz="0" w:space="0" w:color="auto"/>
      </w:divBdr>
    </w:div>
    <w:div w:id="1545213402">
      <w:bodyDiv w:val="1"/>
      <w:marLeft w:val="0"/>
      <w:marRight w:val="0"/>
      <w:marTop w:val="0"/>
      <w:marBottom w:val="0"/>
      <w:divBdr>
        <w:top w:val="none" w:sz="0" w:space="0" w:color="auto"/>
        <w:left w:val="none" w:sz="0" w:space="0" w:color="auto"/>
        <w:bottom w:val="none" w:sz="0" w:space="0" w:color="auto"/>
        <w:right w:val="none" w:sz="0" w:space="0" w:color="auto"/>
      </w:divBdr>
    </w:div>
    <w:div w:id="1560239408">
      <w:bodyDiv w:val="1"/>
      <w:marLeft w:val="0"/>
      <w:marRight w:val="0"/>
      <w:marTop w:val="0"/>
      <w:marBottom w:val="0"/>
      <w:divBdr>
        <w:top w:val="none" w:sz="0" w:space="0" w:color="auto"/>
        <w:left w:val="none" w:sz="0" w:space="0" w:color="auto"/>
        <w:bottom w:val="none" w:sz="0" w:space="0" w:color="auto"/>
        <w:right w:val="none" w:sz="0" w:space="0" w:color="auto"/>
      </w:divBdr>
      <w:divsChild>
        <w:div w:id="1004894807">
          <w:marLeft w:val="0"/>
          <w:marRight w:val="0"/>
          <w:marTop w:val="0"/>
          <w:marBottom w:val="0"/>
          <w:divBdr>
            <w:top w:val="none" w:sz="0" w:space="0" w:color="auto"/>
            <w:left w:val="none" w:sz="0" w:space="0" w:color="auto"/>
            <w:bottom w:val="none" w:sz="0" w:space="0" w:color="auto"/>
            <w:right w:val="none" w:sz="0" w:space="0" w:color="auto"/>
          </w:divBdr>
          <w:divsChild>
            <w:div w:id="1037317746">
              <w:marLeft w:val="0"/>
              <w:marRight w:val="0"/>
              <w:marTop w:val="0"/>
              <w:marBottom w:val="0"/>
              <w:divBdr>
                <w:top w:val="none" w:sz="0" w:space="0" w:color="auto"/>
                <w:left w:val="none" w:sz="0" w:space="0" w:color="auto"/>
                <w:bottom w:val="none" w:sz="0" w:space="0" w:color="auto"/>
                <w:right w:val="none" w:sz="0" w:space="0" w:color="auto"/>
              </w:divBdr>
              <w:divsChild>
                <w:div w:id="893271776">
                  <w:marLeft w:val="0"/>
                  <w:marRight w:val="0"/>
                  <w:marTop w:val="0"/>
                  <w:marBottom w:val="0"/>
                  <w:divBdr>
                    <w:top w:val="none" w:sz="0" w:space="0" w:color="auto"/>
                    <w:left w:val="none" w:sz="0" w:space="0" w:color="auto"/>
                    <w:bottom w:val="none" w:sz="0" w:space="0" w:color="auto"/>
                    <w:right w:val="none" w:sz="0" w:space="0" w:color="auto"/>
                  </w:divBdr>
                  <w:divsChild>
                    <w:div w:id="1213346511">
                      <w:marLeft w:val="0"/>
                      <w:marRight w:val="0"/>
                      <w:marTop w:val="0"/>
                      <w:marBottom w:val="0"/>
                      <w:divBdr>
                        <w:top w:val="none" w:sz="0" w:space="0" w:color="auto"/>
                        <w:left w:val="none" w:sz="0" w:space="0" w:color="auto"/>
                        <w:bottom w:val="none" w:sz="0" w:space="0" w:color="auto"/>
                        <w:right w:val="none" w:sz="0" w:space="0" w:color="auto"/>
                      </w:divBdr>
                      <w:divsChild>
                        <w:div w:id="1232932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44157435">
          <w:marLeft w:val="0"/>
          <w:marRight w:val="0"/>
          <w:marTop w:val="0"/>
          <w:marBottom w:val="0"/>
          <w:divBdr>
            <w:top w:val="none" w:sz="0" w:space="0" w:color="auto"/>
            <w:left w:val="none" w:sz="0" w:space="0" w:color="auto"/>
            <w:bottom w:val="none" w:sz="0" w:space="0" w:color="auto"/>
            <w:right w:val="none" w:sz="0" w:space="0" w:color="auto"/>
          </w:divBdr>
          <w:divsChild>
            <w:div w:id="1073813094">
              <w:marLeft w:val="0"/>
              <w:marRight w:val="0"/>
              <w:marTop w:val="0"/>
              <w:marBottom w:val="0"/>
              <w:divBdr>
                <w:top w:val="none" w:sz="0" w:space="0" w:color="auto"/>
                <w:left w:val="none" w:sz="0" w:space="0" w:color="auto"/>
                <w:bottom w:val="none" w:sz="0" w:space="0" w:color="auto"/>
                <w:right w:val="none" w:sz="0" w:space="0" w:color="auto"/>
              </w:divBdr>
              <w:divsChild>
                <w:div w:id="444620912">
                  <w:marLeft w:val="0"/>
                  <w:marRight w:val="0"/>
                  <w:marTop w:val="0"/>
                  <w:marBottom w:val="0"/>
                  <w:divBdr>
                    <w:top w:val="none" w:sz="0" w:space="0" w:color="auto"/>
                    <w:left w:val="none" w:sz="0" w:space="0" w:color="auto"/>
                    <w:bottom w:val="none" w:sz="0" w:space="0" w:color="auto"/>
                    <w:right w:val="none" w:sz="0" w:space="0" w:color="auto"/>
                  </w:divBdr>
                  <w:divsChild>
                    <w:div w:id="14601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197221">
      <w:bodyDiv w:val="1"/>
      <w:marLeft w:val="0"/>
      <w:marRight w:val="0"/>
      <w:marTop w:val="0"/>
      <w:marBottom w:val="0"/>
      <w:divBdr>
        <w:top w:val="none" w:sz="0" w:space="0" w:color="auto"/>
        <w:left w:val="none" w:sz="0" w:space="0" w:color="auto"/>
        <w:bottom w:val="none" w:sz="0" w:space="0" w:color="auto"/>
        <w:right w:val="none" w:sz="0" w:space="0" w:color="auto"/>
      </w:divBdr>
    </w:div>
    <w:div w:id="1603415298">
      <w:bodyDiv w:val="1"/>
      <w:marLeft w:val="0"/>
      <w:marRight w:val="0"/>
      <w:marTop w:val="0"/>
      <w:marBottom w:val="0"/>
      <w:divBdr>
        <w:top w:val="none" w:sz="0" w:space="0" w:color="auto"/>
        <w:left w:val="none" w:sz="0" w:space="0" w:color="auto"/>
        <w:bottom w:val="none" w:sz="0" w:space="0" w:color="auto"/>
        <w:right w:val="none" w:sz="0" w:space="0" w:color="auto"/>
      </w:divBdr>
    </w:div>
    <w:div w:id="1686007603">
      <w:bodyDiv w:val="1"/>
      <w:marLeft w:val="0"/>
      <w:marRight w:val="0"/>
      <w:marTop w:val="0"/>
      <w:marBottom w:val="0"/>
      <w:divBdr>
        <w:top w:val="none" w:sz="0" w:space="0" w:color="auto"/>
        <w:left w:val="none" w:sz="0" w:space="0" w:color="auto"/>
        <w:bottom w:val="none" w:sz="0" w:space="0" w:color="auto"/>
        <w:right w:val="none" w:sz="0" w:space="0" w:color="auto"/>
      </w:divBdr>
    </w:div>
    <w:div w:id="1708600498">
      <w:bodyDiv w:val="1"/>
      <w:marLeft w:val="0"/>
      <w:marRight w:val="0"/>
      <w:marTop w:val="0"/>
      <w:marBottom w:val="0"/>
      <w:divBdr>
        <w:top w:val="none" w:sz="0" w:space="0" w:color="auto"/>
        <w:left w:val="none" w:sz="0" w:space="0" w:color="auto"/>
        <w:bottom w:val="none" w:sz="0" w:space="0" w:color="auto"/>
        <w:right w:val="none" w:sz="0" w:space="0" w:color="auto"/>
      </w:divBdr>
    </w:div>
    <w:div w:id="1769734641">
      <w:bodyDiv w:val="1"/>
      <w:marLeft w:val="0"/>
      <w:marRight w:val="0"/>
      <w:marTop w:val="0"/>
      <w:marBottom w:val="0"/>
      <w:divBdr>
        <w:top w:val="none" w:sz="0" w:space="0" w:color="auto"/>
        <w:left w:val="none" w:sz="0" w:space="0" w:color="auto"/>
        <w:bottom w:val="none" w:sz="0" w:space="0" w:color="auto"/>
        <w:right w:val="none" w:sz="0" w:space="0" w:color="auto"/>
      </w:divBdr>
    </w:div>
    <w:div w:id="1775859004">
      <w:bodyDiv w:val="1"/>
      <w:marLeft w:val="0"/>
      <w:marRight w:val="0"/>
      <w:marTop w:val="0"/>
      <w:marBottom w:val="0"/>
      <w:divBdr>
        <w:top w:val="none" w:sz="0" w:space="0" w:color="auto"/>
        <w:left w:val="none" w:sz="0" w:space="0" w:color="auto"/>
        <w:bottom w:val="none" w:sz="0" w:space="0" w:color="auto"/>
        <w:right w:val="none" w:sz="0" w:space="0" w:color="auto"/>
      </w:divBdr>
    </w:div>
    <w:div w:id="1847472781">
      <w:bodyDiv w:val="1"/>
      <w:marLeft w:val="0"/>
      <w:marRight w:val="0"/>
      <w:marTop w:val="0"/>
      <w:marBottom w:val="0"/>
      <w:divBdr>
        <w:top w:val="none" w:sz="0" w:space="0" w:color="auto"/>
        <w:left w:val="none" w:sz="0" w:space="0" w:color="auto"/>
        <w:bottom w:val="none" w:sz="0" w:space="0" w:color="auto"/>
        <w:right w:val="none" w:sz="0" w:space="0" w:color="auto"/>
      </w:divBdr>
    </w:div>
    <w:div w:id="1857882772">
      <w:bodyDiv w:val="1"/>
      <w:marLeft w:val="0"/>
      <w:marRight w:val="0"/>
      <w:marTop w:val="0"/>
      <w:marBottom w:val="0"/>
      <w:divBdr>
        <w:top w:val="none" w:sz="0" w:space="0" w:color="auto"/>
        <w:left w:val="none" w:sz="0" w:space="0" w:color="auto"/>
        <w:bottom w:val="none" w:sz="0" w:space="0" w:color="auto"/>
        <w:right w:val="none" w:sz="0" w:space="0" w:color="auto"/>
      </w:divBdr>
    </w:div>
    <w:div w:id="1858881415">
      <w:bodyDiv w:val="1"/>
      <w:marLeft w:val="0"/>
      <w:marRight w:val="0"/>
      <w:marTop w:val="0"/>
      <w:marBottom w:val="0"/>
      <w:divBdr>
        <w:top w:val="none" w:sz="0" w:space="0" w:color="auto"/>
        <w:left w:val="none" w:sz="0" w:space="0" w:color="auto"/>
        <w:bottom w:val="none" w:sz="0" w:space="0" w:color="auto"/>
        <w:right w:val="none" w:sz="0" w:space="0" w:color="auto"/>
      </w:divBdr>
    </w:div>
    <w:div w:id="1903248577">
      <w:bodyDiv w:val="1"/>
      <w:marLeft w:val="0"/>
      <w:marRight w:val="0"/>
      <w:marTop w:val="0"/>
      <w:marBottom w:val="0"/>
      <w:divBdr>
        <w:top w:val="none" w:sz="0" w:space="0" w:color="auto"/>
        <w:left w:val="none" w:sz="0" w:space="0" w:color="auto"/>
        <w:bottom w:val="none" w:sz="0" w:space="0" w:color="auto"/>
        <w:right w:val="none" w:sz="0" w:space="0" w:color="auto"/>
      </w:divBdr>
    </w:div>
    <w:div w:id="1980107886">
      <w:bodyDiv w:val="1"/>
      <w:marLeft w:val="0"/>
      <w:marRight w:val="0"/>
      <w:marTop w:val="0"/>
      <w:marBottom w:val="0"/>
      <w:divBdr>
        <w:top w:val="none" w:sz="0" w:space="0" w:color="auto"/>
        <w:left w:val="none" w:sz="0" w:space="0" w:color="auto"/>
        <w:bottom w:val="none" w:sz="0" w:space="0" w:color="auto"/>
        <w:right w:val="none" w:sz="0" w:space="0" w:color="auto"/>
      </w:divBdr>
    </w:div>
    <w:div w:id="2007634085">
      <w:bodyDiv w:val="1"/>
      <w:marLeft w:val="0"/>
      <w:marRight w:val="0"/>
      <w:marTop w:val="0"/>
      <w:marBottom w:val="0"/>
      <w:divBdr>
        <w:top w:val="none" w:sz="0" w:space="0" w:color="auto"/>
        <w:left w:val="none" w:sz="0" w:space="0" w:color="auto"/>
        <w:bottom w:val="none" w:sz="0" w:space="0" w:color="auto"/>
        <w:right w:val="none" w:sz="0" w:space="0" w:color="auto"/>
      </w:divBdr>
    </w:div>
    <w:div w:id="2050766205">
      <w:bodyDiv w:val="1"/>
      <w:marLeft w:val="0"/>
      <w:marRight w:val="0"/>
      <w:marTop w:val="0"/>
      <w:marBottom w:val="0"/>
      <w:divBdr>
        <w:top w:val="none" w:sz="0" w:space="0" w:color="auto"/>
        <w:left w:val="none" w:sz="0" w:space="0" w:color="auto"/>
        <w:bottom w:val="none" w:sz="0" w:space="0" w:color="auto"/>
        <w:right w:val="none" w:sz="0" w:space="0" w:color="auto"/>
      </w:divBdr>
    </w:div>
    <w:div w:id="2113041488">
      <w:bodyDiv w:val="1"/>
      <w:marLeft w:val="0"/>
      <w:marRight w:val="0"/>
      <w:marTop w:val="0"/>
      <w:marBottom w:val="0"/>
      <w:divBdr>
        <w:top w:val="none" w:sz="0" w:space="0" w:color="auto"/>
        <w:left w:val="none" w:sz="0" w:space="0" w:color="auto"/>
        <w:bottom w:val="none" w:sz="0" w:space="0" w:color="auto"/>
        <w:right w:val="none" w:sz="0" w:space="0" w:color="auto"/>
      </w:divBdr>
      <w:divsChild>
        <w:div w:id="176894493">
          <w:marLeft w:val="0"/>
          <w:marRight w:val="0"/>
          <w:marTop w:val="0"/>
          <w:marBottom w:val="0"/>
          <w:divBdr>
            <w:top w:val="none" w:sz="0" w:space="0" w:color="auto"/>
            <w:left w:val="none" w:sz="0" w:space="0" w:color="auto"/>
            <w:bottom w:val="none" w:sz="0" w:space="0" w:color="auto"/>
            <w:right w:val="none" w:sz="0" w:space="0" w:color="auto"/>
          </w:divBdr>
          <w:divsChild>
            <w:div w:id="1101099039">
              <w:marLeft w:val="0"/>
              <w:marRight w:val="0"/>
              <w:marTop w:val="0"/>
              <w:marBottom w:val="0"/>
              <w:divBdr>
                <w:top w:val="none" w:sz="0" w:space="0" w:color="auto"/>
                <w:left w:val="none" w:sz="0" w:space="0" w:color="auto"/>
                <w:bottom w:val="none" w:sz="0" w:space="0" w:color="auto"/>
                <w:right w:val="none" w:sz="0" w:space="0" w:color="auto"/>
              </w:divBdr>
              <w:divsChild>
                <w:div w:id="1663776970">
                  <w:marLeft w:val="0"/>
                  <w:marRight w:val="0"/>
                  <w:marTop w:val="0"/>
                  <w:marBottom w:val="0"/>
                  <w:divBdr>
                    <w:top w:val="none" w:sz="0" w:space="0" w:color="auto"/>
                    <w:left w:val="none" w:sz="0" w:space="0" w:color="auto"/>
                    <w:bottom w:val="none" w:sz="0" w:space="0" w:color="auto"/>
                    <w:right w:val="none" w:sz="0" w:space="0" w:color="auto"/>
                  </w:divBdr>
                  <w:divsChild>
                    <w:div w:id="278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605455">
          <w:marLeft w:val="0"/>
          <w:marRight w:val="0"/>
          <w:marTop w:val="0"/>
          <w:marBottom w:val="0"/>
          <w:divBdr>
            <w:top w:val="none" w:sz="0" w:space="0" w:color="auto"/>
            <w:left w:val="none" w:sz="0" w:space="0" w:color="auto"/>
            <w:bottom w:val="none" w:sz="0" w:space="0" w:color="auto"/>
            <w:right w:val="none" w:sz="0" w:space="0" w:color="auto"/>
          </w:divBdr>
          <w:divsChild>
            <w:div w:id="496699486">
              <w:marLeft w:val="0"/>
              <w:marRight w:val="0"/>
              <w:marTop w:val="0"/>
              <w:marBottom w:val="0"/>
              <w:divBdr>
                <w:top w:val="none" w:sz="0" w:space="0" w:color="auto"/>
                <w:left w:val="none" w:sz="0" w:space="0" w:color="auto"/>
                <w:bottom w:val="none" w:sz="0" w:space="0" w:color="auto"/>
                <w:right w:val="none" w:sz="0" w:space="0" w:color="auto"/>
              </w:divBdr>
              <w:divsChild>
                <w:div w:id="478613392">
                  <w:marLeft w:val="0"/>
                  <w:marRight w:val="0"/>
                  <w:marTop w:val="0"/>
                  <w:marBottom w:val="0"/>
                  <w:divBdr>
                    <w:top w:val="none" w:sz="0" w:space="0" w:color="auto"/>
                    <w:left w:val="none" w:sz="0" w:space="0" w:color="auto"/>
                    <w:bottom w:val="none" w:sz="0" w:space="0" w:color="auto"/>
                    <w:right w:val="none" w:sz="0" w:space="0" w:color="auto"/>
                  </w:divBdr>
                  <w:divsChild>
                    <w:div w:id="47326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444357">
      <w:bodyDiv w:val="1"/>
      <w:marLeft w:val="0"/>
      <w:marRight w:val="0"/>
      <w:marTop w:val="0"/>
      <w:marBottom w:val="0"/>
      <w:divBdr>
        <w:top w:val="none" w:sz="0" w:space="0" w:color="auto"/>
        <w:left w:val="none" w:sz="0" w:space="0" w:color="auto"/>
        <w:bottom w:val="none" w:sz="0" w:space="0" w:color="auto"/>
        <w:right w:val="none" w:sz="0" w:space="0" w:color="auto"/>
      </w:divBdr>
    </w:div>
    <w:div w:id="2121803375">
      <w:bodyDiv w:val="1"/>
      <w:marLeft w:val="0"/>
      <w:marRight w:val="0"/>
      <w:marTop w:val="0"/>
      <w:marBottom w:val="0"/>
      <w:divBdr>
        <w:top w:val="none" w:sz="0" w:space="0" w:color="auto"/>
        <w:left w:val="none" w:sz="0" w:space="0" w:color="auto"/>
        <w:bottom w:val="none" w:sz="0" w:space="0" w:color="auto"/>
        <w:right w:val="none" w:sz="0" w:space="0" w:color="auto"/>
      </w:divBdr>
    </w:div>
    <w:div w:id="2122022584">
      <w:bodyDiv w:val="1"/>
      <w:marLeft w:val="0"/>
      <w:marRight w:val="0"/>
      <w:marTop w:val="0"/>
      <w:marBottom w:val="0"/>
      <w:divBdr>
        <w:top w:val="none" w:sz="0" w:space="0" w:color="auto"/>
        <w:left w:val="none" w:sz="0" w:space="0" w:color="auto"/>
        <w:bottom w:val="none" w:sz="0" w:space="0" w:color="auto"/>
        <w:right w:val="none" w:sz="0" w:space="0" w:color="auto"/>
      </w:divBdr>
      <w:divsChild>
        <w:div w:id="1744527011">
          <w:marLeft w:val="0"/>
          <w:marRight w:val="0"/>
          <w:marTop w:val="0"/>
          <w:marBottom w:val="0"/>
          <w:divBdr>
            <w:top w:val="none" w:sz="0" w:space="0" w:color="auto"/>
            <w:left w:val="none" w:sz="0" w:space="0" w:color="auto"/>
            <w:bottom w:val="none" w:sz="0" w:space="0" w:color="auto"/>
            <w:right w:val="none" w:sz="0" w:space="0" w:color="auto"/>
          </w:divBdr>
        </w:div>
      </w:divsChild>
    </w:div>
    <w:div w:id="2134514490">
      <w:bodyDiv w:val="1"/>
      <w:marLeft w:val="0"/>
      <w:marRight w:val="0"/>
      <w:marTop w:val="0"/>
      <w:marBottom w:val="0"/>
      <w:divBdr>
        <w:top w:val="none" w:sz="0" w:space="0" w:color="auto"/>
        <w:left w:val="none" w:sz="0" w:space="0" w:color="auto"/>
        <w:bottom w:val="none" w:sz="0" w:space="0" w:color="auto"/>
        <w:right w:val="none" w:sz="0" w:space="0" w:color="auto"/>
      </w:divBdr>
    </w:div>
    <w:div w:id="2140830522">
      <w:bodyDiv w:val="1"/>
      <w:marLeft w:val="0"/>
      <w:marRight w:val="0"/>
      <w:marTop w:val="0"/>
      <w:marBottom w:val="0"/>
      <w:divBdr>
        <w:top w:val="none" w:sz="0" w:space="0" w:color="auto"/>
        <w:left w:val="none" w:sz="0" w:space="0" w:color="auto"/>
        <w:bottom w:val="none" w:sz="0" w:space="0" w:color="auto"/>
        <w:right w:val="none" w:sz="0" w:space="0" w:color="auto"/>
      </w:divBdr>
    </w:div>
    <w:div w:id="214083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image" Target="media/image11.png"/><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 Id="rId22" Type="http://schemas.openxmlformats.org/officeDocument/2006/relationships/image" Target="media/image10.png"/></Relationships>
</file>

<file path=word/_rels/footnotes.xml.rels><?xml version="1.0" encoding="UTF-8" standalone="yes"?>
<Relationships xmlns="http://schemas.openxmlformats.org/package/2006/relationships"><Relationship Id="rId1" Type="http://schemas.openxmlformats.org/officeDocument/2006/relationships/hyperlink" Target="https://anti-fraud.ec.europa.eu/about-us/reports/annual-reports-protection-eus-financial-interests-pif-report_en" TargetMode="External"/></Relationships>
</file>

<file path=word/diagrams/_rels/data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s>
</file>

<file path=word/diagrams/_rels/drawing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D260343-93EA-48D6-880A-58EAF0FD672A}" type="doc">
      <dgm:prSet loTypeId="urn:microsoft.com/office/officeart/2005/8/layout/vList3" loCatId="list" qsTypeId="urn:microsoft.com/office/officeart/2005/8/quickstyle/simple1" qsCatId="simple" csTypeId="urn:microsoft.com/office/officeart/2005/8/colors/accent1_1" csCatId="accent1" phldr="1"/>
      <dgm:spPr/>
    </dgm:pt>
    <dgm:pt modelId="{694057D3-B948-49F6-992F-526F0E5C69E6}">
      <dgm:prSet phldrT="[Text]" custT="1"/>
      <dgm:spPr/>
      <dgm:t>
        <a:bodyPr/>
        <a:lstStyle/>
        <a:p>
          <a:pPr algn="just"/>
          <a:r>
            <a:rPr lang="lv-LV" sz="1200"/>
            <a:t>1) </a:t>
          </a:r>
          <a:r>
            <a:rPr lang="sr-Latn-ME" sz="1200" b="0" i="0"/>
            <a:t>Unaprijeđenje funkcionisanja AFCOS sistema u Crnoj Gori kroz uspostavljanje adekvatnog zakonskog okvira i međuinstitucionalne saradnje organa AFCOS sistema</a:t>
          </a:r>
          <a:endParaRPr lang="en-US" sz="1200"/>
        </a:p>
      </dgm:t>
    </dgm:pt>
    <dgm:pt modelId="{7DA6562B-A60E-438B-B996-33DE22D48476}" type="parTrans" cxnId="{FB7D0DCA-B5EF-47A2-A20C-F7CEBB689167}">
      <dgm:prSet/>
      <dgm:spPr/>
      <dgm:t>
        <a:bodyPr/>
        <a:lstStyle/>
        <a:p>
          <a:endParaRPr lang="en-US"/>
        </a:p>
      </dgm:t>
    </dgm:pt>
    <dgm:pt modelId="{5523C7C6-A001-4775-A24F-A269927835A3}" type="sibTrans" cxnId="{FB7D0DCA-B5EF-47A2-A20C-F7CEBB689167}">
      <dgm:prSet/>
      <dgm:spPr/>
      <dgm:t>
        <a:bodyPr/>
        <a:lstStyle/>
        <a:p>
          <a:endParaRPr lang="en-US"/>
        </a:p>
      </dgm:t>
    </dgm:pt>
    <dgm:pt modelId="{2DE946E8-97F6-4867-B5D7-42AFF0DE2226}">
      <dgm:prSet phldrT="[Text]" custT="1"/>
      <dgm:spPr/>
      <dgm:t>
        <a:bodyPr/>
        <a:lstStyle/>
        <a:p>
          <a:pPr algn="just">
            <a:buFont typeface="Symbol" panose="05050102010706020507" pitchFamily="18" charset="2"/>
            <a:buChar char=""/>
          </a:pPr>
          <a:r>
            <a:rPr lang="lv-LV" sz="1200"/>
            <a:t>2) </a:t>
          </a:r>
          <a:r>
            <a:rPr lang="sr-Latn-ME" sz="1200" b="0" i="0"/>
            <a:t>Unaprijeđenje rada organa tijela za izvještavanje o nepravilnostima u oblasti upravljanja nepravilnostima (prevencija, otkrivanje, tretman i prijavljivanje nepravilnosti)</a:t>
          </a:r>
          <a:endParaRPr lang="en-US" sz="1200"/>
        </a:p>
      </dgm:t>
    </dgm:pt>
    <dgm:pt modelId="{52A7B04C-D142-4BC9-B2AC-6F69D4EEE762}" type="parTrans" cxnId="{EACD1585-2F69-4013-BA53-B64827072852}">
      <dgm:prSet/>
      <dgm:spPr/>
      <dgm:t>
        <a:bodyPr/>
        <a:lstStyle/>
        <a:p>
          <a:endParaRPr lang="en-US"/>
        </a:p>
      </dgm:t>
    </dgm:pt>
    <dgm:pt modelId="{EAC70BC4-D717-47FE-B7CB-DD88FA5F1464}" type="sibTrans" cxnId="{EACD1585-2F69-4013-BA53-B64827072852}">
      <dgm:prSet/>
      <dgm:spPr/>
      <dgm:t>
        <a:bodyPr/>
        <a:lstStyle/>
        <a:p>
          <a:endParaRPr lang="en-US"/>
        </a:p>
      </dgm:t>
    </dgm:pt>
    <dgm:pt modelId="{D2EE336C-7BE9-48FE-A998-E9E2A3CC0AA7}">
      <dgm:prSet phldrT="[Text]" custT="1"/>
      <dgm:spPr/>
      <dgm:t>
        <a:bodyPr/>
        <a:lstStyle/>
        <a:p>
          <a:pPr algn="just">
            <a:buFont typeface="Symbol" panose="05050102010706020507" pitchFamily="18" charset="2"/>
            <a:buNone/>
          </a:pPr>
          <a:r>
            <a:rPr lang="lv-LV" sz="1200"/>
            <a:t>3) </a:t>
          </a:r>
          <a:r>
            <a:rPr lang="sr-Latn-ME" sz="1200" b="0" i="0"/>
            <a:t>Jačanje administrativnih kapaciteta AFCOS sistema</a:t>
          </a:r>
          <a:endParaRPr lang="en-US" sz="1200"/>
        </a:p>
      </dgm:t>
    </dgm:pt>
    <dgm:pt modelId="{9E0BFDB0-1145-4233-9971-808EA69E2779}" type="parTrans" cxnId="{5158A990-E509-43C9-AF48-040B285C1A3D}">
      <dgm:prSet/>
      <dgm:spPr/>
      <dgm:t>
        <a:bodyPr/>
        <a:lstStyle/>
        <a:p>
          <a:endParaRPr lang="en-US"/>
        </a:p>
      </dgm:t>
    </dgm:pt>
    <dgm:pt modelId="{B3F1C63E-E2F9-4F75-B703-D84A83F04E79}" type="sibTrans" cxnId="{5158A990-E509-43C9-AF48-040B285C1A3D}">
      <dgm:prSet/>
      <dgm:spPr/>
      <dgm:t>
        <a:bodyPr/>
        <a:lstStyle/>
        <a:p>
          <a:endParaRPr lang="en-US"/>
        </a:p>
      </dgm:t>
    </dgm:pt>
    <dgm:pt modelId="{EFB2BBE4-F25C-4913-BF38-634061E2C622}" type="pres">
      <dgm:prSet presAssocID="{9D260343-93EA-48D6-880A-58EAF0FD672A}" presName="linearFlow" presStyleCnt="0">
        <dgm:presLayoutVars>
          <dgm:dir/>
          <dgm:resizeHandles val="exact"/>
        </dgm:presLayoutVars>
      </dgm:prSet>
      <dgm:spPr/>
    </dgm:pt>
    <dgm:pt modelId="{8151E1B2-77BB-403E-916B-2854DF679B36}" type="pres">
      <dgm:prSet presAssocID="{694057D3-B948-49F6-992F-526F0E5C69E6}" presName="composite" presStyleCnt="0"/>
      <dgm:spPr/>
    </dgm:pt>
    <dgm:pt modelId="{DE297D97-0272-401D-AFE2-A92F3274CAD7}" type="pres">
      <dgm:prSet presAssocID="{694057D3-B948-49F6-992F-526F0E5C69E6}" presName="imgShp" presStyleLbl="fgImgPlace1" presStyleIdx="0" presStyleCnt="3" custLinFactNeighborX="-51765" custLinFactNeighborY="-37"/>
      <dgm:spPr>
        <a:blipFill>
          <a:blip xmlns:r="http://schemas.openxmlformats.org/officeDocument/2006/relationships" r:embed="rId1">
            <a:extLst>
              <a:ext uri="{96DAC541-7B7A-43D3-8B79-37D633B846F1}">
                <asvg:svgBlip xmlns:asvg="http://schemas.microsoft.com/office/drawing/2016/SVG/main" r:embed="rId2"/>
              </a:ext>
            </a:extLst>
          </a:blip>
          <a:srcRect/>
          <a:stretch>
            <a:fillRect/>
          </a:stretch>
        </a:blipFill>
      </dgm:spPr>
      <dgm:extLst>
        <a:ext uri="{E40237B7-FDA0-4F09-8148-C483321AD2D9}">
          <dgm14:cNvPr xmlns:dgm14="http://schemas.microsoft.com/office/drawing/2010/diagram" id="0" name="" descr="Court outline"/>
        </a:ext>
      </dgm:extLst>
    </dgm:pt>
    <dgm:pt modelId="{877ACD3C-B8C9-4100-8217-F9FDA87559D6}" type="pres">
      <dgm:prSet presAssocID="{694057D3-B948-49F6-992F-526F0E5C69E6}" presName="txShp" presStyleLbl="node1" presStyleIdx="0" presStyleCnt="3">
        <dgm:presLayoutVars>
          <dgm:bulletEnabled val="1"/>
        </dgm:presLayoutVars>
      </dgm:prSet>
      <dgm:spPr/>
    </dgm:pt>
    <dgm:pt modelId="{3D16D288-83D4-4BAD-A6C8-FC01B8FD6429}" type="pres">
      <dgm:prSet presAssocID="{5523C7C6-A001-4775-A24F-A269927835A3}" presName="spacing" presStyleCnt="0"/>
      <dgm:spPr/>
    </dgm:pt>
    <dgm:pt modelId="{F7B46FCE-C561-4832-9CF8-383AE476BD59}" type="pres">
      <dgm:prSet presAssocID="{2DE946E8-97F6-4867-B5D7-42AFF0DE2226}" presName="composite" presStyleCnt="0"/>
      <dgm:spPr/>
    </dgm:pt>
    <dgm:pt modelId="{44740837-1263-45E5-898F-915BA638E615}" type="pres">
      <dgm:prSet presAssocID="{2DE946E8-97F6-4867-B5D7-42AFF0DE2226}" presName="imgShp" presStyleLbl="fgImgPlace1" presStyleIdx="1" presStyleCnt="3" custLinFactNeighborX="-51088" custLinFactNeighborY="-720"/>
      <dgm:spPr>
        <a:blipFill>
          <a:blip xmlns:r="http://schemas.openxmlformats.org/officeDocument/2006/relationships" r:embed="rId3">
            <a:extLst>
              <a:ext uri="{96DAC541-7B7A-43D3-8B79-37D633B846F1}">
                <asvg:svgBlip xmlns:asvg="http://schemas.microsoft.com/office/drawing/2016/SVG/main" r:embed="rId4"/>
              </a:ext>
            </a:extLst>
          </a:blip>
          <a:srcRect/>
          <a:stretch>
            <a:fillRect/>
          </a:stretch>
        </a:blipFill>
      </dgm:spPr>
      <dgm:extLst>
        <a:ext uri="{E40237B7-FDA0-4F09-8148-C483321AD2D9}">
          <dgm14:cNvPr xmlns:dgm14="http://schemas.microsoft.com/office/drawing/2010/diagram" id="0" name="" descr="Bar chart outline"/>
        </a:ext>
      </dgm:extLst>
    </dgm:pt>
    <dgm:pt modelId="{DDFAFC18-4954-40D3-9174-E4C0597BE30A}" type="pres">
      <dgm:prSet presAssocID="{2DE946E8-97F6-4867-B5D7-42AFF0DE2226}" presName="txShp" presStyleLbl="node1" presStyleIdx="1" presStyleCnt="3">
        <dgm:presLayoutVars>
          <dgm:bulletEnabled val="1"/>
        </dgm:presLayoutVars>
      </dgm:prSet>
      <dgm:spPr/>
    </dgm:pt>
    <dgm:pt modelId="{CEC3E15B-04D0-42A8-A9DA-A1DB6B00837A}" type="pres">
      <dgm:prSet presAssocID="{EAC70BC4-D717-47FE-B7CB-DD88FA5F1464}" presName="spacing" presStyleCnt="0"/>
      <dgm:spPr/>
    </dgm:pt>
    <dgm:pt modelId="{62849487-AEB2-4976-9B98-DD4C2D12D210}" type="pres">
      <dgm:prSet presAssocID="{D2EE336C-7BE9-48FE-A998-E9E2A3CC0AA7}" presName="composite" presStyleCnt="0"/>
      <dgm:spPr/>
    </dgm:pt>
    <dgm:pt modelId="{77C3C824-3DB0-4E62-B51D-83C2961DBD25}" type="pres">
      <dgm:prSet presAssocID="{D2EE336C-7BE9-48FE-A998-E9E2A3CC0AA7}" presName="imgShp" presStyleLbl="fgImgPlace1" presStyleIdx="2" presStyleCnt="3" custLinFactNeighborX="-51088" custLinFactNeighborY="37"/>
      <dgm:spPr>
        <a:blipFill>
          <a:blip xmlns:r="http://schemas.openxmlformats.org/officeDocument/2006/relationships" r:embed="rId5">
            <a:extLst>
              <a:ext uri="{96DAC541-7B7A-43D3-8B79-37D633B846F1}">
                <asvg:svgBlip xmlns:asvg="http://schemas.microsoft.com/office/drawing/2016/SVG/main" r:embed="rId6"/>
              </a:ext>
            </a:extLst>
          </a:blip>
          <a:srcRect/>
          <a:stretch>
            <a:fillRect/>
          </a:stretch>
        </a:blipFill>
      </dgm:spPr>
      <dgm:extLst>
        <a:ext uri="{E40237B7-FDA0-4F09-8148-C483321AD2D9}">
          <dgm14:cNvPr xmlns:dgm14="http://schemas.microsoft.com/office/drawing/2010/diagram" id="0" name="" descr="Cycle with people outline"/>
        </a:ext>
      </dgm:extLst>
    </dgm:pt>
    <dgm:pt modelId="{DA1BDC7D-1FC0-4EBF-8DAD-533CD7C74D46}" type="pres">
      <dgm:prSet presAssocID="{D2EE336C-7BE9-48FE-A998-E9E2A3CC0AA7}" presName="txShp" presStyleLbl="node1" presStyleIdx="2" presStyleCnt="3">
        <dgm:presLayoutVars>
          <dgm:bulletEnabled val="1"/>
        </dgm:presLayoutVars>
      </dgm:prSet>
      <dgm:spPr/>
    </dgm:pt>
  </dgm:ptLst>
  <dgm:cxnLst>
    <dgm:cxn modelId="{D4E23937-5656-46B6-9FAA-64B8F5D4759C}" type="presOf" srcId="{D2EE336C-7BE9-48FE-A998-E9E2A3CC0AA7}" destId="{DA1BDC7D-1FC0-4EBF-8DAD-533CD7C74D46}" srcOrd="0" destOrd="0" presId="urn:microsoft.com/office/officeart/2005/8/layout/vList3"/>
    <dgm:cxn modelId="{C755FA84-9A54-4B41-AEF3-C31C21B18A92}" type="presOf" srcId="{9D260343-93EA-48D6-880A-58EAF0FD672A}" destId="{EFB2BBE4-F25C-4913-BF38-634061E2C622}" srcOrd="0" destOrd="0" presId="urn:microsoft.com/office/officeart/2005/8/layout/vList3"/>
    <dgm:cxn modelId="{EACD1585-2F69-4013-BA53-B64827072852}" srcId="{9D260343-93EA-48D6-880A-58EAF0FD672A}" destId="{2DE946E8-97F6-4867-B5D7-42AFF0DE2226}" srcOrd="1" destOrd="0" parTransId="{52A7B04C-D142-4BC9-B2AC-6F69D4EEE762}" sibTransId="{EAC70BC4-D717-47FE-B7CB-DD88FA5F1464}"/>
    <dgm:cxn modelId="{018DF68C-93CB-494C-9F86-80DD87B847ED}" type="presOf" srcId="{694057D3-B948-49F6-992F-526F0E5C69E6}" destId="{877ACD3C-B8C9-4100-8217-F9FDA87559D6}" srcOrd="0" destOrd="0" presId="urn:microsoft.com/office/officeart/2005/8/layout/vList3"/>
    <dgm:cxn modelId="{5158A990-E509-43C9-AF48-040B285C1A3D}" srcId="{9D260343-93EA-48D6-880A-58EAF0FD672A}" destId="{D2EE336C-7BE9-48FE-A998-E9E2A3CC0AA7}" srcOrd="2" destOrd="0" parTransId="{9E0BFDB0-1145-4233-9971-808EA69E2779}" sibTransId="{B3F1C63E-E2F9-4F75-B703-D84A83F04E79}"/>
    <dgm:cxn modelId="{FB7D0DCA-B5EF-47A2-A20C-F7CEBB689167}" srcId="{9D260343-93EA-48D6-880A-58EAF0FD672A}" destId="{694057D3-B948-49F6-992F-526F0E5C69E6}" srcOrd="0" destOrd="0" parTransId="{7DA6562B-A60E-438B-B996-33DE22D48476}" sibTransId="{5523C7C6-A001-4775-A24F-A269927835A3}"/>
    <dgm:cxn modelId="{2C4D47EB-C6C2-4944-8CF8-247B7865FF5A}" type="presOf" srcId="{2DE946E8-97F6-4867-B5D7-42AFF0DE2226}" destId="{DDFAFC18-4954-40D3-9174-E4C0597BE30A}" srcOrd="0" destOrd="0" presId="urn:microsoft.com/office/officeart/2005/8/layout/vList3"/>
    <dgm:cxn modelId="{C9044CE3-FA66-4679-8505-B8083ACEA86E}" type="presParOf" srcId="{EFB2BBE4-F25C-4913-BF38-634061E2C622}" destId="{8151E1B2-77BB-403E-916B-2854DF679B36}" srcOrd="0" destOrd="0" presId="urn:microsoft.com/office/officeart/2005/8/layout/vList3"/>
    <dgm:cxn modelId="{A54A28A0-E977-49D1-AE24-EC869323B1AE}" type="presParOf" srcId="{8151E1B2-77BB-403E-916B-2854DF679B36}" destId="{DE297D97-0272-401D-AFE2-A92F3274CAD7}" srcOrd="0" destOrd="0" presId="urn:microsoft.com/office/officeart/2005/8/layout/vList3"/>
    <dgm:cxn modelId="{C421EEC6-17F7-4197-B06B-C192FAF1C37F}" type="presParOf" srcId="{8151E1B2-77BB-403E-916B-2854DF679B36}" destId="{877ACD3C-B8C9-4100-8217-F9FDA87559D6}" srcOrd="1" destOrd="0" presId="urn:microsoft.com/office/officeart/2005/8/layout/vList3"/>
    <dgm:cxn modelId="{A9A77155-9E16-4FA2-9F73-B20D56E90867}" type="presParOf" srcId="{EFB2BBE4-F25C-4913-BF38-634061E2C622}" destId="{3D16D288-83D4-4BAD-A6C8-FC01B8FD6429}" srcOrd="1" destOrd="0" presId="urn:microsoft.com/office/officeart/2005/8/layout/vList3"/>
    <dgm:cxn modelId="{F6CB70B9-E3DB-4DB5-82D4-73EE83381556}" type="presParOf" srcId="{EFB2BBE4-F25C-4913-BF38-634061E2C622}" destId="{F7B46FCE-C561-4832-9CF8-383AE476BD59}" srcOrd="2" destOrd="0" presId="urn:microsoft.com/office/officeart/2005/8/layout/vList3"/>
    <dgm:cxn modelId="{7CE23B0E-8998-4D3D-8CFB-D10C44BC242B}" type="presParOf" srcId="{F7B46FCE-C561-4832-9CF8-383AE476BD59}" destId="{44740837-1263-45E5-898F-915BA638E615}" srcOrd="0" destOrd="0" presId="urn:microsoft.com/office/officeart/2005/8/layout/vList3"/>
    <dgm:cxn modelId="{C8BA14D6-482B-40D6-B9E7-FCD819CD6016}" type="presParOf" srcId="{F7B46FCE-C561-4832-9CF8-383AE476BD59}" destId="{DDFAFC18-4954-40D3-9174-E4C0597BE30A}" srcOrd="1" destOrd="0" presId="urn:microsoft.com/office/officeart/2005/8/layout/vList3"/>
    <dgm:cxn modelId="{ED5241C9-CC23-4605-89C3-E48D64744A42}" type="presParOf" srcId="{EFB2BBE4-F25C-4913-BF38-634061E2C622}" destId="{CEC3E15B-04D0-42A8-A9DA-A1DB6B00837A}" srcOrd="3" destOrd="0" presId="urn:microsoft.com/office/officeart/2005/8/layout/vList3"/>
    <dgm:cxn modelId="{94007930-C32C-456A-9B82-D023411D72E1}" type="presParOf" srcId="{EFB2BBE4-F25C-4913-BF38-634061E2C622}" destId="{62849487-AEB2-4976-9B98-DD4C2D12D210}" srcOrd="4" destOrd="0" presId="urn:microsoft.com/office/officeart/2005/8/layout/vList3"/>
    <dgm:cxn modelId="{CE757E76-CBF8-459D-B672-7898BAEB8653}" type="presParOf" srcId="{62849487-AEB2-4976-9B98-DD4C2D12D210}" destId="{77C3C824-3DB0-4E62-B51D-83C2961DBD25}" srcOrd="0" destOrd="0" presId="urn:microsoft.com/office/officeart/2005/8/layout/vList3"/>
    <dgm:cxn modelId="{731235A7-BBBA-485D-967C-9C5002B4A5E5}" type="presParOf" srcId="{62849487-AEB2-4976-9B98-DD4C2D12D210}" destId="{DA1BDC7D-1FC0-4EBF-8DAD-533CD7C74D46}" srcOrd="1" destOrd="0" presId="urn:microsoft.com/office/officeart/2005/8/layout/vList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7ACD3C-B8C9-4100-8217-F9FDA87559D6}">
      <dsp:nvSpPr>
        <dsp:cNvPr id="0" name=""/>
        <dsp:cNvSpPr/>
      </dsp:nvSpPr>
      <dsp:spPr>
        <a:xfrm rot="10800000">
          <a:off x="1249500" y="304"/>
          <a:ext cx="4141673" cy="825190"/>
        </a:xfrm>
        <a:prstGeom prst="homePlat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3886" tIns="45720" rIns="85344" bIns="45720" numCol="1" spcCol="1270" anchor="ctr" anchorCtr="0">
          <a:noAutofit/>
        </a:bodyPr>
        <a:lstStyle/>
        <a:p>
          <a:pPr marL="0" lvl="0" indent="0" algn="just" defTabSz="533400">
            <a:lnSpc>
              <a:spcPct val="90000"/>
            </a:lnSpc>
            <a:spcBef>
              <a:spcPct val="0"/>
            </a:spcBef>
            <a:spcAft>
              <a:spcPct val="35000"/>
            </a:spcAft>
            <a:buNone/>
          </a:pPr>
          <a:r>
            <a:rPr lang="lv-LV" sz="1200" kern="1200"/>
            <a:t>1) </a:t>
          </a:r>
          <a:r>
            <a:rPr lang="sr-Latn-ME" sz="1200" b="0" i="0" kern="1200"/>
            <a:t>Unaprijeđenje funkcionisanja AFCOS sistema u Crnoj Gori kroz uspostavljanje adekvatnog zakonskog okvira i međuinstitucionalne saradnje organa AFCOS sistema</a:t>
          </a:r>
          <a:endParaRPr lang="en-US" sz="1200" kern="1200"/>
        </a:p>
      </dsp:txBody>
      <dsp:txXfrm rot="10800000">
        <a:off x="1455797" y="304"/>
        <a:ext cx="3935376" cy="825190"/>
      </dsp:txXfrm>
    </dsp:sp>
    <dsp:sp modelId="{DE297D97-0272-401D-AFE2-A92F3274CAD7}">
      <dsp:nvSpPr>
        <dsp:cNvPr id="0" name=""/>
        <dsp:cNvSpPr/>
      </dsp:nvSpPr>
      <dsp:spPr>
        <a:xfrm>
          <a:off x="409746" y="0"/>
          <a:ext cx="825190" cy="825190"/>
        </a:xfrm>
        <a:prstGeom prst="ellipse">
          <a:avLst/>
        </a:prstGeom>
        <a:blipFill>
          <a:blip xmlns:r="http://schemas.openxmlformats.org/officeDocument/2006/relationships" r:embed="rId1">
            <a:extLst>
              <a:ext uri="{96DAC541-7B7A-43D3-8B79-37D633B846F1}">
                <asvg:svgBlip xmlns:asvg="http://schemas.microsoft.com/office/drawing/2016/SVG/main" r:embed="rId2"/>
              </a:ext>
            </a:extLst>
          </a:blip>
          <a:srcRect/>
          <a:stretch>
            <a:fillRect/>
          </a:stretch>
        </a:blip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DFAFC18-4954-40D3-9174-E4C0597BE30A}">
      <dsp:nvSpPr>
        <dsp:cNvPr id="0" name=""/>
        <dsp:cNvSpPr/>
      </dsp:nvSpPr>
      <dsp:spPr>
        <a:xfrm rot="10800000">
          <a:off x="1249500" y="1071820"/>
          <a:ext cx="4141673" cy="825190"/>
        </a:xfrm>
        <a:prstGeom prst="homePlat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3886" tIns="45720" rIns="85344" bIns="45720" numCol="1" spcCol="1270" anchor="ctr" anchorCtr="0">
          <a:noAutofit/>
        </a:bodyPr>
        <a:lstStyle/>
        <a:p>
          <a:pPr marL="0" lvl="0" indent="0" algn="just" defTabSz="533400">
            <a:lnSpc>
              <a:spcPct val="90000"/>
            </a:lnSpc>
            <a:spcBef>
              <a:spcPct val="0"/>
            </a:spcBef>
            <a:spcAft>
              <a:spcPct val="35000"/>
            </a:spcAft>
            <a:buFont typeface="Symbol" panose="05050102010706020507" pitchFamily="18" charset="2"/>
            <a:buNone/>
          </a:pPr>
          <a:r>
            <a:rPr lang="lv-LV" sz="1200" kern="1200"/>
            <a:t>2) </a:t>
          </a:r>
          <a:r>
            <a:rPr lang="sr-Latn-ME" sz="1200" b="0" i="0" kern="1200"/>
            <a:t>Unaprijeđenje rada organa tijela za izvještavanje o nepravilnostima u oblasti upravljanja nepravilnostima (prevencija, otkrivanje, tretman i prijavljivanje nepravilnosti)</a:t>
          </a:r>
          <a:endParaRPr lang="en-US" sz="1200" kern="1200"/>
        </a:p>
      </dsp:txBody>
      <dsp:txXfrm rot="10800000">
        <a:off x="1455797" y="1071820"/>
        <a:ext cx="3935376" cy="825190"/>
      </dsp:txXfrm>
    </dsp:sp>
    <dsp:sp modelId="{44740837-1263-45E5-898F-915BA638E615}">
      <dsp:nvSpPr>
        <dsp:cNvPr id="0" name=""/>
        <dsp:cNvSpPr/>
      </dsp:nvSpPr>
      <dsp:spPr>
        <a:xfrm>
          <a:off x="415332" y="1065879"/>
          <a:ext cx="825190" cy="825190"/>
        </a:xfrm>
        <a:prstGeom prst="ellipse">
          <a:avLst/>
        </a:prstGeom>
        <a:blipFill>
          <a:blip xmlns:r="http://schemas.openxmlformats.org/officeDocument/2006/relationships" r:embed="rId3">
            <a:extLst>
              <a:ext uri="{96DAC541-7B7A-43D3-8B79-37D633B846F1}">
                <asvg:svgBlip xmlns:asvg="http://schemas.microsoft.com/office/drawing/2016/SVG/main" r:embed="rId4"/>
              </a:ext>
            </a:extLst>
          </a:blip>
          <a:srcRect/>
          <a:stretch>
            <a:fillRect/>
          </a:stretch>
        </a:blip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A1BDC7D-1FC0-4EBF-8DAD-533CD7C74D46}">
      <dsp:nvSpPr>
        <dsp:cNvPr id="0" name=""/>
        <dsp:cNvSpPr/>
      </dsp:nvSpPr>
      <dsp:spPr>
        <a:xfrm rot="10800000">
          <a:off x="1249500" y="2143336"/>
          <a:ext cx="4141673" cy="825190"/>
        </a:xfrm>
        <a:prstGeom prst="homePlat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3886" tIns="45720" rIns="85344" bIns="45720" numCol="1" spcCol="1270" anchor="ctr" anchorCtr="0">
          <a:noAutofit/>
        </a:bodyPr>
        <a:lstStyle/>
        <a:p>
          <a:pPr marL="0" lvl="0" indent="0" algn="just" defTabSz="533400">
            <a:lnSpc>
              <a:spcPct val="90000"/>
            </a:lnSpc>
            <a:spcBef>
              <a:spcPct val="0"/>
            </a:spcBef>
            <a:spcAft>
              <a:spcPct val="35000"/>
            </a:spcAft>
            <a:buFont typeface="Symbol" panose="05050102010706020507" pitchFamily="18" charset="2"/>
            <a:buNone/>
          </a:pPr>
          <a:r>
            <a:rPr lang="lv-LV" sz="1200" kern="1200"/>
            <a:t>3) </a:t>
          </a:r>
          <a:r>
            <a:rPr lang="sr-Latn-ME" sz="1200" b="0" i="0" kern="1200"/>
            <a:t>Jačanje administrativnih kapaciteta AFCOS sistema</a:t>
          </a:r>
          <a:endParaRPr lang="en-US" sz="1200" kern="1200"/>
        </a:p>
      </dsp:txBody>
      <dsp:txXfrm rot="10800000">
        <a:off x="1455797" y="2143336"/>
        <a:ext cx="3935376" cy="825190"/>
      </dsp:txXfrm>
    </dsp:sp>
    <dsp:sp modelId="{77C3C824-3DB0-4E62-B51D-83C2961DBD25}">
      <dsp:nvSpPr>
        <dsp:cNvPr id="0" name=""/>
        <dsp:cNvSpPr/>
      </dsp:nvSpPr>
      <dsp:spPr>
        <a:xfrm>
          <a:off x="415332" y="2143640"/>
          <a:ext cx="825190" cy="825190"/>
        </a:xfrm>
        <a:prstGeom prst="ellipse">
          <a:avLst/>
        </a:prstGeom>
        <a:blipFill>
          <a:blip xmlns:r="http://schemas.openxmlformats.org/officeDocument/2006/relationships" r:embed="rId5">
            <a:extLst>
              <a:ext uri="{96DAC541-7B7A-43D3-8B79-37D633B846F1}">
                <asvg:svgBlip xmlns:asvg="http://schemas.microsoft.com/office/drawing/2016/SVG/main" r:embed="rId6"/>
              </a:ext>
            </a:extLst>
          </a:blip>
          <a:srcRect/>
          <a:stretch>
            <a:fillRect/>
          </a:stretch>
        </a:blip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5179C-3193-4C76-A54A-1A3B4A47FD60}">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Template>
  <TotalTime>14</TotalTime>
  <Pages>6</Pages>
  <Words>23628</Words>
  <Characters>134686</Characters>
  <Application>Microsoft Office Word</Application>
  <DocSecurity>0</DocSecurity>
  <Lines>1122</Lines>
  <Paragraphs>315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Carapic</dc:creator>
  <cp:lastModifiedBy>Anja Carapic</cp:lastModifiedBy>
  <cp:revision>5</cp:revision>
  <cp:lastPrinted>2025-01-27T07:02:00Z</cp:lastPrinted>
  <dcterms:created xsi:type="dcterms:W3CDTF">2025-05-14T12:34:00Z</dcterms:created>
  <dcterms:modified xsi:type="dcterms:W3CDTF">2025-05-15T09:07:00Z</dcterms:modified>
</cp:coreProperties>
</file>