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EA6FB8" w:rsidRPr="00C32887" w:rsidRDefault="00EA6FB8" w:rsidP="00EA6FB8">
      <w:pPr>
        <w:jc w:val="center"/>
        <w:rPr>
          <w:rFonts w:ascii="Garamond" w:hAnsi="Garamond"/>
          <w:sz w:val="24"/>
          <w:szCs w:val="24"/>
          <w:lang w:val="en-GB"/>
        </w:rPr>
      </w:pPr>
      <w:r w:rsidRPr="00C32887">
        <w:rPr>
          <w:rFonts w:ascii="Garamond" w:hAnsi="Garamond"/>
          <w:sz w:val="24"/>
          <w:szCs w:val="24"/>
        </w:rPr>
        <w:t xml:space="preserve">PUBLIC FINANCE MANAGEMENT </w:t>
      </w:r>
      <w:r w:rsidRPr="00C32887">
        <w:rPr>
          <w:rFonts w:ascii="Garamond" w:hAnsi="Garamond"/>
          <w:sz w:val="24"/>
          <w:szCs w:val="24"/>
          <w:lang w:val="en-GB"/>
        </w:rPr>
        <w:t>REFORM</w:t>
      </w:r>
    </w:p>
    <w:p w:rsidR="00EA6FB8" w:rsidRPr="00C32887" w:rsidRDefault="00B778BA" w:rsidP="00EA6FB8">
      <w:pPr>
        <w:jc w:val="center"/>
        <w:rPr>
          <w:rFonts w:ascii="Garamond" w:hAnsi="Garamond"/>
          <w:sz w:val="24"/>
          <w:szCs w:val="24"/>
          <w:lang w:val="en-GB"/>
        </w:rPr>
      </w:pPr>
      <w:r>
        <w:rPr>
          <w:rFonts w:ascii="Garamond" w:hAnsi="Garamond"/>
          <w:sz w:val="24"/>
          <w:szCs w:val="24"/>
          <w:lang w:val="en-GB"/>
        </w:rPr>
        <w:t>PROGRAMME</w:t>
      </w:r>
      <w:r w:rsidR="00EA6FB8" w:rsidRPr="00C32887">
        <w:rPr>
          <w:rFonts w:ascii="Garamond" w:hAnsi="Garamond"/>
          <w:sz w:val="24"/>
          <w:szCs w:val="24"/>
          <w:lang w:val="en-GB"/>
        </w:rPr>
        <w:t xml:space="preserve"> </w:t>
      </w:r>
    </w:p>
    <w:p w:rsidR="004D1343" w:rsidRPr="00C32887" w:rsidRDefault="00EA6FB8" w:rsidP="00EA6FB8">
      <w:pPr>
        <w:jc w:val="center"/>
        <w:rPr>
          <w:rFonts w:ascii="Garamond" w:hAnsi="Garamond"/>
          <w:sz w:val="24"/>
          <w:szCs w:val="24"/>
          <w:lang w:val="en-GB"/>
        </w:rPr>
      </w:pPr>
      <w:r w:rsidRPr="00C32887">
        <w:rPr>
          <w:rFonts w:ascii="Garamond" w:hAnsi="Garamond"/>
          <w:sz w:val="24"/>
          <w:szCs w:val="24"/>
          <w:lang w:val="en-GB"/>
        </w:rPr>
        <w:t xml:space="preserve">FINAL </w:t>
      </w:r>
      <w:r w:rsidR="00B778BA" w:rsidRPr="00C32887">
        <w:rPr>
          <w:rFonts w:ascii="Garamond" w:hAnsi="Garamond"/>
          <w:sz w:val="24"/>
          <w:szCs w:val="24"/>
          <w:lang w:val="en-GB"/>
        </w:rPr>
        <w:t xml:space="preserve">IMPLEMENTATION </w:t>
      </w:r>
      <w:r w:rsidRPr="00C32887">
        <w:rPr>
          <w:rFonts w:ascii="Garamond" w:hAnsi="Garamond"/>
          <w:sz w:val="24"/>
          <w:szCs w:val="24"/>
          <w:lang w:val="en-GB"/>
        </w:rPr>
        <w:t>REPORT</w:t>
      </w:r>
    </w:p>
    <w:p w:rsidR="00EA6FB8" w:rsidRPr="00C32887" w:rsidRDefault="00EA6FB8" w:rsidP="00EA6FB8">
      <w:pPr>
        <w:jc w:val="center"/>
        <w:rPr>
          <w:rFonts w:ascii="Garamond" w:hAnsi="Garamond"/>
          <w:sz w:val="24"/>
          <w:szCs w:val="24"/>
          <w:lang w:val="en-GB"/>
        </w:rPr>
      </w:pPr>
      <w:r w:rsidRPr="00C32887">
        <w:rPr>
          <w:rFonts w:ascii="Garamond" w:hAnsi="Garamond"/>
          <w:sz w:val="24"/>
          <w:szCs w:val="24"/>
          <w:lang w:val="en-GB"/>
        </w:rPr>
        <w:t>WITH OVERVIEW OF ACTIVITIES FOR 2020</w:t>
      </w:r>
    </w:p>
    <w:p w:rsidR="00EA6FB8" w:rsidRPr="00C32887" w:rsidRDefault="00EA6FB8" w:rsidP="00EA6FB8">
      <w:pPr>
        <w:jc w:val="center"/>
        <w:rPr>
          <w:rFonts w:ascii="Garamond" w:hAnsi="Garamond"/>
          <w:sz w:val="24"/>
          <w:szCs w:val="24"/>
          <w:lang w:val="en-GB"/>
        </w:rPr>
      </w:pPr>
    </w:p>
    <w:p w:rsidR="00EA6FB8" w:rsidRPr="00C32887" w:rsidRDefault="00EA6FB8" w:rsidP="00EA6FB8">
      <w:pPr>
        <w:jc w:val="center"/>
        <w:rPr>
          <w:rFonts w:ascii="Garamond" w:hAnsi="Garamond"/>
          <w:sz w:val="24"/>
          <w:szCs w:val="24"/>
          <w:lang w:val="en-GB"/>
        </w:rPr>
      </w:pPr>
    </w:p>
    <w:p w:rsidR="00EA6FB8" w:rsidRPr="00C32887" w:rsidRDefault="00EA6FB8" w:rsidP="00EA6FB8">
      <w:pPr>
        <w:jc w:val="center"/>
        <w:rPr>
          <w:rFonts w:ascii="Garamond" w:hAnsi="Garamond"/>
          <w:sz w:val="24"/>
          <w:szCs w:val="24"/>
          <w:lang w:val="en-GB"/>
        </w:rPr>
      </w:pPr>
      <w:r w:rsidRPr="00C32887">
        <w:rPr>
          <w:rFonts w:ascii="Garamond" w:hAnsi="Garamond"/>
          <w:sz w:val="24"/>
          <w:szCs w:val="24"/>
          <w:lang w:val="en-GB"/>
        </w:rPr>
        <w:t>MONTENEGRO</w:t>
      </w:r>
    </w:p>
    <w:p w:rsidR="00EA6FB8" w:rsidRPr="00C32887" w:rsidRDefault="00EA6FB8" w:rsidP="00EA6FB8">
      <w:pPr>
        <w:jc w:val="center"/>
        <w:rPr>
          <w:rFonts w:ascii="Garamond" w:hAnsi="Garamond"/>
          <w:sz w:val="24"/>
          <w:szCs w:val="24"/>
          <w:lang w:val="en-GB"/>
        </w:rPr>
      </w:pPr>
      <w:r w:rsidRPr="00C32887">
        <w:rPr>
          <w:rFonts w:ascii="Garamond" w:hAnsi="Garamond"/>
          <w:sz w:val="24"/>
          <w:szCs w:val="24"/>
          <w:lang w:val="en-GB"/>
        </w:rPr>
        <w:t xml:space="preserve">MINISTRY OF FINANCE AND SOCIAL WELFARE </w:t>
      </w:r>
    </w:p>
    <w:p w:rsidR="00EA6FB8" w:rsidRPr="00C32887" w:rsidRDefault="00EA6FB8" w:rsidP="00EA6FB8">
      <w:pPr>
        <w:jc w:val="center"/>
        <w:rPr>
          <w:rFonts w:ascii="Garamond" w:hAnsi="Garamond"/>
          <w:sz w:val="24"/>
          <w:szCs w:val="24"/>
        </w:rPr>
      </w:pPr>
      <w:r w:rsidRPr="00C32887">
        <w:rPr>
          <w:rFonts w:ascii="Garamond" w:hAnsi="Garamond"/>
          <w:sz w:val="24"/>
          <w:szCs w:val="24"/>
        </w:rPr>
        <w:t>July 2021</w:t>
      </w:r>
    </w:p>
    <w:p w:rsidR="00EA6FB8" w:rsidRPr="00C32887" w:rsidRDefault="00EA6FB8">
      <w:pPr>
        <w:rPr>
          <w:rFonts w:ascii="Garamond" w:hAnsi="Garamond"/>
          <w:sz w:val="24"/>
          <w:szCs w:val="24"/>
        </w:rPr>
      </w:pPr>
      <w:r w:rsidRPr="00C32887">
        <w:rPr>
          <w:rFonts w:ascii="Garamond" w:hAnsi="Garamond"/>
          <w:sz w:val="24"/>
          <w:szCs w:val="24"/>
        </w:rPr>
        <w:br w:type="page"/>
      </w:r>
    </w:p>
    <w:p w:rsidR="00EA6FB8" w:rsidRPr="00C32887" w:rsidRDefault="00EA6FB8" w:rsidP="00EA6FB8">
      <w:pPr>
        <w:jc w:val="center"/>
        <w:rPr>
          <w:rFonts w:ascii="Garamond" w:hAnsi="Garamond"/>
          <w:sz w:val="24"/>
          <w:szCs w:val="24"/>
        </w:rPr>
      </w:pPr>
      <w:r w:rsidRPr="00C32887">
        <w:rPr>
          <w:rFonts w:ascii="Garamond" w:hAnsi="Garamond"/>
          <w:sz w:val="24"/>
          <w:szCs w:val="24"/>
        </w:rPr>
        <w:lastRenderedPageBreak/>
        <w:t xml:space="preserve">INTRODUCTORY SUMMARY </w:t>
      </w:r>
    </w:p>
    <w:p w:rsidR="007237C5" w:rsidRPr="00C32887" w:rsidRDefault="007237C5">
      <w:pPr>
        <w:rPr>
          <w:rFonts w:ascii="Garamond" w:hAnsi="Garamond"/>
          <w:sz w:val="24"/>
          <w:szCs w:val="24"/>
        </w:rPr>
      </w:pPr>
      <w:r w:rsidRPr="00C32887">
        <w:rPr>
          <w:rFonts w:ascii="Garamond" w:hAnsi="Garamond"/>
          <w:noProof/>
          <w:sz w:val="24"/>
          <w:szCs w:val="24"/>
          <w:lang w:eastAsia="ja-JP" w:bidi="ar-SA"/>
        </w:rPr>
        <w:drawing>
          <wp:inline distT="0" distB="0" distL="0" distR="0">
            <wp:extent cx="4364990" cy="1407160"/>
            <wp:effectExtent l="19050" t="0" r="0" b="0"/>
            <wp:docPr id="18" name="Picture 11" descr="C:\Users\win1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win10\Desktop\Untitled.png"/>
                    <pic:cNvPicPr>
                      <a:picLocks noChangeAspect="1" noChangeArrowheads="1"/>
                    </pic:cNvPicPr>
                  </pic:nvPicPr>
                  <pic:blipFill>
                    <a:blip r:embed="rId8" cstate="print"/>
                    <a:srcRect/>
                    <a:stretch>
                      <a:fillRect/>
                    </a:stretch>
                  </pic:blipFill>
                  <pic:spPr bwMode="auto">
                    <a:xfrm>
                      <a:off x="0" y="0"/>
                      <a:ext cx="4364990" cy="1407160"/>
                    </a:xfrm>
                    <a:prstGeom prst="rect">
                      <a:avLst/>
                    </a:prstGeom>
                    <a:noFill/>
                    <a:ln w="9525">
                      <a:noFill/>
                      <a:miter lim="800000"/>
                      <a:headEnd/>
                      <a:tailEnd/>
                    </a:ln>
                  </pic:spPr>
                </pic:pic>
              </a:graphicData>
            </a:graphic>
          </wp:inline>
        </w:drawing>
      </w:r>
    </w:p>
    <w:p w:rsidR="007237C5" w:rsidRPr="00C32887" w:rsidRDefault="007237C5">
      <w:pPr>
        <w:rPr>
          <w:rFonts w:ascii="Garamond" w:hAnsi="Garamond"/>
          <w:sz w:val="24"/>
          <w:szCs w:val="24"/>
        </w:rPr>
      </w:pPr>
    </w:p>
    <w:p w:rsidR="007237C5" w:rsidRPr="00C32887" w:rsidRDefault="007237C5">
      <w:pPr>
        <w:rPr>
          <w:rFonts w:ascii="Garamond" w:hAnsi="Garamond"/>
          <w:sz w:val="24"/>
          <w:szCs w:val="24"/>
        </w:rPr>
      </w:pPr>
    </w:p>
    <w:p w:rsidR="007237C5" w:rsidRPr="00C32887" w:rsidRDefault="007237C5">
      <w:pPr>
        <w:rPr>
          <w:rFonts w:ascii="Garamond" w:hAnsi="Garamond"/>
          <w:sz w:val="24"/>
          <w:szCs w:val="24"/>
        </w:rPr>
      </w:pPr>
    </w:p>
    <w:p w:rsidR="007237C5" w:rsidRPr="00C32887" w:rsidRDefault="007237C5">
      <w:pPr>
        <w:rPr>
          <w:rFonts w:ascii="Garamond" w:hAnsi="Garamond"/>
          <w:sz w:val="24"/>
          <w:szCs w:val="24"/>
        </w:rPr>
      </w:pPr>
      <w:r w:rsidRPr="00C32887">
        <w:rPr>
          <w:rFonts w:ascii="Garamond" w:hAnsi="Garamond"/>
          <w:noProof/>
          <w:sz w:val="24"/>
          <w:szCs w:val="24"/>
          <w:lang w:eastAsia="ja-JP" w:bidi="ar-SA"/>
        </w:rPr>
        <w:drawing>
          <wp:inline distT="0" distB="0" distL="0" distR="0">
            <wp:extent cx="4400550" cy="1447800"/>
            <wp:effectExtent l="19050" t="0" r="0" b="0"/>
            <wp:docPr id="385" name="Picture 385" descr="C:\Users\win1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5" descr="C:\Users\win10\Desktop\Untitled.png"/>
                    <pic:cNvPicPr>
                      <a:picLocks noChangeAspect="1" noChangeArrowheads="1"/>
                    </pic:cNvPicPr>
                  </pic:nvPicPr>
                  <pic:blipFill>
                    <a:blip r:embed="rId9" cstate="print"/>
                    <a:srcRect/>
                    <a:stretch>
                      <a:fillRect/>
                    </a:stretch>
                  </pic:blipFill>
                  <pic:spPr bwMode="auto">
                    <a:xfrm>
                      <a:off x="0" y="0"/>
                      <a:ext cx="4400550" cy="1447800"/>
                    </a:xfrm>
                    <a:prstGeom prst="rect">
                      <a:avLst/>
                    </a:prstGeom>
                    <a:noFill/>
                    <a:ln w="9525">
                      <a:noFill/>
                      <a:miter lim="800000"/>
                      <a:headEnd/>
                      <a:tailEnd/>
                    </a:ln>
                  </pic:spPr>
                </pic:pic>
              </a:graphicData>
            </a:graphic>
          </wp:inline>
        </w:drawing>
      </w:r>
    </w:p>
    <w:p w:rsidR="007237C5" w:rsidRPr="00C32887" w:rsidRDefault="007237C5">
      <w:pPr>
        <w:rPr>
          <w:rFonts w:ascii="Garamond" w:hAnsi="Garamond"/>
          <w:sz w:val="24"/>
          <w:szCs w:val="24"/>
        </w:rPr>
      </w:pPr>
    </w:p>
    <w:p w:rsidR="007237C5" w:rsidRPr="00C32887" w:rsidRDefault="007237C5">
      <w:pPr>
        <w:rPr>
          <w:rFonts w:ascii="Garamond" w:hAnsi="Garamond"/>
          <w:sz w:val="24"/>
          <w:szCs w:val="24"/>
        </w:rPr>
      </w:pPr>
    </w:p>
    <w:p w:rsidR="007237C5" w:rsidRPr="00C32887" w:rsidRDefault="00121F95">
      <w:pPr>
        <w:rPr>
          <w:rFonts w:ascii="Garamond" w:hAnsi="Garamond"/>
          <w:sz w:val="24"/>
          <w:szCs w:val="24"/>
        </w:rPr>
      </w:pPr>
      <w:r w:rsidRPr="00C32887">
        <w:rPr>
          <w:rFonts w:ascii="Garamond" w:hAnsi="Garamond"/>
          <w:noProof/>
          <w:sz w:val="24"/>
          <w:szCs w:val="24"/>
          <w:lang w:eastAsia="ja-JP" w:bidi="ar-SA"/>
        </w:rPr>
        <w:drawing>
          <wp:inline distT="0" distB="0" distL="0" distR="0">
            <wp:extent cx="4362450" cy="1771650"/>
            <wp:effectExtent l="19050" t="0" r="0" b="0"/>
            <wp:docPr id="386" name="Picture 386" descr="C:\Users\win1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Users\win10\Desktop\Untitled.png"/>
                    <pic:cNvPicPr>
                      <a:picLocks noChangeAspect="1" noChangeArrowheads="1"/>
                    </pic:cNvPicPr>
                  </pic:nvPicPr>
                  <pic:blipFill>
                    <a:blip r:embed="rId10" cstate="print"/>
                    <a:srcRect/>
                    <a:stretch>
                      <a:fillRect/>
                    </a:stretch>
                  </pic:blipFill>
                  <pic:spPr bwMode="auto">
                    <a:xfrm>
                      <a:off x="0" y="0"/>
                      <a:ext cx="4362450" cy="1771650"/>
                    </a:xfrm>
                    <a:prstGeom prst="rect">
                      <a:avLst/>
                    </a:prstGeom>
                    <a:noFill/>
                    <a:ln w="9525">
                      <a:noFill/>
                      <a:miter lim="800000"/>
                      <a:headEnd/>
                      <a:tailEnd/>
                    </a:ln>
                  </pic:spPr>
                </pic:pic>
              </a:graphicData>
            </a:graphic>
          </wp:inline>
        </w:drawing>
      </w:r>
      <w:r w:rsidR="007A11E6" w:rsidRPr="00C32887">
        <w:rPr>
          <w:rFonts w:ascii="Garamond" w:hAnsi="Garamond"/>
          <w:noProof/>
          <w:sz w:val="24"/>
          <w:szCs w:val="24"/>
          <w:lang w:eastAsia="ja-JP" w:bidi="ar-SA"/>
        </w:rPr>
        <w:drawing>
          <wp:inline distT="0" distB="0" distL="0" distR="0">
            <wp:extent cx="4362450" cy="1651000"/>
            <wp:effectExtent l="19050" t="0" r="0" b="0"/>
            <wp:docPr id="387" name="Picture 387" descr="C:\Users\win1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Users\win10\Desktop\Untitled.png"/>
                    <pic:cNvPicPr>
                      <a:picLocks noChangeAspect="1" noChangeArrowheads="1"/>
                    </pic:cNvPicPr>
                  </pic:nvPicPr>
                  <pic:blipFill>
                    <a:blip r:embed="rId11" cstate="print"/>
                    <a:srcRect/>
                    <a:stretch>
                      <a:fillRect/>
                    </a:stretch>
                  </pic:blipFill>
                  <pic:spPr bwMode="auto">
                    <a:xfrm>
                      <a:off x="0" y="0"/>
                      <a:ext cx="4362450" cy="1651000"/>
                    </a:xfrm>
                    <a:prstGeom prst="rect">
                      <a:avLst/>
                    </a:prstGeom>
                    <a:noFill/>
                    <a:ln w="9525">
                      <a:noFill/>
                      <a:miter lim="800000"/>
                      <a:headEnd/>
                      <a:tailEnd/>
                    </a:ln>
                  </pic:spPr>
                </pic:pic>
              </a:graphicData>
            </a:graphic>
          </wp:inline>
        </w:drawing>
      </w:r>
    </w:p>
    <w:p w:rsidR="007237C5" w:rsidRPr="00C32887" w:rsidRDefault="007237C5">
      <w:pPr>
        <w:rPr>
          <w:rFonts w:ascii="Garamond" w:hAnsi="Garamond"/>
          <w:sz w:val="24"/>
          <w:szCs w:val="24"/>
        </w:rPr>
      </w:pPr>
    </w:p>
    <w:p w:rsidR="007237C5" w:rsidRPr="00C32887" w:rsidRDefault="007237C5">
      <w:pPr>
        <w:rPr>
          <w:rFonts w:ascii="Garamond" w:hAnsi="Garamond"/>
          <w:sz w:val="24"/>
          <w:szCs w:val="24"/>
        </w:rPr>
      </w:pPr>
    </w:p>
    <w:p w:rsidR="007237C5" w:rsidRPr="00C32887" w:rsidRDefault="007237C5">
      <w:pPr>
        <w:rPr>
          <w:rFonts w:ascii="Garamond" w:hAnsi="Garamond"/>
          <w:sz w:val="24"/>
          <w:szCs w:val="24"/>
        </w:rPr>
      </w:pPr>
    </w:p>
    <w:p w:rsidR="007237C5" w:rsidRPr="00C32887" w:rsidRDefault="007237C5">
      <w:pPr>
        <w:rPr>
          <w:rFonts w:ascii="Garamond" w:hAnsi="Garamond"/>
          <w:sz w:val="24"/>
          <w:szCs w:val="24"/>
        </w:rPr>
      </w:pPr>
      <w:r w:rsidRPr="00C32887">
        <w:rPr>
          <w:rFonts w:ascii="Garamond" w:hAnsi="Garamond"/>
          <w:sz w:val="24"/>
          <w:szCs w:val="24"/>
        </w:rPr>
        <w:br w:type="page"/>
      </w:r>
    </w:p>
    <w:sdt>
      <w:sdtPr>
        <w:rPr>
          <w:rFonts w:ascii="Garamond" w:eastAsia="Arial" w:hAnsi="Garamond" w:cs="Arial"/>
          <w:b w:val="0"/>
          <w:bCs w:val="0"/>
          <w:color w:val="auto"/>
          <w:sz w:val="24"/>
          <w:szCs w:val="24"/>
          <w:lang w:eastAsia="tr-TR" w:bidi="tr-TR"/>
        </w:rPr>
        <w:id w:val="86318188"/>
        <w:docPartObj>
          <w:docPartGallery w:val="Table of Contents"/>
          <w:docPartUnique/>
        </w:docPartObj>
      </w:sdtPr>
      <w:sdtContent>
        <w:bookmarkStart w:id="0" w:name="_Toc77688185" w:displacedByCustomXml="prev"/>
        <w:p w:rsidR="007A11E6" w:rsidRPr="00C32887" w:rsidRDefault="007A11E6" w:rsidP="007A11E6">
          <w:pPr>
            <w:pStyle w:val="TOCHeading"/>
            <w:outlineLvl w:val="0"/>
            <w:rPr>
              <w:rFonts w:ascii="Garamond" w:hAnsi="Garamond"/>
              <w:sz w:val="24"/>
              <w:szCs w:val="24"/>
            </w:rPr>
          </w:pPr>
          <w:r w:rsidRPr="00C32887">
            <w:rPr>
              <w:rFonts w:ascii="Garamond" w:hAnsi="Garamond"/>
              <w:sz w:val="24"/>
              <w:szCs w:val="24"/>
            </w:rPr>
            <w:t>Contents</w:t>
          </w:r>
          <w:bookmarkEnd w:id="0"/>
        </w:p>
        <w:p w:rsidR="002C4371" w:rsidRDefault="00613C2B">
          <w:pPr>
            <w:pStyle w:val="TOC1"/>
            <w:tabs>
              <w:tab w:val="right" w:leader="dot" w:pos="9350"/>
            </w:tabs>
            <w:rPr>
              <w:rFonts w:asciiTheme="minorHAnsi" w:eastAsiaTheme="minorEastAsia" w:hAnsiTheme="minorHAnsi" w:cstheme="minorBidi"/>
              <w:noProof/>
              <w:lang w:eastAsia="ja-JP" w:bidi="ar-SA"/>
            </w:rPr>
          </w:pPr>
          <w:r w:rsidRPr="00C32887">
            <w:rPr>
              <w:rFonts w:ascii="Garamond" w:hAnsi="Garamond"/>
              <w:sz w:val="24"/>
              <w:szCs w:val="24"/>
            </w:rPr>
            <w:fldChar w:fldCharType="begin"/>
          </w:r>
          <w:r w:rsidR="007A11E6" w:rsidRPr="00C32887">
            <w:rPr>
              <w:rFonts w:ascii="Garamond" w:hAnsi="Garamond"/>
              <w:sz w:val="24"/>
              <w:szCs w:val="24"/>
            </w:rPr>
            <w:instrText xml:space="preserve"> TOC \o "1-3" \h \z \u </w:instrText>
          </w:r>
          <w:r w:rsidRPr="00C32887">
            <w:rPr>
              <w:rFonts w:ascii="Garamond" w:hAnsi="Garamond"/>
              <w:sz w:val="24"/>
              <w:szCs w:val="24"/>
            </w:rPr>
            <w:fldChar w:fldCharType="separate"/>
          </w:r>
          <w:hyperlink w:anchor="_Toc77688185" w:history="1">
            <w:r w:rsidR="002C4371" w:rsidRPr="00D712C9">
              <w:rPr>
                <w:rStyle w:val="Hyperlink"/>
                <w:rFonts w:ascii="Garamond" w:hAnsi="Garamond"/>
                <w:noProof/>
              </w:rPr>
              <w:t>Contents</w:t>
            </w:r>
            <w:r w:rsidR="002C4371">
              <w:rPr>
                <w:noProof/>
                <w:webHidden/>
              </w:rPr>
              <w:tab/>
            </w:r>
            <w:r>
              <w:rPr>
                <w:noProof/>
                <w:webHidden/>
              </w:rPr>
              <w:fldChar w:fldCharType="begin"/>
            </w:r>
            <w:r w:rsidR="002C4371">
              <w:rPr>
                <w:noProof/>
                <w:webHidden/>
              </w:rPr>
              <w:instrText xml:space="preserve"> PAGEREF _Toc77688185 \h </w:instrText>
            </w:r>
            <w:r>
              <w:rPr>
                <w:noProof/>
                <w:webHidden/>
              </w:rPr>
            </w:r>
            <w:r>
              <w:rPr>
                <w:noProof/>
                <w:webHidden/>
              </w:rPr>
              <w:fldChar w:fldCharType="separate"/>
            </w:r>
            <w:r w:rsidR="002C4371">
              <w:rPr>
                <w:noProof/>
                <w:webHidden/>
              </w:rPr>
              <w:t>3</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186" w:history="1">
            <w:r w:rsidR="002C4371" w:rsidRPr="00D712C9">
              <w:rPr>
                <w:rStyle w:val="Hyperlink"/>
                <w:rFonts w:ascii="Garamond" w:hAnsi="Garamond"/>
                <w:noProof/>
              </w:rPr>
              <w:t>I GENERAL INFORMATION</w:t>
            </w:r>
            <w:r w:rsidR="002C4371">
              <w:rPr>
                <w:noProof/>
                <w:webHidden/>
              </w:rPr>
              <w:tab/>
            </w:r>
            <w:r>
              <w:rPr>
                <w:noProof/>
                <w:webHidden/>
              </w:rPr>
              <w:fldChar w:fldCharType="begin"/>
            </w:r>
            <w:r w:rsidR="002C4371">
              <w:rPr>
                <w:noProof/>
                <w:webHidden/>
              </w:rPr>
              <w:instrText xml:space="preserve"> PAGEREF _Toc77688186 \h </w:instrText>
            </w:r>
            <w:r>
              <w:rPr>
                <w:noProof/>
                <w:webHidden/>
              </w:rPr>
            </w:r>
            <w:r>
              <w:rPr>
                <w:noProof/>
                <w:webHidden/>
              </w:rPr>
              <w:fldChar w:fldCharType="separate"/>
            </w:r>
            <w:r w:rsidR="002C4371">
              <w:rPr>
                <w:noProof/>
                <w:webHidden/>
              </w:rPr>
              <w:t>5</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187" w:history="1">
            <w:r w:rsidR="002C4371" w:rsidRPr="00D712C9">
              <w:rPr>
                <w:rStyle w:val="Hyperlink"/>
                <w:rFonts w:ascii="Garamond" w:hAnsi="Garamond"/>
                <w:noProof/>
              </w:rPr>
              <w:t>GENERAL OVERVIEW</w:t>
            </w:r>
            <w:r w:rsidR="002C4371">
              <w:rPr>
                <w:noProof/>
                <w:webHidden/>
              </w:rPr>
              <w:tab/>
            </w:r>
            <w:r>
              <w:rPr>
                <w:noProof/>
                <w:webHidden/>
              </w:rPr>
              <w:fldChar w:fldCharType="begin"/>
            </w:r>
            <w:r w:rsidR="002C4371">
              <w:rPr>
                <w:noProof/>
                <w:webHidden/>
              </w:rPr>
              <w:instrText xml:space="preserve"> PAGEREF _Toc77688187 \h </w:instrText>
            </w:r>
            <w:r>
              <w:rPr>
                <w:noProof/>
                <w:webHidden/>
              </w:rPr>
            </w:r>
            <w:r>
              <w:rPr>
                <w:noProof/>
                <w:webHidden/>
              </w:rPr>
              <w:fldChar w:fldCharType="separate"/>
            </w:r>
            <w:r w:rsidR="002C4371">
              <w:rPr>
                <w:noProof/>
                <w:webHidden/>
              </w:rPr>
              <w:t>5</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188" w:history="1">
            <w:r w:rsidR="002C4371" w:rsidRPr="00D712C9">
              <w:rPr>
                <w:rStyle w:val="Hyperlink"/>
                <w:rFonts w:ascii="Garamond" w:hAnsi="Garamond"/>
                <w:noProof/>
              </w:rPr>
              <w:t>DEGREE OF IMPLEMENTATION</w:t>
            </w:r>
            <w:r w:rsidR="002C4371">
              <w:rPr>
                <w:noProof/>
                <w:webHidden/>
              </w:rPr>
              <w:tab/>
            </w:r>
            <w:r>
              <w:rPr>
                <w:noProof/>
                <w:webHidden/>
              </w:rPr>
              <w:fldChar w:fldCharType="begin"/>
            </w:r>
            <w:r w:rsidR="002C4371">
              <w:rPr>
                <w:noProof/>
                <w:webHidden/>
              </w:rPr>
              <w:instrText xml:space="preserve"> PAGEREF _Toc77688188 \h </w:instrText>
            </w:r>
            <w:r>
              <w:rPr>
                <w:noProof/>
                <w:webHidden/>
              </w:rPr>
            </w:r>
            <w:r>
              <w:rPr>
                <w:noProof/>
                <w:webHidden/>
              </w:rPr>
              <w:fldChar w:fldCharType="separate"/>
            </w:r>
            <w:r w:rsidR="002C4371">
              <w:rPr>
                <w:noProof/>
                <w:webHidden/>
              </w:rPr>
              <w:t>7</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189" w:history="1">
            <w:r w:rsidR="002C4371" w:rsidRPr="00D712C9">
              <w:rPr>
                <w:rStyle w:val="Hyperlink"/>
                <w:rFonts w:ascii="Garamond" w:hAnsi="Garamond"/>
                <w:noProof/>
              </w:rPr>
              <w:t>KEY ACHIEVEMENTS</w:t>
            </w:r>
            <w:r w:rsidR="002C4371">
              <w:rPr>
                <w:noProof/>
                <w:webHidden/>
              </w:rPr>
              <w:tab/>
            </w:r>
            <w:r>
              <w:rPr>
                <w:noProof/>
                <w:webHidden/>
              </w:rPr>
              <w:fldChar w:fldCharType="begin"/>
            </w:r>
            <w:r w:rsidR="002C4371">
              <w:rPr>
                <w:noProof/>
                <w:webHidden/>
              </w:rPr>
              <w:instrText xml:space="preserve"> PAGEREF _Toc77688189 \h </w:instrText>
            </w:r>
            <w:r>
              <w:rPr>
                <w:noProof/>
                <w:webHidden/>
              </w:rPr>
            </w:r>
            <w:r>
              <w:rPr>
                <w:noProof/>
                <w:webHidden/>
              </w:rPr>
              <w:fldChar w:fldCharType="separate"/>
            </w:r>
            <w:r w:rsidR="002C4371">
              <w:rPr>
                <w:noProof/>
                <w:webHidden/>
              </w:rPr>
              <w:t>9</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190" w:history="1">
            <w:r w:rsidR="002C4371" w:rsidRPr="00D712C9">
              <w:rPr>
                <w:rStyle w:val="Hyperlink"/>
                <w:rFonts w:ascii="Garamond" w:hAnsi="Garamond"/>
                <w:noProof/>
              </w:rPr>
              <w:t>CHALLENGES IN IMPLEMENTATION</w:t>
            </w:r>
            <w:r w:rsidR="002C4371">
              <w:rPr>
                <w:noProof/>
                <w:webHidden/>
              </w:rPr>
              <w:tab/>
            </w:r>
            <w:r>
              <w:rPr>
                <w:noProof/>
                <w:webHidden/>
              </w:rPr>
              <w:fldChar w:fldCharType="begin"/>
            </w:r>
            <w:r w:rsidR="002C4371">
              <w:rPr>
                <w:noProof/>
                <w:webHidden/>
              </w:rPr>
              <w:instrText xml:space="preserve"> PAGEREF _Toc77688190 \h </w:instrText>
            </w:r>
            <w:r>
              <w:rPr>
                <w:noProof/>
                <w:webHidden/>
              </w:rPr>
            </w:r>
            <w:r>
              <w:rPr>
                <w:noProof/>
                <w:webHidden/>
              </w:rPr>
              <w:fldChar w:fldCharType="separate"/>
            </w:r>
            <w:r w:rsidR="002C4371">
              <w:rPr>
                <w:noProof/>
                <w:webHidden/>
              </w:rPr>
              <w:t>10</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191" w:history="1">
            <w:r w:rsidR="002C4371" w:rsidRPr="00D712C9">
              <w:rPr>
                <w:rStyle w:val="Hyperlink"/>
                <w:rFonts w:ascii="Garamond" w:hAnsi="Garamond"/>
                <w:noProof/>
              </w:rPr>
              <w:t>II INFORMATION ON THE STATUS OF PERFORMANCE INDICATORS (OVERVIEW OF ACHIEVED STRATEGIC AND OPERATIONAL OBJECTIVES)</w:t>
            </w:r>
            <w:r w:rsidR="002C4371">
              <w:rPr>
                <w:noProof/>
                <w:webHidden/>
              </w:rPr>
              <w:tab/>
            </w:r>
            <w:r>
              <w:rPr>
                <w:noProof/>
                <w:webHidden/>
              </w:rPr>
              <w:fldChar w:fldCharType="begin"/>
            </w:r>
            <w:r w:rsidR="002C4371">
              <w:rPr>
                <w:noProof/>
                <w:webHidden/>
              </w:rPr>
              <w:instrText xml:space="preserve"> PAGEREF _Toc77688191 \h </w:instrText>
            </w:r>
            <w:r>
              <w:rPr>
                <w:noProof/>
                <w:webHidden/>
              </w:rPr>
            </w:r>
            <w:r>
              <w:rPr>
                <w:noProof/>
                <w:webHidden/>
              </w:rPr>
              <w:fldChar w:fldCharType="separate"/>
            </w:r>
            <w:r w:rsidR="002C4371">
              <w:rPr>
                <w:noProof/>
                <w:webHidden/>
              </w:rPr>
              <w:t>13</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192" w:history="1">
            <w:r w:rsidR="002C4371" w:rsidRPr="00D712C9">
              <w:rPr>
                <w:rStyle w:val="Hyperlink"/>
                <w:rFonts w:ascii="Garamond" w:hAnsi="Garamond"/>
                <w:noProof/>
              </w:rPr>
              <w:t>OBJECTIVE 1 . SUSTAINABLE FISCAL FRAMEWORK, PUBLIC EXPENDITURE PLANNING AND BUDGETING</w:t>
            </w:r>
            <w:r w:rsidR="002C4371">
              <w:rPr>
                <w:noProof/>
                <w:webHidden/>
              </w:rPr>
              <w:tab/>
            </w:r>
            <w:r>
              <w:rPr>
                <w:noProof/>
                <w:webHidden/>
              </w:rPr>
              <w:fldChar w:fldCharType="begin"/>
            </w:r>
            <w:r w:rsidR="002C4371">
              <w:rPr>
                <w:noProof/>
                <w:webHidden/>
              </w:rPr>
              <w:instrText xml:space="preserve"> PAGEREF _Toc77688192 \h </w:instrText>
            </w:r>
            <w:r>
              <w:rPr>
                <w:noProof/>
                <w:webHidden/>
              </w:rPr>
            </w:r>
            <w:r>
              <w:rPr>
                <w:noProof/>
                <w:webHidden/>
              </w:rPr>
              <w:fldChar w:fldCharType="separate"/>
            </w:r>
            <w:r w:rsidR="002C4371">
              <w:rPr>
                <w:noProof/>
                <w:webHidden/>
              </w:rPr>
              <w:t>13</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193" w:history="1">
            <w:r w:rsidR="002C4371" w:rsidRPr="00D712C9">
              <w:rPr>
                <w:rStyle w:val="Hyperlink"/>
                <w:rFonts w:ascii="Garamond" w:hAnsi="Garamond"/>
                <w:noProof/>
              </w:rPr>
              <w:t>PHASED IMPLEMENTATION OF PROGRAMME-BASED BUDGETING</w:t>
            </w:r>
            <w:r w:rsidR="002C4371">
              <w:rPr>
                <w:noProof/>
                <w:webHidden/>
              </w:rPr>
              <w:tab/>
            </w:r>
            <w:r>
              <w:rPr>
                <w:noProof/>
                <w:webHidden/>
              </w:rPr>
              <w:fldChar w:fldCharType="begin"/>
            </w:r>
            <w:r w:rsidR="002C4371">
              <w:rPr>
                <w:noProof/>
                <w:webHidden/>
              </w:rPr>
              <w:instrText xml:space="preserve"> PAGEREF _Toc77688193 \h </w:instrText>
            </w:r>
            <w:r>
              <w:rPr>
                <w:noProof/>
                <w:webHidden/>
              </w:rPr>
            </w:r>
            <w:r>
              <w:rPr>
                <w:noProof/>
                <w:webHidden/>
              </w:rPr>
              <w:fldChar w:fldCharType="separate"/>
            </w:r>
            <w:r w:rsidR="002C4371">
              <w:rPr>
                <w:noProof/>
                <w:webHidden/>
              </w:rPr>
              <w:t>14</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194" w:history="1">
            <w:r w:rsidR="002C4371" w:rsidRPr="00D712C9">
              <w:rPr>
                <w:rStyle w:val="Hyperlink"/>
                <w:rFonts w:ascii="Garamond" w:hAnsi="Garamond"/>
                <w:noProof/>
              </w:rPr>
              <w:t>IMPROVING MODELS FOR MACROECONOMIC PROJECTIONS</w:t>
            </w:r>
            <w:r w:rsidR="002C4371">
              <w:rPr>
                <w:noProof/>
                <w:webHidden/>
              </w:rPr>
              <w:tab/>
            </w:r>
            <w:r>
              <w:rPr>
                <w:noProof/>
                <w:webHidden/>
              </w:rPr>
              <w:fldChar w:fldCharType="begin"/>
            </w:r>
            <w:r w:rsidR="002C4371">
              <w:rPr>
                <w:noProof/>
                <w:webHidden/>
              </w:rPr>
              <w:instrText xml:space="preserve"> PAGEREF _Toc77688194 \h </w:instrText>
            </w:r>
            <w:r>
              <w:rPr>
                <w:noProof/>
                <w:webHidden/>
              </w:rPr>
            </w:r>
            <w:r>
              <w:rPr>
                <w:noProof/>
                <w:webHidden/>
              </w:rPr>
              <w:fldChar w:fldCharType="separate"/>
            </w:r>
            <w:r w:rsidR="002C4371">
              <w:rPr>
                <w:noProof/>
                <w:webHidden/>
              </w:rPr>
              <w:t>20</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195" w:history="1">
            <w:r w:rsidR="002C4371" w:rsidRPr="00D712C9">
              <w:rPr>
                <w:rStyle w:val="Hyperlink"/>
                <w:rFonts w:ascii="Garamond" w:hAnsi="Garamond"/>
                <w:noProof/>
              </w:rPr>
              <w:t>GOAL 2. BUDGET EXECUTION</w:t>
            </w:r>
            <w:r w:rsidR="002C4371">
              <w:rPr>
                <w:noProof/>
                <w:webHidden/>
              </w:rPr>
              <w:tab/>
            </w:r>
            <w:r>
              <w:rPr>
                <w:noProof/>
                <w:webHidden/>
              </w:rPr>
              <w:fldChar w:fldCharType="begin"/>
            </w:r>
            <w:r w:rsidR="002C4371">
              <w:rPr>
                <w:noProof/>
                <w:webHidden/>
              </w:rPr>
              <w:instrText xml:space="preserve"> PAGEREF _Toc77688195 \h </w:instrText>
            </w:r>
            <w:r>
              <w:rPr>
                <w:noProof/>
                <w:webHidden/>
              </w:rPr>
            </w:r>
            <w:r>
              <w:rPr>
                <w:noProof/>
                <w:webHidden/>
              </w:rPr>
              <w:fldChar w:fldCharType="separate"/>
            </w:r>
            <w:r w:rsidR="002C4371">
              <w:rPr>
                <w:noProof/>
                <w:webHidden/>
              </w:rPr>
              <w:t>23</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196" w:history="1">
            <w:r w:rsidR="002C4371" w:rsidRPr="00D712C9">
              <w:rPr>
                <w:rStyle w:val="Hyperlink"/>
                <w:rFonts w:ascii="Garamond" w:hAnsi="Garamond"/>
                <w:noProof/>
              </w:rPr>
              <w:t>TAX ADMINISTRATION</w:t>
            </w:r>
            <w:r w:rsidR="002C4371">
              <w:rPr>
                <w:noProof/>
                <w:webHidden/>
              </w:rPr>
              <w:tab/>
            </w:r>
            <w:r>
              <w:rPr>
                <w:noProof/>
                <w:webHidden/>
              </w:rPr>
              <w:fldChar w:fldCharType="begin"/>
            </w:r>
            <w:r w:rsidR="002C4371">
              <w:rPr>
                <w:noProof/>
                <w:webHidden/>
              </w:rPr>
              <w:instrText xml:space="preserve"> PAGEREF _Toc77688196 \h </w:instrText>
            </w:r>
            <w:r>
              <w:rPr>
                <w:noProof/>
                <w:webHidden/>
              </w:rPr>
            </w:r>
            <w:r>
              <w:rPr>
                <w:noProof/>
                <w:webHidden/>
              </w:rPr>
              <w:fldChar w:fldCharType="separate"/>
            </w:r>
            <w:r w:rsidR="002C4371">
              <w:rPr>
                <w:noProof/>
                <w:webHidden/>
              </w:rPr>
              <w:t>23</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197" w:history="1">
            <w:r w:rsidR="002C4371" w:rsidRPr="00D712C9">
              <w:rPr>
                <w:rStyle w:val="Hyperlink"/>
                <w:rFonts w:ascii="Garamond" w:hAnsi="Garamond"/>
                <w:noProof/>
              </w:rPr>
              <w:t>STRENGTHENING CUSTOMS ADMINISTRATION CAPACITIES</w:t>
            </w:r>
            <w:r w:rsidR="002C4371">
              <w:rPr>
                <w:noProof/>
                <w:webHidden/>
              </w:rPr>
              <w:tab/>
            </w:r>
            <w:r>
              <w:rPr>
                <w:noProof/>
                <w:webHidden/>
              </w:rPr>
              <w:fldChar w:fldCharType="begin"/>
            </w:r>
            <w:r w:rsidR="002C4371">
              <w:rPr>
                <w:noProof/>
                <w:webHidden/>
              </w:rPr>
              <w:instrText xml:space="preserve"> PAGEREF _Toc77688197 \h </w:instrText>
            </w:r>
            <w:r>
              <w:rPr>
                <w:noProof/>
                <w:webHidden/>
              </w:rPr>
            </w:r>
            <w:r>
              <w:rPr>
                <w:noProof/>
                <w:webHidden/>
              </w:rPr>
              <w:fldChar w:fldCharType="separate"/>
            </w:r>
            <w:r w:rsidR="002C4371">
              <w:rPr>
                <w:noProof/>
                <w:webHidden/>
              </w:rPr>
              <w:t>27</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198" w:history="1">
            <w:r w:rsidR="002C4371" w:rsidRPr="00D712C9">
              <w:rPr>
                <w:rStyle w:val="Hyperlink"/>
                <w:rFonts w:ascii="Garamond" w:hAnsi="Garamond"/>
                <w:noProof/>
              </w:rPr>
              <w:t>PUBLIC PROCUREMENT</w:t>
            </w:r>
            <w:r w:rsidR="002C4371">
              <w:rPr>
                <w:noProof/>
                <w:webHidden/>
              </w:rPr>
              <w:tab/>
            </w:r>
            <w:r>
              <w:rPr>
                <w:noProof/>
                <w:webHidden/>
              </w:rPr>
              <w:fldChar w:fldCharType="begin"/>
            </w:r>
            <w:r w:rsidR="002C4371">
              <w:rPr>
                <w:noProof/>
                <w:webHidden/>
              </w:rPr>
              <w:instrText xml:space="preserve"> PAGEREF _Toc77688198 \h </w:instrText>
            </w:r>
            <w:r>
              <w:rPr>
                <w:noProof/>
                <w:webHidden/>
              </w:rPr>
            </w:r>
            <w:r>
              <w:rPr>
                <w:noProof/>
                <w:webHidden/>
              </w:rPr>
              <w:fldChar w:fldCharType="separate"/>
            </w:r>
            <w:r w:rsidR="002C4371">
              <w:rPr>
                <w:noProof/>
                <w:webHidden/>
              </w:rPr>
              <w:t>30</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199" w:history="1">
            <w:r w:rsidR="002C4371" w:rsidRPr="00D712C9">
              <w:rPr>
                <w:rStyle w:val="Hyperlink"/>
                <w:rFonts w:ascii="Garamond" w:hAnsi="Garamond"/>
                <w:noProof/>
              </w:rPr>
              <w:t>STATE AID REFORM</w:t>
            </w:r>
            <w:r w:rsidR="002C4371">
              <w:rPr>
                <w:noProof/>
                <w:webHidden/>
              </w:rPr>
              <w:tab/>
            </w:r>
            <w:r>
              <w:rPr>
                <w:noProof/>
                <w:webHidden/>
              </w:rPr>
              <w:fldChar w:fldCharType="begin"/>
            </w:r>
            <w:r w:rsidR="002C4371">
              <w:rPr>
                <w:noProof/>
                <w:webHidden/>
              </w:rPr>
              <w:instrText xml:space="preserve"> PAGEREF _Toc77688199 \h </w:instrText>
            </w:r>
            <w:r>
              <w:rPr>
                <w:noProof/>
                <w:webHidden/>
              </w:rPr>
            </w:r>
            <w:r>
              <w:rPr>
                <w:noProof/>
                <w:webHidden/>
              </w:rPr>
              <w:fldChar w:fldCharType="separate"/>
            </w:r>
            <w:r w:rsidR="002C4371">
              <w:rPr>
                <w:noProof/>
                <w:webHidden/>
              </w:rPr>
              <w:t>35</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00" w:history="1">
            <w:r w:rsidR="002C4371" w:rsidRPr="00D712C9">
              <w:rPr>
                <w:rStyle w:val="Hyperlink"/>
                <w:rFonts w:ascii="Garamond" w:hAnsi="Garamond"/>
                <w:noProof/>
              </w:rPr>
              <w:t>PUBLIC DEBT MANAGEMENT, DEBT ANALYSIS, CASH MANAGEMENT AND FOREIGN RELATIONS DEPARTMENT REFORM</w:t>
            </w:r>
            <w:r w:rsidR="002C4371">
              <w:rPr>
                <w:noProof/>
                <w:webHidden/>
              </w:rPr>
              <w:tab/>
            </w:r>
            <w:r>
              <w:rPr>
                <w:noProof/>
                <w:webHidden/>
              </w:rPr>
              <w:fldChar w:fldCharType="begin"/>
            </w:r>
            <w:r w:rsidR="002C4371">
              <w:rPr>
                <w:noProof/>
                <w:webHidden/>
              </w:rPr>
              <w:instrText xml:space="preserve"> PAGEREF _Toc77688200 \h </w:instrText>
            </w:r>
            <w:r>
              <w:rPr>
                <w:noProof/>
                <w:webHidden/>
              </w:rPr>
            </w:r>
            <w:r>
              <w:rPr>
                <w:noProof/>
                <w:webHidden/>
              </w:rPr>
              <w:fldChar w:fldCharType="separate"/>
            </w:r>
            <w:r w:rsidR="002C4371">
              <w:rPr>
                <w:noProof/>
                <w:webHidden/>
              </w:rPr>
              <w:t>38</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01" w:history="1">
            <w:r w:rsidR="002C4371" w:rsidRPr="00D712C9">
              <w:rPr>
                <w:rStyle w:val="Hyperlink"/>
                <w:rFonts w:ascii="Garamond" w:hAnsi="Garamond"/>
                <w:noProof/>
              </w:rPr>
              <w:t>OBJECTIVE 3. PUBLIC INTERNAL FINANCIAL CONTROL DEVELOPMENT</w:t>
            </w:r>
            <w:r w:rsidR="002C4371">
              <w:rPr>
                <w:noProof/>
                <w:webHidden/>
              </w:rPr>
              <w:tab/>
            </w:r>
            <w:r>
              <w:rPr>
                <w:noProof/>
                <w:webHidden/>
              </w:rPr>
              <w:fldChar w:fldCharType="begin"/>
            </w:r>
            <w:r w:rsidR="002C4371">
              <w:rPr>
                <w:noProof/>
                <w:webHidden/>
              </w:rPr>
              <w:instrText xml:space="preserve"> PAGEREF _Toc77688201 \h </w:instrText>
            </w:r>
            <w:r>
              <w:rPr>
                <w:noProof/>
                <w:webHidden/>
              </w:rPr>
            </w:r>
            <w:r>
              <w:rPr>
                <w:noProof/>
                <w:webHidden/>
              </w:rPr>
              <w:fldChar w:fldCharType="separate"/>
            </w:r>
            <w:r w:rsidR="002C4371">
              <w:rPr>
                <w:noProof/>
                <w:webHidden/>
              </w:rPr>
              <w:t>40</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02" w:history="1">
            <w:r w:rsidR="002C4371" w:rsidRPr="00D712C9">
              <w:rPr>
                <w:rStyle w:val="Hyperlink"/>
                <w:rFonts w:ascii="Garamond" w:hAnsi="Garamond"/>
                <w:noProof/>
              </w:rPr>
              <w:t>OBJECTIVE 4 TRANSPARENT FINANCIAL REPORTING AND ACCOUNTING</w:t>
            </w:r>
            <w:r w:rsidR="002C4371">
              <w:rPr>
                <w:noProof/>
                <w:webHidden/>
              </w:rPr>
              <w:tab/>
            </w:r>
            <w:r>
              <w:rPr>
                <w:noProof/>
                <w:webHidden/>
              </w:rPr>
              <w:fldChar w:fldCharType="begin"/>
            </w:r>
            <w:r w:rsidR="002C4371">
              <w:rPr>
                <w:noProof/>
                <w:webHidden/>
              </w:rPr>
              <w:instrText xml:space="preserve"> PAGEREF _Toc77688202 \h </w:instrText>
            </w:r>
            <w:r>
              <w:rPr>
                <w:noProof/>
                <w:webHidden/>
              </w:rPr>
            </w:r>
            <w:r>
              <w:rPr>
                <w:noProof/>
                <w:webHidden/>
              </w:rPr>
              <w:fldChar w:fldCharType="separate"/>
            </w:r>
            <w:r w:rsidR="002C4371">
              <w:rPr>
                <w:noProof/>
                <w:webHidden/>
              </w:rPr>
              <w:t>43</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03" w:history="1">
            <w:r w:rsidR="002C4371" w:rsidRPr="00D712C9">
              <w:rPr>
                <w:rStyle w:val="Hyperlink"/>
                <w:rFonts w:ascii="Garamond" w:hAnsi="Garamond"/>
                <w:noProof/>
              </w:rPr>
              <w:t>OBJECTIVE 5. STRENGTHENING EXTERNAL AUDIT CAPACITIES</w:t>
            </w:r>
            <w:r w:rsidR="002C4371">
              <w:rPr>
                <w:noProof/>
                <w:webHidden/>
              </w:rPr>
              <w:tab/>
            </w:r>
            <w:r>
              <w:rPr>
                <w:noProof/>
                <w:webHidden/>
              </w:rPr>
              <w:fldChar w:fldCharType="begin"/>
            </w:r>
            <w:r w:rsidR="002C4371">
              <w:rPr>
                <w:noProof/>
                <w:webHidden/>
              </w:rPr>
              <w:instrText xml:space="preserve"> PAGEREF _Toc77688203 \h </w:instrText>
            </w:r>
            <w:r>
              <w:rPr>
                <w:noProof/>
                <w:webHidden/>
              </w:rPr>
            </w:r>
            <w:r>
              <w:rPr>
                <w:noProof/>
                <w:webHidden/>
              </w:rPr>
              <w:fldChar w:fldCharType="separate"/>
            </w:r>
            <w:r w:rsidR="002C4371">
              <w:rPr>
                <w:noProof/>
                <w:webHidden/>
              </w:rPr>
              <w:t>49</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04" w:history="1">
            <w:r w:rsidR="002C4371" w:rsidRPr="00D712C9">
              <w:rPr>
                <w:rStyle w:val="Hyperlink"/>
                <w:rFonts w:ascii="Garamond" w:hAnsi="Garamond"/>
                <w:noProof/>
              </w:rPr>
              <w:t>STATE AUDIT INSTITUTION</w:t>
            </w:r>
            <w:r w:rsidR="002C4371">
              <w:rPr>
                <w:noProof/>
                <w:webHidden/>
              </w:rPr>
              <w:tab/>
            </w:r>
            <w:r>
              <w:rPr>
                <w:noProof/>
                <w:webHidden/>
              </w:rPr>
              <w:fldChar w:fldCharType="begin"/>
            </w:r>
            <w:r w:rsidR="002C4371">
              <w:rPr>
                <w:noProof/>
                <w:webHidden/>
              </w:rPr>
              <w:instrText xml:space="preserve"> PAGEREF _Toc77688204 \h </w:instrText>
            </w:r>
            <w:r>
              <w:rPr>
                <w:noProof/>
                <w:webHidden/>
              </w:rPr>
            </w:r>
            <w:r>
              <w:rPr>
                <w:noProof/>
                <w:webHidden/>
              </w:rPr>
              <w:fldChar w:fldCharType="separate"/>
            </w:r>
            <w:r w:rsidR="002C4371">
              <w:rPr>
                <w:noProof/>
                <w:webHidden/>
              </w:rPr>
              <w:t>49</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05" w:history="1">
            <w:r w:rsidR="002C4371" w:rsidRPr="00D712C9">
              <w:rPr>
                <w:rStyle w:val="Hyperlink"/>
                <w:rFonts w:ascii="Garamond" w:hAnsi="Garamond"/>
                <w:noProof/>
              </w:rPr>
              <w:t>AUDIT AUTHORITY</w:t>
            </w:r>
            <w:r w:rsidR="002C4371">
              <w:rPr>
                <w:noProof/>
                <w:webHidden/>
              </w:rPr>
              <w:tab/>
            </w:r>
            <w:r>
              <w:rPr>
                <w:noProof/>
                <w:webHidden/>
              </w:rPr>
              <w:fldChar w:fldCharType="begin"/>
            </w:r>
            <w:r w:rsidR="002C4371">
              <w:rPr>
                <w:noProof/>
                <w:webHidden/>
              </w:rPr>
              <w:instrText xml:space="preserve"> PAGEREF _Toc77688205 \h </w:instrText>
            </w:r>
            <w:r>
              <w:rPr>
                <w:noProof/>
                <w:webHidden/>
              </w:rPr>
            </w:r>
            <w:r>
              <w:rPr>
                <w:noProof/>
                <w:webHidden/>
              </w:rPr>
              <w:fldChar w:fldCharType="separate"/>
            </w:r>
            <w:r w:rsidR="002C4371">
              <w:rPr>
                <w:noProof/>
                <w:webHidden/>
              </w:rPr>
              <w:t>51</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206" w:history="1">
            <w:r w:rsidR="002C4371" w:rsidRPr="00D712C9">
              <w:rPr>
                <w:rStyle w:val="Hyperlink"/>
                <w:rFonts w:ascii="Garamond" w:hAnsi="Garamond"/>
                <w:noProof/>
              </w:rPr>
              <w:t>III TABLE FOR REPORTING ON IMPLEMENTATION OF AP FOR THE LAST YEAR OF IMPLEMENTATION OF THE STRATEGIC DOCUMENT</w:t>
            </w:r>
            <w:r w:rsidR="002C4371">
              <w:rPr>
                <w:noProof/>
                <w:webHidden/>
              </w:rPr>
              <w:tab/>
            </w:r>
            <w:r>
              <w:rPr>
                <w:noProof/>
                <w:webHidden/>
              </w:rPr>
              <w:fldChar w:fldCharType="begin"/>
            </w:r>
            <w:r w:rsidR="002C4371">
              <w:rPr>
                <w:noProof/>
                <w:webHidden/>
              </w:rPr>
              <w:instrText xml:space="preserve"> PAGEREF _Toc77688206 \h </w:instrText>
            </w:r>
            <w:r>
              <w:rPr>
                <w:noProof/>
                <w:webHidden/>
              </w:rPr>
            </w:r>
            <w:r>
              <w:rPr>
                <w:noProof/>
                <w:webHidden/>
              </w:rPr>
              <w:fldChar w:fldCharType="separate"/>
            </w:r>
            <w:r w:rsidR="002C4371">
              <w:rPr>
                <w:noProof/>
                <w:webHidden/>
              </w:rPr>
              <w:t>54</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07" w:history="1">
            <w:r w:rsidR="002C4371" w:rsidRPr="00D712C9">
              <w:rPr>
                <w:rStyle w:val="Hyperlink"/>
                <w:rFonts w:ascii="Garamond" w:hAnsi="Garamond"/>
                <w:noProof/>
              </w:rPr>
              <w:t>IMPLEMENTATION OF DONOR FUNDS</w:t>
            </w:r>
            <w:r w:rsidR="002C4371">
              <w:rPr>
                <w:noProof/>
                <w:webHidden/>
              </w:rPr>
              <w:tab/>
            </w:r>
            <w:r>
              <w:rPr>
                <w:noProof/>
                <w:webHidden/>
              </w:rPr>
              <w:fldChar w:fldCharType="begin"/>
            </w:r>
            <w:r w:rsidR="002C4371">
              <w:rPr>
                <w:noProof/>
                <w:webHidden/>
              </w:rPr>
              <w:instrText xml:space="preserve"> PAGEREF _Toc77688207 \h </w:instrText>
            </w:r>
            <w:r>
              <w:rPr>
                <w:noProof/>
                <w:webHidden/>
              </w:rPr>
            </w:r>
            <w:r>
              <w:rPr>
                <w:noProof/>
                <w:webHidden/>
              </w:rPr>
              <w:fldChar w:fldCharType="separate"/>
            </w:r>
            <w:r w:rsidR="002C4371">
              <w:rPr>
                <w:noProof/>
                <w:webHidden/>
              </w:rPr>
              <w:t>82</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208" w:history="1">
            <w:r w:rsidR="002C4371" w:rsidRPr="00D712C9">
              <w:rPr>
                <w:rStyle w:val="Hyperlink"/>
                <w:rFonts w:ascii="Garamond" w:hAnsi="Garamond"/>
                <w:noProof/>
              </w:rPr>
              <w:t>IV RECOMMENDATIONS FOR THE NEXT PHASES OF THE PROGRAMME IMPLEMENTATION</w:t>
            </w:r>
            <w:r w:rsidR="002C4371">
              <w:rPr>
                <w:noProof/>
                <w:webHidden/>
              </w:rPr>
              <w:tab/>
            </w:r>
            <w:r>
              <w:rPr>
                <w:noProof/>
                <w:webHidden/>
              </w:rPr>
              <w:fldChar w:fldCharType="begin"/>
            </w:r>
            <w:r w:rsidR="002C4371">
              <w:rPr>
                <w:noProof/>
                <w:webHidden/>
              </w:rPr>
              <w:instrText xml:space="preserve"> PAGEREF _Toc77688208 \h </w:instrText>
            </w:r>
            <w:r>
              <w:rPr>
                <w:noProof/>
                <w:webHidden/>
              </w:rPr>
            </w:r>
            <w:r>
              <w:rPr>
                <w:noProof/>
                <w:webHidden/>
              </w:rPr>
              <w:fldChar w:fldCharType="separate"/>
            </w:r>
            <w:r w:rsidR="002C4371">
              <w:rPr>
                <w:noProof/>
                <w:webHidden/>
              </w:rPr>
              <w:t>83</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209" w:history="1">
            <w:r w:rsidR="002C4371" w:rsidRPr="00D712C9">
              <w:rPr>
                <w:rStyle w:val="Hyperlink"/>
                <w:rFonts w:ascii="Garamond" w:hAnsi="Garamond"/>
                <w:noProof/>
              </w:rPr>
              <w:t>APPENDIX 1 – PERFORMANCE INDICATOR PASSPORTS FOR THE 2016-2020 PUBLIC FINANCE MANAGEMENT REFORM PROGRAMME</w:t>
            </w:r>
            <w:r w:rsidR="002C4371">
              <w:rPr>
                <w:noProof/>
                <w:webHidden/>
              </w:rPr>
              <w:tab/>
            </w:r>
            <w:r>
              <w:rPr>
                <w:noProof/>
                <w:webHidden/>
              </w:rPr>
              <w:fldChar w:fldCharType="begin"/>
            </w:r>
            <w:r w:rsidR="002C4371">
              <w:rPr>
                <w:noProof/>
                <w:webHidden/>
              </w:rPr>
              <w:instrText xml:space="preserve"> PAGEREF _Toc77688209 \h </w:instrText>
            </w:r>
            <w:r>
              <w:rPr>
                <w:noProof/>
                <w:webHidden/>
              </w:rPr>
            </w:r>
            <w:r>
              <w:rPr>
                <w:noProof/>
                <w:webHidden/>
              </w:rPr>
              <w:fldChar w:fldCharType="separate"/>
            </w:r>
            <w:r w:rsidR="002C4371">
              <w:rPr>
                <w:noProof/>
                <w:webHidden/>
              </w:rPr>
              <w:t>86</w:t>
            </w:r>
            <w:r>
              <w:rPr>
                <w:noProof/>
                <w:webHidden/>
              </w:rPr>
              <w:fldChar w:fldCharType="end"/>
            </w:r>
          </w:hyperlink>
        </w:p>
        <w:p w:rsidR="002C4371" w:rsidRDefault="00613C2B">
          <w:pPr>
            <w:pStyle w:val="TOC1"/>
            <w:tabs>
              <w:tab w:val="left" w:pos="660"/>
              <w:tab w:val="right" w:leader="dot" w:pos="9350"/>
            </w:tabs>
            <w:rPr>
              <w:rFonts w:asciiTheme="minorHAnsi" w:eastAsiaTheme="minorEastAsia" w:hAnsiTheme="minorHAnsi" w:cstheme="minorBidi"/>
              <w:noProof/>
              <w:lang w:eastAsia="ja-JP" w:bidi="ar-SA"/>
            </w:rPr>
          </w:pPr>
          <w:hyperlink w:anchor="_Toc77688210" w:history="1">
            <w:r w:rsidR="002C4371" w:rsidRPr="00D712C9">
              <w:rPr>
                <w:rStyle w:val="Hyperlink"/>
                <w:rFonts w:ascii="Garamond" w:hAnsi="Garamond"/>
                <w:noProof/>
              </w:rPr>
              <w:t>1.</w:t>
            </w:r>
            <w:r w:rsidR="002C4371">
              <w:rPr>
                <w:rFonts w:asciiTheme="minorHAnsi" w:eastAsiaTheme="minorEastAsia" w:hAnsiTheme="minorHAnsi" w:cstheme="minorBidi"/>
                <w:noProof/>
                <w:lang w:eastAsia="ja-JP" w:bidi="ar-SA"/>
              </w:rPr>
              <w:tab/>
            </w:r>
            <w:r w:rsidR="002C4371" w:rsidRPr="00D712C9">
              <w:rPr>
                <w:rStyle w:val="Hyperlink"/>
                <w:rFonts w:ascii="Garamond" w:hAnsi="Garamond"/>
                <w:noProof/>
              </w:rPr>
              <w:t>SUSTAINABLE FISCAL FRAMEWORK, PUBLIC EXPENDITURE PLANNING AND BUDGETING</w:t>
            </w:r>
            <w:r w:rsidR="002C4371">
              <w:rPr>
                <w:noProof/>
                <w:webHidden/>
              </w:rPr>
              <w:tab/>
            </w:r>
            <w:r>
              <w:rPr>
                <w:noProof/>
                <w:webHidden/>
              </w:rPr>
              <w:fldChar w:fldCharType="begin"/>
            </w:r>
            <w:r w:rsidR="002C4371">
              <w:rPr>
                <w:noProof/>
                <w:webHidden/>
              </w:rPr>
              <w:instrText xml:space="preserve"> PAGEREF _Toc77688210 \h </w:instrText>
            </w:r>
            <w:r>
              <w:rPr>
                <w:noProof/>
                <w:webHidden/>
              </w:rPr>
            </w:r>
            <w:r>
              <w:rPr>
                <w:noProof/>
                <w:webHidden/>
              </w:rPr>
              <w:fldChar w:fldCharType="separate"/>
            </w:r>
            <w:r w:rsidR="002C4371">
              <w:rPr>
                <w:noProof/>
                <w:webHidden/>
              </w:rPr>
              <w:t>87</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11" w:history="1">
            <w:r w:rsidR="002C4371" w:rsidRPr="00D712C9">
              <w:rPr>
                <w:rStyle w:val="Hyperlink"/>
                <w:rFonts w:ascii="Garamond" w:hAnsi="Garamond"/>
                <w:noProof/>
              </w:rPr>
              <w:t>1.1     Medium-term budgetary framework, including fiscal strategy</w:t>
            </w:r>
            <w:r w:rsidR="002C4371">
              <w:rPr>
                <w:noProof/>
                <w:webHidden/>
              </w:rPr>
              <w:tab/>
            </w:r>
            <w:r>
              <w:rPr>
                <w:noProof/>
                <w:webHidden/>
              </w:rPr>
              <w:fldChar w:fldCharType="begin"/>
            </w:r>
            <w:r w:rsidR="002C4371">
              <w:rPr>
                <w:noProof/>
                <w:webHidden/>
              </w:rPr>
              <w:instrText xml:space="preserve"> PAGEREF _Toc77688211 \h </w:instrText>
            </w:r>
            <w:r>
              <w:rPr>
                <w:noProof/>
                <w:webHidden/>
              </w:rPr>
            </w:r>
            <w:r>
              <w:rPr>
                <w:noProof/>
                <w:webHidden/>
              </w:rPr>
              <w:fldChar w:fldCharType="separate"/>
            </w:r>
            <w:r w:rsidR="002C4371">
              <w:rPr>
                <w:noProof/>
                <w:webHidden/>
              </w:rPr>
              <w:t>87</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12" w:history="1">
            <w:r w:rsidR="002C4371" w:rsidRPr="00D712C9">
              <w:rPr>
                <w:rStyle w:val="Hyperlink"/>
                <w:rFonts w:ascii="Garamond" w:hAnsi="Garamond"/>
                <w:noProof/>
              </w:rPr>
              <w:t>1.1.1      PERFORMANCE INDICATOR 1 PASSPORT</w:t>
            </w:r>
            <w:r w:rsidR="002C4371">
              <w:rPr>
                <w:noProof/>
                <w:webHidden/>
              </w:rPr>
              <w:tab/>
            </w:r>
            <w:r>
              <w:rPr>
                <w:noProof/>
                <w:webHidden/>
              </w:rPr>
              <w:fldChar w:fldCharType="begin"/>
            </w:r>
            <w:r w:rsidR="002C4371">
              <w:rPr>
                <w:noProof/>
                <w:webHidden/>
              </w:rPr>
              <w:instrText xml:space="preserve"> PAGEREF _Toc77688212 \h </w:instrText>
            </w:r>
            <w:r>
              <w:rPr>
                <w:noProof/>
                <w:webHidden/>
              </w:rPr>
            </w:r>
            <w:r>
              <w:rPr>
                <w:noProof/>
                <w:webHidden/>
              </w:rPr>
              <w:fldChar w:fldCharType="separate"/>
            </w:r>
            <w:r w:rsidR="002C4371">
              <w:rPr>
                <w:noProof/>
                <w:webHidden/>
              </w:rPr>
              <w:t>87</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13" w:history="1">
            <w:r w:rsidR="002C4371" w:rsidRPr="00D712C9">
              <w:rPr>
                <w:rStyle w:val="Hyperlink"/>
                <w:rFonts w:ascii="Garamond" w:hAnsi="Garamond"/>
                <w:noProof/>
              </w:rPr>
              <w:t>1.1.2      PERFORMANCE INDICATOR 2 PASSPORT</w:t>
            </w:r>
            <w:r w:rsidR="002C4371">
              <w:rPr>
                <w:noProof/>
                <w:webHidden/>
              </w:rPr>
              <w:tab/>
            </w:r>
            <w:r>
              <w:rPr>
                <w:noProof/>
                <w:webHidden/>
              </w:rPr>
              <w:fldChar w:fldCharType="begin"/>
            </w:r>
            <w:r w:rsidR="002C4371">
              <w:rPr>
                <w:noProof/>
                <w:webHidden/>
              </w:rPr>
              <w:instrText xml:space="preserve"> PAGEREF _Toc77688213 \h </w:instrText>
            </w:r>
            <w:r>
              <w:rPr>
                <w:noProof/>
                <w:webHidden/>
              </w:rPr>
            </w:r>
            <w:r>
              <w:rPr>
                <w:noProof/>
                <w:webHidden/>
              </w:rPr>
              <w:fldChar w:fldCharType="separate"/>
            </w:r>
            <w:r w:rsidR="002C4371">
              <w:rPr>
                <w:noProof/>
                <w:webHidden/>
              </w:rPr>
              <w:t>88</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14" w:history="1">
            <w:r w:rsidR="002C4371" w:rsidRPr="00D712C9">
              <w:rPr>
                <w:rStyle w:val="Hyperlink"/>
                <w:rFonts w:ascii="Garamond" w:hAnsi="Garamond"/>
                <w:noProof/>
              </w:rPr>
              <w:t>1.1.3      PERFORMANCE INDICATOR 3 PASSPORT</w:t>
            </w:r>
            <w:r w:rsidR="002C4371">
              <w:rPr>
                <w:noProof/>
                <w:webHidden/>
              </w:rPr>
              <w:tab/>
            </w:r>
            <w:r>
              <w:rPr>
                <w:noProof/>
                <w:webHidden/>
              </w:rPr>
              <w:fldChar w:fldCharType="begin"/>
            </w:r>
            <w:r w:rsidR="002C4371">
              <w:rPr>
                <w:noProof/>
                <w:webHidden/>
              </w:rPr>
              <w:instrText xml:space="preserve"> PAGEREF _Toc77688214 \h </w:instrText>
            </w:r>
            <w:r>
              <w:rPr>
                <w:noProof/>
                <w:webHidden/>
              </w:rPr>
            </w:r>
            <w:r>
              <w:rPr>
                <w:noProof/>
                <w:webHidden/>
              </w:rPr>
              <w:fldChar w:fldCharType="separate"/>
            </w:r>
            <w:r w:rsidR="002C4371">
              <w:rPr>
                <w:noProof/>
                <w:webHidden/>
              </w:rPr>
              <w:t>88</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15" w:history="1">
            <w:r w:rsidR="002C4371" w:rsidRPr="00D712C9">
              <w:rPr>
                <w:rStyle w:val="Hyperlink"/>
                <w:rFonts w:ascii="Garamond" w:hAnsi="Garamond"/>
                <w:noProof/>
              </w:rPr>
              <w:t>1.2     Annual budgeting</w:t>
            </w:r>
            <w:r w:rsidR="002C4371">
              <w:rPr>
                <w:noProof/>
                <w:webHidden/>
              </w:rPr>
              <w:tab/>
            </w:r>
            <w:r>
              <w:rPr>
                <w:noProof/>
                <w:webHidden/>
              </w:rPr>
              <w:fldChar w:fldCharType="begin"/>
            </w:r>
            <w:r w:rsidR="002C4371">
              <w:rPr>
                <w:noProof/>
                <w:webHidden/>
              </w:rPr>
              <w:instrText xml:space="preserve"> PAGEREF _Toc77688215 \h </w:instrText>
            </w:r>
            <w:r>
              <w:rPr>
                <w:noProof/>
                <w:webHidden/>
              </w:rPr>
            </w:r>
            <w:r>
              <w:rPr>
                <w:noProof/>
                <w:webHidden/>
              </w:rPr>
              <w:fldChar w:fldCharType="separate"/>
            </w:r>
            <w:r w:rsidR="002C4371">
              <w:rPr>
                <w:noProof/>
                <w:webHidden/>
              </w:rPr>
              <w:t>89</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16" w:history="1">
            <w:r w:rsidR="002C4371" w:rsidRPr="00D712C9">
              <w:rPr>
                <w:rStyle w:val="Hyperlink"/>
                <w:rFonts w:ascii="Garamond" w:hAnsi="Garamond"/>
                <w:noProof/>
              </w:rPr>
              <w:t>1.2.1      PERFORMANCE INDICATOR 4 PASSPORT</w:t>
            </w:r>
            <w:r w:rsidR="002C4371">
              <w:rPr>
                <w:noProof/>
                <w:webHidden/>
              </w:rPr>
              <w:tab/>
            </w:r>
            <w:r>
              <w:rPr>
                <w:noProof/>
                <w:webHidden/>
              </w:rPr>
              <w:fldChar w:fldCharType="begin"/>
            </w:r>
            <w:r w:rsidR="002C4371">
              <w:rPr>
                <w:noProof/>
                <w:webHidden/>
              </w:rPr>
              <w:instrText xml:space="preserve"> PAGEREF _Toc77688216 \h </w:instrText>
            </w:r>
            <w:r>
              <w:rPr>
                <w:noProof/>
                <w:webHidden/>
              </w:rPr>
            </w:r>
            <w:r>
              <w:rPr>
                <w:noProof/>
                <w:webHidden/>
              </w:rPr>
              <w:fldChar w:fldCharType="separate"/>
            </w:r>
            <w:r w:rsidR="002C4371">
              <w:rPr>
                <w:noProof/>
                <w:webHidden/>
              </w:rPr>
              <w:t>89</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17" w:history="1">
            <w:r w:rsidR="002C4371" w:rsidRPr="00D712C9">
              <w:rPr>
                <w:rStyle w:val="Hyperlink"/>
                <w:rFonts w:ascii="Garamond" w:hAnsi="Garamond"/>
                <w:noProof/>
              </w:rPr>
              <w:t>1.2.2      PERFORMANCE INDICATOR 5 PASSPORT</w:t>
            </w:r>
            <w:r w:rsidR="002C4371">
              <w:rPr>
                <w:noProof/>
                <w:webHidden/>
              </w:rPr>
              <w:tab/>
            </w:r>
            <w:r>
              <w:rPr>
                <w:noProof/>
                <w:webHidden/>
              </w:rPr>
              <w:fldChar w:fldCharType="begin"/>
            </w:r>
            <w:r w:rsidR="002C4371">
              <w:rPr>
                <w:noProof/>
                <w:webHidden/>
              </w:rPr>
              <w:instrText xml:space="preserve"> PAGEREF _Toc77688217 \h </w:instrText>
            </w:r>
            <w:r>
              <w:rPr>
                <w:noProof/>
                <w:webHidden/>
              </w:rPr>
            </w:r>
            <w:r>
              <w:rPr>
                <w:noProof/>
                <w:webHidden/>
              </w:rPr>
              <w:fldChar w:fldCharType="separate"/>
            </w:r>
            <w:r w:rsidR="002C4371">
              <w:rPr>
                <w:noProof/>
                <w:webHidden/>
              </w:rPr>
              <w:t>89</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18" w:history="1">
            <w:r w:rsidR="002C4371" w:rsidRPr="00D712C9">
              <w:rPr>
                <w:rStyle w:val="Hyperlink"/>
                <w:rFonts w:ascii="Garamond" w:hAnsi="Garamond"/>
                <w:noProof/>
              </w:rPr>
              <w:t>1.2.3      PERFORMANCE INDICATOR 6 PASSPORT</w:t>
            </w:r>
            <w:r w:rsidR="002C4371">
              <w:rPr>
                <w:noProof/>
                <w:webHidden/>
              </w:rPr>
              <w:tab/>
            </w:r>
            <w:r>
              <w:rPr>
                <w:noProof/>
                <w:webHidden/>
              </w:rPr>
              <w:fldChar w:fldCharType="begin"/>
            </w:r>
            <w:r w:rsidR="002C4371">
              <w:rPr>
                <w:noProof/>
                <w:webHidden/>
              </w:rPr>
              <w:instrText xml:space="preserve"> PAGEREF _Toc77688218 \h </w:instrText>
            </w:r>
            <w:r>
              <w:rPr>
                <w:noProof/>
                <w:webHidden/>
              </w:rPr>
            </w:r>
            <w:r>
              <w:rPr>
                <w:noProof/>
                <w:webHidden/>
              </w:rPr>
              <w:fldChar w:fldCharType="separate"/>
            </w:r>
            <w:r w:rsidR="002C4371">
              <w:rPr>
                <w:noProof/>
                <w:webHidden/>
              </w:rPr>
              <w:t>90</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19" w:history="1">
            <w:r w:rsidR="002C4371" w:rsidRPr="00D712C9">
              <w:rPr>
                <w:rStyle w:val="Hyperlink"/>
                <w:rFonts w:ascii="Garamond" w:hAnsi="Garamond"/>
                <w:noProof/>
              </w:rPr>
              <w:t>1.3     Capital budget</w:t>
            </w:r>
            <w:r w:rsidR="002C4371">
              <w:rPr>
                <w:noProof/>
                <w:webHidden/>
              </w:rPr>
              <w:tab/>
            </w:r>
            <w:r>
              <w:rPr>
                <w:noProof/>
                <w:webHidden/>
              </w:rPr>
              <w:fldChar w:fldCharType="begin"/>
            </w:r>
            <w:r w:rsidR="002C4371">
              <w:rPr>
                <w:noProof/>
                <w:webHidden/>
              </w:rPr>
              <w:instrText xml:space="preserve"> PAGEREF _Toc77688219 \h </w:instrText>
            </w:r>
            <w:r>
              <w:rPr>
                <w:noProof/>
                <w:webHidden/>
              </w:rPr>
            </w:r>
            <w:r>
              <w:rPr>
                <w:noProof/>
                <w:webHidden/>
              </w:rPr>
              <w:fldChar w:fldCharType="separate"/>
            </w:r>
            <w:r w:rsidR="002C4371">
              <w:rPr>
                <w:noProof/>
                <w:webHidden/>
              </w:rPr>
              <w:t>91</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20" w:history="1">
            <w:r w:rsidR="002C4371" w:rsidRPr="00D712C9">
              <w:rPr>
                <w:rStyle w:val="Hyperlink"/>
                <w:rFonts w:ascii="Garamond" w:hAnsi="Garamond"/>
                <w:noProof/>
              </w:rPr>
              <w:t>1.3.1      PERFORMANCE INDICATOR 7 PASSPORT</w:t>
            </w:r>
            <w:r w:rsidR="002C4371">
              <w:rPr>
                <w:noProof/>
                <w:webHidden/>
              </w:rPr>
              <w:tab/>
            </w:r>
            <w:r>
              <w:rPr>
                <w:noProof/>
                <w:webHidden/>
              </w:rPr>
              <w:fldChar w:fldCharType="begin"/>
            </w:r>
            <w:r w:rsidR="002C4371">
              <w:rPr>
                <w:noProof/>
                <w:webHidden/>
              </w:rPr>
              <w:instrText xml:space="preserve"> PAGEREF _Toc77688220 \h </w:instrText>
            </w:r>
            <w:r>
              <w:rPr>
                <w:noProof/>
                <w:webHidden/>
              </w:rPr>
            </w:r>
            <w:r>
              <w:rPr>
                <w:noProof/>
                <w:webHidden/>
              </w:rPr>
              <w:fldChar w:fldCharType="separate"/>
            </w:r>
            <w:r w:rsidR="002C4371">
              <w:rPr>
                <w:noProof/>
                <w:webHidden/>
              </w:rPr>
              <w:t>91</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21" w:history="1">
            <w:r w:rsidR="002C4371" w:rsidRPr="00D712C9">
              <w:rPr>
                <w:rStyle w:val="Hyperlink"/>
                <w:rFonts w:ascii="Garamond" w:hAnsi="Garamond"/>
                <w:noProof/>
              </w:rPr>
              <w:t>1.3.2      PERFORMANCE INDICATOR 8 PASSPORT</w:t>
            </w:r>
            <w:r w:rsidR="002C4371">
              <w:rPr>
                <w:noProof/>
                <w:webHidden/>
              </w:rPr>
              <w:tab/>
            </w:r>
            <w:r>
              <w:rPr>
                <w:noProof/>
                <w:webHidden/>
              </w:rPr>
              <w:fldChar w:fldCharType="begin"/>
            </w:r>
            <w:r w:rsidR="002C4371">
              <w:rPr>
                <w:noProof/>
                <w:webHidden/>
              </w:rPr>
              <w:instrText xml:space="preserve"> PAGEREF _Toc77688221 \h </w:instrText>
            </w:r>
            <w:r>
              <w:rPr>
                <w:noProof/>
                <w:webHidden/>
              </w:rPr>
            </w:r>
            <w:r>
              <w:rPr>
                <w:noProof/>
                <w:webHidden/>
              </w:rPr>
              <w:fldChar w:fldCharType="separate"/>
            </w:r>
            <w:r w:rsidR="002C4371">
              <w:rPr>
                <w:noProof/>
                <w:webHidden/>
              </w:rPr>
              <w:t>91</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22" w:history="1">
            <w:r w:rsidR="002C4371" w:rsidRPr="00D712C9">
              <w:rPr>
                <w:rStyle w:val="Hyperlink"/>
                <w:rFonts w:ascii="Garamond" w:hAnsi="Garamond"/>
                <w:noProof/>
              </w:rPr>
              <w:t>1.4     Improving models for macroeconomic projections</w:t>
            </w:r>
            <w:r w:rsidR="002C4371">
              <w:rPr>
                <w:noProof/>
                <w:webHidden/>
              </w:rPr>
              <w:tab/>
            </w:r>
            <w:r>
              <w:rPr>
                <w:noProof/>
                <w:webHidden/>
              </w:rPr>
              <w:fldChar w:fldCharType="begin"/>
            </w:r>
            <w:r w:rsidR="002C4371">
              <w:rPr>
                <w:noProof/>
                <w:webHidden/>
              </w:rPr>
              <w:instrText xml:space="preserve"> PAGEREF _Toc77688222 \h </w:instrText>
            </w:r>
            <w:r>
              <w:rPr>
                <w:noProof/>
                <w:webHidden/>
              </w:rPr>
            </w:r>
            <w:r>
              <w:rPr>
                <w:noProof/>
                <w:webHidden/>
              </w:rPr>
              <w:fldChar w:fldCharType="separate"/>
            </w:r>
            <w:r w:rsidR="002C4371">
              <w:rPr>
                <w:noProof/>
                <w:webHidden/>
              </w:rPr>
              <w:t>92</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23" w:history="1">
            <w:r w:rsidR="002C4371" w:rsidRPr="00D712C9">
              <w:rPr>
                <w:rStyle w:val="Hyperlink"/>
                <w:rFonts w:ascii="Garamond" w:hAnsi="Garamond"/>
                <w:noProof/>
              </w:rPr>
              <w:t>1.4.1      PERFORMANCE INDICATOR 9 PASSPORT</w:t>
            </w:r>
            <w:r w:rsidR="002C4371">
              <w:rPr>
                <w:noProof/>
                <w:webHidden/>
              </w:rPr>
              <w:tab/>
            </w:r>
            <w:r>
              <w:rPr>
                <w:noProof/>
                <w:webHidden/>
              </w:rPr>
              <w:fldChar w:fldCharType="begin"/>
            </w:r>
            <w:r w:rsidR="002C4371">
              <w:rPr>
                <w:noProof/>
                <w:webHidden/>
              </w:rPr>
              <w:instrText xml:space="preserve"> PAGEREF _Toc77688223 \h </w:instrText>
            </w:r>
            <w:r>
              <w:rPr>
                <w:noProof/>
                <w:webHidden/>
              </w:rPr>
            </w:r>
            <w:r>
              <w:rPr>
                <w:noProof/>
                <w:webHidden/>
              </w:rPr>
              <w:fldChar w:fldCharType="separate"/>
            </w:r>
            <w:r w:rsidR="002C4371">
              <w:rPr>
                <w:noProof/>
                <w:webHidden/>
              </w:rPr>
              <w:t>92</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24" w:history="1">
            <w:r w:rsidR="002C4371" w:rsidRPr="00D712C9">
              <w:rPr>
                <w:rStyle w:val="Hyperlink"/>
                <w:rFonts w:ascii="Garamond" w:hAnsi="Garamond"/>
                <w:noProof/>
              </w:rPr>
              <w:t>1.4.2      PERFORMANCE INDICATOR 10 PASSPORT</w:t>
            </w:r>
            <w:r w:rsidR="002C4371">
              <w:rPr>
                <w:noProof/>
                <w:webHidden/>
              </w:rPr>
              <w:tab/>
            </w:r>
            <w:r>
              <w:rPr>
                <w:noProof/>
                <w:webHidden/>
              </w:rPr>
              <w:fldChar w:fldCharType="begin"/>
            </w:r>
            <w:r w:rsidR="002C4371">
              <w:rPr>
                <w:noProof/>
                <w:webHidden/>
              </w:rPr>
              <w:instrText xml:space="preserve"> PAGEREF _Toc77688224 \h </w:instrText>
            </w:r>
            <w:r>
              <w:rPr>
                <w:noProof/>
                <w:webHidden/>
              </w:rPr>
            </w:r>
            <w:r>
              <w:rPr>
                <w:noProof/>
                <w:webHidden/>
              </w:rPr>
              <w:fldChar w:fldCharType="separate"/>
            </w:r>
            <w:r w:rsidR="002C4371">
              <w:rPr>
                <w:noProof/>
                <w:webHidden/>
              </w:rPr>
              <w:t>93</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225" w:history="1">
            <w:r w:rsidR="002C4371" w:rsidRPr="00D712C9">
              <w:rPr>
                <w:rStyle w:val="Hyperlink"/>
                <w:rFonts w:ascii="Garamond" w:hAnsi="Garamond"/>
                <w:noProof/>
              </w:rPr>
              <w:t>2.    BUDGET EXECUTION</w:t>
            </w:r>
            <w:r w:rsidR="002C4371">
              <w:rPr>
                <w:noProof/>
                <w:webHidden/>
              </w:rPr>
              <w:tab/>
            </w:r>
            <w:r>
              <w:rPr>
                <w:noProof/>
                <w:webHidden/>
              </w:rPr>
              <w:fldChar w:fldCharType="begin"/>
            </w:r>
            <w:r w:rsidR="002C4371">
              <w:rPr>
                <w:noProof/>
                <w:webHidden/>
              </w:rPr>
              <w:instrText xml:space="preserve"> PAGEREF _Toc77688225 \h </w:instrText>
            </w:r>
            <w:r>
              <w:rPr>
                <w:noProof/>
                <w:webHidden/>
              </w:rPr>
            </w:r>
            <w:r>
              <w:rPr>
                <w:noProof/>
                <w:webHidden/>
              </w:rPr>
              <w:fldChar w:fldCharType="separate"/>
            </w:r>
            <w:r w:rsidR="002C4371">
              <w:rPr>
                <w:noProof/>
                <w:webHidden/>
              </w:rPr>
              <w:t>94</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26" w:history="1">
            <w:r w:rsidR="002C4371" w:rsidRPr="00D712C9">
              <w:rPr>
                <w:rStyle w:val="Hyperlink"/>
                <w:rFonts w:ascii="Garamond" w:hAnsi="Garamond"/>
                <w:noProof/>
              </w:rPr>
              <w:t>2.1     Revenue collection- Tax Administration</w:t>
            </w:r>
            <w:r w:rsidR="002C4371">
              <w:rPr>
                <w:noProof/>
                <w:webHidden/>
              </w:rPr>
              <w:tab/>
            </w:r>
            <w:r>
              <w:rPr>
                <w:noProof/>
                <w:webHidden/>
              </w:rPr>
              <w:fldChar w:fldCharType="begin"/>
            </w:r>
            <w:r w:rsidR="002C4371">
              <w:rPr>
                <w:noProof/>
                <w:webHidden/>
              </w:rPr>
              <w:instrText xml:space="preserve"> PAGEREF _Toc77688226 \h </w:instrText>
            </w:r>
            <w:r>
              <w:rPr>
                <w:noProof/>
                <w:webHidden/>
              </w:rPr>
            </w:r>
            <w:r>
              <w:rPr>
                <w:noProof/>
                <w:webHidden/>
              </w:rPr>
              <w:fldChar w:fldCharType="separate"/>
            </w:r>
            <w:r w:rsidR="002C4371">
              <w:rPr>
                <w:noProof/>
                <w:webHidden/>
              </w:rPr>
              <w:t>94</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27" w:history="1">
            <w:r w:rsidR="002C4371" w:rsidRPr="00D712C9">
              <w:rPr>
                <w:rStyle w:val="Hyperlink"/>
                <w:rFonts w:ascii="Garamond" w:hAnsi="Garamond"/>
                <w:noProof/>
              </w:rPr>
              <w:t>2.1.1      PERFORMANCE INDICATOR 11 PASSPORT</w:t>
            </w:r>
            <w:r w:rsidR="002C4371">
              <w:rPr>
                <w:noProof/>
                <w:webHidden/>
              </w:rPr>
              <w:tab/>
            </w:r>
            <w:r>
              <w:rPr>
                <w:noProof/>
                <w:webHidden/>
              </w:rPr>
              <w:fldChar w:fldCharType="begin"/>
            </w:r>
            <w:r w:rsidR="002C4371">
              <w:rPr>
                <w:noProof/>
                <w:webHidden/>
              </w:rPr>
              <w:instrText xml:space="preserve"> PAGEREF _Toc77688227 \h </w:instrText>
            </w:r>
            <w:r>
              <w:rPr>
                <w:noProof/>
                <w:webHidden/>
              </w:rPr>
            </w:r>
            <w:r>
              <w:rPr>
                <w:noProof/>
                <w:webHidden/>
              </w:rPr>
              <w:fldChar w:fldCharType="separate"/>
            </w:r>
            <w:r w:rsidR="002C4371">
              <w:rPr>
                <w:noProof/>
                <w:webHidden/>
              </w:rPr>
              <w:t>94</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28" w:history="1">
            <w:r w:rsidR="002C4371" w:rsidRPr="00D712C9">
              <w:rPr>
                <w:rStyle w:val="Hyperlink"/>
                <w:rFonts w:ascii="Garamond" w:hAnsi="Garamond"/>
                <w:noProof/>
              </w:rPr>
              <w:t>2.1.2      PERFORMANCE INDICATOR 12 PASSPORT</w:t>
            </w:r>
            <w:r w:rsidR="002C4371">
              <w:rPr>
                <w:noProof/>
                <w:webHidden/>
              </w:rPr>
              <w:tab/>
            </w:r>
            <w:r>
              <w:rPr>
                <w:noProof/>
                <w:webHidden/>
              </w:rPr>
              <w:fldChar w:fldCharType="begin"/>
            </w:r>
            <w:r w:rsidR="002C4371">
              <w:rPr>
                <w:noProof/>
                <w:webHidden/>
              </w:rPr>
              <w:instrText xml:space="preserve"> PAGEREF _Toc77688228 \h </w:instrText>
            </w:r>
            <w:r>
              <w:rPr>
                <w:noProof/>
                <w:webHidden/>
              </w:rPr>
            </w:r>
            <w:r>
              <w:rPr>
                <w:noProof/>
                <w:webHidden/>
              </w:rPr>
              <w:fldChar w:fldCharType="separate"/>
            </w:r>
            <w:r w:rsidR="002C4371">
              <w:rPr>
                <w:noProof/>
                <w:webHidden/>
              </w:rPr>
              <w:t>94</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29" w:history="1">
            <w:r w:rsidR="002C4371" w:rsidRPr="00D712C9">
              <w:rPr>
                <w:rStyle w:val="Hyperlink"/>
                <w:rFonts w:ascii="Garamond" w:hAnsi="Garamond"/>
                <w:noProof/>
              </w:rPr>
              <w:t>2.1.3 PERFORMANCE INDICATOR 13 PASSPORT</w:t>
            </w:r>
            <w:r w:rsidR="002C4371">
              <w:rPr>
                <w:noProof/>
                <w:webHidden/>
              </w:rPr>
              <w:tab/>
            </w:r>
            <w:r>
              <w:rPr>
                <w:noProof/>
                <w:webHidden/>
              </w:rPr>
              <w:fldChar w:fldCharType="begin"/>
            </w:r>
            <w:r w:rsidR="002C4371">
              <w:rPr>
                <w:noProof/>
                <w:webHidden/>
              </w:rPr>
              <w:instrText xml:space="preserve"> PAGEREF _Toc77688229 \h </w:instrText>
            </w:r>
            <w:r>
              <w:rPr>
                <w:noProof/>
                <w:webHidden/>
              </w:rPr>
            </w:r>
            <w:r>
              <w:rPr>
                <w:noProof/>
                <w:webHidden/>
              </w:rPr>
              <w:fldChar w:fldCharType="separate"/>
            </w:r>
            <w:r w:rsidR="002C4371">
              <w:rPr>
                <w:noProof/>
                <w:webHidden/>
              </w:rPr>
              <w:t>96</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30" w:history="1">
            <w:r w:rsidR="002C4371" w:rsidRPr="00D712C9">
              <w:rPr>
                <w:rStyle w:val="Hyperlink"/>
                <w:rFonts w:ascii="Garamond" w:hAnsi="Garamond"/>
                <w:noProof/>
              </w:rPr>
              <w:t>2.1.4 PERFORMANCE INDICATOR 14 PASSPORT</w:t>
            </w:r>
            <w:r w:rsidR="002C4371">
              <w:rPr>
                <w:noProof/>
                <w:webHidden/>
              </w:rPr>
              <w:tab/>
            </w:r>
            <w:r>
              <w:rPr>
                <w:noProof/>
                <w:webHidden/>
              </w:rPr>
              <w:fldChar w:fldCharType="begin"/>
            </w:r>
            <w:r w:rsidR="002C4371">
              <w:rPr>
                <w:noProof/>
                <w:webHidden/>
              </w:rPr>
              <w:instrText xml:space="preserve"> PAGEREF _Toc77688230 \h </w:instrText>
            </w:r>
            <w:r>
              <w:rPr>
                <w:noProof/>
                <w:webHidden/>
              </w:rPr>
            </w:r>
            <w:r>
              <w:rPr>
                <w:noProof/>
                <w:webHidden/>
              </w:rPr>
              <w:fldChar w:fldCharType="separate"/>
            </w:r>
            <w:r w:rsidR="002C4371">
              <w:rPr>
                <w:noProof/>
                <w:webHidden/>
              </w:rPr>
              <w:t>96</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31" w:history="1">
            <w:r w:rsidR="002C4371" w:rsidRPr="00D712C9">
              <w:rPr>
                <w:rStyle w:val="Hyperlink"/>
                <w:rFonts w:ascii="Garamond" w:hAnsi="Garamond"/>
                <w:noProof/>
              </w:rPr>
              <w:t>2.2     Revenue collection - Customs Administration</w:t>
            </w:r>
            <w:r w:rsidR="002C4371">
              <w:rPr>
                <w:noProof/>
                <w:webHidden/>
              </w:rPr>
              <w:tab/>
            </w:r>
            <w:r>
              <w:rPr>
                <w:noProof/>
                <w:webHidden/>
              </w:rPr>
              <w:fldChar w:fldCharType="begin"/>
            </w:r>
            <w:r w:rsidR="002C4371">
              <w:rPr>
                <w:noProof/>
                <w:webHidden/>
              </w:rPr>
              <w:instrText xml:space="preserve"> PAGEREF _Toc77688231 \h </w:instrText>
            </w:r>
            <w:r>
              <w:rPr>
                <w:noProof/>
                <w:webHidden/>
              </w:rPr>
            </w:r>
            <w:r>
              <w:rPr>
                <w:noProof/>
                <w:webHidden/>
              </w:rPr>
              <w:fldChar w:fldCharType="separate"/>
            </w:r>
            <w:r w:rsidR="002C4371">
              <w:rPr>
                <w:noProof/>
                <w:webHidden/>
              </w:rPr>
              <w:t>97</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32" w:history="1">
            <w:r w:rsidR="002C4371" w:rsidRPr="00D712C9">
              <w:rPr>
                <w:rStyle w:val="Hyperlink"/>
                <w:rFonts w:ascii="Garamond" w:hAnsi="Garamond"/>
                <w:noProof/>
              </w:rPr>
              <w:t>2.2.1      PERFORMANCE INDICATOR 15 PASSPORT</w:t>
            </w:r>
            <w:r w:rsidR="002C4371">
              <w:rPr>
                <w:noProof/>
                <w:webHidden/>
              </w:rPr>
              <w:tab/>
            </w:r>
            <w:r>
              <w:rPr>
                <w:noProof/>
                <w:webHidden/>
              </w:rPr>
              <w:fldChar w:fldCharType="begin"/>
            </w:r>
            <w:r w:rsidR="002C4371">
              <w:rPr>
                <w:noProof/>
                <w:webHidden/>
              </w:rPr>
              <w:instrText xml:space="preserve"> PAGEREF _Toc77688232 \h </w:instrText>
            </w:r>
            <w:r>
              <w:rPr>
                <w:noProof/>
                <w:webHidden/>
              </w:rPr>
            </w:r>
            <w:r>
              <w:rPr>
                <w:noProof/>
                <w:webHidden/>
              </w:rPr>
              <w:fldChar w:fldCharType="separate"/>
            </w:r>
            <w:r w:rsidR="002C4371">
              <w:rPr>
                <w:noProof/>
                <w:webHidden/>
              </w:rPr>
              <w:t>97</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33" w:history="1">
            <w:r w:rsidR="002C4371" w:rsidRPr="00D712C9">
              <w:rPr>
                <w:rStyle w:val="Hyperlink"/>
                <w:rFonts w:ascii="Garamond" w:hAnsi="Garamond"/>
                <w:noProof/>
              </w:rPr>
              <w:t>2.2.2      PERFORMANCE INDICATOR 16 PASSPORT</w:t>
            </w:r>
            <w:r w:rsidR="002C4371">
              <w:rPr>
                <w:noProof/>
                <w:webHidden/>
              </w:rPr>
              <w:tab/>
            </w:r>
            <w:r>
              <w:rPr>
                <w:noProof/>
                <w:webHidden/>
              </w:rPr>
              <w:fldChar w:fldCharType="begin"/>
            </w:r>
            <w:r w:rsidR="002C4371">
              <w:rPr>
                <w:noProof/>
                <w:webHidden/>
              </w:rPr>
              <w:instrText xml:space="preserve"> PAGEREF _Toc77688233 \h </w:instrText>
            </w:r>
            <w:r>
              <w:rPr>
                <w:noProof/>
                <w:webHidden/>
              </w:rPr>
            </w:r>
            <w:r>
              <w:rPr>
                <w:noProof/>
                <w:webHidden/>
              </w:rPr>
              <w:fldChar w:fldCharType="separate"/>
            </w:r>
            <w:r w:rsidR="002C4371">
              <w:rPr>
                <w:noProof/>
                <w:webHidden/>
              </w:rPr>
              <w:t>97</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34" w:history="1">
            <w:r w:rsidR="002C4371" w:rsidRPr="00D712C9">
              <w:rPr>
                <w:rStyle w:val="Hyperlink"/>
                <w:rFonts w:ascii="Garamond" w:hAnsi="Garamond"/>
                <w:noProof/>
              </w:rPr>
              <w:t>2.3     Revenue collection - Public procurement</w:t>
            </w:r>
            <w:r w:rsidR="002C4371">
              <w:rPr>
                <w:noProof/>
                <w:webHidden/>
              </w:rPr>
              <w:tab/>
            </w:r>
            <w:r>
              <w:rPr>
                <w:noProof/>
                <w:webHidden/>
              </w:rPr>
              <w:fldChar w:fldCharType="begin"/>
            </w:r>
            <w:r w:rsidR="002C4371">
              <w:rPr>
                <w:noProof/>
                <w:webHidden/>
              </w:rPr>
              <w:instrText xml:space="preserve"> PAGEREF _Toc77688234 \h </w:instrText>
            </w:r>
            <w:r>
              <w:rPr>
                <w:noProof/>
                <w:webHidden/>
              </w:rPr>
            </w:r>
            <w:r>
              <w:rPr>
                <w:noProof/>
                <w:webHidden/>
              </w:rPr>
              <w:fldChar w:fldCharType="separate"/>
            </w:r>
            <w:r w:rsidR="002C4371">
              <w:rPr>
                <w:noProof/>
                <w:webHidden/>
              </w:rPr>
              <w:t>98</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35" w:history="1">
            <w:r w:rsidR="002C4371" w:rsidRPr="00D712C9">
              <w:rPr>
                <w:rStyle w:val="Hyperlink"/>
                <w:rFonts w:ascii="Garamond" w:hAnsi="Garamond"/>
                <w:noProof/>
              </w:rPr>
              <w:t>2.3.1      PERFORMANCE INDICATOR 17 PASSPORT</w:t>
            </w:r>
            <w:r w:rsidR="002C4371">
              <w:rPr>
                <w:noProof/>
                <w:webHidden/>
              </w:rPr>
              <w:tab/>
            </w:r>
            <w:r>
              <w:rPr>
                <w:noProof/>
                <w:webHidden/>
              </w:rPr>
              <w:fldChar w:fldCharType="begin"/>
            </w:r>
            <w:r w:rsidR="002C4371">
              <w:rPr>
                <w:noProof/>
                <w:webHidden/>
              </w:rPr>
              <w:instrText xml:space="preserve"> PAGEREF _Toc77688235 \h </w:instrText>
            </w:r>
            <w:r>
              <w:rPr>
                <w:noProof/>
                <w:webHidden/>
              </w:rPr>
            </w:r>
            <w:r>
              <w:rPr>
                <w:noProof/>
                <w:webHidden/>
              </w:rPr>
              <w:fldChar w:fldCharType="separate"/>
            </w:r>
            <w:r w:rsidR="002C4371">
              <w:rPr>
                <w:noProof/>
                <w:webHidden/>
              </w:rPr>
              <w:t>98</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36" w:history="1">
            <w:r w:rsidR="002C4371" w:rsidRPr="00D712C9">
              <w:rPr>
                <w:rStyle w:val="Hyperlink"/>
                <w:rFonts w:ascii="Garamond" w:hAnsi="Garamond"/>
                <w:noProof/>
              </w:rPr>
              <w:t>2.3.2      PERFORMANCE INDICATOR 18 PASSPORT</w:t>
            </w:r>
            <w:r w:rsidR="002C4371">
              <w:rPr>
                <w:noProof/>
                <w:webHidden/>
              </w:rPr>
              <w:tab/>
            </w:r>
            <w:r>
              <w:rPr>
                <w:noProof/>
                <w:webHidden/>
              </w:rPr>
              <w:fldChar w:fldCharType="begin"/>
            </w:r>
            <w:r w:rsidR="002C4371">
              <w:rPr>
                <w:noProof/>
                <w:webHidden/>
              </w:rPr>
              <w:instrText xml:space="preserve"> PAGEREF _Toc77688236 \h </w:instrText>
            </w:r>
            <w:r>
              <w:rPr>
                <w:noProof/>
                <w:webHidden/>
              </w:rPr>
            </w:r>
            <w:r>
              <w:rPr>
                <w:noProof/>
                <w:webHidden/>
              </w:rPr>
              <w:fldChar w:fldCharType="separate"/>
            </w:r>
            <w:r w:rsidR="002C4371">
              <w:rPr>
                <w:noProof/>
                <w:webHidden/>
              </w:rPr>
              <w:t>99</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37" w:history="1">
            <w:r w:rsidR="002C4371" w:rsidRPr="00D712C9">
              <w:rPr>
                <w:rStyle w:val="Hyperlink"/>
                <w:rFonts w:ascii="Garamond" w:hAnsi="Garamond"/>
                <w:noProof/>
              </w:rPr>
              <w:t>2.3.3      PERFORMANCE INDICATOR 19 PASSPORT</w:t>
            </w:r>
            <w:r w:rsidR="002C4371">
              <w:rPr>
                <w:noProof/>
                <w:webHidden/>
              </w:rPr>
              <w:tab/>
            </w:r>
            <w:r>
              <w:rPr>
                <w:noProof/>
                <w:webHidden/>
              </w:rPr>
              <w:fldChar w:fldCharType="begin"/>
            </w:r>
            <w:r w:rsidR="002C4371">
              <w:rPr>
                <w:noProof/>
                <w:webHidden/>
              </w:rPr>
              <w:instrText xml:space="preserve"> PAGEREF _Toc77688237 \h </w:instrText>
            </w:r>
            <w:r>
              <w:rPr>
                <w:noProof/>
                <w:webHidden/>
              </w:rPr>
            </w:r>
            <w:r>
              <w:rPr>
                <w:noProof/>
                <w:webHidden/>
              </w:rPr>
              <w:fldChar w:fldCharType="separate"/>
            </w:r>
            <w:r w:rsidR="002C4371">
              <w:rPr>
                <w:noProof/>
                <w:webHidden/>
              </w:rPr>
              <w:t>100</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38" w:history="1">
            <w:r w:rsidR="002C4371" w:rsidRPr="00D712C9">
              <w:rPr>
                <w:rStyle w:val="Hyperlink"/>
                <w:rFonts w:ascii="Garamond" w:hAnsi="Garamond"/>
                <w:noProof/>
              </w:rPr>
              <w:t>2.4     State aid reform</w:t>
            </w:r>
            <w:r w:rsidR="002C4371">
              <w:rPr>
                <w:noProof/>
                <w:webHidden/>
              </w:rPr>
              <w:tab/>
            </w:r>
            <w:r>
              <w:rPr>
                <w:noProof/>
                <w:webHidden/>
              </w:rPr>
              <w:fldChar w:fldCharType="begin"/>
            </w:r>
            <w:r w:rsidR="002C4371">
              <w:rPr>
                <w:noProof/>
                <w:webHidden/>
              </w:rPr>
              <w:instrText xml:space="preserve"> PAGEREF _Toc77688238 \h </w:instrText>
            </w:r>
            <w:r>
              <w:rPr>
                <w:noProof/>
                <w:webHidden/>
              </w:rPr>
            </w:r>
            <w:r>
              <w:rPr>
                <w:noProof/>
                <w:webHidden/>
              </w:rPr>
              <w:fldChar w:fldCharType="separate"/>
            </w:r>
            <w:r w:rsidR="002C4371">
              <w:rPr>
                <w:noProof/>
                <w:webHidden/>
              </w:rPr>
              <w:t>101</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39" w:history="1">
            <w:r w:rsidR="002C4371" w:rsidRPr="00D712C9">
              <w:rPr>
                <w:rStyle w:val="Hyperlink"/>
                <w:rFonts w:ascii="Garamond" w:hAnsi="Garamond"/>
                <w:noProof/>
              </w:rPr>
              <w:t>2.4.1      PERFORMANCE INDICATOR 20 PASSPORT</w:t>
            </w:r>
            <w:r w:rsidR="002C4371">
              <w:rPr>
                <w:noProof/>
                <w:webHidden/>
              </w:rPr>
              <w:tab/>
            </w:r>
            <w:r>
              <w:rPr>
                <w:noProof/>
                <w:webHidden/>
              </w:rPr>
              <w:fldChar w:fldCharType="begin"/>
            </w:r>
            <w:r w:rsidR="002C4371">
              <w:rPr>
                <w:noProof/>
                <w:webHidden/>
              </w:rPr>
              <w:instrText xml:space="preserve"> PAGEREF _Toc77688239 \h </w:instrText>
            </w:r>
            <w:r>
              <w:rPr>
                <w:noProof/>
                <w:webHidden/>
              </w:rPr>
            </w:r>
            <w:r>
              <w:rPr>
                <w:noProof/>
                <w:webHidden/>
              </w:rPr>
              <w:fldChar w:fldCharType="separate"/>
            </w:r>
            <w:r w:rsidR="002C4371">
              <w:rPr>
                <w:noProof/>
                <w:webHidden/>
              </w:rPr>
              <w:t>101</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40" w:history="1">
            <w:r w:rsidR="002C4371" w:rsidRPr="00D712C9">
              <w:rPr>
                <w:rStyle w:val="Hyperlink"/>
                <w:rFonts w:ascii="Garamond" w:hAnsi="Garamond"/>
                <w:noProof/>
              </w:rPr>
              <w:t>2.4.2      PERFORMANCE INDICATOR 21 PASSPORT</w:t>
            </w:r>
            <w:r w:rsidR="002C4371">
              <w:rPr>
                <w:noProof/>
                <w:webHidden/>
              </w:rPr>
              <w:tab/>
            </w:r>
            <w:r>
              <w:rPr>
                <w:noProof/>
                <w:webHidden/>
              </w:rPr>
              <w:fldChar w:fldCharType="begin"/>
            </w:r>
            <w:r w:rsidR="002C4371">
              <w:rPr>
                <w:noProof/>
                <w:webHidden/>
              </w:rPr>
              <w:instrText xml:space="preserve"> PAGEREF _Toc77688240 \h </w:instrText>
            </w:r>
            <w:r>
              <w:rPr>
                <w:noProof/>
                <w:webHidden/>
              </w:rPr>
            </w:r>
            <w:r>
              <w:rPr>
                <w:noProof/>
                <w:webHidden/>
              </w:rPr>
              <w:fldChar w:fldCharType="separate"/>
            </w:r>
            <w:r w:rsidR="002C4371">
              <w:rPr>
                <w:noProof/>
                <w:webHidden/>
              </w:rPr>
              <w:t>102</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41" w:history="1">
            <w:r w:rsidR="002C4371" w:rsidRPr="00D712C9">
              <w:rPr>
                <w:rStyle w:val="Hyperlink"/>
                <w:rFonts w:ascii="Garamond" w:hAnsi="Garamond"/>
                <w:noProof/>
              </w:rPr>
              <w:t>2.4.3      PERFORMANCE INDICATOR 22 PASSPORT</w:t>
            </w:r>
            <w:r w:rsidR="002C4371">
              <w:rPr>
                <w:noProof/>
                <w:webHidden/>
              </w:rPr>
              <w:tab/>
            </w:r>
            <w:r>
              <w:rPr>
                <w:noProof/>
                <w:webHidden/>
              </w:rPr>
              <w:fldChar w:fldCharType="begin"/>
            </w:r>
            <w:r w:rsidR="002C4371">
              <w:rPr>
                <w:noProof/>
                <w:webHidden/>
              </w:rPr>
              <w:instrText xml:space="preserve"> PAGEREF _Toc77688241 \h </w:instrText>
            </w:r>
            <w:r>
              <w:rPr>
                <w:noProof/>
                <w:webHidden/>
              </w:rPr>
            </w:r>
            <w:r>
              <w:rPr>
                <w:noProof/>
                <w:webHidden/>
              </w:rPr>
              <w:fldChar w:fldCharType="separate"/>
            </w:r>
            <w:r w:rsidR="002C4371">
              <w:rPr>
                <w:noProof/>
                <w:webHidden/>
              </w:rPr>
              <w:t>102</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42" w:history="1">
            <w:r w:rsidR="002C4371" w:rsidRPr="00D712C9">
              <w:rPr>
                <w:rStyle w:val="Hyperlink"/>
                <w:rFonts w:ascii="Garamond" w:hAnsi="Garamond"/>
                <w:noProof/>
              </w:rPr>
              <w:t>2.4.4      PERFORMANCE INDICATOR 23 PASSPORT</w:t>
            </w:r>
            <w:r w:rsidR="002C4371">
              <w:rPr>
                <w:noProof/>
                <w:webHidden/>
              </w:rPr>
              <w:tab/>
            </w:r>
            <w:r>
              <w:rPr>
                <w:noProof/>
                <w:webHidden/>
              </w:rPr>
              <w:fldChar w:fldCharType="begin"/>
            </w:r>
            <w:r w:rsidR="002C4371">
              <w:rPr>
                <w:noProof/>
                <w:webHidden/>
              </w:rPr>
              <w:instrText xml:space="preserve"> PAGEREF _Toc77688242 \h </w:instrText>
            </w:r>
            <w:r>
              <w:rPr>
                <w:noProof/>
                <w:webHidden/>
              </w:rPr>
            </w:r>
            <w:r>
              <w:rPr>
                <w:noProof/>
                <w:webHidden/>
              </w:rPr>
              <w:fldChar w:fldCharType="separate"/>
            </w:r>
            <w:r w:rsidR="002C4371">
              <w:rPr>
                <w:noProof/>
                <w:webHidden/>
              </w:rPr>
              <w:t>103</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43" w:history="1">
            <w:r w:rsidR="002C4371" w:rsidRPr="00D712C9">
              <w:rPr>
                <w:rStyle w:val="Hyperlink"/>
                <w:rFonts w:ascii="Garamond" w:hAnsi="Garamond"/>
                <w:noProof/>
              </w:rPr>
              <w:t>2.5     Public Debt Management, Debt Analysis, Cash Management and Foreign Relations Department Reform</w:t>
            </w:r>
            <w:r w:rsidR="002C4371">
              <w:rPr>
                <w:noProof/>
                <w:webHidden/>
              </w:rPr>
              <w:tab/>
            </w:r>
            <w:r>
              <w:rPr>
                <w:noProof/>
                <w:webHidden/>
              </w:rPr>
              <w:fldChar w:fldCharType="begin"/>
            </w:r>
            <w:r w:rsidR="002C4371">
              <w:rPr>
                <w:noProof/>
                <w:webHidden/>
              </w:rPr>
              <w:instrText xml:space="preserve"> PAGEREF _Toc77688243 \h </w:instrText>
            </w:r>
            <w:r>
              <w:rPr>
                <w:noProof/>
                <w:webHidden/>
              </w:rPr>
            </w:r>
            <w:r>
              <w:rPr>
                <w:noProof/>
                <w:webHidden/>
              </w:rPr>
              <w:fldChar w:fldCharType="separate"/>
            </w:r>
            <w:r w:rsidR="002C4371">
              <w:rPr>
                <w:noProof/>
                <w:webHidden/>
              </w:rPr>
              <w:t>103</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44" w:history="1">
            <w:r w:rsidR="002C4371" w:rsidRPr="00D712C9">
              <w:rPr>
                <w:rStyle w:val="Hyperlink"/>
                <w:rFonts w:ascii="Garamond" w:hAnsi="Garamond"/>
                <w:noProof/>
              </w:rPr>
              <w:t>2.5.1      PERFORMANCE INDICATOR 24 PASSPORT</w:t>
            </w:r>
            <w:r w:rsidR="002C4371">
              <w:rPr>
                <w:noProof/>
                <w:webHidden/>
              </w:rPr>
              <w:tab/>
            </w:r>
            <w:r>
              <w:rPr>
                <w:noProof/>
                <w:webHidden/>
              </w:rPr>
              <w:fldChar w:fldCharType="begin"/>
            </w:r>
            <w:r w:rsidR="002C4371">
              <w:rPr>
                <w:noProof/>
                <w:webHidden/>
              </w:rPr>
              <w:instrText xml:space="preserve"> PAGEREF _Toc77688244 \h </w:instrText>
            </w:r>
            <w:r>
              <w:rPr>
                <w:noProof/>
                <w:webHidden/>
              </w:rPr>
            </w:r>
            <w:r>
              <w:rPr>
                <w:noProof/>
                <w:webHidden/>
              </w:rPr>
              <w:fldChar w:fldCharType="separate"/>
            </w:r>
            <w:r w:rsidR="002C4371">
              <w:rPr>
                <w:noProof/>
                <w:webHidden/>
              </w:rPr>
              <w:t>103</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45" w:history="1">
            <w:r w:rsidR="002C4371" w:rsidRPr="00D712C9">
              <w:rPr>
                <w:rStyle w:val="Hyperlink"/>
                <w:rFonts w:ascii="Garamond" w:hAnsi="Garamond"/>
                <w:noProof/>
              </w:rPr>
              <w:t>2.5.2      PERFORMANCE INDICATOR 25 PASSPORT</w:t>
            </w:r>
            <w:r w:rsidR="002C4371">
              <w:rPr>
                <w:noProof/>
                <w:webHidden/>
              </w:rPr>
              <w:tab/>
            </w:r>
            <w:r>
              <w:rPr>
                <w:noProof/>
                <w:webHidden/>
              </w:rPr>
              <w:fldChar w:fldCharType="begin"/>
            </w:r>
            <w:r w:rsidR="002C4371">
              <w:rPr>
                <w:noProof/>
                <w:webHidden/>
              </w:rPr>
              <w:instrText xml:space="preserve"> PAGEREF _Toc77688245 \h </w:instrText>
            </w:r>
            <w:r>
              <w:rPr>
                <w:noProof/>
                <w:webHidden/>
              </w:rPr>
            </w:r>
            <w:r>
              <w:rPr>
                <w:noProof/>
                <w:webHidden/>
              </w:rPr>
              <w:fldChar w:fldCharType="separate"/>
            </w:r>
            <w:r w:rsidR="002C4371">
              <w:rPr>
                <w:noProof/>
                <w:webHidden/>
              </w:rPr>
              <w:t>104</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246" w:history="1">
            <w:r w:rsidR="002C4371" w:rsidRPr="00D712C9">
              <w:rPr>
                <w:rStyle w:val="Hyperlink"/>
                <w:rFonts w:ascii="Garamond" w:hAnsi="Garamond"/>
                <w:noProof/>
              </w:rPr>
              <w:t>3.    Public Internal Financial Control Development</w:t>
            </w:r>
            <w:r w:rsidR="002C4371">
              <w:rPr>
                <w:noProof/>
                <w:webHidden/>
              </w:rPr>
              <w:tab/>
            </w:r>
            <w:r>
              <w:rPr>
                <w:noProof/>
                <w:webHidden/>
              </w:rPr>
              <w:fldChar w:fldCharType="begin"/>
            </w:r>
            <w:r w:rsidR="002C4371">
              <w:rPr>
                <w:noProof/>
                <w:webHidden/>
              </w:rPr>
              <w:instrText xml:space="preserve"> PAGEREF _Toc77688246 \h </w:instrText>
            </w:r>
            <w:r>
              <w:rPr>
                <w:noProof/>
                <w:webHidden/>
              </w:rPr>
            </w:r>
            <w:r>
              <w:rPr>
                <w:noProof/>
                <w:webHidden/>
              </w:rPr>
              <w:fldChar w:fldCharType="separate"/>
            </w:r>
            <w:r w:rsidR="002C4371">
              <w:rPr>
                <w:noProof/>
                <w:webHidden/>
              </w:rPr>
              <w:t>104</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47" w:history="1">
            <w:r w:rsidR="002C4371" w:rsidRPr="00D712C9">
              <w:rPr>
                <w:rStyle w:val="Hyperlink"/>
                <w:rFonts w:ascii="Garamond" w:hAnsi="Garamond"/>
                <w:noProof/>
              </w:rPr>
              <w:t>3.1     Managing public finances in an efficient, economical, effective and transparent way by all spending units</w:t>
            </w:r>
            <w:r w:rsidR="002C4371">
              <w:rPr>
                <w:noProof/>
                <w:webHidden/>
              </w:rPr>
              <w:tab/>
            </w:r>
            <w:r>
              <w:rPr>
                <w:noProof/>
                <w:webHidden/>
              </w:rPr>
              <w:fldChar w:fldCharType="begin"/>
            </w:r>
            <w:r w:rsidR="002C4371">
              <w:rPr>
                <w:noProof/>
                <w:webHidden/>
              </w:rPr>
              <w:instrText xml:space="preserve"> PAGEREF _Toc77688247 \h </w:instrText>
            </w:r>
            <w:r>
              <w:rPr>
                <w:noProof/>
                <w:webHidden/>
              </w:rPr>
            </w:r>
            <w:r>
              <w:rPr>
                <w:noProof/>
                <w:webHidden/>
              </w:rPr>
              <w:fldChar w:fldCharType="separate"/>
            </w:r>
            <w:r w:rsidR="002C4371">
              <w:rPr>
                <w:noProof/>
                <w:webHidden/>
              </w:rPr>
              <w:t>105</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48" w:history="1">
            <w:r w:rsidR="002C4371" w:rsidRPr="00D712C9">
              <w:rPr>
                <w:rStyle w:val="Hyperlink"/>
                <w:rFonts w:ascii="Garamond" w:hAnsi="Garamond"/>
                <w:noProof/>
              </w:rPr>
              <w:t>3.1.1      PERFORMANCE INDICATOR 26 PASSPORT</w:t>
            </w:r>
            <w:r w:rsidR="002C4371">
              <w:rPr>
                <w:noProof/>
                <w:webHidden/>
              </w:rPr>
              <w:tab/>
            </w:r>
            <w:r>
              <w:rPr>
                <w:noProof/>
                <w:webHidden/>
              </w:rPr>
              <w:fldChar w:fldCharType="begin"/>
            </w:r>
            <w:r w:rsidR="002C4371">
              <w:rPr>
                <w:noProof/>
                <w:webHidden/>
              </w:rPr>
              <w:instrText xml:space="preserve"> PAGEREF _Toc77688248 \h </w:instrText>
            </w:r>
            <w:r>
              <w:rPr>
                <w:noProof/>
                <w:webHidden/>
              </w:rPr>
            </w:r>
            <w:r>
              <w:rPr>
                <w:noProof/>
                <w:webHidden/>
              </w:rPr>
              <w:fldChar w:fldCharType="separate"/>
            </w:r>
            <w:r w:rsidR="002C4371">
              <w:rPr>
                <w:noProof/>
                <w:webHidden/>
              </w:rPr>
              <w:t>105</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49" w:history="1">
            <w:r w:rsidR="002C4371" w:rsidRPr="00D712C9">
              <w:rPr>
                <w:rStyle w:val="Hyperlink"/>
                <w:rFonts w:ascii="Garamond" w:hAnsi="Garamond"/>
                <w:noProof/>
              </w:rPr>
              <w:t>3.1.2      PERFORMANCE INDICATOR 27 PASSPORT</w:t>
            </w:r>
            <w:r w:rsidR="002C4371">
              <w:rPr>
                <w:noProof/>
                <w:webHidden/>
              </w:rPr>
              <w:tab/>
            </w:r>
            <w:r>
              <w:rPr>
                <w:noProof/>
                <w:webHidden/>
              </w:rPr>
              <w:fldChar w:fldCharType="begin"/>
            </w:r>
            <w:r w:rsidR="002C4371">
              <w:rPr>
                <w:noProof/>
                <w:webHidden/>
              </w:rPr>
              <w:instrText xml:space="preserve"> PAGEREF _Toc77688249 \h </w:instrText>
            </w:r>
            <w:r>
              <w:rPr>
                <w:noProof/>
                <w:webHidden/>
              </w:rPr>
            </w:r>
            <w:r>
              <w:rPr>
                <w:noProof/>
                <w:webHidden/>
              </w:rPr>
              <w:fldChar w:fldCharType="separate"/>
            </w:r>
            <w:r w:rsidR="002C4371">
              <w:rPr>
                <w:noProof/>
                <w:webHidden/>
              </w:rPr>
              <w:t>105</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50" w:history="1">
            <w:r w:rsidR="002C4371" w:rsidRPr="00D712C9">
              <w:rPr>
                <w:rStyle w:val="Hyperlink"/>
                <w:rFonts w:ascii="Garamond" w:hAnsi="Garamond"/>
                <w:noProof/>
              </w:rPr>
              <w:t>3.1.3      PERFORMANCE INDICATOR 28 PASSPORT</w:t>
            </w:r>
            <w:r w:rsidR="002C4371">
              <w:rPr>
                <w:noProof/>
                <w:webHidden/>
              </w:rPr>
              <w:tab/>
            </w:r>
            <w:r>
              <w:rPr>
                <w:noProof/>
                <w:webHidden/>
              </w:rPr>
              <w:fldChar w:fldCharType="begin"/>
            </w:r>
            <w:r w:rsidR="002C4371">
              <w:rPr>
                <w:noProof/>
                <w:webHidden/>
              </w:rPr>
              <w:instrText xml:space="preserve"> PAGEREF _Toc77688250 \h </w:instrText>
            </w:r>
            <w:r>
              <w:rPr>
                <w:noProof/>
                <w:webHidden/>
              </w:rPr>
            </w:r>
            <w:r>
              <w:rPr>
                <w:noProof/>
                <w:webHidden/>
              </w:rPr>
              <w:fldChar w:fldCharType="separate"/>
            </w:r>
            <w:r w:rsidR="002C4371">
              <w:rPr>
                <w:noProof/>
                <w:webHidden/>
              </w:rPr>
              <w:t>106</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51" w:history="1">
            <w:r w:rsidR="002C4371" w:rsidRPr="00D712C9">
              <w:rPr>
                <w:rStyle w:val="Hyperlink"/>
                <w:rFonts w:ascii="Garamond" w:hAnsi="Garamond"/>
                <w:noProof/>
              </w:rPr>
              <w:t>3.1.4      PERFORMANCE INDICATOR 29 PASSPORT</w:t>
            </w:r>
            <w:r w:rsidR="002C4371">
              <w:rPr>
                <w:noProof/>
                <w:webHidden/>
              </w:rPr>
              <w:tab/>
            </w:r>
            <w:r>
              <w:rPr>
                <w:noProof/>
                <w:webHidden/>
              </w:rPr>
              <w:fldChar w:fldCharType="begin"/>
            </w:r>
            <w:r w:rsidR="002C4371">
              <w:rPr>
                <w:noProof/>
                <w:webHidden/>
              </w:rPr>
              <w:instrText xml:space="preserve"> PAGEREF _Toc77688251 \h </w:instrText>
            </w:r>
            <w:r>
              <w:rPr>
                <w:noProof/>
                <w:webHidden/>
              </w:rPr>
            </w:r>
            <w:r>
              <w:rPr>
                <w:noProof/>
                <w:webHidden/>
              </w:rPr>
              <w:fldChar w:fldCharType="separate"/>
            </w:r>
            <w:r w:rsidR="002C4371">
              <w:rPr>
                <w:noProof/>
                <w:webHidden/>
              </w:rPr>
              <w:t>106</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52" w:history="1">
            <w:r w:rsidR="002C4371" w:rsidRPr="00D712C9">
              <w:rPr>
                <w:rStyle w:val="Hyperlink"/>
                <w:rFonts w:ascii="Garamond" w:hAnsi="Garamond"/>
                <w:noProof/>
              </w:rPr>
              <w:t>3.1.5      PERFORMANCE INDICATOR 30 PASSPORT</w:t>
            </w:r>
            <w:r w:rsidR="002C4371">
              <w:rPr>
                <w:noProof/>
                <w:webHidden/>
              </w:rPr>
              <w:tab/>
            </w:r>
            <w:r>
              <w:rPr>
                <w:noProof/>
                <w:webHidden/>
              </w:rPr>
              <w:fldChar w:fldCharType="begin"/>
            </w:r>
            <w:r w:rsidR="002C4371">
              <w:rPr>
                <w:noProof/>
                <w:webHidden/>
              </w:rPr>
              <w:instrText xml:space="preserve"> PAGEREF _Toc77688252 \h </w:instrText>
            </w:r>
            <w:r>
              <w:rPr>
                <w:noProof/>
                <w:webHidden/>
              </w:rPr>
            </w:r>
            <w:r>
              <w:rPr>
                <w:noProof/>
                <w:webHidden/>
              </w:rPr>
              <w:fldChar w:fldCharType="separate"/>
            </w:r>
            <w:r w:rsidR="002C4371">
              <w:rPr>
                <w:noProof/>
                <w:webHidden/>
              </w:rPr>
              <w:t>107</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53" w:history="1">
            <w:r w:rsidR="002C4371" w:rsidRPr="00D712C9">
              <w:rPr>
                <w:rStyle w:val="Hyperlink"/>
                <w:rFonts w:ascii="Garamond" w:hAnsi="Garamond"/>
                <w:noProof/>
              </w:rPr>
              <w:t>3.1.6      PERFORMANCE INDICATOR 31 PASSPORT</w:t>
            </w:r>
            <w:r w:rsidR="002C4371">
              <w:rPr>
                <w:noProof/>
                <w:webHidden/>
              </w:rPr>
              <w:tab/>
            </w:r>
            <w:r>
              <w:rPr>
                <w:noProof/>
                <w:webHidden/>
              </w:rPr>
              <w:fldChar w:fldCharType="begin"/>
            </w:r>
            <w:r w:rsidR="002C4371">
              <w:rPr>
                <w:noProof/>
                <w:webHidden/>
              </w:rPr>
              <w:instrText xml:space="preserve"> PAGEREF _Toc77688253 \h </w:instrText>
            </w:r>
            <w:r>
              <w:rPr>
                <w:noProof/>
                <w:webHidden/>
              </w:rPr>
            </w:r>
            <w:r>
              <w:rPr>
                <w:noProof/>
                <w:webHidden/>
              </w:rPr>
              <w:fldChar w:fldCharType="separate"/>
            </w:r>
            <w:r w:rsidR="002C4371">
              <w:rPr>
                <w:noProof/>
                <w:webHidden/>
              </w:rPr>
              <w:t>107</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254" w:history="1">
            <w:r w:rsidR="002C4371" w:rsidRPr="00D712C9">
              <w:rPr>
                <w:rStyle w:val="Hyperlink"/>
                <w:rFonts w:ascii="Garamond" w:hAnsi="Garamond"/>
                <w:noProof/>
              </w:rPr>
              <w:t>4. Transparent financial reporting and accounting</w:t>
            </w:r>
            <w:r w:rsidR="002C4371">
              <w:rPr>
                <w:noProof/>
                <w:webHidden/>
              </w:rPr>
              <w:tab/>
            </w:r>
            <w:r>
              <w:rPr>
                <w:noProof/>
                <w:webHidden/>
              </w:rPr>
              <w:fldChar w:fldCharType="begin"/>
            </w:r>
            <w:r w:rsidR="002C4371">
              <w:rPr>
                <w:noProof/>
                <w:webHidden/>
              </w:rPr>
              <w:instrText xml:space="preserve"> PAGEREF _Toc77688254 \h </w:instrText>
            </w:r>
            <w:r>
              <w:rPr>
                <w:noProof/>
                <w:webHidden/>
              </w:rPr>
            </w:r>
            <w:r>
              <w:rPr>
                <w:noProof/>
                <w:webHidden/>
              </w:rPr>
              <w:fldChar w:fldCharType="separate"/>
            </w:r>
            <w:r w:rsidR="002C4371">
              <w:rPr>
                <w:noProof/>
                <w:webHidden/>
              </w:rPr>
              <w:t>108</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55" w:history="1">
            <w:r w:rsidR="002C4371" w:rsidRPr="00D712C9">
              <w:rPr>
                <w:rStyle w:val="Hyperlink"/>
                <w:rFonts w:ascii="Garamond" w:hAnsi="Garamond"/>
                <w:noProof/>
              </w:rPr>
              <w:t>4.1     Transition from the cash-based to the accrual accounting and financial reporting</w:t>
            </w:r>
            <w:r w:rsidR="002C4371">
              <w:rPr>
                <w:noProof/>
                <w:webHidden/>
              </w:rPr>
              <w:tab/>
            </w:r>
            <w:r>
              <w:rPr>
                <w:noProof/>
                <w:webHidden/>
              </w:rPr>
              <w:fldChar w:fldCharType="begin"/>
            </w:r>
            <w:r w:rsidR="002C4371">
              <w:rPr>
                <w:noProof/>
                <w:webHidden/>
              </w:rPr>
              <w:instrText xml:space="preserve"> PAGEREF _Toc77688255 \h </w:instrText>
            </w:r>
            <w:r>
              <w:rPr>
                <w:noProof/>
                <w:webHidden/>
              </w:rPr>
            </w:r>
            <w:r>
              <w:rPr>
                <w:noProof/>
                <w:webHidden/>
              </w:rPr>
              <w:fldChar w:fldCharType="separate"/>
            </w:r>
            <w:r w:rsidR="002C4371">
              <w:rPr>
                <w:noProof/>
                <w:webHidden/>
              </w:rPr>
              <w:t>108</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56" w:history="1">
            <w:r w:rsidR="002C4371" w:rsidRPr="00D712C9">
              <w:rPr>
                <w:rStyle w:val="Hyperlink"/>
                <w:rFonts w:ascii="Garamond" w:hAnsi="Garamond"/>
                <w:noProof/>
              </w:rPr>
              <w:t>4.1.1      PERFORMANCE INDICATOR 32 PASSPORT</w:t>
            </w:r>
            <w:r w:rsidR="002C4371">
              <w:rPr>
                <w:noProof/>
                <w:webHidden/>
              </w:rPr>
              <w:tab/>
            </w:r>
            <w:r>
              <w:rPr>
                <w:noProof/>
                <w:webHidden/>
              </w:rPr>
              <w:fldChar w:fldCharType="begin"/>
            </w:r>
            <w:r w:rsidR="002C4371">
              <w:rPr>
                <w:noProof/>
                <w:webHidden/>
              </w:rPr>
              <w:instrText xml:space="preserve"> PAGEREF _Toc77688256 \h </w:instrText>
            </w:r>
            <w:r>
              <w:rPr>
                <w:noProof/>
                <w:webHidden/>
              </w:rPr>
            </w:r>
            <w:r>
              <w:rPr>
                <w:noProof/>
                <w:webHidden/>
              </w:rPr>
              <w:fldChar w:fldCharType="separate"/>
            </w:r>
            <w:r w:rsidR="002C4371">
              <w:rPr>
                <w:noProof/>
                <w:webHidden/>
              </w:rPr>
              <w:t>108</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57" w:history="1">
            <w:r w:rsidR="002C4371" w:rsidRPr="00D712C9">
              <w:rPr>
                <w:rStyle w:val="Hyperlink"/>
                <w:rFonts w:ascii="Garamond" w:hAnsi="Garamond"/>
                <w:noProof/>
              </w:rPr>
              <w:t>4.1.2      PERFORMANCE INDICATOR 33 PASSPORT</w:t>
            </w:r>
            <w:r w:rsidR="002C4371">
              <w:rPr>
                <w:noProof/>
                <w:webHidden/>
              </w:rPr>
              <w:tab/>
            </w:r>
            <w:r>
              <w:rPr>
                <w:noProof/>
                <w:webHidden/>
              </w:rPr>
              <w:fldChar w:fldCharType="begin"/>
            </w:r>
            <w:r w:rsidR="002C4371">
              <w:rPr>
                <w:noProof/>
                <w:webHidden/>
              </w:rPr>
              <w:instrText xml:space="preserve"> PAGEREF _Toc77688257 \h </w:instrText>
            </w:r>
            <w:r>
              <w:rPr>
                <w:noProof/>
                <w:webHidden/>
              </w:rPr>
            </w:r>
            <w:r>
              <w:rPr>
                <w:noProof/>
                <w:webHidden/>
              </w:rPr>
              <w:fldChar w:fldCharType="separate"/>
            </w:r>
            <w:r w:rsidR="002C4371">
              <w:rPr>
                <w:noProof/>
                <w:webHidden/>
              </w:rPr>
              <w:t>109</w:t>
            </w:r>
            <w:r>
              <w:rPr>
                <w:noProof/>
                <w:webHidden/>
              </w:rPr>
              <w:fldChar w:fldCharType="end"/>
            </w:r>
          </w:hyperlink>
        </w:p>
        <w:p w:rsidR="002C4371" w:rsidRDefault="00613C2B">
          <w:pPr>
            <w:pStyle w:val="TOC1"/>
            <w:tabs>
              <w:tab w:val="right" w:leader="dot" w:pos="9350"/>
            </w:tabs>
            <w:rPr>
              <w:rFonts w:asciiTheme="minorHAnsi" w:eastAsiaTheme="minorEastAsia" w:hAnsiTheme="minorHAnsi" w:cstheme="minorBidi"/>
              <w:noProof/>
              <w:lang w:eastAsia="ja-JP" w:bidi="ar-SA"/>
            </w:rPr>
          </w:pPr>
          <w:hyperlink w:anchor="_Toc77688258" w:history="1">
            <w:r w:rsidR="002C4371" w:rsidRPr="00D712C9">
              <w:rPr>
                <w:rStyle w:val="Hyperlink"/>
                <w:rFonts w:ascii="Garamond" w:hAnsi="Garamond"/>
                <w:noProof/>
              </w:rPr>
              <w:t>5. STRENGTHENING EXTERNAL AUDIT CAPACITIES</w:t>
            </w:r>
            <w:r w:rsidR="002C4371">
              <w:rPr>
                <w:noProof/>
                <w:webHidden/>
              </w:rPr>
              <w:tab/>
            </w:r>
            <w:r>
              <w:rPr>
                <w:noProof/>
                <w:webHidden/>
              </w:rPr>
              <w:fldChar w:fldCharType="begin"/>
            </w:r>
            <w:r w:rsidR="002C4371">
              <w:rPr>
                <w:noProof/>
                <w:webHidden/>
              </w:rPr>
              <w:instrText xml:space="preserve"> PAGEREF _Toc77688258 \h </w:instrText>
            </w:r>
            <w:r>
              <w:rPr>
                <w:noProof/>
                <w:webHidden/>
              </w:rPr>
            </w:r>
            <w:r>
              <w:rPr>
                <w:noProof/>
                <w:webHidden/>
              </w:rPr>
              <w:fldChar w:fldCharType="separate"/>
            </w:r>
            <w:r w:rsidR="002C4371">
              <w:rPr>
                <w:noProof/>
                <w:webHidden/>
              </w:rPr>
              <w:t>110</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59" w:history="1">
            <w:r w:rsidR="002C4371" w:rsidRPr="00D712C9">
              <w:rPr>
                <w:rStyle w:val="Hyperlink"/>
                <w:rFonts w:ascii="Garamond" w:hAnsi="Garamond"/>
                <w:noProof/>
              </w:rPr>
              <w:t>5.1     Improving the audit process, strengthening audit capacities and transparency in the use of public finances - State Audit Institution</w:t>
            </w:r>
            <w:r w:rsidR="002C4371">
              <w:rPr>
                <w:noProof/>
                <w:webHidden/>
              </w:rPr>
              <w:tab/>
            </w:r>
            <w:r>
              <w:rPr>
                <w:noProof/>
                <w:webHidden/>
              </w:rPr>
              <w:fldChar w:fldCharType="begin"/>
            </w:r>
            <w:r w:rsidR="002C4371">
              <w:rPr>
                <w:noProof/>
                <w:webHidden/>
              </w:rPr>
              <w:instrText xml:space="preserve"> PAGEREF _Toc77688259 \h </w:instrText>
            </w:r>
            <w:r>
              <w:rPr>
                <w:noProof/>
                <w:webHidden/>
              </w:rPr>
            </w:r>
            <w:r>
              <w:rPr>
                <w:noProof/>
                <w:webHidden/>
              </w:rPr>
              <w:fldChar w:fldCharType="separate"/>
            </w:r>
            <w:r w:rsidR="002C4371">
              <w:rPr>
                <w:noProof/>
                <w:webHidden/>
              </w:rPr>
              <w:t>110</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60" w:history="1">
            <w:r w:rsidR="002C4371" w:rsidRPr="00D712C9">
              <w:rPr>
                <w:rStyle w:val="Hyperlink"/>
                <w:rFonts w:ascii="Garamond" w:hAnsi="Garamond"/>
                <w:noProof/>
              </w:rPr>
              <w:t>5.1.1      PERFORMANCE INDICATOR 34 PASSPORT</w:t>
            </w:r>
            <w:r w:rsidR="002C4371">
              <w:rPr>
                <w:noProof/>
                <w:webHidden/>
              </w:rPr>
              <w:tab/>
            </w:r>
            <w:r>
              <w:rPr>
                <w:noProof/>
                <w:webHidden/>
              </w:rPr>
              <w:fldChar w:fldCharType="begin"/>
            </w:r>
            <w:r w:rsidR="002C4371">
              <w:rPr>
                <w:noProof/>
                <w:webHidden/>
              </w:rPr>
              <w:instrText xml:space="preserve"> PAGEREF _Toc77688260 \h </w:instrText>
            </w:r>
            <w:r>
              <w:rPr>
                <w:noProof/>
                <w:webHidden/>
              </w:rPr>
            </w:r>
            <w:r>
              <w:rPr>
                <w:noProof/>
                <w:webHidden/>
              </w:rPr>
              <w:fldChar w:fldCharType="separate"/>
            </w:r>
            <w:r w:rsidR="002C4371">
              <w:rPr>
                <w:noProof/>
                <w:webHidden/>
              </w:rPr>
              <w:t>110</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61" w:history="1">
            <w:r w:rsidR="002C4371" w:rsidRPr="00D712C9">
              <w:rPr>
                <w:rStyle w:val="Hyperlink"/>
                <w:rFonts w:ascii="Garamond" w:hAnsi="Garamond"/>
                <w:noProof/>
              </w:rPr>
              <w:t>5.1.2 PERFORMANCE INDICATOR 35 PASSPORT</w:t>
            </w:r>
            <w:r w:rsidR="002C4371">
              <w:rPr>
                <w:noProof/>
                <w:webHidden/>
              </w:rPr>
              <w:tab/>
            </w:r>
            <w:r>
              <w:rPr>
                <w:noProof/>
                <w:webHidden/>
              </w:rPr>
              <w:fldChar w:fldCharType="begin"/>
            </w:r>
            <w:r w:rsidR="002C4371">
              <w:rPr>
                <w:noProof/>
                <w:webHidden/>
              </w:rPr>
              <w:instrText xml:space="preserve"> PAGEREF _Toc77688261 \h </w:instrText>
            </w:r>
            <w:r>
              <w:rPr>
                <w:noProof/>
                <w:webHidden/>
              </w:rPr>
            </w:r>
            <w:r>
              <w:rPr>
                <w:noProof/>
                <w:webHidden/>
              </w:rPr>
              <w:fldChar w:fldCharType="separate"/>
            </w:r>
            <w:r w:rsidR="002C4371">
              <w:rPr>
                <w:noProof/>
                <w:webHidden/>
              </w:rPr>
              <w:t>110</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62" w:history="1">
            <w:r w:rsidR="002C4371" w:rsidRPr="00D712C9">
              <w:rPr>
                <w:rStyle w:val="Hyperlink"/>
                <w:rFonts w:ascii="Garamond" w:hAnsi="Garamond"/>
                <w:noProof/>
              </w:rPr>
              <w:t>5.1.3      PERFORMANCE INDICATOR 36 PASSPORT</w:t>
            </w:r>
            <w:r w:rsidR="002C4371">
              <w:rPr>
                <w:noProof/>
                <w:webHidden/>
              </w:rPr>
              <w:tab/>
            </w:r>
            <w:r>
              <w:rPr>
                <w:noProof/>
                <w:webHidden/>
              </w:rPr>
              <w:fldChar w:fldCharType="begin"/>
            </w:r>
            <w:r w:rsidR="002C4371">
              <w:rPr>
                <w:noProof/>
                <w:webHidden/>
              </w:rPr>
              <w:instrText xml:space="preserve"> PAGEREF _Toc77688262 \h </w:instrText>
            </w:r>
            <w:r>
              <w:rPr>
                <w:noProof/>
                <w:webHidden/>
              </w:rPr>
            </w:r>
            <w:r>
              <w:rPr>
                <w:noProof/>
                <w:webHidden/>
              </w:rPr>
              <w:fldChar w:fldCharType="separate"/>
            </w:r>
            <w:r w:rsidR="002C4371">
              <w:rPr>
                <w:noProof/>
                <w:webHidden/>
              </w:rPr>
              <w:t>112</w:t>
            </w:r>
            <w:r>
              <w:rPr>
                <w:noProof/>
                <w:webHidden/>
              </w:rPr>
              <w:fldChar w:fldCharType="end"/>
            </w:r>
          </w:hyperlink>
        </w:p>
        <w:p w:rsidR="002C4371" w:rsidRDefault="00613C2B">
          <w:pPr>
            <w:pStyle w:val="TOC2"/>
            <w:tabs>
              <w:tab w:val="right" w:leader="dot" w:pos="9350"/>
            </w:tabs>
            <w:rPr>
              <w:rFonts w:asciiTheme="minorHAnsi" w:eastAsiaTheme="minorEastAsia" w:hAnsiTheme="minorHAnsi" w:cstheme="minorBidi"/>
              <w:noProof/>
              <w:lang w:eastAsia="ja-JP" w:bidi="ar-SA"/>
            </w:rPr>
          </w:pPr>
          <w:hyperlink w:anchor="_Toc77688263" w:history="1">
            <w:r w:rsidR="002C4371" w:rsidRPr="00D712C9">
              <w:rPr>
                <w:rStyle w:val="Hyperlink"/>
                <w:rFonts w:ascii="Garamond" w:hAnsi="Garamond"/>
                <w:noProof/>
              </w:rPr>
              <w:t>5.2.</w:t>
            </w:r>
            <w:r w:rsidR="002C4371" w:rsidRPr="00D712C9">
              <w:rPr>
                <w:rStyle w:val="Hyperlink"/>
                <w:noProof/>
              </w:rPr>
              <w:t xml:space="preserve"> </w:t>
            </w:r>
            <w:r w:rsidR="002C4371" w:rsidRPr="00D712C9">
              <w:rPr>
                <w:rStyle w:val="Hyperlink"/>
                <w:rFonts w:ascii="Garamond" w:hAnsi="Garamond"/>
                <w:noProof/>
              </w:rPr>
              <w:t>Building capacities and improving audit procedure - Audit Authority</w:t>
            </w:r>
            <w:r w:rsidR="002C4371">
              <w:rPr>
                <w:noProof/>
                <w:webHidden/>
              </w:rPr>
              <w:tab/>
            </w:r>
            <w:r>
              <w:rPr>
                <w:noProof/>
                <w:webHidden/>
              </w:rPr>
              <w:fldChar w:fldCharType="begin"/>
            </w:r>
            <w:r w:rsidR="002C4371">
              <w:rPr>
                <w:noProof/>
                <w:webHidden/>
              </w:rPr>
              <w:instrText xml:space="preserve"> PAGEREF _Toc77688263 \h </w:instrText>
            </w:r>
            <w:r>
              <w:rPr>
                <w:noProof/>
                <w:webHidden/>
              </w:rPr>
            </w:r>
            <w:r>
              <w:rPr>
                <w:noProof/>
                <w:webHidden/>
              </w:rPr>
              <w:fldChar w:fldCharType="separate"/>
            </w:r>
            <w:r w:rsidR="002C4371">
              <w:rPr>
                <w:noProof/>
                <w:webHidden/>
              </w:rPr>
              <w:t>112</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64" w:history="1">
            <w:r w:rsidR="002C4371" w:rsidRPr="00D712C9">
              <w:rPr>
                <w:rStyle w:val="Hyperlink"/>
                <w:rFonts w:ascii="Garamond" w:hAnsi="Garamond"/>
                <w:noProof/>
              </w:rPr>
              <w:t>5.2.1      PERFORMANCE INDICATOR 37 PASSPORT</w:t>
            </w:r>
            <w:r w:rsidR="002C4371">
              <w:rPr>
                <w:noProof/>
                <w:webHidden/>
              </w:rPr>
              <w:tab/>
            </w:r>
            <w:r>
              <w:rPr>
                <w:noProof/>
                <w:webHidden/>
              </w:rPr>
              <w:fldChar w:fldCharType="begin"/>
            </w:r>
            <w:r w:rsidR="002C4371">
              <w:rPr>
                <w:noProof/>
                <w:webHidden/>
              </w:rPr>
              <w:instrText xml:space="preserve"> PAGEREF _Toc77688264 \h </w:instrText>
            </w:r>
            <w:r>
              <w:rPr>
                <w:noProof/>
                <w:webHidden/>
              </w:rPr>
            </w:r>
            <w:r>
              <w:rPr>
                <w:noProof/>
                <w:webHidden/>
              </w:rPr>
              <w:fldChar w:fldCharType="separate"/>
            </w:r>
            <w:r w:rsidR="002C4371">
              <w:rPr>
                <w:noProof/>
                <w:webHidden/>
              </w:rPr>
              <w:t>112</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65" w:history="1">
            <w:r w:rsidR="002C4371" w:rsidRPr="00D712C9">
              <w:rPr>
                <w:rStyle w:val="Hyperlink"/>
                <w:rFonts w:ascii="Garamond" w:hAnsi="Garamond"/>
                <w:noProof/>
              </w:rPr>
              <w:t>5.2.2      PERFORMANCE INDICATOR 38 PASSPORT</w:t>
            </w:r>
            <w:r w:rsidR="002C4371">
              <w:rPr>
                <w:noProof/>
                <w:webHidden/>
              </w:rPr>
              <w:tab/>
            </w:r>
            <w:r>
              <w:rPr>
                <w:noProof/>
                <w:webHidden/>
              </w:rPr>
              <w:fldChar w:fldCharType="begin"/>
            </w:r>
            <w:r w:rsidR="002C4371">
              <w:rPr>
                <w:noProof/>
                <w:webHidden/>
              </w:rPr>
              <w:instrText xml:space="preserve"> PAGEREF _Toc77688265 \h </w:instrText>
            </w:r>
            <w:r>
              <w:rPr>
                <w:noProof/>
                <w:webHidden/>
              </w:rPr>
            </w:r>
            <w:r>
              <w:rPr>
                <w:noProof/>
                <w:webHidden/>
              </w:rPr>
              <w:fldChar w:fldCharType="separate"/>
            </w:r>
            <w:r w:rsidR="002C4371">
              <w:rPr>
                <w:noProof/>
                <w:webHidden/>
              </w:rPr>
              <w:t>113</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66" w:history="1">
            <w:r w:rsidR="002C4371" w:rsidRPr="00D712C9">
              <w:rPr>
                <w:rStyle w:val="Hyperlink"/>
                <w:rFonts w:ascii="Garamond" w:hAnsi="Garamond"/>
                <w:noProof/>
              </w:rPr>
              <w:t>5.2.3      PERFORMANCE INDICATOR 39 PASSPORT</w:t>
            </w:r>
            <w:r w:rsidR="002C4371">
              <w:rPr>
                <w:noProof/>
                <w:webHidden/>
              </w:rPr>
              <w:tab/>
            </w:r>
            <w:r>
              <w:rPr>
                <w:noProof/>
                <w:webHidden/>
              </w:rPr>
              <w:fldChar w:fldCharType="begin"/>
            </w:r>
            <w:r w:rsidR="002C4371">
              <w:rPr>
                <w:noProof/>
                <w:webHidden/>
              </w:rPr>
              <w:instrText xml:space="preserve"> PAGEREF _Toc77688266 \h </w:instrText>
            </w:r>
            <w:r>
              <w:rPr>
                <w:noProof/>
                <w:webHidden/>
              </w:rPr>
            </w:r>
            <w:r>
              <w:rPr>
                <w:noProof/>
                <w:webHidden/>
              </w:rPr>
              <w:fldChar w:fldCharType="separate"/>
            </w:r>
            <w:r w:rsidR="002C4371">
              <w:rPr>
                <w:noProof/>
                <w:webHidden/>
              </w:rPr>
              <w:t>113</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67" w:history="1">
            <w:r w:rsidR="002C4371" w:rsidRPr="00D712C9">
              <w:rPr>
                <w:rStyle w:val="Hyperlink"/>
                <w:rFonts w:ascii="Garamond" w:hAnsi="Garamond"/>
                <w:noProof/>
              </w:rPr>
              <w:t>5.2.4      PERFORMANCE INDICATOR 40 PASSPORT</w:t>
            </w:r>
            <w:r w:rsidR="002C4371">
              <w:rPr>
                <w:noProof/>
                <w:webHidden/>
              </w:rPr>
              <w:tab/>
            </w:r>
            <w:r>
              <w:rPr>
                <w:noProof/>
                <w:webHidden/>
              </w:rPr>
              <w:fldChar w:fldCharType="begin"/>
            </w:r>
            <w:r w:rsidR="002C4371">
              <w:rPr>
                <w:noProof/>
                <w:webHidden/>
              </w:rPr>
              <w:instrText xml:space="preserve"> PAGEREF _Toc77688267 \h </w:instrText>
            </w:r>
            <w:r>
              <w:rPr>
                <w:noProof/>
                <w:webHidden/>
              </w:rPr>
            </w:r>
            <w:r>
              <w:rPr>
                <w:noProof/>
                <w:webHidden/>
              </w:rPr>
              <w:fldChar w:fldCharType="separate"/>
            </w:r>
            <w:r w:rsidR="002C4371">
              <w:rPr>
                <w:noProof/>
                <w:webHidden/>
              </w:rPr>
              <w:t>114</w:t>
            </w:r>
            <w:r>
              <w:rPr>
                <w:noProof/>
                <w:webHidden/>
              </w:rPr>
              <w:fldChar w:fldCharType="end"/>
            </w:r>
          </w:hyperlink>
        </w:p>
        <w:p w:rsidR="002C4371" w:rsidRDefault="00613C2B">
          <w:pPr>
            <w:pStyle w:val="TOC3"/>
            <w:tabs>
              <w:tab w:val="right" w:leader="dot" w:pos="9350"/>
            </w:tabs>
            <w:rPr>
              <w:rFonts w:asciiTheme="minorHAnsi" w:eastAsiaTheme="minorEastAsia" w:hAnsiTheme="minorHAnsi" w:cstheme="minorBidi"/>
              <w:noProof/>
              <w:lang w:eastAsia="ja-JP" w:bidi="ar-SA"/>
            </w:rPr>
          </w:pPr>
          <w:hyperlink w:anchor="_Toc77688268" w:history="1">
            <w:r w:rsidR="002C4371" w:rsidRPr="00D712C9">
              <w:rPr>
                <w:rStyle w:val="Hyperlink"/>
                <w:rFonts w:ascii="Garamond" w:hAnsi="Garamond"/>
                <w:noProof/>
              </w:rPr>
              <w:t>5.2.5      PERFORMANCE INDICATOR 41 PASSPORT</w:t>
            </w:r>
            <w:r w:rsidR="002C4371">
              <w:rPr>
                <w:noProof/>
                <w:webHidden/>
              </w:rPr>
              <w:tab/>
            </w:r>
            <w:r>
              <w:rPr>
                <w:noProof/>
                <w:webHidden/>
              </w:rPr>
              <w:fldChar w:fldCharType="begin"/>
            </w:r>
            <w:r w:rsidR="002C4371">
              <w:rPr>
                <w:noProof/>
                <w:webHidden/>
              </w:rPr>
              <w:instrText xml:space="preserve"> PAGEREF _Toc77688268 \h </w:instrText>
            </w:r>
            <w:r>
              <w:rPr>
                <w:noProof/>
                <w:webHidden/>
              </w:rPr>
            </w:r>
            <w:r>
              <w:rPr>
                <w:noProof/>
                <w:webHidden/>
              </w:rPr>
              <w:fldChar w:fldCharType="separate"/>
            </w:r>
            <w:r w:rsidR="002C4371">
              <w:rPr>
                <w:noProof/>
                <w:webHidden/>
              </w:rPr>
              <w:t>114</w:t>
            </w:r>
            <w:r>
              <w:rPr>
                <w:noProof/>
                <w:webHidden/>
              </w:rPr>
              <w:fldChar w:fldCharType="end"/>
            </w:r>
          </w:hyperlink>
        </w:p>
        <w:p w:rsidR="007A11E6" w:rsidRPr="00C32887" w:rsidRDefault="00613C2B">
          <w:pPr>
            <w:rPr>
              <w:rFonts w:ascii="Garamond" w:hAnsi="Garamond"/>
              <w:sz w:val="24"/>
              <w:szCs w:val="24"/>
            </w:rPr>
          </w:pPr>
          <w:r w:rsidRPr="00C32887">
            <w:rPr>
              <w:rFonts w:ascii="Garamond" w:hAnsi="Garamond"/>
              <w:sz w:val="24"/>
              <w:szCs w:val="24"/>
            </w:rPr>
            <w:fldChar w:fldCharType="end"/>
          </w:r>
        </w:p>
      </w:sdtContent>
    </w:sdt>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7A11E6" w:rsidRPr="00C32887" w:rsidRDefault="007A11E6">
      <w:pPr>
        <w:rPr>
          <w:rFonts w:ascii="Garamond" w:hAnsi="Garamond"/>
          <w:sz w:val="24"/>
          <w:szCs w:val="24"/>
        </w:rPr>
      </w:pPr>
      <w:r w:rsidRPr="00C32887">
        <w:rPr>
          <w:rFonts w:ascii="Garamond" w:hAnsi="Garamond"/>
          <w:sz w:val="24"/>
          <w:szCs w:val="24"/>
        </w:rPr>
        <w:br w:type="page"/>
      </w:r>
    </w:p>
    <w:p w:rsidR="004D1343" w:rsidRPr="00C32887" w:rsidRDefault="007A11E6" w:rsidP="007A11E6">
      <w:pPr>
        <w:pStyle w:val="Heading1"/>
        <w:rPr>
          <w:rFonts w:ascii="Garamond" w:hAnsi="Garamond"/>
          <w:sz w:val="24"/>
          <w:szCs w:val="24"/>
        </w:rPr>
      </w:pPr>
      <w:bookmarkStart w:id="1" w:name="_Toc77688186"/>
      <w:r w:rsidRPr="00C32887">
        <w:rPr>
          <w:rFonts w:ascii="Garamond" w:hAnsi="Garamond"/>
          <w:sz w:val="24"/>
          <w:szCs w:val="24"/>
        </w:rPr>
        <w:t xml:space="preserve">I </w:t>
      </w:r>
      <w:r w:rsidR="004D1343" w:rsidRPr="00C32887">
        <w:rPr>
          <w:rFonts w:ascii="Garamond" w:hAnsi="Garamond"/>
          <w:sz w:val="24"/>
          <w:szCs w:val="24"/>
        </w:rPr>
        <w:t>GENERAL INFORMATION</w:t>
      </w:r>
      <w:bookmarkEnd w:id="1"/>
    </w:p>
    <w:p w:rsidR="004D1343" w:rsidRPr="00C32887" w:rsidRDefault="00233220" w:rsidP="00233220">
      <w:pPr>
        <w:pStyle w:val="Heading2"/>
        <w:rPr>
          <w:rFonts w:ascii="Garamond" w:hAnsi="Garamond"/>
          <w:sz w:val="24"/>
          <w:szCs w:val="24"/>
        </w:rPr>
      </w:pPr>
      <w:bookmarkStart w:id="2" w:name="_Toc77688187"/>
      <w:r w:rsidRPr="00C32887">
        <w:rPr>
          <w:rFonts w:ascii="Garamond" w:hAnsi="Garamond"/>
          <w:sz w:val="24"/>
          <w:szCs w:val="24"/>
        </w:rPr>
        <w:t>GENERAL OVERVIEW</w:t>
      </w:r>
      <w:bookmarkEnd w:id="2"/>
    </w:p>
    <w:p w:rsidR="004D1343" w:rsidRPr="00C32887" w:rsidRDefault="004D1343" w:rsidP="004D1343">
      <w:pPr>
        <w:rPr>
          <w:rFonts w:ascii="Garamond" w:hAnsi="Garamond"/>
          <w:sz w:val="24"/>
          <w:szCs w:val="24"/>
        </w:rPr>
      </w:pPr>
    </w:p>
    <w:p w:rsidR="004D1343" w:rsidRPr="00C32887" w:rsidRDefault="004D1343" w:rsidP="007A11E6">
      <w:pPr>
        <w:jc w:val="both"/>
        <w:rPr>
          <w:rFonts w:ascii="Garamond" w:hAnsi="Garamond"/>
          <w:sz w:val="24"/>
          <w:szCs w:val="24"/>
        </w:rPr>
      </w:pPr>
      <w:r w:rsidRPr="00C32887">
        <w:rPr>
          <w:rFonts w:ascii="Garamond" w:hAnsi="Garamond"/>
          <w:sz w:val="24"/>
          <w:szCs w:val="24"/>
        </w:rPr>
        <w:t>In order to continue monitor</w:t>
      </w:r>
      <w:r w:rsidR="00B778BA">
        <w:rPr>
          <w:rFonts w:ascii="Garamond" w:hAnsi="Garamond"/>
          <w:sz w:val="24"/>
          <w:szCs w:val="24"/>
        </w:rPr>
        <w:t>ing</w:t>
      </w:r>
      <w:r w:rsidRPr="00C32887">
        <w:rPr>
          <w:rFonts w:ascii="Garamond" w:hAnsi="Garamond"/>
          <w:sz w:val="24"/>
          <w:szCs w:val="24"/>
        </w:rPr>
        <w:t xml:space="preserve"> t</w:t>
      </w:r>
      <w:r w:rsidR="00F75F92" w:rsidRPr="00C32887">
        <w:rPr>
          <w:rFonts w:ascii="Garamond" w:hAnsi="Garamond"/>
          <w:sz w:val="24"/>
          <w:szCs w:val="24"/>
        </w:rPr>
        <w:t>he process of the 2016-2020 Public Finance</w:t>
      </w:r>
      <w:r w:rsidRPr="00C32887">
        <w:rPr>
          <w:rFonts w:ascii="Garamond" w:hAnsi="Garamond"/>
          <w:sz w:val="24"/>
          <w:szCs w:val="24"/>
        </w:rPr>
        <w:t xml:space="preserve"> Management Reform </w:t>
      </w:r>
      <w:r w:rsidR="00AB73F6" w:rsidRPr="00C32887">
        <w:rPr>
          <w:rFonts w:ascii="Garamond" w:hAnsi="Garamond"/>
          <w:sz w:val="24"/>
          <w:szCs w:val="24"/>
        </w:rPr>
        <w:t>Programme</w:t>
      </w:r>
      <w:r w:rsidR="00F75F92" w:rsidRPr="00C32887">
        <w:rPr>
          <w:rStyle w:val="FootnoteReference"/>
          <w:rFonts w:ascii="Garamond" w:hAnsi="Garamond"/>
          <w:sz w:val="24"/>
          <w:szCs w:val="24"/>
        </w:rPr>
        <w:footnoteReference w:id="1"/>
      </w:r>
      <w:r w:rsidRPr="00C32887">
        <w:rPr>
          <w:rFonts w:ascii="Garamond" w:hAnsi="Garamond"/>
          <w:sz w:val="24"/>
          <w:szCs w:val="24"/>
        </w:rPr>
        <w:t xml:space="preserve"> (hereinafter: the </w:t>
      </w:r>
      <w:r w:rsidR="00B778BA">
        <w:rPr>
          <w:rFonts w:ascii="Garamond" w:hAnsi="Garamond"/>
          <w:sz w:val="24"/>
          <w:szCs w:val="24"/>
        </w:rPr>
        <w:t>Programme</w:t>
      </w:r>
      <w:r w:rsidR="00F75F92" w:rsidRPr="00C32887">
        <w:rPr>
          <w:rFonts w:ascii="Garamond" w:hAnsi="Garamond"/>
          <w:sz w:val="24"/>
          <w:szCs w:val="24"/>
        </w:rPr>
        <w:t>)</w:t>
      </w:r>
      <w:r w:rsidR="00B778BA">
        <w:rPr>
          <w:rFonts w:ascii="Garamond" w:hAnsi="Garamond"/>
          <w:sz w:val="24"/>
          <w:szCs w:val="24"/>
        </w:rPr>
        <w:t xml:space="preserve"> implementation</w:t>
      </w:r>
      <w:r w:rsidRPr="00C32887">
        <w:rPr>
          <w:rFonts w:ascii="Garamond" w:hAnsi="Garamond"/>
          <w:sz w:val="24"/>
          <w:szCs w:val="24"/>
        </w:rPr>
        <w:t>, the Ministry of Finance and Social Welfare</w:t>
      </w:r>
      <w:r w:rsidR="00F75F92" w:rsidRPr="00C32887">
        <w:rPr>
          <w:rFonts w:ascii="Garamond" w:hAnsi="Garamond"/>
          <w:sz w:val="24"/>
          <w:szCs w:val="24"/>
        </w:rPr>
        <w:t>,</w:t>
      </w:r>
      <w:r w:rsidRPr="00C32887">
        <w:rPr>
          <w:rFonts w:ascii="Garamond" w:hAnsi="Garamond"/>
          <w:sz w:val="24"/>
          <w:szCs w:val="24"/>
        </w:rPr>
        <w:t xml:space="preserve"> with the active participation of 14 different organi</w:t>
      </w:r>
      <w:r w:rsidR="00F254DD">
        <w:rPr>
          <w:rFonts w:ascii="Garamond" w:hAnsi="Garamond"/>
          <w:sz w:val="24"/>
          <w:szCs w:val="24"/>
        </w:rPr>
        <w:t>sation</w:t>
      </w:r>
      <w:r w:rsidRPr="00C32887">
        <w:rPr>
          <w:rFonts w:ascii="Garamond" w:hAnsi="Garamond"/>
          <w:sz w:val="24"/>
          <w:szCs w:val="24"/>
        </w:rPr>
        <w:t xml:space="preserve">al units, representatives </w:t>
      </w:r>
      <w:r w:rsidR="00B778BA">
        <w:rPr>
          <w:rFonts w:ascii="Garamond" w:hAnsi="Garamond"/>
          <w:sz w:val="24"/>
          <w:szCs w:val="24"/>
        </w:rPr>
        <w:t xml:space="preserve">of which </w:t>
      </w:r>
      <w:r w:rsidRPr="00C32887">
        <w:rPr>
          <w:rFonts w:ascii="Garamond" w:hAnsi="Garamond"/>
          <w:sz w:val="24"/>
          <w:szCs w:val="24"/>
        </w:rPr>
        <w:t xml:space="preserve">are members of the Coordination Group and the Operational Team, prepared the </w:t>
      </w:r>
      <w:r w:rsidRPr="0096368D">
        <w:rPr>
          <w:rFonts w:ascii="Garamond" w:hAnsi="Garamond"/>
          <w:b/>
          <w:sz w:val="24"/>
          <w:szCs w:val="24"/>
        </w:rPr>
        <w:t xml:space="preserve">Final </w:t>
      </w:r>
      <w:r w:rsidR="00B778BA" w:rsidRPr="0096368D">
        <w:rPr>
          <w:rFonts w:ascii="Garamond" w:hAnsi="Garamond"/>
          <w:b/>
          <w:sz w:val="24"/>
          <w:szCs w:val="24"/>
        </w:rPr>
        <w:t xml:space="preserve">Implementation </w:t>
      </w:r>
      <w:r w:rsidRPr="0096368D">
        <w:rPr>
          <w:rFonts w:ascii="Garamond" w:hAnsi="Garamond"/>
          <w:b/>
          <w:sz w:val="24"/>
          <w:szCs w:val="24"/>
        </w:rPr>
        <w:t xml:space="preserve">Report </w:t>
      </w:r>
      <w:r w:rsidR="00B778BA" w:rsidRPr="0096368D">
        <w:rPr>
          <w:rFonts w:ascii="Garamond" w:hAnsi="Garamond"/>
          <w:b/>
          <w:sz w:val="24"/>
          <w:szCs w:val="24"/>
        </w:rPr>
        <w:t>for the</w:t>
      </w:r>
      <w:r w:rsidRPr="0096368D">
        <w:rPr>
          <w:rFonts w:ascii="Garamond" w:hAnsi="Garamond"/>
          <w:b/>
          <w:sz w:val="24"/>
          <w:szCs w:val="24"/>
        </w:rPr>
        <w:t xml:space="preserve"> </w:t>
      </w:r>
      <w:r w:rsidR="0059577F" w:rsidRPr="0096368D">
        <w:rPr>
          <w:rFonts w:ascii="Garamond" w:hAnsi="Garamond"/>
          <w:b/>
          <w:sz w:val="24"/>
          <w:szCs w:val="24"/>
        </w:rPr>
        <w:t xml:space="preserve">2016-2020 </w:t>
      </w:r>
      <w:r w:rsidRPr="0096368D">
        <w:rPr>
          <w:rFonts w:ascii="Garamond" w:hAnsi="Garamond"/>
          <w:b/>
          <w:sz w:val="24"/>
          <w:szCs w:val="24"/>
        </w:rPr>
        <w:t>Public Financ</w:t>
      </w:r>
      <w:r w:rsidR="0059577F" w:rsidRPr="0096368D">
        <w:rPr>
          <w:rFonts w:ascii="Garamond" w:hAnsi="Garamond"/>
          <w:b/>
          <w:sz w:val="24"/>
          <w:szCs w:val="24"/>
        </w:rPr>
        <w:t>e</w:t>
      </w:r>
      <w:r w:rsidRPr="0096368D">
        <w:rPr>
          <w:rFonts w:ascii="Garamond" w:hAnsi="Garamond"/>
          <w:b/>
          <w:sz w:val="24"/>
          <w:szCs w:val="24"/>
        </w:rPr>
        <w:t xml:space="preserve"> Management Reform </w:t>
      </w:r>
      <w:r w:rsidR="00AB73F6" w:rsidRPr="0096368D">
        <w:rPr>
          <w:rFonts w:ascii="Garamond" w:hAnsi="Garamond"/>
          <w:b/>
          <w:sz w:val="24"/>
          <w:szCs w:val="24"/>
        </w:rPr>
        <w:t>Programme</w:t>
      </w:r>
      <w:r w:rsidRPr="00C32887">
        <w:rPr>
          <w:rFonts w:ascii="Garamond" w:hAnsi="Garamond"/>
          <w:sz w:val="24"/>
          <w:szCs w:val="24"/>
        </w:rPr>
        <w:t xml:space="preserve"> (hereinafter: the Report). </w:t>
      </w:r>
      <w:r w:rsidR="0096368D" w:rsidRPr="00C32887">
        <w:rPr>
          <w:rFonts w:ascii="Garamond" w:hAnsi="Garamond"/>
          <w:sz w:val="24"/>
          <w:szCs w:val="24"/>
        </w:rPr>
        <w:t xml:space="preserve">High </w:t>
      </w:r>
      <w:r w:rsidRPr="00C32887">
        <w:rPr>
          <w:rFonts w:ascii="Garamond" w:hAnsi="Garamond"/>
          <w:sz w:val="24"/>
          <w:szCs w:val="24"/>
        </w:rPr>
        <w:t xml:space="preserve">quality and </w:t>
      </w:r>
      <w:r w:rsidR="0096368D" w:rsidRPr="00C32887">
        <w:rPr>
          <w:rFonts w:ascii="Garamond" w:hAnsi="Garamond"/>
          <w:sz w:val="24"/>
          <w:szCs w:val="24"/>
        </w:rPr>
        <w:t>valuable</w:t>
      </w:r>
      <w:r w:rsidRPr="00C32887">
        <w:rPr>
          <w:rFonts w:ascii="Garamond" w:hAnsi="Garamond"/>
          <w:sz w:val="24"/>
          <w:szCs w:val="24"/>
        </w:rPr>
        <w:t xml:space="preserve"> monitoring and reporting in accordance with the Regulation on the </w:t>
      </w:r>
      <w:r w:rsidR="00D24DD1" w:rsidRPr="00C32887">
        <w:rPr>
          <w:rFonts w:ascii="Garamond" w:hAnsi="Garamond"/>
          <w:sz w:val="24"/>
          <w:szCs w:val="24"/>
        </w:rPr>
        <w:t xml:space="preserve">Procedure </w:t>
      </w:r>
      <w:r w:rsidRPr="00C32887">
        <w:rPr>
          <w:rFonts w:ascii="Garamond" w:hAnsi="Garamond"/>
          <w:sz w:val="24"/>
          <w:szCs w:val="24"/>
        </w:rPr>
        <w:t xml:space="preserve">for </w:t>
      </w:r>
      <w:r w:rsidR="00D24DD1" w:rsidRPr="00C32887">
        <w:rPr>
          <w:rFonts w:ascii="Garamond" w:hAnsi="Garamond"/>
          <w:sz w:val="24"/>
          <w:szCs w:val="24"/>
        </w:rPr>
        <w:t>Drafting</w:t>
      </w:r>
      <w:r w:rsidRPr="00C32887">
        <w:rPr>
          <w:rFonts w:ascii="Garamond" w:hAnsi="Garamond"/>
          <w:sz w:val="24"/>
          <w:szCs w:val="24"/>
        </w:rPr>
        <w:t xml:space="preserve">, </w:t>
      </w:r>
      <w:r w:rsidR="00D24DD1">
        <w:rPr>
          <w:rFonts w:ascii="Garamond" w:hAnsi="Garamond"/>
          <w:sz w:val="24"/>
          <w:szCs w:val="24"/>
        </w:rPr>
        <w:t>Harmonisi</w:t>
      </w:r>
      <w:r w:rsidR="00D24DD1" w:rsidRPr="00C32887">
        <w:rPr>
          <w:rFonts w:ascii="Garamond" w:hAnsi="Garamond"/>
          <w:sz w:val="24"/>
          <w:szCs w:val="24"/>
        </w:rPr>
        <w:t xml:space="preserve">ng </w:t>
      </w:r>
      <w:r w:rsidRPr="00C32887">
        <w:rPr>
          <w:rFonts w:ascii="Garamond" w:hAnsi="Garamond"/>
          <w:sz w:val="24"/>
          <w:szCs w:val="24"/>
        </w:rPr>
        <w:t xml:space="preserve">and </w:t>
      </w:r>
      <w:r w:rsidR="00D24DD1" w:rsidRPr="00C32887">
        <w:rPr>
          <w:rFonts w:ascii="Garamond" w:hAnsi="Garamond"/>
          <w:sz w:val="24"/>
          <w:szCs w:val="24"/>
        </w:rPr>
        <w:t xml:space="preserve">Monitoring </w:t>
      </w:r>
      <w:r w:rsidRPr="00C32887">
        <w:rPr>
          <w:rFonts w:ascii="Garamond" w:hAnsi="Garamond"/>
          <w:sz w:val="24"/>
          <w:szCs w:val="24"/>
        </w:rPr>
        <w:t xml:space="preserve">the </w:t>
      </w:r>
      <w:r w:rsidR="00D24DD1" w:rsidRPr="00C32887">
        <w:rPr>
          <w:rFonts w:ascii="Garamond" w:hAnsi="Garamond"/>
          <w:sz w:val="24"/>
          <w:szCs w:val="24"/>
        </w:rPr>
        <w:t xml:space="preserve">Implementation </w:t>
      </w:r>
      <w:r w:rsidR="0059577F" w:rsidRPr="00C32887">
        <w:rPr>
          <w:rFonts w:ascii="Garamond" w:hAnsi="Garamond"/>
          <w:sz w:val="24"/>
          <w:szCs w:val="24"/>
        </w:rPr>
        <w:t xml:space="preserve">of </w:t>
      </w:r>
      <w:r w:rsidR="00D24DD1" w:rsidRPr="00C32887">
        <w:rPr>
          <w:rFonts w:ascii="Garamond" w:hAnsi="Garamond"/>
          <w:sz w:val="24"/>
          <w:szCs w:val="24"/>
        </w:rPr>
        <w:t>Strategic Document</w:t>
      </w:r>
      <w:r w:rsidR="00D24DD1">
        <w:rPr>
          <w:rFonts w:ascii="Garamond" w:hAnsi="Garamond"/>
          <w:sz w:val="24"/>
          <w:szCs w:val="24"/>
        </w:rPr>
        <w:t>s</w:t>
      </w:r>
      <w:r w:rsidR="0059577F" w:rsidRPr="00C32887">
        <w:rPr>
          <w:rStyle w:val="FootnoteReference"/>
          <w:rFonts w:ascii="Garamond" w:hAnsi="Garamond"/>
          <w:sz w:val="24"/>
          <w:szCs w:val="24"/>
        </w:rPr>
        <w:footnoteReference w:id="2"/>
      </w:r>
      <w:r w:rsidRPr="00C32887">
        <w:rPr>
          <w:rFonts w:ascii="Garamond" w:hAnsi="Garamond"/>
          <w:sz w:val="24"/>
          <w:szCs w:val="24"/>
        </w:rPr>
        <w:t xml:space="preserve"> and the Methodology for Policy Development, </w:t>
      </w:r>
      <w:r w:rsidR="0059577F" w:rsidRPr="00C32887">
        <w:rPr>
          <w:rFonts w:ascii="Garamond" w:hAnsi="Garamond"/>
          <w:sz w:val="24"/>
          <w:szCs w:val="24"/>
        </w:rPr>
        <w:t>Preparation</w:t>
      </w:r>
      <w:r w:rsidRPr="00C32887">
        <w:rPr>
          <w:rFonts w:ascii="Garamond" w:hAnsi="Garamond"/>
          <w:sz w:val="24"/>
          <w:szCs w:val="24"/>
        </w:rPr>
        <w:t xml:space="preserve"> and Monitori</w:t>
      </w:r>
      <w:r w:rsidR="0059577F" w:rsidRPr="00C32887">
        <w:rPr>
          <w:rFonts w:ascii="Garamond" w:hAnsi="Garamond"/>
          <w:sz w:val="24"/>
          <w:szCs w:val="24"/>
        </w:rPr>
        <w:t>ng of Document Implementation</w:t>
      </w:r>
      <w:r w:rsidR="0059577F" w:rsidRPr="00C32887">
        <w:rPr>
          <w:rStyle w:val="FootnoteReference"/>
          <w:rFonts w:ascii="Garamond" w:hAnsi="Garamond"/>
          <w:sz w:val="24"/>
          <w:szCs w:val="24"/>
        </w:rPr>
        <w:footnoteReference w:id="3"/>
      </w:r>
      <w:r w:rsidR="0096368D">
        <w:rPr>
          <w:rFonts w:ascii="Garamond" w:hAnsi="Garamond"/>
          <w:sz w:val="24"/>
          <w:szCs w:val="24"/>
        </w:rPr>
        <w:t>, has been provided</w:t>
      </w:r>
      <w:r w:rsidRPr="00C32887">
        <w:rPr>
          <w:rFonts w:ascii="Garamond" w:hAnsi="Garamond"/>
          <w:sz w:val="24"/>
          <w:szCs w:val="24"/>
        </w:rPr>
        <w:t xml:space="preserve">. </w:t>
      </w:r>
      <w:r w:rsidR="00822083">
        <w:rPr>
          <w:rFonts w:ascii="Garamond" w:hAnsi="Garamond"/>
          <w:sz w:val="24"/>
          <w:szCs w:val="24"/>
        </w:rPr>
        <w:t>In addition</w:t>
      </w:r>
      <w:r w:rsidRPr="00C32887">
        <w:rPr>
          <w:rFonts w:ascii="Garamond" w:hAnsi="Garamond"/>
          <w:sz w:val="24"/>
          <w:szCs w:val="24"/>
        </w:rPr>
        <w:t>, full cooperation was achieved with the Ministry of Public Administrat</w:t>
      </w:r>
      <w:r w:rsidR="0059577F" w:rsidRPr="00C32887">
        <w:rPr>
          <w:rFonts w:ascii="Garamond" w:hAnsi="Garamond"/>
          <w:sz w:val="24"/>
          <w:szCs w:val="24"/>
        </w:rPr>
        <w:t>ion, Digital Society and Media</w:t>
      </w:r>
      <w:r w:rsidRPr="00C32887">
        <w:rPr>
          <w:rFonts w:ascii="Garamond" w:hAnsi="Garamond"/>
          <w:sz w:val="24"/>
          <w:szCs w:val="24"/>
        </w:rPr>
        <w:t xml:space="preserve">, through </w:t>
      </w:r>
      <w:r w:rsidR="00822083">
        <w:rPr>
          <w:rFonts w:ascii="Garamond" w:hAnsi="Garamond"/>
          <w:sz w:val="24"/>
          <w:szCs w:val="24"/>
        </w:rPr>
        <w:t>the</w:t>
      </w:r>
      <w:r w:rsidRPr="00C32887">
        <w:rPr>
          <w:rFonts w:ascii="Garamond" w:hAnsi="Garamond"/>
          <w:sz w:val="24"/>
          <w:szCs w:val="24"/>
        </w:rPr>
        <w:t xml:space="preserve"> Special Group for Public Administration Reform.</w:t>
      </w:r>
    </w:p>
    <w:p w:rsidR="004D1343" w:rsidRPr="00C32887" w:rsidRDefault="004D1343" w:rsidP="004D1343">
      <w:pPr>
        <w:rPr>
          <w:rFonts w:ascii="Garamond" w:hAnsi="Garamond"/>
          <w:sz w:val="24"/>
          <w:szCs w:val="24"/>
        </w:rPr>
      </w:pPr>
    </w:p>
    <w:p w:rsidR="004D1343" w:rsidRPr="00C32887" w:rsidRDefault="0059577F" w:rsidP="0059577F">
      <w:pPr>
        <w:jc w:val="both"/>
        <w:rPr>
          <w:rFonts w:ascii="Garamond" w:hAnsi="Garamond"/>
          <w:sz w:val="24"/>
          <w:szCs w:val="24"/>
        </w:rPr>
      </w:pPr>
      <w:r w:rsidRPr="00C32887">
        <w:rPr>
          <w:rFonts w:ascii="Garamond" w:hAnsi="Garamond"/>
          <w:sz w:val="24"/>
          <w:szCs w:val="24"/>
        </w:rPr>
        <w:t xml:space="preserve">The Report </w:t>
      </w:r>
      <w:r w:rsidR="004D1343" w:rsidRPr="00C32887">
        <w:rPr>
          <w:rFonts w:ascii="Garamond" w:hAnsi="Garamond"/>
          <w:sz w:val="24"/>
          <w:szCs w:val="24"/>
        </w:rPr>
        <w:t>was prepared in a</w:t>
      </w:r>
      <w:r w:rsidRPr="00C32887">
        <w:rPr>
          <w:rFonts w:ascii="Garamond" w:hAnsi="Garamond"/>
          <w:sz w:val="24"/>
          <w:szCs w:val="24"/>
        </w:rPr>
        <w:t xml:space="preserve">ccordance with the </w:t>
      </w:r>
      <w:r w:rsidR="00822083">
        <w:rPr>
          <w:rFonts w:ascii="Garamond" w:hAnsi="Garamond"/>
          <w:sz w:val="24"/>
          <w:szCs w:val="24"/>
        </w:rPr>
        <w:t>commitment</w:t>
      </w:r>
      <w:r w:rsidRPr="00C32887">
        <w:rPr>
          <w:rStyle w:val="FootnoteReference"/>
          <w:rFonts w:ascii="Garamond" w:hAnsi="Garamond"/>
          <w:sz w:val="24"/>
          <w:szCs w:val="24"/>
        </w:rPr>
        <w:footnoteReference w:id="4"/>
      </w:r>
      <w:r w:rsidRPr="00C32887">
        <w:rPr>
          <w:rFonts w:ascii="Garamond" w:hAnsi="Garamond"/>
          <w:sz w:val="24"/>
          <w:szCs w:val="24"/>
        </w:rPr>
        <w:t xml:space="preserve"> of t</w:t>
      </w:r>
      <w:r w:rsidR="004D1343" w:rsidRPr="00C32887">
        <w:rPr>
          <w:rFonts w:ascii="Garamond" w:hAnsi="Garamond"/>
          <w:sz w:val="24"/>
          <w:szCs w:val="24"/>
        </w:rPr>
        <w:t xml:space="preserve">he Ministry of Finance and Social Welfare to report to the Government on a regular basis, starting </w:t>
      </w:r>
      <w:r w:rsidR="00822083">
        <w:rPr>
          <w:rFonts w:ascii="Garamond" w:hAnsi="Garamond"/>
          <w:sz w:val="24"/>
          <w:szCs w:val="24"/>
        </w:rPr>
        <w:t>from</w:t>
      </w:r>
      <w:r w:rsidR="004D1343" w:rsidRPr="00C32887">
        <w:rPr>
          <w:rFonts w:ascii="Garamond" w:hAnsi="Garamond"/>
          <w:sz w:val="24"/>
          <w:szCs w:val="24"/>
        </w:rPr>
        <w:t xml:space="preserve"> 2017, and to inform the European Commission twice a year on the progress made through the implementation of the </w:t>
      </w:r>
      <w:r w:rsidR="00B778BA">
        <w:rPr>
          <w:rFonts w:ascii="Garamond" w:hAnsi="Garamond"/>
          <w:sz w:val="24"/>
          <w:szCs w:val="24"/>
        </w:rPr>
        <w:t>Programme</w:t>
      </w:r>
      <w:r w:rsidR="004D1343" w:rsidRPr="00C32887">
        <w:rPr>
          <w:rFonts w:ascii="Garamond" w:hAnsi="Garamond"/>
          <w:sz w:val="24"/>
          <w:szCs w:val="24"/>
        </w:rPr>
        <w:t xml:space="preserve">. In addition, </w:t>
      </w:r>
      <w:r w:rsidR="006D0581" w:rsidRPr="00C32887">
        <w:rPr>
          <w:rFonts w:ascii="Garamond" w:hAnsi="Garamond"/>
          <w:sz w:val="24"/>
          <w:szCs w:val="24"/>
        </w:rPr>
        <w:t>the process of prepar</w:t>
      </w:r>
      <w:r w:rsidR="00822083">
        <w:rPr>
          <w:rFonts w:ascii="Garamond" w:hAnsi="Garamond"/>
          <w:sz w:val="24"/>
          <w:szCs w:val="24"/>
        </w:rPr>
        <w:t>ation of</w:t>
      </w:r>
      <w:r w:rsidR="006D0581" w:rsidRPr="00C32887">
        <w:rPr>
          <w:rFonts w:ascii="Garamond" w:hAnsi="Garamond"/>
          <w:sz w:val="24"/>
          <w:szCs w:val="24"/>
        </w:rPr>
        <w:t xml:space="preserve"> the</w:t>
      </w:r>
      <w:r w:rsidR="004D1343" w:rsidRPr="00C32887">
        <w:rPr>
          <w:rFonts w:ascii="Garamond" w:hAnsi="Garamond"/>
          <w:sz w:val="24"/>
          <w:szCs w:val="24"/>
        </w:rPr>
        <w:t xml:space="preserve"> </w:t>
      </w:r>
      <w:r w:rsidR="006D0581" w:rsidRPr="00C32887">
        <w:rPr>
          <w:rFonts w:ascii="Garamond" w:hAnsi="Garamond"/>
          <w:sz w:val="24"/>
          <w:szCs w:val="24"/>
        </w:rPr>
        <w:t>Draft Report involved other stakeholders,</w:t>
      </w:r>
      <w:r w:rsidR="004D1343" w:rsidRPr="00C32887">
        <w:rPr>
          <w:rFonts w:ascii="Garamond" w:hAnsi="Garamond"/>
          <w:sz w:val="24"/>
          <w:szCs w:val="24"/>
        </w:rPr>
        <w:t xml:space="preserve"> non-governmental organi</w:t>
      </w:r>
      <w:r w:rsidR="00F254DD">
        <w:rPr>
          <w:rFonts w:ascii="Garamond" w:hAnsi="Garamond"/>
          <w:sz w:val="24"/>
          <w:szCs w:val="24"/>
        </w:rPr>
        <w:t>sation</w:t>
      </w:r>
      <w:r w:rsidR="004D1343" w:rsidRPr="00C32887">
        <w:rPr>
          <w:rFonts w:ascii="Garamond" w:hAnsi="Garamond"/>
          <w:sz w:val="24"/>
          <w:szCs w:val="24"/>
        </w:rPr>
        <w:t xml:space="preserve">s associated with the process of public administration reform (Institute Alternative and Center for Democratic Transition), in order </w:t>
      </w:r>
      <w:r w:rsidR="006D0581" w:rsidRPr="00C32887">
        <w:rPr>
          <w:rFonts w:ascii="Garamond" w:hAnsi="Garamond"/>
          <w:sz w:val="24"/>
          <w:szCs w:val="24"/>
        </w:rPr>
        <w:t xml:space="preserve">for them </w:t>
      </w:r>
      <w:r w:rsidR="004D1343" w:rsidRPr="00C32887">
        <w:rPr>
          <w:rFonts w:ascii="Garamond" w:hAnsi="Garamond"/>
          <w:sz w:val="24"/>
          <w:szCs w:val="24"/>
        </w:rPr>
        <w:t xml:space="preserve">to provide suggestions and comments.   </w:t>
      </w:r>
    </w:p>
    <w:p w:rsidR="004D1343" w:rsidRPr="00C32887" w:rsidRDefault="004D1343" w:rsidP="004D1343">
      <w:pPr>
        <w:rPr>
          <w:rFonts w:ascii="Garamond" w:hAnsi="Garamond"/>
          <w:sz w:val="24"/>
          <w:szCs w:val="24"/>
        </w:rPr>
      </w:pPr>
    </w:p>
    <w:p w:rsidR="004D1343" w:rsidRPr="00C32887" w:rsidRDefault="004D1343" w:rsidP="006D0581">
      <w:pPr>
        <w:jc w:val="both"/>
        <w:rPr>
          <w:rFonts w:ascii="Garamond" w:hAnsi="Garamond"/>
          <w:sz w:val="24"/>
          <w:szCs w:val="24"/>
        </w:rPr>
      </w:pPr>
      <w:r w:rsidRPr="00C32887">
        <w:rPr>
          <w:rFonts w:ascii="Garamond" w:hAnsi="Garamond"/>
          <w:sz w:val="24"/>
          <w:szCs w:val="24"/>
        </w:rPr>
        <w:t xml:space="preserve">The purpose </w:t>
      </w:r>
      <w:r w:rsidR="006D0581" w:rsidRPr="00C32887">
        <w:rPr>
          <w:rFonts w:ascii="Garamond" w:hAnsi="Garamond"/>
          <w:sz w:val="24"/>
          <w:szCs w:val="24"/>
        </w:rPr>
        <w:t xml:space="preserve">of the </w:t>
      </w:r>
      <w:r w:rsidR="006D0581" w:rsidRPr="00C32887">
        <w:rPr>
          <w:rFonts w:ascii="Garamond" w:hAnsi="Garamond"/>
          <w:b/>
          <w:sz w:val="24"/>
          <w:szCs w:val="24"/>
        </w:rPr>
        <w:t>Report</w:t>
      </w:r>
      <w:r w:rsidR="006D0581" w:rsidRPr="00C32887">
        <w:rPr>
          <w:rFonts w:ascii="Garamond" w:hAnsi="Garamond"/>
          <w:sz w:val="24"/>
          <w:szCs w:val="24"/>
        </w:rPr>
        <w:t xml:space="preserve"> is</w:t>
      </w:r>
      <w:r w:rsidRPr="00C32887">
        <w:rPr>
          <w:rFonts w:ascii="Garamond" w:hAnsi="Garamond"/>
          <w:sz w:val="24"/>
          <w:szCs w:val="24"/>
        </w:rPr>
        <w:t xml:space="preserve"> the provision of information </w:t>
      </w:r>
      <w:r w:rsidR="00822083">
        <w:rPr>
          <w:rFonts w:ascii="Garamond" w:hAnsi="Garamond"/>
          <w:sz w:val="24"/>
          <w:szCs w:val="24"/>
        </w:rPr>
        <w:t>concerning the</w:t>
      </w:r>
      <w:r w:rsidRPr="00C32887">
        <w:rPr>
          <w:rFonts w:ascii="Garamond" w:hAnsi="Garamond"/>
          <w:sz w:val="24"/>
          <w:szCs w:val="24"/>
        </w:rPr>
        <w:t xml:space="preserve"> results and assessment of performance indicators for the further implementation and improve</w:t>
      </w:r>
      <w:r w:rsidR="006D0581" w:rsidRPr="00C32887">
        <w:rPr>
          <w:rFonts w:ascii="Garamond" w:hAnsi="Garamond"/>
          <w:sz w:val="24"/>
          <w:szCs w:val="24"/>
        </w:rPr>
        <w:t xml:space="preserve">ment of the overall status of the 2016- 2020 </w:t>
      </w:r>
      <w:r w:rsidR="00B778BA">
        <w:rPr>
          <w:rFonts w:ascii="Garamond" w:hAnsi="Garamond"/>
          <w:sz w:val="24"/>
          <w:szCs w:val="24"/>
        </w:rPr>
        <w:t>Programme</w:t>
      </w:r>
      <w:r w:rsidR="006D0581" w:rsidRPr="00C32887">
        <w:rPr>
          <w:rStyle w:val="FootnoteReference"/>
          <w:rFonts w:ascii="Garamond" w:hAnsi="Garamond"/>
          <w:sz w:val="24"/>
          <w:szCs w:val="24"/>
        </w:rPr>
        <w:footnoteReference w:id="5"/>
      </w:r>
      <w:r w:rsidR="00822083">
        <w:rPr>
          <w:rFonts w:ascii="Garamond" w:hAnsi="Garamond"/>
          <w:sz w:val="24"/>
          <w:szCs w:val="24"/>
        </w:rPr>
        <w:t>,</w:t>
      </w:r>
      <w:r w:rsidRPr="00C32887">
        <w:rPr>
          <w:rFonts w:ascii="Garamond" w:hAnsi="Garamond"/>
          <w:sz w:val="24"/>
          <w:szCs w:val="24"/>
        </w:rPr>
        <w:t xml:space="preserve"> with </w:t>
      </w:r>
      <w:r w:rsidR="00AB73F6" w:rsidRPr="00C32887">
        <w:rPr>
          <w:rFonts w:ascii="Garamond" w:hAnsi="Garamond"/>
          <w:sz w:val="24"/>
          <w:szCs w:val="24"/>
        </w:rPr>
        <w:t>the main focus on the year 2020</w:t>
      </w:r>
      <w:r w:rsidRPr="00C32887">
        <w:rPr>
          <w:rFonts w:ascii="Garamond" w:hAnsi="Garamond"/>
          <w:sz w:val="24"/>
          <w:szCs w:val="24"/>
        </w:rPr>
        <w:t xml:space="preserve">, as well as </w:t>
      </w:r>
      <w:r w:rsidR="00822083">
        <w:rPr>
          <w:rFonts w:ascii="Garamond" w:hAnsi="Garamond"/>
          <w:sz w:val="24"/>
          <w:szCs w:val="24"/>
        </w:rPr>
        <w:t>to stress the</w:t>
      </w:r>
      <w:r w:rsidRPr="00C32887">
        <w:rPr>
          <w:rFonts w:ascii="Garamond" w:hAnsi="Garamond"/>
          <w:sz w:val="24"/>
          <w:szCs w:val="24"/>
        </w:rPr>
        <w:t xml:space="preserve"> advantages and disadvantages of the entire </w:t>
      </w:r>
      <w:r w:rsidR="000B2567" w:rsidRPr="00C32887">
        <w:rPr>
          <w:rFonts w:ascii="Garamond" w:hAnsi="Garamond"/>
          <w:sz w:val="24"/>
          <w:szCs w:val="24"/>
        </w:rPr>
        <w:t xml:space="preserve">public finance </w:t>
      </w:r>
      <w:r w:rsidRPr="00C32887">
        <w:rPr>
          <w:rFonts w:ascii="Garamond" w:hAnsi="Garamond"/>
          <w:sz w:val="24"/>
          <w:szCs w:val="24"/>
        </w:rPr>
        <w:t>system, challenges and recommendations for furt</w:t>
      </w:r>
      <w:r w:rsidR="00D24DD1">
        <w:rPr>
          <w:rFonts w:ascii="Garamond" w:hAnsi="Garamond"/>
          <w:sz w:val="24"/>
          <w:szCs w:val="24"/>
        </w:rPr>
        <w:t>her development and improvement;</w:t>
      </w:r>
      <w:r w:rsidRPr="00C32887">
        <w:rPr>
          <w:rFonts w:ascii="Garamond" w:hAnsi="Garamond"/>
          <w:sz w:val="24"/>
          <w:szCs w:val="24"/>
        </w:rPr>
        <w:t xml:space="preserve"> while the </w:t>
      </w:r>
      <w:r w:rsidR="00822083" w:rsidRPr="00822083">
        <w:rPr>
          <w:rFonts w:ascii="Garamond" w:hAnsi="Garamond"/>
          <w:b/>
          <w:sz w:val="24"/>
          <w:szCs w:val="24"/>
        </w:rPr>
        <w:t>2020</w:t>
      </w:r>
      <w:r w:rsidR="00822083" w:rsidRPr="00C32887">
        <w:rPr>
          <w:rFonts w:ascii="Garamond" w:hAnsi="Garamond"/>
          <w:sz w:val="24"/>
          <w:szCs w:val="24"/>
        </w:rPr>
        <w:t xml:space="preserve"> </w:t>
      </w:r>
      <w:r w:rsidRPr="00C32887">
        <w:rPr>
          <w:rFonts w:ascii="Garamond" w:hAnsi="Garamond"/>
          <w:b/>
          <w:sz w:val="24"/>
          <w:szCs w:val="24"/>
        </w:rPr>
        <w:t>Action Plan</w:t>
      </w:r>
      <w:r w:rsidR="000B2567">
        <w:rPr>
          <w:rFonts w:ascii="Garamond" w:hAnsi="Garamond"/>
          <w:sz w:val="24"/>
          <w:szCs w:val="24"/>
        </w:rPr>
        <w:t xml:space="preserve"> for the i</w:t>
      </w:r>
      <w:r w:rsidRPr="00C32887">
        <w:rPr>
          <w:rFonts w:ascii="Garamond" w:hAnsi="Garamond"/>
          <w:sz w:val="24"/>
          <w:szCs w:val="24"/>
        </w:rPr>
        <w:t xml:space="preserve">mplementation of the </w:t>
      </w:r>
      <w:r w:rsidR="00B778BA">
        <w:rPr>
          <w:rFonts w:ascii="Garamond" w:hAnsi="Garamond"/>
          <w:sz w:val="24"/>
          <w:szCs w:val="24"/>
        </w:rPr>
        <w:t>Programme</w:t>
      </w:r>
      <w:r w:rsidR="00AB73F6" w:rsidRPr="00C32887">
        <w:rPr>
          <w:rFonts w:ascii="Garamond" w:hAnsi="Garamond"/>
          <w:sz w:val="24"/>
          <w:szCs w:val="24"/>
        </w:rPr>
        <w:t xml:space="preserve"> </w:t>
      </w:r>
      <w:r w:rsidRPr="00C32887">
        <w:rPr>
          <w:rFonts w:ascii="Garamond" w:hAnsi="Garamond"/>
          <w:sz w:val="24"/>
          <w:szCs w:val="24"/>
        </w:rPr>
        <w:t xml:space="preserve">(hereinafter: </w:t>
      </w:r>
      <w:r w:rsidR="00AB73F6" w:rsidRPr="00C32887">
        <w:rPr>
          <w:rFonts w:ascii="Garamond" w:hAnsi="Garamond"/>
          <w:sz w:val="24"/>
          <w:szCs w:val="24"/>
        </w:rPr>
        <w:t xml:space="preserve">2020 </w:t>
      </w:r>
      <w:r w:rsidRPr="00C32887">
        <w:rPr>
          <w:rFonts w:ascii="Garamond" w:hAnsi="Garamond"/>
          <w:sz w:val="24"/>
          <w:szCs w:val="24"/>
        </w:rPr>
        <w:t>AP</w:t>
      </w:r>
      <w:r w:rsidR="00AB73F6" w:rsidRPr="00C32887">
        <w:rPr>
          <w:rFonts w:ascii="Garamond" w:hAnsi="Garamond"/>
          <w:sz w:val="24"/>
          <w:szCs w:val="24"/>
        </w:rPr>
        <w:t>) is intended to show the degree of implementation</w:t>
      </w:r>
      <w:r w:rsidRPr="00C32887">
        <w:rPr>
          <w:rFonts w:ascii="Garamond" w:hAnsi="Garamond"/>
          <w:sz w:val="24"/>
          <w:szCs w:val="24"/>
        </w:rPr>
        <w:t xml:space="preserve"> of activities </w:t>
      </w:r>
      <w:r w:rsidR="00AB73F6" w:rsidRPr="00C32887">
        <w:rPr>
          <w:rFonts w:ascii="Garamond" w:hAnsi="Garamond"/>
          <w:sz w:val="24"/>
          <w:szCs w:val="24"/>
        </w:rPr>
        <w:t xml:space="preserve">where progress </w:t>
      </w:r>
      <w:r w:rsidR="00D7548B">
        <w:rPr>
          <w:rFonts w:ascii="Garamond" w:hAnsi="Garamond"/>
          <w:sz w:val="24"/>
          <w:szCs w:val="24"/>
        </w:rPr>
        <w:t>has been achieved, and forecast</w:t>
      </w:r>
      <w:r w:rsidR="00AB73F6" w:rsidRPr="00C32887">
        <w:rPr>
          <w:rFonts w:ascii="Garamond" w:hAnsi="Garamond"/>
          <w:sz w:val="24"/>
          <w:szCs w:val="24"/>
        </w:rPr>
        <w:t xml:space="preserve"> </w:t>
      </w:r>
      <w:r w:rsidRPr="00C32887">
        <w:rPr>
          <w:rFonts w:ascii="Garamond" w:hAnsi="Garamond"/>
          <w:sz w:val="24"/>
          <w:szCs w:val="24"/>
        </w:rPr>
        <w:t xml:space="preserve">financial resources necessary to implement certain </w:t>
      </w:r>
      <w:r w:rsidR="00822083">
        <w:rPr>
          <w:rFonts w:ascii="Garamond" w:hAnsi="Garamond"/>
          <w:sz w:val="24"/>
          <w:szCs w:val="24"/>
        </w:rPr>
        <w:t>objectives</w:t>
      </w:r>
      <w:r w:rsidR="00AB73F6" w:rsidRPr="00C32887">
        <w:rPr>
          <w:rFonts w:ascii="Garamond" w:hAnsi="Garamond"/>
          <w:sz w:val="24"/>
          <w:szCs w:val="24"/>
        </w:rPr>
        <w:t xml:space="preserve"> of the </w:t>
      </w:r>
      <w:r w:rsidR="00B778BA">
        <w:rPr>
          <w:rFonts w:ascii="Garamond" w:hAnsi="Garamond"/>
          <w:sz w:val="24"/>
          <w:szCs w:val="24"/>
        </w:rPr>
        <w:t>Programme</w:t>
      </w:r>
      <w:r w:rsidRPr="00C32887">
        <w:rPr>
          <w:rFonts w:ascii="Garamond" w:hAnsi="Garamond"/>
          <w:sz w:val="24"/>
          <w:szCs w:val="24"/>
        </w:rPr>
        <w:t xml:space="preserve">. Within the Report, in addition to the above, 2020 </w:t>
      </w:r>
      <w:r w:rsidR="00AB73F6" w:rsidRPr="00C32887">
        <w:rPr>
          <w:rFonts w:ascii="Garamond" w:hAnsi="Garamond"/>
          <w:sz w:val="24"/>
          <w:szCs w:val="24"/>
        </w:rPr>
        <w:t>AP</w:t>
      </w:r>
      <w:r w:rsidR="0044476B">
        <w:rPr>
          <w:rFonts w:ascii="Garamond" w:hAnsi="Garamond"/>
          <w:sz w:val="24"/>
          <w:szCs w:val="24"/>
        </w:rPr>
        <w:t xml:space="preserve"> also include</w:t>
      </w:r>
      <w:r w:rsidR="00D7548B">
        <w:rPr>
          <w:rFonts w:ascii="Garamond" w:hAnsi="Garamond"/>
          <w:sz w:val="24"/>
          <w:szCs w:val="24"/>
        </w:rPr>
        <w:t>d</w:t>
      </w:r>
      <w:r w:rsidR="0044476B">
        <w:rPr>
          <w:rFonts w:ascii="Garamond" w:hAnsi="Garamond"/>
          <w:sz w:val="24"/>
          <w:szCs w:val="24"/>
        </w:rPr>
        <w:t xml:space="preserve"> </w:t>
      </w:r>
      <w:r w:rsidR="0044476B" w:rsidRPr="0044476B">
        <w:rPr>
          <w:rFonts w:ascii="Garamond" w:hAnsi="Garamond"/>
          <w:b/>
          <w:sz w:val="24"/>
          <w:szCs w:val="24"/>
        </w:rPr>
        <w:t>Performance Indicator Passports</w:t>
      </w:r>
      <w:r w:rsidR="00AB73F6" w:rsidRPr="00C32887">
        <w:rPr>
          <w:rStyle w:val="FootnoteReference"/>
          <w:rFonts w:ascii="Garamond" w:hAnsi="Garamond"/>
          <w:sz w:val="24"/>
          <w:szCs w:val="24"/>
        </w:rPr>
        <w:footnoteReference w:id="6"/>
      </w:r>
      <w:r w:rsidR="00AB73F6" w:rsidRPr="00C32887">
        <w:rPr>
          <w:rFonts w:ascii="Garamond" w:hAnsi="Garamond"/>
          <w:sz w:val="24"/>
          <w:szCs w:val="24"/>
        </w:rPr>
        <w:t>,</w:t>
      </w:r>
      <w:r w:rsidRPr="00C32887">
        <w:rPr>
          <w:rFonts w:ascii="Garamond" w:hAnsi="Garamond"/>
          <w:sz w:val="24"/>
          <w:szCs w:val="24"/>
        </w:rPr>
        <w:t xml:space="preserve"> </w:t>
      </w:r>
      <w:r w:rsidR="0044476B">
        <w:rPr>
          <w:rFonts w:ascii="Garamond" w:hAnsi="Garamond"/>
          <w:sz w:val="24"/>
          <w:szCs w:val="24"/>
        </w:rPr>
        <w:t>thereby improving</w:t>
      </w:r>
      <w:r w:rsidRPr="00C32887">
        <w:rPr>
          <w:rFonts w:ascii="Garamond" w:hAnsi="Garamond"/>
          <w:sz w:val="24"/>
          <w:szCs w:val="24"/>
        </w:rPr>
        <w:t xml:space="preserve"> the reliability and transparency of the </w:t>
      </w:r>
      <w:r w:rsidR="0044476B" w:rsidRPr="00C32887">
        <w:rPr>
          <w:rFonts w:ascii="Garamond" w:hAnsi="Garamond"/>
          <w:sz w:val="24"/>
          <w:szCs w:val="24"/>
        </w:rPr>
        <w:t>Report</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0B2567" w:rsidP="00AB73F6">
      <w:pPr>
        <w:jc w:val="both"/>
        <w:rPr>
          <w:rFonts w:ascii="Garamond" w:hAnsi="Garamond"/>
          <w:sz w:val="24"/>
          <w:szCs w:val="24"/>
        </w:rPr>
      </w:pPr>
      <w:r>
        <w:rPr>
          <w:rFonts w:ascii="Garamond" w:hAnsi="Garamond"/>
          <w:sz w:val="24"/>
          <w:szCs w:val="24"/>
        </w:rPr>
        <w:t>Note must be taken</w:t>
      </w:r>
      <w:r w:rsidR="00AB73F6" w:rsidRPr="00C32887">
        <w:rPr>
          <w:rFonts w:ascii="Garamond" w:hAnsi="Garamond"/>
          <w:sz w:val="24"/>
          <w:szCs w:val="24"/>
        </w:rPr>
        <w:t xml:space="preserve"> that</w:t>
      </w:r>
      <w:r w:rsidR="004D1343" w:rsidRPr="00C32887">
        <w:rPr>
          <w:rFonts w:ascii="Garamond" w:hAnsi="Garamond"/>
          <w:sz w:val="24"/>
          <w:szCs w:val="24"/>
        </w:rPr>
        <w:t xml:space="preserve"> with the adoption of the </w:t>
      </w:r>
      <w:r w:rsidR="00AB73F6" w:rsidRPr="00C32887">
        <w:rPr>
          <w:rFonts w:ascii="Garamond" w:hAnsi="Garamond"/>
          <w:sz w:val="24"/>
          <w:szCs w:val="24"/>
        </w:rPr>
        <w:t xml:space="preserve">Report, </w:t>
      </w:r>
      <w:r w:rsidR="004D1343" w:rsidRPr="00C32887">
        <w:rPr>
          <w:rFonts w:ascii="Garamond" w:hAnsi="Garamond"/>
          <w:sz w:val="24"/>
          <w:szCs w:val="24"/>
        </w:rPr>
        <w:t xml:space="preserve">the </w:t>
      </w:r>
      <w:r w:rsidR="00AB73F6" w:rsidRPr="00C32887">
        <w:rPr>
          <w:rFonts w:ascii="Garamond" w:hAnsi="Garamond"/>
          <w:sz w:val="24"/>
          <w:szCs w:val="24"/>
        </w:rPr>
        <w:t xml:space="preserve">2016-2020 Public Finance Management Reform </w:t>
      </w:r>
      <w:r w:rsidR="00B778BA">
        <w:rPr>
          <w:rFonts w:ascii="Garamond" w:hAnsi="Garamond"/>
          <w:sz w:val="24"/>
          <w:szCs w:val="24"/>
        </w:rPr>
        <w:t>Programme</w:t>
      </w:r>
      <w:r w:rsidR="004D1343" w:rsidRPr="00C32887">
        <w:rPr>
          <w:rFonts w:ascii="Garamond" w:hAnsi="Garamond"/>
          <w:sz w:val="24"/>
          <w:szCs w:val="24"/>
        </w:rPr>
        <w:t xml:space="preserve">, as well as the accompanying </w:t>
      </w:r>
      <w:r w:rsidR="00AB73F6" w:rsidRPr="00C32887">
        <w:rPr>
          <w:rFonts w:ascii="Garamond" w:hAnsi="Garamond"/>
          <w:sz w:val="24"/>
          <w:szCs w:val="24"/>
        </w:rPr>
        <w:t xml:space="preserve">2020 </w:t>
      </w:r>
      <w:r w:rsidR="004D1343" w:rsidRPr="00C32887">
        <w:rPr>
          <w:rFonts w:ascii="Garamond" w:hAnsi="Garamond"/>
          <w:sz w:val="24"/>
          <w:szCs w:val="24"/>
        </w:rPr>
        <w:t>Action Plan</w:t>
      </w:r>
      <w:r w:rsidR="0044476B">
        <w:rPr>
          <w:rFonts w:ascii="Garamond" w:hAnsi="Garamond"/>
          <w:sz w:val="24"/>
          <w:szCs w:val="24"/>
        </w:rPr>
        <w:t>, cease to be valid</w:t>
      </w:r>
      <w:r w:rsidR="004D1343"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7E4A" w:rsidP="00AB73F6">
      <w:pPr>
        <w:jc w:val="both"/>
        <w:rPr>
          <w:rFonts w:ascii="Garamond" w:hAnsi="Garamond"/>
          <w:sz w:val="24"/>
          <w:szCs w:val="24"/>
        </w:rPr>
      </w:pPr>
      <w:proofErr w:type="gramStart"/>
      <w:r>
        <w:rPr>
          <w:rFonts w:ascii="Garamond" w:hAnsi="Garamond"/>
          <w:sz w:val="24"/>
          <w:szCs w:val="24"/>
        </w:rPr>
        <w:t xml:space="preserve">The </w:t>
      </w:r>
      <w:r w:rsidR="00AB73F6" w:rsidRPr="00C32887">
        <w:rPr>
          <w:rFonts w:ascii="Garamond" w:hAnsi="Garamond"/>
          <w:sz w:val="24"/>
          <w:szCs w:val="24"/>
        </w:rPr>
        <w:t>2016-2020</w:t>
      </w:r>
      <w:r w:rsidR="00C32887">
        <w:rPr>
          <w:rFonts w:ascii="Garamond" w:hAnsi="Garamond"/>
          <w:sz w:val="24"/>
          <w:szCs w:val="24"/>
        </w:rPr>
        <w:t xml:space="preserve"> </w:t>
      </w:r>
      <w:r w:rsidR="004D1343" w:rsidRPr="00C32887">
        <w:rPr>
          <w:rFonts w:ascii="Garamond" w:hAnsi="Garamond"/>
          <w:sz w:val="24"/>
          <w:szCs w:val="24"/>
        </w:rPr>
        <w:t>Public Financ</w:t>
      </w:r>
      <w:r w:rsidR="00AB73F6" w:rsidRPr="00C32887">
        <w:rPr>
          <w:rFonts w:ascii="Garamond" w:hAnsi="Garamond"/>
          <w:sz w:val="24"/>
          <w:szCs w:val="24"/>
        </w:rPr>
        <w:t>e</w:t>
      </w:r>
      <w:r w:rsidR="004D1343" w:rsidRPr="00C32887">
        <w:rPr>
          <w:rFonts w:ascii="Garamond" w:hAnsi="Garamond"/>
          <w:sz w:val="24"/>
          <w:szCs w:val="24"/>
        </w:rPr>
        <w:t xml:space="preserve"> Management Reform </w:t>
      </w:r>
      <w:r w:rsidR="00AB73F6" w:rsidRPr="00C32887">
        <w:rPr>
          <w:rFonts w:ascii="Garamond" w:hAnsi="Garamond"/>
          <w:sz w:val="24"/>
          <w:szCs w:val="24"/>
        </w:rPr>
        <w:t>Programme</w:t>
      </w:r>
      <w:r w:rsidR="004D1343" w:rsidRPr="00C32887">
        <w:rPr>
          <w:rFonts w:ascii="Garamond" w:hAnsi="Garamond"/>
          <w:sz w:val="24"/>
          <w:szCs w:val="24"/>
        </w:rPr>
        <w:t xml:space="preserve"> was originally adopted on December 3</w:t>
      </w:r>
      <w:r w:rsidR="00AB73F6" w:rsidRPr="00C32887">
        <w:rPr>
          <w:rFonts w:ascii="Garamond" w:hAnsi="Garamond"/>
          <w:sz w:val="24"/>
          <w:szCs w:val="24"/>
        </w:rPr>
        <w:t>, 2015 and amended in June 2017</w:t>
      </w:r>
      <w:r w:rsidR="00AB73F6" w:rsidRPr="00C32887">
        <w:rPr>
          <w:rStyle w:val="FootnoteReference"/>
          <w:rFonts w:ascii="Garamond" w:hAnsi="Garamond"/>
          <w:sz w:val="24"/>
          <w:szCs w:val="24"/>
        </w:rPr>
        <w:footnoteReference w:id="7"/>
      </w:r>
      <w:r w:rsidR="004D1343" w:rsidRPr="00C32887">
        <w:rPr>
          <w:rFonts w:ascii="Garamond" w:hAnsi="Garamond"/>
          <w:sz w:val="24"/>
          <w:szCs w:val="24"/>
        </w:rPr>
        <w:t>.</w:t>
      </w:r>
      <w:proofErr w:type="gramEnd"/>
      <w:r w:rsidR="004D1343" w:rsidRPr="00C32887">
        <w:rPr>
          <w:rFonts w:ascii="Garamond" w:hAnsi="Garamond"/>
          <w:sz w:val="24"/>
          <w:szCs w:val="24"/>
        </w:rPr>
        <w:t xml:space="preserve"> </w:t>
      </w:r>
      <w:r w:rsidR="00A24AAD">
        <w:rPr>
          <w:rFonts w:ascii="Garamond" w:hAnsi="Garamond"/>
          <w:sz w:val="24"/>
          <w:szCs w:val="24"/>
        </w:rPr>
        <w:t>Following</w:t>
      </w:r>
      <w:r w:rsidR="004D1343" w:rsidRPr="00C32887">
        <w:rPr>
          <w:rFonts w:ascii="Garamond" w:hAnsi="Garamond"/>
          <w:sz w:val="24"/>
          <w:szCs w:val="24"/>
        </w:rPr>
        <w:t xml:space="preserve"> the adoption </w:t>
      </w:r>
      <w:r w:rsidR="00AB73F6" w:rsidRPr="00C32887">
        <w:rPr>
          <w:rFonts w:ascii="Garamond" w:hAnsi="Garamond"/>
          <w:sz w:val="24"/>
          <w:szCs w:val="24"/>
        </w:rPr>
        <w:t xml:space="preserve">of the </w:t>
      </w:r>
      <w:r w:rsidRPr="00C32887">
        <w:rPr>
          <w:rFonts w:ascii="Garamond" w:hAnsi="Garamond"/>
          <w:sz w:val="24"/>
          <w:szCs w:val="24"/>
        </w:rPr>
        <w:t xml:space="preserve">Programme Implementation </w:t>
      </w:r>
      <w:r w:rsidR="00AB73F6" w:rsidRPr="00C32887">
        <w:rPr>
          <w:rFonts w:ascii="Garamond" w:hAnsi="Garamond"/>
          <w:sz w:val="24"/>
          <w:szCs w:val="24"/>
        </w:rPr>
        <w:t>Report</w:t>
      </w:r>
      <w:r w:rsidR="004D1343" w:rsidRPr="00C32887">
        <w:rPr>
          <w:rFonts w:ascii="Garamond" w:hAnsi="Garamond"/>
          <w:sz w:val="24"/>
          <w:szCs w:val="24"/>
        </w:rPr>
        <w:t xml:space="preserve"> and the accompanying </w:t>
      </w:r>
      <w:r w:rsidR="00AB73F6" w:rsidRPr="00C32887">
        <w:rPr>
          <w:rFonts w:ascii="Garamond" w:hAnsi="Garamond"/>
          <w:sz w:val="24"/>
          <w:szCs w:val="24"/>
        </w:rPr>
        <w:t xml:space="preserve">2020 </w:t>
      </w:r>
      <w:r w:rsidR="004D1343" w:rsidRPr="00C32887">
        <w:rPr>
          <w:rFonts w:ascii="Garamond" w:hAnsi="Garamond"/>
          <w:sz w:val="24"/>
          <w:szCs w:val="24"/>
        </w:rPr>
        <w:t>AP</w:t>
      </w:r>
      <w:r w:rsidR="00AB73F6" w:rsidRPr="00C32887">
        <w:rPr>
          <w:rStyle w:val="FootnoteReference"/>
          <w:rFonts w:ascii="Garamond" w:hAnsi="Garamond"/>
          <w:sz w:val="24"/>
          <w:szCs w:val="24"/>
        </w:rPr>
        <w:footnoteReference w:id="8"/>
      </w:r>
      <w:r w:rsidR="00AB73F6" w:rsidRPr="00C32887">
        <w:rPr>
          <w:rFonts w:ascii="Garamond" w:hAnsi="Garamond"/>
          <w:sz w:val="24"/>
          <w:szCs w:val="24"/>
        </w:rPr>
        <w:t xml:space="preserve"> </w:t>
      </w:r>
      <w:r w:rsidR="004D1343" w:rsidRPr="00C32887">
        <w:rPr>
          <w:rFonts w:ascii="Garamond" w:hAnsi="Garamond"/>
          <w:sz w:val="24"/>
          <w:szCs w:val="24"/>
        </w:rPr>
        <w:t xml:space="preserve">for the period January - December 2017, and in line with the identified challenges </w:t>
      </w:r>
      <w:r>
        <w:rPr>
          <w:rFonts w:ascii="Garamond" w:hAnsi="Garamond"/>
          <w:sz w:val="24"/>
          <w:szCs w:val="24"/>
        </w:rPr>
        <w:t>for the</w:t>
      </w:r>
      <w:r w:rsidR="004D1343" w:rsidRPr="00C32887">
        <w:rPr>
          <w:rFonts w:ascii="Garamond" w:hAnsi="Garamond"/>
          <w:sz w:val="24"/>
          <w:szCs w:val="24"/>
        </w:rPr>
        <w:t xml:space="preserve"> period, a need </w:t>
      </w:r>
      <w:r>
        <w:rPr>
          <w:rFonts w:ascii="Garamond" w:hAnsi="Garamond"/>
          <w:sz w:val="24"/>
          <w:szCs w:val="24"/>
        </w:rPr>
        <w:t xml:space="preserve">arose </w:t>
      </w:r>
      <w:r w:rsidR="004D1343" w:rsidRPr="00C32887">
        <w:rPr>
          <w:rFonts w:ascii="Garamond" w:hAnsi="Garamond"/>
          <w:sz w:val="24"/>
          <w:szCs w:val="24"/>
        </w:rPr>
        <w:t xml:space="preserve">to update the </w:t>
      </w:r>
      <w:r w:rsidR="00AB73F6" w:rsidRPr="00C32887">
        <w:rPr>
          <w:rFonts w:ascii="Garamond" w:hAnsi="Garamond"/>
          <w:sz w:val="24"/>
          <w:szCs w:val="24"/>
        </w:rPr>
        <w:t>Programme</w:t>
      </w:r>
      <w:r w:rsidR="00634289" w:rsidRPr="00C32887">
        <w:rPr>
          <w:rFonts w:ascii="Garamond" w:hAnsi="Garamond"/>
          <w:sz w:val="24"/>
          <w:szCs w:val="24"/>
        </w:rPr>
        <w:t xml:space="preserve"> (</w:t>
      </w:r>
      <w:r w:rsidR="004D1343" w:rsidRPr="00C32887">
        <w:rPr>
          <w:rFonts w:ascii="Garamond" w:hAnsi="Garamond"/>
          <w:sz w:val="24"/>
          <w:szCs w:val="24"/>
        </w:rPr>
        <w:t xml:space="preserve">in cooperation with SIGMA), all with the aim of making it better and more </w:t>
      </w:r>
      <w:r>
        <w:rPr>
          <w:rFonts w:ascii="Garamond" w:hAnsi="Garamond"/>
          <w:sz w:val="24"/>
          <w:szCs w:val="24"/>
        </w:rPr>
        <w:t>specific</w:t>
      </w:r>
      <w:r w:rsidR="004D1343" w:rsidRPr="00C32887">
        <w:rPr>
          <w:rFonts w:ascii="Garamond" w:hAnsi="Garamond"/>
          <w:sz w:val="24"/>
          <w:szCs w:val="24"/>
        </w:rPr>
        <w:t xml:space="preserve"> for more efficient implementation and monitoring. In this regard, the Government of Montenegro at its session o</w:t>
      </w:r>
      <w:r>
        <w:rPr>
          <w:rFonts w:ascii="Garamond" w:hAnsi="Garamond"/>
          <w:sz w:val="24"/>
          <w:szCs w:val="24"/>
        </w:rPr>
        <w:t>f</w:t>
      </w:r>
      <w:r w:rsidR="004D1343" w:rsidRPr="00C32887">
        <w:rPr>
          <w:rFonts w:ascii="Garamond" w:hAnsi="Garamond"/>
          <w:sz w:val="24"/>
          <w:szCs w:val="24"/>
        </w:rPr>
        <w:t xml:space="preserve"> June 28, 2018, adopted a significantly revised versi</w:t>
      </w:r>
      <w:r w:rsidR="00634289" w:rsidRPr="00C32887">
        <w:rPr>
          <w:rFonts w:ascii="Garamond" w:hAnsi="Garamond"/>
          <w:sz w:val="24"/>
          <w:szCs w:val="24"/>
        </w:rPr>
        <w:t>on of the 2016-2020 Public Finance</w:t>
      </w:r>
      <w:r w:rsidR="004D1343" w:rsidRPr="00C32887">
        <w:rPr>
          <w:rFonts w:ascii="Garamond" w:hAnsi="Garamond"/>
          <w:sz w:val="24"/>
          <w:szCs w:val="24"/>
        </w:rPr>
        <w:t xml:space="preserve"> Management Reform </w:t>
      </w:r>
      <w:r w:rsidR="00AB73F6" w:rsidRPr="00C32887">
        <w:rPr>
          <w:rFonts w:ascii="Garamond" w:hAnsi="Garamond"/>
          <w:sz w:val="24"/>
          <w:szCs w:val="24"/>
        </w:rPr>
        <w:t>Programme</w:t>
      </w:r>
      <w:r w:rsidR="004D1343" w:rsidRPr="00C32887">
        <w:rPr>
          <w:rFonts w:ascii="Garamond" w:hAnsi="Garamond"/>
          <w:sz w:val="24"/>
          <w:szCs w:val="24"/>
        </w:rPr>
        <w:t xml:space="preserve"> with the Act</w:t>
      </w:r>
      <w:r w:rsidR="00634289" w:rsidRPr="00C32887">
        <w:rPr>
          <w:rFonts w:ascii="Garamond" w:hAnsi="Garamond"/>
          <w:sz w:val="24"/>
          <w:szCs w:val="24"/>
        </w:rPr>
        <w:t>ion Plan for the same period</w:t>
      </w:r>
      <w:r w:rsidR="00634289" w:rsidRPr="00C32887">
        <w:rPr>
          <w:rStyle w:val="FootnoteReference"/>
          <w:rFonts w:ascii="Garamond" w:hAnsi="Garamond"/>
          <w:sz w:val="24"/>
          <w:szCs w:val="24"/>
        </w:rPr>
        <w:footnoteReference w:id="9"/>
      </w:r>
      <w:r w:rsidR="004D1343" w:rsidRPr="00C32887">
        <w:rPr>
          <w:rFonts w:ascii="Garamond" w:hAnsi="Garamond"/>
          <w:sz w:val="24"/>
          <w:szCs w:val="24"/>
        </w:rPr>
        <w:t xml:space="preserve">, </w:t>
      </w:r>
      <w:r>
        <w:rPr>
          <w:rFonts w:ascii="Garamond" w:hAnsi="Garamond"/>
          <w:sz w:val="24"/>
          <w:szCs w:val="24"/>
        </w:rPr>
        <w:t>and</w:t>
      </w:r>
      <w:r w:rsidR="004D1343" w:rsidRPr="00C32887">
        <w:rPr>
          <w:rFonts w:ascii="Garamond" w:hAnsi="Garamond"/>
          <w:sz w:val="24"/>
          <w:szCs w:val="24"/>
        </w:rPr>
        <w:t xml:space="preserve"> confirmed the readiness to continue reforms in the field of public financ</w:t>
      </w:r>
      <w:r w:rsidR="00C32887" w:rsidRPr="00C32887">
        <w:rPr>
          <w:rFonts w:ascii="Garamond" w:hAnsi="Garamond"/>
          <w:sz w:val="24"/>
          <w:szCs w:val="24"/>
        </w:rPr>
        <w:t>e management</w:t>
      </w:r>
      <w:r w:rsidR="004D1343" w:rsidRPr="00C32887">
        <w:rPr>
          <w:rFonts w:ascii="Garamond" w:hAnsi="Garamond"/>
          <w:sz w:val="24"/>
          <w:szCs w:val="24"/>
        </w:rPr>
        <w:t xml:space="preserve">. </w:t>
      </w:r>
      <w:r w:rsidR="00C32887" w:rsidRPr="00C32887">
        <w:rPr>
          <w:rFonts w:ascii="Garamond" w:hAnsi="Garamond"/>
          <w:sz w:val="24"/>
          <w:szCs w:val="24"/>
        </w:rPr>
        <w:t xml:space="preserve">Note must be taken </w:t>
      </w:r>
      <w:r w:rsidR="004D1343" w:rsidRPr="00C32887">
        <w:rPr>
          <w:rFonts w:ascii="Garamond" w:hAnsi="Garamond"/>
          <w:sz w:val="24"/>
          <w:szCs w:val="24"/>
        </w:rPr>
        <w:t xml:space="preserve">that the new </w:t>
      </w:r>
      <w:r w:rsidR="00AB73F6" w:rsidRPr="00C32887">
        <w:rPr>
          <w:rFonts w:ascii="Garamond" w:hAnsi="Garamond"/>
          <w:sz w:val="24"/>
          <w:szCs w:val="24"/>
        </w:rPr>
        <w:t>Programme</w:t>
      </w:r>
      <w:r w:rsidR="004D1343" w:rsidRPr="00C32887">
        <w:rPr>
          <w:rFonts w:ascii="Garamond" w:hAnsi="Garamond"/>
          <w:sz w:val="24"/>
          <w:szCs w:val="24"/>
        </w:rPr>
        <w:t xml:space="preserve"> was implemented through three Action Plans, which were updated on an annual basis during</w:t>
      </w:r>
      <w:r w:rsidR="00C32887" w:rsidRPr="00C32887">
        <w:rPr>
          <w:rFonts w:ascii="Garamond" w:hAnsi="Garamond"/>
          <w:sz w:val="24"/>
          <w:szCs w:val="24"/>
        </w:rPr>
        <w:t xml:space="preserve"> the period 2018, 2019 and 2020, </w:t>
      </w:r>
      <w:r w:rsidR="004D1343" w:rsidRPr="00C32887">
        <w:rPr>
          <w:rFonts w:ascii="Garamond" w:hAnsi="Garamond"/>
          <w:sz w:val="24"/>
          <w:szCs w:val="24"/>
        </w:rPr>
        <w:t xml:space="preserve">which </w:t>
      </w:r>
      <w:r>
        <w:rPr>
          <w:rFonts w:ascii="Garamond" w:hAnsi="Garamond"/>
          <w:sz w:val="24"/>
          <w:szCs w:val="24"/>
        </w:rPr>
        <w:t>form</w:t>
      </w:r>
      <w:r w:rsidR="00C32887" w:rsidRPr="00C32887">
        <w:rPr>
          <w:rFonts w:ascii="Garamond" w:hAnsi="Garamond"/>
          <w:sz w:val="24"/>
          <w:szCs w:val="24"/>
        </w:rPr>
        <w:t xml:space="preserve"> an integral part of the report</w:t>
      </w:r>
      <w:r w:rsidR="004D1343" w:rsidRPr="00C32887">
        <w:rPr>
          <w:rFonts w:ascii="Garamond" w:hAnsi="Garamond"/>
          <w:sz w:val="24"/>
          <w:szCs w:val="24"/>
        </w:rPr>
        <w:t>.</w:t>
      </w:r>
    </w:p>
    <w:p w:rsidR="004D1343" w:rsidRPr="00C32887" w:rsidRDefault="00C32887" w:rsidP="004D1343">
      <w:pPr>
        <w:rPr>
          <w:rFonts w:ascii="Garamond" w:hAnsi="Garamond"/>
          <w:sz w:val="24"/>
          <w:szCs w:val="24"/>
        </w:rPr>
      </w:pPr>
      <w:r w:rsidRPr="00C32887">
        <w:rPr>
          <w:rFonts w:ascii="Garamond" w:hAnsi="Garamond"/>
          <w:noProof/>
          <w:sz w:val="24"/>
          <w:szCs w:val="24"/>
          <w:lang w:eastAsia="ja-JP" w:bidi="ar-SA"/>
        </w:rPr>
        <w:drawing>
          <wp:anchor distT="0" distB="0" distL="114300" distR="114300" simplePos="0" relativeHeight="251659264" behindDoc="0" locked="0" layoutInCell="1" allowOverlap="1">
            <wp:simplePos x="0" y="0"/>
            <wp:positionH relativeFrom="column">
              <wp:posOffset>3981450</wp:posOffset>
            </wp:positionH>
            <wp:positionV relativeFrom="paragraph">
              <wp:posOffset>-528955</wp:posOffset>
            </wp:positionV>
            <wp:extent cx="2057400" cy="1179830"/>
            <wp:effectExtent l="19050" t="0" r="0" b="0"/>
            <wp:wrapThrough wrapText="bothSides">
              <wp:wrapPolygon edited="0">
                <wp:start x="-200" y="0"/>
                <wp:lineTo x="-200" y="21274"/>
                <wp:lineTo x="21600" y="21274"/>
                <wp:lineTo x="21600" y="0"/>
                <wp:lineTo x="-200" y="0"/>
              </wp:wrapPolygon>
            </wp:wrapThrough>
            <wp:docPr id="63" name="Picture 38" descr="Montenegro takes leading position for EU accession in 2025 - Citizenship by  Investment Jour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ntenegro takes leading position for EU accession in 2025 - Citizenship by  Investment Journal"/>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057400" cy="1179830"/>
                    </a:xfrm>
                    <a:prstGeom prst="rect">
                      <a:avLst/>
                    </a:prstGeom>
                    <a:noFill/>
                    <a:ln>
                      <a:noFill/>
                    </a:ln>
                  </pic:spPr>
                </pic:pic>
              </a:graphicData>
            </a:graphic>
          </wp:anchor>
        </w:drawing>
      </w:r>
    </w:p>
    <w:p w:rsidR="004D1343" w:rsidRPr="00C32887" w:rsidRDefault="004D1343" w:rsidP="00C32887">
      <w:pPr>
        <w:jc w:val="both"/>
        <w:rPr>
          <w:rFonts w:ascii="Garamond" w:hAnsi="Garamond"/>
          <w:sz w:val="24"/>
          <w:szCs w:val="24"/>
        </w:rPr>
      </w:pPr>
      <w:r w:rsidRPr="00C32887">
        <w:rPr>
          <w:rFonts w:ascii="Garamond" w:hAnsi="Garamond"/>
          <w:sz w:val="24"/>
          <w:szCs w:val="24"/>
        </w:rPr>
        <w:t xml:space="preserve">In order to promote and assist in ensuring sound financial management and good implementation of Government policies, through the eighth meeting of the </w:t>
      </w:r>
      <w:r w:rsidR="004D7E4A">
        <w:rPr>
          <w:rFonts w:ascii="Garamond" w:hAnsi="Garamond"/>
          <w:sz w:val="24"/>
          <w:szCs w:val="24"/>
        </w:rPr>
        <w:t xml:space="preserve">Public Administration Reform </w:t>
      </w:r>
      <w:r w:rsidRPr="00C32887">
        <w:rPr>
          <w:rFonts w:ascii="Garamond" w:hAnsi="Garamond"/>
          <w:sz w:val="24"/>
          <w:szCs w:val="24"/>
        </w:rPr>
        <w:t xml:space="preserve">Special Group </w:t>
      </w:r>
      <w:r w:rsidR="00C32887">
        <w:rPr>
          <w:rFonts w:ascii="Garamond" w:hAnsi="Garamond"/>
          <w:sz w:val="24"/>
          <w:szCs w:val="24"/>
        </w:rPr>
        <w:t>(PAR S</w:t>
      </w:r>
      <w:r w:rsidRPr="00C32887">
        <w:rPr>
          <w:rFonts w:ascii="Garamond" w:hAnsi="Garamond"/>
          <w:sz w:val="24"/>
          <w:szCs w:val="24"/>
        </w:rPr>
        <w:t xml:space="preserve">G) in 2020, the </w:t>
      </w:r>
      <w:r w:rsidR="004D7E4A">
        <w:rPr>
          <w:rFonts w:ascii="Garamond" w:hAnsi="Garamond"/>
          <w:sz w:val="24"/>
          <w:szCs w:val="24"/>
        </w:rPr>
        <w:t>3</w:t>
      </w:r>
      <w:r w:rsidR="004D7E4A" w:rsidRPr="004D7E4A">
        <w:rPr>
          <w:rFonts w:ascii="Garamond" w:hAnsi="Garamond"/>
          <w:sz w:val="24"/>
          <w:szCs w:val="24"/>
          <w:vertAlign w:val="superscript"/>
        </w:rPr>
        <w:t>rd</w:t>
      </w:r>
      <w:r w:rsidRPr="00C32887">
        <w:rPr>
          <w:rFonts w:ascii="Garamond" w:hAnsi="Garamond"/>
          <w:sz w:val="24"/>
          <w:szCs w:val="24"/>
        </w:rPr>
        <w:t xml:space="preserve"> special regular meeting on the Public Financ</w:t>
      </w:r>
      <w:r w:rsidR="00C32887">
        <w:rPr>
          <w:rFonts w:ascii="Garamond" w:hAnsi="Garamond"/>
          <w:sz w:val="24"/>
          <w:szCs w:val="24"/>
        </w:rPr>
        <w:t>e</w:t>
      </w:r>
      <w:r w:rsidRPr="00C32887">
        <w:rPr>
          <w:rFonts w:ascii="Garamond" w:hAnsi="Garamond"/>
          <w:sz w:val="24"/>
          <w:szCs w:val="24"/>
        </w:rPr>
        <w:t xml:space="preserve"> Management Reform </w:t>
      </w:r>
      <w:r w:rsidR="00AB73F6" w:rsidRPr="00C32887">
        <w:rPr>
          <w:rFonts w:ascii="Garamond" w:hAnsi="Garamond"/>
          <w:sz w:val="24"/>
          <w:szCs w:val="24"/>
        </w:rPr>
        <w:t>Programme</w:t>
      </w:r>
      <w:r w:rsidR="00C32887">
        <w:rPr>
          <w:rFonts w:ascii="Garamond" w:hAnsi="Garamond"/>
          <w:sz w:val="24"/>
          <w:szCs w:val="24"/>
        </w:rPr>
        <w:t xml:space="preserve"> </w:t>
      </w:r>
      <w:r w:rsidR="00D24DD1" w:rsidRPr="00C32887">
        <w:rPr>
          <w:rFonts w:ascii="Garamond" w:hAnsi="Garamond"/>
          <w:sz w:val="24"/>
          <w:szCs w:val="24"/>
        </w:rPr>
        <w:t xml:space="preserve">Dialogue </w:t>
      </w:r>
      <w:r w:rsidR="00C32887">
        <w:rPr>
          <w:rFonts w:ascii="Garamond" w:hAnsi="Garamond"/>
          <w:sz w:val="24"/>
          <w:szCs w:val="24"/>
        </w:rPr>
        <w:t>between t</w:t>
      </w:r>
      <w:r w:rsidRPr="00C32887">
        <w:rPr>
          <w:rFonts w:ascii="Garamond" w:hAnsi="Garamond"/>
          <w:sz w:val="24"/>
          <w:szCs w:val="24"/>
        </w:rPr>
        <w:t>he Government of Mo</w:t>
      </w:r>
      <w:r w:rsidR="00C32887">
        <w:rPr>
          <w:rFonts w:ascii="Garamond" w:hAnsi="Garamond"/>
          <w:sz w:val="24"/>
          <w:szCs w:val="24"/>
        </w:rPr>
        <w:t>ntenegro and the EC Directorate-</w:t>
      </w:r>
      <w:r w:rsidRPr="00C32887">
        <w:rPr>
          <w:rFonts w:ascii="Garamond" w:hAnsi="Garamond"/>
          <w:sz w:val="24"/>
          <w:szCs w:val="24"/>
        </w:rPr>
        <w:t xml:space="preserve">General for </w:t>
      </w:r>
      <w:r w:rsidR="00C32887">
        <w:rPr>
          <w:rFonts w:ascii="Garamond" w:hAnsi="Garamond"/>
          <w:sz w:val="24"/>
          <w:szCs w:val="24"/>
        </w:rPr>
        <w:t xml:space="preserve">European </w:t>
      </w:r>
      <w:r w:rsidRPr="00C32887">
        <w:rPr>
          <w:rFonts w:ascii="Garamond" w:hAnsi="Garamond"/>
          <w:sz w:val="24"/>
          <w:szCs w:val="24"/>
        </w:rPr>
        <w:t>Neighbo</w:t>
      </w:r>
      <w:r w:rsidR="00C32887">
        <w:rPr>
          <w:rFonts w:ascii="Garamond" w:hAnsi="Garamond"/>
          <w:sz w:val="24"/>
          <w:szCs w:val="24"/>
        </w:rPr>
        <w:t>u</w:t>
      </w:r>
      <w:r w:rsidRPr="00C32887">
        <w:rPr>
          <w:rFonts w:ascii="Garamond" w:hAnsi="Garamond"/>
          <w:sz w:val="24"/>
          <w:szCs w:val="24"/>
        </w:rPr>
        <w:t xml:space="preserve">rhood Policy and Enlargement </w:t>
      </w:r>
      <w:r w:rsidR="00C32887">
        <w:rPr>
          <w:rFonts w:ascii="Garamond" w:hAnsi="Garamond"/>
          <w:sz w:val="24"/>
          <w:szCs w:val="24"/>
        </w:rPr>
        <w:t xml:space="preserve">Negotiations </w:t>
      </w:r>
      <w:r w:rsidRPr="00C32887">
        <w:rPr>
          <w:rFonts w:ascii="Garamond" w:hAnsi="Garamond"/>
          <w:sz w:val="24"/>
          <w:szCs w:val="24"/>
        </w:rPr>
        <w:t>(D</w:t>
      </w:r>
      <w:r w:rsidR="00C32887">
        <w:rPr>
          <w:rFonts w:ascii="Garamond" w:hAnsi="Garamond"/>
          <w:sz w:val="24"/>
          <w:szCs w:val="24"/>
        </w:rPr>
        <w:t>G NEAR) was held on 19 October 2020</w:t>
      </w:r>
      <w:r w:rsidRPr="00C32887">
        <w:rPr>
          <w:rFonts w:ascii="Garamond" w:hAnsi="Garamond"/>
          <w:sz w:val="24"/>
          <w:szCs w:val="24"/>
        </w:rPr>
        <w:t xml:space="preserve">. </w:t>
      </w:r>
      <w:r w:rsidR="00C32887">
        <w:rPr>
          <w:rFonts w:ascii="Garamond" w:hAnsi="Garamond"/>
          <w:sz w:val="24"/>
          <w:szCs w:val="24"/>
        </w:rPr>
        <w:t>This</w:t>
      </w:r>
      <w:r w:rsidRPr="00C32887">
        <w:rPr>
          <w:rFonts w:ascii="Garamond" w:hAnsi="Garamond"/>
          <w:sz w:val="24"/>
          <w:szCs w:val="24"/>
        </w:rPr>
        <w:t xml:space="preserve"> established practice </w:t>
      </w:r>
      <w:r w:rsidR="00C32887">
        <w:rPr>
          <w:rFonts w:ascii="Garamond" w:hAnsi="Garamond"/>
          <w:sz w:val="24"/>
          <w:szCs w:val="24"/>
        </w:rPr>
        <w:t>is a</w:t>
      </w:r>
      <w:r w:rsidRPr="00C32887">
        <w:rPr>
          <w:rFonts w:ascii="Garamond" w:hAnsi="Garamond"/>
          <w:sz w:val="24"/>
          <w:szCs w:val="24"/>
        </w:rPr>
        <w:t xml:space="preserve"> </w:t>
      </w:r>
      <w:r w:rsidR="00C32887" w:rsidRPr="00C32887">
        <w:rPr>
          <w:rFonts w:ascii="Garamond" w:hAnsi="Garamond"/>
          <w:sz w:val="24"/>
          <w:szCs w:val="24"/>
        </w:rPr>
        <w:t xml:space="preserve">good </w:t>
      </w:r>
      <w:r w:rsidRPr="00C32887">
        <w:rPr>
          <w:rFonts w:ascii="Garamond" w:hAnsi="Garamond"/>
          <w:sz w:val="24"/>
          <w:szCs w:val="24"/>
        </w:rPr>
        <w:t>indicat</w:t>
      </w:r>
      <w:r w:rsidR="00C32887">
        <w:rPr>
          <w:rFonts w:ascii="Garamond" w:hAnsi="Garamond"/>
          <w:sz w:val="24"/>
          <w:szCs w:val="24"/>
        </w:rPr>
        <w:t>or</w:t>
      </w:r>
      <w:r w:rsidRPr="00C32887">
        <w:rPr>
          <w:rFonts w:ascii="Garamond" w:hAnsi="Garamond"/>
          <w:sz w:val="24"/>
          <w:szCs w:val="24"/>
        </w:rPr>
        <w:t xml:space="preserve"> of commitment o</w:t>
      </w:r>
      <w:r w:rsidR="00844C25">
        <w:rPr>
          <w:rFonts w:ascii="Garamond" w:hAnsi="Garamond"/>
          <w:sz w:val="24"/>
          <w:szCs w:val="24"/>
        </w:rPr>
        <w:t>f the Government of Montenegro to the reform</w:t>
      </w:r>
      <w:r w:rsidRPr="00C32887">
        <w:rPr>
          <w:rFonts w:ascii="Garamond" w:hAnsi="Garamond"/>
          <w:sz w:val="24"/>
          <w:szCs w:val="24"/>
        </w:rPr>
        <w:t xml:space="preserve"> of public finance management and transparency, and also provides an opportunity for</w:t>
      </w:r>
      <w:r w:rsidR="00844C25">
        <w:rPr>
          <w:rFonts w:ascii="Garamond" w:hAnsi="Garamond"/>
          <w:sz w:val="24"/>
          <w:szCs w:val="24"/>
        </w:rPr>
        <w:t xml:space="preserve"> civil society and other donors</w:t>
      </w:r>
      <w:r w:rsidRPr="00C32887">
        <w:rPr>
          <w:rFonts w:ascii="Garamond" w:hAnsi="Garamond"/>
          <w:sz w:val="24"/>
          <w:szCs w:val="24"/>
        </w:rPr>
        <w:t xml:space="preserve">/ international financial institutions </w:t>
      </w:r>
      <w:r w:rsidR="00844C25">
        <w:rPr>
          <w:rFonts w:ascii="Garamond" w:hAnsi="Garamond"/>
          <w:sz w:val="24"/>
          <w:szCs w:val="24"/>
        </w:rPr>
        <w:t>to gain</w:t>
      </w:r>
      <w:r w:rsidRPr="00C32887">
        <w:rPr>
          <w:rFonts w:ascii="Garamond" w:hAnsi="Garamond"/>
          <w:sz w:val="24"/>
          <w:szCs w:val="24"/>
        </w:rPr>
        <w:t xml:space="preserve"> the same level of understanding </w:t>
      </w:r>
      <w:r w:rsidR="00844C25">
        <w:rPr>
          <w:rFonts w:ascii="Garamond" w:hAnsi="Garamond"/>
          <w:sz w:val="24"/>
          <w:szCs w:val="24"/>
        </w:rPr>
        <w:t>of the current</w:t>
      </w:r>
      <w:r w:rsidRPr="00C32887">
        <w:rPr>
          <w:rFonts w:ascii="Garamond" w:hAnsi="Garamond"/>
          <w:sz w:val="24"/>
          <w:szCs w:val="24"/>
        </w:rPr>
        <w:t xml:space="preserve"> progress and challenges in the context of </w:t>
      </w:r>
      <w:r w:rsidR="00844C25">
        <w:rPr>
          <w:rFonts w:ascii="Garamond" w:hAnsi="Garamond"/>
          <w:sz w:val="24"/>
          <w:szCs w:val="24"/>
        </w:rPr>
        <w:t>such</w:t>
      </w:r>
      <w:r w:rsidRPr="00C32887">
        <w:rPr>
          <w:rFonts w:ascii="Garamond" w:hAnsi="Garamond"/>
          <w:sz w:val="24"/>
          <w:szCs w:val="24"/>
        </w:rPr>
        <w:t xml:space="preserve"> reform.</w:t>
      </w:r>
    </w:p>
    <w:p w:rsidR="004D1343" w:rsidRPr="00C32887" w:rsidRDefault="004D1343" w:rsidP="004D1343">
      <w:pPr>
        <w:rPr>
          <w:rFonts w:ascii="Garamond" w:hAnsi="Garamond"/>
          <w:sz w:val="24"/>
          <w:szCs w:val="24"/>
        </w:rPr>
      </w:pPr>
    </w:p>
    <w:p w:rsidR="004D1343" w:rsidRPr="00C32887" w:rsidRDefault="004D1343" w:rsidP="00844C25">
      <w:pPr>
        <w:jc w:val="both"/>
        <w:rPr>
          <w:rFonts w:ascii="Garamond" w:hAnsi="Garamond"/>
          <w:sz w:val="24"/>
          <w:szCs w:val="24"/>
        </w:rPr>
      </w:pPr>
      <w:r w:rsidRPr="00C32887">
        <w:rPr>
          <w:rFonts w:ascii="Garamond" w:hAnsi="Garamond"/>
          <w:sz w:val="24"/>
          <w:szCs w:val="24"/>
        </w:rPr>
        <w:t xml:space="preserve">The importance </w:t>
      </w:r>
      <w:r w:rsidR="0068044C">
        <w:rPr>
          <w:rFonts w:ascii="Garamond" w:hAnsi="Garamond"/>
          <w:sz w:val="24"/>
          <w:szCs w:val="24"/>
        </w:rPr>
        <w:t>placed on</w:t>
      </w:r>
      <w:r w:rsidRPr="00C32887">
        <w:rPr>
          <w:rFonts w:ascii="Garamond" w:hAnsi="Garamond"/>
          <w:sz w:val="24"/>
          <w:szCs w:val="24"/>
        </w:rPr>
        <w:t xml:space="preserve"> the Ministry of Finance and Social Welfare, which is leading the public finan</w:t>
      </w:r>
      <w:r w:rsidR="00844C25">
        <w:rPr>
          <w:rFonts w:ascii="Garamond" w:hAnsi="Garamond"/>
          <w:sz w:val="24"/>
          <w:szCs w:val="24"/>
        </w:rPr>
        <w:t>ce management</w:t>
      </w:r>
      <w:r w:rsidR="00844C25" w:rsidRPr="00844C25">
        <w:rPr>
          <w:rFonts w:ascii="Garamond" w:hAnsi="Garamond"/>
          <w:sz w:val="24"/>
          <w:szCs w:val="24"/>
        </w:rPr>
        <w:t xml:space="preserve"> </w:t>
      </w:r>
      <w:r w:rsidR="00844C25" w:rsidRPr="00C32887">
        <w:rPr>
          <w:rFonts w:ascii="Garamond" w:hAnsi="Garamond"/>
          <w:sz w:val="24"/>
          <w:szCs w:val="24"/>
        </w:rPr>
        <w:t>reform</w:t>
      </w:r>
      <w:r w:rsidR="00844C25">
        <w:rPr>
          <w:rFonts w:ascii="Garamond" w:hAnsi="Garamond"/>
          <w:sz w:val="24"/>
          <w:szCs w:val="24"/>
        </w:rPr>
        <w:t>, was stressed</w:t>
      </w:r>
      <w:r w:rsidRPr="00C32887">
        <w:rPr>
          <w:rFonts w:ascii="Garamond" w:hAnsi="Garamond"/>
          <w:sz w:val="24"/>
          <w:szCs w:val="24"/>
        </w:rPr>
        <w:t xml:space="preserve">, as well as the continuation of the reform in the coming period through the development of </w:t>
      </w:r>
      <w:r w:rsidR="0068044C">
        <w:rPr>
          <w:rFonts w:ascii="Garamond" w:hAnsi="Garamond"/>
          <w:sz w:val="24"/>
          <w:szCs w:val="24"/>
        </w:rPr>
        <w:t>the</w:t>
      </w:r>
      <w:r w:rsidRPr="00C32887">
        <w:rPr>
          <w:rFonts w:ascii="Garamond" w:hAnsi="Garamond"/>
          <w:sz w:val="24"/>
          <w:szCs w:val="24"/>
        </w:rPr>
        <w:t xml:space="preserve"> new </w:t>
      </w:r>
      <w:r w:rsidR="00844C25" w:rsidRPr="00C32887">
        <w:rPr>
          <w:rFonts w:ascii="Garamond" w:hAnsi="Garamond"/>
          <w:sz w:val="24"/>
          <w:szCs w:val="24"/>
        </w:rPr>
        <w:t>2022-2026</w:t>
      </w:r>
      <w:r w:rsidR="00844C25">
        <w:rPr>
          <w:rFonts w:ascii="Garamond" w:hAnsi="Garamond"/>
          <w:sz w:val="24"/>
          <w:szCs w:val="24"/>
        </w:rPr>
        <w:t xml:space="preserve"> </w:t>
      </w:r>
      <w:r w:rsidR="00AB73F6" w:rsidRPr="00C32887">
        <w:rPr>
          <w:rFonts w:ascii="Garamond" w:hAnsi="Garamond"/>
          <w:sz w:val="24"/>
          <w:szCs w:val="24"/>
        </w:rPr>
        <w:t>Programme</w:t>
      </w:r>
      <w:r w:rsidR="00844C25">
        <w:rPr>
          <w:rFonts w:ascii="Garamond" w:hAnsi="Garamond"/>
          <w:sz w:val="24"/>
          <w:szCs w:val="24"/>
        </w:rPr>
        <w:t xml:space="preserve">, </w:t>
      </w:r>
      <w:r w:rsidRPr="00C32887">
        <w:rPr>
          <w:rFonts w:ascii="Garamond" w:hAnsi="Garamond"/>
          <w:sz w:val="24"/>
          <w:szCs w:val="24"/>
        </w:rPr>
        <w:t xml:space="preserve">which will be an opportunity to intensify efforts to further implement reforms, given that progress under the </w:t>
      </w:r>
      <w:r w:rsidR="00AB73F6" w:rsidRPr="00C32887">
        <w:rPr>
          <w:rFonts w:ascii="Garamond" w:hAnsi="Garamond"/>
          <w:sz w:val="24"/>
          <w:szCs w:val="24"/>
        </w:rPr>
        <w:t>Programme</w:t>
      </w:r>
      <w:r w:rsidRPr="00C32887">
        <w:rPr>
          <w:rFonts w:ascii="Garamond" w:hAnsi="Garamond"/>
          <w:sz w:val="24"/>
          <w:szCs w:val="24"/>
        </w:rPr>
        <w:t xml:space="preserve"> is also a condition for the withdrawal of Sector Budget Support funds under the IPA </w:t>
      </w:r>
      <w:r w:rsidR="00AB73F6" w:rsidRPr="00C32887">
        <w:rPr>
          <w:rFonts w:ascii="Garamond" w:hAnsi="Garamond"/>
          <w:sz w:val="24"/>
          <w:szCs w:val="24"/>
        </w:rPr>
        <w:t>Programme</w:t>
      </w:r>
      <w:r w:rsidRPr="00C32887">
        <w:rPr>
          <w:rFonts w:ascii="Garamond" w:hAnsi="Garamond"/>
          <w:sz w:val="24"/>
          <w:szCs w:val="24"/>
        </w:rPr>
        <w:t xml:space="preserve">. Also, the adopted conclusions envisage the adoption of the transitional </w:t>
      </w:r>
      <w:r w:rsidR="00844C25" w:rsidRPr="00C32887">
        <w:rPr>
          <w:rFonts w:ascii="Garamond" w:hAnsi="Garamond"/>
          <w:sz w:val="24"/>
          <w:szCs w:val="24"/>
        </w:rPr>
        <w:t>2021</w:t>
      </w:r>
      <w:r w:rsidR="00844C25">
        <w:rPr>
          <w:rFonts w:ascii="Garamond" w:hAnsi="Garamond"/>
          <w:sz w:val="24"/>
          <w:szCs w:val="24"/>
        </w:rPr>
        <w:t xml:space="preserve"> </w:t>
      </w:r>
      <w:r w:rsidRPr="00C32887">
        <w:rPr>
          <w:rFonts w:ascii="Garamond" w:hAnsi="Garamond"/>
          <w:sz w:val="24"/>
          <w:szCs w:val="24"/>
        </w:rPr>
        <w:t xml:space="preserve">Action Plan, based on the </w:t>
      </w:r>
      <w:r w:rsidR="00844C25" w:rsidRPr="00C32887">
        <w:rPr>
          <w:rFonts w:ascii="Garamond" w:hAnsi="Garamond"/>
          <w:sz w:val="24"/>
          <w:szCs w:val="24"/>
        </w:rPr>
        <w:t>2020</w:t>
      </w:r>
      <w:r w:rsidR="006E7422">
        <w:rPr>
          <w:rFonts w:ascii="Garamond" w:hAnsi="Garamond"/>
          <w:sz w:val="24"/>
          <w:szCs w:val="24"/>
        </w:rPr>
        <w:t xml:space="preserve"> </w:t>
      </w:r>
      <w:r w:rsidRPr="00C32887">
        <w:rPr>
          <w:rFonts w:ascii="Garamond" w:hAnsi="Garamond"/>
          <w:sz w:val="24"/>
          <w:szCs w:val="24"/>
        </w:rPr>
        <w:t>Report.</w:t>
      </w:r>
    </w:p>
    <w:p w:rsidR="004D1343" w:rsidRPr="00C32887" w:rsidRDefault="004D1343" w:rsidP="004D1343">
      <w:pPr>
        <w:rPr>
          <w:rFonts w:ascii="Garamond" w:hAnsi="Garamond"/>
          <w:sz w:val="24"/>
          <w:szCs w:val="24"/>
        </w:rPr>
      </w:pPr>
    </w:p>
    <w:p w:rsidR="004D1343" w:rsidRPr="00C32887" w:rsidRDefault="00844C25" w:rsidP="00844C25">
      <w:pPr>
        <w:jc w:val="both"/>
        <w:rPr>
          <w:rFonts w:ascii="Garamond" w:hAnsi="Garamond"/>
          <w:sz w:val="24"/>
          <w:szCs w:val="24"/>
        </w:rPr>
      </w:pPr>
      <w:r w:rsidRPr="00C32887">
        <w:rPr>
          <w:rFonts w:ascii="Garamond" w:hAnsi="Garamond"/>
          <w:sz w:val="24"/>
          <w:szCs w:val="24"/>
        </w:rPr>
        <w:t xml:space="preserve">Note </w:t>
      </w:r>
      <w:r>
        <w:rPr>
          <w:rFonts w:ascii="Garamond" w:hAnsi="Garamond"/>
          <w:sz w:val="24"/>
          <w:szCs w:val="24"/>
        </w:rPr>
        <w:t>must be taken that the Public Finance</w:t>
      </w:r>
      <w:r w:rsidR="004D1343" w:rsidRPr="00C32887">
        <w:rPr>
          <w:rFonts w:ascii="Garamond" w:hAnsi="Garamond"/>
          <w:sz w:val="24"/>
          <w:szCs w:val="24"/>
        </w:rPr>
        <w:t xml:space="preserve"> Management Reform has a dual goal: </w:t>
      </w:r>
      <w:r>
        <w:rPr>
          <w:rFonts w:ascii="Garamond" w:hAnsi="Garamond"/>
          <w:sz w:val="24"/>
          <w:szCs w:val="24"/>
        </w:rPr>
        <w:t>The first relates to Montenegro</w:t>
      </w:r>
      <w:r w:rsidR="00C13A74">
        <w:rPr>
          <w:rFonts w:ascii="Garamond" w:hAnsi="Garamond"/>
          <w:sz w:val="24"/>
          <w:szCs w:val="24"/>
        </w:rPr>
        <w:t>’</w:t>
      </w:r>
      <w:r w:rsidR="004D1343" w:rsidRPr="00C32887">
        <w:rPr>
          <w:rFonts w:ascii="Garamond" w:hAnsi="Garamond"/>
          <w:sz w:val="24"/>
          <w:szCs w:val="24"/>
        </w:rPr>
        <w:t xml:space="preserve">s readiness to identify, </w:t>
      </w:r>
      <w:r>
        <w:rPr>
          <w:rFonts w:ascii="Garamond" w:hAnsi="Garamond"/>
          <w:sz w:val="24"/>
          <w:szCs w:val="24"/>
        </w:rPr>
        <w:t>preclude</w:t>
      </w:r>
      <w:r w:rsidR="004D1343" w:rsidRPr="00C32887">
        <w:rPr>
          <w:rFonts w:ascii="Garamond" w:hAnsi="Garamond"/>
          <w:sz w:val="24"/>
          <w:szCs w:val="24"/>
        </w:rPr>
        <w:t xml:space="preserve"> and manage fiscal risks, excessive fiscal deficits and harmful macroeconomic imbalances, while the second relates to the fact that the reform should ensure that public spending </w:t>
      </w:r>
      <w:r w:rsidR="002B2FED">
        <w:rPr>
          <w:rFonts w:ascii="Garamond" w:hAnsi="Garamond"/>
          <w:sz w:val="24"/>
          <w:szCs w:val="24"/>
        </w:rPr>
        <w:t xml:space="preserve">is </w:t>
      </w:r>
      <w:r w:rsidR="004D1343" w:rsidRPr="00C32887">
        <w:rPr>
          <w:rFonts w:ascii="Garamond" w:hAnsi="Garamond"/>
          <w:sz w:val="24"/>
          <w:szCs w:val="24"/>
        </w:rPr>
        <w:t xml:space="preserve">structured in </w:t>
      </w:r>
      <w:r w:rsidR="006E7422">
        <w:rPr>
          <w:rFonts w:ascii="Garamond" w:hAnsi="Garamond"/>
          <w:sz w:val="24"/>
          <w:szCs w:val="24"/>
        </w:rPr>
        <w:t xml:space="preserve">such </w:t>
      </w:r>
      <w:r w:rsidR="004D1343" w:rsidRPr="00C32887">
        <w:rPr>
          <w:rFonts w:ascii="Garamond" w:hAnsi="Garamond"/>
          <w:sz w:val="24"/>
          <w:szCs w:val="24"/>
        </w:rPr>
        <w:t xml:space="preserve">a way </w:t>
      </w:r>
      <w:r w:rsidR="006E7422">
        <w:rPr>
          <w:rFonts w:ascii="Garamond" w:hAnsi="Garamond"/>
          <w:sz w:val="24"/>
          <w:szCs w:val="24"/>
        </w:rPr>
        <w:t xml:space="preserve">as </w:t>
      </w:r>
      <w:r w:rsidR="004D1343" w:rsidRPr="00C32887">
        <w:rPr>
          <w:rFonts w:ascii="Garamond" w:hAnsi="Garamond"/>
          <w:sz w:val="24"/>
          <w:szCs w:val="24"/>
        </w:rPr>
        <w:t>to maxim</w:t>
      </w:r>
      <w:r w:rsidR="00A113DA">
        <w:rPr>
          <w:rFonts w:ascii="Garamond" w:hAnsi="Garamond"/>
          <w:sz w:val="24"/>
          <w:szCs w:val="24"/>
        </w:rPr>
        <w:t>ise</w:t>
      </w:r>
      <w:r w:rsidR="004D1343" w:rsidRPr="00C32887">
        <w:rPr>
          <w:rFonts w:ascii="Garamond" w:hAnsi="Garamond"/>
          <w:sz w:val="24"/>
          <w:szCs w:val="24"/>
        </w:rPr>
        <w:t xml:space="preserve"> the development impact on the economy and ensure a better quality of life for all citizens.</w:t>
      </w:r>
    </w:p>
    <w:p w:rsidR="004D1343" w:rsidRPr="00C32887" w:rsidRDefault="004D1343" w:rsidP="004D1343">
      <w:pPr>
        <w:rPr>
          <w:rFonts w:ascii="Garamond" w:hAnsi="Garamond"/>
          <w:sz w:val="24"/>
          <w:szCs w:val="24"/>
        </w:rPr>
      </w:pPr>
    </w:p>
    <w:p w:rsidR="004D1343" w:rsidRPr="00C32887" w:rsidRDefault="004D1343" w:rsidP="00AB73F6">
      <w:pPr>
        <w:jc w:val="both"/>
        <w:rPr>
          <w:rFonts w:ascii="Garamond" w:hAnsi="Garamond"/>
          <w:sz w:val="24"/>
          <w:szCs w:val="24"/>
        </w:rPr>
      </w:pPr>
      <w:r w:rsidRPr="00C32887">
        <w:rPr>
          <w:rFonts w:ascii="Garamond" w:hAnsi="Garamond"/>
          <w:sz w:val="24"/>
          <w:szCs w:val="24"/>
        </w:rPr>
        <w:t>Regarding the implementation of the planned activities within the reform</w:t>
      </w:r>
      <w:r w:rsidR="006E7422">
        <w:rPr>
          <w:rFonts w:ascii="Garamond" w:hAnsi="Garamond"/>
          <w:sz w:val="24"/>
          <w:szCs w:val="24"/>
        </w:rPr>
        <w:t xml:space="preserve"> process</w:t>
      </w:r>
      <w:r w:rsidRPr="00C32887">
        <w:rPr>
          <w:rFonts w:ascii="Garamond" w:hAnsi="Garamond"/>
          <w:sz w:val="24"/>
          <w:szCs w:val="24"/>
        </w:rPr>
        <w:t xml:space="preserve">, the dominant support is </w:t>
      </w:r>
      <w:r w:rsidR="002B2FED">
        <w:rPr>
          <w:rFonts w:ascii="Garamond" w:hAnsi="Garamond"/>
          <w:sz w:val="24"/>
          <w:szCs w:val="24"/>
        </w:rPr>
        <w:t xml:space="preserve">provided </w:t>
      </w:r>
      <w:r w:rsidRPr="00C32887">
        <w:rPr>
          <w:rFonts w:ascii="Garamond" w:hAnsi="Garamond"/>
          <w:sz w:val="24"/>
          <w:szCs w:val="24"/>
        </w:rPr>
        <w:t>through projects</w:t>
      </w:r>
      <w:r w:rsidR="002B2FED">
        <w:rPr>
          <w:rFonts w:ascii="Garamond" w:hAnsi="Garamond"/>
          <w:sz w:val="24"/>
          <w:szCs w:val="24"/>
        </w:rPr>
        <w:t xml:space="preserve"> financed from </w:t>
      </w:r>
      <w:r w:rsidR="006E7422">
        <w:rPr>
          <w:rFonts w:ascii="Garamond" w:hAnsi="Garamond"/>
          <w:sz w:val="24"/>
          <w:szCs w:val="24"/>
        </w:rPr>
        <w:t xml:space="preserve">the </w:t>
      </w:r>
      <w:r w:rsidR="002B2FED">
        <w:rPr>
          <w:rFonts w:ascii="Garamond" w:hAnsi="Garamond"/>
          <w:sz w:val="24"/>
          <w:szCs w:val="24"/>
        </w:rPr>
        <w:t>EU funds</w:t>
      </w:r>
      <w:r w:rsidRPr="00C32887">
        <w:rPr>
          <w:rFonts w:ascii="Garamond" w:hAnsi="Garamond"/>
          <w:sz w:val="24"/>
          <w:szCs w:val="24"/>
        </w:rPr>
        <w:t xml:space="preserve">, through the IPA instrument, within the </w:t>
      </w:r>
      <w:r w:rsidR="002B2FED" w:rsidRPr="00C32887">
        <w:rPr>
          <w:rFonts w:ascii="Garamond" w:hAnsi="Garamond"/>
          <w:sz w:val="24"/>
          <w:szCs w:val="24"/>
        </w:rPr>
        <w:t xml:space="preserve">2014 </w:t>
      </w:r>
      <w:r w:rsidRPr="00C32887">
        <w:rPr>
          <w:rFonts w:ascii="Garamond" w:hAnsi="Garamond"/>
          <w:sz w:val="24"/>
          <w:szCs w:val="24"/>
        </w:rPr>
        <w:t xml:space="preserve">Country Action </w:t>
      </w:r>
      <w:r w:rsidR="00AB73F6" w:rsidRPr="00C32887">
        <w:rPr>
          <w:rFonts w:ascii="Garamond" w:hAnsi="Garamond"/>
          <w:sz w:val="24"/>
          <w:szCs w:val="24"/>
        </w:rPr>
        <w:t>Programme</w:t>
      </w:r>
      <w:r w:rsidRPr="00C32887">
        <w:rPr>
          <w:rFonts w:ascii="Garamond" w:hAnsi="Garamond"/>
          <w:sz w:val="24"/>
          <w:szCs w:val="24"/>
        </w:rPr>
        <w:t xml:space="preserve"> </w:t>
      </w:r>
      <w:r w:rsidR="002B2FED">
        <w:rPr>
          <w:rFonts w:ascii="Garamond" w:hAnsi="Garamond"/>
          <w:sz w:val="24"/>
          <w:szCs w:val="24"/>
        </w:rPr>
        <w:t>- CAP 2014</w:t>
      </w:r>
      <w:r w:rsidR="002B2FED">
        <w:rPr>
          <w:rStyle w:val="FootnoteReference"/>
          <w:rFonts w:ascii="Garamond" w:hAnsi="Garamond"/>
          <w:sz w:val="24"/>
          <w:szCs w:val="24"/>
        </w:rPr>
        <w:footnoteReference w:id="10"/>
      </w:r>
      <w:r w:rsidRPr="00C32887">
        <w:rPr>
          <w:rFonts w:ascii="Garamond" w:hAnsi="Garamond"/>
          <w:sz w:val="24"/>
          <w:szCs w:val="24"/>
        </w:rPr>
        <w:t xml:space="preserve">, </w:t>
      </w:r>
      <w:r w:rsidR="0046024D">
        <w:rPr>
          <w:rFonts w:ascii="Garamond" w:hAnsi="Garamond"/>
          <w:sz w:val="24"/>
          <w:szCs w:val="24"/>
        </w:rPr>
        <w:t>while</w:t>
      </w:r>
      <w:r w:rsidRPr="00C32887">
        <w:rPr>
          <w:rFonts w:ascii="Garamond" w:hAnsi="Garamond"/>
          <w:sz w:val="24"/>
          <w:szCs w:val="24"/>
        </w:rPr>
        <w:t xml:space="preserve"> the implementation of certain activities was predominantly conditioned by their </w:t>
      </w:r>
      <w:r w:rsidR="0046024D">
        <w:rPr>
          <w:rFonts w:ascii="Garamond" w:hAnsi="Garamond"/>
          <w:sz w:val="24"/>
          <w:szCs w:val="24"/>
        </w:rPr>
        <w:t>reali</w:t>
      </w:r>
      <w:r w:rsidR="00F254DD">
        <w:rPr>
          <w:rFonts w:ascii="Garamond" w:hAnsi="Garamond"/>
          <w:sz w:val="24"/>
          <w:szCs w:val="24"/>
        </w:rPr>
        <w:t>sation</w:t>
      </w:r>
      <w:r w:rsidRPr="00C32887">
        <w:rPr>
          <w:rFonts w:ascii="Garamond" w:hAnsi="Garamond"/>
          <w:sz w:val="24"/>
          <w:szCs w:val="24"/>
        </w:rPr>
        <w:t xml:space="preserve">. In this respect, 2019 was a particularly significant </w:t>
      </w:r>
      <w:r w:rsidR="0046024D">
        <w:rPr>
          <w:rFonts w:ascii="Garamond" w:hAnsi="Garamond"/>
          <w:sz w:val="24"/>
          <w:szCs w:val="24"/>
        </w:rPr>
        <w:t xml:space="preserve">year </w:t>
      </w:r>
      <w:r w:rsidRPr="00C32887">
        <w:rPr>
          <w:rFonts w:ascii="Garamond" w:hAnsi="Garamond"/>
          <w:sz w:val="24"/>
          <w:szCs w:val="24"/>
        </w:rPr>
        <w:t xml:space="preserve">given that the previous </w:t>
      </w:r>
      <w:r w:rsidR="0046024D">
        <w:rPr>
          <w:rFonts w:ascii="Garamond" w:hAnsi="Garamond"/>
          <w:sz w:val="24"/>
          <w:szCs w:val="24"/>
        </w:rPr>
        <w:t>one</w:t>
      </w:r>
      <w:r w:rsidRPr="00C32887">
        <w:rPr>
          <w:rFonts w:ascii="Garamond" w:hAnsi="Garamond"/>
          <w:sz w:val="24"/>
          <w:szCs w:val="24"/>
        </w:rPr>
        <w:t xml:space="preserve"> was marked by the finali</w:t>
      </w:r>
      <w:r w:rsidR="00F254DD">
        <w:rPr>
          <w:rFonts w:ascii="Garamond" w:hAnsi="Garamond"/>
          <w:sz w:val="24"/>
          <w:szCs w:val="24"/>
        </w:rPr>
        <w:t>sation</w:t>
      </w:r>
      <w:r w:rsidRPr="00C32887">
        <w:rPr>
          <w:rFonts w:ascii="Garamond" w:hAnsi="Garamond"/>
          <w:sz w:val="24"/>
          <w:szCs w:val="24"/>
        </w:rPr>
        <w:t xml:space="preserve"> </w:t>
      </w:r>
      <w:r w:rsidR="00817641">
        <w:rPr>
          <w:rFonts w:ascii="Garamond" w:hAnsi="Garamond"/>
          <w:sz w:val="24"/>
          <w:szCs w:val="24"/>
        </w:rPr>
        <w:t>of tender</w:t>
      </w:r>
      <w:r w:rsidRPr="00C32887">
        <w:rPr>
          <w:rFonts w:ascii="Garamond" w:hAnsi="Garamond"/>
          <w:sz w:val="24"/>
          <w:szCs w:val="24"/>
        </w:rPr>
        <w:t xml:space="preserve"> procedures for </w:t>
      </w:r>
      <w:r w:rsidR="0046024D">
        <w:rPr>
          <w:rFonts w:ascii="Garamond" w:hAnsi="Garamond"/>
          <w:sz w:val="24"/>
          <w:szCs w:val="24"/>
        </w:rPr>
        <w:t xml:space="preserve">the </w:t>
      </w:r>
      <w:r w:rsidRPr="00C32887">
        <w:rPr>
          <w:rFonts w:ascii="Garamond" w:hAnsi="Garamond"/>
          <w:sz w:val="24"/>
          <w:szCs w:val="24"/>
        </w:rPr>
        <w:t xml:space="preserve">PFM projects, </w:t>
      </w:r>
      <w:r w:rsidR="0046024D">
        <w:rPr>
          <w:rFonts w:ascii="Garamond" w:hAnsi="Garamond"/>
          <w:sz w:val="24"/>
          <w:szCs w:val="24"/>
        </w:rPr>
        <w:t xml:space="preserve">which is why </w:t>
      </w:r>
      <w:r w:rsidRPr="00C32887">
        <w:rPr>
          <w:rFonts w:ascii="Garamond" w:hAnsi="Garamond"/>
          <w:sz w:val="24"/>
          <w:szCs w:val="24"/>
        </w:rPr>
        <w:t xml:space="preserve">it </w:t>
      </w:r>
      <w:r w:rsidR="00817641">
        <w:rPr>
          <w:rFonts w:ascii="Garamond" w:hAnsi="Garamond"/>
          <w:sz w:val="24"/>
          <w:szCs w:val="24"/>
        </w:rPr>
        <w:t xml:space="preserve">was </w:t>
      </w:r>
      <w:r w:rsidRPr="00C32887">
        <w:rPr>
          <w:rFonts w:ascii="Garamond" w:hAnsi="Garamond"/>
          <w:sz w:val="24"/>
          <w:szCs w:val="24"/>
        </w:rPr>
        <w:t>possible to start</w:t>
      </w:r>
      <w:r w:rsidR="0046024D">
        <w:rPr>
          <w:rFonts w:ascii="Garamond" w:hAnsi="Garamond"/>
          <w:sz w:val="24"/>
          <w:szCs w:val="24"/>
        </w:rPr>
        <w:t xml:space="preserve"> with the</w:t>
      </w:r>
      <w:r w:rsidRPr="00C32887">
        <w:rPr>
          <w:rFonts w:ascii="Garamond" w:hAnsi="Garamond"/>
          <w:sz w:val="24"/>
          <w:szCs w:val="24"/>
        </w:rPr>
        <w:t xml:space="preserve"> implementation of the remaining activities planned </w:t>
      </w:r>
      <w:r w:rsidR="00817641">
        <w:rPr>
          <w:rFonts w:ascii="Garamond" w:hAnsi="Garamond"/>
          <w:sz w:val="24"/>
          <w:szCs w:val="24"/>
        </w:rPr>
        <w:t xml:space="preserve">under the </w:t>
      </w:r>
      <w:r w:rsidR="00AB73F6" w:rsidRPr="00C32887">
        <w:rPr>
          <w:rFonts w:ascii="Garamond" w:hAnsi="Garamond"/>
          <w:sz w:val="24"/>
          <w:szCs w:val="24"/>
        </w:rPr>
        <w:t>Programme</w:t>
      </w:r>
      <w:r w:rsidR="00624D6E">
        <w:rPr>
          <w:rFonts w:ascii="Garamond" w:hAnsi="Garamond"/>
          <w:sz w:val="24"/>
          <w:szCs w:val="24"/>
        </w:rPr>
        <w:t xml:space="preserve">. The </w:t>
      </w:r>
      <w:r w:rsidRPr="00C32887">
        <w:rPr>
          <w:rFonts w:ascii="Garamond" w:hAnsi="Garamond"/>
          <w:sz w:val="24"/>
          <w:szCs w:val="24"/>
        </w:rPr>
        <w:t xml:space="preserve">focus </w:t>
      </w:r>
      <w:r w:rsidR="00624D6E">
        <w:rPr>
          <w:rFonts w:ascii="Garamond" w:hAnsi="Garamond"/>
          <w:sz w:val="24"/>
          <w:szCs w:val="24"/>
        </w:rPr>
        <w:t xml:space="preserve">was placed </w:t>
      </w:r>
      <w:r w:rsidRPr="00C32887">
        <w:rPr>
          <w:rFonts w:ascii="Garamond" w:hAnsi="Garamond"/>
          <w:sz w:val="24"/>
          <w:szCs w:val="24"/>
        </w:rPr>
        <w:t>on the implementation of a number of important activities, including the preparation of the medium</w:t>
      </w:r>
      <w:r w:rsidR="0046024D">
        <w:rPr>
          <w:rFonts w:ascii="Garamond" w:hAnsi="Garamond"/>
          <w:sz w:val="24"/>
          <w:szCs w:val="24"/>
        </w:rPr>
        <w:t>-term</w:t>
      </w:r>
      <w:r w:rsidRPr="00C32887">
        <w:rPr>
          <w:rFonts w:ascii="Garamond" w:hAnsi="Garamond"/>
          <w:sz w:val="24"/>
          <w:szCs w:val="24"/>
        </w:rPr>
        <w:t xml:space="preserve"> </w:t>
      </w:r>
      <w:r w:rsidR="00817641">
        <w:rPr>
          <w:rFonts w:ascii="Garamond" w:hAnsi="Garamond"/>
          <w:sz w:val="24"/>
          <w:szCs w:val="24"/>
        </w:rPr>
        <w:t>budget</w:t>
      </w:r>
      <w:r w:rsidR="0046024D">
        <w:rPr>
          <w:rFonts w:ascii="Garamond" w:hAnsi="Garamond"/>
          <w:sz w:val="24"/>
          <w:szCs w:val="24"/>
        </w:rPr>
        <w:t>ary</w:t>
      </w:r>
      <w:r w:rsidRPr="00C32887">
        <w:rPr>
          <w:rFonts w:ascii="Garamond" w:hAnsi="Garamond"/>
          <w:sz w:val="24"/>
          <w:szCs w:val="24"/>
        </w:rPr>
        <w:t xml:space="preserve"> framework</w:t>
      </w:r>
      <w:r w:rsidR="00817641">
        <w:rPr>
          <w:rFonts w:ascii="Garamond" w:hAnsi="Garamond"/>
          <w:sz w:val="24"/>
          <w:szCs w:val="24"/>
        </w:rPr>
        <w:t>, p</w:t>
      </w:r>
      <w:r w:rsidR="00AB73F6" w:rsidRPr="00C32887">
        <w:rPr>
          <w:rFonts w:ascii="Garamond" w:hAnsi="Garamond"/>
          <w:sz w:val="24"/>
          <w:szCs w:val="24"/>
        </w:rPr>
        <w:t>rogramme</w:t>
      </w:r>
      <w:r w:rsidR="0046024D">
        <w:rPr>
          <w:rFonts w:ascii="Garamond" w:hAnsi="Garamond"/>
          <w:sz w:val="24"/>
          <w:szCs w:val="24"/>
        </w:rPr>
        <w:t>-based</w:t>
      </w:r>
      <w:r w:rsidRPr="00C32887">
        <w:rPr>
          <w:rFonts w:ascii="Garamond" w:hAnsi="Garamond"/>
          <w:sz w:val="24"/>
          <w:szCs w:val="24"/>
        </w:rPr>
        <w:t xml:space="preserve"> budget</w:t>
      </w:r>
      <w:r w:rsidR="00817641">
        <w:rPr>
          <w:rFonts w:ascii="Garamond" w:hAnsi="Garamond"/>
          <w:sz w:val="24"/>
          <w:szCs w:val="24"/>
        </w:rPr>
        <w:t>ing,</w:t>
      </w:r>
      <w:r w:rsidRPr="00C32887">
        <w:rPr>
          <w:rFonts w:ascii="Garamond" w:hAnsi="Garamond"/>
          <w:sz w:val="24"/>
          <w:szCs w:val="24"/>
        </w:rPr>
        <w:t xml:space="preserve"> capital budget</w:t>
      </w:r>
      <w:r w:rsidR="00817641">
        <w:rPr>
          <w:rFonts w:ascii="Garamond" w:hAnsi="Garamond"/>
          <w:sz w:val="24"/>
          <w:szCs w:val="24"/>
        </w:rPr>
        <w:t>ing</w:t>
      </w:r>
      <w:r w:rsidRPr="00C32887">
        <w:rPr>
          <w:rFonts w:ascii="Garamond" w:hAnsi="Garamond"/>
          <w:sz w:val="24"/>
          <w:szCs w:val="24"/>
        </w:rPr>
        <w:t xml:space="preserve">, as well as the Law on </w:t>
      </w:r>
      <w:r w:rsidR="0046024D" w:rsidRPr="00C32887">
        <w:rPr>
          <w:rFonts w:ascii="Garamond" w:hAnsi="Garamond"/>
          <w:sz w:val="24"/>
          <w:szCs w:val="24"/>
        </w:rPr>
        <w:t xml:space="preserve">Public Sector </w:t>
      </w:r>
      <w:r w:rsidRPr="00C32887">
        <w:rPr>
          <w:rFonts w:ascii="Garamond" w:hAnsi="Garamond"/>
          <w:sz w:val="24"/>
          <w:szCs w:val="24"/>
        </w:rPr>
        <w:t xml:space="preserve">Accounting, </w:t>
      </w:r>
      <w:r w:rsidR="00817641">
        <w:rPr>
          <w:rFonts w:ascii="Garamond" w:hAnsi="Garamond"/>
          <w:sz w:val="24"/>
          <w:szCs w:val="24"/>
        </w:rPr>
        <w:t>with</w:t>
      </w:r>
      <w:r w:rsidRPr="00C32887">
        <w:rPr>
          <w:rFonts w:ascii="Garamond" w:hAnsi="Garamond"/>
          <w:sz w:val="24"/>
          <w:szCs w:val="24"/>
        </w:rPr>
        <w:t xml:space="preserve"> note </w:t>
      </w:r>
      <w:r w:rsidR="00817641">
        <w:rPr>
          <w:rFonts w:ascii="Garamond" w:hAnsi="Garamond"/>
          <w:sz w:val="24"/>
          <w:szCs w:val="24"/>
        </w:rPr>
        <w:t>that</w:t>
      </w:r>
      <w:r w:rsidRPr="00C32887">
        <w:rPr>
          <w:rFonts w:ascii="Garamond" w:hAnsi="Garamond"/>
          <w:sz w:val="24"/>
          <w:szCs w:val="24"/>
        </w:rPr>
        <w:t xml:space="preserve"> the former activities were carried out predominantly from own resources</w:t>
      </w:r>
      <w:r w:rsidR="0046024D">
        <w:rPr>
          <w:rFonts w:ascii="Garamond" w:hAnsi="Garamond"/>
          <w:sz w:val="24"/>
          <w:szCs w:val="24"/>
        </w:rPr>
        <w:t>,</w:t>
      </w:r>
      <w:r w:rsidRPr="00C32887">
        <w:rPr>
          <w:rFonts w:ascii="Garamond" w:hAnsi="Garamond"/>
          <w:sz w:val="24"/>
          <w:szCs w:val="24"/>
        </w:rPr>
        <w:t xml:space="preserve"> </w:t>
      </w:r>
      <w:r w:rsidR="0046024D">
        <w:rPr>
          <w:rFonts w:ascii="Garamond" w:hAnsi="Garamond"/>
          <w:sz w:val="24"/>
          <w:szCs w:val="24"/>
        </w:rPr>
        <w:t>using the e</w:t>
      </w:r>
      <w:r w:rsidRPr="00C32887">
        <w:rPr>
          <w:rFonts w:ascii="Garamond" w:hAnsi="Garamond"/>
          <w:sz w:val="24"/>
          <w:szCs w:val="24"/>
        </w:rPr>
        <w:t>x</w:t>
      </w:r>
      <w:r w:rsidR="00817641">
        <w:rPr>
          <w:rFonts w:ascii="Garamond" w:hAnsi="Garamond"/>
          <w:sz w:val="24"/>
          <w:szCs w:val="24"/>
        </w:rPr>
        <w:t>isting capacities of institutions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817641" w:rsidP="00817641">
      <w:pPr>
        <w:jc w:val="both"/>
        <w:rPr>
          <w:rFonts w:ascii="Garamond" w:hAnsi="Garamond"/>
          <w:sz w:val="24"/>
          <w:szCs w:val="24"/>
        </w:rPr>
      </w:pPr>
      <w:r w:rsidRPr="00C32887">
        <w:rPr>
          <w:rFonts w:ascii="Garamond" w:hAnsi="Garamond"/>
          <w:sz w:val="24"/>
          <w:szCs w:val="24"/>
        </w:rPr>
        <w:t xml:space="preserve">During </w:t>
      </w:r>
      <w:r w:rsidR="004D1343" w:rsidRPr="00C32887">
        <w:rPr>
          <w:rFonts w:ascii="Garamond" w:hAnsi="Garamond"/>
          <w:sz w:val="24"/>
          <w:szCs w:val="24"/>
        </w:rPr>
        <w:t xml:space="preserve">the implementation of the </w:t>
      </w:r>
      <w:r w:rsidR="00AB73F6" w:rsidRPr="00C32887">
        <w:rPr>
          <w:rFonts w:ascii="Garamond" w:hAnsi="Garamond"/>
          <w:sz w:val="24"/>
          <w:szCs w:val="24"/>
        </w:rPr>
        <w:t>Programme</w:t>
      </w:r>
      <w:r w:rsidR="00624D6E">
        <w:rPr>
          <w:rFonts w:ascii="Garamond" w:hAnsi="Garamond"/>
          <w:sz w:val="24"/>
          <w:szCs w:val="24"/>
        </w:rPr>
        <w:t>,</w:t>
      </w:r>
      <w:r w:rsidR="004D1343" w:rsidRPr="00C32887">
        <w:rPr>
          <w:rFonts w:ascii="Garamond" w:hAnsi="Garamond"/>
          <w:sz w:val="24"/>
          <w:szCs w:val="24"/>
        </w:rPr>
        <w:t xml:space="preserve"> </w:t>
      </w:r>
      <w:r w:rsidR="00624D6E" w:rsidRPr="00C32887">
        <w:rPr>
          <w:rFonts w:ascii="Garamond" w:hAnsi="Garamond"/>
          <w:sz w:val="24"/>
          <w:szCs w:val="24"/>
        </w:rPr>
        <w:t>institutions responsible for</w:t>
      </w:r>
      <w:r w:rsidR="00624D6E">
        <w:rPr>
          <w:rFonts w:ascii="Garamond" w:hAnsi="Garamond"/>
          <w:sz w:val="24"/>
          <w:szCs w:val="24"/>
        </w:rPr>
        <w:t xml:space="preserve"> the</w:t>
      </w:r>
      <w:r w:rsidR="00624D6E" w:rsidRPr="00C32887">
        <w:rPr>
          <w:rFonts w:ascii="Garamond" w:hAnsi="Garamond"/>
          <w:sz w:val="24"/>
          <w:szCs w:val="24"/>
        </w:rPr>
        <w:t xml:space="preserve"> implementation </w:t>
      </w:r>
      <w:r w:rsidR="00624D6E">
        <w:rPr>
          <w:rFonts w:ascii="Garamond" w:hAnsi="Garamond"/>
          <w:sz w:val="24"/>
          <w:szCs w:val="24"/>
        </w:rPr>
        <w:t xml:space="preserve">provided </w:t>
      </w:r>
      <w:r w:rsidR="004D1343" w:rsidRPr="00C32887">
        <w:rPr>
          <w:rFonts w:ascii="Garamond" w:hAnsi="Garamond"/>
          <w:sz w:val="24"/>
          <w:szCs w:val="24"/>
        </w:rPr>
        <w:t xml:space="preserve">key contribution </w:t>
      </w:r>
      <w:r w:rsidR="00624D6E">
        <w:rPr>
          <w:rFonts w:ascii="Garamond" w:hAnsi="Garamond"/>
          <w:sz w:val="24"/>
          <w:szCs w:val="24"/>
        </w:rPr>
        <w:t>using</w:t>
      </w:r>
      <w:r w:rsidR="004D1343" w:rsidRPr="00C32887">
        <w:rPr>
          <w:rFonts w:ascii="Garamond" w:hAnsi="Garamond"/>
          <w:sz w:val="24"/>
          <w:szCs w:val="24"/>
        </w:rPr>
        <w:t xml:space="preserve"> </w:t>
      </w:r>
      <w:r>
        <w:rPr>
          <w:rFonts w:ascii="Garamond" w:hAnsi="Garamond"/>
          <w:sz w:val="24"/>
          <w:szCs w:val="24"/>
        </w:rPr>
        <w:t>own capacities</w:t>
      </w:r>
      <w:r w:rsidR="004D1343" w:rsidRPr="00C32887">
        <w:rPr>
          <w:rFonts w:ascii="Garamond" w:hAnsi="Garamond"/>
          <w:sz w:val="24"/>
          <w:szCs w:val="24"/>
        </w:rPr>
        <w:t>. In this regard, in addition to the funds spent within the</w:t>
      </w:r>
      <w:r w:rsidR="00624D6E">
        <w:rPr>
          <w:rFonts w:ascii="Garamond" w:hAnsi="Garamond"/>
          <w:sz w:val="24"/>
          <w:szCs w:val="24"/>
        </w:rPr>
        <w:t>ir</w:t>
      </w:r>
      <w:r w:rsidR="004D1343" w:rsidRPr="00C32887">
        <w:rPr>
          <w:rFonts w:ascii="Garamond" w:hAnsi="Garamond"/>
          <w:sz w:val="24"/>
          <w:szCs w:val="24"/>
        </w:rPr>
        <w:t xml:space="preserve"> regular activities planned </w:t>
      </w:r>
      <w:r w:rsidR="00624D6E">
        <w:rPr>
          <w:rFonts w:ascii="Garamond" w:hAnsi="Garamond"/>
          <w:sz w:val="24"/>
          <w:szCs w:val="24"/>
        </w:rPr>
        <w:t>in</w:t>
      </w:r>
      <w:r w:rsidR="004D1343" w:rsidRPr="00C32887">
        <w:rPr>
          <w:rFonts w:ascii="Garamond" w:hAnsi="Garamond"/>
          <w:sz w:val="24"/>
          <w:szCs w:val="24"/>
        </w:rPr>
        <w:t xml:space="preserve"> the state budget, the following funds </w:t>
      </w:r>
      <w:r w:rsidR="00624D6E">
        <w:rPr>
          <w:rFonts w:ascii="Garamond" w:hAnsi="Garamond"/>
          <w:sz w:val="24"/>
          <w:szCs w:val="24"/>
        </w:rPr>
        <w:t>came</w:t>
      </w:r>
      <w:r w:rsidR="004D1343" w:rsidRPr="00C32887">
        <w:rPr>
          <w:rFonts w:ascii="Garamond" w:hAnsi="Garamond"/>
          <w:sz w:val="24"/>
          <w:szCs w:val="24"/>
        </w:rPr>
        <w:t xml:space="preserve"> from donations</w:t>
      </w:r>
      <w:r>
        <w:rPr>
          <w:rFonts w:ascii="Garamond" w:hAnsi="Garamond"/>
          <w:sz w:val="24"/>
          <w:szCs w:val="24"/>
        </w:rPr>
        <w:t>,</w:t>
      </w:r>
      <w:r w:rsidR="004D1343" w:rsidRPr="00C32887">
        <w:rPr>
          <w:rFonts w:ascii="Garamond" w:hAnsi="Garamond"/>
          <w:sz w:val="24"/>
          <w:szCs w:val="24"/>
        </w:rPr>
        <w:t xml:space="preserve"> by strategic </w:t>
      </w:r>
      <w:r w:rsidR="00624D6E">
        <w:rPr>
          <w:rFonts w:ascii="Garamond" w:hAnsi="Garamond"/>
          <w:sz w:val="24"/>
          <w:szCs w:val="24"/>
        </w:rPr>
        <w:t>objectives</w:t>
      </w:r>
      <w:r w:rsidR="004D1343"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817641" w:rsidRDefault="00817641" w:rsidP="00817641">
      <w:pPr>
        <w:pStyle w:val="ListParagraph"/>
        <w:numPr>
          <w:ilvl w:val="0"/>
          <w:numId w:val="1"/>
        </w:numPr>
        <w:jc w:val="both"/>
        <w:rPr>
          <w:rFonts w:ascii="Garamond" w:hAnsi="Garamond"/>
          <w:sz w:val="24"/>
          <w:szCs w:val="24"/>
        </w:rPr>
      </w:pPr>
      <w:r w:rsidRPr="00817641">
        <w:rPr>
          <w:rFonts w:ascii="Garamond" w:hAnsi="Garamond"/>
          <w:sz w:val="24"/>
          <w:szCs w:val="24"/>
        </w:rPr>
        <w:t>funds in the amou</w:t>
      </w:r>
      <w:r>
        <w:rPr>
          <w:rFonts w:ascii="Garamond" w:hAnsi="Garamond"/>
          <w:sz w:val="24"/>
          <w:szCs w:val="24"/>
        </w:rPr>
        <w:t xml:space="preserve">nt of € 1.17 million were </w:t>
      </w:r>
      <w:r w:rsidR="00624D6E">
        <w:rPr>
          <w:rFonts w:ascii="Garamond" w:hAnsi="Garamond"/>
          <w:sz w:val="24"/>
          <w:szCs w:val="24"/>
        </w:rPr>
        <w:t>used</w:t>
      </w:r>
      <w:r w:rsidRPr="00817641">
        <w:rPr>
          <w:rFonts w:ascii="Garamond" w:hAnsi="Garamond"/>
          <w:sz w:val="24"/>
          <w:szCs w:val="24"/>
        </w:rPr>
        <w:t xml:space="preserve"> </w:t>
      </w:r>
      <w:r>
        <w:rPr>
          <w:rFonts w:ascii="Garamond" w:hAnsi="Garamond"/>
          <w:sz w:val="24"/>
          <w:szCs w:val="24"/>
        </w:rPr>
        <w:t>for</w:t>
      </w:r>
      <w:r w:rsidR="004D1343" w:rsidRPr="00817641">
        <w:rPr>
          <w:rFonts w:ascii="Garamond" w:hAnsi="Garamond"/>
          <w:sz w:val="24"/>
          <w:szCs w:val="24"/>
        </w:rPr>
        <w:t xml:space="preserve"> the implementation of activities within the strategic </w:t>
      </w:r>
      <w:r w:rsidR="00624D6E">
        <w:rPr>
          <w:rFonts w:ascii="Garamond" w:hAnsi="Garamond"/>
          <w:sz w:val="24"/>
          <w:szCs w:val="24"/>
        </w:rPr>
        <w:t>objective</w:t>
      </w:r>
      <w:r w:rsidR="004D1343" w:rsidRPr="00817641">
        <w:rPr>
          <w:rFonts w:ascii="Garamond" w:hAnsi="Garamond"/>
          <w:sz w:val="24"/>
          <w:szCs w:val="24"/>
        </w:rPr>
        <w:t xml:space="preserve"> Sustainable fiscal framework, </w:t>
      </w:r>
      <w:r w:rsidRPr="00817641">
        <w:rPr>
          <w:rFonts w:ascii="Garamond" w:hAnsi="Garamond"/>
          <w:sz w:val="24"/>
          <w:szCs w:val="24"/>
        </w:rPr>
        <w:t xml:space="preserve">public </w:t>
      </w:r>
      <w:r>
        <w:rPr>
          <w:rFonts w:ascii="Garamond" w:hAnsi="Garamond"/>
          <w:sz w:val="24"/>
          <w:szCs w:val="24"/>
        </w:rPr>
        <w:t>expenditures</w:t>
      </w:r>
      <w:r w:rsidRPr="00817641">
        <w:rPr>
          <w:rFonts w:ascii="Garamond" w:hAnsi="Garamond"/>
          <w:sz w:val="24"/>
          <w:szCs w:val="24"/>
        </w:rPr>
        <w:t xml:space="preserve"> </w:t>
      </w:r>
      <w:r w:rsidR="00624D6E">
        <w:rPr>
          <w:rFonts w:ascii="Garamond" w:hAnsi="Garamond"/>
          <w:sz w:val="24"/>
          <w:szCs w:val="24"/>
        </w:rPr>
        <w:t>planning and budgeting</w:t>
      </w:r>
      <w:r w:rsidR="004D1343" w:rsidRPr="00817641">
        <w:rPr>
          <w:rFonts w:ascii="Garamond" w:hAnsi="Garamond"/>
          <w:sz w:val="24"/>
          <w:szCs w:val="24"/>
        </w:rPr>
        <w:t>;</w:t>
      </w:r>
    </w:p>
    <w:p w:rsidR="004D1343" w:rsidRPr="00817641" w:rsidRDefault="004D1343" w:rsidP="00817641">
      <w:pPr>
        <w:pStyle w:val="ListParagraph"/>
        <w:numPr>
          <w:ilvl w:val="0"/>
          <w:numId w:val="1"/>
        </w:numPr>
        <w:jc w:val="both"/>
        <w:rPr>
          <w:rFonts w:ascii="Garamond" w:hAnsi="Garamond"/>
          <w:sz w:val="24"/>
          <w:szCs w:val="24"/>
        </w:rPr>
      </w:pPr>
      <w:r w:rsidRPr="00817641">
        <w:rPr>
          <w:rFonts w:ascii="Garamond" w:hAnsi="Garamond"/>
          <w:sz w:val="24"/>
          <w:szCs w:val="24"/>
        </w:rPr>
        <w:t xml:space="preserve">funds in the amount of € 3.06 million </w:t>
      </w:r>
      <w:r w:rsidR="00F43C01">
        <w:rPr>
          <w:rFonts w:ascii="Garamond" w:hAnsi="Garamond"/>
          <w:sz w:val="24"/>
          <w:szCs w:val="24"/>
        </w:rPr>
        <w:t>were used</w:t>
      </w:r>
      <w:r w:rsidR="00F43C01" w:rsidRPr="00817641">
        <w:rPr>
          <w:rFonts w:ascii="Garamond" w:hAnsi="Garamond"/>
          <w:sz w:val="24"/>
          <w:szCs w:val="24"/>
        </w:rPr>
        <w:t xml:space="preserve"> </w:t>
      </w:r>
      <w:r w:rsidRPr="00817641">
        <w:rPr>
          <w:rFonts w:ascii="Garamond" w:hAnsi="Garamond"/>
          <w:sz w:val="24"/>
          <w:szCs w:val="24"/>
        </w:rPr>
        <w:t xml:space="preserve">for the implementation of activities within the </w:t>
      </w:r>
      <w:r w:rsidR="00624D6E">
        <w:rPr>
          <w:rFonts w:ascii="Garamond" w:hAnsi="Garamond"/>
          <w:sz w:val="24"/>
          <w:szCs w:val="24"/>
        </w:rPr>
        <w:t xml:space="preserve">strategic objective </w:t>
      </w:r>
      <w:r w:rsidR="00817641">
        <w:rPr>
          <w:rFonts w:ascii="Garamond" w:hAnsi="Garamond"/>
          <w:sz w:val="24"/>
          <w:szCs w:val="24"/>
        </w:rPr>
        <w:t>Budget Execution</w:t>
      </w:r>
      <w:r w:rsidRPr="00817641">
        <w:rPr>
          <w:rFonts w:ascii="Garamond" w:hAnsi="Garamond"/>
          <w:sz w:val="24"/>
          <w:szCs w:val="24"/>
        </w:rPr>
        <w:t>;</w:t>
      </w:r>
    </w:p>
    <w:p w:rsidR="004D1343" w:rsidRPr="00817641" w:rsidRDefault="00C57CC0" w:rsidP="00817641">
      <w:pPr>
        <w:pStyle w:val="ListParagraph"/>
        <w:numPr>
          <w:ilvl w:val="0"/>
          <w:numId w:val="1"/>
        </w:numPr>
        <w:jc w:val="both"/>
        <w:rPr>
          <w:rFonts w:ascii="Garamond" w:hAnsi="Garamond"/>
          <w:sz w:val="24"/>
          <w:szCs w:val="24"/>
        </w:rPr>
      </w:pPr>
      <w:r>
        <w:rPr>
          <w:rFonts w:ascii="Garamond" w:hAnsi="Garamond"/>
          <w:sz w:val="24"/>
          <w:szCs w:val="24"/>
        </w:rPr>
        <w:t>funds in the amount of € 0.0</w:t>
      </w:r>
      <w:r w:rsidR="00817641" w:rsidRPr="00817641">
        <w:rPr>
          <w:rFonts w:ascii="Garamond" w:hAnsi="Garamond"/>
          <w:sz w:val="24"/>
          <w:szCs w:val="24"/>
        </w:rPr>
        <w:t xml:space="preserve">4 million </w:t>
      </w:r>
      <w:r w:rsidR="00F43C01">
        <w:rPr>
          <w:rFonts w:ascii="Garamond" w:hAnsi="Garamond"/>
          <w:sz w:val="24"/>
          <w:szCs w:val="24"/>
        </w:rPr>
        <w:t>were used</w:t>
      </w:r>
      <w:r w:rsidR="00F43C01" w:rsidRPr="00817641">
        <w:rPr>
          <w:rFonts w:ascii="Garamond" w:hAnsi="Garamond"/>
          <w:sz w:val="24"/>
          <w:szCs w:val="24"/>
        </w:rPr>
        <w:t xml:space="preserve"> </w:t>
      </w:r>
      <w:r w:rsidR="004D1343" w:rsidRPr="00817641">
        <w:rPr>
          <w:rFonts w:ascii="Garamond" w:hAnsi="Garamond"/>
          <w:sz w:val="24"/>
          <w:szCs w:val="24"/>
        </w:rPr>
        <w:t xml:space="preserve">for the implementation of activities within the </w:t>
      </w:r>
      <w:r w:rsidR="00624D6E">
        <w:rPr>
          <w:rFonts w:ascii="Garamond" w:hAnsi="Garamond"/>
          <w:sz w:val="24"/>
          <w:szCs w:val="24"/>
        </w:rPr>
        <w:t xml:space="preserve">strategic objective </w:t>
      </w:r>
      <w:r>
        <w:rPr>
          <w:rFonts w:ascii="Garamond" w:hAnsi="Garamond"/>
          <w:sz w:val="24"/>
          <w:szCs w:val="24"/>
        </w:rPr>
        <w:t xml:space="preserve">Public </w:t>
      </w:r>
      <w:r w:rsidR="004D1343" w:rsidRPr="00817641">
        <w:rPr>
          <w:rFonts w:ascii="Garamond" w:hAnsi="Garamond"/>
          <w:sz w:val="24"/>
          <w:szCs w:val="24"/>
        </w:rPr>
        <w:t xml:space="preserve">Internal Financial Control </w:t>
      </w:r>
      <w:r w:rsidR="00624D6E" w:rsidRPr="00817641">
        <w:rPr>
          <w:rFonts w:ascii="Garamond" w:hAnsi="Garamond"/>
          <w:sz w:val="24"/>
          <w:szCs w:val="24"/>
        </w:rPr>
        <w:t xml:space="preserve">Development </w:t>
      </w:r>
      <w:r w:rsidR="004D1343" w:rsidRPr="00817641">
        <w:rPr>
          <w:rFonts w:ascii="Garamond" w:hAnsi="Garamond"/>
          <w:sz w:val="24"/>
          <w:szCs w:val="24"/>
        </w:rPr>
        <w:t>(PIFC)</w:t>
      </w:r>
      <w:r w:rsidR="008B6760">
        <w:rPr>
          <w:rFonts w:ascii="Garamond" w:hAnsi="Garamond"/>
          <w:sz w:val="24"/>
          <w:szCs w:val="24"/>
        </w:rPr>
        <w:t>;</w:t>
      </w:r>
    </w:p>
    <w:p w:rsidR="004D1343" w:rsidRPr="00C57CC0" w:rsidRDefault="00C57CC0" w:rsidP="00C57CC0">
      <w:pPr>
        <w:pStyle w:val="ListParagraph"/>
        <w:numPr>
          <w:ilvl w:val="0"/>
          <w:numId w:val="1"/>
        </w:numPr>
        <w:jc w:val="both"/>
        <w:rPr>
          <w:rFonts w:ascii="Garamond" w:hAnsi="Garamond"/>
          <w:sz w:val="24"/>
          <w:szCs w:val="24"/>
        </w:rPr>
      </w:pPr>
      <w:r w:rsidRPr="00C57CC0">
        <w:rPr>
          <w:rFonts w:ascii="Garamond" w:hAnsi="Garamond"/>
          <w:sz w:val="24"/>
          <w:szCs w:val="24"/>
        </w:rPr>
        <w:t xml:space="preserve">funds in the amount of € 0.08 million </w:t>
      </w:r>
      <w:r w:rsidR="00F43C01">
        <w:rPr>
          <w:rFonts w:ascii="Garamond" w:hAnsi="Garamond"/>
          <w:sz w:val="24"/>
          <w:szCs w:val="24"/>
        </w:rPr>
        <w:t>were used</w:t>
      </w:r>
      <w:r w:rsidR="00F43C01" w:rsidRPr="00817641">
        <w:rPr>
          <w:rFonts w:ascii="Garamond" w:hAnsi="Garamond"/>
          <w:sz w:val="24"/>
          <w:szCs w:val="24"/>
        </w:rPr>
        <w:t xml:space="preserve"> </w:t>
      </w:r>
      <w:r w:rsidR="004D1343" w:rsidRPr="00C57CC0">
        <w:rPr>
          <w:rFonts w:ascii="Garamond" w:hAnsi="Garamond"/>
          <w:sz w:val="24"/>
          <w:szCs w:val="24"/>
        </w:rPr>
        <w:t xml:space="preserve">for the implementation of activities within the </w:t>
      </w:r>
      <w:r w:rsidR="00624D6E">
        <w:rPr>
          <w:rFonts w:ascii="Garamond" w:hAnsi="Garamond"/>
          <w:sz w:val="24"/>
          <w:szCs w:val="24"/>
        </w:rPr>
        <w:t xml:space="preserve">strategic objective </w:t>
      </w:r>
      <w:r w:rsidR="004D1343" w:rsidRPr="00C57CC0">
        <w:rPr>
          <w:rFonts w:ascii="Garamond" w:hAnsi="Garamond"/>
          <w:sz w:val="24"/>
          <w:szCs w:val="24"/>
        </w:rPr>
        <w:t>Fin</w:t>
      </w:r>
      <w:r>
        <w:rPr>
          <w:rFonts w:ascii="Garamond" w:hAnsi="Garamond"/>
          <w:sz w:val="24"/>
          <w:szCs w:val="24"/>
        </w:rPr>
        <w:t>ancial Reporting and Accounting</w:t>
      </w:r>
      <w:r w:rsidR="004D1343" w:rsidRPr="00C57CC0">
        <w:rPr>
          <w:rFonts w:ascii="Garamond" w:hAnsi="Garamond"/>
          <w:sz w:val="24"/>
          <w:szCs w:val="24"/>
        </w:rPr>
        <w:t>;</w:t>
      </w:r>
    </w:p>
    <w:p w:rsidR="004D1343" w:rsidRPr="00C57CC0" w:rsidRDefault="00C57CC0" w:rsidP="00C57CC0">
      <w:pPr>
        <w:pStyle w:val="ListParagraph"/>
        <w:numPr>
          <w:ilvl w:val="0"/>
          <w:numId w:val="1"/>
        </w:numPr>
        <w:rPr>
          <w:rFonts w:ascii="Garamond" w:hAnsi="Garamond"/>
          <w:sz w:val="24"/>
          <w:szCs w:val="24"/>
        </w:rPr>
      </w:pPr>
      <w:proofErr w:type="gramStart"/>
      <w:r>
        <w:rPr>
          <w:rFonts w:ascii="Garamond" w:hAnsi="Garamond"/>
          <w:sz w:val="24"/>
          <w:szCs w:val="24"/>
        </w:rPr>
        <w:t>f</w:t>
      </w:r>
      <w:r w:rsidR="004D1343" w:rsidRPr="00C57CC0">
        <w:rPr>
          <w:rFonts w:ascii="Garamond" w:hAnsi="Garamond"/>
          <w:sz w:val="24"/>
          <w:szCs w:val="24"/>
        </w:rPr>
        <w:t>unds</w:t>
      </w:r>
      <w:proofErr w:type="gramEnd"/>
      <w:r w:rsidR="004D1343" w:rsidRPr="00C57CC0">
        <w:rPr>
          <w:rFonts w:ascii="Garamond" w:hAnsi="Garamond"/>
          <w:sz w:val="24"/>
          <w:szCs w:val="24"/>
        </w:rPr>
        <w:t xml:space="preserve"> in the amount of € 0.64 million </w:t>
      </w:r>
      <w:r w:rsidR="00F43C01">
        <w:rPr>
          <w:rFonts w:ascii="Garamond" w:hAnsi="Garamond"/>
          <w:sz w:val="24"/>
          <w:szCs w:val="24"/>
        </w:rPr>
        <w:t>were used</w:t>
      </w:r>
      <w:r w:rsidR="00F43C01" w:rsidRPr="00817641">
        <w:rPr>
          <w:rFonts w:ascii="Garamond" w:hAnsi="Garamond"/>
          <w:sz w:val="24"/>
          <w:szCs w:val="24"/>
        </w:rPr>
        <w:t xml:space="preserve"> </w:t>
      </w:r>
      <w:r w:rsidR="004D1343" w:rsidRPr="00C57CC0">
        <w:rPr>
          <w:rFonts w:ascii="Garamond" w:hAnsi="Garamond"/>
          <w:sz w:val="24"/>
          <w:szCs w:val="24"/>
        </w:rPr>
        <w:t xml:space="preserve">for the implementation of activities within the </w:t>
      </w:r>
      <w:r w:rsidR="00624D6E">
        <w:rPr>
          <w:rFonts w:ascii="Garamond" w:hAnsi="Garamond"/>
          <w:sz w:val="24"/>
          <w:szCs w:val="24"/>
        </w:rPr>
        <w:t xml:space="preserve">strategic objective </w:t>
      </w:r>
      <w:r w:rsidR="004D1343" w:rsidRPr="00C57CC0">
        <w:rPr>
          <w:rFonts w:ascii="Garamond" w:hAnsi="Garamond"/>
          <w:sz w:val="24"/>
          <w:szCs w:val="24"/>
        </w:rPr>
        <w:t xml:space="preserve">Development and </w:t>
      </w:r>
      <w:r>
        <w:rPr>
          <w:rFonts w:ascii="Garamond" w:hAnsi="Garamond"/>
          <w:sz w:val="24"/>
          <w:szCs w:val="24"/>
        </w:rPr>
        <w:t>Strengthening of External Audit</w:t>
      </w:r>
      <w:r w:rsidR="004D1343" w:rsidRPr="00C57CC0">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C57CC0">
      <w:pPr>
        <w:jc w:val="both"/>
        <w:rPr>
          <w:rFonts w:ascii="Garamond" w:hAnsi="Garamond"/>
          <w:sz w:val="24"/>
          <w:szCs w:val="24"/>
        </w:rPr>
      </w:pPr>
      <w:r w:rsidRPr="00C32887">
        <w:rPr>
          <w:rFonts w:ascii="Garamond" w:hAnsi="Garamond"/>
          <w:sz w:val="24"/>
          <w:szCs w:val="24"/>
        </w:rPr>
        <w:t xml:space="preserve">Given the above, and </w:t>
      </w:r>
      <w:r w:rsidR="00C57CC0">
        <w:rPr>
          <w:rFonts w:ascii="Garamond" w:hAnsi="Garamond"/>
          <w:sz w:val="24"/>
          <w:szCs w:val="24"/>
        </w:rPr>
        <w:t xml:space="preserve">the fact </w:t>
      </w:r>
      <w:r w:rsidRPr="00C32887">
        <w:rPr>
          <w:rFonts w:ascii="Garamond" w:hAnsi="Garamond"/>
          <w:sz w:val="24"/>
          <w:szCs w:val="24"/>
        </w:rPr>
        <w:t xml:space="preserve">that certain activities </w:t>
      </w:r>
      <w:r w:rsidR="00CC0A2F">
        <w:rPr>
          <w:rFonts w:ascii="Garamond" w:hAnsi="Garamond"/>
          <w:sz w:val="24"/>
          <w:szCs w:val="24"/>
        </w:rPr>
        <w:t>under</w:t>
      </w:r>
      <w:r w:rsidRPr="00C32887">
        <w:rPr>
          <w:rFonts w:ascii="Garamond" w:hAnsi="Garamond"/>
          <w:sz w:val="24"/>
          <w:szCs w:val="24"/>
        </w:rPr>
        <w:t xml:space="preserve"> </w:t>
      </w:r>
      <w:r w:rsidR="00CC0A2F">
        <w:rPr>
          <w:rFonts w:ascii="Garamond" w:hAnsi="Garamond"/>
          <w:sz w:val="24"/>
          <w:szCs w:val="24"/>
        </w:rPr>
        <w:t xml:space="preserve">the </w:t>
      </w:r>
      <w:r w:rsidR="00C57CC0" w:rsidRPr="00C32887">
        <w:rPr>
          <w:rFonts w:ascii="Garamond" w:hAnsi="Garamond"/>
          <w:sz w:val="24"/>
          <w:szCs w:val="24"/>
        </w:rPr>
        <w:t>2016-2020 P</w:t>
      </w:r>
      <w:r w:rsidR="00C57CC0">
        <w:rPr>
          <w:rFonts w:ascii="Garamond" w:hAnsi="Garamond"/>
          <w:sz w:val="24"/>
          <w:szCs w:val="24"/>
        </w:rPr>
        <w:t xml:space="preserve">ublic </w:t>
      </w:r>
      <w:r w:rsidR="00C57CC0" w:rsidRPr="00C32887">
        <w:rPr>
          <w:rFonts w:ascii="Garamond" w:hAnsi="Garamond"/>
          <w:sz w:val="24"/>
          <w:szCs w:val="24"/>
        </w:rPr>
        <w:t>F</w:t>
      </w:r>
      <w:r w:rsidR="00C57CC0">
        <w:rPr>
          <w:rFonts w:ascii="Garamond" w:hAnsi="Garamond"/>
          <w:sz w:val="24"/>
          <w:szCs w:val="24"/>
        </w:rPr>
        <w:t xml:space="preserve">inance </w:t>
      </w:r>
      <w:r w:rsidR="00C57CC0" w:rsidRPr="00C32887">
        <w:rPr>
          <w:rFonts w:ascii="Garamond" w:hAnsi="Garamond"/>
          <w:sz w:val="24"/>
          <w:szCs w:val="24"/>
        </w:rPr>
        <w:t>M</w:t>
      </w:r>
      <w:r w:rsidR="00C57CC0">
        <w:rPr>
          <w:rFonts w:ascii="Garamond" w:hAnsi="Garamond"/>
          <w:sz w:val="24"/>
          <w:szCs w:val="24"/>
        </w:rPr>
        <w:t>anagement</w:t>
      </w:r>
      <w:r w:rsidR="00C57CC0" w:rsidRPr="00C32887">
        <w:rPr>
          <w:rFonts w:ascii="Garamond" w:hAnsi="Garamond"/>
          <w:sz w:val="24"/>
          <w:szCs w:val="24"/>
        </w:rPr>
        <w:t xml:space="preserve"> </w:t>
      </w:r>
      <w:r w:rsidR="00C57CC0">
        <w:rPr>
          <w:rFonts w:ascii="Garamond" w:hAnsi="Garamond"/>
          <w:sz w:val="24"/>
          <w:szCs w:val="24"/>
        </w:rPr>
        <w:t>Reform</w:t>
      </w:r>
      <w:r w:rsidR="00C57CC0" w:rsidRPr="00C32887">
        <w:rPr>
          <w:rFonts w:ascii="Garamond" w:hAnsi="Garamond"/>
          <w:sz w:val="24"/>
          <w:szCs w:val="24"/>
        </w:rPr>
        <w:t xml:space="preserve"> </w:t>
      </w:r>
      <w:r w:rsidR="00AB73F6" w:rsidRPr="00C32887">
        <w:rPr>
          <w:rFonts w:ascii="Garamond" w:hAnsi="Garamond"/>
          <w:sz w:val="24"/>
          <w:szCs w:val="24"/>
        </w:rPr>
        <w:t>Programme</w:t>
      </w:r>
      <w:r w:rsidRPr="00C32887">
        <w:rPr>
          <w:rFonts w:ascii="Garamond" w:hAnsi="Garamond"/>
          <w:sz w:val="24"/>
          <w:szCs w:val="24"/>
        </w:rPr>
        <w:t xml:space="preserve"> </w:t>
      </w:r>
      <w:r w:rsidR="00CC0A2F">
        <w:rPr>
          <w:rFonts w:ascii="Garamond" w:hAnsi="Garamond"/>
          <w:sz w:val="24"/>
          <w:szCs w:val="24"/>
        </w:rPr>
        <w:t>were</w:t>
      </w:r>
      <w:r w:rsidRPr="00C32887">
        <w:rPr>
          <w:rFonts w:ascii="Garamond" w:hAnsi="Garamond"/>
          <w:sz w:val="24"/>
          <w:szCs w:val="24"/>
        </w:rPr>
        <w:t xml:space="preserve"> not f</w:t>
      </w:r>
      <w:r w:rsidR="00E26BE6">
        <w:rPr>
          <w:rFonts w:ascii="Garamond" w:hAnsi="Garamond"/>
          <w:sz w:val="24"/>
          <w:szCs w:val="24"/>
        </w:rPr>
        <w:t>inalis</w:t>
      </w:r>
      <w:r w:rsidR="00C57CC0">
        <w:rPr>
          <w:rFonts w:ascii="Garamond" w:hAnsi="Garamond"/>
          <w:sz w:val="24"/>
          <w:szCs w:val="24"/>
        </w:rPr>
        <w:t>ed until the end of 2020</w:t>
      </w:r>
      <w:r w:rsidRPr="00C32887">
        <w:rPr>
          <w:rFonts w:ascii="Garamond" w:hAnsi="Garamond"/>
          <w:sz w:val="24"/>
          <w:szCs w:val="24"/>
        </w:rPr>
        <w:t>, as provided</w:t>
      </w:r>
      <w:r w:rsidR="00CC0A2F">
        <w:rPr>
          <w:rFonts w:ascii="Garamond" w:hAnsi="Garamond"/>
          <w:sz w:val="24"/>
          <w:szCs w:val="24"/>
        </w:rPr>
        <w:t xml:space="preserve"> for</w:t>
      </w:r>
      <w:r w:rsidRPr="00C32887">
        <w:rPr>
          <w:rFonts w:ascii="Garamond" w:hAnsi="Garamond"/>
          <w:sz w:val="24"/>
          <w:szCs w:val="24"/>
        </w:rPr>
        <w:t xml:space="preserve"> by the </w:t>
      </w:r>
      <w:r w:rsidR="00AB73F6" w:rsidRPr="00C32887">
        <w:rPr>
          <w:rFonts w:ascii="Garamond" w:hAnsi="Garamond"/>
          <w:sz w:val="24"/>
          <w:szCs w:val="24"/>
        </w:rPr>
        <w:t>Programme</w:t>
      </w:r>
      <w:r w:rsidRPr="00C32887">
        <w:rPr>
          <w:rFonts w:ascii="Garamond" w:hAnsi="Garamond"/>
          <w:sz w:val="24"/>
          <w:szCs w:val="24"/>
        </w:rPr>
        <w:t xml:space="preserve"> and </w:t>
      </w:r>
      <w:r w:rsidR="00CC0A2F">
        <w:rPr>
          <w:rFonts w:ascii="Garamond" w:hAnsi="Garamond"/>
          <w:sz w:val="24"/>
          <w:szCs w:val="24"/>
        </w:rPr>
        <w:t xml:space="preserve">the </w:t>
      </w:r>
      <w:r w:rsidRPr="00C32887">
        <w:rPr>
          <w:rFonts w:ascii="Garamond" w:hAnsi="Garamond"/>
          <w:sz w:val="24"/>
          <w:szCs w:val="24"/>
        </w:rPr>
        <w:t>Action Plan, the</w:t>
      </w:r>
      <w:r w:rsidR="00CC0A2F">
        <w:rPr>
          <w:rFonts w:ascii="Garamond" w:hAnsi="Garamond"/>
          <w:sz w:val="24"/>
          <w:szCs w:val="24"/>
        </w:rPr>
        <w:t>y</w:t>
      </w:r>
      <w:r w:rsidRPr="00C32887">
        <w:rPr>
          <w:rFonts w:ascii="Garamond" w:hAnsi="Garamond"/>
          <w:sz w:val="24"/>
          <w:szCs w:val="24"/>
        </w:rPr>
        <w:t xml:space="preserve"> </w:t>
      </w:r>
      <w:r w:rsidR="00C57CC0">
        <w:rPr>
          <w:rFonts w:ascii="Garamond" w:hAnsi="Garamond"/>
          <w:sz w:val="24"/>
          <w:szCs w:val="24"/>
        </w:rPr>
        <w:t>are</w:t>
      </w:r>
      <w:r w:rsidR="00CC0A2F">
        <w:rPr>
          <w:rFonts w:ascii="Garamond" w:hAnsi="Garamond"/>
          <w:sz w:val="24"/>
          <w:szCs w:val="24"/>
        </w:rPr>
        <w:t xml:space="preserve"> now</w:t>
      </w:r>
      <w:r w:rsidRPr="00C32887">
        <w:rPr>
          <w:rFonts w:ascii="Garamond" w:hAnsi="Garamond"/>
          <w:sz w:val="24"/>
          <w:szCs w:val="24"/>
        </w:rPr>
        <w:t xml:space="preserve"> carried out continuously</w:t>
      </w:r>
      <w:r w:rsidR="00CC0A2F">
        <w:rPr>
          <w:rFonts w:ascii="Garamond" w:hAnsi="Garamond"/>
          <w:sz w:val="24"/>
          <w:szCs w:val="24"/>
        </w:rPr>
        <w:t>,</w:t>
      </w:r>
      <w:r w:rsidRPr="00C32887">
        <w:rPr>
          <w:rFonts w:ascii="Garamond" w:hAnsi="Garamond"/>
          <w:sz w:val="24"/>
          <w:szCs w:val="24"/>
        </w:rPr>
        <w:t xml:space="preserve"> or </w:t>
      </w:r>
      <w:r w:rsidR="00CC0A2F">
        <w:rPr>
          <w:rFonts w:ascii="Garamond" w:hAnsi="Garamond"/>
          <w:sz w:val="24"/>
          <w:szCs w:val="24"/>
        </w:rPr>
        <w:t xml:space="preserve">their </w:t>
      </w:r>
      <w:r w:rsidRPr="00C32887">
        <w:rPr>
          <w:rFonts w:ascii="Garamond" w:hAnsi="Garamond"/>
          <w:sz w:val="24"/>
          <w:szCs w:val="24"/>
        </w:rPr>
        <w:t xml:space="preserve">implementation period is not tied to </w:t>
      </w:r>
      <w:r w:rsidR="00C57CC0">
        <w:rPr>
          <w:rFonts w:ascii="Garamond" w:hAnsi="Garamond"/>
          <w:sz w:val="24"/>
          <w:szCs w:val="24"/>
        </w:rPr>
        <w:t>the year of completion of the</w:t>
      </w:r>
      <w:r w:rsidRPr="00C32887">
        <w:rPr>
          <w:rFonts w:ascii="Garamond" w:hAnsi="Garamond"/>
          <w:sz w:val="24"/>
          <w:szCs w:val="24"/>
        </w:rPr>
        <w:t xml:space="preserve"> </w:t>
      </w:r>
      <w:r w:rsidR="00AB73F6" w:rsidRPr="00C32887">
        <w:rPr>
          <w:rFonts w:ascii="Garamond" w:hAnsi="Garamond"/>
          <w:sz w:val="24"/>
          <w:szCs w:val="24"/>
        </w:rPr>
        <w:t>Programme</w:t>
      </w:r>
      <w:r w:rsidRPr="00C32887">
        <w:rPr>
          <w:rFonts w:ascii="Garamond" w:hAnsi="Garamond"/>
          <w:sz w:val="24"/>
          <w:szCs w:val="24"/>
        </w:rPr>
        <w:t xml:space="preserve">, </w:t>
      </w:r>
      <w:r w:rsidR="00C57CC0">
        <w:rPr>
          <w:rFonts w:ascii="Garamond" w:hAnsi="Garamond"/>
          <w:sz w:val="24"/>
          <w:szCs w:val="24"/>
        </w:rPr>
        <w:t>therefore,</w:t>
      </w:r>
      <w:r w:rsidRPr="00C32887">
        <w:rPr>
          <w:rFonts w:ascii="Garamond" w:hAnsi="Garamond"/>
          <w:sz w:val="24"/>
          <w:szCs w:val="24"/>
        </w:rPr>
        <w:t xml:space="preserve"> in this respect</w:t>
      </w:r>
      <w:r w:rsidR="00CC0A2F">
        <w:rPr>
          <w:rFonts w:ascii="Garamond" w:hAnsi="Garamond"/>
          <w:sz w:val="24"/>
          <w:szCs w:val="24"/>
        </w:rPr>
        <w:t>,</w:t>
      </w:r>
      <w:r w:rsidRPr="00C32887">
        <w:rPr>
          <w:rFonts w:ascii="Garamond" w:hAnsi="Garamond"/>
          <w:sz w:val="24"/>
          <w:szCs w:val="24"/>
        </w:rPr>
        <w:t xml:space="preserve"> </w:t>
      </w:r>
      <w:r w:rsidR="00C57CC0">
        <w:rPr>
          <w:rFonts w:ascii="Garamond" w:hAnsi="Garamond"/>
          <w:sz w:val="24"/>
          <w:szCs w:val="24"/>
        </w:rPr>
        <w:t xml:space="preserve">there </w:t>
      </w:r>
      <w:r w:rsidRPr="00C32887">
        <w:rPr>
          <w:rFonts w:ascii="Garamond" w:hAnsi="Garamond"/>
          <w:sz w:val="24"/>
          <w:szCs w:val="24"/>
        </w:rPr>
        <w:t xml:space="preserve">was a need to continue the implementation of the </w:t>
      </w:r>
      <w:r w:rsidR="00C57CC0" w:rsidRPr="00C32887">
        <w:rPr>
          <w:rFonts w:ascii="Garamond" w:hAnsi="Garamond"/>
          <w:sz w:val="24"/>
          <w:szCs w:val="24"/>
        </w:rPr>
        <w:t xml:space="preserve">2020 </w:t>
      </w:r>
      <w:r w:rsidRPr="00C32887">
        <w:rPr>
          <w:rFonts w:ascii="Garamond" w:hAnsi="Garamond"/>
          <w:sz w:val="24"/>
          <w:szCs w:val="24"/>
        </w:rPr>
        <w:t xml:space="preserve">AP and the need to ensure continuation of the </w:t>
      </w:r>
      <w:r w:rsidR="00C57CC0">
        <w:rPr>
          <w:rFonts w:ascii="Garamond" w:hAnsi="Garamond"/>
          <w:sz w:val="24"/>
          <w:szCs w:val="24"/>
        </w:rPr>
        <w:t xml:space="preserve">implementation of </w:t>
      </w:r>
      <w:r w:rsidR="00CC0A2F">
        <w:rPr>
          <w:rFonts w:ascii="Garamond" w:hAnsi="Garamond"/>
          <w:sz w:val="24"/>
          <w:szCs w:val="24"/>
        </w:rPr>
        <w:t xml:space="preserve">the </w:t>
      </w:r>
      <w:r w:rsidR="00C57CC0">
        <w:rPr>
          <w:rFonts w:ascii="Garamond" w:hAnsi="Garamond"/>
          <w:sz w:val="24"/>
          <w:szCs w:val="24"/>
        </w:rPr>
        <w:t>public policy</w:t>
      </w:r>
      <w:r w:rsidRPr="00C32887">
        <w:rPr>
          <w:rFonts w:ascii="Garamond" w:hAnsi="Garamond"/>
          <w:sz w:val="24"/>
          <w:szCs w:val="24"/>
        </w:rPr>
        <w:t xml:space="preserve">. For the purpose of implementation of the remaining activities planned in the framework of the current Action Plan, the Ministry of Finance and Social Welfare has prepared </w:t>
      </w:r>
      <w:r w:rsidR="00CC0A2F">
        <w:rPr>
          <w:rFonts w:ascii="Garamond" w:hAnsi="Garamond"/>
          <w:sz w:val="24"/>
          <w:szCs w:val="24"/>
        </w:rPr>
        <w:t xml:space="preserve">draft </w:t>
      </w:r>
      <w:r w:rsidRPr="00C32887">
        <w:rPr>
          <w:rFonts w:ascii="Garamond" w:hAnsi="Garamond"/>
          <w:sz w:val="24"/>
          <w:szCs w:val="24"/>
        </w:rPr>
        <w:t xml:space="preserve">one-year </w:t>
      </w:r>
      <w:r w:rsidR="00C57CC0" w:rsidRPr="00C32887">
        <w:rPr>
          <w:rFonts w:ascii="Garamond" w:hAnsi="Garamond"/>
          <w:sz w:val="24"/>
          <w:szCs w:val="24"/>
        </w:rPr>
        <w:t>2021</w:t>
      </w:r>
      <w:r w:rsidR="00C57CC0">
        <w:rPr>
          <w:rFonts w:ascii="Garamond" w:hAnsi="Garamond"/>
          <w:sz w:val="24"/>
          <w:szCs w:val="24"/>
        </w:rPr>
        <w:t xml:space="preserve"> Interim Action Plan</w:t>
      </w:r>
      <w:r w:rsidRPr="00C32887">
        <w:rPr>
          <w:rFonts w:ascii="Garamond" w:hAnsi="Garamond"/>
          <w:sz w:val="24"/>
          <w:szCs w:val="24"/>
        </w:rPr>
        <w:t xml:space="preserve">. Namely, the </w:t>
      </w:r>
      <w:r w:rsidR="00C57CC0" w:rsidRPr="00C32887">
        <w:rPr>
          <w:rFonts w:ascii="Garamond" w:hAnsi="Garamond"/>
          <w:sz w:val="24"/>
          <w:szCs w:val="24"/>
        </w:rPr>
        <w:t xml:space="preserve">2021 </w:t>
      </w:r>
      <w:r w:rsidR="00C57CC0">
        <w:rPr>
          <w:rFonts w:ascii="Garamond" w:hAnsi="Garamond"/>
          <w:sz w:val="24"/>
          <w:szCs w:val="24"/>
        </w:rPr>
        <w:t>Interim</w:t>
      </w:r>
      <w:r w:rsidRPr="00C32887">
        <w:rPr>
          <w:rFonts w:ascii="Garamond" w:hAnsi="Garamond"/>
          <w:sz w:val="24"/>
          <w:szCs w:val="24"/>
        </w:rPr>
        <w:t xml:space="preserve"> Action Plan will include new deadlines needed to </w:t>
      </w:r>
      <w:r w:rsidR="00CC0A2F">
        <w:rPr>
          <w:rFonts w:ascii="Garamond" w:hAnsi="Garamond"/>
          <w:sz w:val="24"/>
          <w:szCs w:val="24"/>
        </w:rPr>
        <w:t>complete the planned activities</w:t>
      </w: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6F36D7">
      <w:pPr>
        <w:jc w:val="both"/>
        <w:rPr>
          <w:rFonts w:ascii="Garamond" w:hAnsi="Garamond"/>
          <w:sz w:val="24"/>
          <w:szCs w:val="24"/>
        </w:rPr>
      </w:pPr>
      <w:r w:rsidRPr="00C32887">
        <w:rPr>
          <w:rFonts w:ascii="Garamond" w:hAnsi="Garamond"/>
          <w:sz w:val="24"/>
          <w:szCs w:val="24"/>
        </w:rPr>
        <w:t xml:space="preserve">An examination of the overall status of the fulfillment of the reform </w:t>
      </w:r>
      <w:r w:rsidR="00261CB8">
        <w:rPr>
          <w:rFonts w:ascii="Garamond" w:hAnsi="Garamond"/>
          <w:sz w:val="24"/>
          <w:szCs w:val="24"/>
        </w:rPr>
        <w:t>objectives</w:t>
      </w:r>
      <w:r w:rsidRPr="00C32887">
        <w:rPr>
          <w:rFonts w:ascii="Garamond" w:hAnsi="Garamond"/>
          <w:sz w:val="24"/>
          <w:szCs w:val="24"/>
        </w:rPr>
        <w:t xml:space="preserve">, </w:t>
      </w:r>
      <w:r w:rsidR="00261CB8">
        <w:rPr>
          <w:rFonts w:ascii="Garamond" w:hAnsi="Garamond"/>
          <w:sz w:val="24"/>
          <w:szCs w:val="24"/>
        </w:rPr>
        <w:t>despite</w:t>
      </w:r>
      <w:r w:rsidRPr="00C32887">
        <w:rPr>
          <w:rFonts w:ascii="Garamond" w:hAnsi="Garamond"/>
          <w:sz w:val="24"/>
          <w:szCs w:val="24"/>
        </w:rPr>
        <w:t xml:space="preserve"> the global situation caused by the </w:t>
      </w:r>
      <w:r w:rsidR="006F36D7" w:rsidRPr="00C32887">
        <w:rPr>
          <w:rFonts w:ascii="Garamond" w:hAnsi="Garamond"/>
          <w:sz w:val="24"/>
          <w:szCs w:val="24"/>
        </w:rPr>
        <w:t>COVID-</w:t>
      </w:r>
      <w:r w:rsidRPr="00C32887">
        <w:rPr>
          <w:rFonts w:ascii="Garamond" w:hAnsi="Garamond"/>
          <w:sz w:val="24"/>
          <w:szCs w:val="24"/>
        </w:rPr>
        <w:t xml:space="preserve">19 </w:t>
      </w:r>
      <w:r w:rsidR="006F36D7" w:rsidRPr="00C32887">
        <w:rPr>
          <w:rFonts w:ascii="Garamond" w:hAnsi="Garamond"/>
          <w:sz w:val="24"/>
          <w:szCs w:val="24"/>
        </w:rPr>
        <w:t>pandemic</w:t>
      </w:r>
      <w:r w:rsidRPr="00C32887">
        <w:rPr>
          <w:rFonts w:ascii="Garamond" w:hAnsi="Garamond"/>
          <w:sz w:val="24"/>
          <w:szCs w:val="24"/>
        </w:rPr>
        <w:t xml:space="preserve">, </w:t>
      </w:r>
      <w:r w:rsidR="00261CB8">
        <w:rPr>
          <w:rFonts w:ascii="Garamond" w:hAnsi="Garamond"/>
          <w:sz w:val="24"/>
          <w:szCs w:val="24"/>
        </w:rPr>
        <w:t xml:space="preserve">showed </w:t>
      </w:r>
      <w:r w:rsidR="006F36D7">
        <w:rPr>
          <w:rFonts w:ascii="Garamond" w:hAnsi="Garamond"/>
          <w:sz w:val="24"/>
          <w:szCs w:val="24"/>
        </w:rPr>
        <w:t>a</w:t>
      </w:r>
      <w:r w:rsidRPr="00C32887">
        <w:rPr>
          <w:rFonts w:ascii="Garamond" w:hAnsi="Garamond"/>
          <w:sz w:val="24"/>
          <w:szCs w:val="24"/>
        </w:rPr>
        <w:t xml:space="preserve"> positive trend in the implementation of the </w:t>
      </w:r>
      <w:r w:rsidR="006F36D7" w:rsidRPr="00C32887">
        <w:rPr>
          <w:rFonts w:ascii="Garamond" w:hAnsi="Garamond"/>
          <w:sz w:val="24"/>
          <w:szCs w:val="24"/>
        </w:rPr>
        <w:t xml:space="preserve">Public Finance Management </w:t>
      </w:r>
      <w:r w:rsidR="00AB73F6" w:rsidRPr="00C32887">
        <w:rPr>
          <w:rFonts w:ascii="Garamond" w:hAnsi="Garamond"/>
          <w:sz w:val="24"/>
          <w:szCs w:val="24"/>
        </w:rPr>
        <w:t>Programme</w:t>
      </w:r>
      <w:r w:rsidRPr="00C32887">
        <w:rPr>
          <w:rFonts w:ascii="Garamond" w:hAnsi="Garamond"/>
          <w:sz w:val="24"/>
          <w:szCs w:val="24"/>
        </w:rPr>
        <w:t xml:space="preserve"> during 2020. As the initiator of the reform</w:t>
      </w:r>
      <w:r w:rsidR="006F36D7">
        <w:rPr>
          <w:rFonts w:ascii="Garamond" w:hAnsi="Garamond"/>
          <w:sz w:val="24"/>
          <w:szCs w:val="24"/>
        </w:rPr>
        <w:t>, the</w:t>
      </w:r>
      <w:r w:rsidRPr="00C32887">
        <w:rPr>
          <w:rFonts w:ascii="Garamond" w:hAnsi="Garamond"/>
          <w:sz w:val="24"/>
          <w:szCs w:val="24"/>
        </w:rPr>
        <w:t xml:space="preserve"> </w:t>
      </w:r>
      <w:r w:rsidR="006F36D7">
        <w:rPr>
          <w:rFonts w:ascii="Garamond" w:hAnsi="Garamond"/>
          <w:sz w:val="24"/>
          <w:szCs w:val="24"/>
        </w:rPr>
        <w:t>P</w:t>
      </w:r>
      <w:r w:rsidR="006F36D7" w:rsidRPr="00C32887">
        <w:rPr>
          <w:rFonts w:ascii="Garamond" w:hAnsi="Garamond"/>
          <w:sz w:val="24"/>
          <w:szCs w:val="24"/>
        </w:rPr>
        <w:t>rogramme</w:t>
      </w:r>
      <w:r w:rsidRPr="00C32887">
        <w:rPr>
          <w:rFonts w:ascii="Garamond" w:hAnsi="Garamond"/>
          <w:sz w:val="24"/>
          <w:szCs w:val="24"/>
        </w:rPr>
        <w:t xml:space="preserve">, among others, </w:t>
      </w:r>
      <w:r w:rsidR="006F36D7">
        <w:rPr>
          <w:rFonts w:ascii="Garamond" w:hAnsi="Garamond"/>
          <w:sz w:val="24"/>
          <w:szCs w:val="24"/>
        </w:rPr>
        <w:t>is</w:t>
      </w:r>
      <w:r w:rsidRPr="00C32887">
        <w:rPr>
          <w:rFonts w:ascii="Garamond" w:hAnsi="Garamond"/>
          <w:sz w:val="24"/>
          <w:szCs w:val="24"/>
        </w:rPr>
        <w:t xml:space="preserve"> an instrument for integration and monitoring the</w:t>
      </w:r>
      <w:r w:rsidR="006F36D7">
        <w:rPr>
          <w:rFonts w:ascii="Garamond" w:hAnsi="Garamond"/>
          <w:sz w:val="24"/>
          <w:szCs w:val="24"/>
        </w:rPr>
        <w:t xml:space="preserve"> implementation of reforms in the overall</w:t>
      </w:r>
      <w:r w:rsidRPr="00C32887">
        <w:rPr>
          <w:rFonts w:ascii="Garamond" w:hAnsi="Garamond"/>
          <w:sz w:val="24"/>
          <w:szCs w:val="24"/>
        </w:rPr>
        <w:t xml:space="preserve"> public finance</w:t>
      </w:r>
      <w:r w:rsidR="006F36D7" w:rsidRPr="006F36D7">
        <w:rPr>
          <w:rFonts w:ascii="Garamond" w:hAnsi="Garamond"/>
          <w:sz w:val="24"/>
          <w:szCs w:val="24"/>
        </w:rPr>
        <w:t xml:space="preserve"> </w:t>
      </w:r>
      <w:r w:rsidR="006F36D7" w:rsidRPr="00C32887">
        <w:rPr>
          <w:rFonts w:ascii="Garamond" w:hAnsi="Garamond"/>
          <w:sz w:val="24"/>
          <w:szCs w:val="24"/>
        </w:rPr>
        <w:t>domain</w:t>
      </w:r>
      <w:r w:rsidRPr="00C32887">
        <w:rPr>
          <w:rFonts w:ascii="Garamond" w:hAnsi="Garamond"/>
          <w:sz w:val="24"/>
          <w:szCs w:val="24"/>
        </w:rPr>
        <w:t xml:space="preserve">. It is important to </w:t>
      </w:r>
      <w:r w:rsidR="00261CB8">
        <w:rPr>
          <w:rFonts w:ascii="Garamond" w:hAnsi="Garamond"/>
          <w:sz w:val="24"/>
          <w:szCs w:val="24"/>
        </w:rPr>
        <w:t>note that a</w:t>
      </w:r>
      <w:r w:rsidRPr="00C32887">
        <w:rPr>
          <w:rFonts w:ascii="Garamond" w:hAnsi="Garamond"/>
          <w:sz w:val="24"/>
          <w:szCs w:val="24"/>
        </w:rPr>
        <w:t xml:space="preserve"> reporting structure has been established, which has resulted in an additional incentive to implement the projected activities. However, there are challenges when it comes to achievement </w:t>
      </w:r>
      <w:r w:rsidR="006F36D7">
        <w:rPr>
          <w:rFonts w:ascii="Garamond" w:hAnsi="Garamond"/>
          <w:sz w:val="24"/>
          <w:szCs w:val="24"/>
        </w:rPr>
        <w:t xml:space="preserve">of performance </w:t>
      </w:r>
      <w:r w:rsidRPr="00C32887">
        <w:rPr>
          <w:rFonts w:ascii="Garamond" w:hAnsi="Garamond"/>
          <w:sz w:val="24"/>
          <w:szCs w:val="24"/>
        </w:rPr>
        <w:t xml:space="preserve">indicators, </w:t>
      </w:r>
      <w:r w:rsidR="006F36D7">
        <w:rPr>
          <w:rFonts w:ascii="Garamond" w:hAnsi="Garamond"/>
          <w:sz w:val="24"/>
          <w:szCs w:val="24"/>
        </w:rPr>
        <w:t>which is reflected in</w:t>
      </w:r>
      <w:r w:rsidRPr="00C32887">
        <w:rPr>
          <w:rFonts w:ascii="Garamond" w:hAnsi="Garamond"/>
          <w:sz w:val="24"/>
          <w:szCs w:val="24"/>
        </w:rPr>
        <w:t xml:space="preserve"> the per</w:t>
      </w:r>
      <w:r w:rsidR="006F36D7">
        <w:rPr>
          <w:rFonts w:ascii="Garamond" w:hAnsi="Garamond"/>
          <w:sz w:val="24"/>
          <w:szCs w:val="24"/>
        </w:rPr>
        <w:t>centage of implemented indicators</w:t>
      </w:r>
      <w:r w:rsidRPr="00C32887">
        <w:rPr>
          <w:rFonts w:ascii="Garamond" w:hAnsi="Garamond"/>
          <w:sz w:val="24"/>
          <w:szCs w:val="24"/>
        </w:rPr>
        <w:t xml:space="preserve">, as well as the level of </w:t>
      </w:r>
      <w:r w:rsidR="006F36D7">
        <w:rPr>
          <w:rFonts w:ascii="Garamond" w:hAnsi="Garamond"/>
          <w:sz w:val="24"/>
          <w:szCs w:val="24"/>
        </w:rPr>
        <w:t>not implemented</w:t>
      </w:r>
      <w:r w:rsidRPr="00C32887">
        <w:rPr>
          <w:rFonts w:ascii="Garamond" w:hAnsi="Garamond"/>
          <w:sz w:val="24"/>
          <w:szCs w:val="24"/>
        </w:rPr>
        <w:t xml:space="preserve"> </w:t>
      </w:r>
      <w:r w:rsidR="00261CB8">
        <w:rPr>
          <w:rFonts w:ascii="Garamond" w:hAnsi="Garamond"/>
          <w:sz w:val="24"/>
          <w:szCs w:val="24"/>
        </w:rPr>
        <w:t>or</w:t>
      </w:r>
      <w:r w:rsidRPr="00C32887">
        <w:rPr>
          <w:rFonts w:ascii="Garamond" w:hAnsi="Garamond"/>
          <w:sz w:val="24"/>
          <w:szCs w:val="24"/>
        </w:rPr>
        <w:t xml:space="preserve"> partly </w:t>
      </w:r>
      <w:r w:rsidR="006F36D7">
        <w:rPr>
          <w:rFonts w:ascii="Garamond" w:hAnsi="Garamond"/>
          <w:sz w:val="24"/>
          <w:szCs w:val="24"/>
        </w:rPr>
        <w:t>implemented</w:t>
      </w:r>
      <w:r w:rsidRPr="00C32887">
        <w:rPr>
          <w:rFonts w:ascii="Garamond" w:hAnsi="Garamond"/>
          <w:sz w:val="24"/>
          <w:szCs w:val="24"/>
        </w:rPr>
        <w:t xml:space="preserve"> activities. However, in spite of the identified challenges, </w:t>
      </w:r>
      <w:r w:rsidR="00261CB8">
        <w:rPr>
          <w:rFonts w:ascii="Garamond" w:hAnsi="Garamond"/>
          <w:sz w:val="24"/>
          <w:szCs w:val="24"/>
        </w:rPr>
        <w:t xml:space="preserve">the </w:t>
      </w:r>
      <w:r w:rsidR="006F36D7" w:rsidRPr="00C32887">
        <w:rPr>
          <w:rFonts w:ascii="Garamond" w:hAnsi="Garamond"/>
          <w:sz w:val="24"/>
          <w:szCs w:val="24"/>
        </w:rPr>
        <w:t>2016-2020</w:t>
      </w:r>
      <w:r w:rsidR="006F36D7">
        <w:rPr>
          <w:rFonts w:ascii="Garamond" w:hAnsi="Garamond"/>
          <w:sz w:val="24"/>
          <w:szCs w:val="24"/>
        </w:rPr>
        <w:t xml:space="preserve"> </w:t>
      </w:r>
      <w:r w:rsidR="006F36D7" w:rsidRPr="00C32887">
        <w:rPr>
          <w:rFonts w:ascii="Garamond" w:hAnsi="Garamond"/>
          <w:sz w:val="24"/>
          <w:szCs w:val="24"/>
        </w:rPr>
        <w:t xml:space="preserve">Public Finance </w:t>
      </w:r>
      <w:r w:rsidR="006F36D7">
        <w:rPr>
          <w:rFonts w:ascii="Garamond" w:hAnsi="Garamond"/>
          <w:sz w:val="24"/>
          <w:szCs w:val="24"/>
        </w:rPr>
        <w:t xml:space="preserve">Management </w:t>
      </w:r>
      <w:r w:rsidR="006F36D7" w:rsidRPr="00C32887">
        <w:rPr>
          <w:rFonts w:ascii="Garamond" w:hAnsi="Garamond"/>
          <w:sz w:val="24"/>
          <w:szCs w:val="24"/>
        </w:rPr>
        <w:t>Reform Programme</w:t>
      </w:r>
      <w:r w:rsidRPr="00C32887">
        <w:rPr>
          <w:rFonts w:ascii="Garamond" w:hAnsi="Garamond"/>
          <w:sz w:val="24"/>
          <w:szCs w:val="24"/>
        </w:rPr>
        <w:t xml:space="preserve"> </w:t>
      </w:r>
      <w:r w:rsidR="00233220">
        <w:rPr>
          <w:rFonts w:ascii="Garamond" w:hAnsi="Garamond"/>
          <w:sz w:val="24"/>
          <w:szCs w:val="24"/>
        </w:rPr>
        <w:t>indicates</w:t>
      </w:r>
      <w:r w:rsidRPr="00C32887">
        <w:rPr>
          <w:rFonts w:ascii="Garamond" w:hAnsi="Garamond"/>
          <w:sz w:val="24"/>
          <w:szCs w:val="24"/>
        </w:rPr>
        <w:t xml:space="preserve"> that there is room for further progress in order to achieve the final results through the </w:t>
      </w:r>
      <w:r w:rsidR="00233220" w:rsidRPr="00C32887">
        <w:rPr>
          <w:rFonts w:ascii="Garamond" w:hAnsi="Garamond"/>
          <w:sz w:val="24"/>
          <w:szCs w:val="24"/>
        </w:rPr>
        <w:t>2021</w:t>
      </w:r>
      <w:r w:rsidR="00233220">
        <w:rPr>
          <w:rFonts w:ascii="Garamond" w:hAnsi="Garamond"/>
          <w:sz w:val="24"/>
          <w:szCs w:val="24"/>
        </w:rPr>
        <w:t xml:space="preserve"> Interim</w:t>
      </w:r>
      <w:r w:rsidRPr="00C32887">
        <w:rPr>
          <w:rFonts w:ascii="Garamond" w:hAnsi="Garamond"/>
          <w:sz w:val="24"/>
          <w:szCs w:val="24"/>
        </w:rPr>
        <w:t xml:space="preserve"> Action Plan.  </w:t>
      </w:r>
    </w:p>
    <w:p w:rsidR="004D1343" w:rsidRPr="00C32887" w:rsidRDefault="004D1343" w:rsidP="004D1343">
      <w:pPr>
        <w:rPr>
          <w:rFonts w:ascii="Garamond" w:hAnsi="Garamond"/>
          <w:sz w:val="24"/>
          <w:szCs w:val="24"/>
        </w:rPr>
      </w:pPr>
    </w:p>
    <w:p w:rsidR="004D1343" w:rsidRDefault="00233220" w:rsidP="00233220">
      <w:pPr>
        <w:jc w:val="both"/>
        <w:rPr>
          <w:rFonts w:ascii="Garamond" w:hAnsi="Garamond"/>
          <w:sz w:val="24"/>
          <w:szCs w:val="24"/>
        </w:rPr>
      </w:pPr>
      <w:r>
        <w:rPr>
          <w:rFonts w:ascii="Garamond" w:hAnsi="Garamond"/>
          <w:sz w:val="24"/>
          <w:szCs w:val="24"/>
        </w:rPr>
        <w:t>In addition</w:t>
      </w:r>
      <w:r w:rsidR="004D1343" w:rsidRPr="00C32887">
        <w:rPr>
          <w:rFonts w:ascii="Garamond" w:hAnsi="Garamond"/>
          <w:sz w:val="24"/>
          <w:szCs w:val="24"/>
        </w:rPr>
        <w:t xml:space="preserve">, </w:t>
      </w:r>
      <w:r w:rsidR="00261CB8">
        <w:rPr>
          <w:rFonts w:ascii="Garamond" w:hAnsi="Garamond"/>
          <w:sz w:val="24"/>
          <w:szCs w:val="24"/>
        </w:rPr>
        <w:t xml:space="preserve">note must be taken </w:t>
      </w:r>
      <w:r w:rsidR="004D1343" w:rsidRPr="00C32887">
        <w:rPr>
          <w:rFonts w:ascii="Garamond" w:hAnsi="Garamond"/>
          <w:sz w:val="24"/>
          <w:szCs w:val="24"/>
        </w:rPr>
        <w:t xml:space="preserve">that the achieved results and the postponement of the </w:t>
      </w:r>
      <w:r>
        <w:rPr>
          <w:rFonts w:ascii="Garamond" w:hAnsi="Garamond"/>
          <w:sz w:val="24"/>
          <w:szCs w:val="24"/>
        </w:rPr>
        <w:t>implementation</w:t>
      </w:r>
      <w:r w:rsidR="004D1343" w:rsidRPr="00C32887">
        <w:rPr>
          <w:rFonts w:ascii="Garamond" w:hAnsi="Garamond"/>
          <w:sz w:val="24"/>
          <w:szCs w:val="24"/>
        </w:rPr>
        <w:t xml:space="preserve"> of the projected activities for 2020 </w:t>
      </w:r>
      <w:r w:rsidR="00261CB8">
        <w:rPr>
          <w:rFonts w:ascii="Garamond" w:hAnsi="Garamond"/>
          <w:sz w:val="24"/>
          <w:szCs w:val="24"/>
        </w:rPr>
        <w:t>need</w:t>
      </w:r>
      <w:r w:rsidR="004D1343" w:rsidRPr="00C32887">
        <w:rPr>
          <w:rFonts w:ascii="Garamond" w:hAnsi="Garamond"/>
          <w:sz w:val="24"/>
          <w:szCs w:val="24"/>
        </w:rPr>
        <w:t xml:space="preserve"> to </w:t>
      </w:r>
      <w:r w:rsidR="00261CB8">
        <w:rPr>
          <w:rFonts w:ascii="Garamond" w:hAnsi="Garamond"/>
          <w:sz w:val="24"/>
          <w:szCs w:val="24"/>
        </w:rPr>
        <w:t xml:space="preserve">be </w:t>
      </w:r>
      <w:r w:rsidR="004D1343" w:rsidRPr="00C32887">
        <w:rPr>
          <w:rFonts w:ascii="Garamond" w:hAnsi="Garamond"/>
          <w:sz w:val="24"/>
          <w:szCs w:val="24"/>
        </w:rPr>
        <w:t>carefully interpret</w:t>
      </w:r>
      <w:r w:rsidR="00261CB8">
        <w:rPr>
          <w:rFonts w:ascii="Garamond" w:hAnsi="Garamond"/>
          <w:sz w:val="24"/>
          <w:szCs w:val="24"/>
        </w:rPr>
        <w:t>ed</w:t>
      </w:r>
      <w:r>
        <w:rPr>
          <w:rFonts w:ascii="Garamond" w:hAnsi="Garamond"/>
          <w:sz w:val="24"/>
          <w:szCs w:val="24"/>
        </w:rPr>
        <w:t>,</w:t>
      </w:r>
      <w:r w:rsidR="004D1343" w:rsidRPr="00C32887">
        <w:rPr>
          <w:rFonts w:ascii="Garamond" w:hAnsi="Garamond"/>
          <w:sz w:val="24"/>
          <w:szCs w:val="24"/>
        </w:rPr>
        <w:t xml:space="preserve"> bearing in mind that </w:t>
      </w:r>
      <w:r>
        <w:rPr>
          <w:rFonts w:ascii="Garamond" w:hAnsi="Garamond"/>
          <w:sz w:val="24"/>
          <w:szCs w:val="24"/>
        </w:rPr>
        <w:t>most</w:t>
      </w:r>
      <w:r w:rsidR="004D1343" w:rsidRPr="00C32887">
        <w:rPr>
          <w:rFonts w:ascii="Garamond" w:hAnsi="Garamond"/>
          <w:sz w:val="24"/>
          <w:szCs w:val="24"/>
        </w:rPr>
        <w:t xml:space="preserve"> activities </w:t>
      </w:r>
      <w:r>
        <w:rPr>
          <w:rFonts w:ascii="Garamond" w:hAnsi="Garamond"/>
          <w:sz w:val="24"/>
          <w:szCs w:val="24"/>
        </w:rPr>
        <w:t>are not annual</w:t>
      </w:r>
      <w:r w:rsidR="004D1343" w:rsidRPr="00C32887">
        <w:rPr>
          <w:rFonts w:ascii="Garamond" w:hAnsi="Garamond"/>
          <w:sz w:val="24"/>
          <w:szCs w:val="24"/>
        </w:rPr>
        <w:t>, but multi-</w:t>
      </w:r>
      <w:r w:rsidR="00261CB8">
        <w:rPr>
          <w:rFonts w:ascii="Garamond" w:hAnsi="Garamond"/>
          <w:sz w:val="24"/>
          <w:szCs w:val="24"/>
        </w:rPr>
        <w:t>annual activities</w:t>
      </w:r>
      <w:r w:rsidR="004D1343" w:rsidRPr="00C32887">
        <w:rPr>
          <w:rFonts w:ascii="Garamond" w:hAnsi="Garamond"/>
          <w:sz w:val="24"/>
          <w:szCs w:val="24"/>
        </w:rPr>
        <w:t xml:space="preserve">. </w:t>
      </w:r>
      <w:r w:rsidRPr="00C32887">
        <w:rPr>
          <w:rFonts w:ascii="Garamond" w:hAnsi="Garamond"/>
          <w:sz w:val="24"/>
          <w:szCs w:val="24"/>
        </w:rPr>
        <w:t>Additionally</w:t>
      </w:r>
      <w:r w:rsidR="004D1343" w:rsidRPr="00C32887">
        <w:rPr>
          <w:rFonts w:ascii="Garamond" w:hAnsi="Garamond"/>
          <w:sz w:val="24"/>
          <w:szCs w:val="24"/>
        </w:rPr>
        <w:t xml:space="preserve">, the global situation caused by the outbreak of the COVID-19 pandemic greatly influenced further </w:t>
      </w:r>
      <w:r>
        <w:rPr>
          <w:rFonts w:ascii="Garamond" w:hAnsi="Garamond"/>
          <w:sz w:val="24"/>
          <w:szCs w:val="24"/>
        </w:rPr>
        <w:t>implementation</w:t>
      </w:r>
      <w:r w:rsidR="004D1343" w:rsidRPr="00C32887">
        <w:rPr>
          <w:rFonts w:ascii="Garamond" w:hAnsi="Garamond"/>
          <w:sz w:val="24"/>
          <w:szCs w:val="24"/>
        </w:rPr>
        <w:t xml:space="preserve"> of final activities, as well as the </w:t>
      </w:r>
      <w:r w:rsidR="000B2567">
        <w:rPr>
          <w:rFonts w:ascii="Garamond" w:hAnsi="Garamond"/>
          <w:sz w:val="24"/>
          <w:szCs w:val="24"/>
        </w:rPr>
        <w:t>achievement</w:t>
      </w:r>
      <w:r w:rsidR="004D1343" w:rsidRPr="00C32887">
        <w:rPr>
          <w:rFonts w:ascii="Garamond" w:hAnsi="Garamond"/>
          <w:sz w:val="24"/>
          <w:szCs w:val="24"/>
        </w:rPr>
        <w:t xml:space="preserve"> of the overall positive trend.   </w:t>
      </w:r>
    </w:p>
    <w:p w:rsidR="00233220" w:rsidRPr="00C32887" w:rsidRDefault="00233220" w:rsidP="00233220">
      <w:pPr>
        <w:jc w:val="both"/>
        <w:rPr>
          <w:rFonts w:ascii="Garamond" w:hAnsi="Garamond"/>
          <w:sz w:val="24"/>
          <w:szCs w:val="24"/>
        </w:rPr>
      </w:pPr>
    </w:p>
    <w:p w:rsidR="004D1343" w:rsidRPr="00C32887" w:rsidRDefault="00233220" w:rsidP="00233220">
      <w:pPr>
        <w:pStyle w:val="Heading2"/>
        <w:rPr>
          <w:rFonts w:ascii="Garamond" w:hAnsi="Garamond"/>
          <w:sz w:val="24"/>
          <w:szCs w:val="24"/>
        </w:rPr>
      </w:pPr>
      <w:bookmarkStart w:id="3" w:name="_Toc77688188"/>
      <w:r w:rsidRPr="00C32887">
        <w:rPr>
          <w:rFonts w:ascii="Garamond" w:hAnsi="Garamond"/>
          <w:sz w:val="24"/>
          <w:szCs w:val="24"/>
        </w:rPr>
        <w:t xml:space="preserve">DEGREE OF </w:t>
      </w:r>
      <w:r>
        <w:rPr>
          <w:rFonts w:ascii="Garamond" w:hAnsi="Garamond"/>
          <w:sz w:val="24"/>
          <w:szCs w:val="24"/>
        </w:rPr>
        <w:t>IMPLEMENTATION</w:t>
      </w:r>
      <w:bookmarkEnd w:id="3"/>
    </w:p>
    <w:p w:rsidR="004D1343" w:rsidRPr="00C32887" w:rsidRDefault="004D1343" w:rsidP="004D1343">
      <w:pPr>
        <w:rPr>
          <w:rFonts w:ascii="Garamond" w:hAnsi="Garamond"/>
          <w:sz w:val="24"/>
          <w:szCs w:val="24"/>
        </w:rPr>
      </w:pPr>
    </w:p>
    <w:p w:rsidR="004D1343" w:rsidRPr="00C32887" w:rsidRDefault="004D1343" w:rsidP="00233220">
      <w:pPr>
        <w:jc w:val="both"/>
        <w:rPr>
          <w:rFonts w:ascii="Garamond" w:hAnsi="Garamond"/>
          <w:sz w:val="24"/>
          <w:szCs w:val="24"/>
        </w:rPr>
      </w:pPr>
      <w:r w:rsidRPr="00C32887">
        <w:rPr>
          <w:rFonts w:ascii="Garamond" w:hAnsi="Garamond"/>
          <w:sz w:val="24"/>
          <w:szCs w:val="24"/>
        </w:rPr>
        <w:t xml:space="preserve">The </w:t>
      </w:r>
      <w:r w:rsidR="00233220">
        <w:rPr>
          <w:rFonts w:ascii="Garamond" w:hAnsi="Garamond"/>
          <w:sz w:val="24"/>
          <w:szCs w:val="24"/>
        </w:rPr>
        <w:t xml:space="preserve">2016-2020 Public Finance </w:t>
      </w:r>
      <w:r w:rsidR="00CC0111">
        <w:rPr>
          <w:rFonts w:ascii="Garamond" w:hAnsi="Garamond"/>
          <w:sz w:val="24"/>
          <w:szCs w:val="24"/>
        </w:rPr>
        <w:t xml:space="preserve">Management </w:t>
      </w:r>
      <w:r w:rsidR="00233220">
        <w:rPr>
          <w:rFonts w:ascii="Garamond" w:hAnsi="Garamond"/>
          <w:sz w:val="24"/>
          <w:szCs w:val="24"/>
        </w:rPr>
        <w:t xml:space="preserve">Reform Programme </w:t>
      </w:r>
      <w:r w:rsidRPr="00C32887">
        <w:rPr>
          <w:rFonts w:ascii="Garamond" w:hAnsi="Garamond"/>
          <w:sz w:val="24"/>
          <w:szCs w:val="24"/>
        </w:rPr>
        <w:t xml:space="preserve">envisages the </w:t>
      </w:r>
      <w:r w:rsidR="00CC0111">
        <w:rPr>
          <w:rFonts w:ascii="Garamond" w:hAnsi="Garamond"/>
          <w:sz w:val="24"/>
          <w:szCs w:val="24"/>
        </w:rPr>
        <w:t>implementation</w:t>
      </w:r>
      <w:r w:rsidRPr="00C32887">
        <w:rPr>
          <w:rFonts w:ascii="Garamond" w:hAnsi="Garamond"/>
          <w:sz w:val="24"/>
          <w:szCs w:val="24"/>
        </w:rPr>
        <w:t xml:space="preserve"> of </w:t>
      </w:r>
      <w:r w:rsidRPr="00FB0554">
        <w:rPr>
          <w:rFonts w:ascii="Garamond" w:hAnsi="Garamond"/>
          <w:b/>
          <w:sz w:val="24"/>
          <w:szCs w:val="24"/>
        </w:rPr>
        <w:t>5 reform goals</w:t>
      </w:r>
      <w:r w:rsidRPr="00C32887">
        <w:rPr>
          <w:rFonts w:ascii="Garamond" w:hAnsi="Garamond"/>
          <w:sz w:val="24"/>
          <w:szCs w:val="24"/>
        </w:rPr>
        <w:t>, wh</w:t>
      </w:r>
      <w:r w:rsidR="00FB0554">
        <w:rPr>
          <w:rFonts w:ascii="Garamond" w:hAnsi="Garamond"/>
          <w:sz w:val="24"/>
          <w:szCs w:val="24"/>
        </w:rPr>
        <w:t xml:space="preserve">ich include </w:t>
      </w:r>
      <w:r w:rsidR="00FB0554" w:rsidRPr="00FB0554">
        <w:rPr>
          <w:rFonts w:ascii="Garamond" w:hAnsi="Garamond"/>
          <w:b/>
          <w:sz w:val="24"/>
          <w:szCs w:val="24"/>
        </w:rPr>
        <w:t xml:space="preserve">11 </w:t>
      </w:r>
      <w:r w:rsidR="00CC0111">
        <w:rPr>
          <w:rFonts w:ascii="Garamond" w:hAnsi="Garamond"/>
          <w:b/>
          <w:sz w:val="24"/>
          <w:szCs w:val="24"/>
        </w:rPr>
        <w:t>objectives</w:t>
      </w:r>
      <w:r w:rsidRPr="00C32887">
        <w:rPr>
          <w:rFonts w:ascii="Garamond" w:hAnsi="Garamond"/>
          <w:sz w:val="24"/>
          <w:szCs w:val="24"/>
        </w:rPr>
        <w:t xml:space="preserve">. The reform goals contain a total of </w:t>
      </w:r>
      <w:r w:rsidRPr="00FB0554">
        <w:rPr>
          <w:rFonts w:ascii="Garamond" w:hAnsi="Garamond"/>
          <w:b/>
          <w:sz w:val="24"/>
          <w:szCs w:val="24"/>
        </w:rPr>
        <w:t xml:space="preserve">41 performance indicators </w:t>
      </w:r>
      <w:r w:rsidRPr="00C32887">
        <w:rPr>
          <w:rFonts w:ascii="Garamond" w:hAnsi="Garamond"/>
          <w:sz w:val="24"/>
          <w:szCs w:val="24"/>
        </w:rPr>
        <w:t xml:space="preserve">that represent important criteria </w:t>
      </w:r>
      <w:r w:rsidR="00CC0111">
        <w:rPr>
          <w:rFonts w:ascii="Garamond" w:hAnsi="Garamond"/>
          <w:sz w:val="24"/>
          <w:szCs w:val="24"/>
        </w:rPr>
        <w:t>to assess</w:t>
      </w:r>
      <w:r w:rsidRPr="00C32887">
        <w:rPr>
          <w:rFonts w:ascii="Garamond" w:hAnsi="Garamond"/>
          <w:sz w:val="24"/>
          <w:szCs w:val="24"/>
        </w:rPr>
        <w:t xml:space="preserve"> progress </w:t>
      </w:r>
      <w:r w:rsidR="00CC0111">
        <w:rPr>
          <w:rFonts w:ascii="Garamond" w:hAnsi="Garamond"/>
          <w:sz w:val="24"/>
          <w:szCs w:val="24"/>
        </w:rPr>
        <w:t>in the set</w:t>
      </w:r>
      <w:r w:rsidRPr="00C32887">
        <w:rPr>
          <w:rFonts w:ascii="Garamond" w:hAnsi="Garamond"/>
          <w:sz w:val="24"/>
          <w:szCs w:val="24"/>
        </w:rPr>
        <w:t xml:space="preserve"> </w:t>
      </w:r>
      <w:r w:rsidR="00CC0111">
        <w:rPr>
          <w:rFonts w:ascii="Garamond" w:hAnsi="Garamond"/>
          <w:sz w:val="24"/>
          <w:szCs w:val="24"/>
        </w:rPr>
        <w:t>direction</w:t>
      </w:r>
      <w:r w:rsidRPr="00C32887">
        <w:rPr>
          <w:rFonts w:ascii="Garamond" w:hAnsi="Garamond"/>
          <w:sz w:val="24"/>
          <w:szCs w:val="24"/>
        </w:rPr>
        <w:t xml:space="preserve"> of development. Also, the initial Action Plan </w:t>
      </w:r>
      <w:r w:rsidR="00E26BE6">
        <w:rPr>
          <w:rFonts w:ascii="Garamond" w:hAnsi="Garamond"/>
          <w:sz w:val="24"/>
          <w:szCs w:val="24"/>
        </w:rPr>
        <w:t>includes</w:t>
      </w:r>
      <w:r w:rsidR="00FB0554">
        <w:rPr>
          <w:rFonts w:ascii="Garamond" w:hAnsi="Garamond"/>
          <w:sz w:val="24"/>
          <w:szCs w:val="24"/>
        </w:rPr>
        <w:t xml:space="preserve"> a total of 98 activities</w:t>
      </w:r>
      <w:r w:rsidRPr="00C32887">
        <w:rPr>
          <w:rFonts w:ascii="Garamond" w:hAnsi="Garamond"/>
          <w:sz w:val="24"/>
          <w:szCs w:val="24"/>
        </w:rPr>
        <w:t xml:space="preserve">, which are crucial for achieving the </w:t>
      </w:r>
      <w:r w:rsidR="00CC0111">
        <w:rPr>
          <w:rFonts w:ascii="Garamond" w:hAnsi="Garamond"/>
          <w:sz w:val="24"/>
          <w:szCs w:val="24"/>
        </w:rPr>
        <w:t>set</w:t>
      </w:r>
      <w:r w:rsidRPr="00C32887">
        <w:rPr>
          <w:rFonts w:ascii="Garamond" w:hAnsi="Garamond"/>
          <w:sz w:val="24"/>
          <w:szCs w:val="24"/>
        </w:rPr>
        <w:t xml:space="preserve"> reform goals.</w:t>
      </w:r>
    </w:p>
    <w:p w:rsidR="004D1343" w:rsidRPr="00C32887" w:rsidRDefault="004D1343" w:rsidP="004D1343">
      <w:pPr>
        <w:rPr>
          <w:rFonts w:ascii="Garamond" w:hAnsi="Garamond"/>
          <w:sz w:val="24"/>
          <w:szCs w:val="24"/>
        </w:rPr>
      </w:pPr>
    </w:p>
    <w:p w:rsidR="004D1343" w:rsidRPr="00C32887" w:rsidRDefault="004D1343" w:rsidP="00FB0554">
      <w:pPr>
        <w:jc w:val="both"/>
        <w:rPr>
          <w:rFonts w:ascii="Garamond" w:hAnsi="Garamond"/>
          <w:sz w:val="24"/>
          <w:szCs w:val="24"/>
        </w:rPr>
      </w:pPr>
      <w:r w:rsidRPr="00C32887">
        <w:rPr>
          <w:rFonts w:ascii="Garamond" w:hAnsi="Garamond"/>
          <w:sz w:val="24"/>
          <w:szCs w:val="24"/>
        </w:rPr>
        <w:t>Out of a total of 41 performance ind</w:t>
      </w:r>
      <w:r w:rsidR="00E66D64">
        <w:rPr>
          <w:rFonts w:ascii="Garamond" w:hAnsi="Garamond"/>
          <w:sz w:val="24"/>
          <w:szCs w:val="24"/>
        </w:rPr>
        <w:t>icators contained in the Report</w:t>
      </w:r>
      <w:r w:rsidRPr="00C32887">
        <w:rPr>
          <w:rFonts w:ascii="Garamond" w:hAnsi="Garamond"/>
          <w:sz w:val="24"/>
          <w:szCs w:val="24"/>
        </w:rPr>
        <w:t>, 24 performance indicators (59%) reached the target value, while 17 performance indicators (41%) did not reach the target value for 2020.</w:t>
      </w:r>
    </w:p>
    <w:p w:rsidR="004D1343" w:rsidRPr="00C32887" w:rsidRDefault="004D1343" w:rsidP="004D1343">
      <w:pPr>
        <w:rPr>
          <w:rFonts w:ascii="Garamond" w:hAnsi="Garamond"/>
          <w:sz w:val="24"/>
          <w:szCs w:val="24"/>
        </w:rPr>
      </w:pPr>
    </w:p>
    <w:p w:rsidR="004D1343" w:rsidRPr="00C32887" w:rsidRDefault="00E66D64" w:rsidP="00E66D64">
      <w:pPr>
        <w:jc w:val="center"/>
        <w:rPr>
          <w:rFonts w:ascii="Garamond" w:hAnsi="Garamond"/>
          <w:sz w:val="24"/>
          <w:szCs w:val="24"/>
        </w:rPr>
      </w:pPr>
      <w:r w:rsidRPr="00E66D64">
        <w:rPr>
          <w:rFonts w:ascii="Garamond" w:hAnsi="Garamond"/>
          <w:noProof/>
          <w:sz w:val="24"/>
          <w:szCs w:val="24"/>
          <w:lang w:eastAsia="ja-JP" w:bidi="ar-SA"/>
        </w:rPr>
        <w:drawing>
          <wp:inline distT="0" distB="0" distL="0" distR="0">
            <wp:extent cx="2314131" cy="939800"/>
            <wp:effectExtent l="19050" t="0" r="0" b="0"/>
            <wp:docPr id="1" name="Picture 386" descr="C:\Users\win1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6" descr="C:\Users\win10\Desktop\Untitled.png"/>
                    <pic:cNvPicPr>
                      <a:picLocks noChangeAspect="1" noChangeArrowheads="1"/>
                    </pic:cNvPicPr>
                  </pic:nvPicPr>
                  <pic:blipFill>
                    <a:blip r:embed="rId10" cstate="print"/>
                    <a:srcRect/>
                    <a:stretch>
                      <a:fillRect/>
                    </a:stretch>
                  </pic:blipFill>
                  <pic:spPr bwMode="auto">
                    <a:xfrm>
                      <a:off x="0" y="0"/>
                      <a:ext cx="2314131" cy="939800"/>
                    </a:xfrm>
                    <a:prstGeom prst="rect">
                      <a:avLst/>
                    </a:prstGeom>
                    <a:noFill/>
                    <a:ln w="9525">
                      <a:noFill/>
                      <a:miter lim="800000"/>
                      <a:headEnd/>
                      <a:tailEnd/>
                    </a:ln>
                  </pic:spPr>
                </pic:pic>
              </a:graphicData>
            </a:graphic>
          </wp:inline>
        </w:drawing>
      </w:r>
    </w:p>
    <w:p w:rsidR="004D1343" w:rsidRPr="00C32887" w:rsidRDefault="004D1343" w:rsidP="004D1343">
      <w:pPr>
        <w:rPr>
          <w:rFonts w:ascii="Garamond" w:hAnsi="Garamond"/>
          <w:sz w:val="24"/>
          <w:szCs w:val="24"/>
        </w:rPr>
      </w:pPr>
    </w:p>
    <w:p w:rsidR="004D1343" w:rsidRPr="00C32887" w:rsidRDefault="004D1343" w:rsidP="00E66D64">
      <w:pPr>
        <w:jc w:val="both"/>
        <w:rPr>
          <w:rFonts w:ascii="Garamond" w:hAnsi="Garamond"/>
          <w:sz w:val="24"/>
          <w:szCs w:val="24"/>
        </w:rPr>
      </w:pPr>
      <w:r w:rsidRPr="00C32887">
        <w:rPr>
          <w:rFonts w:ascii="Garamond" w:hAnsi="Garamond"/>
          <w:sz w:val="24"/>
          <w:szCs w:val="24"/>
        </w:rPr>
        <w:t>Out of a total of 41 performance indicators contained in the Report, 26 performance indicators (63%) indicate a positive trend, while 15 performance indicators (37%) indicate a negative trend compared to the previous year.</w:t>
      </w:r>
    </w:p>
    <w:p w:rsidR="004D1343" w:rsidRPr="00C32887" w:rsidRDefault="00E66D64" w:rsidP="00E66D64">
      <w:pPr>
        <w:jc w:val="center"/>
        <w:rPr>
          <w:rFonts w:ascii="Garamond" w:hAnsi="Garamond"/>
          <w:sz w:val="24"/>
          <w:szCs w:val="24"/>
        </w:rPr>
      </w:pPr>
      <w:r w:rsidRPr="00E66D64">
        <w:rPr>
          <w:rFonts w:ascii="Garamond" w:hAnsi="Garamond"/>
          <w:noProof/>
          <w:sz w:val="24"/>
          <w:szCs w:val="24"/>
          <w:lang w:eastAsia="ja-JP" w:bidi="ar-SA"/>
        </w:rPr>
        <w:drawing>
          <wp:inline distT="0" distB="0" distL="0" distR="0">
            <wp:extent cx="2056974" cy="778476"/>
            <wp:effectExtent l="19050" t="0" r="426" b="0"/>
            <wp:docPr id="66" name="Picture 387" descr="C:\Users\win1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7" descr="C:\Users\win10\Desktop\Untitled.png"/>
                    <pic:cNvPicPr>
                      <a:picLocks noChangeAspect="1" noChangeArrowheads="1"/>
                    </pic:cNvPicPr>
                  </pic:nvPicPr>
                  <pic:blipFill>
                    <a:blip r:embed="rId11" cstate="print"/>
                    <a:srcRect/>
                    <a:stretch>
                      <a:fillRect/>
                    </a:stretch>
                  </pic:blipFill>
                  <pic:spPr bwMode="auto">
                    <a:xfrm>
                      <a:off x="0" y="0"/>
                      <a:ext cx="2053459" cy="777146"/>
                    </a:xfrm>
                    <a:prstGeom prst="rect">
                      <a:avLst/>
                    </a:prstGeom>
                    <a:noFill/>
                    <a:ln w="9525">
                      <a:noFill/>
                      <a:miter lim="800000"/>
                      <a:headEnd/>
                      <a:tailEnd/>
                    </a:ln>
                  </pic:spPr>
                </pic:pic>
              </a:graphicData>
            </a:graphic>
          </wp:inline>
        </w:drawing>
      </w:r>
    </w:p>
    <w:p w:rsidR="004D1343" w:rsidRPr="00C32887" w:rsidRDefault="004D1343" w:rsidP="004D1343">
      <w:pPr>
        <w:rPr>
          <w:rFonts w:ascii="Garamond" w:hAnsi="Garamond"/>
          <w:sz w:val="24"/>
          <w:szCs w:val="24"/>
        </w:rPr>
      </w:pPr>
    </w:p>
    <w:p w:rsidR="004D1343" w:rsidRPr="00C32887" w:rsidRDefault="004D1343" w:rsidP="00E66D64">
      <w:pPr>
        <w:jc w:val="both"/>
        <w:rPr>
          <w:rFonts w:ascii="Garamond" w:hAnsi="Garamond"/>
          <w:sz w:val="24"/>
          <w:szCs w:val="24"/>
        </w:rPr>
      </w:pPr>
      <w:r w:rsidRPr="00C32887">
        <w:rPr>
          <w:rFonts w:ascii="Garamond" w:hAnsi="Garamond"/>
          <w:sz w:val="24"/>
          <w:szCs w:val="24"/>
        </w:rPr>
        <w:t xml:space="preserve">Likewise, </w:t>
      </w:r>
      <w:r w:rsidR="00E66D64">
        <w:rPr>
          <w:rFonts w:ascii="Garamond" w:hAnsi="Garamond"/>
          <w:sz w:val="24"/>
          <w:szCs w:val="24"/>
        </w:rPr>
        <w:t>taking into consideration the period of the</w:t>
      </w:r>
      <w:r w:rsidRPr="00C32887">
        <w:rPr>
          <w:rFonts w:ascii="Garamond" w:hAnsi="Garamond"/>
          <w:sz w:val="24"/>
          <w:szCs w:val="24"/>
        </w:rPr>
        <w:t xml:space="preserve"> beginning of implementation of </w:t>
      </w:r>
      <w:r w:rsidR="00E66D64">
        <w:rPr>
          <w:rFonts w:ascii="Garamond" w:hAnsi="Garamond"/>
          <w:sz w:val="24"/>
          <w:szCs w:val="24"/>
        </w:rPr>
        <w:t xml:space="preserve">all activities envisaged under </w:t>
      </w:r>
      <w:r w:rsidR="00CC0111">
        <w:rPr>
          <w:rFonts w:ascii="Garamond" w:hAnsi="Garamond"/>
          <w:sz w:val="24"/>
          <w:szCs w:val="24"/>
        </w:rPr>
        <w:t>the</w:t>
      </w:r>
      <w:r w:rsidR="00E66D64">
        <w:rPr>
          <w:rFonts w:ascii="Garamond" w:hAnsi="Garamond"/>
          <w:sz w:val="24"/>
          <w:szCs w:val="24"/>
        </w:rPr>
        <w:t xml:space="preserve"> i</w:t>
      </w:r>
      <w:r w:rsidRPr="00C32887">
        <w:rPr>
          <w:rFonts w:ascii="Garamond" w:hAnsi="Garamond"/>
          <w:sz w:val="24"/>
          <w:szCs w:val="24"/>
        </w:rPr>
        <w:t>nitial A</w:t>
      </w:r>
      <w:r w:rsidR="00E66D64">
        <w:rPr>
          <w:rFonts w:ascii="Garamond" w:hAnsi="Garamond"/>
          <w:sz w:val="24"/>
          <w:szCs w:val="24"/>
        </w:rPr>
        <w:t>ction</w:t>
      </w:r>
      <w:r w:rsidRPr="00C32887">
        <w:rPr>
          <w:rFonts w:ascii="Garamond" w:hAnsi="Garamond"/>
          <w:sz w:val="24"/>
          <w:szCs w:val="24"/>
        </w:rPr>
        <w:t xml:space="preserve"> </w:t>
      </w:r>
      <w:r w:rsidR="00CC0111" w:rsidRPr="00C32887">
        <w:rPr>
          <w:rFonts w:ascii="Garamond" w:hAnsi="Garamond"/>
          <w:sz w:val="24"/>
          <w:szCs w:val="24"/>
        </w:rPr>
        <w:t xml:space="preserve">Plan </w:t>
      </w:r>
      <w:r w:rsidRPr="00C32887">
        <w:rPr>
          <w:rFonts w:ascii="Garamond" w:hAnsi="Garamond"/>
          <w:sz w:val="24"/>
          <w:szCs w:val="24"/>
        </w:rPr>
        <w:t xml:space="preserve">for implementation of the </w:t>
      </w:r>
      <w:r w:rsidR="00AB73F6" w:rsidRPr="00C32887">
        <w:rPr>
          <w:rFonts w:ascii="Garamond" w:hAnsi="Garamond"/>
          <w:sz w:val="24"/>
          <w:szCs w:val="24"/>
        </w:rPr>
        <w:t>Programme</w:t>
      </w:r>
      <w:r w:rsidRPr="00C32887">
        <w:rPr>
          <w:rFonts w:ascii="Garamond" w:hAnsi="Garamond"/>
          <w:sz w:val="24"/>
          <w:szCs w:val="24"/>
        </w:rPr>
        <w:t xml:space="preserve">, it can be concluded that </w:t>
      </w:r>
      <w:r w:rsidR="00E66D64">
        <w:rPr>
          <w:rFonts w:ascii="Garamond" w:hAnsi="Garamond"/>
          <w:sz w:val="24"/>
          <w:szCs w:val="24"/>
        </w:rPr>
        <w:t xml:space="preserve">out of </w:t>
      </w:r>
      <w:r w:rsidR="00CC0111">
        <w:rPr>
          <w:rFonts w:ascii="Garamond" w:hAnsi="Garamond"/>
          <w:sz w:val="24"/>
          <w:szCs w:val="24"/>
        </w:rPr>
        <w:t>a</w:t>
      </w:r>
      <w:r w:rsidRPr="00C32887">
        <w:rPr>
          <w:rFonts w:ascii="Garamond" w:hAnsi="Garamond"/>
          <w:sz w:val="24"/>
          <w:szCs w:val="24"/>
        </w:rPr>
        <w:t xml:space="preserve"> total </w:t>
      </w:r>
      <w:r w:rsidR="00CC0111">
        <w:rPr>
          <w:rFonts w:ascii="Garamond" w:hAnsi="Garamond"/>
          <w:sz w:val="24"/>
          <w:szCs w:val="24"/>
        </w:rPr>
        <w:t xml:space="preserve">of </w:t>
      </w:r>
      <w:r w:rsidRPr="00C32887">
        <w:rPr>
          <w:rFonts w:ascii="Garamond" w:hAnsi="Garamond"/>
          <w:sz w:val="24"/>
          <w:szCs w:val="24"/>
        </w:rPr>
        <w:t>98</w:t>
      </w:r>
      <w:r w:rsidR="00E66D64" w:rsidRPr="00E66D64">
        <w:rPr>
          <w:rFonts w:ascii="Garamond" w:hAnsi="Garamond"/>
          <w:sz w:val="24"/>
          <w:szCs w:val="24"/>
        </w:rPr>
        <w:t xml:space="preserve"> </w:t>
      </w:r>
      <w:r w:rsidR="00E66D64" w:rsidRPr="00C32887">
        <w:rPr>
          <w:rFonts w:ascii="Garamond" w:hAnsi="Garamond"/>
          <w:sz w:val="24"/>
          <w:szCs w:val="24"/>
        </w:rPr>
        <w:t>activit</w:t>
      </w:r>
      <w:r w:rsidR="00E66D64">
        <w:rPr>
          <w:rFonts w:ascii="Garamond" w:hAnsi="Garamond"/>
          <w:sz w:val="24"/>
          <w:szCs w:val="24"/>
        </w:rPr>
        <w:t>ies</w:t>
      </w:r>
      <w:r w:rsidRPr="00C32887">
        <w:rPr>
          <w:rFonts w:ascii="Garamond" w:hAnsi="Garamond"/>
          <w:sz w:val="24"/>
          <w:szCs w:val="24"/>
        </w:rPr>
        <w:t xml:space="preserve">, </w:t>
      </w:r>
      <w:r w:rsidR="00E66D64">
        <w:rPr>
          <w:rFonts w:ascii="Garamond" w:hAnsi="Garamond"/>
          <w:sz w:val="24"/>
          <w:szCs w:val="24"/>
        </w:rPr>
        <w:t>94 activities</w:t>
      </w:r>
      <w:r w:rsidR="00E66D64" w:rsidRPr="00C32887">
        <w:rPr>
          <w:rFonts w:ascii="Garamond" w:hAnsi="Garamond"/>
          <w:sz w:val="24"/>
          <w:szCs w:val="24"/>
        </w:rPr>
        <w:t xml:space="preserve"> </w:t>
      </w:r>
      <w:r w:rsidR="00CC0111">
        <w:rPr>
          <w:rFonts w:ascii="Garamond" w:hAnsi="Garamond"/>
          <w:sz w:val="24"/>
          <w:szCs w:val="24"/>
        </w:rPr>
        <w:t>are</w:t>
      </w:r>
      <w:r w:rsidRPr="00C32887">
        <w:rPr>
          <w:rFonts w:ascii="Garamond" w:hAnsi="Garamond"/>
          <w:sz w:val="24"/>
          <w:szCs w:val="24"/>
        </w:rPr>
        <w:t xml:space="preserve"> due </w:t>
      </w:r>
      <w:r w:rsidR="00E66D64">
        <w:rPr>
          <w:rFonts w:ascii="Garamond" w:hAnsi="Garamond"/>
          <w:sz w:val="24"/>
          <w:szCs w:val="24"/>
        </w:rPr>
        <w:t>for implementation</w:t>
      </w:r>
      <w:r w:rsidR="00CC0111">
        <w:rPr>
          <w:rFonts w:ascii="Garamond" w:hAnsi="Garamond"/>
          <w:sz w:val="24"/>
          <w:szCs w:val="24"/>
        </w:rPr>
        <w:t>, whereas 4 activities</w:t>
      </w:r>
      <w:r w:rsidRPr="00C32887">
        <w:rPr>
          <w:rFonts w:ascii="Garamond" w:hAnsi="Garamond"/>
          <w:sz w:val="24"/>
          <w:szCs w:val="24"/>
        </w:rPr>
        <w:t xml:space="preserve"> </w:t>
      </w:r>
      <w:r w:rsidR="00E66D64">
        <w:rPr>
          <w:rFonts w:ascii="Garamond" w:hAnsi="Garamond"/>
          <w:sz w:val="24"/>
          <w:szCs w:val="24"/>
        </w:rPr>
        <w:t>are</w:t>
      </w:r>
      <w:r w:rsidRPr="00C32887">
        <w:rPr>
          <w:rFonts w:ascii="Garamond" w:hAnsi="Garamond"/>
          <w:sz w:val="24"/>
          <w:szCs w:val="24"/>
        </w:rPr>
        <w:t xml:space="preserve"> expected to be </w:t>
      </w:r>
      <w:r w:rsidR="00E66D64">
        <w:rPr>
          <w:rFonts w:ascii="Garamond" w:hAnsi="Garamond"/>
          <w:sz w:val="24"/>
          <w:szCs w:val="24"/>
        </w:rPr>
        <w:t>implemented in the future</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E66D64">
      <w:pPr>
        <w:jc w:val="both"/>
        <w:rPr>
          <w:rFonts w:ascii="Garamond" w:hAnsi="Garamond"/>
          <w:sz w:val="24"/>
          <w:szCs w:val="24"/>
        </w:rPr>
      </w:pPr>
      <w:r w:rsidRPr="00C32887">
        <w:rPr>
          <w:rFonts w:ascii="Garamond" w:hAnsi="Garamond"/>
          <w:sz w:val="24"/>
          <w:szCs w:val="24"/>
        </w:rPr>
        <w:t xml:space="preserve">When it comes to the implementation of </w:t>
      </w:r>
      <w:r w:rsidR="00CC0111">
        <w:rPr>
          <w:rFonts w:ascii="Garamond" w:hAnsi="Garamond"/>
          <w:sz w:val="24"/>
          <w:szCs w:val="24"/>
        </w:rPr>
        <w:t>those</w:t>
      </w:r>
      <w:r w:rsidRPr="00C32887">
        <w:rPr>
          <w:rFonts w:ascii="Garamond" w:hAnsi="Garamond"/>
          <w:sz w:val="24"/>
          <w:szCs w:val="24"/>
        </w:rPr>
        <w:t xml:space="preserve"> 94 activities </w:t>
      </w:r>
      <w:r w:rsidR="00CC0111">
        <w:rPr>
          <w:rFonts w:ascii="Garamond" w:hAnsi="Garamond"/>
          <w:sz w:val="24"/>
          <w:szCs w:val="24"/>
        </w:rPr>
        <w:t>under</w:t>
      </w:r>
      <w:r w:rsidRPr="00C32887">
        <w:rPr>
          <w:rFonts w:ascii="Garamond" w:hAnsi="Garamond"/>
          <w:sz w:val="24"/>
          <w:szCs w:val="24"/>
        </w:rPr>
        <w:t xml:space="preserve"> the </w:t>
      </w:r>
      <w:r w:rsidR="00AB73F6" w:rsidRPr="00C32887">
        <w:rPr>
          <w:rFonts w:ascii="Garamond" w:hAnsi="Garamond"/>
          <w:sz w:val="24"/>
          <w:szCs w:val="24"/>
        </w:rPr>
        <w:t>Programme</w:t>
      </w:r>
      <w:r w:rsidRPr="00C32887">
        <w:rPr>
          <w:rFonts w:ascii="Garamond" w:hAnsi="Garamond"/>
          <w:sz w:val="24"/>
          <w:szCs w:val="24"/>
        </w:rPr>
        <w:t>, 64 acti</w:t>
      </w:r>
      <w:r w:rsidR="002D07D9">
        <w:rPr>
          <w:rFonts w:ascii="Garamond" w:hAnsi="Garamond"/>
          <w:sz w:val="24"/>
          <w:szCs w:val="24"/>
        </w:rPr>
        <w:t>vities were fully implemented (</w:t>
      </w:r>
      <w:r w:rsidR="00CC0111">
        <w:rPr>
          <w:rFonts w:ascii="Garamond" w:hAnsi="Garamond"/>
          <w:sz w:val="24"/>
          <w:szCs w:val="24"/>
        </w:rPr>
        <w:t>68%), 24 activities were partl</w:t>
      </w:r>
      <w:r w:rsidRPr="00C32887">
        <w:rPr>
          <w:rFonts w:ascii="Garamond" w:hAnsi="Garamond"/>
          <w:sz w:val="24"/>
          <w:szCs w:val="24"/>
        </w:rPr>
        <w:t xml:space="preserve">y implemented (26%), while 6 activities were not implemented </w:t>
      </w:r>
      <w:r w:rsidR="00CC0111">
        <w:rPr>
          <w:rFonts w:ascii="Garamond" w:hAnsi="Garamond"/>
          <w:sz w:val="24"/>
          <w:szCs w:val="24"/>
        </w:rPr>
        <w:t xml:space="preserve">at all </w:t>
      </w:r>
      <w:r w:rsidRPr="00C32887">
        <w:rPr>
          <w:rFonts w:ascii="Garamond" w:hAnsi="Garamond"/>
          <w:sz w:val="24"/>
          <w:szCs w:val="24"/>
        </w:rPr>
        <w:t xml:space="preserve">(6%). When it comes to the </w:t>
      </w:r>
      <w:r w:rsidR="002D07D9" w:rsidRPr="00C32887">
        <w:rPr>
          <w:rFonts w:ascii="Garamond" w:hAnsi="Garamond"/>
          <w:sz w:val="24"/>
          <w:szCs w:val="24"/>
        </w:rPr>
        <w:t>2020</w:t>
      </w:r>
      <w:r w:rsidR="002D07D9">
        <w:rPr>
          <w:rFonts w:ascii="Garamond" w:hAnsi="Garamond"/>
          <w:sz w:val="24"/>
          <w:szCs w:val="24"/>
        </w:rPr>
        <w:t xml:space="preserve"> </w:t>
      </w:r>
      <w:r w:rsidR="002D07D9" w:rsidRPr="00C32887">
        <w:rPr>
          <w:rFonts w:ascii="Garamond" w:hAnsi="Garamond"/>
          <w:sz w:val="24"/>
          <w:szCs w:val="24"/>
        </w:rPr>
        <w:t>Action Pla</w:t>
      </w:r>
      <w:r w:rsidRPr="00C32887">
        <w:rPr>
          <w:rFonts w:ascii="Garamond" w:hAnsi="Garamond"/>
          <w:sz w:val="24"/>
          <w:szCs w:val="24"/>
        </w:rPr>
        <w:t>n</w:t>
      </w:r>
      <w:r w:rsidR="002D07D9">
        <w:rPr>
          <w:rFonts w:ascii="Garamond" w:hAnsi="Garamond"/>
          <w:sz w:val="24"/>
          <w:szCs w:val="24"/>
        </w:rPr>
        <w:t xml:space="preserve">, </w:t>
      </w:r>
      <w:r w:rsidRPr="00C32887">
        <w:rPr>
          <w:rFonts w:ascii="Garamond" w:hAnsi="Garamond"/>
          <w:sz w:val="24"/>
          <w:szCs w:val="24"/>
        </w:rPr>
        <w:t>which in</w:t>
      </w:r>
      <w:r w:rsidR="002D07D9">
        <w:rPr>
          <w:rFonts w:ascii="Garamond" w:hAnsi="Garamond"/>
          <w:sz w:val="24"/>
          <w:szCs w:val="24"/>
        </w:rPr>
        <w:t>cludes a total of 70 activities</w:t>
      </w:r>
      <w:r w:rsidRPr="00C32887">
        <w:rPr>
          <w:rFonts w:ascii="Garamond" w:hAnsi="Garamond"/>
          <w:sz w:val="24"/>
          <w:szCs w:val="24"/>
        </w:rPr>
        <w:t>, 66 activ</w:t>
      </w:r>
      <w:r w:rsidR="002D07D9">
        <w:rPr>
          <w:rFonts w:ascii="Garamond" w:hAnsi="Garamond"/>
          <w:sz w:val="24"/>
          <w:szCs w:val="24"/>
        </w:rPr>
        <w:t>ities</w:t>
      </w:r>
      <w:r w:rsidR="00CC0111">
        <w:rPr>
          <w:rFonts w:ascii="Garamond" w:hAnsi="Garamond"/>
          <w:sz w:val="24"/>
          <w:szCs w:val="24"/>
        </w:rPr>
        <w:t xml:space="preserve"> were implemented</w:t>
      </w:r>
      <w:r w:rsidRPr="00C32887">
        <w:rPr>
          <w:rFonts w:ascii="Garamond" w:hAnsi="Garamond"/>
          <w:sz w:val="24"/>
          <w:szCs w:val="24"/>
        </w:rPr>
        <w:t xml:space="preserve">, while other </w:t>
      </w:r>
      <w:r w:rsidR="002D07D9">
        <w:rPr>
          <w:rFonts w:ascii="Garamond" w:hAnsi="Garamond"/>
          <w:sz w:val="24"/>
          <w:szCs w:val="24"/>
        </w:rPr>
        <w:t>4</w:t>
      </w:r>
      <w:r w:rsidRPr="00C32887">
        <w:rPr>
          <w:rFonts w:ascii="Garamond" w:hAnsi="Garamond"/>
          <w:sz w:val="24"/>
          <w:szCs w:val="24"/>
        </w:rPr>
        <w:t xml:space="preserve"> </w:t>
      </w:r>
      <w:r w:rsidR="002D07D9">
        <w:rPr>
          <w:rFonts w:ascii="Garamond" w:hAnsi="Garamond"/>
          <w:sz w:val="24"/>
          <w:szCs w:val="24"/>
        </w:rPr>
        <w:t>have</w:t>
      </w:r>
      <w:r w:rsidRPr="00C32887">
        <w:rPr>
          <w:rFonts w:ascii="Garamond" w:hAnsi="Garamond"/>
          <w:sz w:val="24"/>
          <w:szCs w:val="24"/>
        </w:rPr>
        <w:t xml:space="preserve"> not </w:t>
      </w:r>
      <w:r w:rsidR="00CC0111">
        <w:rPr>
          <w:rFonts w:ascii="Garamond" w:hAnsi="Garamond"/>
          <w:sz w:val="24"/>
          <w:szCs w:val="24"/>
        </w:rPr>
        <w:t xml:space="preserve">yet </w:t>
      </w:r>
      <w:r w:rsidRPr="00C32887">
        <w:rPr>
          <w:rFonts w:ascii="Garamond" w:hAnsi="Garamond"/>
          <w:sz w:val="24"/>
          <w:szCs w:val="24"/>
        </w:rPr>
        <w:t>commence</w:t>
      </w:r>
      <w:r w:rsidR="002D07D9">
        <w:rPr>
          <w:rFonts w:ascii="Garamond" w:hAnsi="Garamond"/>
          <w:sz w:val="24"/>
          <w:szCs w:val="24"/>
        </w:rPr>
        <w:t>d with implementation</w:t>
      </w:r>
      <w:r w:rsidRPr="00C32887">
        <w:rPr>
          <w:rFonts w:ascii="Garamond" w:hAnsi="Garamond"/>
          <w:sz w:val="24"/>
          <w:szCs w:val="24"/>
        </w:rPr>
        <w:t>. Namely, during 2020</w:t>
      </w:r>
      <w:r w:rsidR="00CC0111">
        <w:rPr>
          <w:rFonts w:ascii="Garamond" w:hAnsi="Garamond"/>
          <w:sz w:val="24"/>
          <w:szCs w:val="24"/>
        </w:rPr>
        <w:t>,</w:t>
      </w:r>
      <w:r w:rsidRPr="00C32887">
        <w:rPr>
          <w:rFonts w:ascii="Garamond" w:hAnsi="Garamond"/>
          <w:sz w:val="24"/>
          <w:szCs w:val="24"/>
        </w:rPr>
        <w:t xml:space="preserve"> </w:t>
      </w:r>
      <w:r w:rsidR="002D07D9" w:rsidRPr="00C32887">
        <w:rPr>
          <w:rFonts w:ascii="Garamond" w:hAnsi="Garamond"/>
          <w:sz w:val="24"/>
          <w:szCs w:val="24"/>
        </w:rPr>
        <w:t xml:space="preserve">39 activities </w:t>
      </w:r>
      <w:r w:rsidR="002D07D9">
        <w:rPr>
          <w:rFonts w:ascii="Garamond" w:hAnsi="Garamond"/>
          <w:sz w:val="24"/>
          <w:szCs w:val="24"/>
        </w:rPr>
        <w:t>were</w:t>
      </w:r>
      <w:r w:rsidRPr="00C32887">
        <w:rPr>
          <w:rFonts w:ascii="Garamond" w:hAnsi="Garamond"/>
          <w:sz w:val="24"/>
          <w:szCs w:val="24"/>
        </w:rPr>
        <w:t xml:space="preserve"> </w:t>
      </w:r>
      <w:r w:rsidR="00B72700">
        <w:rPr>
          <w:rFonts w:ascii="Garamond" w:hAnsi="Garamond"/>
          <w:sz w:val="24"/>
          <w:szCs w:val="24"/>
        </w:rPr>
        <w:t>implemented, with</w:t>
      </w:r>
      <w:r w:rsidRPr="00C32887">
        <w:rPr>
          <w:rFonts w:ascii="Garamond" w:hAnsi="Garamond"/>
          <w:sz w:val="24"/>
          <w:szCs w:val="24"/>
        </w:rPr>
        <w:t xml:space="preserve"> further improvement </w:t>
      </w:r>
      <w:r w:rsidR="002D07D9">
        <w:rPr>
          <w:rFonts w:ascii="Garamond" w:hAnsi="Garamond"/>
          <w:sz w:val="24"/>
          <w:szCs w:val="24"/>
        </w:rPr>
        <w:t>of</w:t>
      </w:r>
      <w:r w:rsidRPr="00C32887">
        <w:rPr>
          <w:rFonts w:ascii="Garamond" w:hAnsi="Garamond"/>
          <w:sz w:val="24"/>
          <w:szCs w:val="24"/>
        </w:rPr>
        <w:t xml:space="preserve"> certain activities provided continuously, 22 activities </w:t>
      </w:r>
      <w:r w:rsidR="002D07D9">
        <w:rPr>
          <w:rFonts w:ascii="Garamond" w:hAnsi="Garamond"/>
          <w:sz w:val="24"/>
          <w:szCs w:val="24"/>
        </w:rPr>
        <w:t>were</w:t>
      </w:r>
      <w:r w:rsidRPr="00C32887">
        <w:rPr>
          <w:rFonts w:ascii="Garamond" w:hAnsi="Garamond"/>
          <w:sz w:val="24"/>
          <w:szCs w:val="24"/>
        </w:rPr>
        <w:t xml:space="preserve"> partly </w:t>
      </w:r>
      <w:r w:rsidR="002D07D9">
        <w:rPr>
          <w:rFonts w:ascii="Garamond" w:hAnsi="Garamond"/>
          <w:sz w:val="24"/>
          <w:szCs w:val="24"/>
        </w:rPr>
        <w:t>implemented,</w:t>
      </w:r>
      <w:r w:rsidRPr="00C32887">
        <w:rPr>
          <w:rFonts w:ascii="Garamond" w:hAnsi="Garamond"/>
          <w:sz w:val="24"/>
          <w:szCs w:val="24"/>
        </w:rPr>
        <w:t xml:space="preserve"> while </w:t>
      </w:r>
      <w:r w:rsidR="002D07D9">
        <w:rPr>
          <w:rFonts w:ascii="Garamond" w:hAnsi="Garamond"/>
          <w:sz w:val="24"/>
          <w:szCs w:val="24"/>
        </w:rPr>
        <w:t>5 activities were</w:t>
      </w:r>
      <w:r w:rsidRPr="00C32887">
        <w:rPr>
          <w:rFonts w:ascii="Garamond" w:hAnsi="Garamond"/>
          <w:sz w:val="24"/>
          <w:szCs w:val="24"/>
        </w:rPr>
        <w:t xml:space="preserve"> not implemented</w:t>
      </w:r>
      <w:r w:rsidR="00B72700">
        <w:rPr>
          <w:rFonts w:ascii="Garamond" w:hAnsi="Garamond"/>
          <w:sz w:val="24"/>
          <w:szCs w:val="24"/>
        </w:rPr>
        <w:t xml:space="preserve"> at all</w:t>
      </w:r>
      <w:r w:rsidRPr="00C32887">
        <w:rPr>
          <w:rFonts w:ascii="Garamond" w:hAnsi="Garamond"/>
          <w:sz w:val="24"/>
          <w:szCs w:val="24"/>
        </w:rPr>
        <w:t xml:space="preserve">, </w:t>
      </w:r>
      <w:r w:rsidR="00B72700">
        <w:rPr>
          <w:rFonts w:ascii="Garamond" w:hAnsi="Garamond"/>
          <w:sz w:val="24"/>
          <w:szCs w:val="24"/>
        </w:rPr>
        <w:t>while</w:t>
      </w:r>
      <w:r w:rsidR="002D07D9">
        <w:rPr>
          <w:rFonts w:ascii="Garamond" w:hAnsi="Garamond"/>
          <w:sz w:val="24"/>
          <w:szCs w:val="24"/>
        </w:rPr>
        <w:t xml:space="preserve"> the</w:t>
      </w:r>
      <w:r w:rsidRPr="00C32887">
        <w:rPr>
          <w:rFonts w:ascii="Garamond" w:hAnsi="Garamond"/>
          <w:sz w:val="24"/>
          <w:szCs w:val="24"/>
        </w:rPr>
        <w:t xml:space="preserve"> degree of </w:t>
      </w:r>
      <w:r w:rsidR="002D07D9">
        <w:rPr>
          <w:rFonts w:ascii="Garamond" w:hAnsi="Garamond"/>
          <w:sz w:val="24"/>
          <w:szCs w:val="24"/>
        </w:rPr>
        <w:t xml:space="preserve">implementation </w:t>
      </w:r>
      <w:r w:rsidR="00B72700">
        <w:rPr>
          <w:rFonts w:ascii="Garamond" w:hAnsi="Garamond"/>
          <w:sz w:val="24"/>
          <w:szCs w:val="24"/>
        </w:rPr>
        <w:t>is as follows</w:t>
      </w:r>
      <w:r w:rsidR="002D07D9">
        <w:rPr>
          <w:rStyle w:val="FootnoteReference"/>
          <w:rFonts w:ascii="Garamond" w:hAnsi="Garamond"/>
          <w:sz w:val="24"/>
          <w:szCs w:val="24"/>
        </w:rPr>
        <w:footnoteReference w:id="11"/>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2D07D9" w:rsidRDefault="004D1343" w:rsidP="002D07D9">
      <w:pPr>
        <w:pStyle w:val="ListParagraph"/>
        <w:numPr>
          <w:ilvl w:val="0"/>
          <w:numId w:val="2"/>
        </w:numPr>
        <w:rPr>
          <w:rFonts w:ascii="Garamond" w:hAnsi="Garamond"/>
          <w:sz w:val="24"/>
          <w:szCs w:val="24"/>
        </w:rPr>
      </w:pPr>
      <w:r w:rsidRPr="002D07D9">
        <w:rPr>
          <w:rFonts w:ascii="Garamond" w:hAnsi="Garamond"/>
          <w:sz w:val="24"/>
          <w:szCs w:val="24"/>
        </w:rPr>
        <w:t>60 % of activities have been fully implemented;</w:t>
      </w:r>
    </w:p>
    <w:p w:rsidR="004D1343" w:rsidRPr="002D07D9" w:rsidRDefault="004D1343" w:rsidP="002D07D9">
      <w:pPr>
        <w:pStyle w:val="ListParagraph"/>
        <w:numPr>
          <w:ilvl w:val="0"/>
          <w:numId w:val="2"/>
        </w:numPr>
        <w:rPr>
          <w:rFonts w:ascii="Garamond" w:hAnsi="Garamond"/>
          <w:sz w:val="24"/>
          <w:szCs w:val="24"/>
        </w:rPr>
      </w:pPr>
      <w:r w:rsidRPr="002D07D9">
        <w:rPr>
          <w:rFonts w:ascii="Garamond" w:hAnsi="Garamond"/>
          <w:sz w:val="24"/>
          <w:szCs w:val="24"/>
        </w:rPr>
        <w:t xml:space="preserve">33 % </w:t>
      </w:r>
      <w:r w:rsidR="00B72700" w:rsidRPr="002D07D9">
        <w:rPr>
          <w:rFonts w:ascii="Garamond" w:hAnsi="Garamond"/>
          <w:sz w:val="24"/>
          <w:szCs w:val="24"/>
        </w:rPr>
        <w:t xml:space="preserve">of activities have been </w:t>
      </w:r>
      <w:r w:rsidR="00E3158D">
        <w:rPr>
          <w:rFonts w:ascii="Garamond" w:hAnsi="Garamond"/>
          <w:sz w:val="24"/>
          <w:szCs w:val="24"/>
        </w:rPr>
        <w:t>part</w:t>
      </w:r>
      <w:r w:rsidRPr="002D07D9">
        <w:rPr>
          <w:rFonts w:ascii="Garamond" w:hAnsi="Garamond"/>
          <w:sz w:val="24"/>
          <w:szCs w:val="24"/>
        </w:rPr>
        <w:t xml:space="preserve">ly </w:t>
      </w:r>
      <w:r w:rsidR="002D07D9" w:rsidRPr="002D07D9">
        <w:rPr>
          <w:rFonts w:ascii="Garamond" w:hAnsi="Garamond"/>
          <w:sz w:val="24"/>
          <w:szCs w:val="24"/>
        </w:rPr>
        <w:t>implemented</w:t>
      </w:r>
      <w:r w:rsidRPr="002D07D9">
        <w:rPr>
          <w:rFonts w:ascii="Garamond" w:hAnsi="Garamond"/>
          <w:sz w:val="24"/>
          <w:szCs w:val="24"/>
        </w:rPr>
        <w:t>;</w:t>
      </w:r>
    </w:p>
    <w:p w:rsidR="004D1343" w:rsidRDefault="004D1343" w:rsidP="002D07D9">
      <w:pPr>
        <w:pStyle w:val="ListParagraph"/>
        <w:numPr>
          <w:ilvl w:val="0"/>
          <w:numId w:val="2"/>
        </w:numPr>
        <w:rPr>
          <w:rFonts w:ascii="Garamond" w:hAnsi="Garamond"/>
          <w:sz w:val="24"/>
          <w:szCs w:val="24"/>
        </w:rPr>
      </w:pPr>
      <w:r w:rsidRPr="002D07D9">
        <w:rPr>
          <w:rFonts w:ascii="Garamond" w:hAnsi="Garamond"/>
          <w:sz w:val="24"/>
          <w:szCs w:val="24"/>
        </w:rPr>
        <w:t xml:space="preserve">7 % </w:t>
      </w:r>
      <w:r w:rsidR="00B72700" w:rsidRPr="002D07D9">
        <w:rPr>
          <w:rFonts w:ascii="Garamond" w:hAnsi="Garamond"/>
          <w:sz w:val="24"/>
          <w:szCs w:val="24"/>
        </w:rPr>
        <w:t xml:space="preserve">of activities have </w:t>
      </w:r>
      <w:r w:rsidRPr="002D07D9">
        <w:rPr>
          <w:rFonts w:ascii="Garamond" w:hAnsi="Garamond"/>
          <w:sz w:val="24"/>
          <w:szCs w:val="24"/>
        </w:rPr>
        <w:t xml:space="preserve">not </w:t>
      </w:r>
      <w:r w:rsidR="00B72700" w:rsidRPr="002D07D9">
        <w:rPr>
          <w:rFonts w:ascii="Garamond" w:hAnsi="Garamond"/>
          <w:sz w:val="24"/>
          <w:szCs w:val="24"/>
        </w:rPr>
        <w:t xml:space="preserve">been </w:t>
      </w:r>
      <w:r w:rsidRPr="002D07D9">
        <w:rPr>
          <w:rFonts w:ascii="Garamond" w:hAnsi="Garamond"/>
          <w:sz w:val="24"/>
          <w:szCs w:val="24"/>
        </w:rPr>
        <w:t>implemented</w:t>
      </w:r>
      <w:r w:rsidR="00B72700">
        <w:rPr>
          <w:rFonts w:ascii="Garamond" w:hAnsi="Garamond"/>
          <w:sz w:val="24"/>
          <w:szCs w:val="24"/>
        </w:rPr>
        <w:t xml:space="preserve"> at all</w:t>
      </w:r>
      <w:r w:rsidRPr="002D07D9">
        <w:rPr>
          <w:rFonts w:ascii="Garamond" w:hAnsi="Garamond"/>
          <w:sz w:val="24"/>
          <w:szCs w:val="24"/>
        </w:rPr>
        <w:t>.</w:t>
      </w:r>
    </w:p>
    <w:p w:rsidR="00B72700" w:rsidRPr="002D07D9" w:rsidRDefault="00B72700" w:rsidP="00B72700">
      <w:pPr>
        <w:pStyle w:val="ListParagraph"/>
        <w:ind w:left="720"/>
        <w:rPr>
          <w:rFonts w:ascii="Garamond" w:hAnsi="Garamond"/>
          <w:sz w:val="24"/>
          <w:szCs w:val="24"/>
        </w:rPr>
      </w:pPr>
    </w:p>
    <w:p w:rsidR="004D1343" w:rsidRPr="00C32887" w:rsidRDefault="004D1343" w:rsidP="002D07D9">
      <w:pPr>
        <w:jc w:val="both"/>
        <w:rPr>
          <w:rFonts w:ascii="Garamond" w:hAnsi="Garamond"/>
          <w:sz w:val="24"/>
          <w:szCs w:val="24"/>
        </w:rPr>
      </w:pPr>
      <w:r w:rsidRPr="00C32887">
        <w:rPr>
          <w:rFonts w:ascii="Garamond" w:hAnsi="Garamond"/>
          <w:sz w:val="24"/>
          <w:szCs w:val="24"/>
        </w:rPr>
        <w:t>In line with the conc</w:t>
      </w:r>
      <w:r w:rsidR="002D07D9">
        <w:rPr>
          <w:rFonts w:ascii="Garamond" w:hAnsi="Garamond"/>
          <w:sz w:val="24"/>
          <w:szCs w:val="24"/>
        </w:rPr>
        <w:t xml:space="preserve">lusions of the PFM Dialogue, </w:t>
      </w:r>
      <w:r w:rsidR="00B72700">
        <w:rPr>
          <w:rFonts w:ascii="Garamond" w:hAnsi="Garamond"/>
          <w:sz w:val="24"/>
          <w:szCs w:val="24"/>
        </w:rPr>
        <w:t xml:space="preserve">the </w:t>
      </w:r>
      <w:r w:rsidR="00C13A74">
        <w:rPr>
          <w:rFonts w:ascii="Garamond" w:hAnsi="Garamond"/>
          <w:sz w:val="24"/>
          <w:szCs w:val="24"/>
        </w:rPr>
        <w:t>‘</w:t>
      </w:r>
      <w:r w:rsidR="00B72700">
        <w:rPr>
          <w:rFonts w:ascii="Garamond" w:hAnsi="Garamond"/>
          <w:sz w:val="24"/>
          <w:szCs w:val="24"/>
        </w:rPr>
        <w:t>Evaluation</w:t>
      </w:r>
      <w:r w:rsidRPr="00C32887">
        <w:rPr>
          <w:rFonts w:ascii="Garamond" w:hAnsi="Garamond"/>
          <w:sz w:val="24"/>
          <w:szCs w:val="24"/>
        </w:rPr>
        <w:t xml:space="preserve"> of the</w:t>
      </w:r>
      <w:r w:rsidR="002D07D9">
        <w:rPr>
          <w:rFonts w:ascii="Garamond" w:hAnsi="Garamond"/>
          <w:sz w:val="24"/>
          <w:szCs w:val="24"/>
        </w:rPr>
        <w:t xml:space="preserve"> Public Finance</w:t>
      </w:r>
      <w:r w:rsidRPr="00C32887">
        <w:rPr>
          <w:rFonts w:ascii="Garamond" w:hAnsi="Garamond"/>
          <w:sz w:val="24"/>
          <w:szCs w:val="24"/>
        </w:rPr>
        <w:t xml:space="preserve"> Management Reform </w:t>
      </w:r>
      <w:r w:rsidR="00AB73F6" w:rsidRPr="00C32887">
        <w:rPr>
          <w:rFonts w:ascii="Garamond" w:hAnsi="Garamond"/>
          <w:sz w:val="24"/>
          <w:szCs w:val="24"/>
        </w:rPr>
        <w:t>Programme</w:t>
      </w:r>
      <w:r w:rsidR="00C13A74">
        <w:rPr>
          <w:rFonts w:ascii="Garamond" w:hAnsi="Garamond"/>
          <w:sz w:val="24"/>
          <w:szCs w:val="24"/>
        </w:rPr>
        <w:t>’</w:t>
      </w:r>
      <w:r w:rsidRPr="00C32887">
        <w:rPr>
          <w:rFonts w:ascii="Garamond" w:hAnsi="Garamond"/>
          <w:sz w:val="24"/>
          <w:szCs w:val="24"/>
        </w:rPr>
        <w:t xml:space="preserve"> has been launched, supported by the Delegation of the European Union (DEU) through the </w:t>
      </w:r>
      <w:r w:rsidR="00B72700">
        <w:rPr>
          <w:rFonts w:ascii="Garamond" w:hAnsi="Garamond"/>
          <w:sz w:val="24"/>
          <w:szCs w:val="24"/>
        </w:rPr>
        <w:t>EU</w:t>
      </w:r>
      <w:r w:rsidRPr="00C32887">
        <w:rPr>
          <w:rFonts w:ascii="Garamond" w:hAnsi="Garamond"/>
          <w:sz w:val="24"/>
          <w:szCs w:val="24"/>
        </w:rPr>
        <w:t xml:space="preserve"> Integration </w:t>
      </w:r>
      <w:r w:rsidR="00E55A43">
        <w:rPr>
          <w:rFonts w:ascii="Garamond" w:hAnsi="Garamond"/>
          <w:sz w:val="24"/>
          <w:szCs w:val="24"/>
        </w:rPr>
        <w:t>Facility</w:t>
      </w:r>
      <w:r w:rsidRPr="00C32887">
        <w:rPr>
          <w:rFonts w:ascii="Garamond" w:hAnsi="Garamond"/>
          <w:sz w:val="24"/>
          <w:szCs w:val="24"/>
        </w:rPr>
        <w:t xml:space="preserve"> (EUIF). The draft Evaluation Report assessed the criteria related to: relevance, coherence, efficiency and effectiveness. In addition, the importance of public financ</w:t>
      </w:r>
      <w:r w:rsidR="00E55A43">
        <w:rPr>
          <w:rFonts w:ascii="Garamond" w:hAnsi="Garamond"/>
          <w:sz w:val="24"/>
          <w:szCs w:val="24"/>
        </w:rPr>
        <w:t>e</w:t>
      </w:r>
      <w:r w:rsidRPr="00C32887">
        <w:rPr>
          <w:rFonts w:ascii="Garamond" w:hAnsi="Garamond"/>
          <w:sz w:val="24"/>
          <w:szCs w:val="24"/>
        </w:rPr>
        <w:t xml:space="preserve"> management as an instrument</w:t>
      </w:r>
      <w:r w:rsidR="00E55A43">
        <w:rPr>
          <w:rFonts w:ascii="Garamond" w:hAnsi="Garamond"/>
          <w:sz w:val="24"/>
          <w:szCs w:val="24"/>
        </w:rPr>
        <w:t xml:space="preserve"> for coordinating public finance</w:t>
      </w:r>
      <w:r w:rsidRPr="00C32887">
        <w:rPr>
          <w:rFonts w:ascii="Garamond" w:hAnsi="Garamond"/>
          <w:sz w:val="24"/>
          <w:szCs w:val="24"/>
        </w:rPr>
        <w:t xml:space="preserve"> management reforms in Montenegro was discussed. With regard to the reform objectives of the </w:t>
      </w:r>
      <w:r w:rsidR="00AB73F6" w:rsidRPr="00C32887">
        <w:rPr>
          <w:rFonts w:ascii="Garamond" w:hAnsi="Garamond"/>
          <w:sz w:val="24"/>
          <w:szCs w:val="24"/>
        </w:rPr>
        <w:t>Programme</w:t>
      </w:r>
      <w:r w:rsidRPr="00C32887">
        <w:rPr>
          <w:rFonts w:ascii="Garamond" w:hAnsi="Garamond"/>
          <w:sz w:val="24"/>
          <w:szCs w:val="24"/>
        </w:rPr>
        <w:t xml:space="preserve">, the draft </w:t>
      </w:r>
      <w:r w:rsidR="00B72700" w:rsidRPr="00C32887">
        <w:rPr>
          <w:rFonts w:ascii="Garamond" w:hAnsi="Garamond"/>
          <w:sz w:val="24"/>
          <w:szCs w:val="24"/>
        </w:rPr>
        <w:t xml:space="preserve">Evaluation </w:t>
      </w:r>
      <w:r w:rsidR="00B72700">
        <w:rPr>
          <w:rFonts w:ascii="Garamond" w:hAnsi="Garamond"/>
          <w:sz w:val="24"/>
          <w:szCs w:val="24"/>
        </w:rPr>
        <w:t xml:space="preserve">Report </w:t>
      </w:r>
      <w:r w:rsidRPr="00C32887">
        <w:rPr>
          <w:rFonts w:ascii="Garamond" w:hAnsi="Garamond"/>
          <w:sz w:val="24"/>
          <w:szCs w:val="24"/>
        </w:rPr>
        <w:t xml:space="preserve">concluded that the </w:t>
      </w:r>
      <w:r w:rsidR="00AB73F6" w:rsidRPr="00C32887">
        <w:rPr>
          <w:rFonts w:ascii="Garamond" w:hAnsi="Garamond"/>
          <w:sz w:val="24"/>
          <w:szCs w:val="24"/>
        </w:rPr>
        <w:t>Programme</w:t>
      </w:r>
      <w:r w:rsidRPr="00C32887">
        <w:rPr>
          <w:rFonts w:ascii="Garamond" w:hAnsi="Garamond"/>
          <w:sz w:val="24"/>
          <w:szCs w:val="24"/>
        </w:rPr>
        <w:t xml:space="preserve"> accurately identified importa</w:t>
      </w:r>
      <w:r w:rsidR="00B72700">
        <w:rPr>
          <w:rFonts w:ascii="Garamond" w:hAnsi="Garamond"/>
          <w:sz w:val="24"/>
          <w:szCs w:val="24"/>
        </w:rPr>
        <w:t>nt priorities in the PFM system</w:t>
      </w:r>
      <w:r w:rsidRPr="00C32887">
        <w:rPr>
          <w:rFonts w:ascii="Garamond" w:hAnsi="Garamond"/>
          <w:sz w:val="24"/>
          <w:szCs w:val="24"/>
        </w:rPr>
        <w:t>, whose weaknesses are intended to be addressed by relevant activities.</w:t>
      </w:r>
    </w:p>
    <w:p w:rsidR="004D1343" w:rsidRPr="00C32887" w:rsidRDefault="004D1343" w:rsidP="004D1343">
      <w:pPr>
        <w:rPr>
          <w:rFonts w:ascii="Garamond" w:hAnsi="Garamond"/>
          <w:sz w:val="24"/>
          <w:szCs w:val="24"/>
        </w:rPr>
      </w:pPr>
    </w:p>
    <w:p w:rsidR="004D1343" w:rsidRPr="00C32887" w:rsidRDefault="004D1343" w:rsidP="00E55A43">
      <w:pPr>
        <w:jc w:val="both"/>
        <w:rPr>
          <w:rFonts w:ascii="Garamond" w:hAnsi="Garamond"/>
          <w:sz w:val="24"/>
          <w:szCs w:val="24"/>
        </w:rPr>
      </w:pPr>
      <w:r w:rsidRPr="00C32887">
        <w:rPr>
          <w:rFonts w:ascii="Garamond" w:hAnsi="Garamond"/>
          <w:sz w:val="24"/>
          <w:szCs w:val="24"/>
        </w:rPr>
        <w:t xml:space="preserve">Also, internal, </w:t>
      </w:r>
      <w:r w:rsidR="00E55A43">
        <w:rPr>
          <w:rFonts w:ascii="Garamond" w:hAnsi="Garamond"/>
          <w:sz w:val="24"/>
          <w:szCs w:val="24"/>
        </w:rPr>
        <w:t>inter-sector</w:t>
      </w:r>
      <w:r w:rsidRPr="00C32887">
        <w:rPr>
          <w:rFonts w:ascii="Garamond" w:hAnsi="Garamond"/>
          <w:sz w:val="24"/>
          <w:szCs w:val="24"/>
        </w:rPr>
        <w:t xml:space="preserve"> coordination and cooperation with </w:t>
      </w:r>
      <w:r w:rsidR="00E55A43">
        <w:rPr>
          <w:rFonts w:ascii="Garamond" w:hAnsi="Garamond"/>
          <w:sz w:val="24"/>
          <w:szCs w:val="24"/>
        </w:rPr>
        <w:t>reform</w:t>
      </w:r>
      <w:r w:rsidR="00E55A43" w:rsidRPr="00C32887">
        <w:rPr>
          <w:rFonts w:ascii="Garamond" w:hAnsi="Garamond"/>
          <w:sz w:val="24"/>
          <w:szCs w:val="24"/>
        </w:rPr>
        <w:t xml:space="preserve"> </w:t>
      </w:r>
      <w:r w:rsidRPr="00C32887">
        <w:rPr>
          <w:rFonts w:ascii="Garamond" w:hAnsi="Garamond"/>
          <w:sz w:val="24"/>
          <w:szCs w:val="24"/>
        </w:rPr>
        <w:t xml:space="preserve">development partners was quite good, especially </w:t>
      </w:r>
      <w:r w:rsidR="00B72700">
        <w:rPr>
          <w:rFonts w:ascii="Garamond" w:hAnsi="Garamond"/>
          <w:sz w:val="24"/>
          <w:szCs w:val="24"/>
        </w:rPr>
        <w:t>in</w:t>
      </w:r>
      <w:r w:rsidRPr="00C32887">
        <w:rPr>
          <w:rFonts w:ascii="Garamond" w:hAnsi="Garamond"/>
          <w:sz w:val="24"/>
          <w:szCs w:val="24"/>
        </w:rPr>
        <w:t xml:space="preserve"> those areas where responsibility for implementation was l</w:t>
      </w:r>
      <w:r w:rsidR="00E55A43">
        <w:rPr>
          <w:rFonts w:ascii="Garamond" w:hAnsi="Garamond"/>
          <w:sz w:val="24"/>
          <w:szCs w:val="24"/>
        </w:rPr>
        <w:t>imited to a single entity (e.g. t</w:t>
      </w:r>
      <w:r w:rsidRPr="00C32887">
        <w:rPr>
          <w:rFonts w:ascii="Garamond" w:hAnsi="Garamond"/>
          <w:sz w:val="24"/>
          <w:szCs w:val="24"/>
        </w:rPr>
        <w:t xml:space="preserve">ax reform, </w:t>
      </w:r>
      <w:r w:rsidR="00B72700" w:rsidRPr="00C32887">
        <w:rPr>
          <w:rFonts w:ascii="Garamond" w:hAnsi="Garamond"/>
          <w:sz w:val="24"/>
          <w:szCs w:val="24"/>
        </w:rPr>
        <w:t>customs administration</w:t>
      </w:r>
      <w:r w:rsidRPr="00C32887">
        <w:rPr>
          <w:rFonts w:ascii="Garamond" w:hAnsi="Garamond"/>
          <w:sz w:val="24"/>
          <w:szCs w:val="24"/>
        </w:rPr>
        <w:t xml:space="preserve">, </w:t>
      </w:r>
      <w:proofErr w:type="gramStart"/>
      <w:r w:rsidRPr="00C32887">
        <w:rPr>
          <w:rFonts w:ascii="Garamond" w:hAnsi="Garamond"/>
          <w:sz w:val="24"/>
          <w:szCs w:val="24"/>
        </w:rPr>
        <w:t>audit</w:t>
      </w:r>
      <w:proofErr w:type="gramEnd"/>
      <w:r w:rsidRPr="00C32887">
        <w:rPr>
          <w:rFonts w:ascii="Garamond" w:hAnsi="Garamond"/>
          <w:sz w:val="24"/>
          <w:szCs w:val="24"/>
        </w:rPr>
        <w:t xml:space="preserve">). For more complex reforms, such as medium-term </w:t>
      </w:r>
      <w:r w:rsidR="00E55A43" w:rsidRPr="00E55A43">
        <w:rPr>
          <w:rFonts w:ascii="Garamond" w:hAnsi="Garamond"/>
          <w:sz w:val="24"/>
          <w:szCs w:val="24"/>
        </w:rPr>
        <w:t xml:space="preserve">budgetary </w:t>
      </w:r>
      <w:r w:rsidR="00E55A43">
        <w:rPr>
          <w:rFonts w:ascii="Garamond" w:hAnsi="Garamond"/>
          <w:sz w:val="24"/>
          <w:szCs w:val="24"/>
        </w:rPr>
        <w:t>framework</w:t>
      </w:r>
      <w:r w:rsidRPr="00C32887">
        <w:rPr>
          <w:rFonts w:ascii="Garamond" w:hAnsi="Garamond"/>
          <w:sz w:val="24"/>
          <w:szCs w:val="24"/>
        </w:rPr>
        <w:t xml:space="preserve"> (MTBF), </w:t>
      </w:r>
      <w:r w:rsidR="00394DBF">
        <w:rPr>
          <w:rFonts w:ascii="Garamond" w:hAnsi="Garamond"/>
          <w:sz w:val="24"/>
          <w:szCs w:val="24"/>
        </w:rPr>
        <w:t>p</w:t>
      </w:r>
      <w:r w:rsidR="00AB73F6" w:rsidRPr="00C32887">
        <w:rPr>
          <w:rFonts w:ascii="Garamond" w:hAnsi="Garamond"/>
          <w:sz w:val="24"/>
          <w:szCs w:val="24"/>
        </w:rPr>
        <w:t>rogramme</w:t>
      </w:r>
      <w:r w:rsidR="003343A3">
        <w:rPr>
          <w:rFonts w:ascii="Garamond" w:hAnsi="Garamond"/>
          <w:sz w:val="24"/>
          <w:szCs w:val="24"/>
        </w:rPr>
        <w:t>-</w:t>
      </w:r>
      <w:r w:rsidR="00E55A43">
        <w:rPr>
          <w:rFonts w:ascii="Garamond" w:hAnsi="Garamond"/>
          <w:sz w:val="24"/>
          <w:szCs w:val="24"/>
        </w:rPr>
        <w:t xml:space="preserve">based </w:t>
      </w:r>
      <w:r w:rsidRPr="00C32887">
        <w:rPr>
          <w:rFonts w:ascii="Garamond" w:hAnsi="Garamond"/>
          <w:sz w:val="24"/>
          <w:szCs w:val="24"/>
        </w:rPr>
        <w:t xml:space="preserve">budgeting (PBB) and the transition to multi-entity </w:t>
      </w:r>
      <w:r w:rsidR="00E86F2A">
        <w:rPr>
          <w:rFonts w:ascii="Garamond" w:hAnsi="Garamond"/>
          <w:sz w:val="24"/>
          <w:szCs w:val="24"/>
        </w:rPr>
        <w:t xml:space="preserve">accrual </w:t>
      </w:r>
      <w:r w:rsidRPr="00C32887">
        <w:rPr>
          <w:rFonts w:ascii="Garamond" w:hAnsi="Garamond"/>
          <w:sz w:val="24"/>
          <w:szCs w:val="24"/>
        </w:rPr>
        <w:t>accounting, there is further room for improvement. As far as external coordination</w:t>
      </w:r>
      <w:r w:rsidR="003343A3">
        <w:rPr>
          <w:rFonts w:ascii="Garamond" w:hAnsi="Garamond"/>
          <w:sz w:val="24"/>
          <w:szCs w:val="24"/>
        </w:rPr>
        <w:t xml:space="preserve"> is concerned</w:t>
      </w:r>
      <w:r w:rsidRPr="00C32887">
        <w:rPr>
          <w:rFonts w:ascii="Garamond" w:hAnsi="Garamond"/>
          <w:sz w:val="24"/>
          <w:szCs w:val="24"/>
        </w:rPr>
        <w:t xml:space="preserve">, it was found that the reforms benefited from a wide range of external support with a large </w:t>
      </w:r>
      <w:r w:rsidR="00E86F2A">
        <w:rPr>
          <w:rFonts w:ascii="Garamond" w:hAnsi="Garamond"/>
          <w:sz w:val="24"/>
          <w:szCs w:val="24"/>
        </w:rPr>
        <w:t>share of</w:t>
      </w:r>
      <w:r w:rsidRPr="00C32887">
        <w:rPr>
          <w:rFonts w:ascii="Garamond" w:hAnsi="Garamond"/>
          <w:sz w:val="24"/>
          <w:szCs w:val="24"/>
        </w:rPr>
        <w:t xml:space="preserve"> projects financed by funds from </w:t>
      </w:r>
      <w:r w:rsidR="00E86F2A" w:rsidRPr="00C32887">
        <w:rPr>
          <w:rFonts w:ascii="Garamond" w:hAnsi="Garamond"/>
          <w:sz w:val="24"/>
          <w:szCs w:val="24"/>
        </w:rPr>
        <w:t xml:space="preserve">EU </w:t>
      </w:r>
      <w:r w:rsidRPr="00C32887">
        <w:rPr>
          <w:rFonts w:ascii="Garamond" w:hAnsi="Garamond"/>
          <w:sz w:val="24"/>
          <w:szCs w:val="24"/>
        </w:rPr>
        <w:t xml:space="preserve">pre-accession support - IPA. However, the coherence </w:t>
      </w:r>
      <w:r w:rsidR="00E86F2A">
        <w:rPr>
          <w:rFonts w:ascii="Garamond" w:hAnsi="Garamond"/>
          <w:sz w:val="24"/>
          <w:szCs w:val="24"/>
        </w:rPr>
        <w:t>was</w:t>
      </w:r>
      <w:r w:rsidRPr="00C32887">
        <w:rPr>
          <w:rFonts w:ascii="Garamond" w:hAnsi="Garamond"/>
          <w:sz w:val="24"/>
          <w:szCs w:val="24"/>
        </w:rPr>
        <w:t xml:space="preserve"> negative</w:t>
      </w:r>
      <w:r w:rsidR="00E86F2A">
        <w:rPr>
          <w:rFonts w:ascii="Garamond" w:hAnsi="Garamond"/>
          <w:sz w:val="24"/>
          <w:szCs w:val="24"/>
        </w:rPr>
        <w:t>ly</w:t>
      </w:r>
      <w:r w:rsidRPr="00C32887">
        <w:rPr>
          <w:rFonts w:ascii="Garamond" w:hAnsi="Garamond"/>
          <w:sz w:val="24"/>
          <w:szCs w:val="24"/>
        </w:rPr>
        <w:t xml:space="preserve"> influence</w:t>
      </w:r>
      <w:r w:rsidR="00E86F2A">
        <w:rPr>
          <w:rFonts w:ascii="Garamond" w:hAnsi="Garamond"/>
          <w:sz w:val="24"/>
          <w:szCs w:val="24"/>
        </w:rPr>
        <w:t>d by</w:t>
      </w:r>
      <w:r w:rsidRPr="00C32887">
        <w:rPr>
          <w:rFonts w:ascii="Garamond" w:hAnsi="Garamond"/>
          <w:sz w:val="24"/>
          <w:szCs w:val="24"/>
        </w:rPr>
        <w:t xml:space="preserve"> delays in the process of contracting, which resulted in mismatches between the time of project implementation and the timeframe in </w:t>
      </w:r>
      <w:r w:rsidR="003343A3">
        <w:rPr>
          <w:rFonts w:ascii="Garamond" w:hAnsi="Garamond"/>
          <w:sz w:val="24"/>
          <w:szCs w:val="24"/>
        </w:rPr>
        <w:t xml:space="preserve">the </w:t>
      </w:r>
      <w:r w:rsidRPr="00C32887">
        <w:rPr>
          <w:rFonts w:ascii="Garamond" w:hAnsi="Garamond"/>
          <w:sz w:val="24"/>
          <w:szCs w:val="24"/>
        </w:rPr>
        <w:t>PFMRP-</w:t>
      </w:r>
      <w:r w:rsidR="003343A3" w:rsidRPr="00C32887">
        <w:rPr>
          <w:rFonts w:ascii="Garamond" w:hAnsi="Garamond"/>
          <w:sz w:val="24"/>
          <w:szCs w:val="24"/>
        </w:rPr>
        <w:t xml:space="preserve">Action Plan </w:t>
      </w:r>
      <w:r w:rsidRPr="00C32887">
        <w:rPr>
          <w:rFonts w:ascii="Garamond" w:hAnsi="Garamond"/>
          <w:sz w:val="24"/>
          <w:szCs w:val="24"/>
        </w:rPr>
        <w:t>(AP).</w:t>
      </w:r>
    </w:p>
    <w:p w:rsidR="004D1343" w:rsidRPr="00C32887" w:rsidRDefault="004D1343" w:rsidP="004D1343">
      <w:pPr>
        <w:rPr>
          <w:rFonts w:ascii="Garamond" w:hAnsi="Garamond"/>
          <w:sz w:val="24"/>
          <w:szCs w:val="24"/>
        </w:rPr>
      </w:pPr>
    </w:p>
    <w:p w:rsidR="00BB46C0" w:rsidRPr="00C32887" w:rsidRDefault="004D1343" w:rsidP="00E86F2A">
      <w:pPr>
        <w:jc w:val="both"/>
        <w:rPr>
          <w:rFonts w:ascii="Garamond" w:hAnsi="Garamond"/>
          <w:sz w:val="24"/>
          <w:szCs w:val="24"/>
        </w:rPr>
      </w:pPr>
      <w:r w:rsidRPr="00C32887">
        <w:rPr>
          <w:rFonts w:ascii="Garamond" w:hAnsi="Garamond"/>
          <w:sz w:val="24"/>
          <w:szCs w:val="24"/>
        </w:rPr>
        <w:t xml:space="preserve">The discrepancy between the </w:t>
      </w:r>
      <w:r w:rsidR="000F728F">
        <w:rPr>
          <w:rFonts w:ascii="Garamond" w:hAnsi="Garamond"/>
          <w:sz w:val="24"/>
          <w:szCs w:val="24"/>
        </w:rPr>
        <w:t>commencement</w:t>
      </w:r>
      <w:r w:rsidRPr="00C32887">
        <w:rPr>
          <w:rFonts w:ascii="Garamond" w:hAnsi="Garamond"/>
          <w:sz w:val="24"/>
          <w:szCs w:val="24"/>
        </w:rPr>
        <w:t xml:space="preserve"> of EU IPA projects and the PFMRP-AP has negatively affected the effectiveness of the </w:t>
      </w:r>
      <w:r w:rsidR="00AB73F6" w:rsidRPr="00C32887">
        <w:rPr>
          <w:rFonts w:ascii="Garamond" w:hAnsi="Garamond"/>
          <w:sz w:val="24"/>
          <w:szCs w:val="24"/>
        </w:rPr>
        <w:t>Programme</w:t>
      </w:r>
      <w:r w:rsidR="00E86F2A">
        <w:rPr>
          <w:rFonts w:ascii="Garamond" w:hAnsi="Garamond"/>
          <w:sz w:val="24"/>
          <w:szCs w:val="24"/>
        </w:rPr>
        <w:t xml:space="preserve"> implementation</w:t>
      </w:r>
      <w:r w:rsidRPr="00C32887">
        <w:rPr>
          <w:rFonts w:ascii="Garamond" w:hAnsi="Garamond"/>
          <w:sz w:val="24"/>
          <w:szCs w:val="24"/>
        </w:rPr>
        <w:t xml:space="preserve">, given that the implementation of a number of activities has been delayed due to the </w:t>
      </w:r>
      <w:r w:rsidR="000F728F">
        <w:rPr>
          <w:rFonts w:ascii="Garamond" w:hAnsi="Garamond"/>
          <w:sz w:val="24"/>
          <w:szCs w:val="24"/>
        </w:rPr>
        <w:t xml:space="preserve">delayed </w:t>
      </w:r>
      <w:r w:rsidR="00C45D37">
        <w:rPr>
          <w:rFonts w:ascii="Garamond" w:hAnsi="Garamond"/>
          <w:sz w:val="24"/>
          <w:szCs w:val="24"/>
        </w:rPr>
        <w:t>beginning</w:t>
      </w:r>
      <w:r w:rsidR="000F728F">
        <w:rPr>
          <w:rFonts w:ascii="Garamond" w:hAnsi="Garamond"/>
          <w:sz w:val="24"/>
          <w:szCs w:val="24"/>
        </w:rPr>
        <w:t xml:space="preserve"> </w:t>
      </w:r>
      <w:r w:rsidRPr="00C32887">
        <w:rPr>
          <w:rFonts w:ascii="Garamond" w:hAnsi="Garamond"/>
          <w:sz w:val="24"/>
          <w:szCs w:val="24"/>
        </w:rPr>
        <w:t xml:space="preserve">of related EU technical assistance projects. However, by the end of 2020 significant rate of implementation </w:t>
      </w:r>
      <w:r w:rsidR="00C9365D">
        <w:rPr>
          <w:rFonts w:ascii="Garamond" w:hAnsi="Garamond"/>
          <w:sz w:val="24"/>
          <w:szCs w:val="24"/>
        </w:rPr>
        <w:t>o</w:t>
      </w:r>
      <w:r w:rsidRPr="00C32887">
        <w:rPr>
          <w:rFonts w:ascii="Garamond" w:hAnsi="Garamond"/>
          <w:sz w:val="24"/>
          <w:szCs w:val="24"/>
        </w:rPr>
        <w:t>f activities</w:t>
      </w:r>
      <w:r w:rsidR="00C9365D">
        <w:rPr>
          <w:rFonts w:ascii="Garamond" w:hAnsi="Garamond"/>
          <w:sz w:val="24"/>
          <w:szCs w:val="24"/>
        </w:rPr>
        <w:t xml:space="preserve"> has been achieved</w:t>
      </w:r>
      <w:r w:rsidRPr="00C32887">
        <w:rPr>
          <w:rFonts w:ascii="Garamond" w:hAnsi="Garamond"/>
          <w:sz w:val="24"/>
          <w:szCs w:val="24"/>
        </w:rPr>
        <w:t>. Given that most activities (almost 70%) were completed in 2019 and 2020, despi</w:t>
      </w:r>
      <w:r w:rsidR="00C9365D">
        <w:rPr>
          <w:rFonts w:ascii="Garamond" w:hAnsi="Garamond"/>
          <w:sz w:val="24"/>
          <w:szCs w:val="24"/>
        </w:rPr>
        <w:t xml:space="preserve">te the COVID- 19 </w:t>
      </w:r>
      <w:r w:rsidR="00BB46C0">
        <w:rPr>
          <w:rFonts w:ascii="Garamond" w:hAnsi="Garamond"/>
          <w:sz w:val="24"/>
          <w:szCs w:val="24"/>
        </w:rPr>
        <w:t>outbreak</w:t>
      </w:r>
      <w:r w:rsidRPr="00C32887">
        <w:rPr>
          <w:rFonts w:ascii="Garamond" w:hAnsi="Garamond"/>
          <w:sz w:val="24"/>
          <w:szCs w:val="24"/>
        </w:rPr>
        <w:t xml:space="preserve">, there is reason to consider the last two years of the PFMR </w:t>
      </w:r>
      <w:r w:rsidR="00BB46C0">
        <w:rPr>
          <w:rFonts w:ascii="Garamond" w:hAnsi="Garamond"/>
          <w:sz w:val="24"/>
          <w:szCs w:val="24"/>
        </w:rPr>
        <w:t xml:space="preserve">implementation </w:t>
      </w:r>
      <w:r w:rsidRPr="00C32887">
        <w:rPr>
          <w:rFonts w:ascii="Garamond" w:hAnsi="Garamond"/>
          <w:sz w:val="24"/>
          <w:szCs w:val="24"/>
        </w:rPr>
        <w:t xml:space="preserve">extremely successful. In order for the reform to be successfully implemented, more efforts are needed </w:t>
      </w:r>
      <w:r w:rsidR="00C45D37">
        <w:rPr>
          <w:rFonts w:ascii="Garamond" w:hAnsi="Garamond"/>
          <w:sz w:val="24"/>
          <w:szCs w:val="24"/>
        </w:rPr>
        <w:t>in</w:t>
      </w:r>
      <w:r w:rsidRPr="00C32887">
        <w:rPr>
          <w:rFonts w:ascii="Garamond" w:hAnsi="Garamond"/>
          <w:sz w:val="24"/>
          <w:szCs w:val="24"/>
        </w:rPr>
        <w:t xml:space="preserve"> certain areas. However, it should be borne in mind that the evaluation was conducted </w:t>
      </w:r>
      <w:r w:rsidR="00BB46C0">
        <w:rPr>
          <w:rFonts w:ascii="Garamond" w:hAnsi="Garamond"/>
          <w:sz w:val="24"/>
          <w:szCs w:val="24"/>
        </w:rPr>
        <w:t>until</w:t>
      </w:r>
      <w:r w:rsidR="00C45D37">
        <w:rPr>
          <w:rFonts w:ascii="Garamond" w:hAnsi="Garamond"/>
          <w:sz w:val="24"/>
          <w:szCs w:val="24"/>
        </w:rPr>
        <w:t xml:space="preserve"> </w:t>
      </w:r>
      <w:r w:rsidRPr="00C32887">
        <w:rPr>
          <w:rFonts w:ascii="Garamond" w:hAnsi="Garamond"/>
          <w:sz w:val="24"/>
          <w:szCs w:val="24"/>
        </w:rPr>
        <w:t xml:space="preserve">2020, </w:t>
      </w:r>
      <w:r w:rsidR="00BB46C0">
        <w:rPr>
          <w:rFonts w:ascii="Garamond" w:hAnsi="Garamond"/>
          <w:sz w:val="24"/>
          <w:szCs w:val="24"/>
        </w:rPr>
        <w:t xml:space="preserve">while </w:t>
      </w:r>
      <w:r w:rsidR="00BB46C0" w:rsidRPr="00C32887">
        <w:rPr>
          <w:rFonts w:ascii="Garamond" w:hAnsi="Garamond"/>
          <w:sz w:val="24"/>
          <w:szCs w:val="24"/>
        </w:rPr>
        <w:t xml:space="preserve">the </w:t>
      </w:r>
      <w:r w:rsidR="00BB46C0">
        <w:rPr>
          <w:rFonts w:ascii="Garamond" w:hAnsi="Garamond"/>
          <w:sz w:val="24"/>
          <w:szCs w:val="24"/>
        </w:rPr>
        <w:t>implementation</w:t>
      </w:r>
      <w:r w:rsidR="00BB46C0" w:rsidRPr="00C32887">
        <w:rPr>
          <w:rFonts w:ascii="Garamond" w:hAnsi="Garamond"/>
          <w:sz w:val="24"/>
          <w:szCs w:val="24"/>
        </w:rPr>
        <w:t xml:space="preserve"> of the unfinished part of activities is expected</w:t>
      </w:r>
      <w:r w:rsidR="00BB46C0" w:rsidRPr="00335294">
        <w:rPr>
          <w:rFonts w:ascii="Garamond" w:hAnsi="Garamond"/>
          <w:sz w:val="24"/>
          <w:szCs w:val="24"/>
        </w:rPr>
        <w:t xml:space="preserve"> </w:t>
      </w:r>
      <w:r w:rsidR="00BB46C0" w:rsidRPr="00C32887">
        <w:rPr>
          <w:rFonts w:ascii="Garamond" w:hAnsi="Garamond"/>
          <w:sz w:val="24"/>
          <w:szCs w:val="24"/>
        </w:rPr>
        <w:t>during 2021.</w:t>
      </w:r>
    </w:p>
    <w:p w:rsidR="004D1343" w:rsidRPr="00C32887" w:rsidRDefault="004D1343" w:rsidP="004D1343">
      <w:pPr>
        <w:rPr>
          <w:rFonts w:ascii="Garamond" w:hAnsi="Garamond"/>
          <w:sz w:val="24"/>
          <w:szCs w:val="24"/>
        </w:rPr>
      </w:pPr>
    </w:p>
    <w:p w:rsidR="004D1343" w:rsidRPr="00C32887" w:rsidRDefault="004D1343" w:rsidP="00C9365D">
      <w:pPr>
        <w:jc w:val="both"/>
        <w:rPr>
          <w:rFonts w:ascii="Garamond" w:hAnsi="Garamond"/>
          <w:sz w:val="24"/>
          <w:szCs w:val="24"/>
        </w:rPr>
      </w:pPr>
      <w:r w:rsidRPr="00C32887">
        <w:rPr>
          <w:rFonts w:ascii="Garamond" w:hAnsi="Garamond"/>
          <w:sz w:val="24"/>
          <w:szCs w:val="24"/>
        </w:rPr>
        <w:t>The use of the PFMRP as a comprehensive tool for initiating and linking reforms in the public finance system and monitoring their implementation ha</w:t>
      </w:r>
      <w:r w:rsidR="00C45D37">
        <w:rPr>
          <w:rFonts w:ascii="Garamond" w:hAnsi="Garamond"/>
          <w:sz w:val="24"/>
          <w:szCs w:val="24"/>
        </w:rPr>
        <w:t>s contributed to some positive trends in the set</w:t>
      </w:r>
      <w:r w:rsidR="00C9365D">
        <w:rPr>
          <w:rFonts w:ascii="Garamond" w:hAnsi="Garamond"/>
          <w:sz w:val="24"/>
          <w:szCs w:val="24"/>
        </w:rPr>
        <w:t xml:space="preserve"> reform objectives, namely</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9365D" w:rsidRDefault="004D1343" w:rsidP="00C45D37">
      <w:pPr>
        <w:pStyle w:val="ListParagraph"/>
        <w:numPr>
          <w:ilvl w:val="0"/>
          <w:numId w:val="4"/>
        </w:numPr>
        <w:jc w:val="both"/>
        <w:rPr>
          <w:rFonts w:ascii="Garamond" w:hAnsi="Garamond"/>
          <w:sz w:val="24"/>
          <w:szCs w:val="24"/>
        </w:rPr>
      </w:pPr>
      <w:r w:rsidRPr="00C9365D">
        <w:rPr>
          <w:rFonts w:ascii="Garamond" w:hAnsi="Garamond"/>
          <w:sz w:val="24"/>
          <w:szCs w:val="24"/>
        </w:rPr>
        <w:t>Initiating r</w:t>
      </w:r>
      <w:r w:rsidR="00BB46C0">
        <w:rPr>
          <w:rFonts w:ascii="Garamond" w:hAnsi="Garamond"/>
          <w:sz w:val="24"/>
          <w:szCs w:val="24"/>
        </w:rPr>
        <w:t>eforms in areas where a sector</w:t>
      </w:r>
      <w:r w:rsidRPr="00C9365D">
        <w:rPr>
          <w:rFonts w:ascii="Garamond" w:hAnsi="Garamond"/>
          <w:sz w:val="24"/>
          <w:szCs w:val="24"/>
        </w:rPr>
        <w:t xml:space="preserve"> strategy has not yet existed;         </w:t>
      </w:r>
    </w:p>
    <w:p w:rsidR="004D1343" w:rsidRPr="00C9365D" w:rsidRDefault="004D1343" w:rsidP="00C45D37">
      <w:pPr>
        <w:pStyle w:val="ListParagraph"/>
        <w:numPr>
          <w:ilvl w:val="0"/>
          <w:numId w:val="4"/>
        </w:numPr>
        <w:jc w:val="both"/>
        <w:rPr>
          <w:rFonts w:ascii="Garamond" w:hAnsi="Garamond"/>
          <w:sz w:val="24"/>
          <w:szCs w:val="24"/>
        </w:rPr>
      </w:pPr>
      <w:r w:rsidRPr="00C9365D">
        <w:rPr>
          <w:rFonts w:ascii="Garamond" w:hAnsi="Garamond"/>
          <w:sz w:val="24"/>
          <w:szCs w:val="24"/>
        </w:rPr>
        <w:t xml:space="preserve">Uniformity and consistency in information in the entire domain of public finances;         </w:t>
      </w:r>
    </w:p>
    <w:p w:rsidR="004D1343" w:rsidRPr="00C9365D" w:rsidRDefault="004D1343" w:rsidP="00C45D37">
      <w:pPr>
        <w:pStyle w:val="ListParagraph"/>
        <w:numPr>
          <w:ilvl w:val="0"/>
          <w:numId w:val="4"/>
        </w:numPr>
        <w:jc w:val="both"/>
        <w:rPr>
          <w:rFonts w:ascii="Garamond" w:hAnsi="Garamond"/>
          <w:sz w:val="24"/>
          <w:szCs w:val="24"/>
        </w:rPr>
      </w:pPr>
      <w:r w:rsidRPr="00C9365D">
        <w:rPr>
          <w:rFonts w:ascii="Garamond" w:hAnsi="Garamond"/>
          <w:sz w:val="24"/>
          <w:szCs w:val="24"/>
        </w:rPr>
        <w:t xml:space="preserve">Establishment of a supervisory structure with two reporting </w:t>
      </w:r>
      <w:r w:rsidR="00C45D37">
        <w:rPr>
          <w:rFonts w:ascii="Garamond" w:hAnsi="Garamond"/>
          <w:sz w:val="24"/>
          <w:szCs w:val="24"/>
        </w:rPr>
        <w:t>deadlines</w:t>
      </w:r>
      <w:r w:rsidRPr="00C9365D">
        <w:rPr>
          <w:rFonts w:ascii="Garamond" w:hAnsi="Garamond"/>
          <w:sz w:val="24"/>
          <w:szCs w:val="24"/>
        </w:rPr>
        <w:t xml:space="preserve"> per year, which contributed to an additional incentive to implement activities within the</w:t>
      </w:r>
      <w:r w:rsidR="00C9365D">
        <w:rPr>
          <w:rFonts w:ascii="Garamond" w:hAnsi="Garamond"/>
          <w:sz w:val="24"/>
          <w:szCs w:val="24"/>
        </w:rPr>
        <w:t xml:space="preserve"> given deadline</w:t>
      </w:r>
      <w:r w:rsidRPr="00C9365D">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On the other hand, shortcomings were recorded as</w:t>
      </w:r>
      <w:r w:rsidR="00C45D37">
        <w:rPr>
          <w:rFonts w:ascii="Garamond" w:hAnsi="Garamond"/>
          <w:sz w:val="24"/>
          <w:szCs w:val="24"/>
        </w:rPr>
        <w:t xml:space="preserve"> well</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9365D" w:rsidRDefault="004D1343" w:rsidP="00C9365D">
      <w:pPr>
        <w:pStyle w:val="ListParagraph"/>
        <w:numPr>
          <w:ilvl w:val="0"/>
          <w:numId w:val="4"/>
        </w:numPr>
        <w:jc w:val="both"/>
        <w:rPr>
          <w:rFonts w:ascii="Garamond" w:hAnsi="Garamond"/>
          <w:sz w:val="24"/>
          <w:szCs w:val="24"/>
        </w:rPr>
      </w:pPr>
      <w:r w:rsidRPr="00C9365D">
        <w:rPr>
          <w:rFonts w:ascii="Garamond" w:hAnsi="Garamond"/>
          <w:sz w:val="24"/>
          <w:szCs w:val="24"/>
        </w:rPr>
        <w:t>The implementation of reforms and the necessary funding relied heavily on donor support, which led to delays</w:t>
      </w:r>
      <w:r w:rsidR="00C9365D">
        <w:rPr>
          <w:rFonts w:ascii="Garamond" w:hAnsi="Garamond"/>
          <w:sz w:val="24"/>
          <w:szCs w:val="24"/>
        </w:rPr>
        <w:t xml:space="preserve"> in the implementation of PFMR</w:t>
      </w:r>
      <w:r w:rsidRPr="00C9365D">
        <w:rPr>
          <w:rFonts w:ascii="Garamond" w:hAnsi="Garamond"/>
          <w:sz w:val="24"/>
          <w:szCs w:val="24"/>
        </w:rPr>
        <w:t xml:space="preserve">P when it comes to donor-funded projects;         </w:t>
      </w:r>
    </w:p>
    <w:p w:rsidR="004D1343" w:rsidRPr="00C9365D" w:rsidRDefault="004D1343" w:rsidP="00C9365D">
      <w:pPr>
        <w:pStyle w:val="ListParagraph"/>
        <w:numPr>
          <w:ilvl w:val="0"/>
          <w:numId w:val="4"/>
        </w:numPr>
        <w:jc w:val="both"/>
        <w:rPr>
          <w:rFonts w:ascii="Garamond" w:hAnsi="Garamond"/>
          <w:sz w:val="24"/>
          <w:szCs w:val="24"/>
        </w:rPr>
      </w:pPr>
      <w:r w:rsidRPr="00C9365D">
        <w:rPr>
          <w:rFonts w:ascii="Garamond" w:hAnsi="Garamond"/>
          <w:sz w:val="24"/>
          <w:szCs w:val="24"/>
        </w:rPr>
        <w:t>The implementation of public financ</w:t>
      </w:r>
      <w:r w:rsidR="00C9365D">
        <w:rPr>
          <w:rFonts w:ascii="Garamond" w:hAnsi="Garamond"/>
          <w:sz w:val="24"/>
          <w:szCs w:val="24"/>
        </w:rPr>
        <w:t>e</w:t>
      </w:r>
      <w:r w:rsidRPr="00C9365D">
        <w:rPr>
          <w:rFonts w:ascii="Garamond" w:hAnsi="Garamond"/>
          <w:sz w:val="24"/>
          <w:szCs w:val="24"/>
        </w:rPr>
        <w:t xml:space="preserve"> management reforms has been implemented as a series of highly </w:t>
      </w:r>
      <w:r w:rsidR="00C45D37" w:rsidRPr="00C9365D">
        <w:rPr>
          <w:rFonts w:ascii="Garamond" w:hAnsi="Garamond"/>
          <w:sz w:val="24"/>
          <w:szCs w:val="24"/>
        </w:rPr>
        <w:t>separated</w:t>
      </w:r>
      <w:r w:rsidRPr="00C9365D">
        <w:rPr>
          <w:rFonts w:ascii="Garamond" w:hAnsi="Garamond"/>
          <w:sz w:val="24"/>
          <w:szCs w:val="24"/>
        </w:rPr>
        <w:t xml:space="preserve"> activities;         </w:t>
      </w:r>
    </w:p>
    <w:p w:rsidR="004D1343" w:rsidRPr="00C9365D" w:rsidRDefault="004D1343" w:rsidP="00C9365D">
      <w:pPr>
        <w:pStyle w:val="ListParagraph"/>
        <w:numPr>
          <w:ilvl w:val="0"/>
          <w:numId w:val="4"/>
        </w:numPr>
        <w:rPr>
          <w:rFonts w:ascii="Garamond" w:hAnsi="Garamond"/>
          <w:sz w:val="24"/>
          <w:szCs w:val="24"/>
        </w:rPr>
      </w:pPr>
      <w:r w:rsidRPr="00C9365D">
        <w:rPr>
          <w:rFonts w:ascii="Garamond" w:hAnsi="Garamond"/>
          <w:sz w:val="24"/>
          <w:szCs w:val="24"/>
        </w:rPr>
        <w:t xml:space="preserve">In certain reform areas, e.g. </w:t>
      </w:r>
      <w:r w:rsidR="00C45D37" w:rsidRPr="00C9365D">
        <w:rPr>
          <w:rFonts w:ascii="Garamond" w:hAnsi="Garamond"/>
          <w:sz w:val="24"/>
          <w:szCs w:val="24"/>
        </w:rPr>
        <w:t xml:space="preserve">state property </w:t>
      </w:r>
      <w:r w:rsidRPr="00C9365D">
        <w:rPr>
          <w:rFonts w:ascii="Garamond" w:hAnsi="Garamond"/>
          <w:sz w:val="24"/>
          <w:szCs w:val="24"/>
        </w:rPr>
        <w:t xml:space="preserve">register, there was no high-level coordination;         </w:t>
      </w:r>
    </w:p>
    <w:p w:rsidR="004D1343" w:rsidRPr="00C9365D" w:rsidRDefault="004D1343" w:rsidP="00C9365D">
      <w:pPr>
        <w:pStyle w:val="ListParagraph"/>
        <w:numPr>
          <w:ilvl w:val="0"/>
          <w:numId w:val="4"/>
        </w:numPr>
        <w:jc w:val="both"/>
        <w:rPr>
          <w:rFonts w:ascii="Garamond" w:hAnsi="Garamond"/>
          <w:sz w:val="24"/>
          <w:szCs w:val="24"/>
        </w:rPr>
      </w:pPr>
      <w:r w:rsidRPr="00C9365D">
        <w:rPr>
          <w:rFonts w:ascii="Garamond" w:hAnsi="Garamond"/>
          <w:sz w:val="24"/>
          <w:szCs w:val="24"/>
        </w:rPr>
        <w:t xml:space="preserve">Limited progress in transparency, activities that required modification of the SAP system slowed down the implementation of certain PFMRP activities.         </w:t>
      </w:r>
    </w:p>
    <w:p w:rsidR="004D1343" w:rsidRPr="00C32887" w:rsidRDefault="004D1343" w:rsidP="004D1343">
      <w:pPr>
        <w:rPr>
          <w:rFonts w:ascii="Garamond" w:hAnsi="Garamond"/>
          <w:sz w:val="24"/>
          <w:szCs w:val="24"/>
        </w:rPr>
      </w:pPr>
    </w:p>
    <w:p w:rsidR="004D1343" w:rsidRPr="00C32887" w:rsidRDefault="004D1343" w:rsidP="00C9365D">
      <w:pPr>
        <w:jc w:val="both"/>
        <w:rPr>
          <w:rFonts w:ascii="Garamond" w:hAnsi="Garamond"/>
          <w:sz w:val="24"/>
          <w:szCs w:val="24"/>
        </w:rPr>
      </w:pPr>
      <w:r w:rsidRPr="00C32887">
        <w:rPr>
          <w:rFonts w:ascii="Garamond" w:hAnsi="Garamond"/>
          <w:sz w:val="24"/>
          <w:szCs w:val="24"/>
        </w:rPr>
        <w:t>Given the above, in many areas of public financ</w:t>
      </w:r>
      <w:r w:rsidR="00C9365D">
        <w:rPr>
          <w:rFonts w:ascii="Garamond" w:hAnsi="Garamond"/>
          <w:sz w:val="24"/>
          <w:szCs w:val="24"/>
        </w:rPr>
        <w:t>e</w:t>
      </w:r>
      <w:r w:rsidRPr="00C32887">
        <w:rPr>
          <w:rFonts w:ascii="Garamond" w:hAnsi="Garamond"/>
          <w:sz w:val="24"/>
          <w:szCs w:val="24"/>
        </w:rPr>
        <w:t xml:space="preserve"> management, the reform objectives have not yet been fully achieved. Based on the findings and co</w:t>
      </w:r>
      <w:r w:rsidR="00FA23AB">
        <w:rPr>
          <w:rFonts w:ascii="Garamond" w:hAnsi="Garamond"/>
          <w:sz w:val="24"/>
          <w:szCs w:val="24"/>
        </w:rPr>
        <w:t>nclusions, the draft evaluation</w:t>
      </w:r>
      <w:r w:rsidRPr="00C32887">
        <w:rPr>
          <w:rFonts w:ascii="Garamond" w:hAnsi="Garamond"/>
          <w:sz w:val="24"/>
          <w:szCs w:val="24"/>
        </w:rPr>
        <w:t xml:space="preserve"> provide</w:t>
      </w:r>
      <w:r w:rsidR="00FA23AB">
        <w:rPr>
          <w:rFonts w:ascii="Garamond" w:hAnsi="Garamond"/>
          <w:sz w:val="24"/>
          <w:szCs w:val="24"/>
        </w:rPr>
        <w:t>s</w:t>
      </w:r>
      <w:r w:rsidRPr="00C32887">
        <w:rPr>
          <w:rFonts w:ascii="Garamond" w:hAnsi="Garamond"/>
          <w:sz w:val="24"/>
          <w:szCs w:val="24"/>
        </w:rPr>
        <w:t xml:space="preserve"> recommendations that should be useful i</w:t>
      </w:r>
      <w:r w:rsidR="00FA23AB">
        <w:rPr>
          <w:rFonts w:ascii="Garamond" w:hAnsi="Garamond"/>
          <w:sz w:val="24"/>
          <w:szCs w:val="24"/>
        </w:rPr>
        <w:t>n the preparation of the new PFMR</w:t>
      </w:r>
      <w:r w:rsidRPr="00C32887">
        <w:rPr>
          <w:rFonts w:ascii="Garamond" w:hAnsi="Garamond"/>
          <w:sz w:val="24"/>
          <w:szCs w:val="24"/>
        </w:rPr>
        <w:t>P for the pe</w:t>
      </w:r>
      <w:r w:rsidR="00FA23AB">
        <w:rPr>
          <w:rFonts w:ascii="Garamond" w:hAnsi="Garamond"/>
          <w:sz w:val="24"/>
          <w:szCs w:val="24"/>
        </w:rPr>
        <w:t>riod 2022-2026, which relate to</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FA23AB" w:rsidRDefault="00FA23AB" w:rsidP="00FA23AB">
      <w:pPr>
        <w:pStyle w:val="ListParagraph"/>
        <w:numPr>
          <w:ilvl w:val="0"/>
          <w:numId w:val="4"/>
        </w:numPr>
        <w:rPr>
          <w:rFonts w:ascii="Garamond" w:hAnsi="Garamond"/>
          <w:sz w:val="24"/>
          <w:szCs w:val="24"/>
        </w:rPr>
      </w:pPr>
      <w:r>
        <w:rPr>
          <w:rFonts w:ascii="Garamond" w:hAnsi="Garamond"/>
          <w:sz w:val="24"/>
          <w:szCs w:val="24"/>
        </w:rPr>
        <w:t>the importance of the time</w:t>
      </w:r>
      <w:r w:rsidR="004D1343" w:rsidRPr="00FA23AB">
        <w:rPr>
          <w:rFonts w:ascii="Garamond" w:hAnsi="Garamond"/>
          <w:sz w:val="24"/>
          <w:szCs w:val="24"/>
        </w:rPr>
        <w:t xml:space="preserve">frame for </w:t>
      </w:r>
      <w:r>
        <w:rPr>
          <w:rFonts w:ascii="Garamond" w:hAnsi="Garamond"/>
          <w:sz w:val="24"/>
          <w:szCs w:val="24"/>
        </w:rPr>
        <w:t>preparation</w:t>
      </w:r>
      <w:r w:rsidR="004D1343" w:rsidRPr="00FA23AB">
        <w:rPr>
          <w:rFonts w:ascii="Garamond" w:hAnsi="Garamond"/>
          <w:sz w:val="24"/>
          <w:szCs w:val="24"/>
        </w:rPr>
        <w:t xml:space="preserve">,         </w:t>
      </w:r>
    </w:p>
    <w:p w:rsidR="004D1343" w:rsidRPr="00FA23AB" w:rsidRDefault="004D1343" w:rsidP="00FA23AB">
      <w:pPr>
        <w:pStyle w:val="ListParagraph"/>
        <w:numPr>
          <w:ilvl w:val="0"/>
          <w:numId w:val="4"/>
        </w:numPr>
        <w:jc w:val="both"/>
        <w:rPr>
          <w:rFonts w:ascii="Garamond" w:hAnsi="Garamond"/>
          <w:sz w:val="24"/>
          <w:szCs w:val="24"/>
        </w:rPr>
      </w:pPr>
      <w:r w:rsidRPr="00FA23AB">
        <w:rPr>
          <w:rFonts w:ascii="Garamond" w:hAnsi="Garamond"/>
          <w:sz w:val="24"/>
          <w:szCs w:val="24"/>
        </w:rPr>
        <w:t xml:space="preserve">analysis of the situation and use of internal knowledge that would help identify measures;         </w:t>
      </w:r>
    </w:p>
    <w:p w:rsidR="004D1343" w:rsidRPr="00FA23AB" w:rsidRDefault="004D1343" w:rsidP="00FA23AB">
      <w:pPr>
        <w:pStyle w:val="ListParagraph"/>
        <w:numPr>
          <w:ilvl w:val="0"/>
          <w:numId w:val="4"/>
        </w:numPr>
        <w:jc w:val="both"/>
        <w:rPr>
          <w:rFonts w:ascii="Garamond" w:hAnsi="Garamond"/>
          <w:sz w:val="24"/>
          <w:szCs w:val="24"/>
        </w:rPr>
      </w:pPr>
      <w:r w:rsidRPr="00FA23AB">
        <w:rPr>
          <w:rFonts w:ascii="Garamond" w:hAnsi="Garamond"/>
          <w:sz w:val="24"/>
          <w:szCs w:val="24"/>
        </w:rPr>
        <w:t>the necessary combination of modalities for the implementation of the new PFMRP to balance donor-supported and governmen</w:t>
      </w:r>
      <w:r w:rsidR="00FA23AB">
        <w:rPr>
          <w:rFonts w:ascii="Garamond" w:hAnsi="Garamond"/>
          <w:sz w:val="24"/>
          <w:szCs w:val="24"/>
        </w:rPr>
        <w:t>t-</w:t>
      </w:r>
      <w:r w:rsidRPr="00FA23AB">
        <w:rPr>
          <w:rFonts w:ascii="Garamond" w:hAnsi="Garamond"/>
          <w:sz w:val="24"/>
          <w:szCs w:val="24"/>
        </w:rPr>
        <w:t>funded activities</w:t>
      </w:r>
      <w:r w:rsidR="008B6760">
        <w:rPr>
          <w:rFonts w:ascii="Garamond" w:hAnsi="Garamond"/>
          <w:sz w:val="24"/>
          <w:szCs w:val="24"/>
        </w:rPr>
        <w:t>;</w:t>
      </w:r>
      <w:r w:rsidRPr="00FA23AB">
        <w:rPr>
          <w:rFonts w:ascii="Garamond" w:hAnsi="Garamond"/>
          <w:sz w:val="24"/>
          <w:szCs w:val="24"/>
        </w:rPr>
        <w:t xml:space="preserve">         </w:t>
      </w:r>
    </w:p>
    <w:p w:rsidR="004D1343" w:rsidRPr="00FA23AB" w:rsidRDefault="004D1343" w:rsidP="00FA23AB">
      <w:pPr>
        <w:pStyle w:val="ListParagraph"/>
        <w:numPr>
          <w:ilvl w:val="0"/>
          <w:numId w:val="4"/>
        </w:numPr>
        <w:jc w:val="both"/>
        <w:rPr>
          <w:rFonts w:ascii="Garamond" w:hAnsi="Garamond"/>
          <w:sz w:val="24"/>
          <w:szCs w:val="24"/>
        </w:rPr>
      </w:pPr>
      <w:r w:rsidRPr="00FA23AB">
        <w:rPr>
          <w:rFonts w:ascii="Garamond" w:hAnsi="Garamond"/>
          <w:sz w:val="24"/>
          <w:szCs w:val="24"/>
        </w:rPr>
        <w:t xml:space="preserve">engaging other development partners in the formulation and implementation of the new PFMRP; setting realistic ambitions for complex reforms;         </w:t>
      </w:r>
    </w:p>
    <w:p w:rsidR="004D1343" w:rsidRPr="00FA23AB" w:rsidRDefault="004D1343" w:rsidP="00FA23AB">
      <w:pPr>
        <w:pStyle w:val="ListParagraph"/>
        <w:numPr>
          <w:ilvl w:val="0"/>
          <w:numId w:val="4"/>
        </w:numPr>
        <w:jc w:val="both"/>
        <w:rPr>
          <w:rFonts w:ascii="Garamond" w:hAnsi="Garamond"/>
          <w:sz w:val="24"/>
          <w:szCs w:val="24"/>
        </w:rPr>
      </w:pPr>
      <w:r w:rsidRPr="00FA23AB">
        <w:rPr>
          <w:rFonts w:ascii="Garamond" w:hAnsi="Garamond"/>
          <w:sz w:val="24"/>
          <w:szCs w:val="24"/>
        </w:rPr>
        <w:t>the possibility of including specific targets for cro</w:t>
      </w:r>
      <w:r w:rsidR="00EE4B08">
        <w:rPr>
          <w:rFonts w:ascii="Garamond" w:hAnsi="Garamond"/>
          <w:sz w:val="24"/>
          <w:szCs w:val="24"/>
        </w:rPr>
        <w:t>ss-topics that are crucial for the</w:t>
      </w:r>
      <w:r w:rsidRPr="00FA23AB">
        <w:rPr>
          <w:rFonts w:ascii="Garamond" w:hAnsi="Garamond"/>
          <w:sz w:val="24"/>
          <w:szCs w:val="24"/>
        </w:rPr>
        <w:t xml:space="preserve"> public finance management</w:t>
      </w:r>
      <w:r w:rsidR="00EE4B08" w:rsidRPr="00EE4B08">
        <w:rPr>
          <w:rFonts w:ascii="Garamond" w:hAnsi="Garamond"/>
          <w:sz w:val="24"/>
          <w:szCs w:val="24"/>
        </w:rPr>
        <w:t xml:space="preserve"> </w:t>
      </w:r>
      <w:r w:rsidR="00EE4B08" w:rsidRPr="00FA23AB">
        <w:rPr>
          <w:rFonts w:ascii="Garamond" w:hAnsi="Garamond"/>
          <w:sz w:val="24"/>
          <w:szCs w:val="24"/>
        </w:rPr>
        <w:t>system</w:t>
      </w:r>
      <w:r w:rsidRPr="00FA23AB">
        <w:rPr>
          <w:rFonts w:ascii="Garamond" w:hAnsi="Garamond"/>
          <w:sz w:val="24"/>
          <w:szCs w:val="24"/>
        </w:rPr>
        <w:t>, inc</w:t>
      </w:r>
      <w:r w:rsidR="00FA23AB">
        <w:rPr>
          <w:rFonts w:ascii="Garamond" w:hAnsi="Garamond"/>
          <w:sz w:val="24"/>
          <w:szCs w:val="24"/>
        </w:rPr>
        <w:t>luding transparency, human resources expertise</w:t>
      </w:r>
      <w:r w:rsidRPr="00FA23AB">
        <w:rPr>
          <w:rFonts w:ascii="Garamond" w:hAnsi="Garamond"/>
          <w:sz w:val="24"/>
          <w:szCs w:val="24"/>
        </w:rPr>
        <w:t xml:space="preserve"> </w:t>
      </w:r>
      <w:r w:rsidR="00FA23AB">
        <w:rPr>
          <w:rFonts w:ascii="Garamond" w:hAnsi="Garamond"/>
          <w:sz w:val="24"/>
          <w:szCs w:val="24"/>
        </w:rPr>
        <w:t>and IT system</w:t>
      </w:r>
      <w:r w:rsidRPr="00FA23AB">
        <w:rPr>
          <w:rFonts w:ascii="Garamond" w:hAnsi="Garamond"/>
          <w:sz w:val="24"/>
          <w:szCs w:val="24"/>
        </w:rPr>
        <w:t xml:space="preserve">s;         </w:t>
      </w:r>
    </w:p>
    <w:p w:rsidR="004D1343" w:rsidRDefault="00FA23AB" w:rsidP="00FA23AB">
      <w:pPr>
        <w:pStyle w:val="ListParagraph"/>
        <w:numPr>
          <w:ilvl w:val="0"/>
          <w:numId w:val="4"/>
        </w:numPr>
        <w:jc w:val="both"/>
        <w:rPr>
          <w:rFonts w:ascii="Garamond" w:hAnsi="Garamond"/>
          <w:sz w:val="24"/>
          <w:szCs w:val="24"/>
        </w:rPr>
      </w:pPr>
      <w:proofErr w:type="gramStart"/>
      <w:r>
        <w:rPr>
          <w:rFonts w:ascii="Garamond" w:hAnsi="Garamond"/>
          <w:sz w:val="24"/>
          <w:szCs w:val="24"/>
        </w:rPr>
        <w:t>i</w:t>
      </w:r>
      <w:r w:rsidR="004D1343" w:rsidRPr="00FA23AB">
        <w:rPr>
          <w:rFonts w:ascii="Garamond" w:hAnsi="Garamond"/>
          <w:sz w:val="24"/>
          <w:szCs w:val="24"/>
        </w:rPr>
        <w:t>mproving</w:t>
      </w:r>
      <w:proofErr w:type="gramEnd"/>
      <w:r w:rsidR="004D1343" w:rsidRPr="00FA23AB">
        <w:rPr>
          <w:rFonts w:ascii="Garamond" w:hAnsi="Garamond"/>
          <w:sz w:val="24"/>
          <w:szCs w:val="24"/>
        </w:rPr>
        <w:t xml:space="preserve"> the oversight function of the PFMRP through a number of operational measures, greater parliamentary involvement and representation of the importance of the PFM </w:t>
      </w:r>
      <w:r w:rsidR="00AB73F6" w:rsidRPr="00FA23AB">
        <w:rPr>
          <w:rFonts w:ascii="Garamond" w:hAnsi="Garamond"/>
          <w:sz w:val="24"/>
          <w:szCs w:val="24"/>
        </w:rPr>
        <w:t>Programme</w:t>
      </w:r>
      <w:r w:rsidR="004D1343" w:rsidRPr="00FA23AB">
        <w:rPr>
          <w:rFonts w:ascii="Garamond" w:hAnsi="Garamond"/>
          <w:sz w:val="24"/>
          <w:szCs w:val="24"/>
        </w:rPr>
        <w:t xml:space="preserve">.           </w:t>
      </w:r>
    </w:p>
    <w:p w:rsidR="00FA23AB" w:rsidRPr="00FA23AB" w:rsidRDefault="00FA23AB" w:rsidP="00FA23AB">
      <w:pPr>
        <w:pStyle w:val="ListParagraph"/>
        <w:ind w:left="720"/>
        <w:jc w:val="both"/>
        <w:rPr>
          <w:rFonts w:ascii="Garamond" w:hAnsi="Garamond"/>
          <w:sz w:val="24"/>
          <w:szCs w:val="24"/>
        </w:rPr>
      </w:pPr>
    </w:p>
    <w:p w:rsidR="004D1343" w:rsidRPr="00C32887" w:rsidRDefault="00FA23AB" w:rsidP="00FA23AB">
      <w:pPr>
        <w:pStyle w:val="Heading2"/>
        <w:rPr>
          <w:rFonts w:ascii="Garamond" w:hAnsi="Garamond"/>
          <w:sz w:val="24"/>
          <w:szCs w:val="24"/>
        </w:rPr>
      </w:pPr>
      <w:bookmarkStart w:id="4" w:name="_Toc77688189"/>
      <w:r w:rsidRPr="00C32887">
        <w:rPr>
          <w:rFonts w:ascii="Garamond" w:hAnsi="Garamond"/>
          <w:sz w:val="24"/>
          <w:szCs w:val="24"/>
        </w:rPr>
        <w:t>KEY ACHIEVEMENTS</w:t>
      </w:r>
      <w:bookmarkEnd w:id="4"/>
    </w:p>
    <w:p w:rsidR="004D1343" w:rsidRPr="00C32887" w:rsidRDefault="004D1343" w:rsidP="004D1343">
      <w:pPr>
        <w:rPr>
          <w:rFonts w:ascii="Garamond" w:hAnsi="Garamond"/>
          <w:sz w:val="24"/>
          <w:szCs w:val="24"/>
        </w:rPr>
      </w:pPr>
    </w:p>
    <w:p w:rsidR="004D1343" w:rsidRPr="00C32887" w:rsidRDefault="00FA23AB" w:rsidP="00FA23AB">
      <w:pPr>
        <w:jc w:val="both"/>
        <w:rPr>
          <w:rFonts w:ascii="Garamond" w:hAnsi="Garamond"/>
          <w:sz w:val="24"/>
          <w:szCs w:val="24"/>
        </w:rPr>
      </w:pPr>
      <w:r>
        <w:rPr>
          <w:rFonts w:ascii="Garamond" w:hAnsi="Garamond"/>
          <w:sz w:val="24"/>
          <w:szCs w:val="24"/>
        </w:rPr>
        <w:t>After the expiry of the four</w:t>
      </w:r>
      <w:r w:rsidR="004D1343" w:rsidRPr="00C32887">
        <w:rPr>
          <w:rFonts w:ascii="Garamond" w:hAnsi="Garamond"/>
          <w:sz w:val="24"/>
          <w:szCs w:val="24"/>
        </w:rPr>
        <w:t xml:space="preserve">-year period of the </w:t>
      </w:r>
      <w:r>
        <w:rPr>
          <w:rFonts w:ascii="Garamond" w:hAnsi="Garamond"/>
          <w:sz w:val="24"/>
          <w:szCs w:val="24"/>
        </w:rPr>
        <w:t xml:space="preserve">2016-2020 </w:t>
      </w:r>
      <w:r w:rsidRPr="00C32887">
        <w:rPr>
          <w:rFonts w:ascii="Garamond" w:hAnsi="Garamond"/>
          <w:sz w:val="24"/>
          <w:szCs w:val="24"/>
        </w:rPr>
        <w:t xml:space="preserve">Public Finance Management </w:t>
      </w:r>
      <w:r w:rsidR="004D1343" w:rsidRPr="00C32887">
        <w:rPr>
          <w:rFonts w:ascii="Garamond" w:hAnsi="Garamond"/>
          <w:sz w:val="24"/>
          <w:szCs w:val="24"/>
        </w:rPr>
        <w:t xml:space="preserve">Reform </w:t>
      </w:r>
      <w:r w:rsidR="00AB73F6" w:rsidRPr="00C32887">
        <w:rPr>
          <w:rFonts w:ascii="Garamond" w:hAnsi="Garamond"/>
          <w:sz w:val="24"/>
          <w:szCs w:val="24"/>
        </w:rPr>
        <w:t>Programme</w:t>
      </w:r>
      <w:r w:rsidR="004D1343" w:rsidRPr="00C32887">
        <w:rPr>
          <w:rFonts w:ascii="Garamond" w:hAnsi="Garamond"/>
          <w:sz w:val="24"/>
          <w:szCs w:val="24"/>
        </w:rPr>
        <w:t xml:space="preserve">, </w:t>
      </w:r>
      <w:r>
        <w:rPr>
          <w:rFonts w:ascii="Garamond" w:hAnsi="Garamond"/>
          <w:sz w:val="24"/>
          <w:szCs w:val="24"/>
        </w:rPr>
        <w:t xml:space="preserve">one </w:t>
      </w:r>
      <w:r w:rsidR="004D1343" w:rsidRPr="00C32887">
        <w:rPr>
          <w:rFonts w:ascii="Garamond" w:hAnsi="Garamond"/>
          <w:sz w:val="24"/>
          <w:szCs w:val="24"/>
        </w:rPr>
        <w:t>can conclude that three subsystems can be considered complete:</w:t>
      </w:r>
    </w:p>
    <w:p w:rsidR="004D1343" w:rsidRPr="00C32887" w:rsidRDefault="004D1343" w:rsidP="004D1343">
      <w:pPr>
        <w:rPr>
          <w:rFonts w:ascii="Garamond" w:hAnsi="Garamond"/>
          <w:sz w:val="24"/>
          <w:szCs w:val="24"/>
        </w:rPr>
      </w:pPr>
    </w:p>
    <w:p w:rsidR="004D1343" w:rsidRPr="00FA23AB" w:rsidRDefault="005D499E" w:rsidP="00FA23AB">
      <w:pPr>
        <w:pStyle w:val="ListParagraph"/>
        <w:numPr>
          <w:ilvl w:val="0"/>
          <w:numId w:val="7"/>
        </w:numPr>
        <w:jc w:val="both"/>
        <w:rPr>
          <w:rFonts w:ascii="Garamond" w:hAnsi="Garamond"/>
          <w:sz w:val="24"/>
          <w:szCs w:val="24"/>
        </w:rPr>
      </w:pPr>
      <w:r>
        <w:rPr>
          <w:rFonts w:ascii="Garamond" w:hAnsi="Garamond"/>
          <w:sz w:val="24"/>
          <w:szCs w:val="24"/>
        </w:rPr>
        <w:t>Upgraded model</w:t>
      </w:r>
      <w:r w:rsidR="004D1343" w:rsidRPr="00FA23AB">
        <w:rPr>
          <w:rFonts w:ascii="Garamond" w:hAnsi="Garamond"/>
          <w:sz w:val="24"/>
          <w:szCs w:val="24"/>
        </w:rPr>
        <w:t xml:space="preserve"> for macroeconomic projections enable</w:t>
      </w:r>
      <w:r>
        <w:rPr>
          <w:rFonts w:ascii="Garamond" w:hAnsi="Garamond"/>
          <w:sz w:val="24"/>
          <w:szCs w:val="24"/>
        </w:rPr>
        <w:t>s</w:t>
      </w:r>
      <w:r w:rsidR="004D1343" w:rsidRPr="00FA23AB">
        <w:rPr>
          <w:rFonts w:ascii="Garamond" w:hAnsi="Garamond"/>
          <w:sz w:val="24"/>
          <w:szCs w:val="24"/>
        </w:rPr>
        <w:t xml:space="preserve"> simula</w:t>
      </w:r>
      <w:r>
        <w:rPr>
          <w:rFonts w:ascii="Garamond" w:hAnsi="Garamond"/>
          <w:sz w:val="24"/>
          <w:szCs w:val="24"/>
        </w:rPr>
        <w:t>tion analysis and forecast of</w:t>
      </w:r>
      <w:r w:rsidR="00735A22">
        <w:rPr>
          <w:rFonts w:ascii="Garamond" w:hAnsi="Garamond"/>
          <w:sz w:val="24"/>
          <w:szCs w:val="24"/>
        </w:rPr>
        <w:t xml:space="preserve"> </w:t>
      </w:r>
      <w:r>
        <w:rPr>
          <w:rFonts w:ascii="Garamond" w:hAnsi="Garamond"/>
          <w:sz w:val="24"/>
          <w:szCs w:val="24"/>
        </w:rPr>
        <w:t>macroeconomic indicators and a</w:t>
      </w:r>
      <w:r w:rsidR="004D1343" w:rsidRPr="00FA23AB">
        <w:rPr>
          <w:rFonts w:ascii="Garamond" w:hAnsi="Garamond"/>
          <w:sz w:val="24"/>
          <w:szCs w:val="24"/>
        </w:rPr>
        <w:t xml:space="preserve"> module for </w:t>
      </w:r>
      <w:r w:rsidR="00A3725C">
        <w:rPr>
          <w:rFonts w:ascii="Garamond" w:hAnsi="Garamond"/>
          <w:sz w:val="24"/>
          <w:szCs w:val="24"/>
        </w:rPr>
        <w:t>assessing</w:t>
      </w:r>
      <w:r w:rsidR="004D1343" w:rsidRPr="00FA23AB">
        <w:rPr>
          <w:rFonts w:ascii="Garamond" w:hAnsi="Garamond"/>
          <w:sz w:val="24"/>
          <w:szCs w:val="24"/>
        </w:rPr>
        <w:t xml:space="preserve"> the impact of structural reforms, which also </w:t>
      </w:r>
      <w:r>
        <w:rPr>
          <w:rFonts w:ascii="Garamond" w:hAnsi="Garamond"/>
          <w:sz w:val="24"/>
          <w:szCs w:val="24"/>
        </w:rPr>
        <w:t>allows quantification of impact</w:t>
      </w:r>
      <w:r w:rsidR="004D1343" w:rsidRPr="00FA23AB">
        <w:rPr>
          <w:rFonts w:ascii="Garamond" w:hAnsi="Garamond"/>
          <w:sz w:val="24"/>
          <w:szCs w:val="24"/>
        </w:rPr>
        <w:t xml:space="preserve"> (including </w:t>
      </w:r>
      <w:r w:rsidR="00735A22">
        <w:rPr>
          <w:rFonts w:ascii="Garamond" w:hAnsi="Garamond"/>
          <w:sz w:val="24"/>
          <w:szCs w:val="24"/>
        </w:rPr>
        <w:t>policies</w:t>
      </w:r>
      <w:r w:rsidR="004D1343" w:rsidRPr="00FA23AB">
        <w:rPr>
          <w:rFonts w:ascii="Garamond" w:hAnsi="Garamond"/>
          <w:sz w:val="24"/>
          <w:szCs w:val="24"/>
        </w:rPr>
        <w:t xml:space="preserve"> proposed in the </w:t>
      </w:r>
      <w:r w:rsidR="00735A22">
        <w:rPr>
          <w:rFonts w:ascii="Garamond" w:hAnsi="Garamond"/>
          <w:sz w:val="24"/>
          <w:szCs w:val="24"/>
        </w:rPr>
        <w:t>Economic Reform</w:t>
      </w:r>
      <w:r w:rsidR="00735A22" w:rsidRPr="00FA23AB">
        <w:rPr>
          <w:rFonts w:ascii="Garamond" w:hAnsi="Garamond"/>
          <w:sz w:val="24"/>
          <w:szCs w:val="24"/>
        </w:rPr>
        <w:t xml:space="preserve"> </w:t>
      </w:r>
      <w:r w:rsidR="00AB73F6" w:rsidRPr="00FA23AB">
        <w:rPr>
          <w:rFonts w:ascii="Garamond" w:hAnsi="Garamond"/>
          <w:sz w:val="24"/>
          <w:szCs w:val="24"/>
        </w:rPr>
        <w:t>Programme</w:t>
      </w:r>
      <w:r w:rsidR="00735A22">
        <w:rPr>
          <w:rFonts w:ascii="Garamond" w:hAnsi="Garamond"/>
          <w:sz w:val="24"/>
          <w:szCs w:val="24"/>
        </w:rPr>
        <w:t>,</w:t>
      </w:r>
      <w:r w:rsidR="004D1343" w:rsidRPr="00FA23AB">
        <w:rPr>
          <w:rFonts w:ascii="Garamond" w:hAnsi="Garamond"/>
          <w:sz w:val="24"/>
          <w:szCs w:val="24"/>
        </w:rPr>
        <w:t xml:space="preserve"> ERP) </w:t>
      </w:r>
      <w:r w:rsidR="003F2008">
        <w:rPr>
          <w:rFonts w:ascii="Garamond" w:hAnsi="Garamond"/>
          <w:sz w:val="24"/>
          <w:szCs w:val="24"/>
        </w:rPr>
        <w:t>on</w:t>
      </w:r>
      <w:r w:rsidR="004D1343" w:rsidRPr="00FA23AB">
        <w:rPr>
          <w:rFonts w:ascii="Garamond" w:hAnsi="Garamond"/>
          <w:sz w:val="24"/>
          <w:szCs w:val="24"/>
        </w:rPr>
        <w:t xml:space="preserve"> economic de</w:t>
      </w:r>
      <w:r w:rsidR="00735A22">
        <w:rPr>
          <w:rFonts w:ascii="Garamond" w:hAnsi="Garamond"/>
          <w:sz w:val="24"/>
          <w:szCs w:val="24"/>
        </w:rPr>
        <w:t xml:space="preserve">velopment in order to support </w:t>
      </w:r>
      <w:r w:rsidR="004D1343" w:rsidRPr="00FA23AB">
        <w:rPr>
          <w:rFonts w:ascii="Garamond" w:hAnsi="Garamond"/>
          <w:sz w:val="24"/>
          <w:szCs w:val="24"/>
        </w:rPr>
        <w:t xml:space="preserve">the </w:t>
      </w:r>
      <w:r>
        <w:rPr>
          <w:rFonts w:ascii="Garamond" w:hAnsi="Garamond"/>
          <w:sz w:val="24"/>
          <w:szCs w:val="24"/>
        </w:rPr>
        <w:t>preparation</w:t>
      </w:r>
      <w:r w:rsidR="00735A22">
        <w:rPr>
          <w:rFonts w:ascii="Garamond" w:hAnsi="Garamond"/>
          <w:sz w:val="24"/>
          <w:szCs w:val="24"/>
        </w:rPr>
        <w:t xml:space="preserve"> of strategic documents</w:t>
      </w:r>
      <w:r w:rsidR="004D1343" w:rsidRPr="00FA23AB">
        <w:rPr>
          <w:rFonts w:ascii="Garamond" w:hAnsi="Garamond"/>
          <w:sz w:val="24"/>
          <w:szCs w:val="24"/>
        </w:rPr>
        <w:t xml:space="preserve">; </w:t>
      </w:r>
    </w:p>
    <w:p w:rsidR="004D1343" w:rsidRPr="00735A22" w:rsidRDefault="004D1343" w:rsidP="00735A22">
      <w:pPr>
        <w:pStyle w:val="ListParagraph"/>
        <w:numPr>
          <w:ilvl w:val="0"/>
          <w:numId w:val="7"/>
        </w:numPr>
        <w:jc w:val="both"/>
        <w:rPr>
          <w:rFonts w:ascii="Garamond" w:hAnsi="Garamond"/>
          <w:sz w:val="24"/>
          <w:szCs w:val="24"/>
        </w:rPr>
      </w:pPr>
      <w:r w:rsidRPr="00735A22">
        <w:rPr>
          <w:rFonts w:ascii="Garamond" w:hAnsi="Garamond"/>
          <w:sz w:val="24"/>
          <w:szCs w:val="24"/>
        </w:rPr>
        <w:t xml:space="preserve">Development of the </w:t>
      </w:r>
      <w:r w:rsidR="00A3725C" w:rsidRPr="00735A22">
        <w:rPr>
          <w:rFonts w:ascii="Garamond" w:hAnsi="Garamond"/>
          <w:sz w:val="24"/>
          <w:szCs w:val="24"/>
        </w:rPr>
        <w:t xml:space="preserve">public </w:t>
      </w:r>
      <w:r w:rsidR="00A3725C">
        <w:rPr>
          <w:rFonts w:ascii="Garamond" w:hAnsi="Garamond"/>
          <w:sz w:val="24"/>
          <w:szCs w:val="24"/>
        </w:rPr>
        <w:t xml:space="preserve">internal financial control </w:t>
      </w:r>
      <w:r w:rsidR="00A3725C" w:rsidRPr="00735A22">
        <w:rPr>
          <w:rFonts w:ascii="Garamond" w:hAnsi="Garamond"/>
          <w:sz w:val="24"/>
          <w:szCs w:val="24"/>
        </w:rPr>
        <w:t xml:space="preserve">system </w:t>
      </w:r>
      <w:r w:rsidRPr="00735A22">
        <w:rPr>
          <w:rFonts w:ascii="Garamond" w:hAnsi="Garamond"/>
          <w:sz w:val="24"/>
          <w:szCs w:val="24"/>
        </w:rPr>
        <w:t>(PIFC) - strengthening manage</w:t>
      </w:r>
      <w:r w:rsidR="00A3725C">
        <w:rPr>
          <w:rFonts w:ascii="Garamond" w:hAnsi="Garamond"/>
          <w:sz w:val="24"/>
          <w:szCs w:val="24"/>
        </w:rPr>
        <w:t>rial</w:t>
      </w:r>
      <w:r w:rsidRPr="00735A22">
        <w:rPr>
          <w:rFonts w:ascii="Garamond" w:hAnsi="Garamond"/>
          <w:sz w:val="24"/>
          <w:szCs w:val="24"/>
        </w:rPr>
        <w:t xml:space="preserve"> </w:t>
      </w:r>
      <w:r w:rsidR="00A3725C">
        <w:rPr>
          <w:rFonts w:ascii="Garamond" w:hAnsi="Garamond"/>
          <w:sz w:val="24"/>
          <w:szCs w:val="24"/>
        </w:rPr>
        <w:t>accountability</w:t>
      </w:r>
      <w:r w:rsidRPr="00735A22">
        <w:rPr>
          <w:rFonts w:ascii="Garamond" w:hAnsi="Garamond"/>
          <w:sz w:val="24"/>
          <w:szCs w:val="24"/>
        </w:rPr>
        <w:t>, as a key component for good governance in public administration. During the reporting period, the Analysis of Barriers to Manage</w:t>
      </w:r>
      <w:r w:rsidR="003F2008">
        <w:rPr>
          <w:rFonts w:ascii="Garamond" w:hAnsi="Garamond"/>
          <w:sz w:val="24"/>
          <w:szCs w:val="24"/>
        </w:rPr>
        <w:t>rial Accountability</w:t>
      </w:r>
      <w:r w:rsidR="003F2008" w:rsidRPr="00735A22">
        <w:rPr>
          <w:rFonts w:ascii="Garamond" w:hAnsi="Garamond"/>
          <w:sz w:val="24"/>
          <w:szCs w:val="24"/>
        </w:rPr>
        <w:t xml:space="preserve"> </w:t>
      </w:r>
      <w:r w:rsidRPr="00735A22">
        <w:rPr>
          <w:rFonts w:ascii="Garamond" w:hAnsi="Garamond"/>
          <w:sz w:val="24"/>
          <w:szCs w:val="24"/>
        </w:rPr>
        <w:t xml:space="preserve">was prepared, which </w:t>
      </w:r>
      <w:r w:rsidR="003F2008">
        <w:rPr>
          <w:rFonts w:ascii="Garamond" w:hAnsi="Garamond"/>
          <w:sz w:val="24"/>
          <w:szCs w:val="24"/>
        </w:rPr>
        <w:t>stressed</w:t>
      </w:r>
      <w:r w:rsidRPr="00735A22">
        <w:rPr>
          <w:rFonts w:ascii="Garamond" w:hAnsi="Garamond"/>
          <w:sz w:val="24"/>
          <w:szCs w:val="24"/>
        </w:rPr>
        <w:t xml:space="preserve"> the importance of delegating authority to successfully achieve goals and strengthen accountability in the public sector, as well as obstacles to the</w:t>
      </w:r>
      <w:r w:rsidR="00A3725C">
        <w:rPr>
          <w:rFonts w:ascii="Garamond" w:hAnsi="Garamond"/>
          <w:sz w:val="24"/>
          <w:szCs w:val="24"/>
        </w:rPr>
        <w:t xml:space="preserve"> implementation of this concept</w:t>
      </w:r>
      <w:r w:rsidRPr="00735A22">
        <w:rPr>
          <w:rFonts w:ascii="Garamond" w:hAnsi="Garamond"/>
          <w:sz w:val="24"/>
          <w:szCs w:val="24"/>
        </w:rPr>
        <w:t>;</w:t>
      </w:r>
    </w:p>
    <w:p w:rsidR="004D1343" w:rsidRPr="00A3725C" w:rsidRDefault="004D1343" w:rsidP="00A3725C">
      <w:pPr>
        <w:pStyle w:val="ListParagraph"/>
        <w:numPr>
          <w:ilvl w:val="0"/>
          <w:numId w:val="7"/>
        </w:numPr>
        <w:jc w:val="both"/>
        <w:rPr>
          <w:rFonts w:ascii="Garamond" w:hAnsi="Garamond"/>
          <w:sz w:val="24"/>
          <w:szCs w:val="24"/>
        </w:rPr>
      </w:pPr>
      <w:r w:rsidRPr="00A3725C">
        <w:rPr>
          <w:rFonts w:ascii="Garamond" w:hAnsi="Garamond"/>
          <w:sz w:val="24"/>
          <w:szCs w:val="24"/>
        </w:rPr>
        <w:t xml:space="preserve">The ability of the State Audit Institution to adequately respond </w:t>
      </w:r>
      <w:r w:rsidR="00A3725C">
        <w:rPr>
          <w:rFonts w:ascii="Garamond" w:hAnsi="Garamond"/>
          <w:sz w:val="24"/>
          <w:szCs w:val="24"/>
        </w:rPr>
        <w:t xml:space="preserve">to </w:t>
      </w:r>
      <w:r w:rsidRPr="00A3725C">
        <w:rPr>
          <w:rFonts w:ascii="Garamond" w:hAnsi="Garamond"/>
          <w:sz w:val="24"/>
          <w:szCs w:val="24"/>
        </w:rPr>
        <w:t xml:space="preserve">INTOSAI standards through the application of audit methodology for financial audits, </w:t>
      </w:r>
      <w:r w:rsidR="003F2008">
        <w:rPr>
          <w:rFonts w:ascii="Garamond" w:hAnsi="Garamond"/>
          <w:sz w:val="24"/>
          <w:szCs w:val="24"/>
        </w:rPr>
        <w:t>regularity</w:t>
      </w:r>
      <w:r w:rsidRPr="00A3725C">
        <w:rPr>
          <w:rFonts w:ascii="Garamond" w:hAnsi="Garamond"/>
          <w:sz w:val="24"/>
          <w:szCs w:val="24"/>
        </w:rPr>
        <w:t xml:space="preserve"> and perfo</w:t>
      </w:r>
      <w:r w:rsidR="00A3725C">
        <w:rPr>
          <w:rFonts w:ascii="Garamond" w:hAnsi="Garamond"/>
          <w:sz w:val="24"/>
          <w:szCs w:val="24"/>
        </w:rPr>
        <w:t>rmance audit</w:t>
      </w:r>
      <w:r w:rsidR="003F2008">
        <w:rPr>
          <w:rFonts w:ascii="Garamond" w:hAnsi="Garamond"/>
          <w:sz w:val="24"/>
          <w:szCs w:val="24"/>
        </w:rPr>
        <w:t>s</w:t>
      </w:r>
      <w:r w:rsidR="00A3725C">
        <w:rPr>
          <w:rFonts w:ascii="Garamond" w:hAnsi="Garamond"/>
          <w:sz w:val="24"/>
          <w:szCs w:val="24"/>
        </w:rPr>
        <w:t xml:space="preserve"> in accordance with international </w:t>
      </w:r>
      <w:r w:rsidRPr="00A3725C">
        <w:rPr>
          <w:rFonts w:ascii="Garamond" w:hAnsi="Garamond"/>
          <w:sz w:val="24"/>
          <w:szCs w:val="24"/>
        </w:rPr>
        <w:t xml:space="preserve">standards. </w:t>
      </w:r>
    </w:p>
    <w:p w:rsidR="004D1343" w:rsidRPr="00C32887" w:rsidRDefault="004D1343" w:rsidP="004D1343">
      <w:pPr>
        <w:rPr>
          <w:rFonts w:ascii="Garamond" w:hAnsi="Garamond"/>
          <w:sz w:val="24"/>
          <w:szCs w:val="24"/>
        </w:rPr>
      </w:pPr>
    </w:p>
    <w:p w:rsidR="004D1343" w:rsidRPr="00C32887" w:rsidRDefault="003F2008" w:rsidP="004D1343">
      <w:pPr>
        <w:rPr>
          <w:rFonts w:ascii="Garamond" w:hAnsi="Garamond"/>
          <w:sz w:val="24"/>
          <w:szCs w:val="24"/>
        </w:rPr>
      </w:pPr>
      <w:r>
        <w:rPr>
          <w:rFonts w:ascii="Garamond" w:hAnsi="Garamond"/>
          <w:sz w:val="24"/>
          <w:szCs w:val="24"/>
        </w:rPr>
        <w:t>In addition</w:t>
      </w:r>
      <w:r w:rsidR="004D1343" w:rsidRPr="00C32887">
        <w:rPr>
          <w:rFonts w:ascii="Garamond" w:hAnsi="Garamond"/>
          <w:sz w:val="24"/>
          <w:szCs w:val="24"/>
        </w:rPr>
        <w:t>, last year was marked by other key results, as follows:</w:t>
      </w:r>
    </w:p>
    <w:p w:rsidR="004D1343" w:rsidRPr="00C32887" w:rsidRDefault="004D1343" w:rsidP="004D1343">
      <w:pPr>
        <w:rPr>
          <w:rFonts w:ascii="Garamond" w:hAnsi="Garamond"/>
          <w:sz w:val="24"/>
          <w:szCs w:val="24"/>
        </w:rPr>
      </w:pPr>
    </w:p>
    <w:p w:rsidR="004D1343" w:rsidRPr="00A3725C" w:rsidRDefault="004D1343" w:rsidP="00A3725C">
      <w:pPr>
        <w:pStyle w:val="ListParagraph"/>
        <w:numPr>
          <w:ilvl w:val="0"/>
          <w:numId w:val="8"/>
        </w:numPr>
        <w:jc w:val="both"/>
        <w:rPr>
          <w:rFonts w:ascii="Garamond" w:hAnsi="Garamond"/>
          <w:sz w:val="24"/>
          <w:szCs w:val="24"/>
        </w:rPr>
      </w:pPr>
      <w:r w:rsidRPr="00A3725C">
        <w:rPr>
          <w:rFonts w:ascii="Garamond" w:hAnsi="Garamond"/>
          <w:sz w:val="24"/>
          <w:szCs w:val="24"/>
        </w:rPr>
        <w:t xml:space="preserve">Adoption of the Concept of </w:t>
      </w:r>
      <w:r w:rsidR="00B45CE8" w:rsidRPr="00A3725C">
        <w:rPr>
          <w:rFonts w:ascii="Garamond" w:hAnsi="Garamond"/>
          <w:sz w:val="24"/>
          <w:szCs w:val="24"/>
        </w:rPr>
        <w:t xml:space="preserve">Integrated </w:t>
      </w:r>
      <w:r w:rsidR="00B45CE8">
        <w:rPr>
          <w:rFonts w:ascii="Garamond" w:hAnsi="Garamond"/>
          <w:sz w:val="24"/>
          <w:szCs w:val="24"/>
        </w:rPr>
        <w:t xml:space="preserve">Policy-based </w:t>
      </w:r>
      <w:r w:rsidR="00B45CE8" w:rsidRPr="00A3725C">
        <w:rPr>
          <w:rFonts w:ascii="Garamond" w:hAnsi="Garamond"/>
          <w:sz w:val="24"/>
          <w:szCs w:val="24"/>
        </w:rPr>
        <w:t xml:space="preserve">Planning </w:t>
      </w:r>
      <w:r w:rsidR="00B45CE8">
        <w:rPr>
          <w:rFonts w:ascii="Garamond" w:hAnsi="Garamond"/>
          <w:sz w:val="24"/>
          <w:szCs w:val="24"/>
        </w:rPr>
        <w:t>and Budgeting</w:t>
      </w:r>
      <w:r w:rsidR="00B45CE8" w:rsidRPr="00A3725C">
        <w:rPr>
          <w:rFonts w:ascii="Garamond" w:hAnsi="Garamond"/>
          <w:sz w:val="24"/>
          <w:szCs w:val="24"/>
        </w:rPr>
        <w:t xml:space="preserve"> </w:t>
      </w:r>
      <w:r w:rsidR="00B45CE8">
        <w:rPr>
          <w:rFonts w:ascii="Garamond" w:hAnsi="Garamond"/>
          <w:sz w:val="24"/>
          <w:szCs w:val="24"/>
        </w:rPr>
        <w:t>Procedure and Methodology</w:t>
      </w:r>
      <w:r w:rsidRPr="00A3725C">
        <w:rPr>
          <w:rFonts w:ascii="Garamond" w:hAnsi="Garamond"/>
          <w:sz w:val="24"/>
          <w:szCs w:val="24"/>
        </w:rPr>
        <w:t>;</w:t>
      </w:r>
    </w:p>
    <w:p w:rsidR="004D1343" w:rsidRPr="00D97DDC" w:rsidRDefault="004D1343" w:rsidP="00D97DDC">
      <w:pPr>
        <w:pStyle w:val="ListParagraph"/>
        <w:numPr>
          <w:ilvl w:val="0"/>
          <w:numId w:val="8"/>
        </w:numPr>
        <w:rPr>
          <w:rFonts w:ascii="Garamond" w:hAnsi="Garamond"/>
          <w:sz w:val="24"/>
          <w:szCs w:val="24"/>
        </w:rPr>
      </w:pPr>
      <w:r w:rsidRPr="00D97DDC">
        <w:rPr>
          <w:rFonts w:ascii="Garamond" w:hAnsi="Garamond"/>
          <w:sz w:val="24"/>
          <w:szCs w:val="24"/>
        </w:rPr>
        <w:t xml:space="preserve">The new classifications </w:t>
      </w:r>
      <w:r w:rsidR="00D97DDC">
        <w:rPr>
          <w:rFonts w:ascii="Garamond" w:hAnsi="Garamond"/>
          <w:sz w:val="24"/>
          <w:szCs w:val="24"/>
        </w:rPr>
        <w:t>of</w:t>
      </w:r>
      <w:r w:rsidRPr="00D97DDC">
        <w:rPr>
          <w:rFonts w:ascii="Garamond" w:hAnsi="Garamond"/>
          <w:sz w:val="24"/>
          <w:szCs w:val="24"/>
        </w:rPr>
        <w:t xml:space="preserve"> the </w:t>
      </w:r>
      <w:r w:rsidR="00B45CE8">
        <w:rPr>
          <w:rFonts w:ascii="Garamond" w:hAnsi="Garamond"/>
          <w:sz w:val="24"/>
          <w:szCs w:val="24"/>
        </w:rPr>
        <w:t>p</w:t>
      </w:r>
      <w:r w:rsidR="00AB73F6" w:rsidRPr="00D97DDC">
        <w:rPr>
          <w:rFonts w:ascii="Garamond" w:hAnsi="Garamond"/>
          <w:sz w:val="24"/>
          <w:szCs w:val="24"/>
        </w:rPr>
        <w:t>rogramme</w:t>
      </w:r>
      <w:r w:rsidR="00B45CE8">
        <w:rPr>
          <w:rFonts w:ascii="Garamond" w:hAnsi="Garamond"/>
          <w:sz w:val="24"/>
          <w:szCs w:val="24"/>
        </w:rPr>
        <w:t>-based</w:t>
      </w:r>
      <w:r w:rsidR="00D97DDC">
        <w:rPr>
          <w:rFonts w:ascii="Garamond" w:hAnsi="Garamond"/>
          <w:sz w:val="24"/>
          <w:szCs w:val="24"/>
        </w:rPr>
        <w:t xml:space="preserve"> budget</w:t>
      </w:r>
      <w:r w:rsidRPr="00D97DDC">
        <w:rPr>
          <w:rFonts w:ascii="Garamond" w:hAnsi="Garamond"/>
          <w:sz w:val="24"/>
          <w:szCs w:val="24"/>
        </w:rPr>
        <w:t>;</w:t>
      </w:r>
    </w:p>
    <w:p w:rsidR="004D1343" w:rsidRPr="00D97DDC" w:rsidRDefault="004D1343" w:rsidP="00D97DDC">
      <w:pPr>
        <w:pStyle w:val="ListParagraph"/>
        <w:numPr>
          <w:ilvl w:val="0"/>
          <w:numId w:val="8"/>
        </w:numPr>
        <w:rPr>
          <w:rFonts w:ascii="Garamond" w:hAnsi="Garamond"/>
          <w:sz w:val="24"/>
          <w:szCs w:val="24"/>
        </w:rPr>
      </w:pPr>
      <w:r w:rsidRPr="00D97DDC">
        <w:rPr>
          <w:rFonts w:ascii="Garamond" w:hAnsi="Garamond"/>
          <w:sz w:val="24"/>
          <w:szCs w:val="24"/>
        </w:rPr>
        <w:t xml:space="preserve">Adoption of the Manual for </w:t>
      </w:r>
      <w:r w:rsidR="00BD7620">
        <w:rPr>
          <w:rFonts w:ascii="Garamond" w:hAnsi="Garamond"/>
          <w:sz w:val="24"/>
          <w:szCs w:val="24"/>
        </w:rPr>
        <w:t>P</w:t>
      </w:r>
      <w:r w:rsidR="00BD7620" w:rsidRPr="00D97DDC">
        <w:rPr>
          <w:rFonts w:ascii="Garamond" w:hAnsi="Garamond"/>
          <w:sz w:val="24"/>
          <w:szCs w:val="24"/>
        </w:rPr>
        <w:t>rogramme</w:t>
      </w:r>
      <w:r w:rsidR="00B45CE8">
        <w:rPr>
          <w:rFonts w:ascii="Garamond" w:hAnsi="Garamond"/>
          <w:sz w:val="24"/>
          <w:szCs w:val="24"/>
        </w:rPr>
        <w:t>-based</w:t>
      </w:r>
      <w:r w:rsidRPr="00D97DDC">
        <w:rPr>
          <w:rFonts w:ascii="Garamond" w:hAnsi="Garamond"/>
          <w:sz w:val="24"/>
          <w:szCs w:val="24"/>
        </w:rPr>
        <w:t xml:space="preserve"> </w:t>
      </w:r>
      <w:r w:rsidR="00D97DDC" w:rsidRPr="00D97DDC">
        <w:rPr>
          <w:rFonts w:ascii="Garamond" w:hAnsi="Garamond"/>
          <w:sz w:val="24"/>
          <w:szCs w:val="24"/>
        </w:rPr>
        <w:t xml:space="preserve">Budgeting </w:t>
      </w:r>
      <w:r w:rsidRPr="00D97DDC">
        <w:rPr>
          <w:rFonts w:ascii="Garamond" w:hAnsi="Garamond"/>
          <w:sz w:val="24"/>
          <w:szCs w:val="24"/>
        </w:rPr>
        <w:t xml:space="preserve">and </w:t>
      </w:r>
      <w:r w:rsidR="00D97DDC" w:rsidRPr="00D97DDC">
        <w:rPr>
          <w:rFonts w:ascii="Garamond" w:hAnsi="Garamond"/>
          <w:sz w:val="24"/>
          <w:szCs w:val="24"/>
        </w:rPr>
        <w:t>Tra</w:t>
      </w:r>
      <w:r w:rsidR="00D97DDC">
        <w:rPr>
          <w:rFonts w:ascii="Garamond" w:hAnsi="Garamond"/>
          <w:sz w:val="24"/>
          <w:szCs w:val="24"/>
        </w:rPr>
        <w:t>ining</w:t>
      </w:r>
      <w:r w:rsidRPr="00D97DDC">
        <w:rPr>
          <w:rFonts w:ascii="Garamond" w:hAnsi="Garamond"/>
          <w:sz w:val="24"/>
          <w:szCs w:val="24"/>
        </w:rPr>
        <w:t>;</w:t>
      </w:r>
    </w:p>
    <w:p w:rsidR="004D1343" w:rsidRPr="00D97DDC" w:rsidRDefault="004D1343" w:rsidP="00D97DDC">
      <w:pPr>
        <w:pStyle w:val="ListParagraph"/>
        <w:numPr>
          <w:ilvl w:val="0"/>
          <w:numId w:val="8"/>
        </w:numPr>
        <w:rPr>
          <w:rFonts w:ascii="Garamond" w:hAnsi="Garamond"/>
          <w:sz w:val="24"/>
          <w:szCs w:val="24"/>
        </w:rPr>
      </w:pPr>
      <w:r w:rsidRPr="00D97DDC">
        <w:rPr>
          <w:rFonts w:ascii="Garamond" w:hAnsi="Garamond"/>
          <w:sz w:val="24"/>
          <w:szCs w:val="24"/>
        </w:rPr>
        <w:t>Application and improvement of the IT syst</w:t>
      </w:r>
      <w:r w:rsidR="00D97DDC">
        <w:rPr>
          <w:rFonts w:ascii="Garamond" w:hAnsi="Garamond"/>
          <w:sz w:val="24"/>
          <w:szCs w:val="24"/>
        </w:rPr>
        <w:t>em for budget planning for 2021</w:t>
      </w:r>
      <w:r w:rsidRPr="00D97DDC">
        <w:rPr>
          <w:rFonts w:ascii="Garamond" w:hAnsi="Garamond"/>
          <w:sz w:val="24"/>
          <w:szCs w:val="24"/>
        </w:rPr>
        <w:t>;</w:t>
      </w:r>
    </w:p>
    <w:p w:rsidR="004D1343" w:rsidRPr="00D97DDC" w:rsidRDefault="004D1343" w:rsidP="00D97DDC">
      <w:pPr>
        <w:pStyle w:val="ListParagraph"/>
        <w:numPr>
          <w:ilvl w:val="0"/>
          <w:numId w:val="8"/>
        </w:numPr>
        <w:rPr>
          <w:rFonts w:ascii="Garamond" w:hAnsi="Garamond"/>
          <w:sz w:val="24"/>
          <w:szCs w:val="24"/>
        </w:rPr>
      </w:pPr>
      <w:r w:rsidRPr="00D97DDC">
        <w:rPr>
          <w:rFonts w:ascii="Garamond" w:hAnsi="Garamond"/>
          <w:sz w:val="24"/>
          <w:szCs w:val="24"/>
        </w:rPr>
        <w:t>Implementation o</w:t>
      </w:r>
      <w:r w:rsidR="00B45CE8">
        <w:rPr>
          <w:rFonts w:ascii="Garamond" w:hAnsi="Garamond"/>
          <w:sz w:val="24"/>
          <w:szCs w:val="24"/>
        </w:rPr>
        <w:t>f the Law on Public Procurement</w:t>
      </w:r>
      <w:r w:rsidRPr="00D97DDC">
        <w:rPr>
          <w:rFonts w:ascii="Garamond" w:hAnsi="Garamond"/>
          <w:sz w:val="24"/>
          <w:szCs w:val="24"/>
        </w:rPr>
        <w:t>;</w:t>
      </w:r>
    </w:p>
    <w:p w:rsidR="004D1343" w:rsidRPr="00D97DDC" w:rsidRDefault="004D1343" w:rsidP="00D97DDC">
      <w:pPr>
        <w:pStyle w:val="ListParagraph"/>
        <w:numPr>
          <w:ilvl w:val="0"/>
          <w:numId w:val="8"/>
        </w:numPr>
        <w:rPr>
          <w:rFonts w:ascii="Garamond" w:hAnsi="Garamond"/>
          <w:sz w:val="24"/>
          <w:szCs w:val="24"/>
        </w:rPr>
      </w:pPr>
      <w:r w:rsidRPr="00D97DDC">
        <w:rPr>
          <w:rFonts w:ascii="Garamond" w:hAnsi="Garamond"/>
          <w:sz w:val="24"/>
          <w:szCs w:val="24"/>
        </w:rPr>
        <w:t>Introduction of the electronic public procurement system (</w:t>
      </w:r>
      <w:r w:rsidR="00D97DDC">
        <w:rPr>
          <w:rFonts w:ascii="Garamond" w:hAnsi="Garamond"/>
          <w:sz w:val="24"/>
          <w:szCs w:val="24"/>
        </w:rPr>
        <w:t>EPPS</w:t>
      </w:r>
      <w:r w:rsidRPr="00D97DDC">
        <w:rPr>
          <w:rFonts w:ascii="Garamond" w:hAnsi="Garamond"/>
          <w:sz w:val="24"/>
          <w:szCs w:val="24"/>
        </w:rPr>
        <w:t>)</w:t>
      </w:r>
      <w:r w:rsidR="008B6760">
        <w:rPr>
          <w:rFonts w:ascii="Garamond" w:hAnsi="Garamond"/>
          <w:sz w:val="24"/>
          <w:szCs w:val="24"/>
        </w:rPr>
        <w:t>;</w:t>
      </w:r>
    </w:p>
    <w:p w:rsidR="004D1343" w:rsidRPr="00D97DDC" w:rsidRDefault="004D1343" w:rsidP="00D97DDC">
      <w:pPr>
        <w:pStyle w:val="ListParagraph"/>
        <w:numPr>
          <w:ilvl w:val="0"/>
          <w:numId w:val="8"/>
        </w:numPr>
        <w:rPr>
          <w:rFonts w:ascii="Garamond" w:hAnsi="Garamond"/>
          <w:sz w:val="24"/>
          <w:szCs w:val="24"/>
        </w:rPr>
      </w:pPr>
      <w:r w:rsidRPr="00D97DDC">
        <w:rPr>
          <w:rFonts w:ascii="Garamond" w:hAnsi="Garamond"/>
          <w:sz w:val="24"/>
          <w:szCs w:val="24"/>
        </w:rPr>
        <w:t xml:space="preserve">Improving managerial </w:t>
      </w:r>
      <w:r w:rsidR="00D97DDC">
        <w:rPr>
          <w:rFonts w:ascii="Garamond" w:hAnsi="Garamond"/>
          <w:sz w:val="24"/>
          <w:szCs w:val="24"/>
        </w:rPr>
        <w:t>accountability</w:t>
      </w:r>
      <w:r w:rsidRPr="00D97DDC">
        <w:rPr>
          <w:rFonts w:ascii="Garamond" w:hAnsi="Garamond"/>
          <w:sz w:val="24"/>
          <w:szCs w:val="24"/>
        </w:rPr>
        <w:t xml:space="preserve"> in the area of </w:t>
      </w:r>
      <w:r w:rsidRPr="00D97DDC">
        <w:rPr>
          <w:sz w:val="24"/>
          <w:szCs w:val="24"/>
        </w:rPr>
        <w:t>​​</w:t>
      </w:r>
      <w:r w:rsidRPr="00D97DDC">
        <w:rPr>
          <w:rFonts w:ascii="Garamond" w:hAnsi="Garamond"/>
          <w:sz w:val="24"/>
          <w:szCs w:val="24"/>
        </w:rPr>
        <w:t>devo</w:t>
      </w:r>
      <w:r w:rsidR="00D97DDC">
        <w:rPr>
          <w:rFonts w:ascii="Garamond" w:hAnsi="Garamond"/>
          <w:sz w:val="24"/>
          <w:szCs w:val="24"/>
        </w:rPr>
        <w:t>lution in pilot institutions</w:t>
      </w:r>
      <w:r w:rsidRPr="00D97DDC">
        <w:rPr>
          <w:rFonts w:ascii="Garamond" w:hAnsi="Garamond"/>
          <w:sz w:val="24"/>
          <w:szCs w:val="24"/>
        </w:rPr>
        <w:t>;</w:t>
      </w:r>
    </w:p>
    <w:p w:rsidR="004D1343" w:rsidRPr="00D97DDC" w:rsidRDefault="004D1343" w:rsidP="00D97DDC">
      <w:pPr>
        <w:pStyle w:val="ListParagraph"/>
        <w:numPr>
          <w:ilvl w:val="0"/>
          <w:numId w:val="10"/>
        </w:numPr>
        <w:jc w:val="both"/>
        <w:rPr>
          <w:rFonts w:ascii="Garamond" w:hAnsi="Garamond"/>
          <w:sz w:val="24"/>
          <w:szCs w:val="24"/>
        </w:rPr>
      </w:pPr>
      <w:r w:rsidRPr="00D97DDC">
        <w:rPr>
          <w:rFonts w:ascii="Garamond" w:hAnsi="Garamond"/>
          <w:sz w:val="24"/>
          <w:szCs w:val="24"/>
        </w:rPr>
        <w:t xml:space="preserve">Draft bylaws for the implementation of </w:t>
      </w:r>
      <w:r w:rsidR="00D97DDC">
        <w:rPr>
          <w:rFonts w:ascii="Garamond" w:hAnsi="Garamond"/>
          <w:sz w:val="24"/>
          <w:szCs w:val="24"/>
        </w:rPr>
        <w:t xml:space="preserve">the </w:t>
      </w:r>
      <w:r w:rsidRPr="00D97DDC">
        <w:rPr>
          <w:rFonts w:ascii="Garamond" w:hAnsi="Garamond"/>
          <w:sz w:val="24"/>
          <w:szCs w:val="24"/>
        </w:rPr>
        <w:t>Law on Public Secto</w:t>
      </w:r>
      <w:r w:rsidR="00D97DDC">
        <w:rPr>
          <w:rFonts w:ascii="Garamond" w:hAnsi="Garamond"/>
          <w:sz w:val="24"/>
          <w:szCs w:val="24"/>
        </w:rPr>
        <w:t>r Accounting have been prepared</w:t>
      </w:r>
      <w:r w:rsidRPr="00D97DDC">
        <w:rPr>
          <w:rFonts w:ascii="Garamond" w:hAnsi="Garamond"/>
          <w:sz w:val="24"/>
          <w:szCs w:val="24"/>
        </w:rPr>
        <w:t>;</w:t>
      </w:r>
    </w:p>
    <w:p w:rsidR="004D1343" w:rsidRPr="00B45CE8" w:rsidRDefault="00B45CE8" w:rsidP="00B45CE8">
      <w:pPr>
        <w:pStyle w:val="Default"/>
        <w:numPr>
          <w:ilvl w:val="0"/>
          <w:numId w:val="10"/>
        </w:numPr>
        <w:rPr>
          <w:sz w:val="22"/>
          <w:szCs w:val="22"/>
        </w:rPr>
      </w:pPr>
      <w:r w:rsidRPr="00B45CE8">
        <w:rPr>
          <w:rFonts w:ascii="Garamond" w:hAnsi="Garamond"/>
          <w:iCs/>
        </w:rPr>
        <w:t xml:space="preserve">Manual for Financial and Regularity Audits </w:t>
      </w:r>
      <w:r w:rsidR="004D1343" w:rsidRPr="00B45CE8">
        <w:rPr>
          <w:rFonts w:ascii="Garamond" w:hAnsi="Garamond"/>
        </w:rPr>
        <w:t>and Guidelines for Development, Monitoring and Control of Implementation of Recommendations;</w:t>
      </w:r>
    </w:p>
    <w:p w:rsidR="004D1343" w:rsidRPr="000F0F62" w:rsidRDefault="004D1343" w:rsidP="000F0F62">
      <w:pPr>
        <w:pStyle w:val="ListParagraph"/>
        <w:numPr>
          <w:ilvl w:val="0"/>
          <w:numId w:val="10"/>
        </w:numPr>
        <w:jc w:val="both"/>
        <w:rPr>
          <w:rFonts w:ascii="Garamond" w:hAnsi="Garamond"/>
          <w:sz w:val="24"/>
          <w:szCs w:val="24"/>
        </w:rPr>
      </w:pPr>
      <w:r w:rsidRPr="000F0F62">
        <w:rPr>
          <w:rFonts w:ascii="Garamond" w:hAnsi="Garamond"/>
          <w:sz w:val="24"/>
          <w:szCs w:val="24"/>
        </w:rPr>
        <w:t xml:space="preserve">The </w:t>
      </w:r>
      <w:r w:rsidR="00B45CE8" w:rsidRPr="000F0F62">
        <w:rPr>
          <w:rFonts w:ascii="Garamond" w:hAnsi="Garamond"/>
          <w:sz w:val="24"/>
          <w:szCs w:val="24"/>
        </w:rPr>
        <w:t xml:space="preserve">Guidelines </w:t>
      </w:r>
      <w:r w:rsidRPr="000F0F62">
        <w:rPr>
          <w:rFonts w:ascii="Garamond" w:hAnsi="Garamond"/>
          <w:sz w:val="24"/>
          <w:szCs w:val="24"/>
        </w:rPr>
        <w:t xml:space="preserve">for </w:t>
      </w:r>
      <w:r w:rsidR="00B45CE8">
        <w:rPr>
          <w:rFonts w:ascii="Garamond" w:hAnsi="Garamond"/>
          <w:sz w:val="24"/>
          <w:szCs w:val="24"/>
        </w:rPr>
        <w:t>Proposing</w:t>
      </w:r>
      <w:r w:rsidR="00B45CE8" w:rsidRPr="000F0F62">
        <w:rPr>
          <w:rFonts w:ascii="Garamond" w:hAnsi="Garamond"/>
          <w:sz w:val="24"/>
          <w:szCs w:val="24"/>
        </w:rPr>
        <w:t xml:space="preserve"> </w:t>
      </w:r>
      <w:r w:rsidRPr="000F0F62">
        <w:rPr>
          <w:rFonts w:ascii="Garamond" w:hAnsi="Garamond"/>
          <w:sz w:val="24"/>
          <w:szCs w:val="24"/>
        </w:rPr>
        <w:t xml:space="preserve">and </w:t>
      </w:r>
      <w:r w:rsidR="00B45CE8" w:rsidRPr="000F0F62">
        <w:rPr>
          <w:rFonts w:ascii="Garamond" w:hAnsi="Garamond"/>
          <w:sz w:val="24"/>
          <w:szCs w:val="24"/>
        </w:rPr>
        <w:t>Selecti</w:t>
      </w:r>
      <w:r w:rsidR="00B45CE8">
        <w:rPr>
          <w:rFonts w:ascii="Garamond" w:hAnsi="Garamond"/>
          <w:sz w:val="24"/>
          <w:szCs w:val="24"/>
        </w:rPr>
        <w:t>ng</w:t>
      </w:r>
      <w:r w:rsidR="00B45CE8" w:rsidRPr="000F0F62">
        <w:rPr>
          <w:rFonts w:ascii="Garamond" w:hAnsi="Garamond"/>
          <w:sz w:val="24"/>
          <w:szCs w:val="24"/>
        </w:rPr>
        <w:t xml:space="preserve"> Financial </w:t>
      </w:r>
      <w:r w:rsidRPr="000F0F62">
        <w:rPr>
          <w:rFonts w:ascii="Garamond" w:hAnsi="Garamond"/>
          <w:sz w:val="24"/>
          <w:szCs w:val="24"/>
        </w:rPr>
        <w:t xml:space="preserve">and </w:t>
      </w:r>
      <w:r w:rsidR="00B45CE8" w:rsidRPr="00B45CE8">
        <w:rPr>
          <w:rFonts w:ascii="Garamond" w:hAnsi="Garamond"/>
          <w:iCs/>
          <w:sz w:val="24"/>
          <w:szCs w:val="24"/>
        </w:rPr>
        <w:t xml:space="preserve">Regularity </w:t>
      </w:r>
      <w:r w:rsidR="00B45CE8" w:rsidRPr="000F0F62">
        <w:rPr>
          <w:rFonts w:ascii="Garamond" w:hAnsi="Garamond"/>
          <w:sz w:val="24"/>
          <w:szCs w:val="24"/>
        </w:rPr>
        <w:t>Audit</w:t>
      </w:r>
      <w:r w:rsidR="00B45CE8">
        <w:rPr>
          <w:rFonts w:ascii="Garamond" w:hAnsi="Garamond"/>
          <w:sz w:val="24"/>
          <w:szCs w:val="24"/>
        </w:rPr>
        <w:t>s</w:t>
      </w:r>
      <w:r w:rsidR="00B45CE8" w:rsidRPr="000F0F62">
        <w:rPr>
          <w:rFonts w:ascii="Garamond" w:hAnsi="Garamond"/>
          <w:sz w:val="24"/>
          <w:szCs w:val="24"/>
        </w:rPr>
        <w:t xml:space="preserve"> </w:t>
      </w:r>
      <w:r w:rsidRPr="000F0F62">
        <w:rPr>
          <w:rFonts w:ascii="Garamond" w:hAnsi="Garamond"/>
          <w:sz w:val="24"/>
          <w:szCs w:val="24"/>
        </w:rPr>
        <w:t xml:space="preserve">for </w:t>
      </w:r>
      <w:r w:rsidR="000F0F62" w:rsidRPr="000F0F62">
        <w:rPr>
          <w:rFonts w:ascii="Garamond" w:hAnsi="Garamond"/>
          <w:sz w:val="24"/>
          <w:szCs w:val="24"/>
        </w:rPr>
        <w:t>Annual Audit Plan</w:t>
      </w:r>
      <w:r w:rsidR="000F0F62">
        <w:rPr>
          <w:rFonts w:ascii="Garamond" w:hAnsi="Garamond"/>
          <w:sz w:val="24"/>
          <w:szCs w:val="24"/>
        </w:rPr>
        <w:t xml:space="preserve"> of</w:t>
      </w:r>
      <w:r w:rsidR="000F0F62" w:rsidRPr="000F0F62">
        <w:rPr>
          <w:rFonts w:ascii="Garamond" w:hAnsi="Garamond"/>
          <w:sz w:val="24"/>
          <w:szCs w:val="24"/>
        </w:rPr>
        <w:t xml:space="preserve"> </w:t>
      </w:r>
      <w:r w:rsidR="000F0F62">
        <w:rPr>
          <w:rFonts w:ascii="Garamond" w:hAnsi="Garamond"/>
          <w:sz w:val="24"/>
          <w:szCs w:val="24"/>
        </w:rPr>
        <w:t>the State Audit Institution (</w:t>
      </w:r>
      <w:r w:rsidR="00B45CE8">
        <w:rPr>
          <w:rFonts w:ascii="Garamond" w:hAnsi="Garamond"/>
          <w:sz w:val="24"/>
          <w:szCs w:val="24"/>
        </w:rPr>
        <w:t>SAI</w:t>
      </w:r>
      <w:r w:rsidR="000F0F62">
        <w:rPr>
          <w:rFonts w:ascii="Garamond" w:hAnsi="Garamond"/>
          <w:sz w:val="24"/>
          <w:szCs w:val="24"/>
        </w:rPr>
        <w:t>)</w:t>
      </w:r>
      <w:r w:rsidR="000F0F62">
        <w:rPr>
          <w:rStyle w:val="FootnoteReference"/>
          <w:rFonts w:ascii="Garamond" w:hAnsi="Garamond"/>
          <w:sz w:val="24"/>
          <w:szCs w:val="24"/>
        </w:rPr>
        <w:footnoteReference w:id="12"/>
      </w:r>
      <w:r w:rsidRPr="000F0F62">
        <w:rPr>
          <w:rFonts w:ascii="Garamond" w:hAnsi="Garamond"/>
          <w:sz w:val="24"/>
          <w:szCs w:val="24"/>
        </w:rPr>
        <w:t>;</w:t>
      </w:r>
    </w:p>
    <w:p w:rsidR="004D1343" w:rsidRPr="000F0F62" w:rsidRDefault="000F0F62" w:rsidP="000F0F62">
      <w:pPr>
        <w:pStyle w:val="ListParagraph"/>
        <w:numPr>
          <w:ilvl w:val="0"/>
          <w:numId w:val="10"/>
        </w:numPr>
        <w:jc w:val="both"/>
        <w:rPr>
          <w:rFonts w:ascii="Garamond" w:hAnsi="Garamond"/>
          <w:sz w:val="24"/>
          <w:szCs w:val="24"/>
        </w:rPr>
      </w:pPr>
      <w:r w:rsidRPr="000F0F62">
        <w:rPr>
          <w:rFonts w:ascii="Garamond" w:hAnsi="Garamond"/>
          <w:sz w:val="24"/>
          <w:szCs w:val="24"/>
        </w:rPr>
        <w:t xml:space="preserve">2020 - 2024 </w:t>
      </w:r>
      <w:r w:rsidR="00B45CE8">
        <w:rPr>
          <w:rFonts w:ascii="Garamond" w:hAnsi="Garamond"/>
          <w:sz w:val="24"/>
          <w:szCs w:val="24"/>
        </w:rPr>
        <w:t>SAI</w:t>
      </w:r>
      <w:r w:rsidRPr="000F0F62">
        <w:rPr>
          <w:rFonts w:ascii="Garamond" w:hAnsi="Garamond"/>
          <w:sz w:val="24"/>
          <w:szCs w:val="24"/>
        </w:rPr>
        <w:t xml:space="preserve"> </w:t>
      </w:r>
      <w:r>
        <w:rPr>
          <w:rFonts w:ascii="Garamond" w:hAnsi="Garamond"/>
          <w:sz w:val="24"/>
          <w:szCs w:val="24"/>
        </w:rPr>
        <w:t xml:space="preserve">Communication </w:t>
      </w:r>
      <w:r w:rsidR="00B45CE8">
        <w:rPr>
          <w:rFonts w:ascii="Garamond" w:hAnsi="Garamond"/>
          <w:sz w:val="24"/>
          <w:szCs w:val="24"/>
        </w:rPr>
        <w:t>Strategy</w:t>
      </w:r>
      <w:r w:rsidR="00B45CE8" w:rsidRPr="000F0F62">
        <w:rPr>
          <w:rFonts w:ascii="Garamond" w:hAnsi="Garamond"/>
          <w:sz w:val="24"/>
          <w:szCs w:val="24"/>
        </w:rPr>
        <w:t xml:space="preserve"> </w:t>
      </w:r>
      <w:r w:rsidR="004D1343" w:rsidRPr="000F0F62">
        <w:rPr>
          <w:rFonts w:ascii="Garamond" w:hAnsi="Garamond"/>
          <w:sz w:val="24"/>
          <w:szCs w:val="24"/>
        </w:rPr>
        <w:t xml:space="preserve">and the Action Plan for its implementation </w:t>
      </w:r>
      <w:r>
        <w:rPr>
          <w:rFonts w:ascii="Garamond" w:hAnsi="Garamond"/>
          <w:sz w:val="24"/>
          <w:szCs w:val="24"/>
        </w:rPr>
        <w:t>have been adopted</w:t>
      </w:r>
      <w:r w:rsidR="004D1343" w:rsidRPr="000F0F62">
        <w:rPr>
          <w:rFonts w:ascii="Garamond" w:hAnsi="Garamond"/>
          <w:sz w:val="24"/>
          <w:szCs w:val="24"/>
        </w:rPr>
        <w:t xml:space="preserve">, </w:t>
      </w:r>
      <w:r>
        <w:rPr>
          <w:rFonts w:ascii="Garamond" w:hAnsi="Garamond"/>
          <w:sz w:val="24"/>
          <w:szCs w:val="24"/>
        </w:rPr>
        <w:t>as well as</w:t>
      </w:r>
      <w:r w:rsidR="004D1343" w:rsidRPr="000F0F62">
        <w:rPr>
          <w:rFonts w:ascii="Garamond" w:hAnsi="Garamond"/>
          <w:sz w:val="24"/>
          <w:szCs w:val="24"/>
        </w:rPr>
        <w:t xml:space="preserve"> the </w:t>
      </w:r>
      <w:r w:rsidRPr="000F0F62">
        <w:rPr>
          <w:rFonts w:ascii="Garamond" w:hAnsi="Garamond"/>
          <w:sz w:val="24"/>
          <w:szCs w:val="24"/>
        </w:rPr>
        <w:t>2020-2024</w:t>
      </w:r>
      <w:r>
        <w:rPr>
          <w:rFonts w:ascii="Garamond" w:hAnsi="Garamond"/>
          <w:sz w:val="24"/>
          <w:szCs w:val="24"/>
        </w:rPr>
        <w:t xml:space="preserve"> </w:t>
      </w:r>
      <w:r w:rsidR="00B45CE8">
        <w:rPr>
          <w:rFonts w:ascii="Garamond" w:hAnsi="Garamond"/>
          <w:sz w:val="24"/>
          <w:szCs w:val="24"/>
        </w:rPr>
        <w:t>SAI</w:t>
      </w:r>
      <w:r w:rsidRPr="000F0F62">
        <w:rPr>
          <w:rFonts w:ascii="Garamond" w:hAnsi="Garamond"/>
          <w:sz w:val="24"/>
          <w:szCs w:val="24"/>
        </w:rPr>
        <w:t xml:space="preserve"> </w:t>
      </w:r>
      <w:r w:rsidR="00B45CE8">
        <w:rPr>
          <w:rFonts w:ascii="Garamond" w:hAnsi="Garamond"/>
          <w:sz w:val="24"/>
          <w:szCs w:val="24"/>
        </w:rPr>
        <w:t>Medium-t</w:t>
      </w:r>
      <w:r w:rsidR="004D1343" w:rsidRPr="000F0F62">
        <w:rPr>
          <w:rFonts w:ascii="Garamond" w:hAnsi="Garamond"/>
          <w:sz w:val="24"/>
          <w:szCs w:val="24"/>
        </w:rPr>
        <w:t xml:space="preserve">erm Plan to carry </w:t>
      </w:r>
      <w:r w:rsidR="00B45CE8" w:rsidRPr="000F0F62">
        <w:rPr>
          <w:rFonts w:ascii="Garamond" w:hAnsi="Garamond"/>
          <w:sz w:val="24"/>
          <w:szCs w:val="24"/>
        </w:rPr>
        <w:t>out</w:t>
      </w:r>
      <w:r w:rsidR="00B45CE8">
        <w:rPr>
          <w:rFonts w:ascii="Garamond" w:hAnsi="Garamond"/>
          <w:sz w:val="24"/>
          <w:szCs w:val="24"/>
        </w:rPr>
        <w:t xml:space="preserve"> </w:t>
      </w:r>
      <w:proofErr w:type="gramStart"/>
      <w:r w:rsidR="00B45CE8" w:rsidRPr="000F0F62">
        <w:rPr>
          <w:rFonts w:ascii="Garamond" w:hAnsi="Garamond"/>
          <w:sz w:val="24"/>
          <w:szCs w:val="24"/>
        </w:rPr>
        <w:t>performance</w:t>
      </w:r>
      <w:r w:rsidR="00B45CE8">
        <w:rPr>
          <w:rFonts w:ascii="Garamond" w:hAnsi="Garamond"/>
          <w:sz w:val="24"/>
          <w:szCs w:val="24"/>
        </w:rPr>
        <w:t xml:space="preserve"> </w:t>
      </w:r>
      <w:r w:rsidR="00A31A7E">
        <w:rPr>
          <w:rFonts w:ascii="Garamond" w:hAnsi="Garamond"/>
          <w:sz w:val="24"/>
          <w:szCs w:val="24"/>
        </w:rPr>
        <w:t xml:space="preserve"> </w:t>
      </w:r>
      <w:r w:rsidR="004D1343" w:rsidRPr="000F0F62">
        <w:rPr>
          <w:rFonts w:ascii="Garamond" w:hAnsi="Garamond"/>
          <w:sz w:val="24"/>
          <w:szCs w:val="24"/>
        </w:rPr>
        <w:t>audits</w:t>
      </w:r>
      <w:proofErr w:type="gramEnd"/>
      <w:r w:rsidR="004D1343" w:rsidRPr="000F0F62">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A31A7E" w:rsidP="00A31A7E">
      <w:pPr>
        <w:pStyle w:val="Heading2"/>
        <w:rPr>
          <w:rFonts w:ascii="Garamond" w:hAnsi="Garamond"/>
          <w:sz w:val="24"/>
          <w:szCs w:val="24"/>
        </w:rPr>
      </w:pPr>
      <w:bookmarkStart w:id="5" w:name="_Toc77688190"/>
      <w:r w:rsidRPr="00C32887">
        <w:rPr>
          <w:rFonts w:ascii="Garamond" w:hAnsi="Garamond"/>
          <w:sz w:val="24"/>
          <w:szCs w:val="24"/>
        </w:rPr>
        <w:t xml:space="preserve">CHALLENGES IN </w:t>
      </w:r>
      <w:r>
        <w:rPr>
          <w:rFonts w:ascii="Garamond" w:hAnsi="Garamond"/>
          <w:sz w:val="24"/>
          <w:szCs w:val="24"/>
        </w:rPr>
        <w:t>IMPLEMENTATION</w:t>
      </w:r>
      <w:bookmarkEnd w:id="5"/>
      <w:r>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A31A7E" w:rsidRDefault="00F254DD" w:rsidP="00EE7D7F">
      <w:pPr>
        <w:pStyle w:val="ListParagraph"/>
        <w:numPr>
          <w:ilvl w:val="0"/>
          <w:numId w:val="11"/>
        </w:numPr>
        <w:jc w:val="both"/>
        <w:rPr>
          <w:rFonts w:ascii="Garamond" w:hAnsi="Garamond"/>
          <w:sz w:val="24"/>
          <w:szCs w:val="24"/>
        </w:rPr>
      </w:pPr>
      <w:r>
        <w:rPr>
          <w:rFonts w:ascii="Garamond" w:hAnsi="Garamond"/>
          <w:sz w:val="24"/>
          <w:szCs w:val="24"/>
        </w:rPr>
        <w:t>In order t</w:t>
      </w:r>
      <w:r w:rsidR="00A31A7E">
        <w:rPr>
          <w:rFonts w:ascii="Garamond" w:hAnsi="Garamond"/>
          <w:sz w:val="24"/>
          <w:szCs w:val="24"/>
        </w:rPr>
        <w:t xml:space="preserve">o </w:t>
      </w:r>
      <w:r w:rsidR="004D1343" w:rsidRPr="00A31A7E">
        <w:rPr>
          <w:rFonts w:ascii="Garamond" w:hAnsi="Garamond"/>
          <w:sz w:val="24"/>
          <w:szCs w:val="24"/>
        </w:rPr>
        <w:t>achieve</w:t>
      </w:r>
      <w:r w:rsidR="00A31A7E">
        <w:rPr>
          <w:rFonts w:ascii="Garamond" w:hAnsi="Garamond"/>
          <w:sz w:val="24"/>
          <w:szCs w:val="24"/>
        </w:rPr>
        <w:t xml:space="preserve"> t</w:t>
      </w:r>
      <w:r w:rsidR="004D1343" w:rsidRPr="00A31A7E">
        <w:rPr>
          <w:rFonts w:ascii="Garamond" w:hAnsi="Garamond"/>
          <w:sz w:val="24"/>
          <w:szCs w:val="24"/>
        </w:rPr>
        <w:t xml:space="preserve">he objective of </w:t>
      </w:r>
      <w:r w:rsidR="00BD7620">
        <w:rPr>
          <w:rFonts w:ascii="Garamond" w:hAnsi="Garamond"/>
          <w:sz w:val="24"/>
          <w:szCs w:val="24"/>
        </w:rPr>
        <w:t xml:space="preserve">the </w:t>
      </w:r>
      <w:r w:rsidR="00EE7D7F" w:rsidRPr="00A31A7E">
        <w:rPr>
          <w:rFonts w:ascii="Garamond" w:hAnsi="Garamond"/>
          <w:sz w:val="24"/>
          <w:szCs w:val="24"/>
        </w:rPr>
        <w:t xml:space="preserve">Sustainable </w:t>
      </w:r>
      <w:r w:rsidRPr="00A31A7E">
        <w:rPr>
          <w:rFonts w:ascii="Garamond" w:hAnsi="Garamond"/>
          <w:sz w:val="24"/>
          <w:szCs w:val="24"/>
        </w:rPr>
        <w:t>Fiscal Framework</w:t>
      </w:r>
      <w:r w:rsidR="004D1343" w:rsidRPr="00A31A7E">
        <w:rPr>
          <w:rFonts w:ascii="Garamond" w:hAnsi="Garamond"/>
          <w:sz w:val="24"/>
          <w:szCs w:val="24"/>
        </w:rPr>
        <w:t xml:space="preserve">, </w:t>
      </w:r>
      <w:r w:rsidRPr="00A31A7E">
        <w:rPr>
          <w:rFonts w:ascii="Garamond" w:hAnsi="Garamond"/>
          <w:sz w:val="24"/>
          <w:szCs w:val="24"/>
        </w:rPr>
        <w:t xml:space="preserve">Public </w:t>
      </w:r>
      <w:r>
        <w:rPr>
          <w:rFonts w:ascii="Garamond" w:hAnsi="Garamond"/>
          <w:sz w:val="24"/>
          <w:szCs w:val="24"/>
        </w:rPr>
        <w:t>Expenditure</w:t>
      </w:r>
      <w:r w:rsidRPr="00A31A7E">
        <w:rPr>
          <w:rFonts w:ascii="Garamond" w:hAnsi="Garamond"/>
          <w:sz w:val="24"/>
          <w:szCs w:val="24"/>
        </w:rPr>
        <w:t xml:space="preserve"> Planning </w:t>
      </w:r>
      <w:r w:rsidR="004D1343" w:rsidRPr="00A31A7E">
        <w:rPr>
          <w:rFonts w:ascii="Garamond" w:hAnsi="Garamond"/>
          <w:sz w:val="24"/>
          <w:szCs w:val="24"/>
        </w:rPr>
        <w:t xml:space="preserve">and </w:t>
      </w:r>
      <w:r>
        <w:rPr>
          <w:rFonts w:ascii="Garamond" w:hAnsi="Garamond"/>
          <w:sz w:val="24"/>
          <w:szCs w:val="24"/>
        </w:rPr>
        <w:t xml:space="preserve">Budgeting, </w:t>
      </w:r>
      <w:r w:rsidR="004D1343" w:rsidRPr="00A31A7E">
        <w:rPr>
          <w:rFonts w:ascii="Garamond" w:hAnsi="Garamond"/>
          <w:sz w:val="24"/>
          <w:szCs w:val="24"/>
        </w:rPr>
        <w:t>education and training of personnel</w:t>
      </w:r>
      <w:r>
        <w:rPr>
          <w:rFonts w:ascii="Garamond" w:hAnsi="Garamond"/>
          <w:sz w:val="24"/>
          <w:szCs w:val="24"/>
        </w:rPr>
        <w:t xml:space="preserve"> needs to be provided</w:t>
      </w:r>
      <w:r w:rsidR="004D1343" w:rsidRPr="00A31A7E">
        <w:rPr>
          <w:rFonts w:ascii="Garamond" w:hAnsi="Garamond"/>
          <w:sz w:val="24"/>
          <w:szCs w:val="24"/>
        </w:rPr>
        <w:t>. The current situation with the COVID-19 pandemic is a significant risk for the successful impleme</w:t>
      </w:r>
      <w:r w:rsidR="00EE7D7F">
        <w:rPr>
          <w:rFonts w:ascii="Garamond" w:hAnsi="Garamond"/>
          <w:sz w:val="24"/>
          <w:szCs w:val="24"/>
        </w:rPr>
        <w:t>ntation of the training process</w:t>
      </w:r>
      <w:r w:rsidR="004D1343" w:rsidRPr="00A31A7E">
        <w:rPr>
          <w:rFonts w:ascii="Garamond" w:hAnsi="Garamond"/>
          <w:sz w:val="24"/>
          <w:szCs w:val="24"/>
        </w:rPr>
        <w:t xml:space="preserve">. This circumstance can significantly slow down further dynamics </w:t>
      </w:r>
      <w:r>
        <w:rPr>
          <w:rFonts w:ascii="Garamond" w:hAnsi="Garamond"/>
          <w:sz w:val="24"/>
          <w:szCs w:val="24"/>
        </w:rPr>
        <w:t>in</w:t>
      </w:r>
      <w:r w:rsidR="004D1343" w:rsidRPr="00A31A7E">
        <w:rPr>
          <w:rFonts w:ascii="Garamond" w:hAnsi="Garamond"/>
          <w:sz w:val="24"/>
          <w:szCs w:val="24"/>
        </w:rPr>
        <w:t xml:space="preserve"> the execution of the planned activities.</w:t>
      </w:r>
    </w:p>
    <w:p w:rsidR="004D1343" w:rsidRPr="00EE7D7F" w:rsidRDefault="00BD7620" w:rsidP="00EE7D7F">
      <w:pPr>
        <w:pStyle w:val="ListParagraph"/>
        <w:numPr>
          <w:ilvl w:val="0"/>
          <w:numId w:val="11"/>
        </w:numPr>
        <w:jc w:val="both"/>
        <w:rPr>
          <w:rFonts w:ascii="Garamond" w:hAnsi="Garamond"/>
          <w:sz w:val="24"/>
          <w:szCs w:val="24"/>
        </w:rPr>
      </w:pPr>
      <w:r w:rsidRPr="00EE7D7F">
        <w:rPr>
          <w:rFonts w:ascii="Garamond" w:hAnsi="Garamond"/>
          <w:sz w:val="24"/>
          <w:szCs w:val="24"/>
        </w:rPr>
        <w:t xml:space="preserve">Certain </w:t>
      </w:r>
      <w:r w:rsidR="004D1343" w:rsidRPr="00EE7D7F">
        <w:rPr>
          <w:rFonts w:ascii="Garamond" w:hAnsi="Garamond"/>
          <w:sz w:val="24"/>
          <w:szCs w:val="24"/>
        </w:rPr>
        <w:t xml:space="preserve">inaccuracy of data and results obtained by model </w:t>
      </w:r>
      <w:r w:rsidR="00EE7D7F">
        <w:rPr>
          <w:rFonts w:ascii="Garamond" w:hAnsi="Garamond"/>
          <w:sz w:val="24"/>
          <w:szCs w:val="24"/>
        </w:rPr>
        <w:t>assessment</w:t>
      </w:r>
      <w:r w:rsidR="004D1343" w:rsidRPr="00EE7D7F">
        <w:rPr>
          <w:rFonts w:ascii="Garamond" w:hAnsi="Garamond"/>
          <w:sz w:val="24"/>
          <w:szCs w:val="24"/>
        </w:rPr>
        <w:t xml:space="preserve"> within the </w:t>
      </w:r>
      <w:r w:rsidR="00F254DD">
        <w:rPr>
          <w:rFonts w:ascii="Garamond" w:hAnsi="Garamond"/>
          <w:sz w:val="24"/>
          <w:szCs w:val="24"/>
        </w:rPr>
        <w:t>Upgraded Model</w:t>
      </w:r>
      <w:r w:rsidR="00F254DD" w:rsidRPr="00EE7D7F">
        <w:rPr>
          <w:rFonts w:ascii="Garamond" w:hAnsi="Garamond"/>
          <w:sz w:val="24"/>
          <w:szCs w:val="24"/>
        </w:rPr>
        <w:t xml:space="preserve"> </w:t>
      </w:r>
      <w:r w:rsidR="004D1343" w:rsidRPr="00EE7D7F">
        <w:rPr>
          <w:rFonts w:ascii="Garamond" w:hAnsi="Garamond"/>
          <w:sz w:val="24"/>
          <w:szCs w:val="24"/>
        </w:rPr>
        <w:t xml:space="preserve">for </w:t>
      </w:r>
      <w:r w:rsidR="00F254DD" w:rsidRPr="00EE7D7F">
        <w:rPr>
          <w:rFonts w:ascii="Garamond" w:hAnsi="Garamond"/>
          <w:sz w:val="24"/>
          <w:szCs w:val="24"/>
        </w:rPr>
        <w:t>Macroeconomic Projections</w:t>
      </w:r>
      <w:r w:rsidR="004D1343" w:rsidRPr="00EE7D7F">
        <w:rPr>
          <w:rFonts w:ascii="Garamond" w:hAnsi="Garamond"/>
          <w:sz w:val="24"/>
          <w:szCs w:val="24"/>
        </w:rPr>
        <w:t xml:space="preserve">, which is a general feature of model solutions in </w:t>
      </w:r>
      <w:r w:rsidR="00F254DD">
        <w:rPr>
          <w:rFonts w:ascii="Garamond" w:hAnsi="Garamond"/>
          <w:sz w:val="24"/>
          <w:szCs w:val="24"/>
        </w:rPr>
        <w:t>the existing</w:t>
      </w:r>
      <w:r w:rsidR="004D1343" w:rsidRPr="00EE7D7F">
        <w:rPr>
          <w:rFonts w:ascii="Garamond" w:hAnsi="Garamond"/>
          <w:sz w:val="24"/>
          <w:szCs w:val="24"/>
        </w:rPr>
        <w:t xml:space="preserve"> economic shocks, indicates that the model used a certain degree of experiential and expert assessment to predict macroeconomic parameters. </w:t>
      </w:r>
      <w:r w:rsidR="00EE7D7F" w:rsidRPr="00EE7D7F">
        <w:rPr>
          <w:rFonts w:ascii="Garamond" w:hAnsi="Garamond"/>
          <w:sz w:val="24"/>
          <w:szCs w:val="24"/>
        </w:rPr>
        <w:t>COVID</w:t>
      </w:r>
      <w:r w:rsidR="004D1343" w:rsidRPr="00EE7D7F">
        <w:rPr>
          <w:rFonts w:ascii="Garamond" w:hAnsi="Garamond"/>
          <w:sz w:val="24"/>
          <w:szCs w:val="24"/>
        </w:rPr>
        <w:t xml:space="preserve">-19 crisis showed the weaknesses of the </w:t>
      </w:r>
      <w:r w:rsidR="00EE7D7F" w:rsidRPr="00EE7D7F">
        <w:rPr>
          <w:rFonts w:ascii="Garamond" w:hAnsi="Garamond"/>
          <w:sz w:val="24"/>
          <w:szCs w:val="24"/>
        </w:rPr>
        <w:t xml:space="preserve">Model </w:t>
      </w:r>
      <w:r w:rsidR="004D1343" w:rsidRPr="00EE7D7F">
        <w:rPr>
          <w:rFonts w:ascii="Garamond" w:hAnsi="Garamond"/>
          <w:sz w:val="24"/>
          <w:szCs w:val="24"/>
        </w:rPr>
        <w:t xml:space="preserve">in case </w:t>
      </w:r>
      <w:r w:rsidR="00EE7D7F">
        <w:rPr>
          <w:rFonts w:ascii="Garamond" w:hAnsi="Garamond"/>
          <w:sz w:val="24"/>
          <w:szCs w:val="24"/>
        </w:rPr>
        <w:t>of external market shocks</w:t>
      </w:r>
      <w:r w:rsidR="004D1343" w:rsidRPr="00EE7D7F">
        <w:rPr>
          <w:rFonts w:ascii="Garamond" w:hAnsi="Garamond"/>
          <w:sz w:val="24"/>
          <w:szCs w:val="24"/>
        </w:rPr>
        <w:t>.</w:t>
      </w:r>
    </w:p>
    <w:p w:rsidR="004D1343" w:rsidRPr="00EE7D7F" w:rsidRDefault="004D1343" w:rsidP="00EE7D7F">
      <w:pPr>
        <w:pStyle w:val="ListParagraph"/>
        <w:numPr>
          <w:ilvl w:val="0"/>
          <w:numId w:val="11"/>
        </w:numPr>
        <w:jc w:val="both"/>
        <w:rPr>
          <w:rFonts w:ascii="Garamond" w:hAnsi="Garamond"/>
          <w:sz w:val="24"/>
          <w:szCs w:val="24"/>
        </w:rPr>
      </w:pPr>
      <w:r w:rsidRPr="00EE7D7F">
        <w:rPr>
          <w:rFonts w:ascii="Garamond" w:hAnsi="Garamond"/>
          <w:sz w:val="24"/>
          <w:szCs w:val="24"/>
        </w:rPr>
        <w:t xml:space="preserve">Within the Tax Administration, it is necessary to further strengthen administrative capacities in light of the creation of new business processes imposed by the implementation of the </w:t>
      </w:r>
      <w:r w:rsidR="00F254DD">
        <w:rPr>
          <w:rFonts w:ascii="Garamond" w:hAnsi="Garamond"/>
          <w:sz w:val="24"/>
          <w:szCs w:val="24"/>
        </w:rPr>
        <w:t>digitalis</w:t>
      </w:r>
      <w:r w:rsidR="002352B7" w:rsidRPr="00EE7D7F">
        <w:rPr>
          <w:rFonts w:ascii="Garamond" w:hAnsi="Garamond"/>
          <w:sz w:val="24"/>
          <w:szCs w:val="24"/>
        </w:rPr>
        <w:t xml:space="preserve">ation </w:t>
      </w:r>
      <w:r w:rsidRPr="00EE7D7F">
        <w:rPr>
          <w:rFonts w:ascii="Garamond" w:hAnsi="Garamond"/>
          <w:sz w:val="24"/>
          <w:szCs w:val="24"/>
        </w:rPr>
        <w:t>project and processes. The outflow of staff remains a</w:t>
      </w:r>
      <w:r w:rsidR="002352B7">
        <w:rPr>
          <w:rFonts w:ascii="Garamond" w:hAnsi="Garamond"/>
          <w:sz w:val="24"/>
          <w:szCs w:val="24"/>
        </w:rPr>
        <w:t xml:space="preserve"> challenge in this </w:t>
      </w:r>
      <w:r w:rsidR="00F254DD">
        <w:rPr>
          <w:rFonts w:ascii="Garamond" w:hAnsi="Garamond"/>
          <w:sz w:val="24"/>
          <w:szCs w:val="24"/>
        </w:rPr>
        <w:t>regard</w:t>
      </w:r>
      <w:r w:rsidR="002352B7">
        <w:rPr>
          <w:rFonts w:ascii="Garamond" w:hAnsi="Garamond"/>
          <w:sz w:val="24"/>
          <w:szCs w:val="24"/>
        </w:rPr>
        <w:t>. Also</w:t>
      </w:r>
      <w:r w:rsidRPr="00EE7D7F">
        <w:rPr>
          <w:rFonts w:ascii="Garamond" w:hAnsi="Garamond"/>
          <w:sz w:val="24"/>
          <w:szCs w:val="24"/>
        </w:rPr>
        <w:t xml:space="preserve">, within the </w:t>
      </w:r>
      <w:r w:rsidR="002352B7">
        <w:rPr>
          <w:rFonts w:ascii="Garamond" w:hAnsi="Garamond"/>
          <w:sz w:val="24"/>
          <w:szCs w:val="24"/>
        </w:rPr>
        <w:t xml:space="preserve">Customs </w:t>
      </w:r>
      <w:r w:rsidR="002352B7" w:rsidRPr="00EE7D7F">
        <w:rPr>
          <w:rFonts w:ascii="Garamond" w:hAnsi="Garamond"/>
          <w:sz w:val="24"/>
          <w:szCs w:val="24"/>
        </w:rPr>
        <w:t>Administration</w:t>
      </w:r>
      <w:r w:rsidRPr="00EE7D7F">
        <w:rPr>
          <w:rFonts w:ascii="Garamond" w:hAnsi="Garamond"/>
          <w:sz w:val="24"/>
          <w:szCs w:val="24"/>
        </w:rPr>
        <w:t xml:space="preserve">, the main challenge in the coming period is the continuation </w:t>
      </w:r>
      <w:r w:rsidR="002352B7">
        <w:rPr>
          <w:rFonts w:ascii="Garamond" w:hAnsi="Garamond"/>
          <w:sz w:val="24"/>
          <w:szCs w:val="24"/>
        </w:rPr>
        <w:t>of the improvement of the</w:t>
      </w:r>
      <w:r w:rsidRPr="00EE7D7F">
        <w:rPr>
          <w:rFonts w:ascii="Garamond" w:hAnsi="Garamond"/>
          <w:sz w:val="24"/>
          <w:szCs w:val="24"/>
        </w:rPr>
        <w:t xml:space="preserve"> IT system </w:t>
      </w:r>
      <w:r w:rsidR="002352B7">
        <w:rPr>
          <w:rFonts w:ascii="Garamond" w:hAnsi="Garamond"/>
          <w:sz w:val="24"/>
          <w:szCs w:val="24"/>
        </w:rPr>
        <w:t>or</w:t>
      </w:r>
      <w:r w:rsidR="00F254DD">
        <w:rPr>
          <w:rFonts w:ascii="Garamond" w:hAnsi="Garamond"/>
          <w:sz w:val="24"/>
          <w:szCs w:val="24"/>
        </w:rPr>
        <w:t xml:space="preserve"> implementation of modernis</w:t>
      </w:r>
      <w:r w:rsidRPr="00EE7D7F">
        <w:rPr>
          <w:rFonts w:ascii="Garamond" w:hAnsi="Garamond"/>
          <w:sz w:val="24"/>
          <w:szCs w:val="24"/>
        </w:rPr>
        <w:t>ed information systems applied by EU customs services in order to achieve interco</w:t>
      </w:r>
      <w:r w:rsidR="002352B7">
        <w:rPr>
          <w:rFonts w:ascii="Garamond" w:hAnsi="Garamond"/>
          <w:sz w:val="24"/>
          <w:szCs w:val="24"/>
        </w:rPr>
        <w:t>nnectivity and interoperability</w:t>
      </w:r>
      <w:r w:rsidRPr="00EE7D7F">
        <w:rPr>
          <w:rFonts w:ascii="Garamond" w:hAnsi="Garamond"/>
          <w:sz w:val="24"/>
          <w:szCs w:val="24"/>
        </w:rPr>
        <w:t>.</w:t>
      </w:r>
    </w:p>
    <w:p w:rsidR="004D1343" w:rsidRPr="002352B7" w:rsidRDefault="002352B7" w:rsidP="002352B7">
      <w:pPr>
        <w:pStyle w:val="ListParagraph"/>
        <w:numPr>
          <w:ilvl w:val="0"/>
          <w:numId w:val="11"/>
        </w:numPr>
        <w:jc w:val="both"/>
        <w:rPr>
          <w:rFonts w:ascii="Garamond" w:hAnsi="Garamond"/>
          <w:sz w:val="24"/>
          <w:szCs w:val="24"/>
        </w:rPr>
      </w:pPr>
      <w:r>
        <w:rPr>
          <w:rFonts w:ascii="Garamond" w:hAnsi="Garamond"/>
          <w:sz w:val="24"/>
          <w:szCs w:val="24"/>
        </w:rPr>
        <w:t>As concerns</w:t>
      </w:r>
      <w:r w:rsidR="004D1343" w:rsidRPr="002352B7">
        <w:rPr>
          <w:rFonts w:ascii="Garamond" w:hAnsi="Garamond"/>
          <w:sz w:val="24"/>
          <w:szCs w:val="24"/>
        </w:rPr>
        <w:t xml:space="preserve"> </w:t>
      </w:r>
      <w:r w:rsidR="00786DD4">
        <w:rPr>
          <w:rFonts w:ascii="Garamond" w:hAnsi="Garamond"/>
          <w:sz w:val="24"/>
          <w:szCs w:val="24"/>
        </w:rPr>
        <w:t>the improvement of the</w:t>
      </w:r>
      <w:r w:rsidR="004D1343" w:rsidRPr="002352B7">
        <w:rPr>
          <w:rFonts w:ascii="Garamond" w:hAnsi="Garamond"/>
          <w:sz w:val="24"/>
          <w:szCs w:val="24"/>
        </w:rPr>
        <w:t xml:space="preserve"> reform of public procurement policy, the challenge is to conduct continuous training and development intended for public procurement officers and persons participating in public procurement procedures. Thorough regulation and monitoring </w:t>
      </w:r>
      <w:r w:rsidR="00786DD4">
        <w:rPr>
          <w:rFonts w:ascii="Garamond" w:hAnsi="Garamond"/>
          <w:sz w:val="24"/>
          <w:szCs w:val="24"/>
        </w:rPr>
        <w:t xml:space="preserve">of </w:t>
      </w:r>
      <w:r w:rsidR="004D1343" w:rsidRPr="002352B7">
        <w:rPr>
          <w:rFonts w:ascii="Garamond" w:hAnsi="Garamond"/>
          <w:sz w:val="24"/>
          <w:szCs w:val="24"/>
        </w:rPr>
        <w:t>th</w:t>
      </w:r>
      <w:r w:rsidR="00786DD4">
        <w:rPr>
          <w:rFonts w:ascii="Garamond" w:hAnsi="Garamond"/>
          <w:sz w:val="24"/>
          <w:szCs w:val="24"/>
        </w:rPr>
        <w:t>e implementation of procurements with value</w:t>
      </w:r>
      <w:r w:rsidR="004D1343" w:rsidRPr="002352B7">
        <w:rPr>
          <w:rFonts w:ascii="Garamond" w:hAnsi="Garamond"/>
          <w:sz w:val="24"/>
          <w:szCs w:val="24"/>
        </w:rPr>
        <w:t xml:space="preserve"> below the </w:t>
      </w:r>
      <w:r>
        <w:rPr>
          <w:rFonts w:ascii="Garamond" w:hAnsi="Garamond"/>
          <w:sz w:val="24"/>
          <w:szCs w:val="24"/>
        </w:rPr>
        <w:t>threshold provided by the Law (simple procurement</w:t>
      </w:r>
      <w:r w:rsidR="004D1343" w:rsidRPr="002352B7">
        <w:rPr>
          <w:rFonts w:ascii="Garamond" w:hAnsi="Garamond"/>
          <w:sz w:val="24"/>
          <w:szCs w:val="24"/>
        </w:rPr>
        <w:t xml:space="preserve">) </w:t>
      </w:r>
      <w:r w:rsidR="00786DD4">
        <w:rPr>
          <w:rFonts w:ascii="Garamond" w:hAnsi="Garamond"/>
          <w:sz w:val="24"/>
          <w:szCs w:val="24"/>
        </w:rPr>
        <w:t>is to be overcome by standardis</w:t>
      </w:r>
      <w:r>
        <w:rPr>
          <w:rFonts w:ascii="Garamond" w:hAnsi="Garamond"/>
          <w:sz w:val="24"/>
          <w:szCs w:val="24"/>
        </w:rPr>
        <w:t>ing</w:t>
      </w:r>
      <w:r w:rsidR="004D1343" w:rsidRPr="002352B7">
        <w:rPr>
          <w:rFonts w:ascii="Garamond" w:hAnsi="Garamond"/>
          <w:sz w:val="24"/>
          <w:szCs w:val="24"/>
        </w:rPr>
        <w:t xml:space="preserve"> </w:t>
      </w:r>
      <w:r>
        <w:rPr>
          <w:rFonts w:ascii="Garamond" w:hAnsi="Garamond"/>
          <w:sz w:val="24"/>
          <w:szCs w:val="24"/>
        </w:rPr>
        <w:t>simple</w:t>
      </w:r>
      <w:r w:rsidR="004D1343" w:rsidRPr="002352B7">
        <w:rPr>
          <w:rFonts w:ascii="Garamond" w:hAnsi="Garamond"/>
          <w:sz w:val="24"/>
          <w:szCs w:val="24"/>
        </w:rPr>
        <w:t xml:space="preserve"> procurement procedures as exemptions from the application of the </w:t>
      </w:r>
      <w:r>
        <w:rPr>
          <w:rFonts w:ascii="Garamond" w:hAnsi="Garamond"/>
          <w:sz w:val="24"/>
          <w:szCs w:val="24"/>
        </w:rPr>
        <w:t xml:space="preserve">Public </w:t>
      </w:r>
      <w:r w:rsidR="002B6375">
        <w:rPr>
          <w:rFonts w:ascii="Garamond" w:hAnsi="Garamond"/>
          <w:sz w:val="24"/>
          <w:szCs w:val="24"/>
        </w:rPr>
        <w:t>Procurement</w:t>
      </w:r>
      <w:r>
        <w:rPr>
          <w:rFonts w:ascii="Garamond" w:hAnsi="Garamond"/>
          <w:sz w:val="24"/>
          <w:szCs w:val="24"/>
        </w:rPr>
        <w:t xml:space="preserve"> Law</w:t>
      </w:r>
      <w:r w:rsidR="004D1343" w:rsidRPr="002352B7">
        <w:rPr>
          <w:rFonts w:ascii="Garamond" w:hAnsi="Garamond"/>
          <w:sz w:val="24"/>
          <w:szCs w:val="24"/>
        </w:rPr>
        <w:t xml:space="preserve"> and prescribing </w:t>
      </w:r>
      <w:r w:rsidR="00786DD4">
        <w:rPr>
          <w:rFonts w:ascii="Garamond" w:hAnsi="Garamond"/>
          <w:sz w:val="24"/>
          <w:szCs w:val="24"/>
        </w:rPr>
        <w:t>a single</w:t>
      </w:r>
      <w:r>
        <w:rPr>
          <w:rFonts w:ascii="Garamond" w:hAnsi="Garamond"/>
          <w:sz w:val="24"/>
          <w:szCs w:val="24"/>
        </w:rPr>
        <w:t xml:space="preserve"> </w:t>
      </w:r>
      <w:r w:rsidR="004D1343" w:rsidRPr="002352B7">
        <w:rPr>
          <w:rFonts w:ascii="Garamond" w:hAnsi="Garamond"/>
          <w:sz w:val="24"/>
          <w:szCs w:val="24"/>
        </w:rPr>
        <w:t>act that will apply to all</w:t>
      </w:r>
      <w:r>
        <w:rPr>
          <w:rFonts w:ascii="Garamond" w:hAnsi="Garamond"/>
          <w:sz w:val="24"/>
          <w:szCs w:val="24"/>
        </w:rPr>
        <w:t xml:space="preserve"> contracting authorities</w:t>
      </w:r>
      <w:r w:rsidR="004D1343" w:rsidRPr="002352B7">
        <w:rPr>
          <w:rFonts w:ascii="Garamond" w:hAnsi="Garamond"/>
          <w:sz w:val="24"/>
          <w:szCs w:val="24"/>
        </w:rPr>
        <w:t xml:space="preserve">, </w:t>
      </w:r>
      <w:r w:rsidR="00786DD4">
        <w:rPr>
          <w:rFonts w:ascii="Garamond" w:hAnsi="Garamond"/>
          <w:sz w:val="24"/>
          <w:szCs w:val="24"/>
        </w:rPr>
        <w:t xml:space="preserve">so to </w:t>
      </w:r>
      <w:r>
        <w:rPr>
          <w:rFonts w:ascii="Garamond" w:hAnsi="Garamond"/>
          <w:sz w:val="24"/>
          <w:szCs w:val="24"/>
        </w:rPr>
        <w:t>unify</w:t>
      </w:r>
      <w:r w:rsidR="004D1343" w:rsidRPr="002352B7">
        <w:rPr>
          <w:rFonts w:ascii="Garamond" w:hAnsi="Garamond"/>
          <w:sz w:val="24"/>
          <w:szCs w:val="24"/>
        </w:rPr>
        <w:t xml:space="preserve"> </w:t>
      </w:r>
      <w:r w:rsidR="00786DD4">
        <w:rPr>
          <w:rFonts w:ascii="Garamond" w:hAnsi="Garamond"/>
          <w:sz w:val="24"/>
          <w:szCs w:val="24"/>
        </w:rPr>
        <w:t xml:space="preserve">the </w:t>
      </w:r>
      <w:r w:rsidR="004D1343" w:rsidRPr="002352B7">
        <w:rPr>
          <w:rFonts w:ascii="Garamond" w:hAnsi="Garamond"/>
          <w:sz w:val="24"/>
          <w:szCs w:val="24"/>
        </w:rPr>
        <w:t xml:space="preserve">procedure of these procurements at the level of the entire system. With further progression </w:t>
      </w:r>
      <w:r w:rsidR="002B6375">
        <w:rPr>
          <w:rFonts w:ascii="Garamond" w:hAnsi="Garamond"/>
          <w:sz w:val="24"/>
          <w:szCs w:val="24"/>
        </w:rPr>
        <w:t>of</w:t>
      </w:r>
      <w:r w:rsidR="004D1343" w:rsidRPr="002352B7">
        <w:rPr>
          <w:rFonts w:ascii="Garamond" w:hAnsi="Garamond"/>
          <w:sz w:val="24"/>
          <w:szCs w:val="24"/>
        </w:rPr>
        <w:t xml:space="preserve"> electronic public procurement system, which began with the application o</w:t>
      </w:r>
      <w:r w:rsidR="002B6375">
        <w:rPr>
          <w:rFonts w:ascii="Garamond" w:hAnsi="Garamond"/>
          <w:sz w:val="24"/>
          <w:szCs w:val="24"/>
        </w:rPr>
        <w:t>n</w:t>
      </w:r>
      <w:r w:rsidR="004D1343" w:rsidRPr="002352B7">
        <w:rPr>
          <w:rFonts w:ascii="Garamond" w:hAnsi="Garamond"/>
          <w:sz w:val="24"/>
          <w:szCs w:val="24"/>
        </w:rPr>
        <w:t xml:space="preserve"> 1 January 2021, it is planned </w:t>
      </w:r>
      <w:r w:rsidR="002B6375">
        <w:rPr>
          <w:rFonts w:ascii="Garamond" w:hAnsi="Garamond"/>
          <w:sz w:val="24"/>
          <w:szCs w:val="24"/>
        </w:rPr>
        <w:t>for the employees of the Ministry</w:t>
      </w:r>
      <w:r w:rsidR="002B6375" w:rsidRPr="002352B7">
        <w:rPr>
          <w:rFonts w:ascii="Garamond" w:hAnsi="Garamond"/>
          <w:sz w:val="24"/>
          <w:szCs w:val="24"/>
        </w:rPr>
        <w:t xml:space="preserve"> </w:t>
      </w:r>
      <w:r w:rsidR="004D1343" w:rsidRPr="002352B7">
        <w:rPr>
          <w:rFonts w:ascii="Garamond" w:hAnsi="Garamond"/>
          <w:sz w:val="24"/>
          <w:szCs w:val="24"/>
        </w:rPr>
        <w:t>to continuous</w:t>
      </w:r>
      <w:r w:rsidR="002B6375">
        <w:rPr>
          <w:rFonts w:ascii="Garamond" w:hAnsi="Garamond"/>
          <w:sz w:val="24"/>
          <w:szCs w:val="24"/>
        </w:rPr>
        <w:t>ly</w:t>
      </w:r>
      <w:r w:rsidR="004D1343" w:rsidRPr="002352B7">
        <w:rPr>
          <w:rFonts w:ascii="Garamond" w:hAnsi="Garamond"/>
          <w:sz w:val="24"/>
          <w:szCs w:val="24"/>
        </w:rPr>
        <w:t xml:space="preserve"> support </w:t>
      </w:r>
      <w:r w:rsidR="002B6375">
        <w:rPr>
          <w:rFonts w:ascii="Garamond" w:hAnsi="Garamond"/>
          <w:sz w:val="24"/>
          <w:szCs w:val="24"/>
        </w:rPr>
        <w:t>system users</w:t>
      </w:r>
      <w:r w:rsidR="004D1343" w:rsidRPr="002352B7">
        <w:rPr>
          <w:rFonts w:ascii="Garamond" w:hAnsi="Garamond"/>
          <w:sz w:val="24"/>
          <w:szCs w:val="24"/>
        </w:rPr>
        <w:t>.</w:t>
      </w:r>
    </w:p>
    <w:p w:rsidR="004D1343" w:rsidRPr="002B6375" w:rsidRDefault="004D1343" w:rsidP="002B6375">
      <w:pPr>
        <w:pStyle w:val="ListParagraph"/>
        <w:numPr>
          <w:ilvl w:val="0"/>
          <w:numId w:val="11"/>
        </w:numPr>
        <w:jc w:val="both"/>
        <w:rPr>
          <w:rFonts w:ascii="Garamond" w:hAnsi="Garamond"/>
          <w:sz w:val="24"/>
          <w:szCs w:val="24"/>
        </w:rPr>
      </w:pPr>
      <w:r w:rsidRPr="002B6375">
        <w:rPr>
          <w:rFonts w:ascii="Garamond" w:hAnsi="Garamond"/>
          <w:sz w:val="24"/>
          <w:szCs w:val="24"/>
        </w:rPr>
        <w:t xml:space="preserve">Further establishment </w:t>
      </w:r>
      <w:r w:rsidR="002B6375">
        <w:rPr>
          <w:rFonts w:ascii="Garamond" w:hAnsi="Garamond"/>
          <w:sz w:val="24"/>
          <w:szCs w:val="24"/>
        </w:rPr>
        <w:t>of the</w:t>
      </w:r>
      <w:r w:rsidRPr="002B6375">
        <w:rPr>
          <w:rFonts w:ascii="Garamond" w:hAnsi="Garamond"/>
          <w:sz w:val="24"/>
          <w:szCs w:val="24"/>
        </w:rPr>
        <w:t xml:space="preserve"> delegation of </w:t>
      </w:r>
      <w:r w:rsidR="00786DD4">
        <w:rPr>
          <w:rFonts w:ascii="Garamond" w:hAnsi="Garamond"/>
          <w:sz w:val="24"/>
          <w:szCs w:val="24"/>
        </w:rPr>
        <w:t>accountability</w:t>
      </w:r>
      <w:r w:rsidR="002B6375">
        <w:rPr>
          <w:rFonts w:ascii="Garamond" w:hAnsi="Garamond"/>
          <w:sz w:val="24"/>
          <w:szCs w:val="24"/>
        </w:rPr>
        <w:t xml:space="preserve"> system</w:t>
      </w:r>
      <w:r w:rsidRPr="002B6375">
        <w:rPr>
          <w:rFonts w:ascii="Garamond" w:hAnsi="Garamond"/>
          <w:sz w:val="24"/>
          <w:szCs w:val="24"/>
        </w:rPr>
        <w:t>, as well as further strengthening of th</w:t>
      </w:r>
      <w:r w:rsidR="002B6375">
        <w:rPr>
          <w:rFonts w:ascii="Garamond" w:hAnsi="Garamond"/>
          <w:sz w:val="24"/>
          <w:szCs w:val="24"/>
        </w:rPr>
        <w:t>e capacity of internal auditors</w:t>
      </w:r>
      <w:r w:rsidRPr="002B6375">
        <w:rPr>
          <w:rFonts w:ascii="Garamond" w:hAnsi="Garamond"/>
          <w:sz w:val="24"/>
          <w:szCs w:val="24"/>
        </w:rPr>
        <w:t>.</w:t>
      </w:r>
    </w:p>
    <w:p w:rsidR="004D1343" w:rsidRPr="002B6375" w:rsidRDefault="004D1343" w:rsidP="002B6375">
      <w:pPr>
        <w:pStyle w:val="ListParagraph"/>
        <w:numPr>
          <w:ilvl w:val="0"/>
          <w:numId w:val="13"/>
        </w:numPr>
        <w:jc w:val="both"/>
        <w:rPr>
          <w:rFonts w:ascii="Garamond" w:hAnsi="Garamond"/>
          <w:sz w:val="24"/>
          <w:szCs w:val="24"/>
        </w:rPr>
      </w:pPr>
      <w:r w:rsidRPr="002B6375">
        <w:rPr>
          <w:rFonts w:ascii="Garamond" w:hAnsi="Garamond"/>
          <w:sz w:val="24"/>
          <w:szCs w:val="24"/>
        </w:rPr>
        <w:t xml:space="preserve">Implementation of data on state property in a single </w:t>
      </w:r>
      <w:r w:rsidR="00C13A74">
        <w:rPr>
          <w:rFonts w:ascii="Garamond" w:hAnsi="Garamond"/>
          <w:sz w:val="24"/>
          <w:szCs w:val="24"/>
        </w:rPr>
        <w:t>ARS</w:t>
      </w:r>
      <w:r w:rsidR="00C13A74" w:rsidRPr="002B6375">
        <w:rPr>
          <w:rFonts w:ascii="Garamond" w:hAnsi="Garamond"/>
          <w:sz w:val="24"/>
          <w:szCs w:val="24"/>
        </w:rPr>
        <w:t xml:space="preserve"> </w:t>
      </w:r>
      <w:r w:rsidRPr="002B6375">
        <w:rPr>
          <w:rFonts w:ascii="Garamond" w:hAnsi="Garamond"/>
          <w:sz w:val="24"/>
          <w:szCs w:val="24"/>
        </w:rPr>
        <w:t xml:space="preserve">database, depending on the </w:t>
      </w:r>
      <w:r w:rsidR="002B6375">
        <w:rPr>
          <w:rFonts w:ascii="Garamond" w:hAnsi="Garamond"/>
          <w:sz w:val="24"/>
          <w:szCs w:val="24"/>
        </w:rPr>
        <w:t>authority</w:t>
      </w:r>
      <w:r w:rsidRPr="002B6375">
        <w:rPr>
          <w:rFonts w:ascii="Garamond" w:hAnsi="Garamond"/>
          <w:sz w:val="24"/>
          <w:szCs w:val="24"/>
        </w:rPr>
        <w:t xml:space="preserve"> to be found in the records, </w:t>
      </w:r>
      <w:r w:rsidR="002B6375">
        <w:rPr>
          <w:rFonts w:ascii="Garamond" w:hAnsi="Garamond"/>
          <w:sz w:val="24"/>
          <w:szCs w:val="24"/>
        </w:rPr>
        <w:t>which is why there is a need for</w:t>
      </w:r>
      <w:r w:rsidRPr="002B6375">
        <w:rPr>
          <w:rFonts w:ascii="Garamond" w:hAnsi="Garamond"/>
          <w:sz w:val="24"/>
          <w:szCs w:val="24"/>
        </w:rPr>
        <w:t xml:space="preserve"> their full cooperation and participation with </w:t>
      </w:r>
      <w:r w:rsidR="002B6375">
        <w:rPr>
          <w:rFonts w:ascii="Garamond" w:hAnsi="Garamond"/>
          <w:sz w:val="24"/>
          <w:szCs w:val="24"/>
        </w:rPr>
        <w:t>proposals</w:t>
      </w:r>
      <w:r w:rsidRPr="002B6375">
        <w:rPr>
          <w:rFonts w:ascii="Garamond" w:hAnsi="Garamond"/>
          <w:sz w:val="24"/>
          <w:szCs w:val="24"/>
        </w:rPr>
        <w:t xml:space="preserve"> and suggestions.</w:t>
      </w:r>
      <w:r w:rsidR="00C13A74">
        <w:rPr>
          <w:rFonts w:ascii="Garamond" w:hAnsi="Garamond"/>
          <w:sz w:val="24"/>
          <w:szCs w:val="24"/>
        </w:rPr>
        <w:t xml:space="preserve"> </w:t>
      </w:r>
    </w:p>
    <w:p w:rsidR="004D1343" w:rsidRPr="002B6375" w:rsidRDefault="004D1343" w:rsidP="002B6375">
      <w:pPr>
        <w:pStyle w:val="ListParagraph"/>
        <w:numPr>
          <w:ilvl w:val="0"/>
          <w:numId w:val="13"/>
        </w:numPr>
        <w:jc w:val="both"/>
        <w:rPr>
          <w:rFonts w:ascii="Garamond" w:hAnsi="Garamond"/>
          <w:sz w:val="24"/>
          <w:szCs w:val="24"/>
        </w:rPr>
      </w:pPr>
      <w:r w:rsidRPr="002B6375">
        <w:rPr>
          <w:rFonts w:ascii="Garamond" w:hAnsi="Garamond"/>
          <w:sz w:val="24"/>
          <w:szCs w:val="24"/>
        </w:rPr>
        <w:t xml:space="preserve">In the forthcoming period, the challenge </w:t>
      </w:r>
      <w:r w:rsidR="00782882">
        <w:rPr>
          <w:rFonts w:ascii="Garamond" w:hAnsi="Garamond"/>
          <w:sz w:val="24"/>
          <w:szCs w:val="24"/>
        </w:rPr>
        <w:t>for</w:t>
      </w:r>
      <w:r w:rsidRPr="002B6375">
        <w:rPr>
          <w:rFonts w:ascii="Garamond" w:hAnsi="Garamond"/>
          <w:sz w:val="24"/>
          <w:szCs w:val="24"/>
        </w:rPr>
        <w:t xml:space="preserve"> </w:t>
      </w:r>
      <w:r w:rsidR="00A72E75">
        <w:rPr>
          <w:rFonts w:ascii="Garamond" w:hAnsi="Garamond"/>
          <w:sz w:val="24"/>
          <w:szCs w:val="24"/>
        </w:rPr>
        <w:t>SAI</w:t>
      </w:r>
      <w:r w:rsidRPr="002B6375">
        <w:rPr>
          <w:rFonts w:ascii="Garamond" w:hAnsi="Garamond"/>
          <w:sz w:val="24"/>
          <w:szCs w:val="24"/>
        </w:rPr>
        <w:t xml:space="preserve"> is still considered to be insufficient space that affect</w:t>
      </w:r>
      <w:r w:rsidR="00C13A74">
        <w:rPr>
          <w:rFonts w:ascii="Garamond" w:hAnsi="Garamond"/>
          <w:sz w:val="24"/>
          <w:szCs w:val="24"/>
        </w:rPr>
        <w:t>s</w:t>
      </w:r>
      <w:r w:rsidRPr="002B6375">
        <w:rPr>
          <w:rFonts w:ascii="Garamond" w:hAnsi="Garamond"/>
          <w:sz w:val="24"/>
          <w:szCs w:val="24"/>
        </w:rPr>
        <w:t xml:space="preserve"> the dynamics of hiring new staff. In orde</w:t>
      </w:r>
      <w:r w:rsidR="00A72E75">
        <w:rPr>
          <w:rFonts w:ascii="Garamond" w:hAnsi="Garamond"/>
          <w:sz w:val="24"/>
          <w:szCs w:val="24"/>
        </w:rPr>
        <w:t xml:space="preserve">r to overcome the challenges, </w:t>
      </w:r>
      <w:r w:rsidR="00782882">
        <w:rPr>
          <w:rFonts w:ascii="Garamond" w:hAnsi="Garamond"/>
          <w:sz w:val="24"/>
          <w:szCs w:val="24"/>
        </w:rPr>
        <w:t xml:space="preserve">Terms </w:t>
      </w:r>
      <w:r w:rsidR="00A72E75">
        <w:rPr>
          <w:rFonts w:ascii="Garamond" w:hAnsi="Garamond"/>
          <w:sz w:val="24"/>
          <w:szCs w:val="24"/>
        </w:rPr>
        <w:t xml:space="preserve">of </w:t>
      </w:r>
      <w:r w:rsidR="00782882">
        <w:rPr>
          <w:rFonts w:ascii="Garamond" w:hAnsi="Garamond"/>
          <w:sz w:val="24"/>
          <w:szCs w:val="24"/>
        </w:rPr>
        <w:t xml:space="preserve">Reference </w:t>
      </w:r>
      <w:r w:rsidR="00A72E75">
        <w:rPr>
          <w:rFonts w:ascii="Garamond" w:hAnsi="Garamond"/>
          <w:sz w:val="24"/>
          <w:szCs w:val="24"/>
        </w:rPr>
        <w:t>have been prepared for</w:t>
      </w:r>
      <w:r w:rsidRPr="002B6375">
        <w:rPr>
          <w:rFonts w:ascii="Garamond" w:hAnsi="Garamond"/>
          <w:sz w:val="24"/>
          <w:szCs w:val="24"/>
        </w:rPr>
        <w:t xml:space="preserve"> the architectural competition </w:t>
      </w:r>
      <w:r w:rsidR="00C13A74">
        <w:rPr>
          <w:rFonts w:ascii="Garamond" w:hAnsi="Garamond"/>
          <w:sz w:val="24"/>
          <w:szCs w:val="24"/>
        </w:rPr>
        <w:t>for</w:t>
      </w:r>
      <w:r w:rsidRPr="002B6375">
        <w:rPr>
          <w:rFonts w:ascii="Garamond" w:hAnsi="Garamond"/>
          <w:sz w:val="24"/>
          <w:szCs w:val="24"/>
        </w:rPr>
        <w:t xml:space="preserve"> the conceptual design of the SAI building with defined needs, in accordance with the Law.</w:t>
      </w:r>
    </w:p>
    <w:p w:rsidR="004D1343" w:rsidRPr="00A72E75" w:rsidRDefault="004D1343" w:rsidP="00A72E75">
      <w:pPr>
        <w:pStyle w:val="ListParagraph"/>
        <w:numPr>
          <w:ilvl w:val="0"/>
          <w:numId w:val="13"/>
        </w:numPr>
        <w:jc w:val="both"/>
        <w:rPr>
          <w:rFonts w:ascii="Garamond" w:hAnsi="Garamond"/>
          <w:sz w:val="24"/>
          <w:szCs w:val="24"/>
        </w:rPr>
      </w:pPr>
      <w:r w:rsidRPr="00A72E75">
        <w:rPr>
          <w:rFonts w:ascii="Garamond" w:hAnsi="Garamond"/>
          <w:sz w:val="24"/>
          <w:szCs w:val="24"/>
        </w:rPr>
        <w:t>Within the Audit Authority (</w:t>
      </w:r>
      <w:r w:rsidR="00A72E75">
        <w:rPr>
          <w:rFonts w:ascii="Garamond" w:hAnsi="Garamond"/>
          <w:sz w:val="24"/>
          <w:szCs w:val="24"/>
        </w:rPr>
        <w:t>AA)</w:t>
      </w:r>
      <w:r w:rsidRPr="00A72E75">
        <w:rPr>
          <w:rFonts w:ascii="Garamond" w:hAnsi="Garamond"/>
          <w:sz w:val="24"/>
          <w:szCs w:val="24"/>
        </w:rPr>
        <w:t xml:space="preserve">, significant audit activities are forthcoming and an increased workload is expected regarding the audits of the IPA II </w:t>
      </w:r>
      <w:r w:rsidR="00AB73F6" w:rsidRPr="00A72E75">
        <w:rPr>
          <w:rFonts w:ascii="Garamond" w:hAnsi="Garamond"/>
          <w:sz w:val="24"/>
          <w:szCs w:val="24"/>
        </w:rPr>
        <w:t>Programme</w:t>
      </w:r>
      <w:r w:rsidRPr="00A72E75">
        <w:rPr>
          <w:rFonts w:ascii="Garamond" w:hAnsi="Garamond"/>
          <w:sz w:val="24"/>
          <w:szCs w:val="24"/>
        </w:rPr>
        <w:t xml:space="preserve">, their closure and the start of implementation of approved projects under the new financial perspective (IPA III 2021-2027). The challenge </w:t>
      </w:r>
      <w:r w:rsidR="00A72E75">
        <w:rPr>
          <w:rFonts w:ascii="Garamond" w:hAnsi="Garamond"/>
          <w:sz w:val="24"/>
          <w:szCs w:val="24"/>
        </w:rPr>
        <w:t>is</w:t>
      </w:r>
      <w:r w:rsidRPr="00A72E75">
        <w:rPr>
          <w:rFonts w:ascii="Garamond" w:hAnsi="Garamond"/>
          <w:sz w:val="24"/>
          <w:szCs w:val="24"/>
        </w:rPr>
        <w:t xml:space="preserve"> recruitment of sta</w:t>
      </w:r>
      <w:r w:rsidR="00782882">
        <w:rPr>
          <w:rFonts w:ascii="Garamond" w:hAnsi="Garamond"/>
          <w:sz w:val="24"/>
          <w:szCs w:val="24"/>
        </w:rPr>
        <w:t>ff capacity to vacant systematis</w:t>
      </w:r>
      <w:r w:rsidRPr="00A72E75">
        <w:rPr>
          <w:rFonts w:ascii="Garamond" w:hAnsi="Garamond"/>
          <w:sz w:val="24"/>
          <w:szCs w:val="24"/>
        </w:rPr>
        <w:t xml:space="preserve">ed working positions, compliance with auditing standards and new legal requirements that require certain amendments </w:t>
      </w:r>
      <w:r w:rsidR="00C13A74">
        <w:rPr>
          <w:rFonts w:ascii="Garamond" w:hAnsi="Garamond"/>
          <w:sz w:val="24"/>
          <w:szCs w:val="24"/>
        </w:rPr>
        <w:t xml:space="preserve">to the </w:t>
      </w:r>
      <w:r w:rsidR="00A72E75">
        <w:rPr>
          <w:rFonts w:ascii="Garamond" w:hAnsi="Garamond"/>
          <w:sz w:val="24"/>
          <w:szCs w:val="24"/>
        </w:rPr>
        <w:t xml:space="preserve">AA </w:t>
      </w:r>
      <w:r w:rsidRPr="00A72E75">
        <w:rPr>
          <w:rFonts w:ascii="Garamond" w:hAnsi="Garamond"/>
          <w:sz w:val="24"/>
          <w:szCs w:val="24"/>
        </w:rPr>
        <w:t xml:space="preserve">legislation, as well as strengthening the visibility of the </w:t>
      </w:r>
      <w:r w:rsidR="00A72E75">
        <w:rPr>
          <w:rFonts w:ascii="Garamond" w:hAnsi="Garamond"/>
          <w:sz w:val="24"/>
          <w:szCs w:val="24"/>
        </w:rPr>
        <w:t>AA</w:t>
      </w:r>
      <w:r w:rsidRPr="00A72E75">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A72E75">
      <w:pPr>
        <w:jc w:val="both"/>
        <w:rPr>
          <w:rFonts w:ascii="Garamond" w:hAnsi="Garamond"/>
          <w:sz w:val="24"/>
          <w:szCs w:val="24"/>
        </w:rPr>
      </w:pPr>
      <w:r w:rsidRPr="00C32887">
        <w:rPr>
          <w:rFonts w:ascii="Garamond" w:hAnsi="Garamond"/>
          <w:sz w:val="24"/>
          <w:szCs w:val="24"/>
        </w:rPr>
        <w:t>It is importa</w:t>
      </w:r>
      <w:r w:rsidR="00A72E75">
        <w:rPr>
          <w:rFonts w:ascii="Garamond" w:hAnsi="Garamond"/>
          <w:sz w:val="24"/>
          <w:szCs w:val="24"/>
        </w:rPr>
        <w:t xml:space="preserve">nt to </w:t>
      </w:r>
      <w:r w:rsidR="002F3ADA">
        <w:rPr>
          <w:rFonts w:ascii="Garamond" w:hAnsi="Garamond"/>
          <w:sz w:val="24"/>
          <w:szCs w:val="24"/>
        </w:rPr>
        <w:t>note</w:t>
      </w:r>
      <w:r w:rsidR="00A72E75">
        <w:rPr>
          <w:rFonts w:ascii="Garamond" w:hAnsi="Garamond"/>
          <w:sz w:val="24"/>
          <w:szCs w:val="24"/>
        </w:rPr>
        <w:t xml:space="preserve"> that Montenegro</w:t>
      </w:r>
      <w:r w:rsidRPr="00C32887">
        <w:rPr>
          <w:rFonts w:ascii="Garamond" w:hAnsi="Garamond"/>
          <w:sz w:val="24"/>
          <w:szCs w:val="24"/>
        </w:rPr>
        <w:t xml:space="preserve">, for the third time, conducted </w:t>
      </w:r>
      <w:r w:rsidR="00C13A74">
        <w:rPr>
          <w:rFonts w:ascii="Garamond" w:hAnsi="Garamond"/>
          <w:sz w:val="24"/>
          <w:szCs w:val="24"/>
        </w:rPr>
        <w:t xml:space="preserve">the </w:t>
      </w:r>
      <w:r w:rsidRPr="00A72E75">
        <w:rPr>
          <w:rFonts w:ascii="Garamond" w:hAnsi="Garamond"/>
          <w:sz w:val="24"/>
          <w:szCs w:val="24"/>
          <w:u w:val="single"/>
        </w:rPr>
        <w:t>PEFA assessment</w:t>
      </w:r>
      <w:r w:rsidRPr="00C32887">
        <w:rPr>
          <w:rFonts w:ascii="Garamond" w:hAnsi="Garamond"/>
          <w:sz w:val="24"/>
          <w:szCs w:val="24"/>
        </w:rPr>
        <w:t xml:space="preserve"> </w:t>
      </w:r>
      <w:r w:rsidR="00A72E75">
        <w:rPr>
          <w:rStyle w:val="FootnoteReference"/>
          <w:rFonts w:ascii="Garamond" w:hAnsi="Garamond"/>
          <w:sz w:val="24"/>
          <w:szCs w:val="24"/>
        </w:rPr>
        <w:footnoteReference w:id="13"/>
      </w:r>
      <w:r w:rsidRPr="00C32887">
        <w:rPr>
          <w:rFonts w:ascii="Garamond" w:hAnsi="Garamond"/>
          <w:sz w:val="24"/>
          <w:szCs w:val="24"/>
        </w:rPr>
        <w:t xml:space="preserve"> (Public </w:t>
      </w:r>
      <w:r w:rsidR="00A72E75" w:rsidRPr="00C32887">
        <w:rPr>
          <w:rFonts w:ascii="Garamond" w:hAnsi="Garamond"/>
          <w:sz w:val="24"/>
          <w:szCs w:val="24"/>
        </w:rPr>
        <w:t xml:space="preserve">Expenditure </w:t>
      </w:r>
      <w:r w:rsidRPr="00C32887">
        <w:rPr>
          <w:rFonts w:ascii="Garamond" w:hAnsi="Garamond"/>
          <w:sz w:val="24"/>
          <w:szCs w:val="24"/>
        </w:rPr>
        <w:t xml:space="preserve">and </w:t>
      </w:r>
      <w:r w:rsidR="00A72E75" w:rsidRPr="00C32887">
        <w:rPr>
          <w:rFonts w:ascii="Garamond" w:hAnsi="Garamond"/>
          <w:sz w:val="24"/>
          <w:szCs w:val="24"/>
        </w:rPr>
        <w:t>Financial Accountability</w:t>
      </w:r>
      <w:r w:rsidRPr="00C32887">
        <w:rPr>
          <w:rFonts w:ascii="Garamond" w:hAnsi="Garamond"/>
          <w:sz w:val="24"/>
          <w:szCs w:val="24"/>
        </w:rPr>
        <w:t xml:space="preserve">), </w:t>
      </w:r>
      <w:r w:rsidR="00C13A74">
        <w:rPr>
          <w:rFonts w:ascii="Garamond" w:hAnsi="Garamond"/>
          <w:sz w:val="24"/>
          <w:szCs w:val="24"/>
        </w:rPr>
        <w:t xml:space="preserve">for the </w:t>
      </w:r>
      <w:r w:rsidRPr="00C32887">
        <w:rPr>
          <w:rFonts w:ascii="Garamond" w:hAnsi="Garamond"/>
          <w:sz w:val="24"/>
          <w:szCs w:val="24"/>
        </w:rPr>
        <w:t>perio</w:t>
      </w:r>
      <w:r w:rsidR="00A72E75">
        <w:rPr>
          <w:rFonts w:ascii="Garamond" w:hAnsi="Garamond"/>
          <w:sz w:val="24"/>
          <w:szCs w:val="24"/>
        </w:rPr>
        <w:t xml:space="preserve">d 2016-2018 </w:t>
      </w:r>
      <w:r w:rsidRPr="00C32887">
        <w:rPr>
          <w:rFonts w:ascii="Garamond" w:hAnsi="Garamond"/>
          <w:sz w:val="24"/>
          <w:szCs w:val="24"/>
        </w:rPr>
        <w:t xml:space="preserve">(2009, 2013, 2019), </w:t>
      </w:r>
      <w:r w:rsidR="00A72E75">
        <w:rPr>
          <w:rFonts w:ascii="Garamond" w:hAnsi="Garamond"/>
          <w:sz w:val="24"/>
          <w:szCs w:val="24"/>
        </w:rPr>
        <w:t>through</w:t>
      </w:r>
      <w:r w:rsidRPr="00C32887">
        <w:rPr>
          <w:rFonts w:ascii="Garamond" w:hAnsi="Garamond"/>
          <w:sz w:val="24"/>
          <w:szCs w:val="24"/>
        </w:rPr>
        <w:t xml:space="preserve"> the World Bank project</w:t>
      </w:r>
      <w:r w:rsidR="00C13A74">
        <w:rPr>
          <w:rFonts w:ascii="Garamond" w:hAnsi="Garamond"/>
          <w:sz w:val="24"/>
          <w:szCs w:val="24"/>
        </w:rPr>
        <w:t>,</w:t>
      </w:r>
      <w:r w:rsidRPr="00C32887">
        <w:rPr>
          <w:rFonts w:ascii="Garamond" w:hAnsi="Garamond"/>
          <w:sz w:val="24"/>
          <w:szCs w:val="24"/>
        </w:rPr>
        <w:t xml:space="preserve"> in cooperation with the EU Delegation to Montenegro and the Mi</w:t>
      </w:r>
      <w:r w:rsidR="00A72E75">
        <w:rPr>
          <w:rFonts w:ascii="Garamond" w:hAnsi="Garamond"/>
          <w:sz w:val="24"/>
          <w:szCs w:val="24"/>
        </w:rPr>
        <w:t>nistry of Finance of Montenegro</w:t>
      </w:r>
      <w:r w:rsidRPr="00C32887">
        <w:rPr>
          <w:rFonts w:ascii="Garamond" w:hAnsi="Garamond"/>
          <w:sz w:val="24"/>
          <w:szCs w:val="24"/>
        </w:rPr>
        <w:t xml:space="preserve">, with financial support </w:t>
      </w:r>
      <w:r w:rsidR="00A72E75">
        <w:rPr>
          <w:rFonts w:ascii="Garamond" w:hAnsi="Garamond"/>
          <w:sz w:val="24"/>
          <w:szCs w:val="24"/>
        </w:rPr>
        <w:t xml:space="preserve">of the </w:t>
      </w:r>
      <w:r w:rsidRPr="00C32887">
        <w:rPr>
          <w:rFonts w:ascii="Garamond" w:hAnsi="Garamond"/>
          <w:sz w:val="24"/>
          <w:szCs w:val="24"/>
        </w:rPr>
        <w:t xml:space="preserve">SAFE Trust Fund. The final version of the Report was published </w:t>
      </w:r>
      <w:r w:rsidR="00C13A74">
        <w:rPr>
          <w:rFonts w:ascii="Garamond" w:hAnsi="Garamond"/>
          <w:sz w:val="24"/>
          <w:szCs w:val="24"/>
        </w:rPr>
        <w:t>in late</w:t>
      </w:r>
      <w:r w:rsidRPr="00C32887">
        <w:rPr>
          <w:rFonts w:ascii="Garamond" w:hAnsi="Garamond"/>
          <w:sz w:val="24"/>
          <w:szCs w:val="24"/>
        </w:rPr>
        <w:t xml:space="preserve"> October 2019. </w:t>
      </w:r>
      <w:r w:rsidR="00A72E75">
        <w:rPr>
          <w:rFonts w:ascii="Garamond" w:hAnsi="Garamond"/>
          <w:sz w:val="24"/>
          <w:szCs w:val="24"/>
        </w:rPr>
        <w:t>Note must be taken t</w:t>
      </w:r>
      <w:r w:rsidRPr="00C32887">
        <w:rPr>
          <w:rFonts w:ascii="Garamond" w:hAnsi="Garamond"/>
          <w:sz w:val="24"/>
          <w:szCs w:val="24"/>
        </w:rPr>
        <w:t xml:space="preserve">hat the PEFA assessment concluded that there is progress compared to the previous </w:t>
      </w:r>
      <w:r w:rsidR="00A72E75">
        <w:rPr>
          <w:rFonts w:ascii="Garamond" w:hAnsi="Garamond"/>
          <w:sz w:val="24"/>
          <w:szCs w:val="24"/>
        </w:rPr>
        <w:t>assessment</w:t>
      </w:r>
      <w:r w:rsidRPr="00C32887">
        <w:rPr>
          <w:rFonts w:ascii="Garamond" w:hAnsi="Garamond"/>
          <w:sz w:val="24"/>
          <w:szCs w:val="24"/>
        </w:rPr>
        <w:t xml:space="preserve"> within 11 performance indicators in public finances and financial accountability. </w:t>
      </w:r>
      <w:r w:rsidR="002F3ADA">
        <w:rPr>
          <w:rFonts w:ascii="Garamond" w:hAnsi="Garamond"/>
          <w:sz w:val="24"/>
          <w:szCs w:val="24"/>
        </w:rPr>
        <w:t>Likewise</w:t>
      </w:r>
      <w:r w:rsidRPr="00C32887">
        <w:rPr>
          <w:rFonts w:ascii="Garamond" w:hAnsi="Garamond"/>
          <w:sz w:val="24"/>
          <w:szCs w:val="24"/>
        </w:rPr>
        <w:t xml:space="preserve">, </w:t>
      </w:r>
      <w:r w:rsidR="002F3ADA">
        <w:rPr>
          <w:rFonts w:ascii="Garamond" w:hAnsi="Garamond"/>
          <w:sz w:val="24"/>
          <w:szCs w:val="24"/>
        </w:rPr>
        <w:t>major</w:t>
      </w:r>
      <w:r w:rsidRPr="00C32887">
        <w:rPr>
          <w:rFonts w:ascii="Garamond" w:hAnsi="Garamond"/>
          <w:sz w:val="24"/>
          <w:szCs w:val="24"/>
        </w:rPr>
        <w:t xml:space="preserve"> areas </w:t>
      </w:r>
      <w:r w:rsidR="00C13A74">
        <w:rPr>
          <w:rFonts w:ascii="Garamond" w:hAnsi="Garamond"/>
          <w:sz w:val="24"/>
          <w:szCs w:val="24"/>
        </w:rPr>
        <w:t>in public finance</w:t>
      </w:r>
      <w:r w:rsidRPr="00C32887">
        <w:rPr>
          <w:rFonts w:ascii="Garamond" w:hAnsi="Garamond"/>
          <w:sz w:val="24"/>
          <w:szCs w:val="24"/>
        </w:rPr>
        <w:t xml:space="preserve"> </w:t>
      </w:r>
      <w:r w:rsidR="00C13A74" w:rsidRPr="00C32887">
        <w:rPr>
          <w:rFonts w:ascii="Garamond" w:hAnsi="Garamond"/>
          <w:sz w:val="24"/>
          <w:szCs w:val="24"/>
        </w:rPr>
        <w:t xml:space="preserve">management </w:t>
      </w:r>
      <w:r w:rsidRPr="00C32887">
        <w:rPr>
          <w:rFonts w:ascii="Garamond" w:hAnsi="Garamond"/>
          <w:sz w:val="24"/>
          <w:szCs w:val="24"/>
        </w:rPr>
        <w:t>that need to be improved in the coming period have been identified. Therefore, the mentioned Report indirectly represents the b</w:t>
      </w:r>
      <w:r w:rsidR="004A5A65">
        <w:rPr>
          <w:rFonts w:ascii="Garamond" w:hAnsi="Garamond"/>
          <w:sz w:val="24"/>
          <w:szCs w:val="24"/>
        </w:rPr>
        <w:t>asis for the next public finance</w:t>
      </w:r>
      <w:r w:rsidRPr="00C32887">
        <w:rPr>
          <w:rFonts w:ascii="Garamond" w:hAnsi="Garamond"/>
          <w:sz w:val="24"/>
          <w:szCs w:val="24"/>
        </w:rPr>
        <w:t xml:space="preserve"> management strategy.</w:t>
      </w:r>
    </w:p>
    <w:p w:rsidR="004D1343" w:rsidRPr="00C32887" w:rsidRDefault="004D1343" w:rsidP="004D1343">
      <w:pPr>
        <w:rPr>
          <w:rFonts w:ascii="Garamond" w:hAnsi="Garamond"/>
          <w:sz w:val="24"/>
          <w:szCs w:val="24"/>
        </w:rPr>
      </w:pPr>
    </w:p>
    <w:p w:rsidR="004D1343" w:rsidRPr="00C32887" w:rsidRDefault="004D1343" w:rsidP="004A5A65">
      <w:pPr>
        <w:jc w:val="both"/>
        <w:rPr>
          <w:rFonts w:ascii="Garamond" w:hAnsi="Garamond"/>
          <w:sz w:val="24"/>
          <w:szCs w:val="24"/>
        </w:rPr>
      </w:pPr>
      <w:r w:rsidRPr="00C32887">
        <w:rPr>
          <w:rFonts w:ascii="Garamond" w:hAnsi="Garamond"/>
          <w:sz w:val="24"/>
          <w:szCs w:val="24"/>
        </w:rPr>
        <w:t xml:space="preserve">Bearing in mind that the EU Sector Budget Support is </w:t>
      </w:r>
      <w:r w:rsidR="00A565AF">
        <w:rPr>
          <w:rFonts w:ascii="Garamond" w:hAnsi="Garamond"/>
          <w:sz w:val="24"/>
          <w:szCs w:val="24"/>
        </w:rPr>
        <w:t>recognition</w:t>
      </w:r>
      <w:r w:rsidRPr="00C32887">
        <w:rPr>
          <w:rFonts w:ascii="Garamond" w:hAnsi="Garamond"/>
          <w:sz w:val="24"/>
          <w:szCs w:val="24"/>
        </w:rPr>
        <w:t xml:space="preserve"> of Montenegro</w:t>
      </w:r>
      <w:r w:rsidR="00C13A74">
        <w:rPr>
          <w:rFonts w:ascii="Garamond" w:hAnsi="Garamond"/>
          <w:sz w:val="24"/>
          <w:szCs w:val="24"/>
        </w:rPr>
        <w:t>’</w:t>
      </w:r>
      <w:r w:rsidRPr="00C32887">
        <w:rPr>
          <w:rFonts w:ascii="Garamond" w:hAnsi="Garamond"/>
          <w:sz w:val="24"/>
          <w:szCs w:val="24"/>
        </w:rPr>
        <w:t>s efforts to fully implement the Integrated Border Management Strategy (IBM) and the Public Administration Reform Strategy, it is important to note that satisfactory progress is needed</w:t>
      </w:r>
      <w:r w:rsidR="004A5A65">
        <w:rPr>
          <w:rFonts w:ascii="Garamond" w:hAnsi="Garamond"/>
          <w:sz w:val="24"/>
          <w:szCs w:val="24"/>
        </w:rPr>
        <w:t xml:space="preserve"> in the areas of public finance</w:t>
      </w:r>
      <w:r w:rsidRPr="00C32887">
        <w:rPr>
          <w:rFonts w:ascii="Garamond" w:hAnsi="Garamond"/>
          <w:sz w:val="24"/>
          <w:szCs w:val="24"/>
        </w:rPr>
        <w:t xml:space="preserve"> man</w:t>
      </w:r>
      <w:r w:rsidR="004A5A65">
        <w:rPr>
          <w:rFonts w:ascii="Garamond" w:hAnsi="Garamond"/>
          <w:sz w:val="24"/>
          <w:szCs w:val="24"/>
        </w:rPr>
        <w:t xml:space="preserve">agement and budget transparency, which </w:t>
      </w:r>
      <w:r w:rsidR="00A565AF">
        <w:rPr>
          <w:rFonts w:ascii="Garamond" w:hAnsi="Garamond"/>
          <w:sz w:val="24"/>
          <w:szCs w:val="24"/>
        </w:rPr>
        <w:t>comprise</w:t>
      </w:r>
      <w:r w:rsidRPr="00C32887">
        <w:rPr>
          <w:rFonts w:ascii="Garamond" w:hAnsi="Garamond"/>
          <w:sz w:val="24"/>
          <w:szCs w:val="24"/>
        </w:rPr>
        <w:t xml:space="preserve"> the two criteria of </w:t>
      </w:r>
      <w:r w:rsidR="004A5A65">
        <w:rPr>
          <w:rFonts w:ascii="Garamond" w:hAnsi="Garamond"/>
          <w:sz w:val="24"/>
          <w:szCs w:val="24"/>
        </w:rPr>
        <w:t>compliance</w:t>
      </w:r>
      <w:r w:rsidRPr="00C32887">
        <w:rPr>
          <w:rFonts w:ascii="Garamond" w:hAnsi="Garamond"/>
          <w:sz w:val="24"/>
          <w:szCs w:val="24"/>
        </w:rPr>
        <w:t xml:space="preserve">. In this regard, during the implementation of the </w:t>
      </w:r>
      <w:r w:rsidR="00AB73F6" w:rsidRPr="00C32887">
        <w:rPr>
          <w:rFonts w:ascii="Garamond" w:hAnsi="Garamond"/>
          <w:sz w:val="24"/>
          <w:szCs w:val="24"/>
        </w:rPr>
        <w:t>Programme</w:t>
      </w:r>
      <w:r w:rsidRPr="00C32887">
        <w:rPr>
          <w:rFonts w:ascii="Garamond" w:hAnsi="Garamond"/>
          <w:sz w:val="24"/>
          <w:szCs w:val="24"/>
        </w:rPr>
        <w:t xml:space="preserve">, the Ministry of </w:t>
      </w:r>
      <w:r w:rsidR="007C36E1">
        <w:rPr>
          <w:rFonts w:ascii="Garamond" w:hAnsi="Garamond"/>
          <w:sz w:val="24"/>
          <w:szCs w:val="24"/>
        </w:rPr>
        <w:t xml:space="preserve">the </w:t>
      </w:r>
      <w:r w:rsidRPr="00C32887">
        <w:rPr>
          <w:rFonts w:ascii="Garamond" w:hAnsi="Garamond"/>
          <w:sz w:val="24"/>
          <w:szCs w:val="24"/>
        </w:rPr>
        <w:t xml:space="preserve">Interior received a total of </w:t>
      </w:r>
      <w:r w:rsidR="007C36E1" w:rsidRPr="00C32887">
        <w:rPr>
          <w:rFonts w:ascii="Garamond" w:hAnsi="Garamond"/>
          <w:sz w:val="24"/>
          <w:szCs w:val="24"/>
        </w:rPr>
        <w:t>€</w:t>
      </w:r>
      <w:r w:rsidRPr="00C32887">
        <w:rPr>
          <w:rFonts w:ascii="Garamond" w:hAnsi="Garamond"/>
          <w:sz w:val="24"/>
          <w:szCs w:val="24"/>
        </w:rPr>
        <w:t xml:space="preserve">19,868,000 </w:t>
      </w:r>
      <w:r w:rsidR="007C36E1">
        <w:rPr>
          <w:rFonts w:ascii="Garamond" w:hAnsi="Garamond"/>
          <w:sz w:val="24"/>
          <w:szCs w:val="24"/>
        </w:rPr>
        <w:t>in</w:t>
      </w:r>
      <w:r w:rsidRPr="00C32887">
        <w:rPr>
          <w:rFonts w:ascii="Garamond" w:hAnsi="Garamond"/>
          <w:sz w:val="24"/>
          <w:szCs w:val="24"/>
        </w:rPr>
        <w:t xml:space="preserve"> support, which represents 99.34% of the funds allocated through the implementation of the IBM Strategy, while the Ministry of Public Administration, Digital Society and Media through the Public </w:t>
      </w:r>
      <w:r w:rsidR="004A5A65" w:rsidRPr="00C32887">
        <w:rPr>
          <w:rFonts w:ascii="Garamond" w:hAnsi="Garamond"/>
          <w:sz w:val="24"/>
          <w:szCs w:val="24"/>
        </w:rPr>
        <w:t xml:space="preserve">Administration </w:t>
      </w:r>
      <w:r w:rsidRPr="00C32887">
        <w:rPr>
          <w:rFonts w:ascii="Garamond" w:hAnsi="Garamond"/>
          <w:sz w:val="24"/>
          <w:szCs w:val="24"/>
        </w:rPr>
        <w:t>Reform Strategy</w:t>
      </w:r>
      <w:r w:rsidR="004A5A65">
        <w:rPr>
          <w:rStyle w:val="FootnoteReference"/>
          <w:rFonts w:ascii="Garamond" w:hAnsi="Garamond"/>
          <w:sz w:val="24"/>
          <w:szCs w:val="24"/>
        </w:rPr>
        <w:footnoteReference w:id="14"/>
      </w:r>
      <w:r w:rsidRPr="00C32887">
        <w:rPr>
          <w:rFonts w:ascii="Garamond" w:hAnsi="Garamond"/>
          <w:sz w:val="24"/>
          <w:szCs w:val="24"/>
        </w:rPr>
        <w:t xml:space="preserve"> </w:t>
      </w:r>
      <w:r w:rsidR="00C43BC6">
        <w:rPr>
          <w:rFonts w:ascii="Garamond" w:hAnsi="Garamond"/>
          <w:sz w:val="24"/>
          <w:szCs w:val="24"/>
        </w:rPr>
        <w:t xml:space="preserve"> o</w:t>
      </w:r>
      <w:r w:rsidRPr="00C32887">
        <w:rPr>
          <w:rFonts w:ascii="Garamond" w:hAnsi="Garamond"/>
          <w:sz w:val="24"/>
          <w:szCs w:val="24"/>
        </w:rPr>
        <w:t xml:space="preserve">f the total planned € 12 million in direct budget support, </w:t>
      </w:r>
      <w:r w:rsidR="00C43BC6" w:rsidRPr="00C32887">
        <w:rPr>
          <w:rFonts w:ascii="Garamond" w:hAnsi="Garamond"/>
          <w:sz w:val="24"/>
          <w:szCs w:val="24"/>
        </w:rPr>
        <w:t xml:space="preserve">received </w:t>
      </w:r>
      <w:r w:rsidRPr="00C32887">
        <w:rPr>
          <w:rFonts w:ascii="Garamond" w:hAnsi="Garamond"/>
          <w:sz w:val="24"/>
          <w:szCs w:val="24"/>
        </w:rPr>
        <w:t>€ 6.1 million.</w:t>
      </w:r>
    </w:p>
    <w:p w:rsidR="004D1343" w:rsidRPr="00C32887" w:rsidRDefault="004D1343" w:rsidP="004D1343">
      <w:pPr>
        <w:rPr>
          <w:rFonts w:ascii="Garamond" w:hAnsi="Garamond"/>
          <w:sz w:val="24"/>
          <w:szCs w:val="24"/>
        </w:rPr>
      </w:pPr>
    </w:p>
    <w:p w:rsidR="004D1343" w:rsidRPr="00C32887" w:rsidRDefault="004D1343" w:rsidP="00C43BC6">
      <w:pPr>
        <w:jc w:val="both"/>
        <w:rPr>
          <w:rFonts w:ascii="Garamond" w:hAnsi="Garamond"/>
          <w:sz w:val="24"/>
          <w:szCs w:val="24"/>
        </w:rPr>
      </w:pPr>
      <w:r w:rsidRPr="00C32887">
        <w:rPr>
          <w:rFonts w:ascii="Garamond" w:hAnsi="Garamond"/>
          <w:sz w:val="24"/>
          <w:szCs w:val="24"/>
        </w:rPr>
        <w:t xml:space="preserve">When it comes to the </w:t>
      </w:r>
      <w:r w:rsidRPr="00C43BC6">
        <w:rPr>
          <w:rFonts w:ascii="Garamond" w:hAnsi="Garamond"/>
          <w:sz w:val="24"/>
          <w:szCs w:val="24"/>
          <w:u w:val="single"/>
        </w:rPr>
        <w:t>transparency of public finances</w:t>
      </w:r>
      <w:r w:rsidRPr="00C32887">
        <w:rPr>
          <w:rFonts w:ascii="Garamond" w:hAnsi="Garamond"/>
          <w:sz w:val="24"/>
          <w:szCs w:val="24"/>
        </w:rPr>
        <w:t>, some progress has been made in this area in the previous period. Namely, data on budget execution on a monthly, quarterly and annual level are regularly published on</w:t>
      </w:r>
      <w:r w:rsidR="00CF57EB">
        <w:rPr>
          <w:rFonts w:ascii="Garamond" w:hAnsi="Garamond"/>
          <w:sz w:val="24"/>
          <w:szCs w:val="24"/>
        </w:rPr>
        <w:t xml:space="preserve"> the website of the Ministry</w:t>
      </w:r>
      <w:r w:rsidR="00CF57EB">
        <w:rPr>
          <w:rStyle w:val="FootnoteReference"/>
          <w:rFonts w:ascii="Garamond" w:hAnsi="Garamond"/>
          <w:sz w:val="24"/>
          <w:szCs w:val="24"/>
        </w:rPr>
        <w:footnoteReference w:id="15"/>
      </w:r>
      <w:r w:rsidR="00CF57EB">
        <w:rPr>
          <w:rFonts w:ascii="Garamond" w:hAnsi="Garamond"/>
          <w:sz w:val="24"/>
          <w:szCs w:val="24"/>
        </w:rPr>
        <w:t>.</w:t>
      </w:r>
      <w:r w:rsidRPr="00C32887">
        <w:rPr>
          <w:rFonts w:ascii="Garamond" w:hAnsi="Garamond"/>
          <w:sz w:val="24"/>
          <w:szCs w:val="24"/>
        </w:rPr>
        <w:t xml:space="preserve"> The report on budget receipts and expenditures is published once a month, while the analysis of consolidated public </w:t>
      </w:r>
      <w:r w:rsidR="00CF57EB">
        <w:rPr>
          <w:rFonts w:ascii="Garamond" w:hAnsi="Garamond"/>
          <w:sz w:val="24"/>
          <w:szCs w:val="24"/>
        </w:rPr>
        <w:t>expenditure</w:t>
      </w:r>
      <w:r w:rsidRPr="00C32887">
        <w:rPr>
          <w:rFonts w:ascii="Garamond" w:hAnsi="Garamond"/>
          <w:sz w:val="24"/>
          <w:szCs w:val="24"/>
        </w:rPr>
        <w:t xml:space="preserve"> (data on the central budget and local government budgets</w:t>
      </w:r>
      <w:r w:rsidR="00810A49">
        <w:rPr>
          <w:rFonts w:ascii="Garamond" w:hAnsi="Garamond"/>
          <w:sz w:val="24"/>
          <w:szCs w:val="24"/>
        </w:rPr>
        <w:t>) is published quarterly. Analys</w:t>
      </w:r>
      <w:r w:rsidRPr="00C32887">
        <w:rPr>
          <w:rFonts w:ascii="Garamond" w:hAnsi="Garamond"/>
          <w:sz w:val="24"/>
          <w:szCs w:val="24"/>
        </w:rPr>
        <w:t>es of macroeconomic developments and structural reforms are prepared twice a year, while projections of public finances and macroeconomic developments are updated twice a year. The Government Debt Report is published quarterly, while the Public Debt Report is published once a year.</w:t>
      </w:r>
    </w:p>
    <w:p w:rsidR="004D1343" w:rsidRPr="00C32887" w:rsidRDefault="004D1343" w:rsidP="004D1343">
      <w:pPr>
        <w:rPr>
          <w:rFonts w:ascii="Garamond" w:hAnsi="Garamond"/>
          <w:sz w:val="24"/>
          <w:szCs w:val="24"/>
        </w:rPr>
      </w:pPr>
    </w:p>
    <w:p w:rsidR="004D1343" w:rsidRPr="00C32887" w:rsidRDefault="004D1343" w:rsidP="00810A49">
      <w:pPr>
        <w:jc w:val="both"/>
        <w:rPr>
          <w:rFonts w:ascii="Garamond" w:hAnsi="Garamond"/>
          <w:sz w:val="24"/>
          <w:szCs w:val="24"/>
        </w:rPr>
      </w:pPr>
      <w:r w:rsidRPr="00C32887">
        <w:rPr>
          <w:rFonts w:ascii="Garamond" w:hAnsi="Garamond"/>
          <w:sz w:val="24"/>
          <w:szCs w:val="24"/>
        </w:rPr>
        <w:t>Budget transparency remains a challenge, and accordingly PFM activities</w:t>
      </w:r>
      <w:r w:rsidR="007C36E1">
        <w:rPr>
          <w:rFonts w:ascii="Garamond" w:hAnsi="Garamond"/>
          <w:sz w:val="24"/>
          <w:szCs w:val="24"/>
        </w:rPr>
        <w:t xml:space="preserve"> are planned </w:t>
      </w:r>
      <w:r w:rsidR="007C36E1" w:rsidRPr="00C32887">
        <w:rPr>
          <w:rFonts w:ascii="Garamond" w:hAnsi="Garamond"/>
          <w:sz w:val="24"/>
          <w:szCs w:val="24"/>
        </w:rPr>
        <w:t>to</w:t>
      </w:r>
      <w:r w:rsidR="007C36E1">
        <w:rPr>
          <w:rFonts w:ascii="Garamond" w:hAnsi="Garamond"/>
          <w:sz w:val="24"/>
          <w:szCs w:val="24"/>
        </w:rPr>
        <w:t xml:space="preserve"> </w:t>
      </w:r>
      <w:r w:rsidRPr="00C32887">
        <w:rPr>
          <w:rFonts w:ascii="Garamond" w:hAnsi="Garamond"/>
          <w:sz w:val="24"/>
          <w:szCs w:val="24"/>
        </w:rPr>
        <w:t xml:space="preserve">contribute to </w:t>
      </w:r>
      <w:r w:rsidR="00A565AF" w:rsidRPr="00C32887">
        <w:rPr>
          <w:rFonts w:ascii="Garamond" w:hAnsi="Garamond"/>
          <w:sz w:val="24"/>
          <w:szCs w:val="24"/>
        </w:rPr>
        <w:t xml:space="preserve">the </w:t>
      </w:r>
      <w:r w:rsidRPr="00C32887">
        <w:rPr>
          <w:rFonts w:ascii="Garamond" w:hAnsi="Garamond"/>
          <w:sz w:val="24"/>
          <w:szCs w:val="24"/>
        </w:rPr>
        <w:t>increas</w:t>
      </w:r>
      <w:r w:rsidR="00A565AF">
        <w:rPr>
          <w:rFonts w:ascii="Garamond" w:hAnsi="Garamond"/>
          <w:sz w:val="24"/>
          <w:szCs w:val="24"/>
        </w:rPr>
        <w:t xml:space="preserve">ed </w:t>
      </w:r>
      <w:r w:rsidRPr="00C32887">
        <w:rPr>
          <w:rFonts w:ascii="Garamond" w:hAnsi="Garamond"/>
          <w:sz w:val="24"/>
          <w:szCs w:val="24"/>
        </w:rPr>
        <w:t>level of information co</w:t>
      </w:r>
      <w:r w:rsidR="00A565AF">
        <w:rPr>
          <w:rFonts w:ascii="Garamond" w:hAnsi="Garamond"/>
          <w:sz w:val="24"/>
          <w:szCs w:val="24"/>
        </w:rPr>
        <w:t>ntained in the budget, improved</w:t>
      </w:r>
      <w:r w:rsidRPr="00C32887">
        <w:rPr>
          <w:rFonts w:ascii="Garamond" w:hAnsi="Garamond"/>
          <w:sz w:val="24"/>
          <w:szCs w:val="24"/>
        </w:rPr>
        <w:t xml:space="preserve"> presentation of multi-annual </w:t>
      </w:r>
      <w:r w:rsidR="00810A49">
        <w:rPr>
          <w:rFonts w:ascii="Garamond" w:hAnsi="Garamond"/>
          <w:sz w:val="24"/>
          <w:szCs w:val="24"/>
        </w:rPr>
        <w:t>liabilities</w:t>
      </w:r>
      <w:r w:rsidRPr="00C32887">
        <w:rPr>
          <w:rFonts w:ascii="Garamond" w:hAnsi="Garamond"/>
          <w:sz w:val="24"/>
          <w:szCs w:val="24"/>
        </w:rPr>
        <w:t xml:space="preserve"> and capital projects, better budget visuali</w:t>
      </w:r>
      <w:r w:rsidR="00F254DD">
        <w:rPr>
          <w:rFonts w:ascii="Garamond" w:hAnsi="Garamond"/>
          <w:sz w:val="24"/>
          <w:szCs w:val="24"/>
        </w:rPr>
        <w:t>sation</w:t>
      </w:r>
      <w:r w:rsidRPr="00C32887">
        <w:rPr>
          <w:rFonts w:ascii="Garamond" w:hAnsi="Garamond"/>
          <w:sz w:val="24"/>
          <w:szCs w:val="24"/>
        </w:rPr>
        <w:t xml:space="preserve"> and budget reporting, all with the aim of more transparent use of public resources. In this regard, activities to improve the transparency and quality of budgeting are implemented continuously</w:t>
      </w:r>
      <w:r w:rsidR="00A565AF">
        <w:rPr>
          <w:rFonts w:ascii="Garamond" w:hAnsi="Garamond"/>
          <w:sz w:val="24"/>
          <w:szCs w:val="24"/>
        </w:rPr>
        <w:t>,</w:t>
      </w:r>
      <w:r w:rsidRPr="00C32887">
        <w:rPr>
          <w:rFonts w:ascii="Garamond" w:hAnsi="Garamond"/>
          <w:sz w:val="24"/>
          <w:szCs w:val="24"/>
        </w:rPr>
        <w:t xml:space="preserve"> and will continue in the future, predominantly through further implementation of the </w:t>
      </w:r>
      <w:r w:rsidR="00A565AF">
        <w:rPr>
          <w:rFonts w:ascii="Garamond" w:hAnsi="Garamond"/>
          <w:sz w:val="24"/>
          <w:szCs w:val="24"/>
        </w:rPr>
        <w:t>programme</w:t>
      </w:r>
      <w:r w:rsidR="00A565AF" w:rsidRPr="00C32887">
        <w:rPr>
          <w:rFonts w:ascii="Garamond" w:hAnsi="Garamond"/>
          <w:sz w:val="24"/>
          <w:szCs w:val="24"/>
        </w:rPr>
        <w:t xml:space="preserve"> </w:t>
      </w:r>
      <w:r w:rsidR="00810A49">
        <w:rPr>
          <w:rFonts w:ascii="Garamond" w:hAnsi="Garamond"/>
          <w:sz w:val="24"/>
          <w:szCs w:val="24"/>
        </w:rPr>
        <w:t>budget</w:t>
      </w:r>
      <w:r w:rsidRPr="00C32887">
        <w:rPr>
          <w:rFonts w:ascii="Garamond" w:hAnsi="Garamond"/>
          <w:sz w:val="24"/>
          <w:szCs w:val="24"/>
        </w:rPr>
        <w:t>, preparation of the budget for citizens and performance-based budget</w:t>
      </w:r>
      <w:r w:rsidR="00B731EC">
        <w:rPr>
          <w:rFonts w:ascii="Garamond" w:hAnsi="Garamond"/>
          <w:sz w:val="24"/>
          <w:szCs w:val="24"/>
        </w:rPr>
        <w:t>ing</w:t>
      </w:r>
      <w:r w:rsidRPr="00C32887">
        <w:rPr>
          <w:rFonts w:ascii="Garamond" w:hAnsi="Garamond"/>
          <w:sz w:val="24"/>
          <w:szCs w:val="24"/>
        </w:rPr>
        <w:t xml:space="preserve"> (within the EU co-financed project), then through the implementation of </w:t>
      </w:r>
      <w:r w:rsidR="00810A49">
        <w:rPr>
          <w:rFonts w:ascii="Garamond" w:hAnsi="Garamond"/>
          <w:sz w:val="24"/>
          <w:szCs w:val="24"/>
        </w:rPr>
        <w:t>international</w:t>
      </w:r>
      <w:r w:rsidRPr="00C32887">
        <w:rPr>
          <w:rFonts w:ascii="Garamond" w:hAnsi="Garamond"/>
          <w:sz w:val="24"/>
          <w:szCs w:val="24"/>
        </w:rPr>
        <w:t xml:space="preserve"> standards in the domain of </w:t>
      </w:r>
      <w:r w:rsidR="00810A49">
        <w:rPr>
          <w:rFonts w:ascii="Garamond" w:hAnsi="Garamond"/>
          <w:sz w:val="24"/>
          <w:szCs w:val="24"/>
        </w:rPr>
        <w:t>state</w:t>
      </w:r>
      <w:r w:rsidRPr="00C32887">
        <w:rPr>
          <w:rFonts w:ascii="Garamond" w:hAnsi="Garamond"/>
          <w:sz w:val="24"/>
          <w:szCs w:val="24"/>
        </w:rPr>
        <w:t xml:space="preserve"> statistics (ESA 2010), as well as the transition from cash</w:t>
      </w:r>
      <w:r w:rsidR="00B731EC">
        <w:rPr>
          <w:rFonts w:ascii="Garamond" w:hAnsi="Garamond"/>
          <w:sz w:val="24"/>
          <w:szCs w:val="24"/>
        </w:rPr>
        <w:t>-based</w:t>
      </w:r>
      <w:r w:rsidRPr="00C32887">
        <w:rPr>
          <w:rFonts w:ascii="Garamond" w:hAnsi="Garamond"/>
          <w:sz w:val="24"/>
          <w:szCs w:val="24"/>
        </w:rPr>
        <w:t xml:space="preserve"> to accrual accounting.</w:t>
      </w:r>
    </w:p>
    <w:p w:rsidR="004D1343" w:rsidRPr="00C32887" w:rsidRDefault="004D1343" w:rsidP="004D1343">
      <w:pPr>
        <w:rPr>
          <w:rFonts w:ascii="Garamond" w:hAnsi="Garamond"/>
          <w:sz w:val="24"/>
          <w:szCs w:val="24"/>
        </w:rPr>
      </w:pPr>
    </w:p>
    <w:p w:rsidR="004D1343" w:rsidRPr="00C32887" w:rsidRDefault="004D1343" w:rsidP="00810A49">
      <w:pPr>
        <w:jc w:val="both"/>
        <w:rPr>
          <w:rFonts w:ascii="Garamond" w:hAnsi="Garamond"/>
          <w:sz w:val="24"/>
          <w:szCs w:val="24"/>
        </w:rPr>
      </w:pPr>
      <w:r w:rsidRPr="00C32887">
        <w:rPr>
          <w:rFonts w:ascii="Garamond" w:hAnsi="Garamond"/>
          <w:sz w:val="24"/>
          <w:szCs w:val="24"/>
        </w:rPr>
        <w:t xml:space="preserve">Also, </w:t>
      </w:r>
      <w:r w:rsidR="00810A49">
        <w:rPr>
          <w:rFonts w:ascii="Garamond" w:hAnsi="Garamond"/>
          <w:sz w:val="24"/>
          <w:szCs w:val="24"/>
        </w:rPr>
        <w:t>the</w:t>
      </w:r>
      <w:r w:rsidRPr="00C32887">
        <w:rPr>
          <w:rFonts w:ascii="Garamond" w:hAnsi="Garamond"/>
          <w:sz w:val="24"/>
          <w:szCs w:val="24"/>
        </w:rPr>
        <w:t xml:space="preserve"> </w:t>
      </w:r>
      <w:r w:rsidR="00B731EC">
        <w:rPr>
          <w:rFonts w:ascii="Garamond" w:hAnsi="Garamond"/>
          <w:sz w:val="24"/>
          <w:szCs w:val="24"/>
        </w:rPr>
        <w:t xml:space="preserve">2020 Montenegro </w:t>
      </w:r>
      <w:r w:rsidRPr="00C32887">
        <w:rPr>
          <w:rFonts w:ascii="Garamond" w:hAnsi="Garamond"/>
          <w:sz w:val="24"/>
          <w:szCs w:val="24"/>
        </w:rPr>
        <w:t xml:space="preserve">Progress Report </w:t>
      </w:r>
      <w:r w:rsidR="00810A49">
        <w:rPr>
          <w:rFonts w:ascii="Garamond" w:hAnsi="Garamond"/>
          <w:sz w:val="24"/>
          <w:szCs w:val="24"/>
        </w:rPr>
        <w:t>states that</w:t>
      </w:r>
      <w:r w:rsidRPr="00C32887">
        <w:rPr>
          <w:rFonts w:ascii="Garamond" w:hAnsi="Garamond"/>
          <w:sz w:val="24"/>
          <w:szCs w:val="24"/>
        </w:rPr>
        <w:t xml:space="preserve">, as regards the </w:t>
      </w:r>
      <w:r w:rsidR="00B731EC" w:rsidRPr="00C32887">
        <w:rPr>
          <w:rFonts w:ascii="Garamond" w:hAnsi="Garamond"/>
          <w:sz w:val="24"/>
          <w:szCs w:val="24"/>
        </w:rPr>
        <w:t xml:space="preserve">budget </w:t>
      </w:r>
      <w:r w:rsidRPr="00C32887">
        <w:rPr>
          <w:rFonts w:ascii="Garamond" w:hAnsi="Garamond"/>
          <w:sz w:val="24"/>
          <w:szCs w:val="24"/>
        </w:rPr>
        <w:t>transparen</w:t>
      </w:r>
      <w:r w:rsidR="00B731EC">
        <w:rPr>
          <w:rFonts w:ascii="Garamond" w:hAnsi="Garamond"/>
          <w:sz w:val="24"/>
          <w:szCs w:val="24"/>
        </w:rPr>
        <w:t>cy</w:t>
      </w:r>
      <w:r w:rsidRPr="00C32887">
        <w:rPr>
          <w:rFonts w:ascii="Garamond" w:hAnsi="Garamond"/>
          <w:sz w:val="24"/>
          <w:szCs w:val="24"/>
        </w:rPr>
        <w:t xml:space="preserve">, the government continues to systematically publish </w:t>
      </w:r>
      <w:r w:rsidR="00B731EC">
        <w:rPr>
          <w:rFonts w:ascii="Garamond" w:hAnsi="Garamond"/>
          <w:sz w:val="24"/>
          <w:szCs w:val="24"/>
        </w:rPr>
        <w:t xml:space="preserve">the </w:t>
      </w:r>
      <w:r w:rsidRPr="00C32887">
        <w:rPr>
          <w:rFonts w:ascii="Garamond" w:hAnsi="Garamond"/>
          <w:sz w:val="24"/>
          <w:szCs w:val="24"/>
        </w:rPr>
        <w:t xml:space="preserve">budget </w:t>
      </w:r>
      <w:r w:rsidR="00B731EC">
        <w:rPr>
          <w:rFonts w:ascii="Garamond" w:hAnsi="Garamond"/>
          <w:sz w:val="24"/>
          <w:szCs w:val="24"/>
        </w:rPr>
        <w:t>proposal</w:t>
      </w:r>
      <w:r w:rsidR="00810A49">
        <w:rPr>
          <w:rFonts w:ascii="Garamond" w:hAnsi="Garamond"/>
          <w:sz w:val="24"/>
          <w:szCs w:val="24"/>
        </w:rPr>
        <w:t xml:space="preserve"> </w:t>
      </w:r>
      <w:r w:rsidRPr="00C32887">
        <w:rPr>
          <w:rFonts w:ascii="Garamond" w:hAnsi="Garamond"/>
          <w:sz w:val="24"/>
          <w:szCs w:val="24"/>
        </w:rPr>
        <w:t xml:space="preserve">and the </w:t>
      </w:r>
      <w:r w:rsidR="00B731EC">
        <w:rPr>
          <w:rFonts w:ascii="Garamond" w:hAnsi="Garamond"/>
          <w:sz w:val="24"/>
          <w:szCs w:val="24"/>
        </w:rPr>
        <w:t>adopted</w:t>
      </w:r>
      <w:r w:rsidRPr="00C32887">
        <w:rPr>
          <w:rFonts w:ascii="Garamond" w:hAnsi="Garamond"/>
          <w:sz w:val="24"/>
          <w:szCs w:val="24"/>
        </w:rPr>
        <w:t xml:space="preserve"> budget, as well as </w:t>
      </w:r>
      <w:r w:rsidR="00B731EC" w:rsidRPr="00C32887">
        <w:rPr>
          <w:rFonts w:ascii="Garamond" w:hAnsi="Garamond"/>
          <w:sz w:val="24"/>
          <w:szCs w:val="24"/>
        </w:rPr>
        <w:t>budget execution</w:t>
      </w:r>
      <w:r w:rsidR="00B731EC">
        <w:rPr>
          <w:rFonts w:ascii="Garamond" w:hAnsi="Garamond"/>
          <w:sz w:val="24"/>
          <w:szCs w:val="24"/>
        </w:rPr>
        <w:t xml:space="preserve"> </w:t>
      </w:r>
      <w:r w:rsidR="00810A49">
        <w:rPr>
          <w:rFonts w:ascii="Garamond" w:hAnsi="Garamond"/>
          <w:sz w:val="24"/>
          <w:szCs w:val="24"/>
        </w:rPr>
        <w:t>reports</w:t>
      </w:r>
      <w:r w:rsidRPr="00C32887">
        <w:rPr>
          <w:rFonts w:ascii="Garamond" w:hAnsi="Garamond"/>
          <w:sz w:val="24"/>
          <w:szCs w:val="24"/>
        </w:rPr>
        <w:t xml:space="preserve">. However, </w:t>
      </w:r>
      <w:r w:rsidR="00B731EC">
        <w:rPr>
          <w:rFonts w:ascii="Garamond" w:hAnsi="Garamond"/>
          <w:sz w:val="24"/>
          <w:szCs w:val="24"/>
        </w:rPr>
        <w:t>there is no</w:t>
      </w:r>
      <w:r w:rsidRPr="00C32887">
        <w:rPr>
          <w:rFonts w:ascii="Garamond" w:hAnsi="Garamond"/>
          <w:sz w:val="24"/>
          <w:szCs w:val="24"/>
        </w:rPr>
        <w:t xml:space="preserve"> </w:t>
      </w:r>
      <w:r w:rsidR="00810A49">
        <w:rPr>
          <w:rFonts w:ascii="Garamond" w:hAnsi="Garamond"/>
          <w:sz w:val="24"/>
          <w:szCs w:val="24"/>
        </w:rPr>
        <w:t>mechanism</w:t>
      </w:r>
      <w:r w:rsidRPr="00C32887">
        <w:rPr>
          <w:rFonts w:ascii="Garamond" w:hAnsi="Garamond"/>
          <w:sz w:val="24"/>
          <w:szCs w:val="24"/>
        </w:rPr>
        <w:t xml:space="preserve"> to </w:t>
      </w:r>
      <w:r w:rsidR="00B731EC">
        <w:rPr>
          <w:rFonts w:ascii="Garamond" w:hAnsi="Garamond"/>
          <w:sz w:val="24"/>
          <w:szCs w:val="24"/>
        </w:rPr>
        <w:t>ensure</w:t>
      </w:r>
      <w:r w:rsidRPr="00C32887">
        <w:rPr>
          <w:rFonts w:ascii="Garamond" w:hAnsi="Garamond"/>
          <w:sz w:val="24"/>
          <w:szCs w:val="24"/>
        </w:rPr>
        <w:t xml:space="preserve"> the quality, comprehensiveness and readability of the published data, especially larger </w:t>
      </w:r>
      <w:r w:rsidR="00810A49">
        <w:rPr>
          <w:rFonts w:ascii="Garamond" w:hAnsi="Garamond"/>
          <w:sz w:val="24"/>
          <w:szCs w:val="24"/>
        </w:rPr>
        <w:t>integration of ci</w:t>
      </w:r>
      <w:r w:rsidRPr="00C32887">
        <w:rPr>
          <w:rFonts w:ascii="Garamond" w:hAnsi="Garamond"/>
          <w:sz w:val="24"/>
          <w:szCs w:val="24"/>
        </w:rPr>
        <w:t xml:space="preserve">vil society in monitoring the implementation of the </w:t>
      </w:r>
      <w:r w:rsidR="003643AF" w:rsidRPr="00C32887">
        <w:rPr>
          <w:rFonts w:ascii="Garamond" w:hAnsi="Garamond"/>
          <w:sz w:val="24"/>
          <w:szCs w:val="24"/>
        </w:rPr>
        <w:t xml:space="preserve">2016 </w:t>
      </w:r>
      <w:r w:rsidR="003643AF">
        <w:rPr>
          <w:rFonts w:ascii="Garamond" w:hAnsi="Garamond"/>
          <w:sz w:val="24"/>
          <w:szCs w:val="24"/>
        </w:rPr>
        <w:t>–</w:t>
      </w:r>
      <w:r w:rsidR="003643AF" w:rsidRPr="00C32887">
        <w:rPr>
          <w:rFonts w:ascii="Garamond" w:hAnsi="Garamond"/>
          <w:sz w:val="24"/>
          <w:szCs w:val="24"/>
        </w:rPr>
        <w:t xml:space="preserve"> 2020</w:t>
      </w:r>
      <w:r w:rsidR="003643AF">
        <w:rPr>
          <w:rFonts w:ascii="Garamond" w:hAnsi="Garamond"/>
          <w:sz w:val="24"/>
          <w:szCs w:val="24"/>
        </w:rPr>
        <w:t xml:space="preserve"> </w:t>
      </w:r>
      <w:r w:rsidR="003643AF" w:rsidRPr="00C32887">
        <w:rPr>
          <w:rFonts w:ascii="Garamond" w:hAnsi="Garamond"/>
          <w:sz w:val="24"/>
          <w:szCs w:val="24"/>
        </w:rPr>
        <w:t xml:space="preserve">Public Finance Management </w:t>
      </w:r>
      <w:r w:rsidR="003643AF">
        <w:rPr>
          <w:rFonts w:ascii="Garamond" w:hAnsi="Garamond"/>
          <w:sz w:val="24"/>
          <w:szCs w:val="24"/>
        </w:rPr>
        <w:t>Reform</w:t>
      </w:r>
      <w:r w:rsidR="003643AF" w:rsidRPr="003643AF">
        <w:rPr>
          <w:rFonts w:ascii="Garamond" w:hAnsi="Garamond"/>
          <w:sz w:val="24"/>
          <w:szCs w:val="24"/>
        </w:rPr>
        <w:t xml:space="preserve"> </w:t>
      </w:r>
      <w:r w:rsidR="003643AF" w:rsidRPr="00C32887">
        <w:rPr>
          <w:rFonts w:ascii="Garamond" w:hAnsi="Garamond"/>
          <w:sz w:val="24"/>
          <w:szCs w:val="24"/>
        </w:rPr>
        <w:t>Programme</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3643AF" w:rsidRDefault="003643AF">
      <w:pPr>
        <w:rPr>
          <w:rFonts w:ascii="Garamond" w:eastAsiaTheme="majorEastAsia" w:hAnsi="Garamond" w:cstheme="majorBidi"/>
          <w:b/>
          <w:bCs/>
          <w:color w:val="365F91" w:themeColor="accent1" w:themeShade="BF"/>
          <w:sz w:val="24"/>
          <w:szCs w:val="24"/>
        </w:rPr>
      </w:pPr>
      <w:r>
        <w:rPr>
          <w:rFonts w:ascii="Garamond" w:hAnsi="Garamond"/>
          <w:sz w:val="24"/>
          <w:szCs w:val="24"/>
        </w:rPr>
        <w:br w:type="page"/>
      </w:r>
    </w:p>
    <w:p w:rsidR="004D1343" w:rsidRPr="00C32887" w:rsidRDefault="004D1343" w:rsidP="003643AF">
      <w:pPr>
        <w:pStyle w:val="Heading1"/>
        <w:rPr>
          <w:rFonts w:ascii="Garamond" w:hAnsi="Garamond"/>
          <w:sz w:val="24"/>
          <w:szCs w:val="24"/>
        </w:rPr>
      </w:pPr>
      <w:bookmarkStart w:id="6" w:name="_Toc77688191"/>
      <w:r w:rsidRPr="00C32887">
        <w:rPr>
          <w:rFonts w:ascii="Garamond" w:hAnsi="Garamond"/>
          <w:sz w:val="24"/>
          <w:szCs w:val="24"/>
        </w:rPr>
        <w:t xml:space="preserve">II INFORMATION ON THE STATUS OF </w:t>
      </w:r>
      <w:r w:rsidR="00EE4B98">
        <w:rPr>
          <w:rFonts w:ascii="Garamond" w:hAnsi="Garamond"/>
          <w:sz w:val="24"/>
          <w:szCs w:val="24"/>
        </w:rPr>
        <w:t>PERFORMANCE</w:t>
      </w:r>
      <w:r w:rsidRPr="00C32887">
        <w:rPr>
          <w:rFonts w:ascii="Garamond" w:hAnsi="Garamond"/>
          <w:sz w:val="24"/>
          <w:szCs w:val="24"/>
        </w:rPr>
        <w:t xml:space="preserve"> INDICATORS (OVERVIEW OF ACHIEVED STRATEGIC AND OPERATIONAL OBJECTIVES)</w:t>
      </w:r>
      <w:bookmarkEnd w:id="6"/>
    </w:p>
    <w:p w:rsidR="003643AF" w:rsidRDefault="003643AF" w:rsidP="004D1343">
      <w:pPr>
        <w:rPr>
          <w:rFonts w:ascii="Garamond" w:hAnsi="Garamond"/>
          <w:sz w:val="24"/>
          <w:szCs w:val="24"/>
        </w:rPr>
      </w:pPr>
    </w:p>
    <w:p w:rsidR="004D1343" w:rsidRPr="00C32887" w:rsidRDefault="00EE4B98" w:rsidP="003643AF">
      <w:pPr>
        <w:pStyle w:val="Heading2"/>
        <w:rPr>
          <w:rFonts w:ascii="Garamond" w:hAnsi="Garamond"/>
          <w:sz w:val="24"/>
          <w:szCs w:val="24"/>
        </w:rPr>
      </w:pPr>
      <w:bookmarkStart w:id="7" w:name="_Toc77688192"/>
      <w:r w:rsidRPr="00C32887">
        <w:rPr>
          <w:rFonts w:ascii="Garamond" w:hAnsi="Garamond"/>
          <w:sz w:val="24"/>
          <w:szCs w:val="24"/>
        </w:rPr>
        <w:t xml:space="preserve">OBJECTIVE </w:t>
      </w:r>
      <w:proofErr w:type="gramStart"/>
      <w:r w:rsidRPr="00C32887">
        <w:rPr>
          <w:rFonts w:ascii="Garamond" w:hAnsi="Garamond"/>
          <w:sz w:val="24"/>
          <w:szCs w:val="24"/>
        </w:rPr>
        <w:t>1 .</w:t>
      </w:r>
      <w:proofErr w:type="gramEnd"/>
      <w:r w:rsidRPr="00C32887">
        <w:rPr>
          <w:rFonts w:ascii="Garamond" w:hAnsi="Garamond"/>
          <w:sz w:val="24"/>
          <w:szCs w:val="24"/>
        </w:rPr>
        <w:t xml:space="preserve"> SUSTAINABLE FISCAL FRAMEWORK, PUBLIC </w:t>
      </w:r>
      <w:r>
        <w:rPr>
          <w:rFonts w:ascii="Garamond" w:hAnsi="Garamond"/>
          <w:sz w:val="24"/>
          <w:szCs w:val="24"/>
        </w:rPr>
        <w:t>EXPENDITURE</w:t>
      </w:r>
      <w:r w:rsidRPr="00C32887">
        <w:rPr>
          <w:rFonts w:ascii="Garamond" w:hAnsi="Garamond"/>
          <w:sz w:val="24"/>
          <w:szCs w:val="24"/>
        </w:rPr>
        <w:t xml:space="preserve"> PLANNING AND BUDGETING</w:t>
      </w:r>
      <w:bookmarkEnd w:id="7"/>
    </w:p>
    <w:p w:rsidR="004D1343" w:rsidRPr="00C32887" w:rsidRDefault="004D1343" w:rsidP="004D1343">
      <w:pPr>
        <w:rPr>
          <w:rFonts w:ascii="Garamond" w:hAnsi="Garamond"/>
          <w:sz w:val="24"/>
          <w:szCs w:val="24"/>
        </w:rPr>
      </w:pPr>
    </w:p>
    <w:p w:rsidR="004D1343" w:rsidRPr="00C32887" w:rsidRDefault="004D1343" w:rsidP="003643AF">
      <w:pPr>
        <w:jc w:val="both"/>
        <w:rPr>
          <w:rFonts w:ascii="Garamond" w:hAnsi="Garamond"/>
          <w:sz w:val="24"/>
          <w:szCs w:val="24"/>
        </w:rPr>
      </w:pPr>
      <w:r w:rsidRPr="00C32887">
        <w:rPr>
          <w:rFonts w:ascii="Garamond" w:hAnsi="Garamond"/>
          <w:sz w:val="24"/>
          <w:szCs w:val="24"/>
        </w:rPr>
        <w:t xml:space="preserve">In the context of the reform, key activities </w:t>
      </w:r>
      <w:r w:rsidR="000B17DC">
        <w:rPr>
          <w:rFonts w:ascii="Garamond" w:hAnsi="Garamond"/>
          <w:sz w:val="24"/>
          <w:szCs w:val="24"/>
        </w:rPr>
        <w:t>for</w:t>
      </w:r>
      <w:r w:rsidRPr="00C32887">
        <w:rPr>
          <w:rFonts w:ascii="Garamond" w:hAnsi="Garamond"/>
          <w:sz w:val="24"/>
          <w:szCs w:val="24"/>
        </w:rPr>
        <w:t xml:space="preserve"> the </w:t>
      </w:r>
      <w:r w:rsidR="00DF1B0D">
        <w:rPr>
          <w:rFonts w:ascii="Garamond" w:hAnsi="Garamond"/>
          <w:sz w:val="24"/>
          <w:szCs w:val="24"/>
        </w:rPr>
        <w:t>above mentioned</w:t>
      </w:r>
      <w:r w:rsidRPr="00C32887">
        <w:rPr>
          <w:rFonts w:ascii="Garamond" w:hAnsi="Garamond"/>
          <w:sz w:val="24"/>
          <w:szCs w:val="24"/>
        </w:rPr>
        <w:t xml:space="preserve"> </w:t>
      </w:r>
      <w:r w:rsidR="00EE4B98">
        <w:rPr>
          <w:rFonts w:ascii="Garamond" w:hAnsi="Garamond"/>
          <w:sz w:val="24"/>
          <w:szCs w:val="24"/>
        </w:rPr>
        <w:t>objective</w:t>
      </w:r>
      <w:r w:rsidRPr="00C32887">
        <w:rPr>
          <w:rFonts w:ascii="Garamond" w:hAnsi="Garamond"/>
          <w:sz w:val="24"/>
          <w:szCs w:val="24"/>
        </w:rPr>
        <w:t xml:space="preserve"> were reflected in the development of the m</w:t>
      </w:r>
      <w:r w:rsidR="00EE4B98">
        <w:rPr>
          <w:rFonts w:ascii="Garamond" w:hAnsi="Garamond"/>
          <w:sz w:val="24"/>
          <w:szCs w:val="24"/>
        </w:rPr>
        <w:t>ethodology of medium-term budgetary</w:t>
      </w:r>
      <w:r w:rsidRPr="00C32887">
        <w:rPr>
          <w:rFonts w:ascii="Garamond" w:hAnsi="Garamond"/>
          <w:sz w:val="24"/>
          <w:szCs w:val="24"/>
        </w:rPr>
        <w:t xml:space="preserve"> framework, the introduction of a comprehensive </w:t>
      </w:r>
      <w:r w:rsidR="00EE4B98">
        <w:rPr>
          <w:rFonts w:ascii="Garamond" w:hAnsi="Garamond"/>
          <w:sz w:val="24"/>
          <w:szCs w:val="24"/>
        </w:rPr>
        <w:t>p</w:t>
      </w:r>
      <w:r w:rsidR="00AB73F6" w:rsidRPr="00C32887">
        <w:rPr>
          <w:rFonts w:ascii="Garamond" w:hAnsi="Garamond"/>
          <w:sz w:val="24"/>
          <w:szCs w:val="24"/>
        </w:rPr>
        <w:t>rogramme</w:t>
      </w:r>
      <w:r w:rsidR="003643AF">
        <w:rPr>
          <w:rFonts w:ascii="Garamond" w:hAnsi="Garamond"/>
          <w:sz w:val="24"/>
          <w:szCs w:val="24"/>
        </w:rPr>
        <w:t>-based</w:t>
      </w:r>
      <w:r w:rsidRPr="00C32887">
        <w:rPr>
          <w:rFonts w:ascii="Garamond" w:hAnsi="Garamond"/>
          <w:sz w:val="24"/>
          <w:szCs w:val="24"/>
        </w:rPr>
        <w:t xml:space="preserve"> budgeting and improvement </w:t>
      </w:r>
      <w:r w:rsidR="003643AF">
        <w:rPr>
          <w:rFonts w:ascii="Garamond" w:hAnsi="Garamond"/>
          <w:sz w:val="24"/>
          <w:szCs w:val="24"/>
        </w:rPr>
        <w:t>of</w:t>
      </w:r>
      <w:r w:rsidRPr="00C32887">
        <w:rPr>
          <w:rFonts w:ascii="Garamond" w:hAnsi="Garamond"/>
          <w:sz w:val="24"/>
          <w:szCs w:val="24"/>
        </w:rPr>
        <w:t xml:space="preserve"> planning and </w:t>
      </w:r>
      <w:r w:rsidR="003643AF">
        <w:rPr>
          <w:rFonts w:ascii="Garamond" w:hAnsi="Garamond"/>
          <w:sz w:val="24"/>
          <w:szCs w:val="24"/>
        </w:rPr>
        <w:t>execution of the capital budget</w:t>
      </w:r>
      <w:r w:rsidRPr="00C32887">
        <w:rPr>
          <w:rFonts w:ascii="Garamond" w:hAnsi="Garamond"/>
          <w:sz w:val="24"/>
          <w:szCs w:val="24"/>
        </w:rPr>
        <w:t>. A</w:t>
      </w:r>
      <w:r w:rsidR="003643AF">
        <w:rPr>
          <w:rFonts w:ascii="Garamond" w:hAnsi="Garamond"/>
          <w:sz w:val="24"/>
          <w:szCs w:val="24"/>
        </w:rPr>
        <w:t>lso, the focus was on adapting and expan</w:t>
      </w:r>
      <w:r w:rsidR="00DF1B0D">
        <w:rPr>
          <w:rFonts w:ascii="Garamond" w:hAnsi="Garamond"/>
          <w:sz w:val="24"/>
          <w:szCs w:val="24"/>
        </w:rPr>
        <w:t xml:space="preserve">ding </w:t>
      </w:r>
      <w:r w:rsidR="003643AF">
        <w:rPr>
          <w:rFonts w:ascii="Garamond" w:hAnsi="Garamond"/>
          <w:sz w:val="24"/>
          <w:szCs w:val="24"/>
        </w:rPr>
        <w:t>legal and regulatory framework</w:t>
      </w:r>
      <w:r w:rsidRPr="00C32887">
        <w:rPr>
          <w:rFonts w:ascii="Garamond" w:hAnsi="Garamond"/>
          <w:sz w:val="24"/>
          <w:szCs w:val="24"/>
        </w:rPr>
        <w:t>, as well as capac</w:t>
      </w:r>
      <w:r w:rsidR="003643AF">
        <w:rPr>
          <w:rFonts w:ascii="Garamond" w:hAnsi="Garamond"/>
          <w:sz w:val="24"/>
          <w:szCs w:val="24"/>
        </w:rPr>
        <w:t>ity building of human resources</w:t>
      </w:r>
      <w:r w:rsidRPr="00C32887">
        <w:rPr>
          <w:rFonts w:ascii="Garamond" w:hAnsi="Garamond"/>
          <w:sz w:val="24"/>
          <w:szCs w:val="24"/>
        </w:rPr>
        <w:t>. At the</w:t>
      </w:r>
      <w:r w:rsidR="00471A83">
        <w:rPr>
          <w:rFonts w:ascii="Garamond" w:hAnsi="Garamond"/>
          <w:sz w:val="24"/>
          <w:szCs w:val="24"/>
        </w:rPr>
        <w:t xml:space="preserve"> same time, the development of the</w:t>
      </w:r>
      <w:r w:rsidRPr="00C32887">
        <w:rPr>
          <w:rFonts w:ascii="Garamond" w:hAnsi="Garamond"/>
          <w:sz w:val="24"/>
          <w:szCs w:val="24"/>
        </w:rPr>
        <w:t xml:space="preserve"> new information system for budget planning </w:t>
      </w:r>
      <w:r w:rsidR="003643AF">
        <w:rPr>
          <w:rFonts w:ascii="Garamond" w:hAnsi="Garamond"/>
          <w:sz w:val="24"/>
          <w:szCs w:val="24"/>
        </w:rPr>
        <w:t>–</w:t>
      </w:r>
      <w:r w:rsidRPr="00C32887">
        <w:rPr>
          <w:rFonts w:ascii="Garamond" w:hAnsi="Garamond"/>
          <w:sz w:val="24"/>
          <w:szCs w:val="24"/>
        </w:rPr>
        <w:t xml:space="preserve"> BMIS</w:t>
      </w:r>
      <w:r w:rsidR="003643AF">
        <w:rPr>
          <w:rFonts w:ascii="Garamond" w:hAnsi="Garamond"/>
          <w:sz w:val="24"/>
          <w:szCs w:val="24"/>
        </w:rPr>
        <w:t xml:space="preserve"> is ongoing</w:t>
      </w:r>
      <w:r w:rsidRPr="00C32887">
        <w:rPr>
          <w:rFonts w:ascii="Garamond" w:hAnsi="Garamond"/>
          <w:sz w:val="24"/>
          <w:szCs w:val="24"/>
        </w:rPr>
        <w:t xml:space="preserve">, in order to establish a modern system of preparation and planning, and </w:t>
      </w:r>
      <w:r w:rsidR="00471A83">
        <w:rPr>
          <w:rFonts w:ascii="Garamond" w:hAnsi="Garamond"/>
          <w:sz w:val="24"/>
          <w:szCs w:val="24"/>
        </w:rPr>
        <w:t xml:space="preserve">to </w:t>
      </w:r>
      <w:r w:rsidRPr="00C32887">
        <w:rPr>
          <w:rFonts w:ascii="Garamond" w:hAnsi="Garamond"/>
          <w:sz w:val="24"/>
          <w:szCs w:val="24"/>
        </w:rPr>
        <w:t>connect with other IT systems</w:t>
      </w:r>
      <w:r w:rsidR="00471A83">
        <w:rPr>
          <w:rFonts w:ascii="Garamond" w:hAnsi="Garamond"/>
          <w:sz w:val="24"/>
          <w:szCs w:val="24"/>
        </w:rPr>
        <w:t>,</w:t>
      </w:r>
      <w:r w:rsidRPr="00C32887">
        <w:rPr>
          <w:rFonts w:ascii="Garamond" w:hAnsi="Garamond"/>
          <w:sz w:val="24"/>
          <w:szCs w:val="24"/>
        </w:rPr>
        <w:t xml:space="preserve"> wh</w:t>
      </w:r>
      <w:r w:rsidR="003643AF">
        <w:rPr>
          <w:rFonts w:ascii="Garamond" w:hAnsi="Garamond"/>
          <w:sz w:val="24"/>
          <w:szCs w:val="24"/>
        </w:rPr>
        <w:t>ich will enable access to all r</w:t>
      </w:r>
      <w:r w:rsidRPr="00C32887">
        <w:rPr>
          <w:rFonts w:ascii="Garamond" w:hAnsi="Garamond"/>
          <w:sz w:val="24"/>
          <w:szCs w:val="24"/>
        </w:rPr>
        <w:t>elevant</w:t>
      </w:r>
      <w:r w:rsidR="003643AF">
        <w:rPr>
          <w:rFonts w:ascii="Garamond" w:hAnsi="Garamond"/>
          <w:sz w:val="24"/>
          <w:szCs w:val="24"/>
        </w:rPr>
        <w:t xml:space="preserve"> </w:t>
      </w:r>
      <w:r w:rsidRPr="00C32887">
        <w:rPr>
          <w:rFonts w:ascii="Garamond" w:hAnsi="Garamond"/>
          <w:sz w:val="24"/>
          <w:szCs w:val="24"/>
        </w:rPr>
        <w:t>inf</w:t>
      </w:r>
      <w:r w:rsidR="003643AF">
        <w:rPr>
          <w:rFonts w:ascii="Garamond" w:hAnsi="Garamond"/>
          <w:sz w:val="24"/>
          <w:szCs w:val="24"/>
        </w:rPr>
        <w:t>ormation and process automation</w:t>
      </w:r>
      <w:r w:rsidRPr="00C32887">
        <w:rPr>
          <w:rFonts w:ascii="Garamond" w:hAnsi="Garamond"/>
          <w:sz w:val="24"/>
          <w:szCs w:val="24"/>
        </w:rPr>
        <w:t xml:space="preserve">, </w:t>
      </w:r>
      <w:r w:rsidR="00471A83">
        <w:rPr>
          <w:rFonts w:ascii="Garamond" w:hAnsi="Garamond"/>
          <w:sz w:val="24"/>
          <w:szCs w:val="24"/>
        </w:rPr>
        <w:t xml:space="preserve">and </w:t>
      </w:r>
      <w:r w:rsidRPr="00C32887">
        <w:rPr>
          <w:rFonts w:ascii="Garamond" w:hAnsi="Garamond"/>
          <w:sz w:val="24"/>
          <w:szCs w:val="24"/>
        </w:rPr>
        <w:t>provide adequate suppo</w:t>
      </w:r>
      <w:r w:rsidR="003643AF">
        <w:rPr>
          <w:rFonts w:ascii="Garamond" w:hAnsi="Garamond"/>
          <w:sz w:val="24"/>
          <w:szCs w:val="24"/>
        </w:rPr>
        <w:t>rt to the reforms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3643AF">
      <w:pPr>
        <w:jc w:val="both"/>
        <w:rPr>
          <w:rFonts w:ascii="Garamond" w:hAnsi="Garamond"/>
          <w:sz w:val="24"/>
          <w:szCs w:val="24"/>
        </w:rPr>
      </w:pPr>
      <w:r w:rsidRPr="00C32887">
        <w:rPr>
          <w:rFonts w:ascii="Garamond" w:hAnsi="Garamond"/>
          <w:sz w:val="24"/>
          <w:szCs w:val="24"/>
        </w:rPr>
        <w:t xml:space="preserve">In order to implement </w:t>
      </w:r>
      <w:r w:rsidR="00471A83">
        <w:rPr>
          <w:rFonts w:ascii="Garamond" w:hAnsi="Garamond"/>
          <w:sz w:val="24"/>
          <w:szCs w:val="24"/>
        </w:rPr>
        <w:t xml:space="preserve">the </w:t>
      </w:r>
      <w:r w:rsidRPr="00C32887">
        <w:rPr>
          <w:rFonts w:ascii="Garamond" w:hAnsi="Garamond"/>
          <w:sz w:val="24"/>
          <w:szCs w:val="24"/>
        </w:rPr>
        <w:t>aforementioned reform</w:t>
      </w:r>
      <w:r w:rsidR="00DF1B0D">
        <w:rPr>
          <w:rFonts w:ascii="Garamond" w:hAnsi="Garamond"/>
          <w:sz w:val="24"/>
          <w:szCs w:val="24"/>
        </w:rPr>
        <w:t>,</w:t>
      </w:r>
      <w:r w:rsidRPr="00C32887">
        <w:rPr>
          <w:rFonts w:ascii="Garamond" w:hAnsi="Garamond"/>
          <w:sz w:val="24"/>
          <w:szCs w:val="24"/>
        </w:rPr>
        <w:t xml:space="preserve"> the </w:t>
      </w:r>
      <w:r w:rsidR="00471A83" w:rsidRPr="00C32887">
        <w:rPr>
          <w:rFonts w:ascii="Garamond" w:hAnsi="Garamond"/>
          <w:sz w:val="24"/>
          <w:szCs w:val="24"/>
        </w:rPr>
        <w:t xml:space="preserve">Government </w:t>
      </w:r>
      <w:r w:rsidRPr="00C32887">
        <w:rPr>
          <w:rFonts w:ascii="Garamond" w:hAnsi="Garamond"/>
          <w:sz w:val="24"/>
          <w:szCs w:val="24"/>
        </w:rPr>
        <w:t xml:space="preserve">session of 20 </w:t>
      </w:r>
      <w:r w:rsidR="00D33D58">
        <w:rPr>
          <w:rFonts w:ascii="Garamond" w:hAnsi="Garamond"/>
          <w:sz w:val="24"/>
          <w:szCs w:val="24"/>
        </w:rPr>
        <w:t>February</w:t>
      </w:r>
      <w:r w:rsidR="00D33D58" w:rsidRPr="00C32887">
        <w:rPr>
          <w:rFonts w:ascii="Garamond" w:hAnsi="Garamond"/>
          <w:sz w:val="24"/>
          <w:szCs w:val="24"/>
        </w:rPr>
        <w:t xml:space="preserve"> </w:t>
      </w:r>
      <w:r w:rsidRPr="00C32887">
        <w:rPr>
          <w:rFonts w:ascii="Garamond" w:hAnsi="Garamond"/>
          <w:sz w:val="24"/>
          <w:szCs w:val="24"/>
        </w:rPr>
        <w:t xml:space="preserve">2020 adopted </w:t>
      </w:r>
      <w:r w:rsidRPr="00D33D58">
        <w:rPr>
          <w:rFonts w:ascii="Garamond" w:hAnsi="Garamond"/>
          <w:b/>
          <w:sz w:val="24"/>
          <w:szCs w:val="24"/>
        </w:rPr>
        <w:t xml:space="preserve">Communication on the </w:t>
      </w:r>
      <w:r w:rsidR="00471A83">
        <w:rPr>
          <w:rFonts w:ascii="Garamond" w:hAnsi="Garamond"/>
          <w:b/>
          <w:sz w:val="24"/>
          <w:szCs w:val="24"/>
        </w:rPr>
        <w:t>enhancement</w:t>
      </w:r>
      <w:r w:rsidR="00DF1B0D">
        <w:rPr>
          <w:rFonts w:ascii="Garamond" w:hAnsi="Garamond"/>
          <w:b/>
          <w:sz w:val="24"/>
          <w:szCs w:val="24"/>
        </w:rPr>
        <w:t xml:space="preserve"> of budgeting and multiannual</w:t>
      </w:r>
      <w:r w:rsidRPr="00D33D58">
        <w:rPr>
          <w:rFonts w:ascii="Garamond" w:hAnsi="Garamond"/>
          <w:b/>
          <w:sz w:val="24"/>
          <w:szCs w:val="24"/>
        </w:rPr>
        <w:t xml:space="preserve"> </w:t>
      </w:r>
      <w:r w:rsidR="00DF1B0D">
        <w:rPr>
          <w:rFonts w:ascii="Garamond" w:hAnsi="Garamond"/>
          <w:b/>
          <w:sz w:val="24"/>
          <w:szCs w:val="24"/>
        </w:rPr>
        <w:t>financial</w:t>
      </w:r>
      <w:r w:rsidRPr="00D33D58">
        <w:rPr>
          <w:rFonts w:ascii="Garamond" w:hAnsi="Garamond"/>
          <w:b/>
          <w:sz w:val="24"/>
          <w:szCs w:val="24"/>
        </w:rPr>
        <w:t xml:space="preserve"> framework</w:t>
      </w:r>
      <w:r w:rsidRPr="00C32887">
        <w:rPr>
          <w:rFonts w:ascii="Garamond" w:hAnsi="Garamond"/>
          <w:sz w:val="24"/>
          <w:szCs w:val="24"/>
        </w:rPr>
        <w:t>, which comprises the proposed meth</w:t>
      </w:r>
      <w:r w:rsidR="00471A83">
        <w:rPr>
          <w:rFonts w:ascii="Garamond" w:hAnsi="Garamond"/>
          <w:sz w:val="24"/>
          <w:szCs w:val="24"/>
        </w:rPr>
        <w:t>odology and approach for the medium</w:t>
      </w:r>
      <w:r w:rsidRPr="00C32887">
        <w:rPr>
          <w:rFonts w:ascii="Garamond" w:hAnsi="Garamond"/>
          <w:sz w:val="24"/>
          <w:szCs w:val="24"/>
        </w:rPr>
        <w:t>-term budget</w:t>
      </w:r>
      <w:r w:rsidR="00471A83">
        <w:rPr>
          <w:rFonts w:ascii="Garamond" w:hAnsi="Garamond"/>
          <w:sz w:val="24"/>
          <w:szCs w:val="24"/>
        </w:rPr>
        <w:t>ary</w:t>
      </w:r>
      <w:r w:rsidRPr="00C32887">
        <w:rPr>
          <w:rFonts w:ascii="Garamond" w:hAnsi="Garamond"/>
          <w:sz w:val="24"/>
          <w:szCs w:val="24"/>
        </w:rPr>
        <w:t xml:space="preserve"> framework, the introduction of </w:t>
      </w:r>
      <w:r w:rsidR="00471A83">
        <w:rPr>
          <w:rFonts w:ascii="Garamond" w:hAnsi="Garamond"/>
          <w:sz w:val="24"/>
          <w:szCs w:val="24"/>
        </w:rPr>
        <w:t>p</w:t>
      </w:r>
      <w:r w:rsidR="00AB73F6" w:rsidRPr="00C32887">
        <w:rPr>
          <w:rFonts w:ascii="Garamond" w:hAnsi="Garamond"/>
          <w:sz w:val="24"/>
          <w:szCs w:val="24"/>
        </w:rPr>
        <w:t>rogramme</w:t>
      </w:r>
      <w:r w:rsidR="00D33D58">
        <w:rPr>
          <w:rFonts w:ascii="Garamond" w:hAnsi="Garamond"/>
          <w:sz w:val="24"/>
          <w:szCs w:val="24"/>
        </w:rPr>
        <w:t>-based</w:t>
      </w:r>
      <w:r w:rsidRPr="00C32887">
        <w:rPr>
          <w:rFonts w:ascii="Garamond" w:hAnsi="Garamond"/>
          <w:sz w:val="24"/>
          <w:szCs w:val="24"/>
        </w:rPr>
        <w:t xml:space="preserve"> budgeting and further improvement </w:t>
      </w:r>
      <w:r w:rsidR="00D33D58">
        <w:rPr>
          <w:rFonts w:ascii="Garamond" w:hAnsi="Garamond"/>
          <w:sz w:val="24"/>
          <w:szCs w:val="24"/>
        </w:rPr>
        <w:t>of capital budgeting</w:t>
      </w:r>
      <w:r w:rsidR="007C4785">
        <w:rPr>
          <w:rFonts w:ascii="Garamond" w:hAnsi="Garamond"/>
          <w:sz w:val="24"/>
          <w:szCs w:val="24"/>
        </w:rPr>
        <w:t>. The</w:t>
      </w:r>
      <w:r w:rsidRPr="00C32887">
        <w:rPr>
          <w:rFonts w:ascii="Garamond" w:hAnsi="Garamond"/>
          <w:sz w:val="24"/>
          <w:szCs w:val="24"/>
        </w:rPr>
        <w:t xml:space="preserve"> document provides recommendations </w:t>
      </w:r>
      <w:r w:rsidR="00D33D58">
        <w:rPr>
          <w:rFonts w:ascii="Garamond" w:hAnsi="Garamond"/>
          <w:sz w:val="24"/>
          <w:szCs w:val="24"/>
        </w:rPr>
        <w:t>and further steps</w:t>
      </w:r>
      <w:r w:rsidRPr="00C32887">
        <w:rPr>
          <w:rFonts w:ascii="Garamond" w:hAnsi="Garamond"/>
          <w:sz w:val="24"/>
          <w:szCs w:val="24"/>
        </w:rPr>
        <w:t xml:space="preserve"> when it comes to amendments to the legal and regulatory framework, the development of the IT system and prepar</w:t>
      </w:r>
      <w:r w:rsidR="00471A83">
        <w:rPr>
          <w:rFonts w:ascii="Garamond" w:hAnsi="Garamond"/>
          <w:sz w:val="24"/>
          <w:szCs w:val="24"/>
        </w:rPr>
        <w:t>ation</w:t>
      </w:r>
      <w:r w:rsidRPr="00C32887">
        <w:rPr>
          <w:rFonts w:ascii="Garamond" w:hAnsi="Garamond"/>
          <w:sz w:val="24"/>
          <w:szCs w:val="24"/>
        </w:rPr>
        <w:t xml:space="preserve"> and institutionali</w:t>
      </w:r>
      <w:r w:rsidR="00F254DD">
        <w:rPr>
          <w:rFonts w:ascii="Garamond" w:hAnsi="Garamond"/>
          <w:sz w:val="24"/>
          <w:szCs w:val="24"/>
        </w:rPr>
        <w:t>sation</w:t>
      </w:r>
      <w:r w:rsidRPr="00C32887">
        <w:rPr>
          <w:rFonts w:ascii="Garamond" w:hAnsi="Garamond"/>
          <w:sz w:val="24"/>
          <w:szCs w:val="24"/>
        </w:rPr>
        <w:t xml:space="preserve"> of </w:t>
      </w:r>
      <w:r w:rsidR="00471A83">
        <w:rPr>
          <w:rFonts w:ascii="Garamond" w:hAnsi="Garamond"/>
          <w:sz w:val="24"/>
          <w:szCs w:val="24"/>
        </w:rPr>
        <w:t xml:space="preserve">the </w:t>
      </w:r>
      <w:r w:rsidRPr="00C32887">
        <w:rPr>
          <w:rFonts w:ascii="Garamond" w:hAnsi="Garamond"/>
          <w:sz w:val="24"/>
          <w:szCs w:val="24"/>
        </w:rPr>
        <w:t>promotion of human resources</w:t>
      </w:r>
      <w:r w:rsidR="00D33D58" w:rsidRPr="00D33D58">
        <w:rPr>
          <w:rFonts w:ascii="Garamond" w:hAnsi="Garamond"/>
          <w:sz w:val="24"/>
          <w:szCs w:val="24"/>
        </w:rPr>
        <w:t xml:space="preserve"> </w:t>
      </w:r>
      <w:r w:rsidR="00D33D58">
        <w:rPr>
          <w:rFonts w:ascii="Garamond" w:hAnsi="Garamond"/>
          <w:sz w:val="24"/>
          <w:szCs w:val="24"/>
        </w:rPr>
        <w:t>capacities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D33D58">
      <w:pPr>
        <w:jc w:val="both"/>
        <w:rPr>
          <w:rFonts w:ascii="Garamond" w:hAnsi="Garamond"/>
          <w:sz w:val="24"/>
          <w:szCs w:val="24"/>
        </w:rPr>
      </w:pPr>
      <w:r w:rsidRPr="00C32887">
        <w:rPr>
          <w:rFonts w:ascii="Garamond" w:hAnsi="Garamond"/>
          <w:sz w:val="24"/>
          <w:szCs w:val="24"/>
        </w:rPr>
        <w:t xml:space="preserve">Accordingly, in the process of </w:t>
      </w:r>
      <w:r w:rsidR="00A15F9B" w:rsidRPr="00C32887">
        <w:rPr>
          <w:rFonts w:ascii="Garamond" w:hAnsi="Garamond"/>
          <w:sz w:val="24"/>
          <w:szCs w:val="24"/>
        </w:rPr>
        <w:t>2021</w:t>
      </w:r>
      <w:r w:rsidR="00A15F9B">
        <w:rPr>
          <w:rFonts w:ascii="Garamond" w:hAnsi="Garamond"/>
          <w:sz w:val="24"/>
          <w:szCs w:val="24"/>
        </w:rPr>
        <w:t xml:space="preserve"> </w:t>
      </w:r>
      <w:r w:rsidR="00A15F9B" w:rsidRPr="00C32887">
        <w:rPr>
          <w:rFonts w:ascii="Garamond" w:hAnsi="Garamond"/>
          <w:sz w:val="24"/>
          <w:szCs w:val="24"/>
        </w:rPr>
        <w:t xml:space="preserve">budget </w:t>
      </w:r>
      <w:r w:rsidR="00A15F9B">
        <w:rPr>
          <w:rFonts w:ascii="Garamond" w:hAnsi="Garamond"/>
          <w:sz w:val="24"/>
          <w:szCs w:val="24"/>
        </w:rPr>
        <w:t>drafting, the</w:t>
      </w:r>
      <w:r w:rsidRPr="00C32887">
        <w:rPr>
          <w:rFonts w:ascii="Garamond" w:hAnsi="Garamond"/>
          <w:sz w:val="24"/>
          <w:szCs w:val="24"/>
        </w:rPr>
        <w:t xml:space="preserve"> new </w:t>
      </w:r>
      <w:r w:rsidRPr="00D33D58">
        <w:rPr>
          <w:rFonts w:ascii="Garamond" w:hAnsi="Garamond"/>
          <w:b/>
          <w:sz w:val="24"/>
          <w:szCs w:val="24"/>
        </w:rPr>
        <w:t xml:space="preserve">Methodology of </w:t>
      </w:r>
      <w:r w:rsidR="00A15F9B">
        <w:rPr>
          <w:rFonts w:ascii="Garamond" w:hAnsi="Garamond"/>
          <w:b/>
          <w:sz w:val="24"/>
          <w:szCs w:val="24"/>
        </w:rPr>
        <w:t>p</w:t>
      </w:r>
      <w:r w:rsidR="00AB73F6" w:rsidRPr="00D33D58">
        <w:rPr>
          <w:rFonts w:ascii="Garamond" w:hAnsi="Garamond"/>
          <w:b/>
          <w:sz w:val="24"/>
          <w:szCs w:val="24"/>
        </w:rPr>
        <w:t>rogramme</w:t>
      </w:r>
      <w:r w:rsidR="00D33D58">
        <w:rPr>
          <w:rFonts w:ascii="Garamond" w:hAnsi="Garamond"/>
          <w:b/>
          <w:sz w:val="24"/>
          <w:szCs w:val="24"/>
        </w:rPr>
        <w:t>-based</w:t>
      </w:r>
      <w:r w:rsidRPr="00D33D58">
        <w:rPr>
          <w:rFonts w:ascii="Garamond" w:hAnsi="Garamond"/>
          <w:b/>
          <w:sz w:val="24"/>
          <w:szCs w:val="24"/>
        </w:rPr>
        <w:t xml:space="preserve"> </w:t>
      </w:r>
      <w:r w:rsidRPr="00A15F9B">
        <w:rPr>
          <w:rFonts w:ascii="Garamond" w:hAnsi="Garamond"/>
          <w:b/>
          <w:sz w:val="24"/>
          <w:szCs w:val="24"/>
        </w:rPr>
        <w:t>budgetin</w:t>
      </w:r>
      <w:r w:rsidR="00D33D58" w:rsidRPr="00A15F9B">
        <w:rPr>
          <w:rFonts w:ascii="Garamond" w:hAnsi="Garamond"/>
          <w:b/>
          <w:sz w:val="24"/>
          <w:szCs w:val="24"/>
        </w:rPr>
        <w:t>g</w:t>
      </w:r>
      <w:r w:rsidR="00D33D58">
        <w:rPr>
          <w:rFonts w:ascii="Garamond" w:hAnsi="Garamond"/>
          <w:sz w:val="24"/>
          <w:szCs w:val="24"/>
        </w:rPr>
        <w:t xml:space="preserve"> has been implemented</w:t>
      </w:r>
      <w:r w:rsidRPr="00C32887">
        <w:rPr>
          <w:rFonts w:ascii="Garamond" w:hAnsi="Garamond"/>
          <w:sz w:val="24"/>
          <w:szCs w:val="24"/>
        </w:rPr>
        <w:t>, which is in line with international standards and practices in this area, with adequate adjustment to Montenegrin conditions and legislation.</w:t>
      </w:r>
    </w:p>
    <w:p w:rsidR="004D1343" w:rsidRPr="00C32887" w:rsidRDefault="004D1343" w:rsidP="004D1343">
      <w:pPr>
        <w:rPr>
          <w:rFonts w:ascii="Garamond" w:hAnsi="Garamond"/>
          <w:sz w:val="24"/>
          <w:szCs w:val="24"/>
        </w:rPr>
      </w:pPr>
    </w:p>
    <w:p w:rsidR="004D1343" w:rsidRPr="00C32887" w:rsidRDefault="004D1343" w:rsidP="00D33D58">
      <w:pPr>
        <w:jc w:val="both"/>
        <w:rPr>
          <w:rFonts w:ascii="Garamond" w:hAnsi="Garamond"/>
          <w:sz w:val="24"/>
          <w:szCs w:val="24"/>
        </w:rPr>
      </w:pPr>
      <w:r w:rsidRPr="00C32887">
        <w:rPr>
          <w:rFonts w:ascii="Garamond" w:hAnsi="Garamond"/>
          <w:sz w:val="24"/>
          <w:szCs w:val="24"/>
        </w:rPr>
        <w:t xml:space="preserve">Namely, the </w:t>
      </w:r>
      <w:r w:rsidR="00A15F9B">
        <w:rPr>
          <w:rFonts w:ascii="Garamond" w:hAnsi="Garamond"/>
          <w:sz w:val="24"/>
          <w:szCs w:val="24"/>
        </w:rPr>
        <w:t>p</w:t>
      </w:r>
      <w:r w:rsidR="00AB73F6" w:rsidRPr="00C32887">
        <w:rPr>
          <w:rFonts w:ascii="Garamond" w:hAnsi="Garamond"/>
          <w:sz w:val="24"/>
          <w:szCs w:val="24"/>
        </w:rPr>
        <w:t>rogramme</w:t>
      </w:r>
      <w:r w:rsidR="00D33D58">
        <w:rPr>
          <w:rFonts w:ascii="Garamond" w:hAnsi="Garamond"/>
          <w:sz w:val="24"/>
          <w:szCs w:val="24"/>
        </w:rPr>
        <w:t>-based</w:t>
      </w:r>
      <w:r w:rsidRPr="00C32887">
        <w:rPr>
          <w:rFonts w:ascii="Garamond" w:hAnsi="Garamond"/>
          <w:sz w:val="24"/>
          <w:szCs w:val="24"/>
        </w:rPr>
        <w:t xml:space="preserve"> budget, in addition to the economic, functional and organi</w:t>
      </w:r>
      <w:r w:rsidR="00F254DD">
        <w:rPr>
          <w:rFonts w:ascii="Garamond" w:hAnsi="Garamond"/>
          <w:sz w:val="24"/>
          <w:szCs w:val="24"/>
        </w:rPr>
        <w:t>sation</w:t>
      </w:r>
      <w:r w:rsidRPr="00C32887">
        <w:rPr>
          <w:rFonts w:ascii="Garamond" w:hAnsi="Garamond"/>
          <w:sz w:val="24"/>
          <w:szCs w:val="24"/>
        </w:rPr>
        <w:t xml:space="preserve">al classification, provides for the continuation of the development of the </w:t>
      </w:r>
      <w:r w:rsidR="00D33D58">
        <w:rPr>
          <w:rFonts w:ascii="Garamond" w:hAnsi="Garamond"/>
          <w:sz w:val="24"/>
          <w:szCs w:val="24"/>
        </w:rPr>
        <w:t>p</w:t>
      </w:r>
      <w:r w:rsidR="00AB73F6" w:rsidRPr="00C32887">
        <w:rPr>
          <w:rFonts w:ascii="Garamond" w:hAnsi="Garamond"/>
          <w:sz w:val="24"/>
          <w:szCs w:val="24"/>
        </w:rPr>
        <w:t>rogramme</w:t>
      </w:r>
      <w:r w:rsidR="007C4785">
        <w:rPr>
          <w:rFonts w:ascii="Garamond" w:hAnsi="Garamond"/>
          <w:sz w:val="24"/>
          <w:szCs w:val="24"/>
        </w:rPr>
        <w:t>-based</w:t>
      </w:r>
      <w:r w:rsidRPr="00C32887">
        <w:rPr>
          <w:rFonts w:ascii="Garamond" w:hAnsi="Garamond"/>
          <w:sz w:val="24"/>
          <w:szCs w:val="24"/>
        </w:rPr>
        <w:t xml:space="preserve"> classification, which enables better connection with public policies. The </w:t>
      </w:r>
      <w:r w:rsidR="00D33D58">
        <w:rPr>
          <w:rFonts w:ascii="Garamond" w:hAnsi="Garamond"/>
          <w:sz w:val="24"/>
          <w:szCs w:val="24"/>
        </w:rPr>
        <w:t>p</w:t>
      </w:r>
      <w:r w:rsidR="00AB73F6" w:rsidRPr="00C32887">
        <w:rPr>
          <w:rFonts w:ascii="Garamond" w:hAnsi="Garamond"/>
          <w:sz w:val="24"/>
          <w:szCs w:val="24"/>
        </w:rPr>
        <w:t>rogramme</w:t>
      </w:r>
      <w:r w:rsidR="007C4785">
        <w:rPr>
          <w:rFonts w:ascii="Garamond" w:hAnsi="Garamond"/>
          <w:sz w:val="24"/>
          <w:szCs w:val="24"/>
        </w:rPr>
        <w:t>-based</w:t>
      </w:r>
      <w:r w:rsidRPr="00C32887">
        <w:rPr>
          <w:rFonts w:ascii="Garamond" w:hAnsi="Garamond"/>
          <w:sz w:val="24"/>
          <w:szCs w:val="24"/>
        </w:rPr>
        <w:t xml:space="preserve"> classification has the following dimensions: 1) </w:t>
      </w:r>
      <w:r w:rsidR="00740C02">
        <w:rPr>
          <w:rFonts w:ascii="Garamond" w:hAnsi="Garamond"/>
          <w:sz w:val="24"/>
          <w:szCs w:val="24"/>
        </w:rPr>
        <w:t>m</w:t>
      </w:r>
      <w:r w:rsidRPr="00C32887">
        <w:rPr>
          <w:rFonts w:ascii="Garamond" w:hAnsi="Garamond"/>
          <w:sz w:val="24"/>
          <w:szCs w:val="24"/>
        </w:rPr>
        <w:t xml:space="preserve">ain </w:t>
      </w:r>
      <w:r w:rsidR="00D33D58">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 2) </w:t>
      </w:r>
      <w:r w:rsidR="00740C02">
        <w:rPr>
          <w:rFonts w:ascii="Garamond" w:hAnsi="Garamond"/>
          <w:sz w:val="24"/>
          <w:szCs w:val="24"/>
        </w:rPr>
        <w:t>p</w:t>
      </w:r>
      <w:r w:rsidR="00AB73F6" w:rsidRPr="00C32887">
        <w:rPr>
          <w:rFonts w:ascii="Garamond" w:hAnsi="Garamond"/>
          <w:sz w:val="24"/>
          <w:szCs w:val="24"/>
        </w:rPr>
        <w:t>rogramme</w:t>
      </w:r>
      <w:r w:rsidR="007C4785">
        <w:rPr>
          <w:rFonts w:ascii="Garamond" w:hAnsi="Garamond"/>
          <w:sz w:val="24"/>
          <w:szCs w:val="24"/>
        </w:rPr>
        <w:t>, 3) s</w:t>
      </w:r>
      <w:r w:rsidRPr="00C32887">
        <w:rPr>
          <w:rFonts w:ascii="Garamond" w:hAnsi="Garamond"/>
          <w:sz w:val="24"/>
          <w:szCs w:val="24"/>
        </w:rPr>
        <w:t>ub</w:t>
      </w:r>
      <w:r w:rsidR="00D33D58">
        <w:rPr>
          <w:rFonts w:ascii="Garamond" w:hAnsi="Garamond"/>
          <w:sz w:val="24"/>
          <w:szCs w:val="24"/>
        </w:rPr>
        <w:t>-p</w:t>
      </w:r>
      <w:r w:rsidR="00AB73F6" w:rsidRPr="00C32887">
        <w:rPr>
          <w:rFonts w:ascii="Garamond" w:hAnsi="Garamond"/>
          <w:sz w:val="24"/>
          <w:szCs w:val="24"/>
        </w:rPr>
        <w:t>rogramme</w:t>
      </w:r>
      <w:r w:rsidR="00740C02">
        <w:rPr>
          <w:rFonts w:ascii="Garamond" w:hAnsi="Garamond"/>
          <w:sz w:val="24"/>
          <w:szCs w:val="24"/>
        </w:rPr>
        <w:t xml:space="preserve"> 4) a</w:t>
      </w:r>
      <w:r w:rsidRPr="00C32887">
        <w:rPr>
          <w:rFonts w:ascii="Garamond" w:hAnsi="Garamond"/>
          <w:sz w:val="24"/>
          <w:szCs w:val="24"/>
        </w:rPr>
        <w:t>ctivit</w:t>
      </w:r>
      <w:r w:rsidR="00740C02">
        <w:rPr>
          <w:rFonts w:ascii="Garamond" w:hAnsi="Garamond"/>
          <w:sz w:val="24"/>
          <w:szCs w:val="24"/>
        </w:rPr>
        <w:t>ies</w:t>
      </w:r>
      <w:r w:rsidRPr="00C32887">
        <w:rPr>
          <w:rFonts w:ascii="Garamond" w:hAnsi="Garamond"/>
          <w:sz w:val="24"/>
          <w:szCs w:val="24"/>
        </w:rPr>
        <w:t xml:space="preserve"> and capital </w:t>
      </w:r>
      <w:r w:rsidR="00D33D58">
        <w:rPr>
          <w:rFonts w:ascii="Garamond" w:hAnsi="Garamond"/>
          <w:sz w:val="24"/>
          <w:szCs w:val="24"/>
        </w:rPr>
        <w:t>projects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D33D58">
      <w:pPr>
        <w:jc w:val="both"/>
        <w:rPr>
          <w:rFonts w:ascii="Garamond" w:hAnsi="Garamond"/>
          <w:sz w:val="24"/>
          <w:szCs w:val="24"/>
        </w:rPr>
      </w:pPr>
      <w:r w:rsidRPr="00C32887">
        <w:rPr>
          <w:rFonts w:ascii="Garamond" w:hAnsi="Garamond"/>
          <w:sz w:val="24"/>
          <w:szCs w:val="24"/>
        </w:rPr>
        <w:t xml:space="preserve">With the introduction of the main </w:t>
      </w:r>
      <w:r w:rsidR="00D33D58">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s, the </w:t>
      </w:r>
      <w:r w:rsidR="00D33D58">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s of </w:t>
      </w:r>
      <w:r w:rsidR="00D33D58">
        <w:rPr>
          <w:rFonts w:ascii="Garamond" w:hAnsi="Garamond"/>
          <w:sz w:val="24"/>
          <w:szCs w:val="24"/>
        </w:rPr>
        <w:t>spending</w:t>
      </w:r>
      <w:r w:rsidRPr="00C32887">
        <w:rPr>
          <w:rFonts w:ascii="Garamond" w:hAnsi="Garamond"/>
          <w:sz w:val="24"/>
          <w:szCs w:val="24"/>
        </w:rPr>
        <w:t xml:space="preserve"> units are grouped by sectors. T</w:t>
      </w:r>
      <w:r w:rsidR="00D33D58">
        <w:rPr>
          <w:rFonts w:ascii="Garamond" w:hAnsi="Garamond"/>
          <w:sz w:val="24"/>
          <w:szCs w:val="24"/>
        </w:rPr>
        <w:t xml:space="preserve">he main purpose of introducing </w:t>
      </w:r>
      <w:r w:rsidR="00C13A74">
        <w:rPr>
          <w:rFonts w:ascii="Garamond" w:hAnsi="Garamond"/>
          <w:sz w:val="24"/>
          <w:szCs w:val="24"/>
        </w:rPr>
        <w:t>‘</w:t>
      </w:r>
      <w:r w:rsidRPr="00C32887">
        <w:rPr>
          <w:rFonts w:ascii="Garamond" w:hAnsi="Garamond"/>
          <w:sz w:val="24"/>
          <w:szCs w:val="24"/>
        </w:rPr>
        <w:t xml:space="preserve">main </w:t>
      </w:r>
      <w:r w:rsidR="00D33D58">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s</w:t>
      </w:r>
      <w:r w:rsidR="00C13A74">
        <w:rPr>
          <w:rFonts w:ascii="Garamond" w:hAnsi="Garamond"/>
          <w:sz w:val="24"/>
          <w:szCs w:val="24"/>
        </w:rPr>
        <w:t>’</w:t>
      </w:r>
      <w:r w:rsidR="00D33D58">
        <w:rPr>
          <w:rFonts w:ascii="Garamond" w:hAnsi="Garamond"/>
          <w:sz w:val="24"/>
          <w:szCs w:val="24"/>
        </w:rPr>
        <w:t xml:space="preserve"> </w:t>
      </w:r>
      <w:r w:rsidRPr="00C32887">
        <w:rPr>
          <w:rFonts w:ascii="Garamond" w:hAnsi="Garamond"/>
          <w:sz w:val="24"/>
          <w:szCs w:val="24"/>
        </w:rPr>
        <w:t xml:space="preserve">is to combine several spending units and their </w:t>
      </w:r>
      <w:r w:rsidR="00D33D58">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s into one policy domain, in order to provide an integrated overview of the fiscal impact of all key policies and public investment projects in that policy area. 12 main </w:t>
      </w:r>
      <w:r w:rsidR="002667D2">
        <w:rPr>
          <w:rFonts w:ascii="Garamond" w:hAnsi="Garamond"/>
          <w:sz w:val="24"/>
          <w:szCs w:val="24"/>
        </w:rPr>
        <w:t>p</w:t>
      </w:r>
      <w:r w:rsidR="00AB73F6" w:rsidRPr="00C32887">
        <w:rPr>
          <w:rFonts w:ascii="Garamond" w:hAnsi="Garamond"/>
          <w:sz w:val="24"/>
          <w:szCs w:val="24"/>
        </w:rPr>
        <w:t>rogramme</w:t>
      </w:r>
      <w:r w:rsidR="00740C02">
        <w:rPr>
          <w:rFonts w:ascii="Garamond" w:hAnsi="Garamond"/>
          <w:sz w:val="24"/>
          <w:szCs w:val="24"/>
        </w:rPr>
        <w:t>s were identified</w:t>
      </w:r>
      <w:r w:rsidRPr="00C32887">
        <w:rPr>
          <w:rFonts w:ascii="Garamond" w:hAnsi="Garamond"/>
          <w:sz w:val="24"/>
          <w:szCs w:val="24"/>
        </w:rPr>
        <w:t xml:space="preserve">, </w:t>
      </w:r>
      <w:r w:rsidR="00740C02">
        <w:rPr>
          <w:rFonts w:ascii="Garamond" w:hAnsi="Garamond"/>
          <w:sz w:val="24"/>
          <w:szCs w:val="24"/>
        </w:rPr>
        <w:t xml:space="preserve">as </w:t>
      </w:r>
      <w:r w:rsidRPr="00C32887">
        <w:rPr>
          <w:rFonts w:ascii="Garamond" w:hAnsi="Garamond"/>
          <w:sz w:val="24"/>
          <w:szCs w:val="24"/>
        </w:rPr>
        <w:t>shown in the following table:</w:t>
      </w:r>
    </w:p>
    <w:p w:rsidR="004D1343" w:rsidRPr="00C32887" w:rsidRDefault="004D1343" w:rsidP="004D1343">
      <w:pPr>
        <w:rPr>
          <w:rFonts w:ascii="Garamond" w:hAnsi="Garamond"/>
          <w:sz w:val="24"/>
          <w:szCs w:val="24"/>
        </w:rPr>
      </w:pPr>
    </w:p>
    <w:tbl>
      <w:tblPr>
        <w:tblW w:w="9692" w:type="dxa"/>
        <w:tblInd w:w="46" w:type="dxa"/>
        <w:tblBorders>
          <w:top w:val="single" w:sz="4" w:space="0" w:color="92278F"/>
          <w:left w:val="single" w:sz="4" w:space="0" w:color="92278F"/>
          <w:bottom w:val="single" w:sz="4" w:space="0" w:color="92278F"/>
          <w:right w:val="single" w:sz="4" w:space="0" w:color="92278F"/>
        </w:tblBorders>
        <w:tblLayout w:type="fixed"/>
        <w:tblCellMar>
          <w:top w:w="57" w:type="dxa"/>
          <w:bottom w:w="57" w:type="dxa"/>
        </w:tblCellMar>
        <w:tblLook w:val="04A0"/>
      </w:tblPr>
      <w:tblGrid>
        <w:gridCol w:w="483"/>
        <w:gridCol w:w="3539"/>
        <w:gridCol w:w="450"/>
        <w:gridCol w:w="5220"/>
      </w:tblGrid>
      <w:tr w:rsidR="002667D2" w:rsidRPr="002667D2" w:rsidTr="00740C02">
        <w:trPr>
          <w:trHeight w:val="230"/>
        </w:trPr>
        <w:tc>
          <w:tcPr>
            <w:tcW w:w="483" w:type="dxa"/>
            <w:shd w:val="clear" w:color="auto" w:fill="F2F2F2"/>
            <w:noWrap/>
            <w:hideMark/>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11</w:t>
            </w:r>
          </w:p>
        </w:tc>
        <w:tc>
          <w:tcPr>
            <w:tcW w:w="3539" w:type="dxa"/>
            <w:tcBorders>
              <w:right w:val="nil"/>
            </w:tcBorders>
            <w:shd w:val="clear" w:color="auto" w:fill="F2F2F2"/>
            <w:noWrap/>
            <w:hideMark/>
          </w:tcPr>
          <w:p w:rsidR="002667D2" w:rsidRPr="002667D2" w:rsidRDefault="002667D2" w:rsidP="002667D2">
            <w:pPr>
              <w:rPr>
                <w:rFonts w:ascii="Garamond" w:hAnsi="Garamond"/>
                <w:sz w:val="24"/>
                <w:szCs w:val="24"/>
              </w:rPr>
            </w:pPr>
            <w:r w:rsidRPr="00C32887">
              <w:rPr>
                <w:rFonts w:ascii="Garamond" w:hAnsi="Garamond"/>
                <w:sz w:val="24"/>
                <w:szCs w:val="24"/>
              </w:rPr>
              <w:t>Political system and governance</w:t>
            </w:r>
          </w:p>
        </w:tc>
        <w:tc>
          <w:tcPr>
            <w:tcW w:w="450" w:type="dxa"/>
            <w:tcBorders>
              <w:top w:val="single" w:sz="4" w:space="0" w:color="92278F"/>
              <w:left w:val="nil"/>
              <w:bottom w:val="nil"/>
              <w:right w:val="nil"/>
            </w:tcBorders>
            <w:shd w:val="clear" w:color="auto" w:fill="F2F2F2"/>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17</w:t>
            </w:r>
          </w:p>
        </w:tc>
        <w:tc>
          <w:tcPr>
            <w:tcW w:w="5220" w:type="dxa"/>
            <w:tcBorders>
              <w:top w:val="single" w:sz="4" w:space="0" w:color="92278F"/>
              <w:left w:val="nil"/>
              <w:bottom w:val="nil"/>
            </w:tcBorders>
            <w:shd w:val="clear" w:color="auto" w:fill="F2F2F2"/>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Pr>
                <w:rFonts w:ascii="Garamond" w:eastAsia="Times New Roman" w:hAnsi="Garamond" w:cs="Calibri Light"/>
                <w:bCs/>
                <w:sz w:val="24"/>
                <w:lang w:eastAsia="en-US" w:bidi="ar-SA"/>
              </w:rPr>
              <w:t>Transportation</w:t>
            </w:r>
          </w:p>
        </w:tc>
      </w:tr>
      <w:tr w:rsidR="002667D2" w:rsidRPr="002667D2" w:rsidTr="00740C02">
        <w:trPr>
          <w:trHeight w:val="230"/>
        </w:trPr>
        <w:tc>
          <w:tcPr>
            <w:tcW w:w="483" w:type="dxa"/>
            <w:shd w:val="clear" w:color="auto" w:fill="F2F2F2"/>
            <w:noWrap/>
            <w:hideMark/>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12</w:t>
            </w:r>
          </w:p>
        </w:tc>
        <w:tc>
          <w:tcPr>
            <w:tcW w:w="3539" w:type="dxa"/>
            <w:tcBorders>
              <w:right w:val="nil"/>
            </w:tcBorders>
            <w:shd w:val="clear" w:color="auto" w:fill="F2F2F2"/>
            <w:noWrap/>
            <w:hideMark/>
          </w:tcPr>
          <w:p w:rsidR="002667D2" w:rsidRPr="002667D2" w:rsidRDefault="002667D2" w:rsidP="002667D2">
            <w:pPr>
              <w:rPr>
                <w:rFonts w:ascii="Garamond" w:hAnsi="Garamond"/>
                <w:sz w:val="24"/>
                <w:szCs w:val="24"/>
              </w:rPr>
            </w:pPr>
            <w:r w:rsidRPr="00C32887">
              <w:rPr>
                <w:rFonts w:ascii="Garamond" w:hAnsi="Garamond"/>
                <w:sz w:val="24"/>
                <w:szCs w:val="24"/>
              </w:rPr>
              <w:t>Judiciary</w:t>
            </w:r>
          </w:p>
        </w:tc>
        <w:tc>
          <w:tcPr>
            <w:tcW w:w="450" w:type="dxa"/>
            <w:tcBorders>
              <w:top w:val="nil"/>
              <w:left w:val="nil"/>
              <w:bottom w:val="nil"/>
              <w:right w:val="nil"/>
            </w:tcBorders>
            <w:shd w:val="clear" w:color="auto" w:fill="F2F2F2"/>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18</w:t>
            </w:r>
          </w:p>
        </w:tc>
        <w:tc>
          <w:tcPr>
            <w:tcW w:w="5220" w:type="dxa"/>
            <w:tcBorders>
              <w:top w:val="nil"/>
              <w:left w:val="nil"/>
              <w:bottom w:val="nil"/>
            </w:tcBorders>
            <w:shd w:val="clear" w:color="auto" w:fill="F2F2F2"/>
          </w:tcPr>
          <w:p w:rsidR="002667D2" w:rsidRPr="002667D2" w:rsidRDefault="002667D2" w:rsidP="002667D2">
            <w:pPr>
              <w:rPr>
                <w:rFonts w:ascii="Garamond" w:hAnsi="Garamond"/>
                <w:sz w:val="24"/>
                <w:szCs w:val="24"/>
              </w:rPr>
            </w:pPr>
            <w:r w:rsidRPr="00C32887">
              <w:rPr>
                <w:rFonts w:ascii="Garamond" w:hAnsi="Garamond"/>
                <w:sz w:val="24"/>
                <w:szCs w:val="24"/>
              </w:rPr>
              <w:t>Sustainable development, environment and tourism</w:t>
            </w:r>
          </w:p>
        </w:tc>
      </w:tr>
      <w:tr w:rsidR="002667D2" w:rsidRPr="002667D2" w:rsidTr="00740C02">
        <w:trPr>
          <w:trHeight w:val="230"/>
        </w:trPr>
        <w:tc>
          <w:tcPr>
            <w:tcW w:w="483" w:type="dxa"/>
            <w:shd w:val="clear" w:color="auto" w:fill="F2F2F2"/>
            <w:noWrap/>
            <w:hideMark/>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13</w:t>
            </w:r>
          </w:p>
        </w:tc>
        <w:tc>
          <w:tcPr>
            <w:tcW w:w="3539" w:type="dxa"/>
            <w:tcBorders>
              <w:right w:val="nil"/>
            </w:tcBorders>
            <w:shd w:val="clear" w:color="auto" w:fill="F2F2F2"/>
            <w:noWrap/>
            <w:hideMark/>
          </w:tcPr>
          <w:p w:rsidR="002667D2" w:rsidRPr="002667D2" w:rsidRDefault="002667D2" w:rsidP="002667D2">
            <w:pPr>
              <w:rPr>
                <w:rFonts w:ascii="Garamond" w:hAnsi="Garamond"/>
                <w:sz w:val="24"/>
                <w:szCs w:val="24"/>
              </w:rPr>
            </w:pPr>
            <w:r w:rsidRPr="00C32887">
              <w:rPr>
                <w:rFonts w:ascii="Garamond" w:hAnsi="Garamond"/>
                <w:sz w:val="24"/>
                <w:szCs w:val="24"/>
              </w:rPr>
              <w:t>Public safety and defense</w:t>
            </w:r>
          </w:p>
        </w:tc>
        <w:tc>
          <w:tcPr>
            <w:tcW w:w="450" w:type="dxa"/>
            <w:tcBorders>
              <w:top w:val="nil"/>
              <w:left w:val="nil"/>
              <w:bottom w:val="nil"/>
              <w:right w:val="nil"/>
            </w:tcBorders>
            <w:shd w:val="clear" w:color="auto" w:fill="F2F2F2"/>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19</w:t>
            </w:r>
          </w:p>
        </w:tc>
        <w:tc>
          <w:tcPr>
            <w:tcW w:w="5220" w:type="dxa"/>
            <w:tcBorders>
              <w:top w:val="nil"/>
              <w:left w:val="nil"/>
              <w:bottom w:val="nil"/>
            </w:tcBorders>
            <w:shd w:val="clear" w:color="auto" w:fill="F2F2F2"/>
          </w:tcPr>
          <w:p w:rsidR="002667D2" w:rsidRPr="002667D2" w:rsidRDefault="002667D2" w:rsidP="002667D2">
            <w:pPr>
              <w:rPr>
                <w:rFonts w:ascii="Garamond" w:hAnsi="Garamond"/>
                <w:sz w:val="24"/>
                <w:szCs w:val="24"/>
              </w:rPr>
            </w:pPr>
            <w:r w:rsidRPr="00C32887">
              <w:rPr>
                <w:rFonts w:ascii="Garamond" w:hAnsi="Garamond"/>
                <w:sz w:val="24"/>
                <w:szCs w:val="24"/>
              </w:rPr>
              <w:t>Education, science, sports and youth</w:t>
            </w:r>
          </w:p>
        </w:tc>
      </w:tr>
      <w:tr w:rsidR="002667D2" w:rsidRPr="002667D2" w:rsidTr="00740C02">
        <w:trPr>
          <w:trHeight w:val="230"/>
        </w:trPr>
        <w:tc>
          <w:tcPr>
            <w:tcW w:w="483" w:type="dxa"/>
            <w:shd w:val="clear" w:color="auto" w:fill="F2F2F2"/>
            <w:noWrap/>
            <w:hideMark/>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14</w:t>
            </w:r>
          </w:p>
        </w:tc>
        <w:tc>
          <w:tcPr>
            <w:tcW w:w="3539" w:type="dxa"/>
            <w:tcBorders>
              <w:right w:val="nil"/>
            </w:tcBorders>
            <w:shd w:val="clear" w:color="auto" w:fill="F2F2F2"/>
            <w:noWrap/>
            <w:hideMark/>
          </w:tcPr>
          <w:p w:rsidR="002667D2" w:rsidRPr="002667D2" w:rsidRDefault="002667D2" w:rsidP="002667D2">
            <w:pPr>
              <w:rPr>
                <w:rFonts w:ascii="Garamond" w:hAnsi="Garamond"/>
                <w:sz w:val="24"/>
                <w:szCs w:val="24"/>
              </w:rPr>
            </w:pPr>
            <w:r w:rsidRPr="00C32887">
              <w:rPr>
                <w:rFonts w:ascii="Garamond" w:hAnsi="Garamond"/>
                <w:sz w:val="24"/>
                <w:szCs w:val="24"/>
              </w:rPr>
              <w:t>Public finances</w:t>
            </w:r>
          </w:p>
        </w:tc>
        <w:tc>
          <w:tcPr>
            <w:tcW w:w="450" w:type="dxa"/>
            <w:tcBorders>
              <w:top w:val="nil"/>
              <w:left w:val="nil"/>
              <w:bottom w:val="nil"/>
              <w:right w:val="nil"/>
            </w:tcBorders>
            <w:shd w:val="clear" w:color="auto" w:fill="F2F2F2"/>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20</w:t>
            </w:r>
          </w:p>
        </w:tc>
        <w:tc>
          <w:tcPr>
            <w:tcW w:w="5220" w:type="dxa"/>
            <w:tcBorders>
              <w:top w:val="nil"/>
              <w:left w:val="nil"/>
              <w:bottom w:val="nil"/>
            </w:tcBorders>
            <w:shd w:val="clear" w:color="auto" w:fill="F2F2F2"/>
          </w:tcPr>
          <w:p w:rsidR="002667D2" w:rsidRPr="002667D2" w:rsidRDefault="002667D2" w:rsidP="002667D2">
            <w:pPr>
              <w:rPr>
                <w:rFonts w:ascii="Garamond" w:hAnsi="Garamond"/>
                <w:sz w:val="24"/>
                <w:szCs w:val="24"/>
              </w:rPr>
            </w:pPr>
            <w:r w:rsidRPr="00C32887">
              <w:rPr>
                <w:rFonts w:ascii="Garamond" w:hAnsi="Garamond"/>
                <w:sz w:val="24"/>
                <w:szCs w:val="24"/>
              </w:rPr>
              <w:t>Culture</w:t>
            </w:r>
          </w:p>
        </w:tc>
      </w:tr>
      <w:tr w:rsidR="002667D2" w:rsidRPr="002667D2" w:rsidTr="00740C02">
        <w:trPr>
          <w:trHeight w:val="230"/>
        </w:trPr>
        <w:tc>
          <w:tcPr>
            <w:tcW w:w="483" w:type="dxa"/>
            <w:shd w:val="clear" w:color="auto" w:fill="F2F2F2"/>
            <w:noWrap/>
            <w:hideMark/>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15</w:t>
            </w:r>
          </w:p>
        </w:tc>
        <w:tc>
          <w:tcPr>
            <w:tcW w:w="3539" w:type="dxa"/>
            <w:tcBorders>
              <w:right w:val="nil"/>
            </w:tcBorders>
            <w:shd w:val="clear" w:color="auto" w:fill="F2F2F2"/>
            <w:noWrap/>
            <w:hideMark/>
          </w:tcPr>
          <w:p w:rsidR="002667D2" w:rsidRPr="002667D2" w:rsidRDefault="002667D2" w:rsidP="002667D2">
            <w:pPr>
              <w:rPr>
                <w:rFonts w:ascii="Garamond" w:hAnsi="Garamond"/>
                <w:sz w:val="24"/>
                <w:szCs w:val="24"/>
              </w:rPr>
            </w:pPr>
            <w:r w:rsidRPr="00C32887">
              <w:rPr>
                <w:rFonts w:ascii="Garamond" w:hAnsi="Garamond"/>
                <w:sz w:val="24"/>
                <w:szCs w:val="24"/>
              </w:rPr>
              <w:t>Economy</w:t>
            </w:r>
          </w:p>
        </w:tc>
        <w:tc>
          <w:tcPr>
            <w:tcW w:w="450" w:type="dxa"/>
            <w:tcBorders>
              <w:top w:val="nil"/>
              <w:left w:val="nil"/>
              <w:bottom w:val="nil"/>
              <w:right w:val="nil"/>
            </w:tcBorders>
            <w:shd w:val="clear" w:color="auto" w:fill="F2F2F2"/>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21</w:t>
            </w:r>
          </w:p>
        </w:tc>
        <w:tc>
          <w:tcPr>
            <w:tcW w:w="5220" w:type="dxa"/>
            <w:tcBorders>
              <w:top w:val="nil"/>
              <w:left w:val="nil"/>
              <w:bottom w:val="nil"/>
            </w:tcBorders>
            <w:shd w:val="clear" w:color="auto" w:fill="F2F2F2"/>
          </w:tcPr>
          <w:p w:rsidR="002667D2" w:rsidRPr="002667D2" w:rsidRDefault="002667D2" w:rsidP="002667D2">
            <w:pPr>
              <w:rPr>
                <w:rFonts w:ascii="Garamond" w:hAnsi="Garamond"/>
                <w:sz w:val="24"/>
                <w:szCs w:val="24"/>
              </w:rPr>
            </w:pPr>
            <w:r w:rsidRPr="00C32887">
              <w:rPr>
                <w:rFonts w:ascii="Garamond" w:hAnsi="Garamond"/>
                <w:sz w:val="24"/>
                <w:szCs w:val="24"/>
              </w:rPr>
              <w:t>Healthcare</w:t>
            </w:r>
          </w:p>
        </w:tc>
      </w:tr>
      <w:tr w:rsidR="002667D2" w:rsidRPr="002667D2" w:rsidTr="00740C02">
        <w:trPr>
          <w:trHeight w:val="230"/>
        </w:trPr>
        <w:tc>
          <w:tcPr>
            <w:tcW w:w="483" w:type="dxa"/>
            <w:shd w:val="clear" w:color="auto" w:fill="F2F2F2"/>
            <w:noWrap/>
            <w:hideMark/>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16</w:t>
            </w:r>
          </w:p>
        </w:tc>
        <w:tc>
          <w:tcPr>
            <w:tcW w:w="3539" w:type="dxa"/>
            <w:tcBorders>
              <w:right w:val="nil"/>
            </w:tcBorders>
            <w:shd w:val="clear" w:color="auto" w:fill="F2F2F2"/>
            <w:noWrap/>
            <w:hideMark/>
          </w:tcPr>
          <w:p w:rsidR="002667D2" w:rsidRPr="002667D2" w:rsidRDefault="002667D2" w:rsidP="002667D2">
            <w:pPr>
              <w:rPr>
                <w:rFonts w:ascii="Garamond" w:hAnsi="Garamond"/>
                <w:sz w:val="24"/>
                <w:szCs w:val="24"/>
              </w:rPr>
            </w:pPr>
            <w:r w:rsidRPr="00C32887">
              <w:rPr>
                <w:rFonts w:ascii="Garamond" w:hAnsi="Garamond"/>
                <w:sz w:val="24"/>
                <w:szCs w:val="24"/>
              </w:rPr>
              <w:t>Agriculture, rural development and forestry</w:t>
            </w:r>
          </w:p>
        </w:tc>
        <w:tc>
          <w:tcPr>
            <w:tcW w:w="450" w:type="dxa"/>
            <w:tcBorders>
              <w:top w:val="nil"/>
              <w:left w:val="nil"/>
              <w:bottom w:val="single" w:sz="4" w:space="0" w:color="92278F"/>
              <w:right w:val="nil"/>
            </w:tcBorders>
            <w:shd w:val="clear" w:color="auto" w:fill="F2F2F2"/>
          </w:tcPr>
          <w:p w:rsidR="002667D2" w:rsidRPr="002667D2" w:rsidRDefault="002667D2" w:rsidP="002667D2">
            <w:pPr>
              <w:widowControl/>
              <w:autoSpaceDE/>
              <w:autoSpaceDN/>
              <w:jc w:val="both"/>
              <w:rPr>
                <w:rFonts w:ascii="Garamond" w:eastAsia="Times New Roman" w:hAnsi="Garamond" w:cs="Calibri Light"/>
                <w:bCs/>
                <w:sz w:val="24"/>
                <w:lang w:eastAsia="en-US" w:bidi="ar-SA"/>
              </w:rPr>
            </w:pPr>
            <w:r w:rsidRPr="002667D2">
              <w:rPr>
                <w:rFonts w:ascii="Garamond" w:eastAsia="Times New Roman" w:hAnsi="Garamond" w:cs="Calibri Light"/>
                <w:bCs/>
                <w:sz w:val="24"/>
                <w:lang w:eastAsia="en-US" w:bidi="ar-SA"/>
              </w:rPr>
              <w:t>22</w:t>
            </w:r>
          </w:p>
        </w:tc>
        <w:tc>
          <w:tcPr>
            <w:tcW w:w="5220" w:type="dxa"/>
            <w:tcBorders>
              <w:top w:val="nil"/>
              <w:left w:val="nil"/>
              <w:bottom w:val="single" w:sz="4" w:space="0" w:color="92278F"/>
            </w:tcBorders>
            <w:shd w:val="clear" w:color="auto" w:fill="F2F2F2"/>
          </w:tcPr>
          <w:p w:rsidR="002667D2" w:rsidRPr="00C32887" w:rsidRDefault="002667D2" w:rsidP="002667D2">
            <w:pPr>
              <w:rPr>
                <w:rFonts w:ascii="Garamond" w:hAnsi="Garamond"/>
                <w:sz w:val="24"/>
                <w:szCs w:val="24"/>
              </w:rPr>
            </w:pPr>
            <w:r>
              <w:rPr>
                <w:rFonts w:ascii="Garamond" w:hAnsi="Garamond"/>
                <w:sz w:val="24"/>
                <w:szCs w:val="24"/>
              </w:rPr>
              <w:t>Labour</w:t>
            </w:r>
            <w:r w:rsidRPr="00C32887">
              <w:rPr>
                <w:rFonts w:ascii="Garamond" w:hAnsi="Garamond"/>
                <w:sz w:val="24"/>
                <w:szCs w:val="24"/>
              </w:rPr>
              <w:t xml:space="preserve"> and social care</w:t>
            </w:r>
          </w:p>
          <w:p w:rsidR="002667D2" w:rsidRPr="002667D2" w:rsidRDefault="002667D2" w:rsidP="002667D2">
            <w:pPr>
              <w:widowControl/>
              <w:autoSpaceDE/>
              <w:autoSpaceDN/>
              <w:jc w:val="both"/>
              <w:rPr>
                <w:rFonts w:ascii="Garamond" w:eastAsia="Times New Roman" w:hAnsi="Garamond" w:cs="Calibri Light"/>
                <w:bCs/>
                <w:sz w:val="24"/>
                <w:lang w:eastAsia="en-US" w:bidi="ar-SA"/>
              </w:rPr>
            </w:pPr>
          </w:p>
        </w:tc>
      </w:tr>
    </w:tbl>
    <w:p w:rsidR="002667D2" w:rsidRDefault="002667D2" w:rsidP="004D1343">
      <w:pPr>
        <w:rPr>
          <w:rFonts w:ascii="Garamond" w:hAnsi="Garamond"/>
          <w:sz w:val="24"/>
          <w:szCs w:val="24"/>
        </w:rPr>
      </w:pPr>
    </w:p>
    <w:p w:rsidR="004D1343" w:rsidRPr="00C32887" w:rsidRDefault="004D1343" w:rsidP="002667D2">
      <w:pPr>
        <w:jc w:val="both"/>
        <w:rPr>
          <w:rFonts w:ascii="Garamond" w:hAnsi="Garamond"/>
          <w:sz w:val="24"/>
          <w:szCs w:val="24"/>
        </w:rPr>
      </w:pPr>
      <w:r w:rsidRPr="00C32887">
        <w:rPr>
          <w:rFonts w:ascii="Garamond" w:hAnsi="Garamond"/>
          <w:sz w:val="24"/>
          <w:szCs w:val="24"/>
        </w:rPr>
        <w:t xml:space="preserve">Within the main </w:t>
      </w:r>
      <w:r w:rsidR="002667D2">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 a system of </w:t>
      </w:r>
      <w:r w:rsidR="002667D2">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s and sub-</w:t>
      </w:r>
      <w:r w:rsidR="002667D2">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s has been established that correspond to the competencies </w:t>
      </w:r>
      <w:r w:rsidR="002C4371">
        <w:rPr>
          <w:rFonts w:ascii="Garamond" w:hAnsi="Garamond"/>
          <w:sz w:val="24"/>
          <w:szCs w:val="24"/>
        </w:rPr>
        <w:t>of the</w:t>
      </w:r>
      <w:r w:rsidRPr="00C32887">
        <w:rPr>
          <w:rFonts w:ascii="Garamond" w:hAnsi="Garamond"/>
          <w:sz w:val="24"/>
          <w:szCs w:val="24"/>
        </w:rPr>
        <w:t xml:space="preserve"> </w:t>
      </w:r>
      <w:r w:rsidR="002667D2">
        <w:rPr>
          <w:rFonts w:ascii="Garamond" w:hAnsi="Garamond"/>
          <w:sz w:val="24"/>
          <w:szCs w:val="24"/>
        </w:rPr>
        <w:t>spending</w:t>
      </w:r>
      <w:r w:rsidRPr="00C32887">
        <w:rPr>
          <w:rFonts w:ascii="Garamond" w:hAnsi="Garamond"/>
          <w:sz w:val="24"/>
          <w:szCs w:val="24"/>
        </w:rPr>
        <w:t xml:space="preserve"> units. The </w:t>
      </w:r>
      <w:r w:rsidR="002C4371">
        <w:rPr>
          <w:rFonts w:ascii="Garamond" w:hAnsi="Garamond"/>
          <w:sz w:val="24"/>
          <w:szCs w:val="24"/>
        </w:rPr>
        <w:t>implementation</w:t>
      </w:r>
      <w:r w:rsidRPr="00C32887">
        <w:rPr>
          <w:rFonts w:ascii="Garamond" w:hAnsi="Garamond"/>
          <w:sz w:val="24"/>
          <w:szCs w:val="24"/>
        </w:rPr>
        <w:t xml:space="preserve"> of the activities of </w:t>
      </w:r>
      <w:r w:rsidR="002667D2">
        <w:rPr>
          <w:rFonts w:ascii="Garamond" w:hAnsi="Garamond"/>
          <w:sz w:val="24"/>
          <w:szCs w:val="24"/>
        </w:rPr>
        <w:t>spending</w:t>
      </w:r>
      <w:r w:rsidRPr="00C32887">
        <w:rPr>
          <w:rFonts w:ascii="Garamond" w:hAnsi="Garamond"/>
          <w:sz w:val="24"/>
          <w:szCs w:val="24"/>
        </w:rPr>
        <w:t xml:space="preserve"> unit</w:t>
      </w:r>
      <w:r w:rsidR="002667D2">
        <w:rPr>
          <w:rFonts w:ascii="Garamond" w:hAnsi="Garamond"/>
          <w:sz w:val="24"/>
          <w:szCs w:val="24"/>
        </w:rPr>
        <w:t xml:space="preserve">s is based primarily on: i) </w:t>
      </w:r>
      <w:r w:rsidRPr="00C32887">
        <w:rPr>
          <w:rFonts w:ascii="Garamond" w:hAnsi="Garamond"/>
          <w:sz w:val="24"/>
          <w:szCs w:val="24"/>
        </w:rPr>
        <w:t xml:space="preserve">regulations relating to sectors and </w:t>
      </w:r>
      <w:r w:rsidR="002667D2">
        <w:rPr>
          <w:rFonts w:ascii="Garamond" w:hAnsi="Garamond"/>
          <w:sz w:val="24"/>
          <w:szCs w:val="24"/>
        </w:rPr>
        <w:t>spending</w:t>
      </w:r>
      <w:r w:rsidRPr="00C32887">
        <w:rPr>
          <w:rFonts w:ascii="Garamond" w:hAnsi="Garamond"/>
          <w:sz w:val="24"/>
          <w:szCs w:val="24"/>
        </w:rPr>
        <w:t xml:space="preserve"> units, ii) legal competencies </w:t>
      </w:r>
      <w:r w:rsidR="002667D2">
        <w:rPr>
          <w:rFonts w:ascii="Garamond" w:hAnsi="Garamond"/>
          <w:sz w:val="24"/>
          <w:szCs w:val="24"/>
        </w:rPr>
        <w:t>of</w:t>
      </w:r>
      <w:r w:rsidRPr="00C32887">
        <w:rPr>
          <w:rFonts w:ascii="Garamond" w:hAnsi="Garamond"/>
          <w:sz w:val="24"/>
          <w:szCs w:val="24"/>
        </w:rPr>
        <w:t xml:space="preserve"> </w:t>
      </w:r>
      <w:r w:rsidR="002667D2">
        <w:rPr>
          <w:rFonts w:ascii="Garamond" w:hAnsi="Garamond"/>
          <w:sz w:val="24"/>
          <w:szCs w:val="24"/>
        </w:rPr>
        <w:t>spending</w:t>
      </w:r>
      <w:r w:rsidRPr="00C32887">
        <w:rPr>
          <w:rFonts w:ascii="Garamond" w:hAnsi="Garamond"/>
          <w:sz w:val="24"/>
          <w:szCs w:val="24"/>
        </w:rPr>
        <w:t xml:space="preserve"> units, iii) strategic plans and other strategic documents, iv) medium-term work plans, c) best practices and st</w:t>
      </w:r>
      <w:r w:rsidR="002667D2">
        <w:rPr>
          <w:rFonts w:ascii="Garamond" w:hAnsi="Garamond"/>
          <w:sz w:val="24"/>
          <w:szCs w:val="24"/>
        </w:rPr>
        <w:t>andards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2667D2">
      <w:pPr>
        <w:jc w:val="both"/>
        <w:rPr>
          <w:rFonts w:ascii="Garamond" w:hAnsi="Garamond"/>
          <w:sz w:val="24"/>
          <w:szCs w:val="24"/>
        </w:rPr>
      </w:pPr>
      <w:r w:rsidRPr="00C32887">
        <w:rPr>
          <w:rFonts w:ascii="Garamond" w:hAnsi="Garamond"/>
          <w:sz w:val="24"/>
          <w:szCs w:val="24"/>
        </w:rPr>
        <w:t xml:space="preserve">The implementation and development of </w:t>
      </w:r>
      <w:r w:rsidR="002667D2">
        <w:rPr>
          <w:rFonts w:ascii="Garamond" w:hAnsi="Garamond"/>
          <w:sz w:val="24"/>
          <w:szCs w:val="24"/>
        </w:rPr>
        <w:t>p</w:t>
      </w:r>
      <w:r w:rsidR="00AB73F6" w:rsidRPr="00C32887">
        <w:rPr>
          <w:rFonts w:ascii="Garamond" w:hAnsi="Garamond"/>
          <w:sz w:val="24"/>
          <w:szCs w:val="24"/>
        </w:rPr>
        <w:t>rogramme</w:t>
      </w:r>
      <w:r w:rsidR="002667D2">
        <w:rPr>
          <w:rFonts w:ascii="Garamond" w:hAnsi="Garamond"/>
          <w:sz w:val="24"/>
          <w:szCs w:val="24"/>
        </w:rPr>
        <w:t>-based</w:t>
      </w:r>
      <w:r w:rsidRPr="00C32887">
        <w:rPr>
          <w:rFonts w:ascii="Garamond" w:hAnsi="Garamond"/>
          <w:sz w:val="24"/>
          <w:szCs w:val="24"/>
        </w:rPr>
        <w:t xml:space="preserve"> budgeting and </w:t>
      </w:r>
      <w:r w:rsidR="002667D2">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 structure creates preconditions for </w:t>
      </w:r>
      <w:r w:rsidRPr="002667D2">
        <w:rPr>
          <w:rFonts w:ascii="Garamond" w:hAnsi="Garamond"/>
          <w:b/>
          <w:sz w:val="24"/>
          <w:szCs w:val="24"/>
        </w:rPr>
        <w:t>performance-based budgeting</w:t>
      </w:r>
      <w:r w:rsidRPr="00C32887">
        <w:rPr>
          <w:rFonts w:ascii="Garamond" w:hAnsi="Garamond"/>
          <w:sz w:val="24"/>
          <w:szCs w:val="24"/>
        </w:rPr>
        <w:t xml:space="preserve">. </w:t>
      </w:r>
      <w:r w:rsidR="004804FA">
        <w:rPr>
          <w:rFonts w:ascii="Garamond" w:hAnsi="Garamond"/>
          <w:sz w:val="24"/>
          <w:szCs w:val="24"/>
        </w:rPr>
        <w:t>Through the</w:t>
      </w:r>
      <w:r w:rsidRPr="00C32887">
        <w:rPr>
          <w:rFonts w:ascii="Garamond" w:hAnsi="Garamond"/>
          <w:sz w:val="24"/>
          <w:szCs w:val="24"/>
        </w:rPr>
        <w:t xml:space="preserve"> </w:t>
      </w:r>
      <w:r w:rsidR="00DD77FB">
        <w:rPr>
          <w:rFonts w:ascii="Garamond" w:hAnsi="Garamond"/>
          <w:sz w:val="24"/>
          <w:szCs w:val="24"/>
        </w:rPr>
        <w:t>establishment</w:t>
      </w:r>
      <w:r w:rsidRPr="00C32887">
        <w:rPr>
          <w:rFonts w:ascii="Garamond" w:hAnsi="Garamond"/>
          <w:sz w:val="24"/>
          <w:szCs w:val="24"/>
        </w:rPr>
        <w:t xml:space="preserve"> and monitoring </w:t>
      </w:r>
      <w:r w:rsidR="00527CA3">
        <w:rPr>
          <w:rFonts w:ascii="Garamond" w:hAnsi="Garamond"/>
          <w:sz w:val="24"/>
          <w:szCs w:val="24"/>
        </w:rPr>
        <w:t xml:space="preserve">of </w:t>
      </w:r>
      <w:r w:rsidRPr="00C32887">
        <w:rPr>
          <w:rFonts w:ascii="Garamond" w:hAnsi="Garamond"/>
          <w:sz w:val="24"/>
          <w:szCs w:val="24"/>
        </w:rPr>
        <w:t xml:space="preserve">the </w:t>
      </w:r>
      <w:r w:rsidR="002667D2">
        <w:rPr>
          <w:rFonts w:ascii="Garamond" w:hAnsi="Garamond"/>
          <w:sz w:val="24"/>
          <w:szCs w:val="24"/>
        </w:rPr>
        <w:t>fulfil</w:t>
      </w:r>
      <w:r w:rsidR="00527CA3">
        <w:rPr>
          <w:rFonts w:ascii="Garamond" w:hAnsi="Garamond"/>
          <w:sz w:val="24"/>
          <w:szCs w:val="24"/>
        </w:rPr>
        <w:t>lment of</w:t>
      </w:r>
      <w:r w:rsidR="002667D2">
        <w:rPr>
          <w:rFonts w:ascii="Garamond" w:hAnsi="Garamond"/>
          <w:sz w:val="24"/>
          <w:szCs w:val="24"/>
        </w:rPr>
        <w:t xml:space="preserve"> all </w:t>
      </w:r>
      <w:r w:rsidR="00527CA3">
        <w:rPr>
          <w:rFonts w:ascii="Garamond" w:hAnsi="Garamond"/>
          <w:sz w:val="24"/>
          <w:szCs w:val="24"/>
        </w:rPr>
        <w:t>general</w:t>
      </w:r>
      <w:r w:rsidRPr="00C32887">
        <w:rPr>
          <w:rFonts w:ascii="Garamond" w:hAnsi="Garamond"/>
          <w:sz w:val="24"/>
          <w:szCs w:val="24"/>
        </w:rPr>
        <w:t xml:space="preserve">, individual and specific performance targets and related strategic and operational indicators for </w:t>
      </w:r>
      <w:r w:rsidR="004804FA">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s and sub</w:t>
      </w:r>
      <w:r w:rsidR="004804FA">
        <w:rPr>
          <w:rFonts w:ascii="Garamond" w:hAnsi="Garamond"/>
          <w:sz w:val="24"/>
          <w:szCs w:val="24"/>
        </w:rPr>
        <w:t>-p</w:t>
      </w:r>
      <w:r w:rsidR="004804FA" w:rsidRPr="00C32887">
        <w:rPr>
          <w:rFonts w:ascii="Garamond" w:hAnsi="Garamond"/>
          <w:sz w:val="24"/>
          <w:szCs w:val="24"/>
        </w:rPr>
        <w:t>rogrammes</w:t>
      </w:r>
      <w:r w:rsidR="00527CA3">
        <w:rPr>
          <w:rFonts w:ascii="Garamond" w:hAnsi="Garamond"/>
          <w:sz w:val="24"/>
          <w:szCs w:val="24"/>
        </w:rPr>
        <w:t>, decision-</w:t>
      </w:r>
      <w:r w:rsidRPr="00C32887">
        <w:rPr>
          <w:rFonts w:ascii="Garamond" w:hAnsi="Garamond"/>
          <w:sz w:val="24"/>
          <w:szCs w:val="24"/>
        </w:rPr>
        <w:t xml:space="preserve">makers and the </w:t>
      </w:r>
      <w:r w:rsidR="00527CA3" w:rsidRPr="00C32887">
        <w:rPr>
          <w:rFonts w:ascii="Garamond" w:hAnsi="Garamond"/>
          <w:sz w:val="24"/>
          <w:szCs w:val="24"/>
        </w:rPr>
        <w:t xml:space="preserve">Government </w:t>
      </w:r>
      <w:r w:rsidRPr="00C32887">
        <w:rPr>
          <w:rFonts w:ascii="Garamond" w:hAnsi="Garamond"/>
          <w:sz w:val="24"/>
          <w:szCs w:val="24"/>
        </w:rPr>
        <w:t xml:space="preserve">will dispose </w:t>
      </w:r>
      <w:r w:rsidR="002C4371">
        <w:rPr>
          <w:rFonts w:ascii="Garamond" w:hAnsi="Garamond"/>
          <w:sz w:val="24"/>
          <w:szCs w:val="24"/>
        </w:rPr>
        <w:t>of</w:t>
      </w:r>
      <w:r w:rsidRPr="00C32887">
        <w:rPr>
          <w:rFonts w:ascii="Garamond" w:hAnsi="Garamond"/>
          <w:sz w:val="24"/>
          <w:szCs w:val="24"/>
        </w:rPr>
        <w:t xml:space="preserve"> adequate information that may affect the level of allocation of funds for specific </w:t>
      </w:r>
      <w:r w:rsidR="004804FA">
        <w:rPr>
          <w:rFonts w:ascii="Garamond" w:hAnsi="Garamond"/>
          <w:sz w:val="24"/>
          <w:szCs w:val="24"/>
        </w:rPr>
        <w:t xml:space="preserve">activities </w:t>
      </w:r>
      <w:r w:rsidR="002C4371">
        <w:rPr>
          <w:rFonts w:ascii="Garamond" w:hAnsi="Garamond"/>
          <w:sz w:val="24"/>
          <w:szCs w:val="24"/>
        </w:rPr>
        <w:t>when</w:t>
      </w:r>
      <w:r w:rsidR="004804FA">
        <w:rPr>
          <w:rFonts w:ascii="Garamond" w:hAnsi="Garamond"/>
          <w:sz w:val="24"/>
          <w:szCs w:val="24"/>
        </w:rPr>
        <w:t xml:space="preserve"> determining </w:t>
      </w:r>
      <w:r w:rsidR="00527CA3">
        <w:rPr>
          <w:rFonts w:ascii="Garamond" w:hAnsi="Garamond"/>
          <w:sz w:val="24"/>
          <w:szCs w:val="24"/>
        </w:rPr>
        <w:t xml:space="preserve">the </w:t>
      </w:r>
      <w:r w:rsidR="004804FA">
        <w:rPr>
          <w:rFonts w:ascii="Garamond" w:hAnsi="Garamond"/>
          <w:sz w:val="24"/>
          <w:szCs w:val="24"/>
        </w:rPr>
        <w:t>annual</w:t>
      </w:r>
      <w:r w:rsidRPr="00C32887">
        <w:rPr>
          <w:rFonts w:ascii="Garamond" w:hAnsi="Garamond"/>
          <w:sz w:val="24"/>
          <w:szCs w:val="24"/>
        </w:rPr>
        <w:t xml:space="preserve"> </w:t>
      </w:r>
      <w:r w:rsidR="00527CA3" w:rsidRPr="00C32887">
        <w:rPr>
          <w:rFonts w:ascii="Garamond" w:hAnsi="Garamond"/>
          <w:sz w:val="24"/>
          <w:szCs w:val="24"/>
        </w:rPr>
        <w:t>Budget Law</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Default="00912093" w:rsidP="004804FA">
      <w:pPr>
        <w:jc w:val="both"/>
        <w:rPr>
          <w:rFonts w:ascii="Garamond" w:hAnsi="Garamond"/>
          <w:sz w:val="24"/>
          <w:szCs w:val="24"/>
        </w:rPr>
      </w:pPr>
      <w:r>
        <w:rPr>
          <w:rFonts w:ascii="Garamond" w:hAnsi="Garamond"/>
          <w:sz w:val="24"/>
          <w:szCs w:val="24"/>
        </w:rPr>
        <w:t xml:space="preserve">In order to create </w:t>
      </w:r>
      <w:r w:rsidR="004D1343" w:rsidRPr="00C32887">
        <w:rPr>
          <w:rFonts w:ascii="Garamond" w:hAnsi="Garamond"/>
          <w:sz w:val="24"/>
          <w:szCs w:val="24"/>
        </w:rPr>
        <w:t xml:space="preserve">legal basis for the implementation </w:t>
      </w:r>
      <w:r w:rsidR="004804FA">
        <w:rPr>
          <w:rFonts w:ascii="Garamond" w:hAnsi="Garamond"/>
          <w:sz w:val="24"/>
          <w:szCs w:val="24"/>
        </w:rPr>
        <w:t xml:space="preserve">of </w:t>
      </w:r>
      <w:r w:rsidR="002C4371">
        <w:rPr>
          <w:rFonts w:ascii="Garamond" w:hAnsi="Garamond"/>
          <w:sz w:val="24"/>
          <w:szCs w:val="24"/>
        </w:rPr>
        <w:t>above mentioned</w:t>
      </w:r>
      <w:r w:rsidR="004D1343" w:rsidRPr="00C32887">
        <w:rPr>
          <w:rFonts w:ascii="Garamond" w:hAnsi="Garamond"/>
          <w:sz w:val="24"/>
          <w:szCs w:val="24"/>
        </w:rPr>
        <w:t xml:space="preserve"> activities, amendments to the </w:t>
      </w:r>
      <w:r w:rsidR="004D1343" w:rsidRPr="004804FA">
        <w:rPr>
          <w:rFonts w:ascii="Garamond" w:hAnsi="Garamond"/>
          <w:b/>
          <w:sz w:val="24"/>
          <w:szCs w:val="24"/>
        </w:rPr>
        <w:t xml:space="preserve">Decision on the method of preparation and content of the </w:t>
      </w:r>
      <w:r w:rsidR="004804FA">
        <w:rPr>
          <w:rFonts w:ascii="Garamond" w:hAnsi="Garamond"/>
          <w:b/>
          <w:sz w:val="24"/>
          <w:szCs w:val="24"/>
        </w:rPr>
        <w:t>p</w:t>
      </w:r>
      <w:r w:rsidR="00AB73F6" w:rsidRPr="004804FA">
        <w:rPr>
          <w:rFonts w:ascii="Garamond" w:hAnsi="Garamond"/>
          <w:b/>
          <w:sz w:val="24"/>
          <w:szCs w:val="24"/>
        </w:rPr>
        <w:t>rogramme</w:t>
      </w:r>
      <w:r w:rsidR="004804FA">
        <w:rPr>
          <w:rFonts w:ascii="Garamond" w:hAnsi="Garamond"/>
          <w:b/>
          <w:sz w:val="24"/>
          <w:szCs w:val="24"/>
        </w:rPr>
        <w:t>-based</w:t>
      </w:r>
      <w:r w:rsidR="004D1343" w:rsidRPr="004804FA">
        <w:rPr>
          <w:rFonts w:ascii="Garamond" w:hAnsi="Garamond"/>
          <w:b/>
          <w:sz w:val="24"/>
          <w:szCs w:val="24"/>
        </w:rPr>
        <w:t xml:space="preserve"> budget</w:t>
      </w:r>
      <w:r w:rsidR="004804FA">
        <w:rPr>
          <w:rFonts w:ascii="Garamond" w:hAnsi="Garamond"/>
          <w:b/>
          <w:sz w:val="24"/>
          <w:szCs w:val="24"/>
        </w:rPr>
        <w:t>ing of</w:t>
      </w:r>
      <w:r w:rsidR="004D1343" w:rsidRPr="004804FA">
        <w:rPr>
          <w:rFonts w:ascii="Garamond" w:hAnsi="Garamond"/>
          <w:b/>
          <w:sz w:val="24"/>
          <w:szCs w:val="24"/>
        </w:rPr>
        <w:t xml:space="preserve"> spending units</w:t>
      </w:r>
      <w:r w:rsidR="004804FA" w:rsidRPr="004804FA">
        <w:rPr>
          <w:rFonts w:ascii="Garamond" w:hAnsi="Garamond"/>
          <w:sz w:val="24"/>
          <w:szCs w:val="24"/>
        </w:rPr>
        <w:t xml:space="preserve"> </w:t>
      </w:r>
      <w:r w:rsidR="00BA66F6">
        <w:rPr>
          <w:rFonts w:ascii="Garamond" w:hAnsi="Garamond"/>
          <w:sz w:val="24"/>
          <w:szCs w:val="24"/>
        </w:rPr>
        <w:t>has been</w:t>
      </w:r>
      <w:r w:rsidR="004804FA" w:rsidRPr="00C32887">
        <w:rPr>
          <w:rFonts w:ascii="Garamond" w:hAnsi="Garamond"/>
          <w:sz w:val="24"/>
          <w:szCs w:val="24"/>
        </w:rPr>
        <w:t xml:space="preserve"> adopted</w:t>
      </w:r>
      <w:r w:rsidR="004D1343" w:rsidRPr="00C32887">
        <w:rPr>
          <w:rFonts w:ascii="Garamond" w:hAnsi="Garamond"/>
          <w:sz w:val="24"/>
          <w:szCs w:val="24"/>
        </w:rPr>
        <w:t xml:space="preserve">, which </w:t>
      </w:r>
      <w:r w:rsidR="004804FA">
        <w:rPr>
          <w:rFonts w:ascii="Garamond" w:hAnsi="Garamond"/>
          <w:sz w:val="24"/>
          <w:szCs w:val="24"/>
        </w:rPr>
        <w:t>enabled</w:t>
      </w:r>
      <w:r w:rsidR="004D1343" w:rsidRPr="00C32887">
        <w:rPr>
          <w:rFonts w:ascii="Garamond" w:hAnsi="Garamond"/>
          <w:sz w:val="24"/>
          <w:szCs w:val="24"/>
        </w:rPr>
        <w:t xml:space="preserve"> comprehensive application </w:t>
      </w:r>
      <w:r w:rsidR="004804FA">
        <w:rPr>
          <w:rFonts w:ascii="Garamond" w:hAnsi="Garamond"/>
          <w:sz w:val="24"/>
          <w:szCs w:val="24"/>
        </w:rPr>
        <w:t>of the p</w:t>
      </w:r>
      <w:r w:rsidR="00AB73F6" w:rsidRPr="00C32887">
        <w:rPr>
          <w:rFonts w:ascii="Garamond" w:hAnsi="Garamond"/>
          <w:sz w:val="24"/>
          <w:szCs w:val="24"/>
        </w:rPr>
        <w:t>rogramme</w:t>
      </w:r>
      <w:r w:rsidR="004804FA">
        <w:rPr>
          <w:rFonts w:ascii="Garamond" w:hAnsi="Garamond"/>
          <w:sz w:val="24"/>
          <w:szCs w:val="24"/>
        </w:rPr>
        <w:t>-based</w:t>
      </w:r>
      <w:r w:rsidR="004D1343" w:rsidRPr="00C32887">
        <w:rPr>
          <w:rFonts w:ascii="Garamond" w:hAnsi="Garamond"/>
          <w:sz w:val="24"/>
          <w:szCs w:val="24"/>
        </w:rPr>
        <w:t xml:space="preserve"> budget</w:t>
      </w:r>
      <w:r>
        <w:rPr>
          <w:rFonts w:ascii="Garamond" w:hAnsi="Garamond"/>
          <w:sz w:val="24"/>
          <w:szCs w:val="24"/>
        </w:rPr>
        <w:t>ing</w:t>
      </w:r>
      <w:r w:rsidR="004D1343" w:rsidRPr="00C32887">
        <w:rPr>
          <w:rFonts w:ascii="Garamond" w:hAnsi="Garamond"/>
          <w:sz w:val="24"/>
          <w:szCs w:val="24"/>
        </w:rPr>
        <w:t xml:space="preserve"> through the establishment of the detailed </w:t>
      </w:r>
      <w:r w:rsidR="004804FA">
        <w:rPr>
          <w:rFonts w:ascii="Garamond" w:hAnsi="Garamond"/>
          <w:sz w:val="24"/>
          <w:szCs w:val="24"/>
        </w:rPr>
        <w:t>p</w:t>
      </w:r>
      <w:r w:rsidR="00AB73F6" w:rsidRPr="00C32887">
        <w:rPr>
          <w:rFonts w:ascii="Garamond" w:hAnsi="Garamond"/>
          <w:sz w:val="24"/>
          <w:szCs w:val="24"/>
        </w:rPr>
        <w:t>rogramme</w:t>
      </w:r>
      <w:r w:rsidR="002C4371">
        <w:rPr>
          <w:rFonts w:ascii="Garamond" w:hAnsi="Garamond"/>
          <w:sz w:val="24"/>
          <w:szCs w:val="24"/>
        </w:rPr>
        <w:t xml:space="preserve"> structure formalis</w:t>
      </w:r>
      <w:r w:rsidR="004D1343" w:rsidRPr="00C32887">
        <w:rPr>
          <w:rFonts w:ascii="Garamond" w:hAnsi="Garamond"/>
          <w:sz w:val="24"/>
          <w:szCs w:val="24"/>
        </w:rPr>
        <w:t xml:space="preserve">ed through the </w:t>
      </w:r>
      <w:r w:rsidR="004804FA">
        <w:rPr>
          <w:rFonts w:ascii="Garamond" w:hAnsi="Garamond"/>
          <w:sz w:val="24"/>
          <w:szCs w:val="24"/>
        </w:rPr>
        <w:t>p</w:t>
      </w:r>
      <w:r w:rsidR="00AB73F6" w:rsidRPr="00C32887">
        <w:rPr>
          <w:rFonts w:ascii="Garamond" w:hAnsi="Garamond"/>
          <w:sz w:val="24"/>
          <w:szCs w:val="24"/>
        </w:rPr>
        <w:t>rogramme</w:t>
      </w:r>
      <w:r w:rsidR="002C4371">
        <w:rPr>
          <w:rFonts w:ascii="Garamond" w:hAnsi="Garamond"/>
          <w:sz w:val="24"/>
          <w:szCs w:val="24"/>
        </w:rPr>
        <w:t>-based</w:t>
      </w:r>
      <w:r w:rsidR="004D1343" w:rsidRPr="00C32887">
        <w:rPr>
          <w:rFonts w:ascii="Garamond" w:hAnsi="Garamond"/>
          <w:sz w:val="24"/>
          <w:szCs w:val="24"/>
        </w:rPr>
        <w:t xml:space="preserve"> classification on several lev</w:t>
      </w:r>
      <w:r w:rsidR="002C4371">
        <w:rPr>
          <w:rFonts w:ascii="Garamond" w:hAnsi="Garamond"/>
          <w:sz w:val="24"/>
          <w:szCs w:val="24"/>
        </w:rPr>
        <w:t>els</w:t>
      </w:r>
      <w:r w:rsidR="004804FA">
        <w:rPr>
          <w:rFonts w:ascii="Garamond" w:hAnsi="Garamond"/>
          <w:sz w:val="24"/>
          <w:szCs w:val="24"/>
        </w:rPr>
        <w:t xml:space="preserve"> and performance indicators</w:t>
      </w:r>
      <w:r w:rsidR="004D1343" w:rsidRPr="00C32887">
        <w:rPr>
          <w:rFonts w:ascii="Garamond" w:hAnsi="Garamond"/>
          <w:sz w:val="24"/>
          <w:szCs w:val="24"/>
        </w:rPr>
        <w:t xml:space="preserve">, in order to ensure better </w:t>
      </w:r>
      <w:r w:rsidR="00985F6A">
        <w:rPr>
          <w:rFonts w:ascii="Garamond" w:hAnsi="Garamond"/>
          <w:sz w:val="24"/>
          <w:szCs w:val="24"/>
        </w:rPr>
        <w:t>linking</w:t>
      </w:r>
      <w:r w:rsidR="004D1343" w:rsidRPr="00C32887">
        <w:rPr>
          <w:rFonts w:ascii="Garamond" w:hAnsi="Garamond"/>
          <w:sz w:val="24"/>
          <w:szCs w:val="24"/>
        </w:rPr>
        <w:t xml:space="preserve"> with the organi</w:t>
      </w:r>
      <w:r w:rsidR="00F254DD">
        <w:rPr>
          <w:rFonts w:ascii="Garamond" w:hAnsi="Garamond"/>
          <w:sz w:val="24"/>
          <w:szCs w:val="24"/>
        </w:rPr>
        <w:t>sation</w:t>
      </w:r>
      <w:r w:rsidR="004D1343" w:rsidRPr="00C32887">
        <w:rPr>
          <w:rFonts w:ascii="Garamond" w:hAnsi="Garamond"/>
          <w:sz w:val="24"/>
          <w:szCs w:val="24"/>
        </w:rPr>
        <w:t>al classification, public policies and priorities of the Government and to improve the transparency of the budget.</w:t>
      </w:r>
    </w:p>
    <w:p w:rsidR="004804FA" w:rsidRPr="00C32887" w:rsidRDefault="004804FA" w:rsidP="004804FA">
      <w:pPr>
        <w:jc w:val="both"/>
        <w:rPr>
          <w:rFonts w:ascii="Garamond" w:hAnsi="Garamond"/>
          <w:sz w:val="24"/>
          <w:szCs w:val="24"/>
        </w:rPr>
      </w:pPr>
    </w:p>
    <w:p w:rsidR="004D1343" w:rsidRPr="00C32887" w:rsidRDefault="004804FA" w:rsidP="004804FA">
      <w:pPr>
        <w:pStyle w:val="Heading3"/>
        <w:rPr>
          <w:rFonts w:ascii="Garamond" w:hAnsi="Garamond"/>
          <w:sz w:val="24"/>
          <w:szCs w:val="24"/>
        </w:rPr>
      </w:pPr>
      <w:bookmarkStart w:id="8" w:name="_Toc77688193"/>
      <w:r w:rsidRPr="00C32887">
        <w:rPr>
          <w:rFonts w:ascii="Garamond" w:hAnsi="Garamond"/>
          <w:sz w:val="24"/>
          <w:szCs w:val="24"/>
        </w:rPr>
        <w:t>PHASED IMPLEMENTATION OF PROGRAMME</w:t>
      </w:r>
      <w:r w:rsidR="002C4371">
        <w:rPr>
          <w:rFonts w:ascii="Garamond" w:hAnsi="Garamond"/>
          <w:sz w:val="24"/>
          <w:szCs w:val="24"/>
        </w:rPr>
        <w:t>-BASED</w:t>
      </w:r>
      <w:r w:rsidRPr="00C32887">
        <w:rPr>
          <w:rFonts w:ascii="Garamond" w:hAnsi="Garamond"/>
          <w:sz w:val="24"/>
          <w:szCs w:val="24"/>
        </w:rPr>
        <w:t xml:space="preserve"> BUDGETING</w:t>
      </w:r>
      <w:bookmarkEnd w:id="8"/>
    </w:p>
    <w:p w:rsidR="004D1343" w:rsidRPr="00C32887" w:rsidRDefault="004D1343" w:rsidP="004D1343">
      <w:pPr>
        <w:rPr>
          <w:rFonts w:ascii="Garamond" w:hAnsi="Garamond"/>
          <w:sz w:val="24"/>
          <w:szCs w:val="24"/>
        </w:rPr>
      </w:pPr>
    </w:p>
    <w:p w:rsidR="004D1343" w:rsidRPr="00C32887" w:rsidRDefault="004804FA" w:rsidP="00424943">
      <w:pPr>
        <w:jc w:val="both"/>
        <w:rPr>
          <w:rFonts w:ascii="Garamond" w:hAnsi="Garamond"/>
          <w:sz w:val="24"/>
          <w:szCs w:val="24"/>
        </w:rPr>
      </w:pPr>
      <w:r>
        <w:rPr>
          <w:rFonts w:ascii="Garamond" w:hAnsi="Garamond"/>
          <w:sz w:val="24"/>
          <w:szCs w:val="24"/>
        </w:rPr>
        <w:t>In the mentioned period</w:t>
      </w:r>
      <w:r w:rsidR="004D1343" w:rsidRPr="00C32887">
        <w:rPr>
          <w:rFonts w:ascii="Garamond" w:hAnsi="Garamond"/>
          <w:sz w:val="24"/>
          <w:szCs w:val="24"/>
        </w:rPr>
        <w:t xml:space="preserve">, a new </w:t>
      </w:r>
      <w:r w:rsidR="00424943">
        <w:rPr>
          <w:rFonts w:ascii="Garamond" w:hAnsi="Garamond"/>
          <w:sz w:val="24"/>
          <w:szCs w:val="24"/>
        </w:rPr>
        <w:t>p</w:t>
      </w:r>
      <w:r w:rsidR="00AB73F6" w:rsidRPr="00C32887">
        <w:rPr>
          <w:rFonts w:ascii="Garamond" w:hAnsi="Garamond"/>
          <w:sz w:val="24"/>
          <w:szCs w:val="24"/>
        </w:rPr>
        <w:t>rogramme</w:t>
      </w:r>
      <w:r w:rsidR="002C4371">
        <w:rPr>
          <w:rFonts w:ascii="Garamond" w:hAnsi="Garamond"/>
          <w:sz w:val="24"/>
          <w:szCs w:val="24"/>
        </w:rPr>
        <w:t>-based</w:t>
      </w:r>
      <w:r w:rsidR="004D1343" w:rsidRPr="00C32887">
        <w:rPr>
          <w:rFonts w:ascii="Garamond" w:hAnsi="Garamond"/>
          <w:sz w:val="24"/>
          <w:szCs w:val="24"/>
        </w:rPr>
        <w:t xml:space="preserve"> and organi</w:t>
      </w:r>
      <w:r w:rsidR="00F254DD">
        <w:rPr>
          <w:rFonts w:ascii="Garamond" w:hAnsi="Garamond"/>
          <w:sz w:val="24"/>
          <w:szCs w:val="24"/>
        </w:rPr>
        <w:t>sation</w:t>
      </w:r>
      <w:r w:rsidR="004D1343" w:rsidRPr="00C32887">
        <w:rPr>
          <w:rFonts w:ascii="Garamond" w:hAnsi="Garamond"/>
          <w:sz w:val="24"/>
          <w:szCs w:val="24"/>
        </w:rPr>
        <w:t xml:space="preserve">al classification was developed, which includes main </w:t>
      </w:r>
      <w:r w:rsidR="00424943">
        <w:rPr>
          <w:rFonts w:ascii="Garamond" w:hAnsi="Garamond"/>
          <w:sz w:val="24"/>
          <w:szCs w:val="24"/>
        </w:rPr>
        <w:t>p</w:t>
      </w:r>
      <w:r w:rsidR="00AB73F6" w:rsidRPr="00C32887">
        <w:rPr>
          <w:rFonts w:ascii="Garamond" w:hAnsi="Garamond"/>
          <w:sz w:val="24"/>
          <w:szCs w:val="24"/>
        </w:rPr>
        <w:t>rogramme</w:t>
      </w:r>
      <w:r w:rsidR="004D1343" w:rsidRPr="00C32887">
        <w:rPr>
          <w:rFonts w:ascii="Garamond" w:hAnsi="Garamond"/>
          <w:sz w:val="24"/>
          <w:szCs w:val="24"/>
        </w:rPr>
        <w:t xml:space="preserve">s, </w:t>
      </w:r>
      <w:r w:rsidR="00424943">
        <w:rPr>
          <w:rFonts w:ascii="Garamond" w:hAnsi="Garamond"/>
          <w:sz w:val="24"/>
          <w:szCs w:val="24"/>
        </w:rPr>
        <w:t>p</w:t>
      </w:r>
      <w:r w:rsidR="00AB73F6" w:rsidRPr="00C32887">
        <w:rPr>
          <w:rFonts w:ascii="Garamond" w:hAnsi="Garamond"/>
          <w:sz w:val="24"/>
          <w:szCs w:val="24"/>
        </w:rPr>
        <w:t>rogramme</w:t>
      </w:r>
      <w:r w:rsidR="004D1343" w:rsidRPr="00C32887">
        <w:rPr>
          <w:rFonts w:ascii="Garamond" w:hAnsi="Garamond"/>
          <w:sz w:val="24"/>
          <w:szCs w:val="24"/>
        </w:rPr>
        <w:t>s, sub-</w:t>
      </w:r>
      <w:r w:rsidR="00424943">
        <w:rPr>
          <w:rFonts w:ascii="Garamond" w:hAnsi="Garamond"/>
          <w:sz w:val="24"/>
          <w:szCs w:val="24"/>
        </w:rPr>
        <w:t>p</w:t>
      </w:r>
      <w:r w:rsidR="00AB73F6" w:rsidRPr="00C32887">
        <w:rPr>
          <w:rFonts w:ascii="Garamond" w:hAnsi="Garamond"/>
          <w:sz w:val="24"/>
          <w:szCs w:val="24"/>
        </w:rPr>
        <w:t>rogramme</w:t>
      </w:r>
      <w:r w:rsidR="004D1343" w:rsidRPr="00C32887">
        <w:rPr>
          <w:rFonts w:ascii="Garamond" w:hAnsi="Garamond"/>
          <w:sz w:val="24"/>
          <w:szCs w:val="24"/>
        </w:rPr>
        <w:t>s and projects, with the possibility of including activities as the lowest level of classification, as well as harmoni</w:t>
      </w:r>
      <w:r w:rsidR="00F254DD">
        <w:rPr>
          <w:rFonts w:ascii="Garamond" w:hAnsi="Garamond"/>
          <w:sz w:val="24"/>
          <w:szCs w:val="24"/>
        </w:rPr>
        <w:t>sation</w:t>
      </w:r>
      <w:r w:rsidR="004D1343" w:rsidRPr="00C32887">
        <w:rPr>
          <w:rFonts w:ascii="Garamond" w:hAnsi="Garamond"/>
          <w:sz w:val="24"/>
          <w:szCs w:val="24"/>
        </w:rPr>
        <w:t xml:space="preserve"> of the status of spending units, in accordance with the Law on Budget and Fiscal Resp</w:t>
      </w:r>
      <w:r w:rsidR="00DE4350">
        <w:rPr>
          <w:rFonts w:ascii="Garamond" w:hAnsi="Garamond"/>
          <w:sz w:val="24"/>
          <w:szCs w:val="24"/>
        </w:rPr>
        <w:t xml:space="preserve">onsibility. On the basis of this </w:t>
      </w:r>
      <w:r w:rsidR="004D1343" w:rsidRPr="00C32887">
        <w:rPr>
          <w:rFonts w:ascii="Garamond" w:hAnsi="Garamond"/>
          <w:sz w:val="24"/>
          <w:szCs w:val="24"/>
        </w:rPr>
        <w:t>classification</w:t>
      </w:r>
      <w:r w:rsidR="00DE4350">
        <w:rPr>
          <w:rFonts w:ascii="Garamond" w:hAnsi="Garamond"/>
          <w:sz w:val="24"/>
          <w:szCs w:val="24"/>
        </w:rPr>
        <w:t>,</w:t>
      </w:r>
      <w:r w:rsidR="004D1343" w:rsidRPr="00C32887">
        <w:rPr>
          <w:rFonts w:ascii="Garamond" w:hAnsi="Garamond"/>
          <w:sz w:val="24"/>
          <w:szCs w:val="24"/>
        </w:rPr>
        <w:t xml:space="preserve"> </w:t>
      </w:r>
      <w:r w:rsidR="00365FAB" w:rsidRPr="000321F2">
        <w:rPr>
          <w:rFonts w:ascii="Garamond" w:hAnsi="Garamond"/>
          <w:sz w:val="24"/>
          <w:szCs w:val="24"/>
          <w:u w:val="single"/>
        </w:rPr>
        <w:t>2021</w:t>
      </w:r>
      <w:r w:rsidR="00365FAB" w:rsidRPr="00365FAB">
        <w:rPr>
          <w:rFonts w:ascii="Garamond" w:hAnsi="Garamond"/>
          <w:sz w:val="24"/>
          <w:szCs w:val="24"/>
          <w:u w:val="single"/>
        </w:rPr>
        <w:t xml:space="preserve"> </w:t>
      </w:r>
      <w:r w:rsidR="000321F2" w:rsidRPr="000321F2">
        <w:rPr>
          <w:rFonts w:ascii="Garamond" w:hAnsi="Garamond"/>
          <w:sz w:val="24"/>
          <w:szCs w:val="24"/>
          <w:u w:val="single"/>
        </w:rPr>
        <w:t xml:space="preserve">Technical </w:t>
      </w:r>
      <w:r w:rsidR="00365FAB">
        <w:rPr>
          <w:rFonts w:ascii="Garamond" w:hAnsi="Garamond"/>
          <w:sz w:val="24"/>
          <w:szCs w:val="24"/>
          <w:u w:val="single"/>
        </w:rPr>
        <w:t>Instruction</w:t>
      </w:r>
      <w:r w:rsidR="00365FAB" w:rsidRPr="000321F2">
        <w:rPr>
          <w:rFonts w:ascii="Garamond" w:hAnsi="Garamond"/>
          <w:sz w:val="24"/>
          <w:szCs w:val="24"/>
          <w:u w:val="single"/>
        </w:rPr>
        <w:t xml:space="preserve"> </w:t>
      </w:r>
      <w:r w:rsidR="004D1343" w:rsidRPr="000321F2">
        <w:rPr>
          <w:rFonts w:ascii="Garamond" w:hAnsi="Garamond"/>
          <w:sz w:val="24"/>
          <w:szCs w:val="24"/>
          <w:u w:val="single"/>
        </w:rPr>
        <w:t xml:space="preserve">for </w:t>
      </w:r>
      <w:r w:rsidR="00365FAB">
        <w:rPr>
          <w:rFonts w:ascii="Garamond" w:hAnsi="Garamond"/>
          <w:sz w:val="24"/>
          <w:szCs w:val="24"/>
          <w:u w:val="single"/>
        </w:rPr>
        <w:t>Budget Preparation</w:t>
      </w:r>
      <w:r w:rsidR="004D1343" w:rsidRPr="000321F2">
        <w:rPr>
          <w:rFonts w:ascii="Garamond" w:hAnsi="Garamond"/>
          <w:sz w:val="24"/>
          <w:szCs w:val="24"/>
          <w:u w:val="single"/>
        </w:rPr>
        <w:t xml:space="preserve"> </w:t>
      </w:r>
      <w:r w:rsidR="00365FAB">
        <w:rPr>
          <w:rFonts w:ascii="Garamond" w:hAnsi="Garamond"/>
          <w:sz w:val="24"/>
          <w:szCs w:val="24"/>
          <w:u w:val="single"/>
        </w:rPr>
        <w:t>–</w:t>
      </w:r>
      <w:r w:rsidR="004D1343" w:rsidRPr="000321F2">
        <w:rPr>
          <w:rFonts w:ascii="Garamond" w:hAnsi="Garamond"/>
          <w:sz w:val="24"/>
          <w:szCs w:val="24"/>
          <w:u w:val="single"/>
        </w:rPr>
        <w:t xml:space="preserve"> </w:t>
      </w:r>
      <w:r w:rsidR="00365FAB">
        <w:rPr>
          <w:rFonts w:ascii="Garamond" w:hAnsi="Garamond"/>
          <w:sz w:val="24"/>
          <w:szCs w:val="24"/>
          <w:u w:val="single"/>
        </w:rPr>
        <w:t xml:space="preserve">the </w:t>
      </w:r>
      <w:r w:rsidR="004D1343" w:rsidRPr="000321F2">
        <w:rPr>
          <w:rFonts w:ascii="Garamond" w:hAnsi="Garamond"/>
          <w:sz w:val="24"/>
          <w:szCs w:val="24"/>
          <w:u w:val="single"/>
        </w:rPr>
        <w:t xml:space="preserve">Budget </w:t>
      </w:r>
      <w:r w:rsidR="004D1343" w:rsidRPr="00365FAB">
        <w:rPr>
          <w:rFonts w:ascii="Garamond" w:hAnsi="Garamond"/>
          <w:sz w:val="24"/>
          <w:szCs w:val="24"/>
          <w:u w:val="single"/>
        </w:rPr>
        <w:t>Circular</w:t>
      </w:r>
      <w:r w:rsidR="00365FAB">
        <w:rPr>
          <w:rFonts w:ascii="Garamond" w:hAnsi="Garamond"/>
          <w:sz w:val="24"/>
          <w:szCs w:val="24"/>
        </w:rPr>
        <w:t xml:space="preserve"> was</w:t>
      </w:r>
      <w:r w:rsidR="000321F2" w:rsidRPr="00C32887">
        <w:rPr>
          <w:rFonts w:ascii="Garamond" w:hAnsi="Garamond"/>
          <w:sz w:val="24"/>
          <w:szCs w:val="24"/>
        </w:rPr>
        <w:t xml:space="preserve"> </w:t>
      </w:r>
      <w:r w:rsidR="000321F2">
        <w:rPr>
          <w:rFonts w:ascii="Garamond" w:hAnsi="Garamond"/>
          <w:sz w:val="24"/>
          <w:szCs w:val="24"/>
        </w:rPr>
        <w:t>prepared</w:t>
      </w:r>
      <w:r w:rsidR="000321F2" w:rsidRPr="00C32887">
        <w:rPr>
          <w:rFonts w:ascii="Garamond" w:hAnsi="Garamond"/>
          <w:sz w:val="24"/>
          <w:szCs w:val="24"/>
        </w:rPr>
        <w:t xml:space="preserve"> and delivered to the </w:t>
      </w:r>
      <w:r w:rsidR="000321F2">
        <w:rPr>
          <w:rFonts w:ascii="Garamond" w:hAnsi="Garamond"/>
          <w:sz w:val="24"/>
          <w:szCs w:val="24"/>
        </w:rPr>
        <w:t>spending</w:t>
      </w:r>
      <w:r w:rsidR="000321F2" w:rsidRPr="00C32887">
        <w:rPr>
          <w:rFonts w:ascii="Garamond" w:hAnsi="Garamond"/>
          <w:sz w:val="24"/>
          <w:szCs w:val="24"/>
        </w:rPr>
        <w:t xml:space="preserve"> units</w:t>
      </w:r>
      <w:r w:rsidR="004D1343" w:rsidRPr="00C32887">
        <w:rPr>
          <w:rFonts w:ascii="Garamond" w:hAnsi="Garamond"/>
          <w:sz w:val="24"/>
          <w:szCs w:val="24"/>
        </w:rPr>
        <w:t xml:space="preserve">, which contained </w:t>
      </w:r>
      <w:r w:rsidR="000321F2" w:rsidRPr="00C32887">
        <w:rPr>
          <w:rFonts w:ascii="Garamond" w:hAnsi="Garamond"/>
          <w:sz w:val="24"/>
          <w:szCs w:val="24"/>
        </w:rPr>
        <w:t xml:space="preserve">Macroeconomic </w:t>
      </w:r>
      <w:r w:rsidR="004D1343" w:rsidRPr="00C32887">
        <w:rPr>
          <w:rFonts w:ascii="Garamond" w:hAnsi="Garamond"/>
          <w:sz w:val="24"/>
          <w:szCs w:val="24"/>
        </w:rPr>
        <w:t xml:space="preserve">and </w:t>
      </w:r>
      <w:r w:rsidR="000321F2" w:rsidRPr="00C32887">
        <w:rPr>
          <w:rFonts w:ascii="Garamond" w:hAnsi="Garamond"/>
          <w:sz w:val="24"/>
          <w:szCs w:val="24"/>
        </w:rPr>
        <w:t>Fiscal Policy</w:t>
      </w:r>
      <w:r w:rsidR="0042740F" w:rsidRPr="0042740F">
        <w:rPr>
          <w:rFonts w:ascii="Garamond" w:hAnsi="Garamond"/>
          <w:sz w:val="24"/>
          <w:szCs w:val="24"/>
        </w:rPr>
        <w:t xml:space="preserve"> </w:t>
      </w:r>
      <w:r w:rsidR="0042740F" w:rsidRPr="00C32887">
        <w:rPr>
          <w:rFonts w:ascii="Garamond" w:hAnsi="Garamond"/>
          <w:sz w:val="24"/>
          <w:szCs w:val="24"/>
        </w:rPr>
        <w:t>Guidelines</w:t>
      </w:r>
      <w:r w:rsidR="000321F2">
        <w:rPr>
          <w:rFonts w:ascii="Garamond" w:hAnsi="Garamond"/>
          <w:sz w:val="24"/>
          <w:szCs w:val="24"/>
        </w:rPr>
        <w:t>,</w:t>
      </w:r>
      <w:r w:rsidR="000321F2" w:rsidRPr="00C32887">
        <w:rPr>
          <w:rFonts w:ascii="Garamond" w:hAnsi="Garamond"/>
          <w:sz w:val="24"/>
          <w:szCs w:val="24"/>
        </w:rPr>
        <w:t xml:space="preserve"> Programme</w:t>
      </w:r>
      <w:r w:rsidR="000321F2">
        <w:rPr>
          <w:rFonts w:ascii="Garamond" w:hAnsi="Garamond"/>
          <w:sz w:val="24"/>
          <w:szCs w:val="24"/>
        </w:rPr>
        <w:t>-based</w:t>
      </w:r>
      <w:r w:rsidR="000321F2" w:rsidRPr="00C32887">
        <w:rPr>
          <w:rFonts w:ascii="Garamond" w:hAnsi="Garamond"/>
          <w:sz w:val="24"/>
          <w:szCs w:val="24"/>
        </w:rPr>
        <w:t xml:space="preserve"> Budget Manual</w:t>
      </w:r>
      <w:r w:rsidR="004D1343" w:rsidRPr="00C32887">
        <w:rPr>
          <w:rFonts w:ascii="Garamond" w:hAnsi="Garamond"/>
          <w:sz w:val="24"/>
          <w:szCs w:val="24"/>
        </w:rPr>
        <w:t xml:space="preserve">, the </w:t>
      </w:r>
      <w:r w:rsidR="000321F2" w:rsidRPr="00C32887">
        <w:rPr>
          <w:rFonts w:ascii="Garamond" w:hAnsi="Garamond"/>
          <w:sz w:val="24"/>
          <w:szCs w:val="24"/>
        </w:rPr>
        <w:t xml:space="preserve">Guidelines </w:t>
      </w:r>
      <w:r w:rsidR="004D1343" w:rsidRPr="00C32887">
        <w:rPr>
          <w:rFonts w:ascii="Garamond" w:hAnsi="Garamond"/>
          <w:sz w:val="24"/>
          <w:szCs w:val="24"/>
        </w:rPr>
        <w:t xml:space="preserve">for the </w:t>
      </w:r>
      <w:r w:rsidR="00365FAB" w:rsidRPr="00C32887">
        <w:rPr>
          <w:rFonts w:ascii="Garamond" w:hAnsi="Garamond"/>
          <w:sz w:val="24"/>
          <w:szCs w:val="24"/>
        </w:rPr>
        <w:t xml:space="preserve">Use </w:t>
      </w:r>
      <w:r w:rsidR="004D1343" w:rsidRPr="00C32887">
        <w:rPr>
          <w:rFonts w:ascii="Garamond" w:hAnsi="Garamond"/>
          <w:sz w:val="24"/>
          <w:szCs w:val="24"/>
        </w:rPr>
        <w:t xml:space="preserve">of the </w:t>
      </w:r>
      <w:r w:rsidR="00365FAB" w:rsidRPr="00C32887">
        <w:rPr>
          <w:rFonts w:ascii="Garamond" w:hAnsi="Garamond"/>
          <w:sz w:val="24"/>
          <w:szCs w:val="24"/>
        </w:rPr>
        <w:t xml:space="preserve">Information System </w:t>
      </w:r>
      <w:r w:rsidR="004D1343" w:rsidRPr="00C32887">
        <w:rPr>
          <w:rFonts w:ascii="Garamond" w:hAnsi="Garamond"/>
          <w:sz w:val="24"/>
          <w:szCs w:val="24"/>
        </w:rPr>
        <w:t xml:space="preserve">for </w:t>
      </w:r>
      <w:r w:rsidR="00365FAB" w:rsidRPr="00C32887">
        <w:rPr>
          <w:rFonts w:ascii="Garamond" w:hAnsi="Garamond"/>
          <w:sz w:val="24"/>
          <w:szCs w:val="24"/>
        </w:rPr>
        <w:t>Budget Planning</w:t>
      </w:r>
      <w:r w:rsidR="004D1343" w:rsidRPr="00C32887">
        <w:rPr>
          <w:rFonts w:ascii="Garamond" w:hAnsi="Garamond"/>
          <w:sz w:val="24"/>
          <w:szCs w:val="24"/>
        </w:rPr>
        <w:t xml:space="preserve">, as </w:t>
      </w:r>
      <w:r w:rsidR="000321F2">
        <w:rPr>
          <w:rFonts w:ascii="Garamond" w:hAnsi="Garamond"/>
          <w:sz w:val="24"/>
          <w:szCs w:val="24"/>
        </w:rPr>
        <w:t>well as</w:t>
      </w:r>
      <w:r w:rsidR="004D1343" w:rsidRPr="00C32887">
        <w:rPr>
          <w:rFonts w:ascii="Garamond" w:hAnsi="Garamond"/>
          <w:sz w:val="24"/>
          <w:szCs w:val="24"/>
        </w:rPr>
        <w:t xml:space="preserve"> other </w:t>
      </w:r>
      <w:r w:rsidR="0042740F">
        <w:rPr>
          <w:rFonts w:ascii="Garamond" w:hAnsi="Garamond"/>
          <w:sz w:val="24"/>
          <w:szCs w:val="24"/>
        </w:rPr>
        <w:t>g</w:t>
      </w:r>
      <w:r w:rsidR="000321F2" w:rsidRPr="00C32887">
        <w:rPr>
          <w:rFonts w:ascii="Garamond" w:hAnsi="Garamond"/>
          <w:sz w:val="24"/>
          <w:szCs w:val="24"/>
        </w:rPr>
        <w:t xml:space="preserve">uidelines </w:t>
      </w:r>
      <w:r w:rsidR="004D1343" w:rsidRPr="00C32887">
        <w:rPr>
          <w:rFonts w:ascii="Garamond" w:hAnsi="Garamond"/>
          <w:sz w:val="24"/>
          <w:szCs w:val="24"/>
        </w:rPr>
        <w:t xml:space="preserve">for </w:t>
      </w:r>
      <w:r w:rsidR="0042740F">
        <w:rPr>
          <w:rFonts w:ascii="Garamond" w:hAnsi="Garamond"/>
          <w:sz w:val="24"/>
          <w:szCs w:val="24"/>
        </w:rPr>
        <w:t xml:space="preserve">the </w:t>
      </w:r>
      <w:r w:rsidR="004D1343" w:rsidRPr="00C32887">
        <w:rPr>
          <w:rFonts w:ascii="Garamond" w:hAnsi="Garamond"/>
          <w:sz w:val="24"/>
          <w:szCs w:val="24"/>
        </w:rPr>
        <w:t xml:space="preserve">preparation of the budget, based on which first </w:t>
      </w:r>
      <w:r w:rsidR="0042740F" w:rsidRPr="00C32887">
        <w:rPr>
          <w:rFonts w:ascii="Garamond" w:hAnsi="Garamond"/>
          <w:sz w:val="24"/>
          <w:szCs w:val="24"/>
        </w:rPr>
        <w:t>level spending unit</w:t>
      </w:r>
      <w:r w:rsidR="00F1258F">
        <w:rPr>
          <w:rFonts w:ascii="Garamond" w:hAnsi="Garamond"/>
          <w:sz w:val="24"/>
          <w:szCs w:val="24"/>
        </w:rPr>
        <w:t>s</w:t>
      </w:r>
      <w:r w:rsidR="0042740F" w:rsidRPr="00C32887">
        <w:rPr>
          <w:rFonts w:ascii="Garamond" w:hAnsi="Garamond"/>
          <w:sz w:val="24"/>
          <w:szCs w:val="24"/>
        </w:rPr>
        <w:t xml:space="preserve"> </w:t>
      </w:r>
      <w:r w:rsidR="004D1343" w:rsidRPr="00C32887">
        <w:rPr>
          <w:rFonts w:ascii="Garamond" w:hAnsi="Garamond"/>
          <w:sz w:val="24"/>
          <w:szCs w:val="24"/>
        </w:rPr>
        <w:t xml:space="preserve">submit their requests for budget </w:t>
      </w:r>
      <w:r w:rsidR="000321F2">
        <w:rPr>
          <w:rFonts w:ascii="Garamond" w:hAnsi="Garamond"/>
          <w:sz w:val="24"/>
          <w:szCs w:val="24"/>
        </w:rPr>
        <w:t xml:space="preserve">funds </w:t>
      </w:r>
      <w:r w:rsidR="004D1343" w:rsidRPr="00C32887">
        <w:rPr>
          <w:rFonts w:ascii="Garamond" w:hAnsi="Garamond"/>
          <w:sz w:val="24"/>
          <w:szCs w:val="24"/>
        </w:rPr>
        <w:t xml:space="preserve">for 2021. </w:t>
      </w:r>
      <w:r w:rsidR="00F1258F" w:rsidRPr="00C32887">
        <w:rPr>
          <w:rFonts w:ascii="Garamond" w:hAnsi="Garamond"/>
          <w:sz w:val="24"/>
          <w:szCs w:val="24"/>
        </w:rPr>
        <w:t xml:space="preserve">The </w:t>
      </w:r>
      <w:r w:rsidR="000321F2" w:rsidRPr="00C32887">
        <w:rPr>
          <w:rFonts w:ascii="Garamond" w:hAnsi="Garamond"/>
          <w:sz w:val="24"/>
          <w:szCs w:val="24"/>
        </w:rPr>
        <w:t>Budget Circular</w:t>
      </w:r>
      <w:r w:rsidR="00F1258F">
        <w:rPr>
          <w:rFonts w:ascii="Garamond" w:hAnsi="Garamond"/>
          <w:sz w:val="24"/>
          <w:szCs w:val="24"/>
        </w:rPr>
        <w:t xml:space="preserve"> pays </w:t>
      </w:r>
      <w:r w:rsidR="004D1343" w:rsidRPr="00C32887">
        <w:rPr>
          <w:rFonts w:ascii="Garamond" w:hAnsi="Garamond"/>
          <w:sz w:val="24"/>
          <w:szCs w:val="24"/>
        </w:rPr>
        <w:t xml:space="preserve">special attention to systemic changes related to the application of the new </w:t>
      </w:r>
      <w:r w:rsidR="000321F2">
        <w:rPr>
          <w:rFonts w:ascii="Garamond" w:hAnsi="Garamond"/>
          <w:sz w:val="24"/>
          <w:szCs w:val="24"/>
        </w:rPr>
        <w:t>p</w:t>
      </w:r>
      <w:r w:rsidR="00AB73F6" w:rsidRPr="00C32887">
        <w:rPr>
          <w:rFonts w:ascii="Garamond" w:hAnsi="Garamond"/>
          <w:sz w:val="24"/>
          <w:szCs w:val="24"/>
        </w:rPr>
        <w:t>rogramme</w:t>
      </w:r>
      <w:r w:rsidR="00DE4350">
        <w:rPr>
          <w:rFonts w:ascii="Garamond" w:hAnsi="Garamond"/>
          <w:sz w:val="24"/>
          <w:szCs w:val="24"/>
        </w:rPr>
        <w:t>-based</w:t>
      </w:r>
      <w:r w:rsidR="004D1343" w:rsidRPr="00C32887">
        <w:rPr>
          <w:rFonts w:ascii="Garamond" w:hAnsi="Garamond"/>
          <w:sz w:val="24"/>
          <w:szCs w:val="24"/>
        </w:rPr>
        <w:t xml:space="preserve"> and organi</w:t>
      </w:r>
      <w:r w:rsidR="00F254DD">
        <w:rPr>
          <w:rFonts w:ascii="Garamond" w:hAnsi="Garamond"/>
          <w:sz w:val="24"/>
          <w:szCs w:val="24"/>
        </w:rPr>
        <w:t>sation</w:t>
      </w:r>
      <w:r w:rsidR="004D1343" w:rsidRPr="00C32887">
        <w:rPr>
          <w:rFonts w:ascii="Garamond" w:hAnsi="Garamond"/>
          <w:sz w:val="24"/>
          <w:szCs w:val="24"/>
        </w:rPr>
        <w:t xml:space="preserve">al classification, additional information on capital projects, implementation of the new budget management information system, competencies and establishment of communication between first </w:t>
      </w:r>
      <w:r w:rsidR="0042740F">
        <w:rPr>
          <w:rFonts w:ascii="Garamond" w:hAnsi="Garamond"/>
          <w:sz w:val="24"/>
          <w:szCs w:val="24"/>
        </w:rPr>
        <w:t>level</w:t>
      </w:r>
      <w:r w:rsidR="004D1343" w:rsidRPr="00C32887">
        <w:rPr>
          <w:rFonts w:ascii="Garamond" w:hAnsi="Garamond"/>
          <w:sz w:val="24"/>
          <w:szCs w:val="24"/>
        </w:rPr>
        <w:t xml:space="preserve"> </w:t>
      </w:r>
      <w:r w:rsidR="000321F2">
        <w:rPr>
          <w:rFonts w:ascii="Garamond" w:hAnsi="Garamond"/>
          <w:sz w:val="24"/>
          <w:szCs w:val="24"/>
        </w:rPr>
        <w:t xml:space="preserve">spending units and spending units </w:t>
      </w:r>
      <w:r w:rsidR="004D1343" w:rsidRPr="00C32887">
        <w:rPr>
          <w:rFonts w:ascii="Garamond" w:hAnsi="Garamond"/>
          <w:sz w:val="24"/>
          <w:szCs w:val="24"/>
        </w:rPr>
        <w:t xml:space="preserve">supervised by </w:t>
      </w:r>
      <w:r w:rsidR="000321F2">
        <w:rPr>
          <w:rFonts w:ascii="Garamond" w:hAnsi="Garamond"/>
          <w:sz w:val="24"/>
          <w:szCs w:val="24"/>
        </w:rPr>
        <w:t xml:space="preserve">them and </w:t>
      </w:r>
      <w:r w:rsidR="004D1343" w:rsidRPr="00C32887">
        <w:rPr>
          <w:rFonts w:ascii="Garamond" w:hAnsi="Garamond"/>
          <w:sz w:val="24"/>
          <w:szCs w:val="24"/>
        </w:rPr>
        <w:t>the Ministr</w:t>
      </w:r>
      <w:r w:rsidR="000321F2">
        <w:rPr>
          <w:rFonts w:ascii="Garamond" w:hAnsi="Garamond"/>
          <w:sz w:val="24"/>
          <w:szCs w:val="24"/>
        </w:rPr>
        <w:t>y of Finance and Social Welfare</w:t>
      </w:r>
      <w:r w:rsidR="004D1343" w:rsidRPr="00C32887">
        <w:rPr>
          <w:rFonts w:ascii="Garamond" w:hAnsi="Garamond"/>
          <w:sz w:val="24"/>
          <w:szCs w:val="24"/>
        </w:rPr>
        <w:t>, as well as the implementation of the statement</w:t>
      </w:r>
      <w:r w:rsidR="000321F2">
        <w:rPr>
          <w:rFonts w:ascii="Garamond" w:hAnsi="Garamond"/>
          <w:sz w:val="24"/>
          <w:szCs w:val="24"/>
        </w:rPr>
        <w:t xml:space="preserve"> on gender-responsive budgeting</w:t>
      </w:r>
      <w:r w:rsidR="004D1343"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AD4F34">
      <w:pPr>
        <w:jc w:val="both"/>
        <w:rPr>
          <w:rFonts w:ascii="Garamond" w:hAnsi="Garamond"/>
          <w:sz w:val="24"/>
          <w:szCs w:val="24"/>
        </w:rPr>
      </w:pPr>
      <w:r w:rsidRPr="00C32887">
        <w:rPr>
          <w:rFonts w:ascii="Garamond" w:hAnsi="Garamond"/>
          <w:sz w:val="24"/>
          <w:szCs w:val="24"/>
        </w:rPr>
        <w:t xml:space="preserve">The </w:t>
      </w:r>
      <w:r w:rsidR="0042740F">
        <w:rPr>
          <w:rFonts w:ascii="Garamond" w:hAnsi="Garamond"/>
          <w:sz w:val="24"/>
          <w:szCs w:val="24"/>
        </w:rPr>
        <w:t>requests</w:t>
      </w:r>
      <w:r w:rsidRPr="00C32887">
        <w:rPr>
          <w:rFonts w:ascii="Garamond" w:hAnsi="Garamond"/>
          <w:sz w:val="24"/>
          <w:szCs w:val="24"/>
        </w:rPr>
        <w:t xml:space="preserve"> of </w:t>
      </w:r>
      <w:r w:rsidR="00AD4F34">
        <w:rPr>
          <w:rFonts w:ascii="Garamond" w:hAnsi="Garamond"/>
          <w:sz w:val="24"/>
          <w:szCs w:val="24"/>
        </w:rPr>
        <w:t>spending</w:t>
      </w:r>
      <w:r w:rsidRPr="00C32887">
        <w:rPr>
          <w:rFonts w:ascii="Garamond" w:hAnsi="Garamond"/>
          <w:sz w:val="24"/>
          <w:szCs w:val="24"/>
        </w:rPr>
        <w:t xml:space="preserve"> units have been prepared in accordance with the new </w:t>
      </w:r>
      <w:r w:rsidR="00AD4F34">
        <w:rPr>
          <w:rFonts w:ascii="Garamond" w:hAnsi="Garamond"/>
          <w:sz w:val="24"/>
          <w:szCs w:val="24"/>
        </w:rPr>
        <w:t>p</w:t>
      </w:r>
      <w:r w:rsidR="00AB73F6" w:rsidRPr="00C32887">
        <w:rPr>
          <w:rFonts w:ascii="Garamond" w:hAnsi="Garamond"/>
          <w:sz w:val="24"/>
          <w:szCs w:val="24"/>
        </w:rPr>
        <w:t>rogramme</w:t>
      </w:r>
      <w:r w:rsidR="00DE4350">
        <w:rPr>
          <w:rFonts w:ascii="Garamond" w:hAnsi="Garamond"/>
          <w:sz w:val="24"/>
          <w:szCs w:val="24"/>
        </w:rPr>
        <w:t>-based</w:t>
      </w:r>
      <w:r w:rsidRPr="00C32887">
        <w:rPr>
          <w:rFonts w:ascii="Garamond" w:hAnsi="Garamond"/>
          <w:sz w:val="24"/>
          <w:szCs w:val="24"/>
        </w:rPr>
        <w:t xml:space="preserve"> and organi</w:t>
      </w:r>
      <w:r w:rsidR="00F254DD">
        <w:rPr>
          <w:rFonts w:ascii="Garamond" w:hAnsi="Garamond"/>
          <w:sz w:val="24"/>
          <w:szCs w:val="24"/>
        </w:rPr>
        <w:t>sation</w:t>
      </w:r>
      <w:r w:rsidRPr="00C32887">
        <w:rPr>
          <w:rFonts w:ascii="Garamond" w:hAnsi="Garamond"/>
          <w:sz w:val="24"/>
          <w:szCs w:val="24"/>
        </w:rPr>
        <w:t>al structure (with established new coding system of the classification) and were submitted</w:t>
      </w:r>
      <w:r w:rsidR="00AD4F34">
        <w:rPr>
          <w:rFonts w:ascii="Garamond" w:hAnsi="Garamond"/>
          <w:sz w:val="24"/>
          <w:szCs w:val="24"/>
        </w:rPr>
        <w:t xml:space="preserve"> electronically, using new information s</w:t>
      </w:r>
      <w:r w:rsidRPr="00C32887">
        <w:rPr>
          <w:rFonts w:ascii="Garamond" w:hAnsi="Garamond"/>
          <w:sz w:val="24"/>
          <w:szCs w:val="24"/>
        </w:rPr>
        <w:t xml:space="preserve">ystem - BMIS, through </w:t>
      </w:r>
      <w:r w:rsidR="00AD4F34">
        <w:rPr>
          <w:rFonts w:ascii="Garamond" w:hAnsi="Garamond"/>
          <w:sz w:val="24"/>
          <w:szCs w:val="24"/>
        </w:rPr>
        <w:t>which</w:t>
      </w:r>
      <w:r w:rsidRPr="00C32887">
        <w:rPr>
          <w:rFonts w:ascii="Garamond" w:hAnsi="Garamond"/>
          <w:sz w:val="24"/>
          <w:szCs w:val="24"/>
        </w:rPr>
        <w:t xml:space="preserve"> other communication with the </w:t>
      </w:r>
      <w:r w:rsidR="00AD4F34">
        <w:rPr>
          <w:rFonts w:ascii="Garamond" w:hAnsi="Garamond"/>
          <w:sz w:val="24"/>
          <w:szCs w:val="24"/>
        </w:rPr>
        <w:t>spending</w:t>
      </w:r>
      <w:r w:rsidRPr="00C32887">
        <w:rPr>
          <w:rFonts w:ascii="Garamond" w:hAnsi="Garamond"/>
          <w:sz w:val="24"/>
          <w:szCs w:val="24"/>
        </w:rPr>
        <w:t xml:space="preserve"> units </w:t>
      </w:r>
      <w:r w:rsidR="00AD4F34">
        <w:rPr>
          <w:rFonts w:ascii="Garamond" w:hAnsi="Garamond"/>
          <w:sz w:val="24"/>
          <w:szCs w:val="24"/>
        </w:rPr>
        <w:t xml:space="preserve">was </w:t>
      </w:r>
      <w:r w:rsidR="00AD4F34" w:rsidRPr="00C32887">
        <w:rPr>
          <w:rFonts w:ascii="Garamond" w:hAnsi="Garamond"/>
          <w:sz w:val="24"/>
          <w:szCs w:val="24"/>
        </w:rPr>
        <w:t>performed</w:t>
      </w:r>
      <w:r w:rsidR="00AD4F34">
        <w:rPr>
          <w:rFonts w:ascii="Garamond" w:hAnsi="Garamond"/>
          <w:sz w:val="24"/>
          <w:szCs w:val="24"/>
        </w:rPr>
        <w:t xml:space="preserve"> to</w:t>
      </w:r>
      <w:r w:rsidRPr="00C32887">
        <w:rPr>
          <w:rFonts w:ascii="Garamond" w:hAnsi="Garamond"/>
          <w:sz w:val="24"/>
          <w:szCs w:val="24"/>
        </w:rPr>
        <w:t xml:space="preserve"> </w:t>
      </w:r>
      <w:r w:rsidR="00AD4F34">
        <w:rPr>
          <w:rFonts w:ascii="Garamond" w:hAnsi="Garamond"/>
          <w:sz w:val="24"/>
          <w:szCs w:val="24"/>
        </w:rPr>
        <w:t>improve</w:t>
      </w:r>
      <w:r w:rsidRPr="00C32887">
        <w:rPr>
          <w:rFonts w:ascii="Garamond" w:hAnsi="Garamond"/>
          <w:sz w:val="24"/>
          <w:szCs w:val="24"/>
        </w:rPr>
        <w:t xml:space="preserve"> the quality of submitted </w:t>
      </w:r>
      <w:r w:rsidR="0042740F">
        <w:rPr>
          <w:rFonts w:ascii="Garamond" w:hAnsi="Garamond"/>
          <w:sz w:val="24"/>
          <w:szCs w:val="24"/>
        </w:rPr>
        <w:t>requests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AD4F34">
      <w:pPr>
        <w:jc w:val="both"/>
        <w:rPr>
          <w:rFonts w:ascii="Garamond" w:hAnsi="Garamond"/>
          <w:sz w:val="24"/>
          <w:szCs w:val="24"/>
        </w:rPr>
      </w:pPr>
      <w:r w:rsidRPr="00C32887">
        <w:rPr>
          <w:rFonts w:ascii="Garamond" w:hAnsi="Garamond"/>
          <w:sz w:val="24"/>
          <w:szCs w:val="24"/>
        </w:rPr>
        <w:t xml:space="preserve">However, in order to ensure security of the </w:t>
      </w:r>
      <w:r w:rsidR="0042740F" w:rsidRPr="00C32887">
        <w:rPr>
          <w:rFonts w:ascii="Garamond" w:hAnsi="Garamond"/>
          <w:sz w:val="24"/>
          <w:szCs w:val="24"/>
        </w:rPr>
        <w:t xml:space="preserve">public finance </w:t>
      </w:r>
      <w:r w:rsidRPr="00C32887">
        <w:rPr>
          <w:rFonts w:ascii="Garamond" w:hAnsi="Garamond"/>
          <w:sz w:val="24"/>
          <w:szCs w:val="24"/>
        </w:rPr>
        <w:t>system and adequ</w:t>
      </w:r>
      <w:r w:rsidR="00605DEA">
        <w:rPr>
          <w:rFonts w:ascii="Garamond" w:hAnsi="Garamond"/>
          <w:sz w:val="24"/>
          <w:szCs w:val="24"/>
        </w:rPr>
        <w:t>ate</w:t>
      </w:r>
      <w:r w:rsidR="00AD4F34">
        <w:rPr>
          <w:rFonts w:ascii="Garamond" w:hAnsi="Garamond"/>
          <w:sz w:val="24"/>
          <w:szCs w:val="24"/>
        </w:rPr>
        <w:t xml:space="preserve"> implementation of the </w:t>
      </w:r>
      <w:r w:rsidR="0042740F">
        <w:rPr>
          <w:rFonts w:ascii="Garamond" w:hAnsi="Garamond"/>
          <w:sz w:val="24"/>
          <w:szCs w:val="24"/>
        </w:rPr>
        <w:t>reform</w:t>
      </w:r>
      <w:r w:rsidRPr="00C32887">
        <w:rPr>
          <w:rFonts w:ascii="Garamond" w:hAnsi="Garamond"/>
          <w:sz w:val="24"/>
          <w:szCs w:val="24"/>
        </w:rPr>
        <w:t xml:space="preserve"> process, as well as </w:t>
      </w:r>
      <w:r w:rsidR="0042740F" w:rsidRPr="00C32887">
        <w:rPr>
          <w:rFonts w:ascii="Garamond" w:hAnsi="Garamond"/>
          <w:sz w:val="24"/>
          <w:szCs w:val="24"/>
        </w:rPr>
        <w:t xml:space="preserve">budget </w:t>
      </w:r>
      <w:r w:rsidRPr="00C32887">
        <w:rPr>
          <w:rFonts w:ascii="Garamond" w:hAnsi="Garamond"/>
          <w:sz w:val="24"/>
          <w:szCs w:val="24"/>
        </w:rPr>
        <w:t xml:space="preserve">execution in accordance with all levels of </w:t>
      </w:r>
      <w:r w:rsidR="00AD4F34">
        <w:rPr>
          <w:rFonts w:ascii="Garamond" w:hAnsi="Garamond"/>
          <w:sz w:val="24"/>
          <w:szCs w:val="24"/>
        </w:rPr>
        <w:t>p</w:t>
      </w:r>
      <w:r w:rsidR="00AB73F6" w:rsidRPr="00C32887">
        <w:rPr>
          <w:rFonts w:ascii="Garamond" w:hAnsi="Garamond"/>
          <w:sz w:val="24"/>
          <w:szCs w:val="24"/>
        </w:rPr>
        <w:t>rogramme</w:t>
      </w:r>
      <w:r w:rsidR="00DE4350">
        <w:rPr>
          <w:rFonts w:ascii="Garamond" w:hAnsi="Garamond"/>
          <w:sz w:val="24"/>
          <w:szCs w:val="24"/>
        </w:rPr>
        <w:t>-based</w:t>
      </w:r>
      <w:r w:rsidRPr="00C32887">
        <w:rPr>
          <w:rFonts w:ascii="Garamond" w:hAnsi="Garamond"/>
          <w:sz w:val="24"/>
          <w:szCs w:val="24"/>
        </w:rPr>
        <w:t xml:space="preserve"> classification, </w:t>
      </w:r>
      <w:r w:rsidR="0042740F">
        <w:rPr>
          <w:rFonts w:ascii="Garamond" w:hAnsi="Garamond"/>
          <w:sz w:val="24"/>
          <w:szCs w:val="24"/>
        </w:rPr>
        <w:t xml:space="preserve">the </w:t>
      </w:r>
      <w:r w:rsidR="00AD4F34">
        <w:rPr>
          <w:rFonts w:ascii="Garamond" w:hAnsi="Garamond"/>
          <w:sz w:val="24"/>
          <w:szCs w:val="24"/>
        </w:rPr>
        <w:t>p</w:t>
      </w:r>
      <w:r w:rsidR="00AB73F6" w:rsidRPr="00C32887">
        <w:rPr>
          <w:rFonts w:ascii="Garamond" w:hAnsi="Garamond"/>
          <w:sz w:val="24"/>
          <w:szCs w:val="24"/>
        </w:rPr>
        <w:t>rogramme</w:t>
      </w:r>
      <w:r w:rsidR="00DE4350">
        <w:rPr>
          <w:rFonts w:ascii="Garamond" w:hAnsi="Garamond"/>
          <w:sz w:val="24"/>
          <w:szCs w:val="24"/>
        </w:rPr>
        <w:t>-based</w:t>
      </w:r>
      <w:r w:rsidRPr="00C32887">
        <w:rPr>
          <w:rFonts w:ascii="Garamond" w:hAnsi="Garamond"/>
          <w:sz w:val="24"/>
          <w:szCs w:val="24"/>
        </w:rPr>
        <w:t xml:space="preserve"> budgeting is </w:t>
      </w:r>
      <w:r w:rsidR="00AD4F34">
        <w:rPr>
          <w:rFonts w:ascii="Garamond" w:hAnsi="Garamond"/>
          <w:sz w:val="24"/>
          <w:szCs w:val="24"/>
        </w:rPr>
        <w:t>planned to be implemented in</w:t>
      </w:r>
      <w:r w:rsidRPr="00C32887">
        <w:rPr>
          <w:rFonts w:ascii="Garamond" w:hAnsi="Garamond"/>
          <w:sz w:val="24"/>
          <w:szCs w:val="24"/>
        </w:rPr>
        <w:t xml:space="preserve"> phase</w:t>
      </w:r>
      <w:r w:rsidR="00AD4F34">
        <w:rPr>
          <w:rFonts w:ascii="Garamond" w:hAnsi="Garamond"/>
          <w:sz w:val="24"/>
          <w:szCs w:val="24"/>
        </w:rPr>
        <w:t>s</w:t>
      </w:r>
      <w:r w:rsidRPr="00C32887">
        <w:rPr>
          <w:rFonts w:ascii="Garamond" w:hAnsi="Garamond"/>
          <w:sz w:val="24"/>
          <w:szCs w:val="24"/>
        </w:rPr>
        <w:t xml:space="preserve">. Namely, the implementation of the </w:t>
      </w:r>
      <w:r w:rsidR="00AD4F34">
        <w:rPr>
          <w:rFonts w:ascii="Garamond" w:hAnsi="Garamond"/>
          <w:sz w:val="24"/>
          <w:szCs w:val="24"/>
        </w:rPr>
        <w:t>p</w:t>
      </w:r>
      <w:r w:rsidR="00AB73F6" w:rsidRPr="00C32887">
        <w:rPr>
          <w:rFonts w:ascii="Garamond" w:hAnsi="Garamond"/>
          <w:sz w:val="24"/>
          <w:szCs w:val="24"/>
        </w:rPr>
        <w:t>rogramme</w:t>
      </w:r>
      <w:r w:rsidR="00AD4F34">
        <w:rPr>
          <w:rFonts w:ascii="Garamond" w:hAnsi="Garamond"/>
          <w:sz w:val="24"/>
          <w:szCs w:val="24"/>
        </w:rPr>
        <w:t>-based</w:t>
      </w:r>
      <w:r w:rsidRPr="00C32887">
        <w:rPr>
          <w:rFonts w:ascii="Garamond" w:hAnsi="Garamond"/>
          <w:sz w:val="24"/>
          <w:szCs w:val="24"/>
        </w:rPr>
        <w:t xml:space="preserve"> budget and budget execution is closely related to treasury operations. In this </w:t>
      </w:r>
      <w:r w:rsidR="00AD4F34">
        <w:rPr>
          <w:rFonts w:ascii="Garamond" w:hAnsi="Garamond"/>
          <w:sz w:val="24"/>
          <w:szCs w:val="24"/>
        </w:rPr>
        <w:t>regard</w:t>
      </w:r>
      <w:r w:rsidRPr="00C32887">
        <w:rPr>
          <w:rFonts w:ascii="Garamond" w:hAnsi="Garamond"/>
          <w:sz w:val="24"/>
          <w:szCs w:val="24"/>
        </w:rPr>
        <w:t xml:space="preserve">, </w:t>
      </w:r>
      <w:r w:rsidR="00AD4F34">
        <w:rPr>
          <w:rFonts w:ascii="Garamond" w:hAnsi="Garamond"/>
          <w:sz w:val="24"/>
          <w:szCs w:val="24"/>
        </w:rPr>
        <w:t>due to the need to provide</w:t>
      </w:r>
      <w:r w:rsidR="0042740F">
        <w:rPr>
          <w:rFonts w:ascii="Garamond" w:hAnsi="Garamond"/>
          <w:sz w:val="24"/>
          <w:szCs w:val="24"/>
        </w:rPr>
        <w:t xml:space="preserve"> the</w:t>
      </w:r>
      <w:r w:rsidRPr="00C32887">
        <w:rPr>
          <w:rFonts w:ascii="Garamond" w:hAnsi="Garamond"/>
          <w:sz w:val="24"/>
          <w:szCs w:val="24"/>
        </w:rPr>
        <w:t xml:space="preserve"> functional connection and interconnection </w:t>
      </w:r>
      <w:r w:rsidR="0042740F">
        <w:rPr>
          <w:rFonts w:ascii="Garamond" w:hAnsi="Garamond"/>
          <w:sz w:val="24"/>
          <w:szCs w:val="24"/>
        </w:rPr>
        <w:t>between</w:t>
      </w:r>
      <w:r w:rsidRPr="00C32887">
        <w:rPr>
          <w:rFonts w:ascii="Garamond" w:hAnsi="Garamond"/>
          <w:sz w:val="24"/>
          <w:szCs w:val="24"/>
        </w:rPr>
        <w:t xml:space="preserve"> all relevant information systems, </w:t>
      </w:r>
      <w:r w:rsidR="0042740F" w:rsidRPr="00C32887">
        <w:rPr>
          <w:rFonts w:ascii="Garamond" w:hAnsi="Garamond"/>
          <w:sz w:val="24"/>
          <w:szCs w:val="24"/>
        </w:rPr>
        <w:t xml:space="preserve">budget </w:t>
      </w:r>
      <w:r w:rsidRPr="00C32887">
        <w:rPr>
          <w:rFonts w:ascii="Garamond" w:hAnsi="Garamond"/>
          <w:sz w:val="24"/>
          <w:szCs w:val="24"/>
        </w:rPr>
        <w:t>execution in 2021 will b</w:t>
      </w:r>
      <w:r w:rsidR="00AD4F34">
        <w:rPr>
          <w:rFonts w:ascii="Garamond" w:hAnsi="Garamond"/>
          <w:sz w:val="24"/>
          <w:szCs w:val="24"/>
        </w:rPr>
        <w:t>e conducted at the level of main</w:t>
      </w:r>
      <w:r w:rsidRPr="00C32887">
        <w:rPr>
          <w:rFonts w:ascii="Garamond" w:hAnsi="Garamond"/>
          <w:sz w:val="24"/>
          <w:szCs w:val="24"/>
        </w:rPr>
        <w:t xml:space="preserve"> </w:t>
      </w:r>
      <w:r w:rsidR="00AD4F34">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s and </w:t>
      </w:r>
      <w:r w:rsidR="00AD4F34">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s, </w:t>
      </w:r>
      <w:r w:rsidR="0042740F">
        <w:rPr>
          <w:rFonts w:ascii="Garamond" w:hAnsi="Garamond"/>
          <w:sz w:val="24"/>
          <w:szCs w:val="24"/>
        </w:rPr>
        <w:t>while</w:t>
      </w:r>
      <w:r w:rsidR="0042740F" w:rsidRPr="00C32887">
        <w:rPr>
          <w:rFonts w:ascii="Garamond" w:hAnsi="Garamond"/>
          <w:sz w:val="24"/>
          <w:szCs w:val="24"/>
        </w:rPr>
        <w:t xml:space="preserve"> budget </w:t>
      </w:r>
      <w:r w:rsidRPr="00C32887">
        <w:rPr>
          <w:rFonts w:ascii="Garamond" w:hAnsi="Garamond"/>
          <w:sz w:val="24"/>
          <w:szCs w:val="24"/>
        </w:rPr>
        <w:t>execution at the level of sub-</w:t>
      </w:r>
      <w:r w:rsidR="00AD4F34">
        <w:rPr>
          <w:rFonts w:ascii="Garamond" w:hAnsi="Garamond"/>
          <w:sz w:val="24"/>
          <w:szCs w:val="24"/>
        </w:rPr>
        <w:t>p</w:t>
      </w:r>
      <w:r w:rsidR="00AB73F6" w:rsidRPr="00C32887">
        <w:rPr>
          <w:rFonts w:ascii="Garamond" w:hAnsi="Garamond"/>
          <w:sz w:val="24"/>
          <w:szCs w:val="24"/>
        </w:rPr>
        <w:t>rogramme</w:t>
      </w:r>
      <w:r w:rsidR="00AD4F34">
        <w:rPr>
          <w:rFonts w:ascii="Garamond" w:hAnsi="Garamond"/>
          <w:sz w:val="24"/>
          <w:szCs w:val="24"/>
        </w:rPr>
        <w:t>s and capital</w:t>
      </w:r>
      <w:r w:rsidRPr="00C32887">
        <w:rPr>
          <w:rFonts w:ascii="Garamond" w:hAnsi="Garamond"/>
          <w:sz w:val="24"/>
          <w:szCs w:val="24"/>
        </w:rPr>
        <w:t xml:space="preserve"> project</w:t>
      </w:r>
      <w:r w:rsidR="00AD4F34">
        <w:rPr>
          <w:rFonts w:ascii="Garamond" w:hAnsi="Garamond"/>
          <w:sz w:val="24"/>
          <w:szCs w:val="24"/>
        </w:rPr>
        <w:t>s is planned for the next year</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AD4F34">
      <w:pPr>
        <w:jc w:val="both"/>
        <w:rPr>
          <w:rFonts w:ascii="Garamond" w:hAnsi="Garamond"/>
          <w:sz w:val="24"/>
          <w:szCs w:val="24"/>
        </w:rPr>
      </w:pPr>
      <w:r w:rsidRPr="00C32887">
        <w:rPr>
          <w:rFonts w:ascii="Garamond" w:hAnsi="Garamond"/>
          <w:sz w:val="24"/>
          <w:szCs w:val="24"/>
        </w:rPr>
        <w:t xml:space="preserve">In addition, the first phase of the implementation of </w:t>
      </w:r>
      <w:r w:rsidR="00AD4F34">
        <w:rPr>
          <w:rFonts w:ascii="Garamond" w:hAnsi="Garamond"/>
          <w:sz w:val="24"/>
          <w:szCs w:val="24"/>
        </w:rPr>
        <w:t>p</w:t>
      </w:r>
      <w:r w:rsidR="00AB73F6" w:rsidRPr="00C32887">
        <w:rPr>
          <w:rFonts w:ascii="Garamond" w:hAnsi="Garamond"/>
          <w:sz w:val="24"/>
          <w:szCs w:val="24"/>
        </w:rPr>
        <w:t>rogramme</w:t>
      </w:r>
      <w:r w:rsidR="00AD4F34">
        <w:rPr>
          <w:rFonts w:ascii="Garamond" w:hAnsi="Garamond"/>
          <w:sz w:val="24"/>
          <w:szCs w:val="24"/>
        </w:rPr>
        <w:t>-based budget reforms</w:t>
      </w:r>
      <w:r w:rsidRPr="00C32887">
        <w:rPr>
          <w:rFonts w:ascii="Garamond" w:hAnsi="Garamond"/>
          <w:sz w:val="24"/>
          <w:szCs w:val="24"/>
        </w:rPr>
        <w:t xml:space="preserve"> was predominantly related to ex-ante budgeting, while the next phase will include ex-post reporting on budget implementation and performance. The following activities are planned for the next period:</w:t>
      </w:r>
    </w:p>
    <w:p w:rsidR="004D1343" w:rsidRPr="00C32887" w:rsidRDefault="004D1343" w:rsidP="004D1343">
      <w:pPr>
        <w:rPr>
          <w:rFonts w:ascii="Garamond" w:hAnsi="Garamond"/>
          <w:sz w:val="24"/>
          <w:szCs w:val="24"/>
        </w:rPr>
      </w:pPr>
    </w:p>
    <w:p w:rsidR="004D1343" w:rsidRPr="0051364A" w:rsidRDefault="004D1343" w:rsidP="0051364A">
      <w:pPr>
        <w:pStyle w:val="ListParagraph"/>
        <w:numPr>
          <w:ilvl w:val="0"/>
          <w:numId w:val="4"/>
        </w:numPr>
        <w:jc w:val="both"/>
        <w:rPr>
          <w:rFonts w:ascii="Garamond" w:hAnsi="Garamond"/>
          <w:sz w:val="24"/>
          <w:szCs w:val="24"/>
        </w:rPr>
      </w:pPr>
      <w:r w:rsidRPr="0051364A">
        <w:rPr>
          <w:rFonts w:ascii="Garamond" w:hAnsi="Garamond"/>
          <w:sz w:val="24"/>
          <w:szCs w:val="24"/>
        </w:rPr>
        <w:t xml:space="preserve">Implementation of the medium-term budgetary framework: training of spending units </w:t>
      </w:r>
      <w:r w:rsidR="00475B8F">
        <w:rPr>
          <w:rFonts w:ascii="Garamond" w:hAnsi="Garamond"/>
          <w:sz w:val="24"/>
          <w:szCs w:val="24"/>
        </w:rPr>
        <w:t>to draft</w:t>
      </w:r>
      <w:r w:rsidRPr="0051364A">
        <w:rPr>
          <w:rFonts w:ascii="Garamond" w:hAnsi="Garamond"/>
          <w:sz w:val="24"/>
          <w:szCs w:val="24"/>
        </w:rPr>
        <w:t xml:space="preserve"> proposals for new activities for the </w:t>
      </w:r>
      <w:r w:rsidR="0051364A">
        <w:rPr>
          <w:rFonts w:ascii="Garamond" w:hAnsi="Garamond"/>
          <w:sz w:val="24"/>
          <w:szCs w:val="24"/>
        </w:rPr>
        <w:t>medium-term budgetary framework</w:t>
      </w:r>
      <w:r w:rsidRPr="0051364A">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51364A" w:rsidRDefault="0051364A" w:rsidP="0051364A">
      <w:pPr>
        <w:pStyle w:val="ListParagraph"/>
        <w:numPr>
          <w:ilvl w:val="0"/>
          <w:numId w:val="4"/>
        </w:numPr>
        <w:jc w:val="both"/>
        <w:rPr>
          <w:rFonts w:ascii="Garamond" w:hAnsi="Garamond"/>
          <w:sz w:val="24"/>
          <w:szCs w:val="24"/>
        </w:rPr>
      </w:pPr>
      <w:r>
        <w:rPr>
          <w:rFonts w:ascii="Garamond" w:hAnsi="Garamond"/>
          <w:sz w:val="24"/>
          <w:szCs w:val="24"/>
        </w:rPr>
        <w:t>C</w:t>
      </w:r>
      <w:r w:rsidRPr="0051364A">
        <w:rPr>
          <w:rFonts w:ascii="Garamond" w:hAnsi="Garamond"/>
          <w:sz w:val="24"/>
          <w:szCs w:val="24"/>
        </w:rPr>
        <w:t xml:space="preserve">hange </w:t>
      </w:r>
      <w:r>
        <w:rPr>
          <w:rFonts w:ascii="Garamond" w:hAnsi="Garamond"/>
          <w:sz w:val="24"/>
          <w:szCs w:val="24"/>
        </w:rPr>
        <w:t xml:space="preserve">in the scope and content of the medium-term </w:t>
      </w:r>
      <w:r w:rsidRPr="0051364A">
        <w:rPr>
          <w:rFonts w:ascii="Garamond" w:hAnsi="Garamond"/>
          <w:sz w:val="24"/>
          <w:szCs w:val="24"/>
        </w:rPr>
        <w:t xml:space="preserve">budgetary framework </w:t>
      </w:r>
      <w:r>
        <w:rPr>
          <w:rFonts w:ascii="Garamond" w:hAnsi="Garamond"/>
          <w:sz w:val="24"/>
          <w:szCs w:val="24"/>
        </w:rPr>
        <w:t xml:space="preserve">in </w:t>
      </w:r>
      <w:r w:rsidR="004D1343" w:rsidRPr="0051364A">
        <w:rPr>
          <w:rFonts w:ascii="Garamond" w:hAnsi="Garamond"/>
          <w:sz w:val="24"/>
          <w:szCs w:val="24"/>
        </w:rPr>
        <w:t xml:space="preserve">the </w:t>
      </w:r>
      <w:r w:rsidR="00475B8F" w:rsidRPr="00475B8F">
        <w:rPr>
          <w:rFonts w:ascii="Garamond" w:hAnsi="Garamond"/>
          <w:sz w:val="24"/>
          <w:szCs w:val="24"/>
        </w:rPr>
        <w:t>Macroeconomic and Fiscal Policy Guidelines</w:t>
      </w:r>
      <w:r w:rsidR="004D1343" w:rsidRPr="0051364A">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51364A" w:rsidRDefault="00475B8F" w:rsidP="0051364A">
      <w:pPr>
        <w:pStyle w:val="ListParagraph"/>
        <w:numPr>
          <w:ilvl w:val="0"/>
          <w:numId w:val="4"/>
        </w:numPr>
        <w:jc w:val="both"/>
        <w:rPr>
          <w:rFonts w:ascii="Garamond" w:hAnsi="Garamond"/>
          <w:sz w:val="24"/>
          <w:szCs w:val="24"/>
        </w:rPr>
      </w:pPr>
      <w:r w:rsidRPr="0051364A">
        <w:rPr>
          <w:rFonts w:ascii="Garamond" w:hAnsi="Garamond"/>
          <w:sz w:val="24"/>
          <w:szCs w:val="24"/>
        </w:rPr>
        <w:t>Finali</w:t>
      </w:r>
      <w:r>
        <w:rPr>
          <w:rFonts w:ascii="Garamond" w:hAnsi="Garamond"/>
          <w:sz w:val="24"/>
          <w:szCs w:val="24"/>
        </w:rPr>
        <w:t>sation</w:t>
      </w:r>
      <w:r w:rsidRPr="0051364A">
        <w:rPr>
          <w:rFonts w:ascii="Garamond" w:hAnsi="Garamond"/>
          <w:sz w:val="24"/>
          <w:szCs w:val="24"/>
        </w:rPr>
        <w:t xml:space="preserve"> </w:t>
      </w:r>
      <w:r w:rsidR="004D1343" w:rsidRPr="0051364A">
        <w:rPr>
          <w:rFonts w:ascii="Garamond" w:hAnsi="Garamond"/>
          <w:sz w:val="24"/>
          <w:szCs w:val="24"/>
        </w:rPr>
        <w:t xml:space="preserve">of the </w:t>
      </w:r>
      <w:r w:rsidRPr="0051364A">
        <w:rPr>
          <w:rFonts w:ascii="Garamond" w:hAnsi="Garamond"/>
          <w:sz w:val="24"/>
          <w:szCs w:val="24"/>
        </w:rPr>
        <w:t xml:space="preserve">Capital Budget Manual </w:t>
      </w:r>
      <w:r w:rsidR="004D1343" w:rsidRPr="0051364A">
        <w:rPr>
          <w:rFonts w:ascii="Garamond" w:hAnsi="Garamond"/>
          <w:sz w:val="24"/>
          <w:szCs w:val="24"/>
        </w:rPr>
        <w:t>and organi</w:t>
      </w:r>
      <w:r w:rsidR="00F254DD">
        <w:rPr>
          <w:rFonts w:ascii="Garamond" w:hAnsi="Garamond"/>
          <w:sz w:val="24"/>
          <w:szCs w:val="24"/>
        </w:rPr>
        <w:t>sation</w:t>
      </w:r>
      <w:r w:rsidR="004D1343" w:rsidRPr="0051364A">
        <w:rPr>
          <w:rFonts w:ascii="Garamond" w:hAnsi="Garamond"/>
          <w:sz w:val="24"/>
          <w:szCs w:val="24"/>
        </w:rPr>
        <w:t xml:space="preserve"> of capital budget training for administrations responsible fo</w:t>
      </w:r>
      <w:r w:rsidR="0051364A">
        <w:rPr>
          <w:rFonts w:ascii="Garamond" w:hAnsi="Garamond"/>
          <w:sz w:val="24"/>
          <w:szCs w:val="24"/>
        </w:rPr>
        <w:t>r capital budget implementation</w:t>
      </w:r>
      <w:r w:rsidR="004D1343" w:rsidRPr="0051364A">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51364A" w:rsidRDefault="00475B8F" w:rsidP="0051364A">
      <w:pPr>
        <w:pStyle w:val="ListParagraph"/>
        <w:numPr>
          <w:ilvl w:val="0"/>
          <w:numId w:val="4"/>
        </w:numPr>
        <w:jc w:val="both"/>
        <w:rPr>
          <w:rFonts w:ascii="Garamond" w:hAnsi="Garamond"/>
          <w:sz w:val="24"/>
          <w:szCs w:val="24"/>
        </w:rPr>
      </w:pPr>
      <w:r>
        <w:rPr>
          <w:rFonts w:ascii="Garamond" w:hAnsi="Garamond"/>
          <w:sz w:val="24"/>
          <w:szCs w:val="24"/>
        </w:rPr>
        <w:t xml:space="preserve">Preparation </w:t>
      </w:r>
      <w:r w:rsidR="0051364A">
        <w:rPr>
          <w:rFonts w:ascii="Garamond" w:hAnsi="Garamond"/>
          <w:sz w:val="24"/>
          <w:szCs w:val="24"/>
        </w:rPr>
        <w:t xml:space="preserve">of the </w:t>
      </w:r>
      <w:r>
        <w:rPr>
          <w:rFonts w:ascii="Garamond" w:hAnsi="Garamond"/>
          <w:sz w:val="24"/>
          <w:szCs w:val="24"/>
        </w:rPr>
        <w:t>Manual</w:t>
      </w:r>
      <w:r w:rsidRPr="0051364A">
        <w:rPr>
          <w:rFonts w:ascii="Garamond" w:hAnsi="Garamond"/>
          <w:sz w:val="24"/>
          <w:szCs w:val="24"/>
        </w:rPr>
        <w:t xml:space="preserve"> </w:t>
      </w:r>
      <w:r w:rsidR="004D1343" w:rsidRPr="0051364A">
        <w:rPr>
          <w:rFonts w:ascii="Garamond" w:hAnsi="Garamond"/>
          <w:sz w:val="24"/>
          <w:szCs w:val="24"/>
        </w:rPr>
        <w:t xml:space="preserve">for </w:t>
      </w:r>
      <w:r w:rsidRPr="0051364A">
        <w:rPr>
          <w:rFonts w:ascii="Garamond" w:hAnsi="Garamond"/>
          <w:sz w:val="24"/>
          <w:szCs w:val="24"/>
        </w:rPr>
        <w:t xml:space="preserve">Monitoring </w:t>
      </w:r>
      <w:r w:rsidR="004D1343" w:rsidRPr="0051364A">
        <w:rPr>
          <w:rFonts w:ascii="Garamond" w:hAnsi="Garamond"/>
          <w:sz w:val="24"/>
          <w:szCs w:val="24"/>
        </w:rPr>
        <w:t xml:space="preserve">and </w:t>
      </w:r>
      <w:r w:rsidRPr="0051364A">
        <w:rPr>
          <w:rFonts w:ascii="Garamond" w:hAnsi="Garamond"/>
          <w:sz w:val="24"/>
          <w:szCs w:val="24"/>
        </w:rPr>
        <w:t xml:space="preserve">Reporting </w:t>
      </w:r>
      <w:r w:rsidR="004D1343" w:rsidRPr="0051364A">
        <w:rPr>
          <w:rFonts w:ascii="Garamond" w:hAnsi="Garamond"/>
          <w:sz w:val="24"/>
          <w:szCs w:val="24"/>
        </w:rPr>
        <w:t xml:space="preserve">on the </w:t>
      </w:r>
      <w:r w:rsidRPr="0051364A">
        <w:rPr>
          <w:rFonts w:ascii="Garamond" w:hAnsi="Garamond"/>
          <w:sz w:val="24"/>
          <w:szCs w:val="24"/>
        </w:rPr>
        <w:t xml:space="preserve">Impact </w:t>
      </w:r>
      <w:r w:rsidR="004D1343" w:rsidRPr="0051364A">
        <w:rPr>
          <w:rFonts w:ascii="Garamond" w:hAnsi="Garamond"/>
          <w:sz w:val="24"/>
          <w:szCs w:val="24"/>
        </w:rPr>
        <w:t xml:space="preserve">of the </w:t>
      </w:r>
      <w:r>
        <w:rPr>
          <w:rFonts w:ascii="Garamond" w:hAnsi="Garamond"/>
          <w:sz w:val="24"/>
          <w:szCs w:val="24"/>
        </w:rPr>
        <w:t>P</w:t>
      </w:r>
      <w:r w:rsidRPr="0051364A">
        <w:rPr>
          <w:rFonts w:ascii="Garamond" w:hAnsi="Garamond"/>
          <w:sz w:val="24"/>
          <w:szCs w:val="24"/>
        </w:rPr>
        <w:t>rogramme</w:t>
      </w:r>
      <w:r w:rsidR="0051364A">
        <w:rPr>
          <w:rFonts w:ascii="Garamond" w:hAnsi="Garamond"/>
          <w:sz w:val="24"/>
          <w:szCs w:val="24"/>
        </w:rPr>
        <w:t>-based</w:t>
      </w:r>
      <w:r w:rsidR="004D1343" w:rsidRPr="0051364A">
        <w:rPr>
          <w:rFonts w:ascii="Garamond" w:hAnsi="Garamond"/>
          <w:sz w:val="24"/>
          <w:szCs w:val="24"/>
        </w:rPr>
        <w:t xml:space="preserve"> </w:t>
      </w:r>
      <w:r w:rsidRPr="0051364A">
        <w:rPr>
          <w:rFonts w:ascii="Garamond" w:hAnsi="Garamond"/>
          <w:sz w:val="24"/>
          <w:szCs w:val="24"/>
        </w:rPr>
        <w:t>Budget</w:t>
      </w:r>
      <w:r w:rsidR="004D1343" w:rsidRPr="0051364A">
        <w:rPr>
          <w:rFonts w:ascii="Garamond" w:hAnsi="Garamond"/>
          <w:sz w:val="24"/>
          <w:szCs w:val="24"/>
        </w:rPr>
        <w:t xml:space="preserve">, which would during 2021 </w:t>
      </w:r>
      <w:r w:rsidRPr="0051364A">
        <w:rPr>
          <w:rFonts w:ascii="Garamond" w:hAnsi="Garamond"/>
          <w:sz w:val="24"/>
          <w:szCs w:val="24"/>
        </w:rPr>
        <w:t xml:space="preserve">be </w:t>
      </w:r>
      <w:r w:rsidR="004D1343" w:rsidRPr="0051364A">
        <w:rPr>
          <w:rFonts w:ascii="Garamond" w:hAnsi="Garamond"/>
          <w:sz w:val="24"/>
          <w:szCs w:val="24"/>
        </w:rPr>
        <w:t xml:space="preserve">used as the basis for training on reporting the </w:t>
      </w:r>
      <w:r w:rsidR="0051364A">
        <w:rPr>
          <w:rFonts w:ascii="Garamond" w:hAnsi="Garamond"/>
          <w:sz w:val="24"/>
          <w:szCs w:val="24"/>
        </w:rPr>
        <w:t>performance</w:t>
      </w:r>
      <w:r w:rsidR="004D1343" w:rsidRPr="0051364A">
        <w:rPr>
          <w:rFonts w:ascii="Garamond" w:hAnsi="Garamond"/>
          <w:sz w:val="24"/>
          <w:szCs w:val="24"/>
        </w:rPr>
        <w:t xml:space="preserve"> of spending units and defining performance indicators that will be </w:t>
      </w:r>
      <w:r w:rsidR="0051364A">
        <w:rPr>
          <w:rFonts w:ascii="Garamond" w:hAnsi="Garamond"/>
          <w:sz w:val="24"/>
          <w:szCs w:val="24"/>
        </w:rPr>
        <w:t>implemented</w:t>
      </w:r>
      <w:r w:rsidR="004D1343" w:rsidRPr="0051364A">
        <w:rPr>
          <w:rFonts w:ascii="Garamond" w:hAnsi="Garamond"/>
          <w:sz w:val="24"/>
          <w:szCs w:val="24"/>
        </w:rPr>
        <w:t xml:space="preserve"> </w:t>
      </w:r>
      <w:r>
        <w:rPr>
          <w:rFonts w:ascii="Garamond" w:hAnsi="Garamond"/>
          <w:sz w:val="24"/>
          <w:szCs w:val="24"/>
        </w:rPr>
        <w:t xml:space="preserve">in </w:t>
      </w:r>
      <w:r w:rsidRPr="0051364A">
        <w:rPr>
          <w:rFonts w:ascii="Garamond" w:hAnsi="Garamond"/>
          <w:sz w:val="24"/>
          <w:szCs w:val="24"/>
        </w:rPr>
        <w:t>2022</w:t>
      </w:r>
      <w:r>
        <w:rPr>
          <w:rFonts w:ascii="Garamond" w:hAnsi="Garamond"/>
          <w:sz w:val="24"/>
          <w:szCs w:val="24"/>
        </w:rPr>
        <w:t xml:space="preserve"> </w:t>
      </w:r>
      <w:r w:rsidR="004D1343" w:rsidRPr="0051364A">
        <w:rPr>
          <w:rFonts w:ascii="Garamond" w:hAnsi="Garamond"/>
          <w:sz w:val="24"/>
          <w:szCs w:val="24"/>
        </w:rPr>
        <w:t xml:space="preserve">budget;       </w:t>
      </w:r>
      <w:r>
        <w:rPr>
          <w:rFonts w:ascii="Garamond" w:hAnsi="Garamond"/>
          <w:sz w:val="24"/>
          <w:szCs w:val="24"/>
        </w:rPr>
        <w:t xml:space="preserve"> </w:t>
      </w:r>
      <w:r w:rsidR="004D1343" w:rsidRPr="0051364A">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51364A" w:rsidRDefault="00475B8F" w:rsidP="0051364A">
      <w:pPr>
        <w:pStyle w:val="ListParagraph"/>
        <w:numPr>
          <w:ilvl w:val="0"/>
          <w:numId w:val="4"/>
        </w:numPr>
        <w:jc w:val="both"/>
        <w:rPr>
          <w:rFonts w:ascii="Garamond" w:hAnsi="Garamond"/>
          <w:sz w:val="24"/>
          <w:szCs w:val="24"/>
        </w:rPr>
      </w:pPr>
      <w:r>
        <w:rPr>
          <w:rFonts w:ascii="Garamond" w:hAnsi="Garamond"/>
          <w:sz w:val="24"/>
          <w:szCs w:val="24"/>
        </w:rPr>
        <w:t>In-house t</w:t>
      </w:r>
      <w:r w:rsidR="0051364A">
        <w:rPr>
          <w:rFonts w:ascii="Garamond" w:hAnsi="Garamond"/>
          <w:sz w:val="24"/>
          <w:szCs w:val="24"/>
        </w:rPr>
        <w:t>raining</w:t>
      </w:r>
      <w:r w:rsidR="004D1343" w:rsidRPr="0051364A">
        <w:rPr>
          <w:rFonts w:ascii="Garamond" w:hAnsi="Garamond"/>
          <w:sz w:val="24"/>
          <w:szCs w:val="24"/>
        </w:rPr>
        <w:t xml:space="preserve"> </w:t>
      </w:r>
      <w:r>
        <w:rPr>
          <w:rFonts w:ascii="Garamond" w:hAnsi="Garamond"/>
          <w:sz w:val="24"/>
          <w:szCs w:val="24"/>
        </w:rPr>
        <w:t>for the</w:t>
      </w:r>
      <w:r w:rsidR="004D1343" w:rsidRPr="0051364A">
        <w:rPr>
          <w:rFonts w:ascii="Garamond" w:hAnsi="Garamond"/>
          <w:sz w:val="24"/>
          <w:szCs w:val="24"/>
        </w:rPr>
        <w:t xml:space="preserve"> spending units </w:t>
      </w:r>
      <w:r>
        <w:rPr>
          <w:rFonts w:ascii="Garamond" w:hAnsi="Garamond"/>
          <w:sz w:val="24"/>
          <w:szCs w:val="24"/>
        </w:rPr>
        <w:t>to formulate</w:t>
      </w:r>
      <w:r w:rsidR="004D1343" w:rsidRPr="0051364A">
        <w:rPr>
          <w:rFonts w:ascii="Garamond" w:hAnsi="Garamond"/>
          <w:sz w:val="24"/>
          <w:szCs w:val="24"/>
        </w:rPr>
        <w:t xml:space="preserve"> information - performance indicators </w:t>
      </w:r>
      <w:r w:rsidR="00605DEA">
        <w:rPr>
          <w:rFonts w:ascii="Garamond" w:hAnsi="Garamond"/>
          <w:sz w:val="24"/>
          <w:szCs w:val="24"/>
        </w:rPr>
        <w:t>-</w:t>
      </w:r>
      <w:r w:rsidR="004D1343" w:rsidRPr="0051364A">
        <w:rPr>
          <w:rFonts w:ascii="Garamond" w:hAnsi="Garamond"/>
          <w:sz w:val="24"/>
          <w:szCs w:val="24"/>
        </w:rPr>
        <w:t xml:space="preserve">in accordance with the Decision and the </w:t>
      </w:r>
      <w:r w:rsidRPr="0051364A">
        <w:rPr>
          <w:rFonts w:ascii="Garamond" w:hAnsi="Garamond"/>
          <w:sz w:val="24"/>
          <w:szCs w:val="24"/>
        </w:rPr>
        <w:t xml:space="preserve">Manual </w:t>
      </w:r>
      <w:r w:rsidR="004D1343" w:rsidRPr="0051364A">
        <w:rPr>
          <w:rFonts w:ascii="Garamond" w:hAnsi="Garamond"/>
          <w:sz w:val="24"/>
          <w:szCs w:val="24"/>
        </w:rPr>
        <w:t xml:space="preserve">governing the </w:t>
      </w:r>
      <w:r w:rsidR="0051364A">
        <w:rPr>
          <w:rFonts w:ascii="Garamond" w:hAnsi="Garamond"/>
          <w:sz w:val="24"/>
          <w:szCs w:val="24"/>
        </w:rPr>
        <w:t>p</w:t>
      </w:r>
      <w:r w:rsidR="00AB73F6" w:rsidRPr="0051364A">
        <w:rPr>
          <w:rFonts w:ascii="Garamond" w:hAnsi="Garamond"/>
          <w:sz w:val="24"/>
          <w:szCs w:val="24"/>
        </w:rPr>
        <w:t>rogramme</w:t>
      </w:r>
      <w:r>
        <w:rPr>
          <w:rFonts w:ascii="Garamond" w:hAnsi="Garamond"/>
          <w:sz w:val="24"/>
          <w:szCs w:val="24"/>
        </w:rPr>
        <w:t>-</w:t>
      </w:r>
      <w:r w:rsidR="00DE4350">
        <w:rPr>
          <w:rFonts w:ascii="Garamond" w:hAnsi="Garamond"/>
          <w:sz w:val="24"/>
          <w:szCs w:val="24"/>
        </w:rPr>
        <w:t xml:space="preserve">based </w:t>
      </w:r>
      <w:r w:rsidR="004D1343" w:rsidRPr="0051364A">
        <w:rPr>
          <w:rFonts w:ascii="Garamond" w:hAnsi="Garamond"/>
          <w:sz w:val="24"/>
          <w:szCs w:val="24"/>
        </w:rPr>
        <w:t>budget and their monitoring by the Ministr</w:t>
      </w:r>
      <w:r w:rsidR="0051364A">
        <w:rPr>
          <w:rFonts w:ascii="Garamond" w:hAnsi="Garamond"/>
          <w:sz w:val="24"/>
          <w:szCs w:val="24"/>
        </w:rPr>
        <w:t>y of Finance and Social Welfare</w:t>
      </w:r>
      <w:r w:rsidR="004D1343" w:rsidRPr="0051364A">
        <w:rPr>
          <w:rFonts w:ascii="Garamond" w:hAnsi="Garamond"/>
          <w:sz w:val="24"/>
          <w:szCs w:val="24"/>
        </w:rPr>
        <w:t xml:space="preserve">, as well </w:t>
      </w:r>
      <w:r w:rsidR="0051364A">
        <w:rPr>
          <w:rFonts w:ascii="Garamond" w:hAnsi="Garamond"/>
          <w:sz w:val="24"/>
          <w:szCs w:val="24"/>
        </w:rPr>
        <w:t>as gender-responsive indicators</w:t>
      </w:r>
      <w:r w:rsidR="004D1343" w:rsidRPr="0051364A">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51364A" w:rsidRDefault="00475B8F" w:rsidP="0051364A">
      <w:pPr>
        <w:pStyle w:val="ListParagraph"/>
        <w:numPr>
          <w:ilvl w:val="0"/>
          <w:numId w:val="4"/>
        </w:numPr>
        <w:rPr>
          <w:rFonts w:ascii="Garamond" w:hAnsi="Garamond"/>
          <w:sz w:val="24"/>
          <w:szCs w:val="24"/>
        </w:rPr>
      </w:pPr>
      <w:r w:rsidRPr="0051364A">
        <w:rPr>
          <w:rFonts w:ascii="Garamond" w:hAnsi="Garamond"/>
          <w:sz w:val="24"/>
          <w:szCs w:val="24"/>
        </w:rPr>
        <w:t xml:space="preserve">Drafting </w:t>
      </w:r>
      <w:r w:rsidR="004D1343" w:rsidRPr="0051364A">
        <w:rPr>
          <w:rFonts w:ascii="Garamond" w:hAnsi="Garamond"/>
          <w:sz w:val="24"/>
          <w:szCs w:val="24"/>
        </w:rPr>
        <w:t>the budget for citizens, in order to improve the vis</w:t>
      </w:r>
      <w:r w:rsidR="001A4676">
        <w:rPr>
          <w:rFonts w:ascii="Garamond" w:hAnsi="Garamond"/>
          <w:sz w:val="24"/>
          <w:szCs w:val="24"/>
        </w:rPr>
        <w:t>ibility</w:t>
      </w:r>
      <w:r w:rsidR="004D1343" w:rsidRPr="0051364A">
        <w:rPr>
          <w:rFonts w:ascii="Garamond" w:hAnsi="Garamond"/>
          <w:sz w:val="24"/>
          <w:szCs w:val="24"/>
        </w:rPr>
        <w:t xml:space="preserve"> of the budget.         </w:t>
      </w:r>
    </w:p>
    <w:p w:rsidR="004D1343" w:rsidRPr="00C32887" w:rsidRDefault="004D1343" w:rsidP="004D1343">
      <w:pPr>
        <w:rPr>
          <w:rFonts w:ascii="Garamond" w:hAnsi="Garamond"/>
          <w:sz w:val="24"/>
          <w:szCs w:val="24"/>
        </w:rPr>
      </w:pPr>
    </w:p>
    <w:p w:rsidR="004D1343" w:rsidRPr="00C32887" w:rsidRDefault="00C36D0A" w:rsidP="0051364A">
      <w:pPr>
        <w:jc w:val="both"/>
        <w:rPr>
          <w:rFonts w:ascii="Garamond" w:hAnsi="Garamond"/>
          <w:sz w:val="24"/>
          <w:szCs w:val="24"/>
        </w:rPr>
      </w:pPr>
      <w:r>
        <w:rPr>
          <w:rFonts w:ascii="Garamond" w:hAnsi="Garamond"/>
          <w:sz w:val="24"/>
          <w:szCs w:val="24"/>
        </w:rPr>
        <w:t xml:space="preserve">Preliminary </w:t>
      </w:r>
      <w:r w:rsidR="0051364A">
        <w:rPr>
          <w:rFonts w:ascii="Garamond" w:hAnsi="Garamond"/>
          <w:sz w:val="24"/>
          <w:szCs w:val="24"/>
        </w:rPr>
        <w:t xml:space="preserve">software </w:t>
      </w:r>
      <w:r w:rsidR="000B2E6C">
        <w:rPr>
          <w:rFonts w:ascii="Garamond" w:hAnsi="Garamond"/>
          <w:sz w:val="24"/>
          <w:szCs w:val="24"/>
        </w:rPr>
        <w:t>solution</w:t>
      </w:r>
      <w:r w:rsidR="004D1343" w:rsidRPr="00C32887">
        <w:rPr>
          <w:rFonts w:ascii="Garamond" w:hAnsi="Garamond"/>
          <w:sz w:val="24"/>
          <w:szCs w:val="24"/>
        </w:rPr>
        <w:t xml:space="preserve"> for </w:t>
      </w:r>
      <w:r w:rsidR="000B2E6C" w:rsidRPr="00C32887">
        <w:rPr>
          <w:rFonts w:ascii="Garamond" w:hAnsi="Garamond"/>
          <w:sz w:val="24"/>
          <w:szCs w:val="24"/>
        </w:rPr>
        <w:t xml:space="preserve">budget </w:t>
      </w:r>
      <w:r w:rsidR="004D1343" w:rsidRPr="00C32887">
        <w:rPr>
          <w:rFonts w:ascii="Garamond" w:hAnsi="Garamond"/>
          <w:sz w:val="24"/>
          <w:szCs w:val="24"/>
        </w:rPr>
        <w:t xml:space="preserve">planning </w:t>
      </w:r>
      <w:r>
        <w:rPr>
          <w:rFonts w:ascii="Garamond" w:hAnsi="Garamond"/>
          <w:sz w:val="24"/>
          <w:szCs w:val="24"/>
        </w:rPr>
        <w:t>was presented in September 2019</w:t>
      </w:r>
      <w:r w:rsidR="004D1343" w:rsidRPr="00C32887">
        <w:rPr>
          <w:rFonts w:ascii="Garamond" w:hAnsi="Garamond"/>
          <w:sz w:val="24"/>
          <w:szCs w:val="24"/>
        </w:rPr>
        <w:t xml:space="preserve">, after which rating </w:t>
      </w:r>
      <w:r>
        <w:rPr>
          <w:rFonts w:ascii="Garamond" w:hAnsi="Garamond"/>
          <w:sz w:val="24"/>
          <w:szCs w:val="24"/>
        </w:rPr>
        <w:t xml:space="preserve">of the </w:t>
      </w:r>
      <w:r w:rsidR="004D1343" w:rsidRPr="00C32887">
        <w:rPr>
          <w:rFonts w:ascii="Garamond" w:hAnsi="Garamond"/>
          <w:sz w:val="24"/>
          <w:szCs w:val="24"/>
        </w:rPr>
        <w:t xml:space="preserve">functionality and exchange </w:t>
      </w:r>
      <w:r w:rsidR="000B2E6C">
        <w:rPr>
          <w:rFonts w:ascii="Garamond" w:hAnsi="Garamond"/>
          <w:sz w:val="24"/>
          <w:szCs w:val="24"/>
        </w:rPr>
        <w:t xml:space="preserve">of </w:t>
      </w:r>
      <w:r w:rsidR="004D1343" w:rsidRPr="00C32887">
        <w:rPr>
          <w:rFonts w:ascii="Garamond" w:hAnsi="Garamond"/>
          <w:sz w:val="24"/>
          <w:szCs w:val="24"/>
        </w:rPr>
        <w:t xml:space="preserve">information </w:t>
      </w:r>
      <w:r>
        <w:rPr>
          <w:rFonts w:ascii="Garamond" w:hAnsi="Garamond"/>
          <w:sz w:val="24"/>
          <w:szCs w:val="24"/>
        </w:rPr>
        <w:t>was made</w:t>
      </w:r>
      <w:r w:rsidR="004D1343" w:rsidRPr="00C32887">
        <w:rPr>
          <w:rFonts w:ascii="Garamond" w:hAnsi="Garamond"/>
          <w:sz w:val="24"/>
          <w:szCs w:val="24"/>
        </w:rPr>
        <w:t xml:space="preserve"> in order to further improve </w:t>
      </w:r>
      <w:r>
        <w:rPr>
          <w:rFonts w:ascii="Garamond" w:hAnsi="Garamond"/>
          <w:sz w:val="24"/>
          <w:szCs w:val="24"/>
        </w:rPr>
        <w:t>it</w:t>
      </w:r>
      <w:r w:rsidR="000B2E6C">
        <w:rPr>
          <w:rFonts w:ascii="Garamond" w:hAnsi="Garamond"/>
          <w:sz w:val="24"/>
          <w:szCs w:val="24"/>
        </w:rPr>
        <w:t>. I</w:t>
      </w:r>
      <w:r>
        <w:rPr>
          <w:rFonts w:ascii="Garamond" w:hAnsi="Garamond"/>
          <w:sz w:val="24"/>
          <w:szCs w:val="24"/>
        </w:rPr>
        <w:t xml:space="preserve">n the first half of 2020 </w:t>
      </w:r>
      <w:r w:rsidRPr="00C32887">
        <w:rPr>
          <w:rFonts w:ascii="Garamond" w:hAnsi="Garamond"/>
          <w:sz w:val="24"/>
          <w:szCs w:val="24"/>
        </w:rPr>
        <w:t>training</w:t>
      </w:r>
      <w:r>
        <w:rPr>
          <w:rFonts w:ascii="Garamond" w:hAnsi="Garamond"/>
          <w:sz w:val="24"/>
          <w:szCs w:val="24"/>
        </w:rPr>
        <w:t xml:space="preserve">s </w:t>
      </w:r>
      <w:r w:rsidR="004D1343" w:rsidRPr="00C32887">
        <w:rPr>
          <w:rFonts w:ascii="Garamond" w:hAnsi="Garamond"/>
          <w:sz w:val="24"/>
          <w:szCs w:val="24"/>
        </w:rPr>
        <w:t xml:space="preserve">planned for representatives of the Ministries of Finance and Social Welfare and all </w:t>
      </w:r>
      <w:r>
        <w:rPr>
          <w:rFonts w:ascii="Garamond" w:hAnsi="Garamond"/>
          <w:sz w:val="24"/>
          <w:szCs w:val="24"/>
        </w:rPr>
        <w:t>spending</w:t>
      </w:r>
      <w:r w:rsidR="004D1343" w:rsidRPr="00C32887">
        <w:rPr>
          <w:rFonts w:ascii="Garamond" w:hAnsi="Garamond"/>
          <w:sz w:val="24"/>
          <w:szCs w:val="24"/>
        </w:rPr>
        <w:t xml:space="preserve"> units </w:t>
      </w:r>
      <w:r>
        <w:rPr>
          <w:rFonts w:ascii="Garamond" w:hAnsi="Garamond"/>
          <w:sz w:val="24"/>
          <w:szCs w:val="24"/>
        </w:rPr>
        <w:t>were</w:t>
      </w:r>
      <w:r w:rsidR="004D1343" w:rsidRPr="00C32887">
        <w:rPr>
          <w:rFonts w:ascii="Garamond" w:hAnsi="Garamond"/>
          <w:sz w:val="24"/>
          <w:szCs w:val="24"/>
        </w:rPr>
        <w:t xml:space="preserve"> successfully implemented, </w:t>
      </w:r>
      <w:r w:rsidR="000B2E6C">
        <w:rPr>
          <w:rFonts w:ascii="Garamond" w:hAnsi="Garamond"/>
          <w:sz w:val="24"/>
          <w:szCs w:val="24"/>
        </w:rPr>
        <w:t>therefore,</w:t>
      </w:r>
      <w:r w:rsidR="004D1343" w:rsidRPr="00C32887">
        <w:rPr>
          <w:rFonts w:ascii="Garamond" w:hAnsi="Garamond"/>
          <w:sz w:val="24"/>
          <w:szCs w:val="24"/>
        </w:rPr>
        <w:t xml:space="preserve"> </w:t>
      </w:r>
      <w:r w:rsidR="000B2E6C">
        <w:rPr>
          <w:rFonts w:ascii="Garamond" w:hAnsi="Garamond"/>
          <w:sz w:val="24"/>
          <w:szCs w:val="24"/>
        </w:rPr>
        <w:t>requests</w:t>
      </w:r>
      <w:r w:rsidR="004D1343" w:rsidRPr="00C32887">
        <w:rPr>
          <w:rFonts w:ascii="Garamond" w:hAnsi="Garamond"/>
          <w:sz w:val="24"/>
          <w:szCs w:val="24"/>
        </w:rPr>
        <w:t xml:space="preserve"> for the </w:t>
      </w:r>
      <w:r w:rsidR="000B2E6C" w:rsidRPr="00C32887">
        <w:rPr>
          <w:rFonts w:ascii="Garamond" w:hAnsi="Garamond"/>
          <w:sz w:val="24"/>
          <w:szCs w:val="24"/>
        </w:rPr>
        <w:t xml:space="preserve">2021 </w:t>
      </w:r>
      <w:r w:rsidR="004D1343" w:rsidRPr="00C32887">
        <w:rPr>
          <w:rFonts w:ascii="Garamond" w:hAnsi="Garamond"/>
          <w:sz w:val="24"/>
          <w:szCs w:val="24"/>
        </w:rPr>
        <w:t xml:space="preserve">budget were filled in using the new </w:t>
      </w:r>
      <w:r w:rsidR="000B2E6C">
        <w:rPr>
          <w:rFonts w:ascii="Garamond" w:hAnsi="Garamond"/>
          <w:sz w:val="24"/>
          <w:szCs w:val="24"/>
        </w:rPr>
        <w:t>budget planning</w:t>
      </w:r>
      <w:r w:rsidR="000B2E6C" w:rsidRPr="00C32887">
        <w:rPr>
          <w:rFonts w:ascii="Garamond" w:hAnsi="Garamond"/>
          <w:sz w:val="24"/>
          <w:szCs w:val="24"/>
        </w:rPr>
        <w:t xml:space="preserve"> </w:t>
      </w:r>
      <w:r w:rsidR="004D1343" w:rsidRPr="00C32887">
        <w:rPr>
          <w:rFonts w:ascii="Garamond" w:hAnsi="Garamond"/>
          <w:sz w:val="24"/>
          <w:szCs w:val="24"/>
        </w:rPr>
        <w:t>IT system</w:t>
      </w:r>
      <w:r>
        <w:rPr>
          <w:rFonts w:ascii="Garamond" w:hAnsi="Garamond"/>
          <w:sz w:val="24"/>
          <w:szCs w:val="24"/>
        </w:rPr>
        <w:t>. In this regard</w:t>
      </w:r>
      <w:r w:rsidR="004D1343" w:rsidRPr="00C32887">
        <w:rPr>
          <w:rFonts w:ascii="Garamond" w:hAnsi="Garamond"/>
          <w:sz w:val="24"/>
          <w:szCs w:val="24"/>
        </w:rPr>
        <w:t>, it can be considered that the firs</w:t>
      </w:r>
      <w:r>
        <w:rPr>
          <w:rFonts w:ascii="Garamond" w:hAnsi="Garamond"/>
          <w:sz w:val="24"/>
          <w:szCs w:val="24"/>
        </w:rPr>
        <w:t>t phase of system development (</w:t>
      </w:r>
      <w:r w:rsidR="004D1343" w:rsidRPr="00C32887">
        <w:rPr>
          <w:rFonts w:ascii="Garamond" w:hAnsi="Garamond"/>
          <w:sz w:val="24"/>
          <w:szCs w:val="24"/>
        </w:rPr>
        <w:t xml:space="preserve">electronic filling of budget </w:t>
      </w:r>
      <w:r w:rsidR="000B2E6C">
        <w:rPr>
          <w:rFonts w:ascii="Garamond" w:hAnsi="Garamond"/>
          <w:sz w:val="24"/>
          <w:szCs w:val="24"/>
        </w:rPr>
        <w:t>requests</w:t>
      </w:r>
      <w:r w:rsidR="004D1343" w:rsidRPr="00C32887">
        <w:rPr>
          <w:rFonts w:ascii="Garamond" w:hAnsi="Garamond"/>
          <w:sz w:val="24"/>
          <w:szCs w:val="24"/>
        </w:rPr>
        <w:t xml:space="preserve"> by spending units </w:t>
      </w:r>
      <w:r w:rsidR="000B2E6C">
        <w:rPr>
          <w:rFonts w:ascii="Garamond" w:hAnsi="Garamond"/>
          <w:sz w:val="24"/>
          <w:szCs w:val="24"/>
        </w:rPr>
        <w:t>in</w:t>
      </w:r>
      <w:r w:rsidR="004D1343" w:rsidRPr="00C32887">
        <w:rPr>
          <w:rFonts w:ascii="Garamond" w:hAnsi="Garamond"/>
          <w:sz w:val="24"/>
          <w:szCs w:val="24"/>
        </w:rPr>
        <w:t xml:space="preserve"> all elements of the </w:t>
      </w:r>
      <w:r>
        <w:rPr>
          <w:rFonts w:ascii="Garamond" w:hAnsi="Garamond"/>
          <w:sz w:val="24"/>
          <w:szCs w:val="24"/>
        </w:rPr>
        <w:t>p</w:t>
      </w:r>
      <w:r w:rsidR="00AB73F6" w:rsidRPr="00C32887">
        <w:rPr>
          <w:rFonts w:ascii="Garamond" w:hAnsi="Garamond"/>
          <w:sz w:val="24"/>
          <w:szCs w:val="24"/>
        </w:rPr>
        <w:t>rogramme</w:t>
      </w:r>
      <w:r w:rsidR="000B2E6C">
        <w:rPr>
          <w:rFonts w:ascii="Garamond" w:hAnsi="Garamond"/>
          <w:sz w:val="24"/>
          <w:szCs w:val="24"/>
        </w:rPr>
        <w:t>-based</w:t>
      </w:r>
      <w:r w:rsidR="004D1343" w:rsidRPr="00C32887">
        <w:rPr>
          <w:rFonts w:ascii="Garamond" w:hAnsi="Garamond"/>
          <w:sz w:val="24"/>
          <w:szCs w:val="24"/>
        </w:rPr>
        <w:t xml:space="preserve"> budget, data entry for further work on budget planning and their implementation in </w:t>
      </w:r>
      <w:r w:rsidR="000B2E6C">
        <w:rPr>
          <w:rFonts w:ascii="Garamond" w:hAnsi="Garamond"/>
          <w:sz w:val="24"/>
          <w:szCs w:val="24"/>
        </w:rPr>
        <w:t xml:space="preserve">the </w:t>
      </w:r>
      <w:r w:rsidR="004D1343" w:rsidRPr="00C32887">
        <w:rPr>
          <w:rFonts w:ascii="Garamond" w:hAnsi="Garamond"/>
          <w:sz w:val="24"/>
          <w:szCs w:val="24"/>
        </w:rPr>
        <w:t xml:space="preserve">form </w:t>
      </w:r>
      <w:r>
        <w:rPr>
          <w:rFonts w:ascii="Garamond" w:hAnsi="Garamond"/>
          <w:sz w:val="24"/>
          <w:szCs w:val="24"/>
        </w:rPr>
        <w:t>prescribed by the l</w:t>
      </w:r>
      <w:r w:rsidR="004D1343" w:rsidRPr="00C32887">
        <w:rPr>
          <w:rFonts w:ascii="Garamond" w:hAnsi="Garamond"/>
          <w:sz w:val="24"/>
          <w:szCs w:val="24"/>
        </w:rPr>
        <w:t>aw, for consideration</w:t>
      </w:r>
      <w:r>
        <w:rPr>
          <w:rFonts w:ascii="Garamond" w:hAnsi="Garamond"/>
          <w:sz w:val="24"/>
          <w:szCs w:val="24"/>
        </w:rPr>
        <w:t xml:space="preserve"> in the parliamentary procedure</w:t>
      </w:r>
      <w:r w:rsidR="004D1343" w:rsidRPr="00C32887">
        <w:rPr>
          <w:rFonts w:ascii="Garamond" w:hAnsi="Garamond"/>
          <w:sz w:val="24"/>
          <w:szCs w:val="24"/>
        </w:rPr>
        <w:t xml:space="preserve">) was implemented, after which during 2021 further activities will be carried out </w:t>
      </w:r>
      <w:r w:rsidR="000B2E6C">
        <w:rPr>
          <w:rFonts w:ascii="Garamond" w:hAnsi="Garamond"/>
          <w:sz w:val="24"/>
          <w:szCs w:val="24"/>
        </w:rPr>
        <w:t xml:space="preserve">to develop </w:t>
      </w:r>
      <w:r w:rsidR="004D1343" w:rsidRPr="00C32887">
        <w:rPr>
          <w:rFonts w:ascii="Garamond" w:hAnsi="Garamond"/>
          <w:sz w:val="24"/>
          <w:szCs w:val="24"/>
        </w:rPr>
        <w:t>IT systems</w:t>
      </w:r>
      <w:r w:rsidR="000B2E6C">
        <w:rPr>
          <w:rFonts w:ascii="Garamond" w:hAnsi="Garamond"/>
          <w:sz w:val="24"/>
          <w:szCs w:val="24"/>
        </w:rPr>
        <w:t>, which</w:t>
      </w:r>
      <w:r w:rsidR="004D1343" w:rsidRPr="00C32887">
        <w:rPr>
          <w:rFonts w:ascii="Garamond" w:hAnsi="Garamond"/>
          <w:sz w:val="24"/>
          <w:szCs w:val="24"/>
        </w:rPr>
        <w:t xml:space="preserve"> will lead to the full </w:t>
      </w:r>
      <w:r>
        <w:rPr>
          <w:rFonts w:ascii="Garamond" w:hAnsi="Garamond"/>
          <w:sz w:val="24"/>
          <w:szCs w:val="24"/>
        </w:rPr>
        <w:t>implementation</w:t>
      </w:r>
      <w:r w:rsidR="004D1343" w:rsidRPr="00C32887">
        <w:rPr>
          <w:rFonts w:ascii="Garamond" w:hAnsi="Garamond"/>
          <w:sz w:val="24"/>
          <w:szCs w:val="24"/>
        </w:rPr>
        <w:t xml:space="preserve"> of software </w:t>
      </w:r>
      <w:r w:rsidR="00DD41DF">
        <w:rPr>
          <w:rFonts w:ascii="Garamond" w:hAnsi="Garamond"/>
          <w:sz w:val="24"/>
          <w:szCs w:val="24"/>
        </w:rPr>
        <w:t>for</w:t>
      </w:r>
      <w:r w:rsidR="004D1343" w:rsidRPr="00C32887">
        <w:rPr>
          <w:rFonts w:ascii="Garamond" w:hAnsi="Garamond"/>
          <w:sz w:val="24"/>
          <w:szCs w:val="24"/>
        </w:rPr>
        <w:t xml:space="preserve"> the </w:t>
      </w:r>
      <w:r w:rsidR="00DD41DF">
        <w:rPr>
          <w:rFonts w:ascii="Garamond" w:hAnsi="Garamond"/>
          <w:sz w:val="24"/>
          <w:szCs w:val="24"/>
        </w:rPr>
        <w:t>budget</w:t>
      </w:r>
      <w:r w:rsidR="00DD41DF" w:rsidRPr="00C32887">
        <w:rPr>
          <w:rFonts w:ascii="Garamond" w:hAnsi="Garamond"/>
          <w:sz w:val="24"/>
          <w:szCs w:val="24"/>
        </w:rPr>
        <w:t xml:space="preserve"> </w:t>
      </w:r>
      <w:r w:rsidR="00DD41DF">
        <w:rPr>
          <w:rFonts w:ascii="Garamond" w:hAnsi="Garamond"/>
          <w:sz w:val="24"/>
          <w:szCs w:val="24"/>
        </w:rPr>
        <w:t xml:space="preserve">planning and execution, </w:t>
      </w:r>
      <w:r w:rsidR="004D1343" w:rsidRPr="00C32887">
        <w:rPr>
          <w:rFonts w:ascii="Garamond" w:hAnsi="Garamond"/>
          <w:sz w:val="24"/>
          <w:szCs w:val="24"/>
        </w:rPr>
        <w:t xml:space="preserve">and reporting. </w:t>
      </w:r>
      <w:r w:rsidR="000B2E6C">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1A4676" w:rsidP="00C36D0A">
      <w:pPr>
        <w:jc w:val="both"/>
        <w:rPr>
          <w:rFonts w:ascii="Garamond" w:hAnsi="Garamond"/>
          <w:sz w:val="24"/>
          <w:szCs w:val="24"/>
        </w:rPr>
      </w:pPr>
      <w:r>
        <w:rPr>
          <w:rFonts w:ascii="Garamond" w:hAnsi="Garamond"/>
          <w:sz w:val="24"/>
          <w:szCs w:val="24"/>
        </w:rPr>
        <w:t>Under</w:t>
      </w:r>
      <w:r w:rsidR="00C36D0A">
        <w:rPr>
          <w:rFonts w:ascii="Garamond" w:hAnsi="Garamond"/>
          <w:sz w:val="24"/>
          <w:szCs w:val="24"/>
        </w:rPr>
        <w:t xml:space="preserve"> the IPA project </w:t>
      </w:r>
      <w:r w:rsidR="004D1343" w:rsidRPr="00C32887">
        <w:rPr>
          <w:rFonts w:ascii="Garamond" w:hAnsi="Garamond"/>
          <w:sz w:val="24"/>
          <w:szCs w:val="24"/>
        </w:rPr>
        <w:t xml:space="preserve">Development of IT </w:t>
      </w:r>
      <w:r w:rsidR="00DD41DF">
        <w:rPr>
          <w:rFonts w:ascii="Garamond" w:hAnsi="Garamond"/>
          <w:sz w:val="24"/>
          <w:szCs w:val="24"/>
        </w:rPr>
        <w:t xml:space="preserve">Payroll </w:t>
      </w:r>
      <w:r w:rsidR="00DD41DF" w:rsidRPr="00C32887">
        <w:rPr>
          <w:rFonts w:ascii="Garamond" w:hAnsi="Garamond"/>
          <w:sz w:val="24"/>
          <w:szCs w:val="24"/>
        </w:rPr>
        <w:t>System</w:t>
      </w:r>
      <w:r w:rsidR="004D1343" w:rsidRPr="00C32887">
        <w:rPr>
          <w:rFonts w:ascii="Garamond" w:hAnsi="Garamond"/>
          <w:sz w:val="24"/>
          <w:szCs w:val="24"/>
        </w:rPr>
        <w:t xml:space="preserve">, relevant </w:t>
      </w:r>
      <w:r w:rsidR="00FD4C07">
        <w:rPr>
          <w:rFonts w:ascii="Garamond" w:hAnsi="Garamond"/>
          <w:sz w:val="24"/>
          <w:szCs w:val="24"/>
        </w:rPr>
        <w:t>laws and regulations were analys</w:t>
      </w:r>
      <w:r w:rsidR="004D1343" w:rsidRPr="00C32887">
        <w:rPr>
          <w:rFonts w:ascii="Garamond" w:hAnsi="Garamond"/>
          <w:sz w:val="24"/>
          <w:szCs w:val="24"/>
        </w:rPr>
        <w:t>ed</w:t>
      </w:r>
      <w:r w:rsidR="00DD41DF" w:rsidRPr="00DD41DF">
        <w:rPr>
          <w:rFonts w:ascii="Garamond" w:hAnsi="Garamond"/>
          <w:sz w:val="24"/>
          <w:szCs w:val="24"/>
        </w:rPr>
        <w:t xml:space="preserve"> </w:t>
      </w:r>
      <w:r w:rsidR="00DD41DF">
        <w:rPr>
          <w:rFonts w:ascii="Garamond" w:hAnsi="Garamond"/>
          <w:sz w:val="24"/>
          <w:szCs w:val="24"/>
        </w:rPr>
        <w:t>as an initial step</w:t>
      </w:r>
      <w:r w:rsidR="004D1343" w:rsidRPr="00C32887">
        <w:rPr>
          <w:rFonts w:ascii="Garamond" w:hAnsi="Garamond"/>
          <w:sz w:val="24"/>
          <w:szCs w:val="24"/>
        </w:rPr>
        <w:t>, data collection from institutions was conducted, numerous meetings were held with representatives of the Human Resources Administration, Mi</w:t>
      </w:r>
      <w:r w:rsidR="000C5292">
        <w:rPr>
          <w:rFonts w:ascii="Garamond" w:hAnsi="Garamond"/>
          <w:sz w:val="24"/>
          <w:szCs w:val="24"/>
        </w:rPr>
        <w:t>nistry of Public Administration</w:t>
      </w:r>
      <w:r w:rsidR="004D1343" w:rsidRPr="00C32887">
        <w:rPr>
          <w:rFonts w:ascii="Garamond" w:hAnsi="Garamond"/>
          <w:sz w:val="24"/>
          <w:szCs w:val="24"/>
        </w:rPr>
        <w:t>, Digital Society and Media</w:t>
      </w:r>
      <w:r w:rsidR="00DD41DF">
        <w:rPr>
          <w:rFonts w:ascii="Garamond" w:hAnsi="Garamond"/>
          <w:sz w:val="24"/>
          <w:szCs w:val="24"/>
        </w:rPr>
        <w:t>,</w:t>
      </w:r>
      <w:r w:rsidR="004D1343" w:rsidRPr="00C32887">
        <w:rPr>
          <w:rFonts w:ascii="Garamond" w:hAnsi="Garamond"/>
          <w:sz w:val="24"/>
          <w:szCs w:val="24"/>
        </w:rPr>
        <w:t xml:space="preserve"> and other ministries and spending units.</w:t>
      </w:r>
    </w:p>
    <w:p w:rsidR="004D1343" w:rsidRPr="00C32887" w:rsidRDefault="004D1343" w:rsidP="004D1343">
      <w:pPr>
        <w:rPr>
          <w:rFonts w:ascii="Garamond" w:hAnsi="Garamond"/>
          <w:sz w:val="24"/>
          <w:szCs w:val="24"/>
        </w:rPr>
      </w:pPr>
    </w:p>
    <w:p w:rsidR="004D1343" w:rsidRDefault="004D1343" w:rsidP="000C5292">
      <w:pPr>
        <w:jc w:val="both"/>
        <w:rPr>
          <w:rFonts w:ascii="Garamond" w:hAnsi="Garamond"/>
          <w:sz w:val="24"/>
          <w:szCs w:val="24"/>
        </w:rPr>
      </w:pPr>
      <w:r w:rsidRPr="00C32887">
        <w:rPr>
          <w:rFonts w:ascii="Garamond" w:hAnsi="Garamond"/>
          <w:sz w:val="24"/>
          <w:szCs w:val="24"/>
        </w:rPr>
        <w:t>According to the obligations stipulated</w:t>
      </w:r>
      <w:r w:rsidR="000C5292">
        <w:rPr>
          <w:rFonts w:ascii="Garamond" w:hAnsi="Garamond"/>
          <w:sz w:val="24"/>
          <w:szCs w:val="24"/>
        </w:rPr>
        <w:t xml:space="preserve"> </w:t>
      </w:r>
      <w:r w:rsidR="00FD4C07">
        <w:rPr>
          <w:rFonts w:ascii="Garamond" w:hAnsi="Garamond"/>
          <w:sz w:val="24"/>
          <w:szCs w:val="24"/>
        </w:rPr>
        <w:t>under</w:t>
      </w:r>
      <w:r w:rsidR="000C5292">
        <w:rPr>
          <w:rFonts w:ascii="Garamond" w:hAnsi="Garamond"/>
          <w:sz w:val="24"/>
          <w:szCs w:val="24"/>
        </w:rPr>
        <w:t xml:space="preserve"> the contract, during 2019</w:t>
      </w:r>
      <w:r w:rsidR="00FD4C07">
        <w:rPr>
          <w:rFonts w:ascii="Garamond" w:hAnsi="Garamond"/>
          <w:sz w:val="24"/>
          <w:szCs w:val="24"/>
        </w:rPr>
        <w:t>,</w:t>
      </w:r>
      <w:r w:rsidRPr="00C32887">
        <w:rPr>
          <w:rFonts w:ascii="Garamond" w:hAnsi="Garamond"/>
          <w:sz w:val="24"/>
          <w:szCs w:val="24"/>
        </w:rPr>
        <w:t xml:space="preserve"> </w:t>
      </w:r>
      <w:r w:rsidR="000C5292">
        <w:rPr>
          <w:rFonts w:ascii="Garamond" w:hAnsi="Garamond"/>
          <w:sz w:val="24"/>
          <w:szCs w:val="24"/>
        </w:rPr>
        <w:t>objectives of the</w:t>
      </w:r>
      <w:r w:rsidRPr="00C32887">
        <w:rPr>
          <w:rFonts w:ascii="Garamond" w:hAnsi="Garamond"/>
          <w:sz w:val="24"/>
          <w:szCs w:val="24"/>
        </w:rPr>
        <w:t xml:space="preserve"> first year of the contract </w:t>
      </w:r>
      <w:r w:rsidR="000C5292">
        <w:rPr>
          <w:rFonts w:ascii="Garamond" w:hAnsi="Garamond"/>
          <w:sz w:val="24"/>
          <w:szCs w:val="24"/>
        </w:rPr>
        <w:t xml:space="preserve">execution </w:t>
      </w:r>
      <w:r w:rsidRPr="00C32887">
        <w:rPr>
          <w:rFonts w:ascii="Garamond" w:hAnsi="Garamond"/>
          <w:sz w:val="24"/>
          <w:szCs w:val="24"/>
        </w:rPr>
        <w:t xml:space="preserve">(until </w:t>
      </w:r>
      <w:r w:rsidR="000C5292">
        <w:rPr>
          <w:rFonts w:ascii="Garamond" w:hAnsi="Garamond"/>
          <w:sz w:val="24"/>
          <w:szCs w:val="24"/>
        </w:rPr>
        <w:t xml:space="preserve">09 January </w:t>
      </w:r>
      <w:r w:rsidRPr="00C32887">
        <w:rPr>
          <w:rFonts w:ascii="Garamond" w:hAnsi="Garamond"/>
          <w:sz w:val="24"/>
          <w:szCs w:val="24"/>
        </w:rPr>
        <w:t>2020)</w:t>
      </w:r>
      <w:r w:rsidR="000C5292">
        <w:rPr>
          <w:rFonts w:ascii="Garamond" w:hAnsi="Garamond"/>
          <w:sz w:val="24"/>
          <w:szCs w:val="24"/>
        </w:rPr>
        <w:t>, technical</w:t>
      </w:r>
      <w:r w:rsidRPr="00C32887">
        <w:rPr>
          <w:rFonts w:ascii="Garamond" w:hAnsi="Garamond"/>
          <w:sz w:val="24"/>
          <w:szCs w:val="24"/>
        </w:rPr>
        <w:t xml:space="preserve"> delive</w:t>
      </w:r>
      <w:r w:rsidR="000C5292">
        <w:rPr>
          <w:rFonts w:ascii="Garamond" w:hAnsi="Garamond"/>
          <w:sz w:val="24"/>
          <w:szCs w:val="24"/>
        </w:rPr>
        <w:t>rables</w:t>
      </w:r>
      <w:r w:rsidRPr="00C32887">
        <w:rPr>
          <w:rFonts w:ascii="Garamond" w:hAnsi="Garamond"/>
          <w:sz w:val="24"/>
          <w:szCs w:val="24"/>
        </w:rPr>
        <w:t xml:space="preserve"> in the form of documents adopted and the estimated level of fulfillment </w:t>
      </w:r>
      <w:r w:rsidR="000C5292">
        <w:rPr>
          <w:rFonts w:ascii="Garamond" w:hAnsi="Garamond"/>
          <w:sz w:val="24"/>
          <w:szCs w:val="24"/>
        </w:rPr>
        <w:t xml:space="preserve">of </w:t>
      </w:r>
      <w:r w:rsidRPr="00C32887">
        <w:rPr>
          <w:rFonts w:ascii="Garamond" w:hAnsi="Garamond"/>
          <w:sz w:val="24"/>
          <w:szCs w:val="24"/>
        </w:rPr>
        <w:t>results in percentages based on the assessment of the user</w:t>
      </w:r>
      <w:r w:rsidR="000C5292">
        <w:rPr>
          <w:rFonts w:ascii="Garamond" w:hAnsi="Garamond"/>
          <w:sz w:val="24"/>
          <w:szCs w:val="24"/>
        </w:rPr>
        <w:t>s, are shown in the table below</w:t>
      </w:r>
      <w:r w:rsidRPr="00C32887">
        <w:rPr>
          <w:rFonts w:ascii="Garamond" w:hAnsi="Garamond"/>
          <w:sz w:val="24"/>
          <w:szCs w:val="24"/>
        </w:rPr>
        <w:t>:</w:t>
      </w:r>
    </w:p>
    <w:p w:rsidR="00DD41DF" w:rsidRPr="00C32887" w:rsidRDefault="00DD41DF" w:rsidP="000C5292">
      <w:pPr>
        <w:jc w:val="both"/>
        <w:rPr>
          <w:rFonts w:ascii="Garamond" w:hAnsi="Garamond"/>
          <w:sz w:val="24"/>
          <w:szCs w:val="24"/>
        </w:rPr>
      </w:pPr>
    </w:p>
    <w:tbl>
      <w:tblPr>
        <w:tblW w:w="5000"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57" w:type="dxa"/>
          <w:bottom w:w="57" w:type="dxa"/>
          <w:right w:w="57" w:type="dxa"/>
        </w:tblCellMar>
        <w:tblLook w:val="04A0"/>
      </w:tblPr>
      <w:tblGrid>
        <w:gridCol w:w="3236"/>
        <w:gridCol w:w="1889"/>
        <w:gridCol w:w="2666"/>
        <w:gridCol w:w="1683"/>
      </w:tblGrid>
      <w:tr w:rsidR="000C5292" w:rsidRPr="00DD41DF" w:rsidTr="000C5292">
        <w:trPr>
          <w:jc w:val="center"/>
        </w:trPr>
        <w:tc>
          <w:tcPr>
            <w:tcW w:w="1708" w:type="pct"/>
            <w:vAlign w:val="center"/>
            <w:hideMark/>
          </w:tcPr>
          <w:p w:rsidR="000C5292" w:rsidRPr="00DD41DF" w:rsidRDefault="000C5292" w:rsidP="000C5292">
            <w:pPr>
              <w:rPr>
                <w:rFonts w:ascii="Garamond" w:eastAsia="Times New Roman" w:hAnsi="Garamond" w:cs="Calibri Light"/>
                <w:b/>
                <w:sz w:val="18"/>
                <w:szCs w:val="18"/>
                <w:lang w:eastAsia="hu-HU" w:bidi="ar-SA"/>
              </w:rPr>
            </w:pPr>
            <w:r w:rsidRPr="00DD41DF">
              <w:rPr>
                <w:rFonts w:ascii="Garamond" w:eastAsia="Times New Roman" w:hAnsi="Garamond" w:cs="Calibri Light"/>
                <w:b/>
                <w:sz w:val="18"/>
                <w:szCs w:val="18"/>
                <w:lang w:eastAsia="hu-HU" w:bidi="ar-SA"/>
              </w:rPr>
              <w:t>Results / output data</w:t>
            </w:r>
          </w:p>
          <w:p w:rsidR="000C5292" w:rsidRPr="00DD41DF" w:rsidRDefault="000C5292" w:rsidP="000C5292">
            <w:pPr>
              <w:rPr>
                <w:rFonts w:ascii="Garamond" w:eastAsia="Times New Roman" w:hAnsi="Garamond" w:cs="Calibri Light"/>
                <w:b/>
                <w:sz w:val="18"/>
                <w:szCs w:val="18"/>
                <w:lang w:eastAsia="hu-HU" w:bidi="ar-SA"/>
              </w:rPr>
            </w:pPr>
          </w:p>
        </w:tc>
        <w:tc>
          <w:tcPr>
            <w:tcW w:w="997" w:type="pct"/>
            <w:shd w:val="clear" w:color="auto" w:fill="EAE5EB"/>
            <w:vAlign w:val="center"/>
            <w:hideMark/>
          </w:tcPr>
          <w:p w:rsidR="000C5292" w:rsidRPr="00DD41DF" w:rsidRDefault="000C5292" w:rsidP="000C5292">
            <w:pPr>
              <w:rPr>
                <w:rFonts w:ascii="Garamond" w:eastAsia="Times New Roman" w:hAnsi="Garamond" w:cs="Calibri Light"/>
                <w:b/>
                <w:sz w:val="18"/>
                <w:szCs w:val="18"/>
                <w:lang w:eastAsia="hu-HU" w:bidi="ar-SA"/>
              </w:rPr>
            </w:pPr>
            <w:r w:rsidRPr="00DD41DF">
              <w:rPr>
                <w:rFonts w:ascii="Garamond" w:eastAsia="Times New Roman" w:hAnsi="Garamond" w:cs="Calibri Light"/>
                <w:b/>
                <w:sz w:val="18"/>
                <w:szCs w:val="18"/>
                <w:lang w:eastAsia="hu-HU" w:bidi="ar-SA"/>
              </w:rPr>
              <w:t>Document</w:t>
            </w:r>
          </w:p>
          <w:p w:rsidR="000C5292" w:rsidRPr="00DD41DF" w:rsidRDefault="000C5292" w:rsidP="000C5292">
            <w:pPr>
              <w:rPr>
                <w:rFonts w:ascii="Garamond" w:eastAsia="Times New Roman" w:hAnsi="Garamond" w:cs="Calibri Light"/>
                <w:b/>
                <w:sz w:val="18"/>
                <w:szCs w:val="18"/>
                <w:lang w:eastAsia="hu-HU" w:bidi="ar-SA"/>
              </w:rPr>
            </w:pPr>
          </w:p>
        </w:tc>
        <w:tc>
          <w:tcPr>
            <w:tcW w:w="1407" w:type="pct"/>
            <w:shd w:val="clear" w:color="auto" w:fill="EAE5EB"/>
            <w:vAlign w:val="center"/>
            <w:hideMark/>
          </w:tcPr>
          <w:p w:rsidR="000C5292" w:rsidRPr="00DD41DF" w:rsidRDefault="000C5292" w:rsidP="000C5292">
            <w:pPr>
              <w:rPr>
                <w:rFonts w:ascii="Garamond" w:hAnsi="Garamond"/>
                <w:b/>
                <w:sz w:val="18"/>
                <w:szCs w:val="18"/>
              </w:rPr>
            </w:pPr>
            <w:r w:rsidRPr="00DD41DF">
              <w:rPr>
                <w:rFonts w:ascii="Garamond" w:hAnsi="Garamond"/>
                <w:b/>
                <w:sz w:val="18"/>
                <w:szCs w:val="18"/>
              </w:rPr>
              <w:t>Technical deliverables</w:t>
            </w:r>
          </w:p>
          <w:p w:rsidR="000C5292" w:rsidRPr="00DD41DF" w:rsidRDefault="000C5292" w:rsidP="000C5292">
            <w:pPr>
              <w:rPr>
                <w:rFonts w:ascii="Garamond" w:eastAsia="Times New Roman" w:hAnsi="Garamond" w:cs="Calibri Light"/>
                <w:b/>
                <w:sz w:val="18"/>
                <w:szCs w:val="18"/>
                <w:lang w:eastAsia="hu-HU" w:bidi="ar-SA"/>
              </w:rPr>
            </w:pPr>
          </w:p>
        </w:tc>
        <w:tc>
          <w:tcPr>
            <w:tcW w:w="888" w:type="pct"/>
            <w:shd w:val="clear" w:color="auto" w:fill="EAE5EB"/>
            <w:vAlign w:val="center"/>
            <w:hideMark/>
          </w:tcPr>
          <w:p w:rsidR="000C5292" w:rsidRPr="00DD41DF" w:rsidRDefault="000C5292" w:rsidP="00DD41DF">
            <w:pPr>
              <w:rPr>
                <w:rFonts w:ascii="Garamond" w:hAnsi="Garamond"/>
                <w:b/>
                <w:sz w:val="18"/>
                <w:szCs w:val="18"/>
              </w:rPr>
            </w:pPr>
            <w:r w:rsidRPr="00DD41DF">
              <w:rPr>
                <w:rFonts w:ascii="Garamond" w:hAnsi="Garamond"/>
                <w:b/>
                <w:sz w:val="18"/>
                <w:szCs w:val="18"/>
              </w:rPr>
              <w:t xml:space="preserve">Estimated degree of </w:t>
            </w:r>
            <w:r w:rsidR="00DD41DF" w:rsidRPr="00DD41DF">
              <w:rPr>
                <w:rFonts w:ascii="Garamond" w:hAnsi="Garamond"/>
                <w:b/>
                <w:sz w:val="18"/>
                <w:szCs w:val="18"/>
              </w:rPr>
              <w:t xml:space="preserve">target </w:t>
            </w:r>
            <w:r w:rsidRPr="00DD41DF">
              <w:rPr>
                <w:rFonts w:ascii="Garamond" w:hAnsi="Garamond"/>
                <w:b/>
                <w:sz w:val="18"/>
                <w:szCs w:val="18"/>
              </w:rPr>
              <w:t>fulfillment by the user</w:t>
            </w:r>
            <w:r w:rsidR="00DD41DF">
              <w:rPr>
                <w:rFonts w:ascii="Garamond" w:hAnsi="Garamond"/>
                <w:b/>
                <w:sz w:val="18"/>
                <w:szCs w:val="18"/>
              </w:rPr>
              <w:t>s</w:t>
            </w:r>
          </w:p>
        </w:tc>
      </w:tr>
      <w:tr w:rsidR="000C5292" w:rsidRPr="000C5292" w:rsidTr="008E6887">
        <w:trPr>
          <w:trHeight w:val="818"/>
          <w:jc w:val="center"/>
        </w:trPr>
        <w:tc>
          <w:tcPr>
            <w:tcW w:w="1708" w:type="pct"/>
            <w:vAlign w:val="center"/>
            <w:hideMark/>
          </w:tcPr>
          <w:p w:rsidR="000C5292" w:rsidRPr="000C5292" w:rsidRDefault="000C5292" w:rsidP="000C5292">
            <w:pPr>
              <w:rPr>
                <w:rFonts w:ascii="Franklin Gothic Book" w:eastAsia="Times New Roman" w:hAnsi="Franklin Gothic Book" w:cs="Calibri Light"/>
                <w:sz w:val="18"/>
                <w:szCs w:val="18"/>
                <w:lang w:eastAsia="hu-HU" w:bidi="ar-SA"/>
              </w:rPr>
            </w:pPr>
            <w:r w:rsidRPr="009F7E67">
              <w:rPr>
                <w:rFonts w:ascii="Garamond" w:hAnsi="Garamond"/>
                <w:sz w:val="18"/>
                <w:szCs w:val="18"/>
              </w:rPr>
              <w:t>Diagnosis of the initial situation including an audit of activities and a detailed action plan.</w:t>
            </w:r>
          </w:p>
        </w:tc>
        <w:tc>
          <w:tcPr>
            <w:tcW w:w="997" w:type="pct"/>
            <w:vAlign w:val="center"/>
            <w:hideMark/>
          </w:tcPr>
          <w:p w:rsidR="000C5292" w:rsidRPr="009F7E67" w:rsidRDefault="000C5292" w:rsidP="000C5292">
            <w:pPr>
              <w:rPr>
                <w:rFonts w:ascii="Garamond" w:hAnsi="Garamond"/>
                <w:sz w:val="18"/>
                <w:szCs w:val="18"/>
              </w:rPr>
            </w:pPr>
            <w:r w:rsidRPr="009F7E67">
              <w:rPr>
                <w:rFonts w:ascii="Garamond" w:hAnsi="Garamond"/>
                <w:sz w:val="18"/>
                <w:szCs w:val="18"/>
              </w:rPr>
              <w:t>Project implementation phase report</w:t>
            </w:r>
          </w:p>
          <w:p w:rsidR="000C5292" w:rsidRPr="000C5292" w:rsidRDefault="000C5292" w:rsidP="000C5292">
            <w:pPr>
              <w:jc w:val="center"/>
              <w:rPr>
                <w:rFonts w:ascii="Garamond" w:eastAsia="Times New Roman" w:hAnsi="Garamond" w:cs="Calibri Light"/>
                <w:sz w:val="18"/>
                <w:szCs w:val="18"/>
                <w:lang w:eastAsia="hu-HU" w:bidi="ar-SA"/>
              </w:rPr>
            </w:pPr>
          </w:p>
        </w:tc>
        <w:tc>
          <w:tcPr>
            <w:tcW w:w="1407" w:type="pct"/>
            <w:vAlign w:val="center"/>
            <w:hideMark/>
          </w:tcPr>
          <w:p w:rsidR="000C5292" w:rsidRPr="009F7E67" w:rsidRDefault="000C5292" w:rsidP="000C5292">
            <w:pPr>
              <w:rPr>
                <w:rFonts w:ascii="Garamond" w:hAnsi="Garamond"/>
                <w:sz w:val="18"/>
                <w:szCs w:val="18"/>
              </w:rPr>
            </w:pPr>
            <w:r w:rsidRPr="009F7E67">
              <w:rPr>
                <w:rFonts w:ascii="Garamond" w:hAnsi="Garamond"/>
                <w:sz w:val="18"/>
                <w:szCs w:val="18"/>
              </w:rPr>
              <w:t xml:space="preserve">D1. Diagnostic </w:t>
            </w:r>
            <w:r w:rsidR="004247ED" w:rsidRPr="009F7E67">
              <w:rPr>
                <w:rFonts w:ascii="Garamond" w:hAnsi="Garamond"/>
                <w:sz w:val="18"/>
                <w:szCs w:val="18"/>
              </w:rPr>
              <w:t>Report</w:t>
            </w:r>
          </w:p>
          <w:p w:rsidR="000C5292" w:rsidRPr="009F7E67" w:rsidRDefault="000C5292" w:rsidP="000C5292">
            <w:pPr>
              <w:rPr>
                <w:rFonts w:ascii="Garamond" w:hAnsi="Garamond"/>
                <w:sz w:val="18"/>
                <w:szCs w:val="18"/>
              </w:rPr>
            </w:pPr>
            <w:r w:rsidRPr="009F7E67">
              <w:rPr>
                <w:rFonts w:ascii="Garamond" w:hAnsi="Garamond"/>
                <w:sz w:val="18"/>
                <w:szCs w:val="18"/>
              </w:rPr>
              <w:t>D2. Implementation options</w:t>
            </w:r>
          </w:p>
          <w:p w:rsidR="000C5292" w:rsidRPr="009F7E67" w:rsidRDefault="000C5292" w:rsidP="000C5292">
            <w:pPr>
              <w:rPr>
                <w:rFonts w:ascii="Garamond" w:hAnsi="Garamond"/>
                <w:sz w:val="18"/>
                <w:szCs w:val="18"/>
              </w:rPr>
            </w:pPr>
            <w:r w:rsidRPr="009F7E67">
              <w:rPr>
                <w:rFonts w:ascii="Garamond" w:hAnsi="Garamond"/>
                <w:sz w:val="18"/>
                <w:szCs w:val="18"/>
              </w:rPr>
              <w:t xml:space="preserve">D3. Action </w:t>
            </w:r>
            <w:r w:rsidR="004247ED" w:rsidRPr="009F7E67">
              <w:rPr>
                <w:rFonts w:ascii="Garamond" w:hAnsi="Garamond"/>
                <w:sz w:val="18"/>
                <w:szCs w:val="18"/>
              </w:rPr>
              <w:t>Plan</w:t>
            </w:r>
          </w:p>
          <w:p w:rsidR="000C5292" w:rsidRPr="000C5292" w:rsidRDefault="000C5292" w:rsidP="000C5292">
            <w:pPr>
              <w:rPr>
                <w:rFonts w:ascii="Garamond" w:eastAsia="Times New Roman" w:hAnsi="Garamond" w:cs="Calibri Light"/>
                <w:sz w:val="18"/>
                <w:szCs w:val="18"/>
                <w:lang w:eastAsia="hu-HU" w:bidi="ar-SA"/>
              </w:rPr>
            </w:pPr>
            <w:r w:rsidRPr="009F7E67">
              <w:rPr>
                <w:rFonts w:ascii="Garamond" w:hAnsi="Garamond"/>
                <w:sz w:val="18"/>
                <w:szCs w:val="18"/>
              </w:rPr>
              <w:t>D4. Tender for procurement of server equipment</w:t>
            </w:r>
          </w:p>
        </w:tc>
        <w:tc>
          <w:tcPr>
            <w:tcW w:w="888" w:type="pct"/>
            <w:vAlign w:val="center"/>
            <w:hideMark/>
          </w:tcPr>
          <w:p w:rsidR="000C5292" w:rsidRPr="000C5292" w:rsidRDefault="000C5292" w:rsidP="000C5292">
            <w:pPr>
              <w:jc w:val="center"/>
              <w:rPr>
                <w:rFonts w:ascii="Garamond" w:eastAsia="Times New Roman" w:hAnsi="Garamond" w:cs="Calibri Light"/>
                <w:sz w:val="18"/>
                <w:szCs w:val="18"/>
                <w:lang w:eastAsia="hu-HU" w:bidi="ar-SA"/>
              </w:rPr>
            </w:pPr>
            <w:r w:rsidRPr="000C5292">
              <w:rPr>
                <w:rFonts w:ascii="Garamond" w:eastAsia="Times New Roman" w:hAnsi="Garamond" w:cs="Calibri Light"/>
                <w:sz w:val="18"/>
                <w:szCs w:val="18"/>
                <w:lang w:eastAsia="hu-HU" w:bidi="ar-SA"/>
              </w:rPr>
              <w:t>100%</w:t>
            </w:r>
          </w:p>
        </w:tc>
      </w:tr>
      <w:tr w:rsidR="000C5292" w:rsidRPr="000C5292" w:rsidTr="008E6887">
        <w:trPr>
          <w:jc w:val="center"/>
        </w:trPr>
        <w:tc>
          <w:tcPr>
            <w:tcW w:w="1708" w:type="pct"/>
            <w:vAlign w:val="center"/>
            <w:hideMark/>
          </w:tcPr>
          <w:p w:rsidR="000C5292" w:rsidRPr="000C5292" w:rsidRDefault="000C5292" w:rsidP="000C5292">
            <w:pPr>
              <w:rPr>
                <w:rFonts w:ascii="Garamond" w:eastAsia="Times New Roman" w:hAnsi="Garamond" w:cs="Calibri Light"/>
                <w:sz w:val="18"/>
                <w:szCs w:val="18"/>
                <w:lang w:eastAsia="hu-HU" w:bidi="ar-SA"/>
              </w:rPr>
            </w:pPr>
            <w:r w:rsidRPr="009F7E67">
              <w:rPr>
                <w:rFonts w:ascii="Garamond" w:hAnsi="Garamond"/>
                <w:sz w:val="18"/>
                <w:szCs w:val="18"/>
              </w:rPr>
              <w:t>A system for centrali</w:t>
            </w:r>
            <w:r w:rsidR="00371F6C">
              <w:rPr>
                <w:rFonts w:ascii="Garamond" w:hAnsi="Garamond"/>
                <w:sz w:val="18"/>
                <w:szCs w:val="18"/>
              </w:rPr>
              <w:t>sed</w:t>
            </w:r>
            <w:r w:rsidRPr="009F7E67">
              <w:rPr>
                <w:rFonts w:ascii="Garamond" w:hAnsi="Garamond"/>
                <w:sz w:val="18"/>
                <w:szCs w:val="18"/>
              </w:rPr>
              <w:t xml:space="preserve"> payroll has been established and is fully interoperable and harmoni</w:t>
            </w:r>
            <w:r w:rsidR="00371F6C">
              <w:rPr>
                <w:rFonts w:ascii="Garamond" w:hAnsi="Garamond"/>
                <w:sz w:val="18"/>
                <w:szCs w:val="18"/>
              </w:rPr>
              <w:t>sed</w:t>
            </w:r>
            <w:r w:rsidRPr="009F7E67">
              <w:rPr>
                <w:rFonts w:ascii="Garamond" w:hAnsi="Garamond"/>
                <w:sz w:val="18"/>
                <w:szCs w:val="18"/>
              </w:rPr>
              <w:t xml:space="preserve"> with existing IT systems and the legal framework</w:t>
            </w:r>
          </w:p>
        </w:tc>
        <w:tc>
          <w:tcPr>
            <w:tcW w:w="997" w:type="pct"/>
            <w:vMerge w:val="restart"/>
            <w:vAlign w:val="center"/>
            <w:hideMark/>
          </w:tcPr>
          <w:p w:rsidR="000C5292" w:rsidRPr="009F7E67" w:rsidRDefault="00223455" w:rsidP="000C5292">
            <w:pPr>
              <w:rPr>
                <w:rFonts w:ascii="Garamond" w:hAnsi="Garamond"/>
                <w:sz w:val="18"/>
                <w:szCs w:val="18"/>
              </w:rPr>
            </w:pPr>
            <w:r>
              <w:rPr>
                <w:rFonts w:ascii="Garamond" w:hAnsi="Garamond"/>
                <w:sz w:val="18"/>
                <w:szCs w:val="18"/>
              </w:rPr>
              <w:t xml:space="preserve">The </w:t>
            </w:r>
            <w:r w:rsidR="000C5292" w:rsidRPr="009F7E67">
              <w:rPr>
                <w:rFonts w:ascii="Garamond" w:hAnsi="Garamond"/>
                <w:sz w:val="18"/>
                <w:szCs w:val="18"/>
              </w:rPr>
              <w:t>First Interim Progress Report (as of 09 January 2020)</w:t>
            </w:r>
          </w:p>
          <w:p w:rsidR="000C5292" w:rsidRPr="000C5292" w:rsidRDefault="000C5292" w:rsidP="000C5292">
            <w:pPr>
              <w:jc w:val="center"/>
              <w:rPr>
                <w:rFonts w:ascii="Garamond" w:eastAsia="Times New Roman" w:hAnsi="Garamond" w:cs="Calibri Light"/>
                <w:sz w:val="18"/>
                <w:szCs w:val="18"/>
                <w:lang w:eastAsia="hu-HU" w:bidi="ar-SA"/>
              </w:rPr>
            </w:pPr>
          </w:p>
        </w:tc>
        <w:tc>
          <w:tcPr>
            <w:tcW w:w="1407" w:type="pct"/>
            <w:vAlign w:val="center"/>
            <w:hideMark/>
          </w:tcPr>
          <w:p w:rsidR="000C5292" w:rsidRPr="009F7E67" w:rsidRDefault="000C5292" w:rsidP="000C5292">
            <w:pPr>
              <w:rPr>
                <w:rFonts w:ascii="Garamond" w:hAnsi="Garamond"/>
                <w:sz w:val="18"/>
                <w:szCs w:val="18"/>
              </w:rPr>
            </w:pPr>
            <w:r w:rsidRPr="009F7E67">
              <w:rPr>
                <w:rFonts w:ascii="Garamond" w:hAnsi="Garamond"/>
                <w:sz w:val="18"/>
                <w:szCs w:val="18"/>
              </w:rPr>
              <w:t>D5. System design</w:t>
            </w:r>
          </w:p>
          <w:p w:rsidR="000C5292" w:rsidRPr="000C5292" w:rsidRDefault="000C5292" w:rsidP="000C5292">
            <w:pPr>
              <w:rPr>
                <w:rFonts w:ascii="Garamond" w:eastAsia="Times New Roman" w:hAnsi="Garamond" w:cs="Calibri Light"/>
                <w:sz w:val="18"/>
                <w:szCs w:val="18"/>
                <w:lang w:eastAsia="hu-HU" w:bidi="ar-SA"/>
              </w:rPr>
            </w:pPr>
          </w:p>
        </w:tc>
        <w:tc>
          <w:tcPr>
            <w:tcW w:w="888" w:type="pct"/>
            <w:vAlign w:val="center"/>
            <w:hideMark/>
          </w:tcPr>
          <w:p w:rsidR="000C5292" w:rsidRPr="000C5292" w:rsidRDefault="000C5292" w:rsidP="000C5292">
            <w:pPr>
              <w:jc w:val="center"/>
              <w:rPr>
                <w:rFonts w:ascii="Garamond" w:eastAsia="Times New Roman" w:hAnsi="Garamond" w:cs="Calibri Light"/>
                <w:sz w:val="18"/>
                <w:szCs w:val="18"/>
                <w:lang w:eastAsia="hu-HU" w:bidi="ar-SA"/>
              </w:rPr>
            </w:pPr>
            <w:r w:rsidRPr="000C5292">
              <w:rPr>
                <w:rFonts w:ascii="Garamond" w:eastAsia="Times New Roman" w:hAnsi="Garamond" w:cs="Calibri Light"/>
                <w:sz w:val="18"/>
                <w:szCs w:val="18"/>
                <w:lang w:eastAsia="hu-HU" w:bidi="ar-SA"/>
              </w:rPr>
              <w:t>50%</w:t>
            </w:r>
          </w:p>
        </w:tc>
      </w:tr>
      <w:tr w:rsidR="000C5292" w:rsidRPr="000C5292" w:rsidTr="008E6887">
        <w:trPr>
          <w:jc w:val="center"/>
        </w:trPr>
        <w:tc>
          <w:tcPr>
            <w:tcW w:w="1708" w:type="pct"/>
            <w:vAlign w:val="center"/>
            <w:hideMark/>
          </w:tcPr>
          <w:p w:rsidR="000C5292" w:rsidRPr="000C5292" w:rsidRDefault="009F7E67" w:rsidP="004247ED">
            <w:pPr>
              <w:rPr>
                <w:rFonts w:ascii="Garamond" w:eastAsia="Times New Roman" w:hAnsi="Garamond" w:cs="Calibri Light"/>
                <w:sz w:val="18"/>
                <w:szCs w:val="18"/>
                <w:lang w:eastAsia="hu-HU" w:bidi="ar-SA"/>
              </w:rPr>
            </w:pPr>
            <w:r w:rsidRPr="009F7E67">
              <w:rPr>
                <w:rFonts w:ascii="Garamond" w:hAnsi="Garamond"/>
                <w:sz w:val="18"/>
                <w:szCs w:val="18"/>
              </w:rPr>
              <w:t>Technical specifications of the system and all other relevant documents explaining how the system functionally and technically operates are provided in the Montenegrin language.</w:t>
            </w:r>
          </w:p>
        </w:tc>
        <w:tc>
          <w:tcPr>
            <w:tcW w:w="997" w:type="pct"/>
            <w:vMerge/>
            <w:vAlign w:val="center"/>
            <w:hideMark/>
          </w:tcPr>
          <w:p w:rsidR="000C5292" w:rsidRPr="000C5292" w:rsidRDefault="000C5292" w:rsidP="000C5292">
            <w:pPr>
              <w:rPr>
                <w:rFonts w:ascii="Garamond" w:eastAsia="游明朝" w:hAnsi="Garamond" w:cs="Calibri Light"/>
                <w:sz w:val="18"/>
                <w:szCs w:val="18"/>
                <w:lang w:eastAsia="en-US" w:bidi="ar-SA"/>
              </w:rPr>
            </w:pPr>
          </w:p>
        </w:tc>
        <w:tc>
          <w:tcPr>
            <w:tcW w:w="1407" w:type="pct"/>
            <w:vAlign w:val="center"/>
            <w:hideMark/>
          </w:tcPr>
          <w:p w:rsidR="009F7E67" w:rsidRPr="009F7E67" w:rsidRDefault="009F7E67" w:rsidP="009F7E67">
            <w:pPr>
              <w:rPr>
                <w:rFonts w:ascii="Garamond" w:hAnsi="Garamond"/>
                <w:sz w:val="18"/>
                <w:szCs w:val="18"/>
              </w:rPr>
            </w:pPr>
            <w:r w:rsidRPr="009F7E67">
              <w:rPr>
                <w:rFonts w:ascii="Garamond" w:hAnsi="Garamond"/>
                <w:sz w:val="18"/>
                <w:szCs w:val="18"/>
              </w:rPr>
              <w:t>D6. Technical specifications</w:t>
            </w:r>
          </w:p>
          <w:p w:rsidR="009F7E67" w:rsidRPr="009F7E67" w:rsidRDefault="009F7E67" w:rsidP="009F7E67">
            <w:pPr>
              <w:rPr>
                <w:rFonts w:ascii="Garamond" w:hAnsi="Garamond"/>
                <w:sz w:val="18"/>
                <w:szCs w:val="18"/>
              </w:rPr>
            </w:pPr>
          </w:p>
          <w:p w:rsidR="009F7E67" w:rsidRPr="009F7E67" w:rsidRDefault="009F7E67" w:rsidP="009F7E67">
            <w:pPr>
              <w:rPr>
                <w:rFonts w:ascii="Garamond" w:hAnsi="Garamond"/>
                <w:sz w:val="18"/>
                <w:szCs w:val="18"/>
              </w:rPr>
            </w:pPr>
            <w:r w:rsidRPr="009F7E67">
              <w:rPr>
                <w:rFonts w:ascii="Garamond" w:hAnsi="Garamond"/>
                <w:sz w:val="18"/>
                <w:szCs w:val="18"/>
              </w:rPr>
              <w:t>D7. User guide</w:t>
            </w:r>
          </w:p>
          <w:p w:rsidR="009F7E67" w:rsidRPr="009F7E67" w:rsidRDefault="009F7E67" w:rsidP="009F7E67">
            <w:pPr>
              <w:rPr>
                <w:rFonts w:ascii="Garamond" w:hAnsi="Garamond"/>
                <w:sz w:val="18"/>
                <w:szCs w:val="18"/>
              </w:rPr>
            </w:pPr>
          </w:p>
          <w:p w:rsidR="009F7E67" w:rsidRPr="009F7E67" w:rsidRDefault="009F7E67" w:rsidP="009F7E67">
            <w:pPr>
              <w:rPr>
                <w:rFonts w:ascii="Garamond" w:hAnsi="Garamond"/>
                <w:sz w:val="18"/>
                <w:szCs w:val="18"/>
              </w:rPr>
            </w:pPr>
            <w:r w:rsidRPr="009F7E67">
              <w:rPr>
                <w:rFonts w:ascii="Garamond" w:hAnsi="Garamond"/>
                <w:sz w:val="18"/>
                <w:szCs w:val="18"/>
              </w:rPr>
              <w:t>D8. Operating instructions</w:t>
            </w:r>
          </w:p>
          <w:p w:rsidR="000C5292" w:rsidRPr="000C5292" w:rsidRDefault="000C5292" w:rsidP="000C5292">
            <w:pPr>
              <w:rPr>
                <w:rFonts w:ascii="Garamond" w:eastAsia="Times New Roman" w:hAnsi="Garamond" w:cs="Calibri Light"/>
                <w:sz w:val="18"/>
                <w:szCs w:val="18"/>
                <w:lang w:eastAsia="hu-HU" w:bidi="ar-SA"/>
              </w:rPr>
            </w:pPr>
          </w:p>
        </w:tc>
        <w:tc>
          <w:tcPr>
            <w:tcW w:w="888" w:type="pct"/>
            <w:vAlign w:val="center"/>
            <w:hideMark/>
          </w:tcPr>
          <w:p w:rsidR="000C5292" w:rsidRPr="000C5292" w:rsidRDefault="000C5292" w:rsidP="000C5292">
            <w:pPr>
              <w:jc w:val="center"/>
              <w:rPr>
                <w:rFonts w:ascii="Garamond" w:eastAsia="Times New Roman" w:hAnsi="Garamond" w:cs="Calibri Light"/>
                <w:sz w:val="18"/>
                <w:szCs w:val="18"/>
                <w:lang w:eastAsia="hu-HU" w:bidi="ar-SA"/>
              </w:rPr>
            </w:pPr>
            <w:r w:rsidRPr="000C5292">
              <w:rPr>
                <w:rFonts w:ascii="Garamond" w:eastAsia="Times New Roman" w:hAnsi="Garamond" w:cs="Calibri Light"/>
                <w:sz w:val="18"/>
                <w:szCs w:val="18"/>
                <w:lang w:eastAsia="hu-HU" w:bidi="ar-SA"/>
              </w:rPr>
              <w:t>50%</w:t>
            </w:r>
          </w:p>
        </w:tc>
      </w:tr>
    </w:tbl>
    <w:p w:rsidR="004D1343" w:rsidRPr="00C32887" w:rsidRDefault="004D1343" w:rsidP="004D1343">
      <w:pPr>
        <w:rPr>
          <w:rFonts w:ascii="Garamond" w:hAnsi="Garamond"/>
          <w:sz w:val="24"/>
          <w:szCs w:val="24"/>
        </w:rPr>
      </w:pPr>
    </w:p>
    <w:p w:rsidR="004D1343" w:rsidRPr="00C32887" w:rsidRDefault="009F7E67" w:rsidP="009F7E67">
      <w:pPr>
        <w:jc w:val="both"/>
        <w:rPr>
          <w:rFonts w:ascii="Garamond" w:hAnsi="Garamond"/>
          <w:sz w:val="24"/>
          <w:szCs w:val="24"/>
        </w:rPr>
      </w:pPr>
      <w:r>
        <w:rPr>
          <w:rFonts w:ascii="Garamond" w:hAnsi="Garamond"/>
          <w:sz w:val="24"/>
          <w:szCs w:val="24"/>
        </w:rPr>
        <w:t>D</w:t>
      </w:r>
      <w:r w:rsidR="004D1343" w:rsidRPr="00C32887">
        <w:rPr>
          <w:rFonts w:ascii="Garamond" w:hAnsi="Garamond"/>
          <w:sz w:val="24"/>
          <w:szCs w:val="24"/>
        </w:rPr>
        <w:t xml:space="preserve">uring 2020, as foreseen in the framework of a series of activities planned </w:t>
      </w:r>
      <w:r w:rsidR="00F243EC">
        <w:rPr>
          <w:rFonts w:ascii="Garamond" w:hAnsi="Garamond"/>
          <w:sz w:val="24"/>
          <w:szCs w:val="24"/>
        </w:rPr>
        <w:t>within</w:t>
      </w:r>
      <w:r w:rsidR="004D1343" w:rsidRPr="00C32887">
        <w:rPr>
          <w:rFonts w:ascii="Garamond" w:hAnsi="Garamond"/>
          <w:sz w:val="24"/>
          <w:szCs w:val="24"/>
        </w:rPr>
        <w:t xml:space="preserve"> the project </w:t>
      </w:r>
      <w:r w:rsidR="00C13A74">
        <w:rPr>
          <w:rFonts w:ascii="Garamond" w:hAnsi="Garamond"/>
          <w:sz w:val="24"/>
          <w:szCs w:val="24"/>
        </w:rPr>
        <w:t>‘</w:t>
      </w:r>
      <w:r w:rsidR="004D1343" w:rsidRPr="00C32887">
        <w:rPr>
          <w:rFonts w:ascii="Garamond" w:hAnsi="Garamond"/>
          <w:sz w:val="24"/>
          <w:szCs w:val="24"/>
        </w:rPr>
        <w:t xml:space="preserve">Implementation of </w:t>
      </w:r>
      <w:r w:rsidR="00371F6C">
        <w:rPr>
          <w:rFonts w:ascii="Garamond" w:hAnsi="Garamond"/>
          <w:sz w:val="24"/>
          <w:szCs w:val="24"/>
        </w:rPr>
        <w:t>Centralis</w:t>
      </w:r>
      <w:r w:rsidR="00F243EC" w:rsidRPr="00C32887">
        <w:rPr>
          <w:rFonts w:ascii="Garamond" w:hAnsi="Garamond"/>
          <w:sz w:val="24"/>
          <w:szCs w:val="24"/>
        </w:rPr>
        <w:t xml:space="preserve">ed </w:t>
      </w:r>
      <w:r w:rsidR="00F243EC">
        <w:rPr>
          <w:rFonts w:ascii="Garamond" w:hAnsi="Garamond"/>
          <w:sz w:val="24"/>
          <w:szCs w:val="24"/>
        </w:rPr>
        <w:t>Payroll System’,</w:t>
      </w:r>
      <w:r w:rsidR="00F243EC" w:rsidRPr="00C32887">
        <w:rPr>
          <w:rFonts w:ascii="Garamond" w:hAnsi="Garamond"/>
          <w:sz w:val="24"/>
          <w:szCs w:val="24"/>
        </w:rPr>
        <w:t xml:space="preserve"> </w:t>
      </w:r>
      <w:r w:rsidR="00F243EC">
        <w:rPr>
          <w:rFonts w:ascii="Garamond" w:hAnsi="Garamond"/>
          <w:sz w:val="24"/>
          <w:szCs w:val="24"/>
        </w:rPr>
        <w:t>following</w:t>
      </w:r>
      <w:r w:rsidR="004D1343" w:rsidRPr="00C32887">
        <w:rPr>
          <w:rFonts w:ascii="Garamond" w:hAnsi="Garamond"/>
          <w:sz w:val="24"/>
          <w:szCs w:val="24"/>
        </w:rPr>
        <w:t xml:space="preserve"> the planned tender procedure and selection of bidder</w:t>
      </w:r>
      <w:r w:rsidR="00F243EC">
        <w:rPr>
          <w:rFonts w:ascii="Garamond" w:hAnsi="Garamond"/>
          <w:sz w:val="24"/>
          <w:szCs w:val="24"/>
        </w:rPr>
        <w:t>s</w:t>
      </w:r>
      <w:r w:rsidR="004D1343" w:rsidRPr="00C32887">
        <w:rPr>
          <w:rFonts w:ascii="Garamond" w:hAnsi="Garamond"/>
          <w:sz w:val="24"/>
          <w:szCs w:val="24"/>
        </w:rPr>
        <w:t xml:space="preserve">, </w:t>
      </w:r>
      <w:r w:rsidR="005527CD">
        <w:rPr>
          <w:rFonts w:ascii="Garamond" w:hAnsi="Garamond"/>
          <w:sz w:val="24"/>
          <w:szCs w:val="24"/>
        </w:rPr>
        <w:t xml:space="preserve">the contract </w:t>
      </w:r>
      <w:r w:rsidR="00F243EC">
        <w:rPr>
          <w:rFonts w:ascii="Garamond" w:hAnsi="Garamond"/>
          <w:sz w:val="24"/>
          <w:szCs w:val="24"/>
        </w:rPr>
        <w:t>for the p</w:t>
      </w:r>
      <w:r w:rsidR="004D1343" w:rsidRPr="00C32887">
        <w:rPr>
          <w:rFonts w:ascii="Garamond" w:hAnsi="Garamond"/>
          <w:sz w:val="24"/>
          <w:szCs w:val="24"/>
        </w:rPr>
        <w:t>urchase of equipment with server licenses for the operation of the new centrali</w:t>
      </w:r>
      <w:r w:rsidR="00371F6C">
        <w:rPr>
          <w:rFonts w:ascii="Garamond" w:hAnsi="Garamond"/>
          <w:sz w:val="24"/>
          <w:szCs w:val="24"/>
        </w:rPr>
        <w:t>sed</w:t>
      </w:r>
      <w:r w:rsidR="004D1343" w:rsidRPr="00C32887">
        <w:rPr>
          <w:rFonts w:ascii="Garamond" w:hAnsi="Garamond"/>
          <w:sz w:val="24"/>
          <w:szCs w:val="24"/>
        </w:rPr>
        <w:t xml:space="preserve"> </w:t>
      </w:r>
      <w:r w:rsidR="00F243EC" w:rsidRPr="00C32887">
        <w:rPr>
          <w:rFonts w:ascii="Garamond" w:hAnsi="Garamond"/>
          <w:sz w:val="24"/>
          <w:szCs w:val="24"/>
        </w:rPr>
        <w:t xml:space="preserve">payroll </w:t>
      </w:r>
      <w:r w:rsidR="004D1343" w:rsidRPr="00C32887">
        <w:rPr>
          <w:rFonts w:ascii="Garamond" w:hAnsi="Garamond"/>
          <w:sz w:val="24"/>
          <w:szCs w:val="24"/>
        </w:rPr>
        <w:t xml:space="preserve">system and </w:t>
      </w:r>
      <w:r w:rsidR="005527CD" w:rsidRPr="00C32887">
        <w:rPr>
          <w:rFonts w:ascii="Garamond" w:hAnsi="Garamond"/>
          <w:sz w:val="24"/>
          <w:szCs w:val="24"/>
        </w:rPr>
        <w:t xml:space="preserve">budget </w:t>
      </w:r>
      <w:r w:rsidR="005527CD">
        <w:rPr>
          <w:rFonts w:ascii="Garamond" w:hAnsi="Garamond"/>
          <w:sz w:val="24"/>
          <w:szCs w:val="24"/>
        </w:rPr>
        <w:t>planning was signed</w:t>
      </w:r>
      <w:r w:rsidR="004D1343" w:rsidRPr="00C32887">
        <w:rPr>
          <w:rFonts w:ascii="Garamond" w:hAnsi="Garamond"/>
          <w:sz w:val="24"/>
          <w:szCs w:val="24"/>
        </w:rPr>
        <w:t xml:space="preserve">, after which the process of purchase of the necessary equipment </w:t>
      </w:r>
      <w:r w:rsidR="005527CD">
        <w:rPr>
          <w:rFonts w:ascii="Garamond" w:hAnsi="Garamond"/>
          <w:sz w:val="24"/>
          <w:szCs w:val="24"/>
        </w:rPr>
        <w:t>was</w:t>
      </w:r>
      <w:r w:rsidR="004D1343" w:rsidRPr="00C32887">
        <w:rPr>
          <w:rFonts w:ascii="Garamond" w:hAnsi="Garamond"/>
          <w:sz w:val="24"/>
          <w:szCs w:val="24"/>
        </w:rPr>
        <w:t xml:space="preserve"> completed. </w:t>
      </w:r>
      <w:r w:rsidR="005527CD" w:rsidRPr="00C32887">
        <w:rPr>
          <w:rFonts w:ascii="Garamond" w:hAnsi="Garamond"/>
          <w:sz w:val="24"/>
          <w:szCs w:val="24"/>
        </w:rPr>
        <w:t xml:space="preserve">In </w:t>
      </w:r>
      <w:r w:rsidR="004D1343" w:rsidRPr="00C32887">
        <w:rPr>
          <w:rFonts w:ascii="Garamond" w:hAnsi="Garamond"/>
          <w:sz w:val="24"/>
          <w:szCs w:val="24"/>
        </w:rPr>
        <w:t>the reporting period</w:t>
      </w:r>
      <w:r w:rsidR="00F243EC">
        <w:rPr>
          <w:rFonts w:ascii="Garamond" w:hAnsi="Garamond"/>
          <w:sz w:val="24"/>
          <w:szCs w:val="24"/>
        </w:rPr>
        <w:t>,</w:t>
      </w:r>
      <w:r w:rsidR="004D1343" w:rsidRPr="00C32887">
        <w:rPr>
          <w:rFonts w:ascii="Garamond" w:hAnsi="Garamond"/>
          <w:sz w:val="24"/>
          <w:szCs w:val="24"/>
        </w:rPr>
        <w:t xml:space="preserve"> </w:t>
      </w:r>
      <w:r w:rsidR="005527CD">
        <w:rPr>
          <w:rFonts w:ascii="Garamond" w:hAnsi="Garamond"/>
          <w:sz w:val="24"/>
          <w:szCs w:val="24"/>
        </w:rPr>
        <w:t>t</w:t>
      </w:r>
      <w:r w:rsidR="005527CD" w:rsidRPr="00C32887">
        <w:rPr>
          <w:rFonts w:ascii="Garamond" w:hAnsi="Garamond"/>
          <w:sz w:val="24"/>
          <w:szCs w:val="24"/>
        </w:rPr>
        <w:t xml:space="preserve">echnical </w:t>
      </w:r>
      <w:r w:rsidR="004D1343" w:rsidRPr="00C32887">
        <w:rPr>
          <w:rFonts w:ascii="Garamond" w:hAnsi="Garamond"/>
          <w:sz w:val="24"/>
          <w:szCs w:val="24"/>
        </w:rPr>
        <w:t xml:space="preserve">and </w:t>
      </w:r>
      <w:r w:rsidR="005527CD">
        <w:rPr>
          <w:rFonts w:ascii="Garamond" w:hAnsi="Garamond"/>
          <w:sz w:val="24"/>
          <w:szCs w:val="24"/>
        </w:rPr>
        <w:t>a</w:t>
      </w:r>
      <w:r w:rsidR="004D1343" w:rsidRPr="00C32887">
        <w:rPr>
          <w:rFonts w:ascii="Garamond" w:hAnsi="Garamond"/>
          <w:sz w:val="24"/>
          <w:szCs w:val="24"/>
        </w:rPr>
        <w:t xml:space="preserve">daptation works </w:t>
      </w:r>
      <w:r w:rsidR="005527CD" w:rsidRPr="00C32887">
        <w:rPr>
          <w:rFonts w:ascii="Garamond" w:hAnsi="Garamond"/>
          <w:sz w:val="24"/>
          <w:szCs w:val="24"/>
        </w:rPr>
        <w:t xml:space="preserve">were completed </w:t>
      </w:r>
      <w:r w:rsidR="004D1343" w:rsidRPr="00C32887">
        <w:rPr>
          <w:rFonts w:ascii="Garamond" w:hAnsi="Garamond"/>
          <w:sz w:val="24"/>
          <w:szCs w:val="24"/>
        </w:rPr>
        <w:t xml:space="preserve">that constituted a precondition for </w:t>
      </w:r>
      <w:r w:rsidR="001A4676">
        <w:rPr>
          <w:rFonts w:ascii="Garamond" w:hAnsi="Garamond"/>
          <w:sz w:val="24"/>
          <w:szCs w:val="24"/>
        </w:rPr>
        <w:t>the</w:t>
      </w:r>
      <w:r w:rsidR="004D1343" w:rsidRPr="00C32887">
        <w:rPr>
          <w:rFonts w:ascii="Garamond" w:hAnsi="Garamond"/>
          <w:sz w:val="24"/>
          <w:szCs w:val="24"/>
        </w:rPr>
        <w:t xml:space="preserve"> equipment, as well as adequate preparation </w:t>
      </w:r>
      <w:r w:rsidR="005527CD">
        <w:rPr>
          <w:rFonts w:ascii="Garamond" w:hAnsi="Garamond"/>
          <w:sz w:val="24"/>
          <w:szCs w:val="24"/>
        </w:rPr>
        <w:t xml:space="preserve">of </w:t>
      </w:r>
      <w:r w:rsidR="004D1343" w:rsidRPr="00C32887">
        <w:rPr>
          <w:rFonts w:ascii="Garamond" w:hAnsi="Garamond"/>
          <w:sz w:val="24"/>
          <w:szCs w:val="24"/>
        </w:rPr>
        <w:t xml:space="preserve">server rooms within the Ministry of Finance and </w:t>
      </w:r>
      <w:r w:rsidR="005527CD" w:rsidRPr="00C32887">
        <w:rPr>
          <w:rFonts w:ascii="Garamond" w:hAnsi="Garamond"/>
          <w:sz w:val="24"/>
          <w:szCs w:val="24"/>
        </w:rPr>
        <w:t xml:space="preserve">Social </w:t>
      </w:r>
      <w:r w:rsidR="004D1343" w:rsidRPr="00C32887">
        <w:rPr>
          <w:rFonts w:ascii="Garamond" w:hAnsi="Garamond"/>
          <w:sz w:val="24"/>
          <w:szCs w:val="24"/>
        </w:rPr>
        <w:t xml:space="preserve">Welfare in accordance </w:t>
      </w:r>
      <w:r w:rsidR="005527CD">
        <w:rPr>
          <w:rFonts w:ascii="Garamond" w:hAnsi="Garamond"/>
          <w:sz w:val="24"/>
          <w:szCs w:val="24"/>
        </w:rPr>
        <w:t xml:space="preserve">with technical specification. </w:t>
      </w:r>
      <w:r w:rsidR="004D1343" w:rsidRPr="00C32887">
        <w:rPr>
          <w:rFonts w:ascii="Garamond" w:hAnsi="Garamond"/>
          <w:sz w:val="24"/>
          <w:szCs w:val="24"/>
        </w:rPr>
        <w:t>In accordance with the contract, training was conducted (</w:t>
      </w:r>
      <w:r w:rsidR="00F243EC">
        <w:rPr>
          <w:rFonts w:ascii="Garamond" w:hAnsi="Garamond"/>
          <w:sz w:val="24"/>
          <w:szCs w:val="24"/>
        </w:rPr>
        <w:t xml:space="preserve">in late </w:t>
      </w:r>
      <w:r w:rsidR="004D1343" w:rsidRPr="00C32887">
        <w:rPr>
          <w:rFonts w:ascii="Garamond" w:hAnsi="Garamond"/>
          <w:sz w:val="24"/>
          <w:szCs w:val="24"/>
        </w:rPr>
        <w:t>2020) for basic handling of delivered equipment for two employees of the Ministr</w:t>
      </w:r>
      <w:r w:rsidR="00977AC7">
        <w:rPr>
          <w:rFonts w:ascii="Garamond" w:hAnsi="Garamond"/>
          <w:sz w:val="24"/>
          <w:szCs w:val="24"/>
        </w:rPr>
        <w:t>y of Finance and Social Welfare</w:t>
      </w:r>
      <w:r w:rsidR="004D1343" w:rsidRPr="00C32887">
        <w:rPr>
          <w:rFonts w:ascii="Garamond" w:hAnsi="Garamond"/>
          <w:sz w:val="24"/>
          <w:szCs w:val="24"/>
        </w:rPr>
        <w:t xml:space="preserve">, as well as the planned installation of new software on the purchased equipment, while </w:t>
      </w:r>
      <w:r w:rsidR="00F243EC" w:rsidRPr="00C32887">
        <w:rPr>
          <w:rFonts w:ascii="Garamond" w:hAnsi="Garamond"/>
          <w:sz w:val="24"/>
          <w:szCs w:val="24"/>
        </w:rPr>
        <w:t xml:space="preserve">planned data migration is expected </w:t>
      </w:r>
      <w:r w:rsidR="004D1343" w:rsidRPr="00C32887">
        <w:rPr>
          <w:rFonts w:ascii="Garamond" w:hAnsi="Garamond"/>
          <w:sz w:val="24"/>
          <w:szCs w:val="24"/>
        </w:rPr>
        <w:t>in 2021.</w:t>
      </w:r>
      <w:r w:rsidR="00977AC7">
        <w:rPr>
          <w:rFonts w:ascii="Garamond" w:hAnsi="Garamond"/>
          <w:sz w:val="24"/>
          <w:szCs w:val="24"/>
        </w:rPr>
        <w:t xml:space="preserve"> </w:t>
      </w:r>
      <w:r w:rsidR="004D1343" w:rsidRPr="00C32887">
        <w:rPr>
          <w:rFonts w:ascii="Garamond" w:hAnsi="Garamond"/>
          <w:sz w:val="24"/>
          <w:szCs w:val="24"/>
        </w:rPr>
        <w:t>After the installation of the equipment</w:t>
      </w:r>
      <w:r w:rsidR="00F243EC">
        <w:rPr>
          <w:rFonts w:ascii="Garamond" w:hAnsi="Garamond"/>
          <w:sz w:val="24"/>
          <w:szCs w:val="24"/>
        </w:rPr>
        <w:t>,</w:t>
      </w:r>
      <w:r w:rsidR="004D1343" w:rsidRPr="00C32887">
        <w:rPr>
          <w:rFonts w:ascii="Garamond" w:hAnsi="Garamond"/>
          <w:sz w:val="24"/>
          <w:szCs w:val="24"/>
        </w:rPr>
        <w:t xml:space="preserve"> the implementation of the </w:t>
      </w:r>
      <w:r w:rsidR="00977AC7" w:rsidRPr="00C32887">
        <w:rPr>
          <w:rFonts w:ascii="Garamond" w:hAnsi="Garamond"/>
          <w:sz w:val="24"/>
          <w:szCs w:val="24"/>
        </w:rPr>
        <w:t xml:space="preserve">training </w:t>
      </w:r>
      <w:r w:rsidR="004D1343" w:rsidRPr="00C32887">
        <w:rPr>
          <w:rFonts w:ascii="Garamond" w:hAnsi="Garamond"/>
          <w:sz w:val="24"/>
          <w:szCs w:val="24"/>
        </w:rPr>
        <w:t xml:space="preserve">plan </w:t>
      </w:r>
      <w:r w:rsidR="00F243EC">
        <w:rPr>
          <w:rFonts w:ascii="Garamond" w:hAnsi="Garamond"/>
          <w:sz w:val="24"/>
          <w:szCs w:val="24"/>
        </w:rPr>
        <w:t>for</w:t>
      </w:r>
      <w:r w:rsidR="004D1343" w:rsidRPr="00C32887">
        <w:rPr>
          <w:rFonts w:ascii="Garamond" w:hAnsi="Garamond"/>
          <w:sz w:val="24"/>
          <w:szCs w:val="24"/>
        </w:rPr>
        <w:t xml:space="preserve"> </w:t>
      </w:r>
      <w:r w:rsidR="00977AC7">
        <w:rPr>
          <w:rFonts w:ascii="Garamond" w:hAnsi="Garamond"/>
          <w:sz w:val="24"/>
          <w:szCs w:val="24"/>
        </w:rPr>
        <w:t>key users and IT ad</w:t>
      </w:r>
      <w:r w:rsidR="00977AC7" w:rsidRPr="00C32887">
        <w:rPr>
          <w:rFonts w:ascii="Garamond" w:hAnsi="Garamond"/>
          <w:sz w:val="24"/>
          <w:szCs w:val="24"/>
        </w:rPr>
        <w:t>ministrator</w:t>
      </w:r>
      <w:r w:rsidR="00977AC7">
        <w:rPr>
          <w:rFonts w:ascii="Garamond" w:hAnsi="Garamond"/>
          <w:sz w:val="24"/>
          <w:szCs w:val="24"/>
        </w:rPr>
        <w:t>s</w:t>
      </w:r>
      <w:r w:rsidR="00F243EC" w:rsidRPr="00F243EC">
        <w:rPr>
          <w:rFonts w:ascii="Garamond" w:hAnsi="Garamond"/>
          <w:sz w:val="24"/>
          <w:szCs w:val="24"/>
        </w:rPr>
        <w:t xml:space="preserve"> </w:t>
      </w:r>
      <w:r w:rsidR="00F243EC" w:rsidRPr="00C32887">
        <w:rPr>
          <w:rFonts w:ascii="Garamond" w:hAnsi="Garamond"/>
          <w:sz w:val="24"/>
          <w:szCs w:val="24"/>
        </w:rPr>
        <w:t>started</w:t>
      </w:r>
      <w:r w:rsidR="004D1343" w:rsidRPr="00C32887">
        <w:rPr>
          <w:rFonts w:ascii="Garamond" w:hAnsi="Garamond"/>
          <w:sz w:val="24"/>
          <w:szCs w:val="24"/>
        </w:rPr>
        <w:t xml:space="preserve">. The start of the planned training of end users of the </w:t>
      </w:r>
      <w:r w:rsidR="00371F6C">
        <w:rPr>
          <w:rFonts w:ascii="Garamond" w:hAnsi="Garamond"/>
          <w:sz w:val="24"/>
          <w:szCs w:val="24"/>
        </w:rPr>
        <w:t>centralis</w:t>
      </w:r>
      <w:r w:rsidR="00F243EC" w:rsidRPr="00C32887">
        <w:rPr>
          <w:rFonts w:ascii="Garamond" w:hAnsi="Garamond"/>
          <w:sz w:val="24"/>
          <w:szCs w:val="24"/>
        </w:rPr>
        <w:t xml:space="preserve">ed </w:t>
      </w:r>
      <w:r w:rsidR="00F243EC">
        <w:rPr>
          <w:rFonts w:ascii="Garamond" w:hAnsi="Garamond"/>
          <w:sz w:val="24"/>
          <w:szCs w:val="24"/>
        </w:rPr>
        <w:t xml:space="preserve">payroll </w:t>
      </w:r>
      <w:r w:rsidR="00F243EC" w:rsidRPr="00C32887">
        <w:rPr>
          <w:rFonts w:ascii="Garamond" w:hAnsi="Garamond"/>
          <w:sz w:val="24"/>
          <w:szCs w:val="24"/>
        </w:rPr>
        <w:t xml:space="preserve">system </w:t>
      </w:r>
      <w:r w:rsidR="004D1343" w:rsidRPr="00C32887">
        <w:rPr>
          <w:rFonts w:ascii="Garamond" w:hAnsi="Garamond"/>
          <w:sz w:val="24"/>
          <w:szCs w:val="24"/>
        </w:rPr>
        <w:t>was postponed due to delays in the procurement and installation of equipment and the negative impac</w:t>
      </w:r>
      <w:r w:rsidR="00977AC7">
        <w:rPr>
          <w:rFonts w:ascii="Garamond" w:hAnsi="Garamond"/>
          <w:sz w:val="24"/>
          <w:szCs w:val="24"/>
        </w:rPr>
        <w:t>t of the COVID-19 pandemic</w:t>
      </w:r>
      <w:r w:rsidR="004D1343" w:rsidRPr="00C32887">
        <w:rPr>
          <w:rFonts w:ascii="Garamond" w:hAnsi="Garamond"/>
          <w:sz w:val="24"/>
          <w:szCs w:val="24"/>
        </w:rPr>
        <w:t xml:space="preserve">. </w:t>
      </w:r>
      <w:r w:rsidR="00977AC7">
        <w:rPr>
          <w:rFonts w:ascii="Garamond" w:hAnsi="Garamond"/>
          <w:sz w:val="24"/>
          <w:szCs w:val="24"/>
        </w:rPr>
        <w:t>Training for</w:t>
      </w:r>
      <w:r w:rsidR="004D1343" w:rsidRPr="00C32887">
        <w:rPr>
          <w:rFonts w:ascii="Garamond" w:hAnsi="Garamond"/>
          <w:sz w:val="24"/>
          <w:szCs w:val="24"/>
        </w:rPr>
        <w:t xml:space="preserve"> key users is planned to take place </w:t>
      </w:r>
      <w:r w:rsidR="00F243EC">
        <w:rPr>
          <w:rFonts w:ascii="Garamond" w:hAnsi="Garamond"/>
          <w:sz w:val="24"/>
          <w:szCs w:val="24"/>
        </w:rPr>
        <w:t xml:space="preserve">shortly </w:t>
      </w:r>
      <w:r w:rsidR="004D1343" w:rsidRPr="00C32887">
        <w:rPr>
          <w:rFonts w:ascii="Garamond" w:hAnsi="Garamond"/>
          <w:sz w:val="24"/>
          <w:szCs w:val="24"/>
        </w:rPr>
        <w:t xml:space="preserve">before the </w:t>
      </w:r>
      <w:r w:rsidR="00223455">
        <w:rPr>
          <w:rFonts w:ascii="Garamond" w:hAnsi="Garamond"/>
          <w:sz w:val="24"/>
          <w:szCs w:val="24"/>
        </w:rPr>
        <w:t xml:space="preserve">beginning </w:t>
      </w:r>
      <w:r w:rsidR="004D1343" w:rsidRPr="00C32887">
        <w:rPr>
          <w:rFonts w:ascii="Garamond" w:hAnsi="Garamond"/>
          <w:sz w:val="24"/>
          <w:szCs w:val="24"/>
        </w:rPr>
        <w:t xml:space="preserve">of use of the new </w:t>
      </w:r>
      <w:r w:rsidR="00371F6C">
        <w:rPr>
          <w:rFonts w:ascii="Garamond" w:hAnsi="Garamond"/>
          <w:sz w:val="24"/>
          <w:szCs w:val="24"/>
        </w:rPr>
        <w:t>centralis</w:t>
      </w:r>
      <w:r w:rsidR="00F243EC" w:rsidRPr="00C32887">
        <w:rPr>
          <w:rFonts w:ascii="Garamond" w:hAnsi="Garamond"/>
          <w:sz w:val="24"/>
          <w:szCs w:val="24"/>
        </w:rPr>
        <w:t>ed payroll system</w:t>
      </w:r>
      <w:r w:rsidR="001A4676" w:rsidRPr="001A4676">
        <w:rPr>
          <w:rFonts w:ascii="Garamond" w:hAnsi="Garamond"/>
          <w:sz w:val="24"/>
          <w:szCs w:val="24"/>
        </w:rPr>
        <w:t xml:space="preserve"> </w:t>
      </w:r>
      <w:r w:rsidR="001A4676" w:rsidRPr="00C32887">
        <w:rPr>
          <w:rFonts w:ascii="Garamond" w:hAnsi="Garamond"/>
          <w:sz w:val="24"/>
          <w:szCs w:val="24"/>
        </w:rPr>
        <w:t>application</w:t>
      </w:r>
      <w:r w:rsidR="004D1343"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977AC7">
      <w:pPr>
        <w:jc w:val="both"/>
        <w:rPr>
          <w:rFonts w:ascii="Garamond" w:hAnsi="Garamond"/>
          <w:sz w:val="24"/>
          <w:szCs w:val="24"/>
        </w:rPr>
      </w:pPr>
      <w:r w:rsidRPr="00C32887">
        <w:rPr>
          <w:rFonts w:ascii="Garamond" w:hAnsi="Garamond"/>
          <w:sz w:val="24"/>
          <w:szCs w:val="24"/>
        </w:rPr>
        <w:t xml:space="preserve">In order to </w:t>
      </w:r>
      <w:r w:rsidR="00371F6C">
        <w:rPr>
          <w:rFonts w:ascii="Garamond" w:hAnsi="Garamond"/>
          <w:sz w:val="24"/>
          <w:szCs w:val="24"/>
        </w:rPr>
        <w:t>link</w:t>
      </w:r>
      <w:r w:rsidRPr="00C32887">
        <w:rPr>
          <w:rFonts w:ascii="Garamond" w:hAnsi="Garamond"/>
          <w:sz w:val="24"/>
          <w:szCs w:val="24"/>
        </w:rPr>
        <w:t xml:space="preserve"> the</w:t>
      </w:r>
      <w:r w:rsidR="00223455">
        <w:rPr>
          <w:rFonts w:ascii="Garamond" w:hAnsi="Garamond"/>
          <w:sz w:val="24"/>
          <w:szCs w:val="24"/>
        </w:rPr>
        <w:t xml:space="preserve"> payroll</w:t>
      </w:r>
      <w:r w:rsidRPr="00C32887">
        <w:rPr>
          <w:rFonts w:ascii="Garamond" w:hAnsi="Garamond"/>
          <w:sz w:val="24"/>
          <w:szCs w:val="24"/>
        </w:rPr>
        <w:t xml:space="preserve"> records of employed civil servants and </w:t>
      </w:r>
      <w:r w:rsidR="001A4676">
        <w:rPr>
          <w:rFonts w:ascii="Garamond" w:hAnsi="Garamond"/>
          <w:sz w:val="24"/>
          <w:szCs w:val="24"/>
        </w:rPr>
        <w:t xml:space="preserve">state </w:t>
      </w:r>
      <w:r w:rsidRPr="00C32887">
        <w:rPr>
          <w:rFonts w:ascii="Garamond" w:hAnsi="Garamond"/>
          <w:sz w:val="24"/>
          <w:szCs w:val="24"/>
        </w:rPr>
        <w:t>employees with the Human Resources Administration</w:t>
      </w:r>
      <w:r w:rsidR="00223455" w:rsidRPr="00223455">
        <w:rPr>
          <w:rFonts w:ascii="Garamond" w:hAnsi="Garamond"/>
          <w:sz w:val="24"/>
          <w:szCs w:val="24"/>
        </w:rPr>
        <w:t xml:space="preserve"> </w:t>
      </w:r>
      <w:r w:rsidR="00223455" w:rsidRPr="00C32887">
        <w:rPr>
          <w:rFonts w:ascii="Garamond" w:hAnsi="Garamond"/>
          <w:sz w:val="24"/>
          <w:szCs w:val="24"/>
        </w:rPr>
        <w:t>system</w:t>
      </w:r>
      <w:r w:rsidR="00223455">
        <w:rPr>
          <w:rFonts w:ascii="Garamond" w:hAnsi="Garamond"/>
          <w:sz w:val="24"/>
          <w:szCs w:val="24"/>
        </w:rPr>
        <w:t>, the i</w:t>
      </w:r>
      <w:r w:rsidRPr="00C32887">
        <w:rPr>
          <w:rFonts w:ascii="Garamond" w:hAnsi="Garamond"/>
          <w:sz w:val="24"/>
          <w:szCs w:val="24"/>
        </w:rPr>
        <w:t>nterface between SCCoE and the Human Resourc</w:t>
      </w:r>
      <w:r w:rsidR="00977AC7">
        <w:rPr>
          <w:rFonts w:ascii="Garamond" w:hAnsi="Garamond"/>
          <w:sz w:val="24"/>
          <w:szCs w:val="24"/>
        </w:rPr>
        <w:t xml:space="preserve">es Administration was </w:t>
      </w:r>
      <w:r w:rsidR="001A4676">
        <w:rPr>
          <w:rFonts w:ascii="Garamond" w:hAnsi="Garamond"/>
          <w:sz w:val="24"/>
          <w:szCs w:val="24"/>
        </w:rPr>
        <w:t>developed</w:t>
      </w:r>
      <w:r w:rsidR="001A4676" w:rsidRPr="00C32887">
        <w:rPr>
          <w:rFonts w:ascii="Garamond" w:hAnsi="Garamond"/>
          <w:sz w:val="24"/>
          <w:szCs w:val="24"/>
        </w:rPr>
        <w:t>;</w:t>
      </w:r>
      <w:r w:rsidRPr="00C32887">
        <w:rPr>
          <w:rFonts w:ascii="Garamond" w:hAnsi="Garamond"/>
          <w:sz w:val="24"/>
          <w:szCs w:val="24"/>
        </w:rPr>
        <w:t xml:space="preserve"> the initial presentation of the service was held at the Ministry of Finance and Social Welfare </w:t>
      </w:r>
      <w:r w:rsidR="00223455">
        <w:rPr>
          <w:rFonts w:ascii="Garamond" w:hAnsi="Garamond"/>
          <w:sz w:val="24"/>
          <w:szCs w:val="24"/>
        </w:rPr>
        <w:t>in late</w:t>
      </w:r>
      <w:r w:rsidRPr="00C32887">
        <w:rPr>
          <w:rFonts w:ascii="Garamond" w:hAnsi="Garamond"/>
          <w:sz w:val="24"/>
          <w:szCs w:val="24"/>
        </w:rPr>
        <w:t xml:space="preserve"> September 2020.</w:t>
      </w:r>
    </w:p>
    <w:p w:rsidR="004D1343" w:rsidRPr="00C32887" w:rsidRDefault="004D1343" w:rsidP="004D1343">
      <w:pPr>
        <w:rPr>
          <w:rFonts w:ascii="Garamond" w:hAnsi="Garamond"/>
          <w:sz w:val="24"/>
          <w:szCs w:val="24"/>
        </w:rPr>
      </w:pPr>
    </w:p>
    <w:p w:rsidR="004D1343" w:rsidRPr="00C32887" w:rsidRDefault="004D1343" w:rsidP="00223455">
      <w:pPr>
        <w:jc w:val="both"/>
        <w:rPr>
          <w:rFonts w:ascii="Garamond" w:hAnsi="Garamond"/>
          <w:sz w:val="24"/>
          <w:szCs w:val="24"/>
        </w:rPr>
      </w:pPr>
      <w:r w:rsidRPr="00C32887">
        <w:rPr>
          <w:rFonts w:ascii="Garamond" w:hAnsi="Garamond"/>
          <w:sz w:val="24"/>
          <w:szCs w:val="24"/>
        </w:rPr>
        <w:t xml:space="preserve">The objectives and results envisaged for the second </w:t>
      </w:r>
      <w:r w:rsidR="00223455">
        <w:rPr>
          <w:rFonts w:ascii="Garamond" w:hAnsi="Garamond"/>
          <w:sz w:val="24"/>
          <w:szCs w:val="24"/>
        </w:rPr>
        <w:t>half of the year</w:t>
      </w:r>
      <w:r w:rsidRPr="00C32887">
        <w:rPr>
          <w:rFonts w:ascii="Garamond" w:hAnsi="Garamond"/>
          <w:sz w:val="24"/>
          <w:szCs w:val="24"/>
        </w:rPr>
        <w:t>, with the estimated degree of fulfillment of the results in percent</w:t>
      </w:r>
      <w:r w:rsidR="00223455">
        <w:rPr>
          <w:rFonts w:ascii="Garamond" w:hAnsi="Garamond"/>
          <w:sz w:val="24"/>
          <w:szCs w:val="24"/>
        </w:rPr>
        <w:t>ages,</w:t>
      </w:r>
      <w:r w:rsidRPr="00C32887">
        <w:rPr>
          <w:rFonts w:ascii="Garamond" w:hAnsi="Garamond"/>
          <w:sz w:val="24"/>
          <w:szCs w:val="24"/>
        </w:rPr>
        <w:t xml:space="preserve"> based on the user assessment</w:t>
      </w:r>
      <w:r w:rsidR="00223455">
        <w:rPr>
          <w:rFonts w:ascii="Garamond" w:hAnsi="Garamond"/>
          <w:sz w:val="24"/>
          <w:szCs w:val="24"/>
        </w:rPr>
        <w:t>,</w:t>
      </w:r>
      <w:r w:rsidRPr="00C32887">
        <w:rPr>
          <w:rFonts w:ascii="Garamond" w:hAnsi="Garamond"/>
          <w:sz w:val="24"/>
          <w:szCs w:val="24"/>
        </w:rPr>
        <w:t xml:space="preserve"> are shown in the table below:</w:t>
      </w:r>
    </w:p>
    <w:p w:rsidR="004D1343" w:rsidRDefault="004D1343" w:rsidP="004D1343">
      <w:pPr>
        <w:rPr>
          <w:rFonts w:ascii="Garamond" w:hAnsi="Garamond"/>
          <w:sz w:val="24"/>
          <w:szCs w:val="24"/>
        </w:rPr>
      </w:pPr>
    </w:p>
    <w:tbl>
      <w:tblPr>
        <w:tblW w:w="5000" w:type="pct"/>
        <w:jc w:val="center"/>
        <w:tblInd w:w="-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4A0"/>
      </w:tblPr>
      <w:tblGrid>
        <w:gridCol w:w="267"/>
        <w:gridCol w:w="2226"/>
        <w:gridCol w:w="273"/>
        <w:gridCol w:w="1702"/>
        <w:gridCol w:w="273"/>
        <w:gridCol w:w="2427"/>
        <w:gridCol w:w="273"/>
        <w:gridCol w:w="1760"/>
        <w:gridCol w:w="273"/>
      </w:tblGrid>
      <w:tr w:rsidR="00977AC7" w:rsidRPr="00223455" w:rsidTr="00223455">
        <w:trPr>
          <w:gridAfter w:val="1"/>
          <w:wAfter w:w="144" w:type="pct"/>
          <w:trHeight w:val="428"/>
          <w:jc w:val="center"/>
        </w:trPr>
        <w:tc>
          <w:tcPr>
            <w:tcW w:w="1316" w:type="pct"/>
            <w:gridSpan w:val="2"/>
            <w:vAlign w:val="center"/>
            <w:hideMark/>
          </w:tcPr>
          <w:p w:rsidR="00977AC7" w:rsidRPr="00223455" w:rsidRDefault="00977AC7" w:rsidP="00977AC7">
            <w:pPr>
              <w:rPr>
                <w:rFonts w:ascii="Garamond" w:hAnsi="Garamond"/>
                <w:b/>
                <w:sz w:val="18"/>
                <w:szCs w:val="18"/>
              </w:rPr>
            </w:pPr>
            <w:r w:rsidRPr="00223455">
              <w:rPr>
                <w:rFonts w:ascii="Garamond" w:hAnsi="Garamond"/>
                <w:b/>
                <w:sz w:val="18"/>
                <w:szCs w:val="18"/>
              </w:rPr>
              <w:t>Results / output data</w:t>
            </w:r>
          </w:p>
          <w:p w:rsidR="00977AC7" w:rsidRPr="00223455" w:rsidRDefault="00977AC7" w:rsidP="00977AC7">
            <w:pPr>
              <w:rPr>
                <w:rFonts w:ascii="Garamond" w:eastAsia="Times New Roman" w:hAnsi="Garamond" w:cs="Calibri Light"/>
                <w:b/>
                <w:sz w:val="18"/>
                <w:szCs w:val="18"/>
                <w:lang w:eastAsia="hu-HU" w:bidi="ar-SA"/>
              </w:rPr>
            </w:pPr>
          </w:p>
        </w:tc>
        <w:tc>
          <w:tcPr>
            <w:tcW w:w="1042" w:type="pct"/>
            <w:gridSpan w:val="2"/>
            <w:shd w:val="clear" w:color="auto" w:fill="EAE5EB"/>
            <w:vAlign w:val="center"/>
            <w:hideMark/>
          </w:tcPr>
          <w:p w:rsidR="00977AC7" w:rsidRPr="00223455" w:rsidRDefault="00977AC7" w:rsidP="00977AC7">
            <w:pPr>
              <w:rPr>
                <w:rFonts w:ascii="Garamond" w:hAnsi="Garamond"/>
                <w:b/>
                <w:sz w:val="18"/>
                <w:szCs w:val="18"/>
              </w:rPr>
            </w:pPr>
            <w:r w:rsidRPr="00223455">
              <w:rPr>
                <w:rFonts w:ascii="Garamond" w:hAnsi="Garamond"/>
                <w:b/>
                <w:sz w:val="18"/>
                <w:szCs w:val="18"/>
              </w:rPr>
              <w:t>Document</w:t>
            </w:r>
          </w:p>
          <w:p w:rsidR="00977AC7" w:rsidRPr="00223455" w:rsidRDefault="00977AC7" w:rsidP="00977AC7">
            <w:pPr>
              <w:rPr>
                <w:rFonts w:ascii="Garamond" w:eastAsia="Times New Roman" w:hAnsi="Garamond" w:cs="Calibri Light"/>
                <w:b/>
                <w:sz w:val="18"/>
                <w:szCs w:val="18"/>
                <w:lang w:eastAsia="hu-HU" w:bidi="ar-SA"/>
              </w:rPr>
            </w:pPr>
          </w:p>
        </w:tc>
        <w:tc>
          <w:tcPr>
            <w:tcW w:w="1425" w:type="pct"/>
            <w:gridSpan w:val="2"/>
            <w:shd w:val="clear" w:color="auto" w:fill="EAE5EB"/>
            <w:vAlign w:val="center"/>
            <w:hideMark/>
          </w:tcPr>
          <w:p w:rsidR="00977AC7" w:rsidRPr="00223455" w:rsidRDefault="00977AC7" w:rsidP="00977AC7">
            <w:pPr>
              <w:rPr>
                <w:rFonts w:ascii="Garamond" w:hAnsi="Garamond"/>
                <w:b/>
                <w:sz w:val="18"/>
                <w:szCs w:val="18"/>
              </w:rPr>
            </w:pPr>
            <w:r w:rsidRPr="00223455">
              <w:rPr>
                <w:rFonts w:ascii="Garamond" w:hAnsi="Garamond"/>
                <w:b/>
                <w:sz w:val="18"/>
                <w:szCs w:val="18"/>
              </w:rPr>
              <w:t>Technical deliverables</w:t>
            </w:r>
          </w:p>
          <w:p w:rsidR="00977AC7" w:rsidRPr="00223455" w:rsidRDefault="00977AC7" w:rsidP="00977AC7">
            <w:pPr>
              <w:rPr>
                <w:rFonts w:ascii="Garamond" w:eastAsia="Times New Roman" w:hAnsi="Garamond" w:cs="Calibri Light"/>
                <w:b/>
                <w:sz w:val="18"/>
                <w:szCs w:val="18"/>
                <w:lang w:eastAsia="hu-HU" w:bidi="ar-SA"/>
              </w:rPr>
            </w:pPr>
          </w:p>
        </w:tc>
        <w:tc>
          <w:tcPr>
            <w:tcW w:w="1073" w:type="pct"/>
            <w:gridSpan w:val="2"/>
            <w:shd w:val="clear" w:color="auto" w:fill="EAE5EB"/>
            <w:vAlign w:val="center"/>
            <w:hideMark/>
          </w:tcPr>
          <w:p w:rsidR="00977AC7" w:rsidRPr="00223455" w:rsidRDefault="00977AC7" w:rsidP="00977AC7">
            <w:pPr>
              <w:rPr>
                <w:rFonts w:ascii="Garamond" w:hAnsi="Garamond"/>
                <w:b/>
                <w:sz w:val="18"/>
                <w:szCs w:val="18"/>
              </w:rPr>
            </w:pPr>
            <w:r w:rsidRPr="00223455">
              <w:rPr>
                <w:rFonts w:ascii="Garamond" w:hAnsi="Garamond"/>
                <w:b/>
                <w:sz w:val="18"/>
                <w:szCs w:val="18"/>
              </w:rPr>
              <w:t>Estimated degree of goal fulfillment by the user</w:t>
            </w:r>
          </w:p>
          <w:p w:rsidR="00977AC7" w:rsidRPr="00223455" w:rsidRDefault="00977AC7" w:rsidP="00977AC7">
            <w:pPr>
              <w:rPr>
                <w:rFonts w:ascii="Garamond" w:eastAsia="Times New Roman" w:hAnsi="Garamond" w:cs="Calibri Light"/>
                <w:b/>
                <w:sz w:val="18"/>
                <w:szCs w:val="18"/>
                <w:lang w:eastAsia="hu-HU" w:bidi="ar-SA"/>
              </w:rPr>
            </w:pPr>
          </w:p>
        </w:tc>
      </w:tr>
      <w:tr w:rsidR="00977AC7" w:rsidRPr="00977AC7" w:rsidTr="00223455">
        <w:tblPrEx>
          <w:jc w:val="left"/>
        </w:tblPrEx>
        <w:trPr>
          <w:gridBefore w:val="1"/>
          <w:wBefore w:w="141" w:type="pct"/>
          <w:trHeight w:val="666"/>
        </w:trPr>
        <w:tc>
          <w:tcPr>
            <w:tcW w:w="1319" w:type="pct"/>
            <w:gridSpan w:val="2"/>
            <w:vAlign w:val="center"/>
            <w:hideMark/>
          </w:tcPr>
          <w:p w:rsidR="00977AC7" w:rsidRPr="00977AC7" w:rsidRDefault="00977AC7" w:rsidP="00977AC7">
            <w:pPr>
              <w:rPr>
                <w:rFonts w:ascii="Garamond" w:hAnsi="Garamond"/>
                <w:sz w:val="18"/>
                <w:szCs w:val="18"/>
              </w:rPr>
            </w:pPr>
            <w:r w:rsidRPr="00977AC7">
              <w:rPr>
                <w:rFonts w:ascii="Garamond" w:hAnsi="Garamond"/>
                <w:sz w:val="18"/>
                <w:szCs w:val="18"/>
              </w:rPr>
              <w:t>Successfully conducted training for IT administrators and key users</w:t>
            </w:r>
          </w:p>
        </w:tc>
        <w:tc>
          <w:tcPr>
            <w:tcW w:w="1042" w:type="pct"/>
            <w:gridSpan w:val="2"/>
            <w:vMerge w:val="restart"/>
            <w:vAlign w:val="center"/>
            <w:hideMark/>
          </w:tcPr>
          <w:p w:rsidR="00977AC7" w:rsidRPr="00977AC7" w:rsidRDefault="00977AC7" w:rsidP="00977AC7">
            <w:pPr>
              <w:rPr>
                <w:rFonts w:ascii="Garamond" w:hAnsi="Garamond"/>
                <w:sz w:val="18"/>
                <w:szCs w:val="18"/>
              </w:rPr>
            </w:pPr>
            <w:r w:rsidRPr="00977AC7">
              <w:rPr>
                <w:rFonts w:ascii="Garamond" w:hAnsi="Garamond"/>
                <w:sz w:val="18"/>
                <w:szCs w:val="18"/>
              </w:rPr>
              <w:t xml:space="preserve">The </w:t>
            </w:r>
            <w:r w:rsidR="00223455" w:rsidRPr="00977AC7">
              <w:rPr>
                <w:rFonts w:ascii="Garamond" w:hAnsi="Garamond"/>
                <w:sz w:val="18"/>
                <w:szCs w:val="18"/>
              </w:rPr>
              <w:t>Second Interim Progress Report</w:t>
            </w:r>
            <w:r w:rsidRPr="00977AC7">
              <w:rPr>
                <w:rFonts w:ascii="Garamond" w:hAnsi="Garamond"/>
                <w:sz w:val="18"/>
                <w:szCs w:val="18"/>
              </w:rPr>
              <w:t xml:space="preserve"> (as of 9 January 2021)</w:t>
            </w:r>
          </w:p>
          <w:p w:rsidR="00977AC7" w:rsidRPr="00977AC7" w:rsidRDefault="00977AC7" w:rsidP="00977AC7">
            <w:pPr>
              <w:jc w:val="both"/>
              <w:rPr>
                <w:rFonts w:ascii="Garamond" w:eastAsia="Times New Roman" w:hAnsi="Garamond" w:cs="Calibri Light"/>
                <w:sz w:val="18"/>
                <w:szCs w:val="18"/>
                <w:lang w:eastAsia="hu-HU" w:bidi="ar-SA"/>
              </w:rPr>
            </w:pPr>
          </w:p>
        </w:tc>
        <w:tc>
          <w:tcPr>
            <w:tcW w:w="1425" w:type="pct"/>
            <w:gridSpan w:val="2"/>
            <w:vAlign w:val="center"/>
            <w:hideMark/>
          </w:tcPr>
          <w:p w:rsidR="00977AC7" w:rsidRPr="00977AC7" w:rsidRDefault="00977AC7" w:rsidP="00977AC7">
            <w:pPr>
              <w:rPr>
                <w:rFonts w:ascii="Garamond" w:hAnsi="Garamond"/>
                <w:sz w:val="18"/>
                <w:szCs w:val="18"/>
              </w:rPr>
            </w:pPr>
            <w:r w:rsidRPr="00977AC7">
              <w:rPr>
                <w:rFonts w:ascii="Garamond" w:hAnsi="Garamond"/>
                <w:sz w:val="18"/>
                <w:szCs w:val="18"/>
              </w:rPr>
              <w:t>D9. Training needs analysis</w:t>
            </w:r>
          </w:p>
          <w:p w:rsidR="00977AC7" w:rsidRPr="00977AC7" w:rsidRDefault="00977AC7" w:rsidP="00977AC7">
            <w:pPr>
              <w:rPr>
                <w:rFonts w:ascii="Garamond" w:hAnsi="Garamond"/>
                <w:sz w:val="18"/>
                <w:szCs w:val="18"/>
              </w:rPr>
            </w:pPr>
            <w:r w:rsidRPr="00977AC7">
              <w:rPr>
                <w:rFonts w:ascii="Garamond" w:hAnsi="Garamond"/>
                <w:sz w:val="18"/>
                <w:szCs w:val="18"/>
              </w:rPr>
              <w:t>D10. Methodology and training plan</w:t>
            </w:r>
          </w:p>
          <w:p w:rsidR="00977AC7" w:rsidRPr="00977AC7" w:rsidRDefault="00977AC7" w:rsidP="00977AC7">
            <w:pPr>
              <w:rPr>
                <w:rFonts w:ascii="Garamond" w:eastAsia="Times New Roman" w:hAnsi="Garamond" w:cs="Calibri Light"/>
                <w:sz w:val="18"/>
                <w:szCs w:val="18"/>
                <w:lang w:eastAsia="hu-HU" w:bidi="ar-SA"/>
              </w:rPr>
            </w:pPr>
            <w:r w:rsidRPr="00977AC7">
              <w:rPr>
                <w:rFonts w:ascii="Garamond" w:hAnsi="Garamond"/>
                <w:sz w:val="18"/>
                <w:szCs w:val="18"/>
              </w:rPr>
              <w:t>D11. Training materials</w:t>
            </w:r>
          </w:p>
        </w:tc>
        <w:tc>
          <w:tcPr>
            <w:tcW w:w="1073" w:type="pct"/>
            <w:gridSpan w:val="2"/>
            <w:vAlign w:val="center"/>
            <w:hideMark/>
          </w:tcPr>
          <w:p w:rsidR="00977AC7" w:rsidRPr="00977AC7" w:rsidRDefault="00977AC7" w:rsidP="00977AC7">
            <w:pPr>
              <w:jc w:val="center"/>
              <w:rPr>
                <w:rFonts w:ascii="Garamond" w:eastAsia="Times New Roman" w:hAnsi="Garamond" w:cs="Calibri Light"/>
                <w:sz w:val="18"/>
                <w:szCs w:val="18"/>
                <w:lang w:eastAsia="hu-HU" w:bidi="ar-SA"/>
              </w:rPr>
            </w:pPr>
            <w:r w:rsidRPr="00977AC7">
              <w:rPr>
                <w:rFonts w:ascii="Garamond" w:eastAsia="Times New Roman" w:hAnsi="Garamond" w:cs="Calibri Light"/>
                <w:sz w:val="18"/>
                <w:szCs w:val="18"/>
                <w:lang w:eastAsia="hu-HU" w:bidi="ar-SA"/>
              </w:rPr>
              <w:t>25%</w:t>
            </w:r>
          </w:p>
        </w:tc>
      </w:tr>
      <w:tr w:rsidR="00977AC7" w:rsidRPr="00977AC7" w:rsidTr="00223455">
        <w:tblPrEx>
          <w:jc w:val="left"/>
        </w:tblPrEx>
        <w:trPr>
          <w:gridBefore w:val="1"/>
          <w:wBefore w:w="141" w:type="pct"/>
          <w:trHeight w:val="137"/>
        </w:trPr>
        <w:tc>
          <w:tcPr>
            <w:tcW w:w="1319" w:type="pct"/>
            <w:gridSpan w:val="2"/>
            <w:vAlign w:val="center"/>
            <w:hideMark/>
          </w:tcPr>
          <w:p w:rsidR="00977AC7" w:rsidRPr="00977AC7" w:rsidRDefault="00977AC7" w:rsidP="00977AC7">
            <w:pPr>
              <w:rPr>
                <w:rFonts w:ascii="Garamond" w:eastAsia="Times New Roman" w:hAnsi="Garamond" w:cs="Calibri Light"/>
                <w:sz w:val="18"/>
                <w:szCs w:val="18"/>
                <w:lang w:eastAsia="hu-HU" w:bidi="ar-SA"/>
              </w:rPr>
            </w:pPr>
            <w:r w:rsidRPr="00977AC7">
              <w:rPr>
                <w:rFonts w:ascii="Garamond" w:hAnsi="Garamond"/>
                <w:sz w:val="18"/>
                <w:szCs w:val="18"/>
              </w:rPr>
              <w:t>The centrali</w:t>
            </w:r>
            <w:r w:rsidR="00371F6C">
              <w:rPr>
                <w:rFonts w:ascii="Garamond" w:hAnsi="Garamond"/>
                <w:sz w:val="18"/>
                <w:szCs w:val="18"/>
              </w:rPr>
              <w:t>sed</w:t>
            </w:r>
            <w:r w:rsidRPr="00977AC7">
              <w:rPr>
                <w:rFonts w:ascii="Garamond" w:hAnsi="Garamond"/>
                <w:sz w:val="18"/>
                <w:szCs w:val="18"/>
              </w:rPr>
              <w:t xml:space="preserve"> payroll IT system has been adjusted, all shortcomings and failures have been eliminated, </w:t>
            </w:r>
            <w:proofErr w:type="gramStart"/>
            <w:r w:rsidRPr="00977AC7">
              <w:rPr>
                <w:rFonts w:ascii="Garamond" w:hAnsi="Garamond"/>
                <w:sz w:val="18"/>
                <w:szCs w:val="18"/>
              </w:rPr>
              <w:t>interoperability</w:t>
            </w:r>
            <w:proofErr w:type="gramEnd"/>
            <w:r w:rsidRPr="00977AC7">
              <w:rPr>
                <w:rFonts w:ascii="Garamond" w:hAnsi="Garamond"/>
                <w:sz w:val="18"/>
                <w:szCs w:val="18"/>
              </w:rPr>
              <w:t xml:space="preserve"> has been ensured.</w:t>
            </w:r>
          </w:p>
        </w:tc>
        <w:tc>
          <w:tcPr>
            <w:tcW w:w="1042" w:type="pct"/>
            <w:gridSpan w:val="2"/>
            <w:vMerge/>
            <w:vAlign w:val="center"/>
            <w:hideMark/>
          </w:tcPr>
          <w:p w:rsidR="00977AC7" w:rsidRPr="00977AC7" w:rsidRDefault="00977AC7" w:rsidP="00977AC7">
            <w:pPr>
              <w:spacing w:after="120"/>
              <w:jc w:val="center"/>
              <w:rPr>
                <w:rFonts w:ascii="Garamond" w:eastAsia="游明朝" w:hAnsi="Garamond" w:cs="Calibri Light"/>
                <w:b/>
                <w:sz w:val="18"/>
                <w:szCs w:val="18"/>
                <w:lang w:eastAsia="en-US" w:bidi="ar-SA"/>
              </w:rPr>
            </w:pPr>
          </w:p>
        </w:tc>
        <w:tc>
          <w:tcPr>
            <w:tcW w:w="1425" w:type="pct"/>
            <w:gridSpan w:val="2"/>
            <w:vAlign w:val="center"/>
            <w:hideMark/>
          </w:tcPr>
          <w:p w:rsidR="00977AC7" w:rsidRPr="00977AC7" w:rsidRDefault="00977AC7" w:rsidP="00977AC7">
            <w:pPr>
              <w:rPr>
                <w:rFonts w:ascii="Garamond" w:hAnsi="Garamond"/>
                <w:sz w:val="18"/>
                <w:szCs w:val="18"/>
              </w:rPr>
            </w:pPr>
            <w:r w:rsidRPr="00977AC7">
              <w:rPr>
                <w:rFonts w:ascii="Garamond" w:hAnsi="Garamond"/>
                <w:sz w:val="18"/>
                <w:szCs w:val="18"/>
              </w:rPr>
              <w:t>D12. Testing plans</w:t>
            </w:r>
          </w:p>
          <w:p w:rsidR="00977AC7" w:rsidRPr="00977AC7" w:rsidRDefault="00977AC7" w:rsidP="00977AC7">
            <w:pPr>
              <w:rPr>
                <w:rFonts w:ascii="Garamond" w:hAnsi="Garamond"/>
                <w:sz w:val="18"/>
                <w:szCs w:val="18"/>
              </w:rPr>
            </w:pPr>
            <w:r w:rsidRPr="00977AC7">
              <w:rPr>
                <w:rFonts w:ascii="Garamond" w:hAnsi="Garamond"/>
                <w:sz w:val="18"/>
                <w:szCs w:val="18"/>
              </w:rPr>
              <w:t>D13. Cases to be tested</w:t>
            </w:r>
          </w:p>
          <w:p w:rsidR="00977AC7" w:rsidRPr="00977AC7" w:rsidRDefault="00977AC7" w:rsidP="00977AC7">
            <w:pPr>
              <w:rPr>
                <w:rFonts w:ascii="Garamond" w:hAnsi="Garamond"/>
                <w:sz w:val="18"/>
                <w:szCs w:val="18"/>
              </w:rPr>
            </w:pPr>
            <w:r w:rsidRPr="00977AC7">
              <w:rPr>
                <w:rFonts w:ascii="Garamond" w:hAnsi="Garamond"/>
                <w:sz w:val="18"/>
                <w:szCs w:val="18"/>
              </w:rPr>
              <w:t>D14. UAT specification</w:t>
            </w:r>
          </w:p>
          <w:p w:rsidR="00977AC7" w:rsidRPr="00977AC7" w:rsidRDefault="00977AC7" w:rsidP="00977AC7">
            <w:pPr>
              <w:rPr>
                <w:rFonts w:ascii="Garamond" w:eastAsia="Times New Roman" w:hAnsi="Garamond" w:cs="Calibri Light"/>
                <w:sz w:val="18"/>
                <w:szCs w:val="18"/>
                <w:lang w:eastAsia="hu-HU" w:bidi="ar-SA"/>
              </w:rPr>
            </w:pPr>
            <w:r w:rsidRPr="00977AC7">
              <w:rPr>
                <w:rFonts w:ascii="Garamond" w:hAnsi="Garamond"/>
                <w:sz w:val="18"/>
                <w:szCs w:val="18"/>
              </w:rPr>
              <w:t>D15. Delivery plan, including backup plan</w:t>
            </w:r>
          </w:p>
        </w:tc>
        <w:tc>
          <w:tcPr>
            <w:tcW w:w="1073" w:type="pct"/>
            <w:gridSpan w:val="2"/>
            <w:vAlign w:val="center"/>
            <w:hideMark/>
          </w:tcPr>
          <w:p w:rsidR="00977AC7" w:rsidRPr="00977AC7" w:rsidRDefault="00977AC7" w:rsidP="00977AC7">
            <w:pPr>
              <w:jc w:val="center"/>
              <w:rPr>
                <w:rFonts w:ascii="Garamond" w:eastAsia="Times New Roman" w:hAnsi="Garamond" w:cs="Calibri Light"/>
                <w:sz w:val="18"/>
                <w:szCs w:val="18"/>
                <w:lang w:eastAsia="hu-HU" w:bidi="ar-SA"/>
              </w:rPr>
            </w:pPr>
            <w:r w:rsidRPr="00977AC7">
              <w:rPr>
                <w:rFonts w:ascii="Garamond" w:eastAsia="Times New Roman" w:hAnsi="Garamond" w:cs="Calibri Light"/>
                <w:sz w:val="18"/>
                <w:szCs w:val="18"/>
                <w:lang w:eastAsia="hu-HU" w:bidi="ar-SA"/>
              </w:rPr>
              <w:t>25%</w:t>
            </w:r>
          </w:p>
        </w:tc>
      </w:tr>
    </w:tbl>
    <w:p w:rsidR="00977AC7" w:rsidRPr="00C32887" w:rsidRDefault="00977AC7" w:rsidP="004D1343">
      <w:pPr>
        <w:rPr>
          <w:rFonts w:ascii="Garamond" w:hAnsi="Garamond"/>
          <w:sz w:val="24"/>
          <w:szCs w:val="24"/>
        </w:rPr>
      </w:pPr>
    </w:p>
    <w:p w:rsidR="004D1343" w:rsidRPr="00C32887" w:rsidRDefault="004D1343" w:rsidP="00977AC7">
      <w:pPr>
        <w:jc w:val="both"/>
        <w:rPr>
          <w:rFonts w:ascii="Garamond" w:hAnsi="Garamond"/>
          <w:sz w:val="24"/>
          <w:szCs w:val="24"/>
        </w:rPr>
      </w:pPr>
      <w:r w:rsidRPr="00C32887">
        <w:rPr>
          <w:rFonts w:ascii="Garamond" w:hAnsi="Garamond"/>
          <w:sz w:val="24"/>
          <w:szCs w:val="24"/>
        </w:rPr>
        <w:t xml:space="preserve">It is important to </w:t>
      </w:r>
      <w:r w:rsidR="00223455">
        <w:rPr>
          <w:rFonts w:ascii="Garamond" w:hAnsi="Garamond"/>
          <w:sz w:val="24"/>
          <w:szCs w:val="24"/>
        </w:rPr>
        <w:t>note</w:t>
      </w:r>
      <w:r w:rsidRPr="00C32887">
        <w:rPr>
          <w:rFonts w:ascii="Garamond" w:hAnsi="Garamond"/>
          <w:sz w:val="24"/>
          <w:szCs w:val="24"/>
        </w:rPr>
        <w:t xml:space="preserve"> that access to the test version of the application and trial use of the system functionalities developed so far is provided to users in the Directorat</w:t>
      </w:r>
      <w:r w:rsidR="00005FDF">
        <w:rPr>
          <w:rFonts w:ascii="Garamond" w:hAnsi="Garamond"/>
          <w:sz w:val="24"/>
          <w:szCs w:val="24"/>
        </w:rPr>
        <w:t>e for Payroll Calculation and Control</w:t>
      </w:r>
      <w:r w:rsidRPr="00C32887">
        <w:rPr>
          <w:rFonts w:ascii="Garamond" w:hAnsi="Garamond"/>
          <w:sz w:val="24"/>
          <w:szCs w:val="24"/>
        </w:rPr>
        <w:t xml:space="preserve">. The trainings included two key </w:t>
      </w:r>
      <w:r w:rsidR="00643857" w:rsidRPr="00C32887">
        <w:rPr>
          <w:rFonts w:ascii="Garamond" w:hAnsi="Garamond"/>
          <w:sz w:val="24"/>
          <w:szCs w:val="24"/>
        </w:rPr>
        <w:t>groups;</w:t>
      </w:r>
      <w:r w:rsidRPr="00C32887">
        <w:rPr>
          <w:rFonts w:ascii="Garamond" w:hAnsi="Garamond"/>
          <w:sz w:val="24"/>
          <w:szCs w:val="24"/>
        </w:rPr>
        <w:t xml:space="preserve"> key users within the Directorate for </w:t>
      </w:r>
      <w:r w:rsidR="00643857">
        <w:rPr>
          <w:rFonts w:ascii="Garamond" w:hAnsi="Garamond"/>
          <w:sz w:val="24"/>
          <w:szCs w:val="24"/>
        </w:rPr>
        <w:t xml:space="preserve">Payroll Calculation and Control </w:t>
      </w:r>
      <w:r w:rsidRPr="00C32887">
        <w:rPr>
          <w:rFonts w:ascii="Garamond" w:hAnsi="Garamond"/>
          <w:sz w:val="24"/>
          <w:szCs w:val="24"/>
        </w:rPr>
        <w:t xml:space="preserve">in the Ministry of Finance and Social Welfare, and after acquiring a satisfactory level of knowledge, </w:t>
      </w:r>
      <w:r w:rsidR="00A567B8">
        <w:rPr>
          <w:rFonts w:ascii="Garamond" w:hAnsi="Garamond"/>
          <w:sz w:val="24"/>
          <w:szCs w:val="24"/>
        </w:rPr>
        <w:t xml:space="preserve">the </w:t>
      </w:r>
      <w:r w:rsidRPr="00C32887">
        <w:rPr>
          <w:rFonts w:ascii="Garamond" w:hAnsi="Garamond"/>
          <w:sz w:val="24"/>
          <w:szCs w:val="24"/>
        </w:rPr>
        <w:t>trained key users continue training for end users in all spending units outside the Ministry o</w:t>
      </w:r>
      <w:r w:rsidR="005B41A8">
        <w:rPr>
          <w:rFonts w:ascii="Garamond" w:hAnsi="Garamond"/>
          <w:sz w:val="24"/>
          <w:szCs w:val="24"/>
        </w:rPr>
        <w:t xml:space="preserve">f Finance and Social Welfare. </w:t>
      </w:r>
      <w:r w:rsidRPr="00C32887">
        <w:rPr>
          <w:rFonts w:ascii="Garamond" w:hAnsi="Garamond"/>
          <w:sz w:val="24"/>
          <w:szCs w:val="24"/>
        </w:rPr>
        <w:t xml:space="preserve">The planned training for key </w:t>
      </w:r>
      <w:r w:rsidR="005B41A8">
        <w:rPr>
          <w:rFonts w:ascii="Garamond" w:hAnsi="Garamond"/>
          <w:sz w:val="24"/>
          <w:szCs w:val="24"/>
        </w:rPr>
        <w:t>users</w:t>
      </w:r>
      <w:r w:rsidRPr="00C32887">
        <w:rPr>
          <w:rFonts w:ascii="Garamond" w:hAnsi="Garamond"/>
          <w:sz w:val="24"/>
          <w:szCs w:val="24"/>
        </w:rPr>
        <w:t xml:space="preserve"> should take place shortly before the </w:t>
      </w:r>
      <w:r w:rsidR="00643857">
        <w:rPr>
          <w:rFonts w:ascii="Garamond" w:hAnsi="Garamond"/>
          <w:sz w:val="24"/>
          <w:szCs w:val="24"/>
        </w:rPr>
        <w:t>beginning</w:t>
      </w:r>
      <w:r w:rsidRPr="00C32887">
        <w:rPr>
          <w:rFonts w:ascii="Garamond" w:hAnsi="Garamond"/>
          <w:sz w:val="24"/>
          <w:szCs w:val="24"/>
        </w:rPr>
        <w:t xml:space="preserve"> of use of the new centrali</w:t>
      </w:r>
      <w:r w:rsidR="00371F6C">
        <w:rPr>
          <w:rFonts w:ascii="Garamond" w:hAnsi="Garamond"/>
          <w:sz w:val="24"/>
          <w:szCs w:val="24"/>
        </w:rPr>
        <w:t>sed</w:t>
      </w:r>
      <w:r w:rsidRPr="00C32887">
        <w:rPr>
          <w:rFonts w:ascii="Garamond" w:hAnsi="Garamond"/>
          <w:sz w:val="24"/>
          <w:szCs w:val="24"/>
        </w:rPr>
        <w:t xml:space="preserve"> payroll system application. Interface for connection with the system of the Human Resources </w:t>
      </w:r>
      <w:r w:rsidR="005B41A8">
        <w:rPr>
          <w:rFonts w:ascii="Garamond" w:hAnsi="Garamond"/>
          <w:sz w:val="24"/>
          <w:szCs w:val="24"/>
        </w:rPr>
        <w:t xml:space="preserve">Administration </w:t>
      </w:r>
      <w:r w:rsidRPr="00C32887">
        <w:rPr>
          <w:rFonts w:ascii="Garamond" w:hAnsi="Garamond"/>
          <w:sz w:val="24"/>
          <w:szCs w:val="24"/>
        </w:rPr>
        <w:t xml:space="preserve">was created, and a </w:t>
      </w:r>
      <w:r w:rsidR="00643857" w:rsidRPr="00C32887">
        <w:rPr>
          <w:rFonts w:ascii="Garamond" w:hAnsi="Garamond"/>
          <w:sz w:val="24"/>
          <w:szCs w:val="24"/>
        </w:rPr>
        <w:t>service</w:t>
      </w:r>
      <w:r w:rsidR="00643857" w:rsidRPr="005B41A8">
        <w:rPr>
          <w:rFonts w:ascii="Garamond" w:hAnsi="Garamond"/>
          <w:sz w:val="24"/>
          <w:szCs w:val="24"/>
        </w:rPr>
        <w:t xml:space="preserve"> </w:t>
      </w:r>
      <w:r w:rsidRPr="00C32887">
        <w:rPr>
          <w:rFonts w:ascii="Garamond" w:hAnsi="Garamond"/>
          <w:sz w:val="24"/>
          <w:szCs w:val="24"/>
        </w:rPr>
        <w:t xml:space="preserve">demonstration </w:t>
      </w:r>
      <w:r w:rsidR="005B41A8" w:rsidRPr="00C32887">
        <w:rPr>
          <w:rFonts w:ascii="Garamond" w:hAnsi="Garamond"/>
          <w:sz w:val="24"/>
          <w:szCs w:val="24"/>
        </w:rPr>
        <w:t xml:space="preserve">was </w:t>
      </w:r>
      <w:r w:rsidR="00643857">
        <w:rPr>
          <w:rFonts w:ascii="Garamond" w:hAnsi="Garamond"/>
          <w:sz w:val="24"/>
          <w:szCs w:val="24"/>
        </w:rPr>
        <w:t>performed</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5B41A8" w:rsidRDefault="005B41A8">
      <w:pPr>
        <w:rPr>
          <w:rFonts w:ascii="Garamond" w:hAnsi="Garamond"/>
          <w:sz w:val="24"/>
          <w:szCs w:val="24"/>
        </w:rPr>
      </w:pPr>
    </w:p>
    <w:tbl>
      <w:tblPr>
        <w:tblW w:w="5000" w:type="pct"/>
        <w:jc w:val="center"/>
        <w:tblLayout w:type="fixed"/>
        <w:tblLook w:val="04A0"/>
      </w:tblPr>
      <w:tblGrid>
        <w:gridCol w:w="2069"/>
        <w:gridCol w:w="614"/>
        <w:gridCol w:w="790"/>
        <w:gridCol w:w="787"/>
        <w:gridCol w:w="787"/>
        <w:gridCol w:w="789"/>
        <w:gridCol w:w="789"/>
        <w:gridCol w:w="787"/>
        <w:gridCol w:w="787"/>
        <w:gridCol w:w="789"/>
        <w:gridCol w:w="588"/>
      </w:tblGrid>
      <w:tr w:rsidR="005B41A8" w:rsidRPr="00643857" w:rsidTr="008E6887">
        <w:trPr>
          <w:trHeight w:val="308"/>
          <w:jc w:val="center"/>
        </w:trPr>
        <w:tc>
          <w:tcPr>
            <w:tcW w:w="1080" w:type="pct"/>
            <w:vMerge w:val="restart"/>
            <w:tcBorders>
              <w:top w:val="single" w:sz="18" w:space="0" w:color="auto"/>
              <w:left w:val="single" w:sz="18" w:space="0" w:color="auto"/>
              <w:right w:val="single" w:sz="12" w:space="0" w:color="auto"/>
            </w:tcBorders>
            <w:shd w:val="clear" w:color="auto" w:fill="auto"/>
            <w:vAlign w:val="center"/>
            <w:hideMark/>
          </w:tcPr>
          <w:p w:rsidR="005B41A8" w:rsidRPr="00643857" w:rsidRDefault="008348EB" w:rsidP="005B41A8">
            <w:pPr>
              <w:rPr>
                <w:rFonts w:ascii="Garamond" w:hAnsi="Garamond"/>
                <w:b/>
                <w:sz w:val="16"/>
                <w:szCs w:val="16"/>
              </w:rPr>
            </w:pPr>
            <w:r w:rsidRPr="00643857">
              <w:rPr>
                <w:rFonts w:ascii="Garamond" w:hAnsi="Garamond"/>
                <w:b/>
                <w:sz w:val="16"/>
                <w:szCs w:val="16"/>
              </w:rPr>
              <w:t>Performance Indicator</w:t>
            </w:r>
            <w:r w:rsidR="005B41A8" w:rsidRPr="00643857">
              <w:rPr>
                <w:rFonts w:ascii="Garamond" w:hAnsi="Garamond"/>
                <w:b/>
                <w:sz w:val="16"/>
                <w:szCs w:val="16"/>
              </w:rPr>
              <w:tab/>
            </w:r>
          </w:p>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p>
        </w:tc>
        <w:tc>
          <w:tcPr>
            <w:tcW w:w="320" w:type="pct"/>
            <w:vMerge w:val="restart"/>
            <w:tcBorders>
              <w:top w:val="single" w:sz="18" w:space="0" w:color="auto"/>
              <w:left w:val="single" w:sz="12" w:space="0" w:color="auto"/>
              <w:right w:val="single" w:sz="12" w:space="0" w:color="auto"/>
            </w:tcBorders>
            <w:shd w:val="clear" w:color="auto" w:fill="auto"/>
            <w:vAlign w:val="center"/>
            <w:hideMark/>
          </w:tcPr>
          <w:p w:rsidR="005B41A8" w:rsidRPr="00643857" w:rsidRDefault="005B41A8" w:rsidP="005B41A8">
            <w:pPr>
              <w:rPr>
                <w:rFonts w:ascii="Garamond" w:hAnsi="Garamond"/>
                <w:b/>
                <w:sz w:val="16"/>
                <w:szCs w:val="16"/>
              </w:rPr>
            </w:pPr>
            <w:r w:rsidRPr="00643857">
              <w:rPr>
                <w:rFonts w:ascii="Garamond" w:hAnsi="Garamond"/>
                <w:b/>
                <w:sz w:val="16"/>
                <w:szCs w:val="16"/>
              </w:rPr>
              <w:t>Planned 2014</w:t>
            </w:r>
          </w:p>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p>
        </w:tc>
        <w:tc>
          <w:tcPr>
            <w:tcW w:w="823" w:type="pct"/>
            <w:gridSpan w:val="2"/>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2017</w:t>
            </w:r>
          </w:p>
        </w:tc>
        <w:tc>
          <w:tcPr>
            <w:tcW w:w="823" w:type="pct"/>
            <w:gridSpan w:val="2"/>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2018</w:t>
            </w:r>
          </w:p>
        </w:tc>
        <w:tc>
          <w:tcPr>
            <w:tcW w:w="823" w:type="pct"/>
            <w:gridSpan w:val="2"/>
            <w:tcBorders>
              <w:top w:val="single" w:sz="18" w:space="0" w:color="auto"/>
              <w:left w:val="single" w:sz="12" w:space="0" w:color="auto"/>
              <w:bottom w:val="single" w:sz="12" w:space="0" w:color="auto"/>
              <w:right w:val="single" w:sz="12" w:space="0" w:color="auto"/>
            </w:tcBorders>
          </w:tcPr>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2019</w:t>
            </w:r>
          </w:p>
        </w:tc>
        <w:tc>
          <w:tcPr>
            <w:tcW w:w="823" w:type="pct"/>
            <w:gridSpan w:val="2"/>
            <w:tcBorders>
              <w:top w:val="single" w:sz="18" w:space="0" w:color="auto"/>
              <w:left w:val="single" w:sz="12" w:space="0" w:color="auto"/>
              <w:bottom w:val="single" w:sz="12" w:space="0" w:color="auto"/>
              <w:right w:val="single" w:sz="18" w:space="0" w:color="auto"/>
            </w:tcBorders>
          </w:tcPr>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2020</w:t>
            </w:r>
          </w:p>
        </w:tc>
        <w:tc>
          <w:tcPr>
            <w:tcW w:w="307" w:type="pct"/>
            <w:vMerge w:val="restart"/>
            <w:tcBorders>
              <w:top w:val="single" w:sz="18" w:space="0" w:color="auto"/>
              <w:left w:val="single" w:sz="12" w:space="0" w:color="auto"/>
              <w:right w:val="single" w:sz="18" w:space="0" w:color="auto"/>
            </w:tcBorders>
            <w:shd w:val="clear" w:color="auto" w:fill="auto"/>
            <w:vAlign w:val="center"/>
            <w:hideMark/>
          </w:tcPr>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Trend</w:t>
            </w:r>
          </w:p>
        </w:tc>
      </w:tr>
      <w:tr w:rsidR="005B41A8" w:rsidRPr="00643857" w:rsidTr="008E6887">
        <w:trPr>
          <w:trHeight w:val="484"/>
          <w:jc w:val="center"/>
        </w:trPr>
        <w:tc>
          <w:tcPr>
            <w:tcW w:w="1080" w:type="pct"/>
            <w:vMerge/>
            <w:tcBorders>
              <w:left w:val="single" w:sz="18" w:space="0" w:color="auto"/>
              <w:bottom w:val="single" w:sz="12" w:space="0" w:color="000000"/>
              <w:right w:val="single" w:sz="12" w:space="0" w:color="auto"/>
            </w:tcBorders>
            <w:vAlign w:val="center"/>
            <w:hideMark/>
          </w:tcPr>
          <w:p w:rsidR="005B41A8" w:rsidRPr="00643857" w:rsidRDefault="005B41A8" w:rsidP="005B41A8">
            <w:pPr>
              <w:widowControl/>
              <w:autoSpaceDE/>
              <w:autoSpaceDN/>
              <w:jc w:val="both"/>
              <w:rPr>
                <w:rFonts w:ascii="Garamond" w:eastAsia="Times New Roman" w:hAnsi="Garamond" w:cs="Calibri"/>
                <w:b/>
                <w:bCs/>
                <w:sz w:val="16"/>
                <w:szCs w:val="16"/>
                <w:lang w:eastAsia="en-US" w:bidi="ar-SA"/>
              </w:rPr>
            </w:pPr>
          </w:p>
        </w:tc>
        <w:tc>
          <w:tcPr>
            <w:tcW w:w="320" w:type="pct"/>
            <w:vMerge/>
            <w:tcBorders>
              <w:left w:val="single" w:sz="12" w:space="0" w:color="auto"/>
              <w:bottom w:val="single" w:sz="12" w:space="0" w:color="000000"/>
              <w:right w:val="single" w:sz="12" w:space="0" w:color="auto"/>
            </w:tcBorders>
            <w:vAlign w:val="center"/>
            <w:hideMark/>
          </w:tcPr>
          <w:p w:rsidR="005B41A8" w:rsidRPr="00643857" w:rsidRDefault="005B41A8" w:rsidP="005B41A8">
            <w:pPr>
              <w:widowControl/>
              <w:autoSpaceDE/>
              <w:autoSpaceDN/>
              <w:jc w:val="both"/>
              <w:rPr>
                <w:rFonts w:ascii="Garamond" w:eastAsia="Times New Roman" w:hAnsi="Garamond" w:cs="Calibri"/>
                <w:b/>
                <w:bCs/>
                <w:sz w:val="16"/>
                <w:szCs w:val="16"/>
                <w:lang w:eastAsia="en-US" w:bidi="ar-SA"/>
              </w:rPr>
            </w:pPr>
          </w:p>
        </w:tc>
        <w:tc>
          <w:tcPr>
            <w:tcW w:w="412" w:type="pct"/>
            <w:tcBorders>
              <w:top w:val="nil"/>
              <w:left w:val="single" w:sz="12" w:space="0" w:color="auto"/>
              <w:bottom w:val="single" w:sz="12" w:space="0" w:color="auto"/>
              <w:right w:val="single" w:sz="4" w:space="0" w:color="auto"/>
            </w:tcBorders>
            <w:shd w:val="clear" w:color="auto" w:fill="auto"/>
            <w:vAlign w:val="center"/>
            <w:hideMark/>
          </w:tcPr>
          <w:p w:rsidR="005B41A8" w:rsidRPr="00643857" w:rsidRDefault="005B41A8" w:rsidP="005B41A8">
            <w:pPr>
              <w:rPr>
                <w:rFonts w:ascii="Garamond" w:hAnsi="Garamond"/>
                <w:b/>
                <w:sz w:val="16"/>
                <w:szCs w:val="16"/>
              </w:rPr>
            </w:pPr>
            <w:r w:rsidRPr="00643857">
              <w:rPr>
                <w:rFonts w:ascii="Garamond" w:hAnsi="Garamond"/>
                <w:b/>
                <w:sz w:val="16"/>
                <w:szCs w:val="16"/>
              </w:rPr>
              <w:t>Target values</w:t>
            </w:r>
          </w:p>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p>
        </w:tc>
        <w:tc>
          <w:tcPr>
            <w:tcW w:w="411" w:type="pct"/>
            <w:tcBorders>
              <w:top w:val="nil"/>
              <w:left w:val="nil"/>
              <w:bottom w:val="single" w:sz="12" w:space="0" w:color="auto"/>
              <w:right w:val="single" w:sz="12" w:space="0" w:color="auto"/>
            </w:tcBorders>
            <w:shd w:val="clear" w:color="auto" w:fill="auto"/>
            <w:vAlign w:val="center"/>
            <w:hideMark/>
          </w:tcPr>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Implemented</w:t>
            </w:r>
          </w:p>
        </w:tc>
        <w:tc>
          <w:tcPr>
            <w:tcW w:w="411" w:type="pct"/>
            <w:tcBorders>
              <w:top w:val="nil"/>
              <w:left w:val="single" w:sz="12" w:space="0" w:color="auto"/>
              <w:bottom w:val="single" w:sz="12" w:space="0" w:color="auto"/>
              <w:right w:val="single" w:sz="4" w:space="0" w:color="auto"/>
            </w:tcBorders>
            <w:shd w:val="clear" w:color="auto" w:fill="auto"/>
            <w:vAlign w:val="center"/>
            <w:hideMark/>
          </w:tcPr>
          <w:p w:rsidR="005B41A8" w:rsidRPr="00643857" w:rsidRDefault="005B41A8" w:rsidP="005B41A8">
            <w:pPr>
              <w:rPr>
                <w:rFonts w:ascii="Garamond" w:hAnsi="Garamond"/>
                <w:b/>
                <w:sz w:val="16"/>
                <w:szCs w:val="16"/>
              </w:rPr>
            </w:pPr>
            <w:r w:rsidRPr="00643857">
              <w:rPr>
                <w:rFonts w:ascii="Garamond" w:hAnsi="Garamond"/>
                <w:b/>
                <w:sz w:val="16"/>
                <w:szCs w:val="16"/>
              </w:rPr>
              <w:t>Target values</w:t>
            </w:r>
          </w:p>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p>
        </w:tc>
        <w:tc>
          <w:tcPr>
            <w:tcW w:w="412" w:type="pct"/>
            <w:tcBorders>
              <w:top w:val="nil"/>
              <w:left w:val="nil"/>
              <w:bottom w:val="single" w:sz="12" w:space="0" w:color="auto"/>
              <w:right w:val="single" w:sz="12" w:space="0" w:color="auto"/>
            </w:tcBorders>
            <w:shd w:val="clear" w:color="auto" w:fill="auto"/>
            <w:vAlign w:val="center"/>
            <w:hideMark/>
          </w:tcPr>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Implemented</w:t>
            </w:r>
          </w:p>
        </w:tc>
        <w:tc>
          <w:tcPr>
            <w:tcW w:w="412" w:type="pct"/>
            <w:tcBorders>
              <w:top w:val="single" w:sz="12" w:space="0" w:color="auto"/>
              <w:left w:val="single" w:sz="12" w:space="0" w:color="auto"/>
              <w:bottom w:val="single" w:sz="12" w:space="0" w:color="000000"/>
              <w:right w:val="single" w:sz="12" w:space="0" w:color="auto"/>
            </w:tcBorders>
          </w:tcPr>
          <w:p w:rsidR="005B41A8" w:rsidRPr="00643857" w:rsidRDefault="005B41A8" w:rsidP="005B41A8">
            <w:pPr>
              <w:rPr>
                <w:rFonts w:ascii="Garamond" w:hAnsi="Garamond"/>
                <w:b/>
                <w:sz w:val="16"/>
                <w:szCs w:val="16"/>
              </w:rPr>
            </w:pPr>
            <w:r w:rsidRPr="00643857">
              <w:rPr>
                <w:rFonts w:ascii="Garamond" w:hAnsi="Garamond"/>
                <w:b/>
                <w:sz w:val="16"/>
                <w:szCs w:val="16"/>
              </w:rPr>
              <w:t>Target values</w:t>
            </w:r>
          </w:p>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p>
        </w:tc>
        <w:tc>
          <w:tcPr>
            <w:tcW w:w="411" w:type="pct"/>
            <w:tcBorders>
              <w:top w:val="single" w:sz="12" w:space="0" w:color="auto"/>
              <w:left w:val="single" w:sz="12" w:space="0" w:color="auto"/>
              <w:bottom w:val="single" w:sz="12" w:space="0" w:color="000000"/>
              <w:right w:val="single" w:sz="12" w:space="0" w:color="auto"/>
            </w:tcBorders>
          </w:tcPr>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Implemented</w:t>
            </w:r>
          </w:p>
        </w:tc>
        <w:tc>
          <w:tcPr>
            <w:tcW w:w="411" w:type="pct"/>
            <w:tcBorders>
              <w:top w:val="single" w:sz="12" w:space="0" w:color="auto"/>
              <w:left w:val="single" w:sz="12" w:space="0" w:color="auto"/>
              <w:bottom w:val="single" w:sz="12" w:space="0" w:color="000000"/>
              <w:right w:val="single" w:sz="12" w:space="0" w:color="auto"/>
            </w:tcBorders>
          </w:tcPr>
          <w:p w:rsidR="005B41A8" w:rsidRPr="00643857" w:rsidRDefault="005B41A8" w:rsidP="005B41A8">
            <w:pPr>
              <w:rPr>
                <w:rFonts w:ascii="Garamond" w:hAnsi="Garamond"/>
                <w:b/>
                <w:sz w:val="16"/>
                <w:szCs w:val="16"/>
              </w:rPr>
            </w:pPr>
            <w:r w:rsidRPr="00643857">
              <w:rPr>
                <w:rFonts w:ascii="Garamond" w:hAnsi="Garamond"/>
                <w:b/>
                <w:sz w:val="16"/>
                <w:szCs w:val="16"/>
              </w:rPr>
              <w:t>Target values</w:t>
            </w:r>
          </w:p>
          <w:p w:rsidR="005B41A8" w:rsidRPr="00643857" w:rsidRDefault="005B41A8" w:rsidP="005B41A8">
            <w:pPr>
              <w:widowControl/>
              <w:autoSpaceDE/>
              <w:autoSpaceDN/>
              <w:jc w:val="center"/>
              <w:rPr>
                <w:rFonts w:ascii="Garamond" w:eastAsia="Times New Roman" w:hAnsi="Garamond" w:cs="Calibri"/>
                <w:b/>
                <w:bCs/>
                <w:sz w:val="16"/>
                <w:szCs w:val="16"/>
                <w:lang w:eastAsia="en-US" w:bidi="ar-SA"/>
              </w:rPr>
            </w:pPr>
          </w:p>
        </w:tc>
        <w:tc>
          <w:tcPr>
            <w:tcW w:w="412" w:type="pct"/>
            <w:tcBorders>
              <w:top w:val="single" w:sz="12" w:space="0" w:color="auto"/>
              <w:left w:val="single" w:sz="12" w:space="0" w:color="auto"/>
              <w:bottom w:val="single" w:sz="12" w:space="0" w:color="000000"/>
              <w:right w:val="single" w:sz="18" w:space="0" w:color="auto"/>
            </w:tcBorders>
          </w:tcPr>
          <w:p w:rsidR="005B41A8" w:rsidRPr="00643857" w:rsidRDefault="005B41A8" w:rsidP="005B41A8">
            <w:pPr>
              <w:widowControl/>
              <w:autoSpaceDE/>
              <w:autoSpaceDN/>
              <w:rPr>
                <w:rFonts w:ascii="Garamond" w:eastAsia="Times New Roman" w:hAnsi="Garamond" w:cs="Calibri"/>
                <w:b/>
                <w:bCs/>
                <w:sz w:val="16"/>
                <w:szCs w:val="16"/>
                <w:lang w:eastAsia="en-US" w:bidi="ar-SA"/>
              </w:rPr>
            </w:pPr>
            <w:r w:rsidRPr="00643857">
              <w:rPr>
                <w:rFonts w:ascii="Garamond" w:eastAsia="Times New Roman" w:hAnsi="Garamond" w:cs="Calibri"/>
                <w:b/>
                <w:bCs/>
                <w:sz w:val="16"/>
                <w:szCs w:val="16"/>
                <w:lang w:eastAsia="en-US" w:bidi="ar-SA"/>
              </w:rPr>
              <w:t xml:space="preserve">Implemented </w:t>
            </w:r>
          </w:p>
        </w:tc>
        <w:tc>
          <w:tcPr>
            <w:tcW w:w="307" w:type="pct"/>
            <w:vMerge/>
            <w:tcBorders>
              <w:left w:val="single" w:sz="12" w:space="0" w:color="auto"/>
              <w:bottom w:val="single" w:sz="12" w:space="0" w:color="000000"/>
              <w:right w:val="single" w:sz="18" w:space="0" w:color="auto"/>
            </w:tcBorders>
            <w:vAlign w:val="center"/>
            <w:hideMark/>
          </w:tcPr>
          <w:p w:rsidR="005B41A8" w:rsidRPr="00643857" w:rsidRDefault="005B41A8" w:rsidP="005B41A8">
            <w:pPr>
              <w:widowControl/>
              <w:autoSpaceDE/>
              <w:autoSpaceDN/>
              <w:jc w:val="both"/>
              <w:rPr>
                <w:rFonts w:ascii="Garamond" w:eastAsia="Times New Roman" w:hAnsi="Garamond" w:cs="Calibri"/>
                <w:b/>
                <w:bCs/>
                <w:sz w:val="16"/>
                <w:szCs w:val="16"/>
                <w:lang w:eastAsia="en-US" w:bidi="ar-SA"/>
              </w:rPr>
            </w:pPr>
          </w:p>
        </w:tc>
      </w:tr>
      <w:tr w:rsidR="005B41A8" w:rsidRPr="005B41A8" w:rsidTr="008E6887">
        <w:trPr>
          <w:trHeight w:val="953"/>
          <w:jc w:val="center"/>
        </w:trPr>
        <w:tc>
          <w:tcPr>
            <w:tcW w:w="1080" w:type="pct"/>
            <w:tcBorders>
              <w:top w:val="nil"/>
              <w:left w:val="single" w:sz="18" w:space="0" w:color="auto"/>
              <w:bottom w:val="single" w:sz="4" w:space="0" w:color="808080"/>
              <w:right w:val="single" w:sz="12" w:space="0" w:color="auto"/>
            </w:tcBorders>
            <w:shd w:val="clear" w:color="auto" w:fill="auto"/>
            <w:vAlign w:val="center"/>
            <w:hideMark/>
          </w:tcPr>
          <w:p w:rsidR="005B41A8" w:rsidRPr="008348EB" w:rsidRDefault="008348EB" w:rsidP="008348EB">
            <w:pPr>
              <w:pStyle w:val="Default"/>
              <w:rPr>
                <w:rFonts w:ascii="Garamond" w:eastAsia="Times New Roman" w:hAnsi="Garamond" w:cs="Calibri"/>
                <w:sz w:val="16"/>
                <w:szCs w:val="16"/>
                <w:lang w:eastAsia="en-US"/>
              </w:rPr>
            </w:pPr>
            <w:r w:rsidRPr="008348EB">
              <w:rPr>
                <w:rFonts w:ascii="Garamond" w:hAnsi="Garamond"/>
                <w:iCs/>
                <w:sz w:val="16"/>
                <w:szCs w:val="16"/>
              </w:rPr>
              <w:t xml:space="preserve">Share of new medium-term sector strategies that include estimates of implementation costs, including potential donor funding </w:t>
            </w:r>
          </w:p>
        </w:tc>
        <w:tc>
          <w:tcPr>
            <w:tcW w:w="320" w:type="pct"/>
            <w:tcBorders>
              <w:top w:val="nil"/>
              <w:left w:val="single" w:sz="12" w:space="0" w:color="auto"/>
              <w:bottom w:val="single" w:sz="4" w:space="0" w:color="808080"/>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60%</w:t>
            </w:r>
          </w:p>
        </w:tc>
        <w:tc>
          <w:tcPr>
            <w:tcW w:w="412" w:type="pct"/>
            <w:tcBorders>
              <w:top w:val="nil"/>
              <w:left w:val="single" w:sz="12" w:space="0" w:color="auto"/>
              <w:bottom w:val="single" w:sz="4" w:space="0" w:color="808080"/>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80%</w:t>
            </w:r>
          </w:p>
        </w:tc>
        <w:tc>
          <w:tcPr>
            <w:tcW w:w="411" w:type="pct"/>
            <w:tcBorders>
              <w:top w:val="nil"/>
              <w:left w:val="nil"/>
              <w:bottom w:val="single" w:sz="4" w:space="0" w:color="808080"/>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70%</w:t>
            </w:r>
          </w:p>
        </w:tc>
        <w:tc>
          <w:tcPr>
            <w:tcW w:w="411" w:type="pct"/>
            <w:tcBorders>
              <w:top w:val="nil"/>
              <w:left w:val="single" w:sz="12" w:space="0" w:color="auto"/>
              <w:bottom w:val="single" w:sz="4" w:space="0" w:color="808080"/>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85%</w:t>
            </w:r>
          </w:p>
        </w:tc>
        <w:tc>
          <w:tcPr>
            <w:tcW w:w="412" w:type="pct"/>
            <w:tcBorders>
              <w:top w:val="nil"/>
              <w:left w:val="nil"/>
              <w:bottom w:val="single" w:sz="4" w:space="0" w:color="808080"/>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75%</w:t>
            </w:r>
          </w:p>
        </w:tc>
        <w:tc>
          <w:tcPr>
            <w:tcW w:w="412" w:type="pct"/>
            <w:tcBorders>
              <w:top w:val="nil"/>
              <w:left w:val="single" w:sz="12" w:space="0" w:color="auto"/>
              <w:bottom w:val="single" w:sz="4" w:space="0" w:color="808080"/>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libri"/>
                <w:color w:val="000000"/>
                <w:sz w:val="16"/>
                <w:szCs w:val="16"/>
                <w:lang w:val="sr-Latn-CS" w:eastAsia="en-US" w:bidi="ar-SA"/>
              </w:rPr>
              <w:t>90</w:t>
            </w:r>
            <w:r w:rsidRPr="005B41A8">
              <w:rPr>
                <w:rFonts w:ascii="Garamond" w:eastAsia="Times New Roman" w:hAnsi="Garamond" w:cs="Calibri"/>
                <w:color w:val="000000"/>
                <w:sz w:val="16"/>
                <w:szCs w:val="16"/>
                <w:lang w:eastAsia="en-US" w:bidi="ar-SA"/>
              </w:rPr>
              <w:t>%</w:t>
            </w:r>
          </w:p>
        </w:tc>
        <w:tc>
          <w:tcPr>
            <w:tcW w:w="411" w:type="pct"/>
            <w:tcBorders>
              <w:top w:val="nil"/>
              <w:left w:val="single" w:sz="12" w:space="0" w:color="auto"/>
              <w:bottom w:val="single" w:sz="4" w:space="0" w:color="808080"/>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libri"/>
                <w:color w:val="000000"/>
                <w:sz w:val="16"/>
                <w:szCs w:val="16"/>
                <w:lang w:val="sr-Latn-CS" w:eastAsia="en-US" w:bidi="ar-SA"/>
              </w:rPr>
              <w:t>85</w:t>
            </w:r>
            <w:r w:rsidRPr="005B41A8">
              <w:rPr>
                <w:rFonts w:ascii="Garamond" w:eastAsia="Times New Roman" w:hAnsi="Garamond" w:cs="Calibri"/>
                <w:color w:val="000000"/>
                <w:sz w:val="16"/>
                <w:szCs w:val="16"/>
                <w:lang w:eastAsia="en-US" w:bidi="ar-SA"/>
              </w:rPr>
              <w:t>%</w:t>
            </w:r>
          </w:p>
        </w:tc>
        <w:tc>
          <w:tcPr>
            <w:tcW w:w="411" w:type="pct"/>
            <w:tcBorders>
              <w:top w:val="nil"/>
              <w:left w:val="single" w:sz="12" w:space="0" w:color="auto"/>
              <w:bottom w:val="single" w:sz="4" w:space="0" w:color="808080"/>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sz w:val="16"/>
                <w:szCs w:val="16"/>
                <w:lang w:eastAsia="en-US" w:bidi="ar-SA"/>
              </w:rPr>
              <w:t>100%</w:t>
            </w:r>
          </w:p>
        </w:tc>
        <w:tc>
          <w:tcPr>
            <w:tcW w:w="412" w:type="pct"/>
            <w:tcBorders>
              <w:top w:val="nil"/>
              <w:left w:val="single" w:sz="12" w:space="0" w:color="auto"/>
              <w:bottom w:val="single" w:sz="4" w:space="0" w:color="808080"/>
              <w:right w:val="single" w:sz="18" w:space="0" w:color="auto"/>
            </w:tcBorders>
            <w:vAlign w:val="center"/>
          </w:tcPr>
          <w:p w:rsidR="005B41A8" w:rsidRPr="005B41A8" w:rsidRDefault="005B41A8" w:rsidP="005B41A8">
            <w:pPr>
              <w:widowControl/>
              <w:autoSpaceDE/>
              <w:autoSpaceDN/>
              <w:jc w:val="center"/>
              <w:rPr>
                <w:rFonts w:ascii="Garamond" w:eastAsia="游明朝" w:hAnsi="Garamond" w:cs="Calibri"/>
                <w:b/>
                <w:noProof/>
                <w:sz w:val="16"/>
                <w:szCs w:val="16"/>
                <w:lang w:eastAsia="en-US" w:bidi="ar-SA"/>
              </w:rPr>
            </w:pPr>
            <w:r w:rsidRPr="005B41A8">
              <w:rPr>
                <w:rFonts w:ascii="Garamond" w:eastAsia="游明朝" w:hAnsi="Garamond"/>
                <w:sz w:val="16"/>
                <w:szCs w:val="16"/>
                <w:lang w:eastAsia="en-US" w:bidi="ar-SA"/>
              </w:rPr>
              <w:t>100%</w:t>
            </w:r>
          </w:p>
        </w:tc>
        <w:tc>
          <w:tcPr>
            <w:tcW w:w="307" w:type="pct"/>
            <w:tcBorders>
              <w:top w:val="nil"/>
              <w:left w:val="single" w:sz="12" w:space="0" w:color="auto"/>
              <w:bottom w:val="single" w:sz="4" w:space="0" w:color="808080"/>
              <w:right w:val="single" w:sz="18"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FF00FF"/>
                <w:sz w:val="16"/>
                <w:szCs w:val="16"/>
                <w:lang w:eastAsia="en-US" w:bidi="ar-SA"/>
              </w:rPr>
            </w:pPr>
            <w:r w:rsidRPr="005B41A8">
              <w:rPr>
                <w:rFonts w:ascii="Garamond" w:eastAsia="游明朝" w:hAnsi="Garamond" w:cs="Calibri"/>
                <w:noProof/>
                <w:sz w:val="16"/>
                <w:szCs w:val="16"/>
                <w:lang w:eastAsia="ja-JP" w:bidi="ar-SA"/>
              </w:rPr>
              <w:drawing>
                <wp:inline distT="0" distB="0" distL="0" distR="0">
                  <wp:extent cx="276225" cy="233680"/>
                  <wp:effectExtent l="0" t="0" r="9525" b="0"/>
                  <wp:docPr id="2" name="Picture 33" descr="Description: 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C:\Users\owner\Desktop\zelena strelica - manja.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5B41A8" w:rsidRPr="005B41A8" w:rsidTr="008348EB">
        <w:trPr>
          <w:trHeight w:val="701"/>
          <w:jc w:val="center"/>
        </w:trPr>
        <w:tc>
          <w:tcPr>
            <w:tcW w:w="1080" w:type="pct"/>
            <w:tcBorders>
              <w:top w:val="nil"/>
              <w:left w:val="single" w:sz="18" w:space="0" w:color="auto"/>
              <w:bottom w:val="single" w:sz="4" w:space="0" w:color="808080"/>
              <w:right w:val="single" w:sz="12" w:space="0" w:color="auto"/>
            </w:tcBorders>
            <w:shd w:val="clear" w:color="auto" w:fill="auto"/>
            <w:vAlign w:val="center"/>
            <w:hideMark/>
          </w:tcPr>
          <w:p w:rsidR="005B41A8" w:rsidRPr="005B41A8" w:rsidRDefault="008348EB" w:rsidP="005B41A8">
            <w:pPr>
              <w:rPr>
                <w:rFonts w:ascii="Garamond" w:hAnsi="Garamond"/>
                <w:sz w:val="16"/>
                <w:szCs w:val="16"/>
              </w:rPr>
            </w:pPr>
            <w:r w:rsidRPr="008348EB">
              <w:rPr>
                <w:rFonts w:ascii="Garamond" w:hAnsi="Garamond"/>
                <w:sz w:val="16"/>
                <w:szCs w:val="16"/>
              </w:rPr>
              <w:t>Average deviation between MTBF budget ceilings and actual annual budget expenditure limits</w:t>
            </w:r>
          </w:p>
        </w:tc>
        <w:tc>
          <w:tcPr>
            <w:tcW w:w="320" w:type="pct"/>
            <w:tcBorders>
              <w:top w:val="nil"/>
              <w:left w:val="single" w:sz="12" w:space="0" w:color="auto"/>
              <w:bottom w:val="single" w:sz="4" w:space="0" w:color="808080"/>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9%</w:t>
            </w:r>
          </w:p>
        </w:tc>
        <w:tc>
          <w:tcPr>
            <w:tcW w:w="412" w:type="pct"/>
            <w:tcBorders>
              <w:top w:val="nil"/>
              <w:left w:val="single" w:sz="12" w:space="0" w:color="auto"/>
              <w:bottom w:val="single" w:sz="4" w:space="0" w:color="808080"/>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7%</w:t>
            </w:r>
          </w:p>
        </w:tc>
        <w:tc>
          <w:tcPr>
            <w:tcW w:w="411" w:type="pct"/>
            <w:tcBorders>
              <w:top w:val="nil"/>
              <w:left w:val="nil"/>
              <w:bottom w:val="single" w:sz="4" w:space="0" w:color="808080"/>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6%</w:t>
            </w:r>
          </w:p>
        </w:tc>
        <w:tc>
          <w:tcPr>
            <w:tcW w:w="411" w:type="pct"/>
            <w:tcBorders>
              <w:top w:val="nil"/>
              <w:left w:val="single" w:sz="12" w:space="0" w:color="auto"/>
              <w:bottom w:val="single" w:sz="4" w:space="0" w:color="808080"/>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6%</w:t>
            </w:r>
          </w:p>
        </w:tc>
        <w:tc>
          <w:tcPr>
            <w:tcW w:w="412" w:type="pct"/>
            <w:tcBorders>
              <w:top w:val="nil"/>
              <w:left w:val="nil"/>
              <w:bottom w:val="single" w:sz="4" w:space="0" w:color="808080"/>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0,87%</w:t>
            </w:r>
          </w:p>
        </w:tc>
        <w:tc>
          <w:tcPr>
            <w:tcW w:w="412" w:type="pct"/>
            <w:tcBorders>
              <w:top w:val="nil"/>
              <w:left w:val="single" w:sz="12" w:space="0" w:color="auto"/>
              <w:bottom w:val="single" w:sz="4" w:space="0" w:color="808080"/>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libri"/>
                <w:color w:val="000000"/>
                <w:sz w:val="16"/>
                <w:szCs w:val="16"/>
                <w:lang w:val="sr-Latn-CS" w:eastAsia="en-US" w:bidi="ar-SA"/>
              </w:rPr>
              <w:t>5</w:t>
            </w:r>
            <w:r w:rsidRPr="005B41A8">
              <w:rPr>
                <w:rFonts w:ascii="Garamond" w:eastAsia="Times New Roman" w:hAnsi="Garamond" w:cs="Calibri"/>
                <w:color w:val="000000"/>
                <w:sz w:val="16"/>
                <w:szCs w:val="16"/>
                <w:lang w:eastAsia="en-US" w:bidi="ar-SA"/>
              </w:rPr>
              <w:t>%</w:t>
            </w:r>
          </w:p>
        </w:tc>
        <w:tc>
          <w:tcPr>
            <w:tcW w:w="411" w:type="pct"/>
            <w:tcBorders>
              <w:top w:val="nil"/>
              <w:left w:val="single" w:sz="12" w:space="0" w:color="auto"/>
              <w:bottom w:val="single" w:sz="4" w:space="0" w:color="808080"/>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libri"/>
                <w:color w:val="000000"/>
                <w:sz w:val="16"/>
                <w:szCs w:val="16"/>
                <w:lang w:eastAsia="en-US" w:bidi="ar-SA"/>
              </w:rPr>
              <w:t>0,</w:t>
            </w:r>
            <w:r w:rsidRPr="005B41A8">
              <w:rPr>
                <w:rFonts w:ascii="Garamond" w:eastAsia="Times New Roman" w:hAnsi="Garamond" w:cs="Calibri"/>
                <w:color w:val="000000"/>
                <w:sz w:val="16"/>
                <w:szCs w:val="16"/>
                <w:lang w:val="sr-Latn-CS" w:eastAsia="en-US" w:bidi="ar-SA"/>
              </w:rPr>
              <w:t>11</w:t>
            </w:r>
            <w:r w:rsidRPr="005B41A8">
              <w:rPr>
                <w:rFonts w:ascii="Garamond" w:eastAsia="Times New Roman" w:hAnsi="Garamond" w:cs="Calibri"/>
                <w:color w:val="000000"/>
                <w:sz w:val="16"/>
                <w:szCs w:val="16"/>
                <w:lang w:eastAsia="en-US" w:bidi="ar-SA"/>
              </w:rPr>
              <w:t>%</w:t>
            </w:r>
          </w:p>
        </w:tc>
        <w:tc>
          <w:tcPr>
            <w:tcW w:w="411" w:type="pct"/>
            <w:tcBorders>
              <w:top w:val="nil"/>
              <w:left w:val="single" w:sz="12" w:space="0" w:color="auto"/>
              <w:bottom w:val="single" w:sz="4" w:space="0" w:color="808080"/>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sz w:val="16"/>
                <w:szCs w:val="16"/>
                <w:lang w:eastAsia="en-US" w:bidi="ar-SA"/>
              </w:rPr>
              <w:t>5%</w:t>
            </w:r>
          </w:p>
        </w:tc>
        <w:tc>
          <w:tcPr>
            <w:tcW w:w="412" w:type="pct"/>
            <w:tcBorders>
              <w:top w:val="nil"/>
              <w:left w:val="single" w:sz="12" w:space="0" w:color="auto"/>
              <w:bottom w:val="single" w:sz="4" w:space="0" w:color="808080"/>
              <w:right w:val="single" w:sz="18"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cs="Times New Roman"/>
                <w:sz w:val="16"/>
                <w:szCs w:val="16"/>
                <w:lang w:eastAsia="en-US" w:bidi="ar-SA"/>
              </w:rPr>
              <w:t>2,13%</w:t>
            </w:r>
          </w:p>
        </w:tc>
        <w:tc>
          <w:tcPr>
            <w:tcW w:w="307" w:type="pct"/>
            <w:tcBorders>
              <w:top w:val="nil"/>
              <w:left w:val="single" w:sz="12" w:space="0" w:color="auto"/>
              <w:bottom w:val="single" w:sz="4" w:space="0" w:color="808080"/>
              <w:right w:val="single" w:sz="18"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游明朝" w:hAnsi="Garamond" w:cs="Calibri"/>
                <w:noProof/>
                <w:sz w:val="16"/>
                <w:szCs w:val="16"/>
                <w:lang w:eastAsia="ja-JP" w:bidi="ar-SA"/>
              </w:rPr>
              <w:drawing>
                <wp:inline distT="0" distB="0" distL="0" distR="0">
                  <wp:extent cx="255270" cy="233680"/>
                  <wp:effectExtent l="0" t="0" r="0" b="0"/>
                  <wp:docPr id="3" name="Picture 62" descr="Description: 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Description: Description: Description: C:\Users\owner\Desktop\crvena strelica - manja.pn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5270" cy="233680"/>
                          </a:xfrm>
                          <a:prstGeom prst="rect">
                            <a:avLst/>
                          </a:prstGeom>
                          <a:noFill/>
                          <a:ln>
                            <a:noFill/>
                          </a:ln>
                        </pic:spPr>
                      </pic:pic>
                    </a:graphicData>
                  </a:graphic>
                </wp:inline>
              </w:drawing>
            </w:r>
          </w:p>
        </w:tc>
      </w:tr>
      <w:tr w:rsidR="005B41A8" w:rsidRPr="005B41A8" w:rsidTr="008E6887">
        <w:trPr>
          <w:trHeight w:val="719"/>
          <w:jc w:val="center"/>
        </w:trPr>
        <w:tc>
          <w:tcPr>
            <w:tcW w:w="1080" w:type="pct"/>
            <w:tcBorders>
              <w:top w:val="nil"/>
              <w:left w:val="single" w:sz="18" w:space="0" w:color="auto"/>
              <w:bottom w:val="single" w:sz="18" w:space="0" w:color="auto"/>
              <w:right w:val="single" w:sz="12" w:space="0" w:color="auto"/>
            </w:tcBorders>
            <w:shd w:val="clear" w:color="auto" w:fill="auto"/>
            <w:vAlign w:val="center"/>
            <w:hideMark/>
          </w:tcPr>
          <w:p w:rsidR="005B41A8" w:rsidRPr="005B41A8" w:rsidRDefault="008348EB" w:rsidP="005B41A8">
            <w:pPr>
              <w:rPr>
                <w:rFonts w:ascii="Garamond" w:eastAsia="Times New Roman" w:hAnsi="Garamond" w:cs="Calibri"/>
                <w:color w:val="000000"/>
                <w:sz w:val="16"/>
                <w:szCs w:val="16"/>
                <w:lang w:eastAsia="en-US" w:bidi="ar-SA"/>
              </w:rPr>
            </w:pPr>
            <w:r w:rsidRPr="008348EB">
              <w:rPr>
                <w:rFonts w:ascii="Garamond" w:hAnsi="Garamond"/>
                <w:sz w:val="16"/>
                <w:szCs w:val="16"/>
              </w:rPr>
              <w:t>Number of staff trained for top-down medium-term budget planning</w:t>
            </w:r>
          </w:p>
        </w:tc>
        <w:tc>
          <w:tcPr>
            <w:tcW w:w="320" w:type="pct"/>
            <w:tcBorders>
              <w:top w:val="nil"/>
              <w:left w:val="single" w:sz="12" w:space="0" w:color="auto"/>
              <w:bottom w:val="single" w:sz="18"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0</w:t>
            </w:r>
          </w:p>
        </w:tc>
        <w:tc>
          <w:tcPr>
            <w:tcW w:w="412" w:type="pct"/>
            <w:tcBorders>
              <w:top w:val="nil"/>
              <w:left w:val="single" w:sz="12" w:space="0" w:color="auto"/>
              <w:bottom w:val="single" w:sz="18" w:space="0" w:color="auto"/>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52</w:t>
            </w:r>
          </w:p>
        </w:tc>
        <w:tc>
          <w:tcPr>
            <w:tcW w:w="411" w:type="pct"/>
            <w:tcBorders>
              <w:top w:val="nil"/>
              <w:left w:val="nil"/>
              <w:bottom w:val="single" w:sz="18"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0</w:t>
            </w:r>
          </w:p>
        </w:tc>
        <w:tc>
          <w:tcPr>
            <w:tcW w:w="411" w:type="pct"/>
            <w:tcBorders>
              <w:top w:val="nil"/>
              <w:left w:val="single" w:sz="12" w:space="0" w:color="auto"/>
              <w:bottom w:val="single" w:sz="18" w:space="0" w:color="auto"/>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35</w:t>
            </w:r>
          </w:p>
        </w:tc>
        <w:tc>
          <w:tcPr>
            <w:tcW w:w="412" w:type="pct"/>
            <w:tcBorders>
              <w:top w:val="nil"/>
              <w:left w:val="nil"/>
              <w:bottom w:val="single" w:sz="18"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0</w:t>
            </w:r>
          </w:p>
        </w:tc>
        <w:tc>
          <w:tcPr>
            <w:tcW w:w="412" w:type="pct"/>
            <w:tcBorders>
              <w:top w:val="nil"/>
              <w:left w:val="single" w:sz="12" w:space="0" w:color="auto"/>
              <w:bottom w:val="single" w:sz="18" w:space="0" w:color="auto"/>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libri"/>
                <w:color w:val="000000"/>
                <w:sz w:val="16"/>
                <w:szCs w:val="16"/>
                <w:lang w:val="sr-Latn-CS" w:eastAsia="en-US" w:bidi="ar-SA"/>
              </w:rPr>
              <w:t>52</w:t>
            </w:r>
          </w:p>
        </w:tc>
        <w:tc>
          <w:tcPr>
            <w:tcW w:w="411" w:type="pct"/>
            <w:tcBorders>
              <w:top w:val="nil"/>
              <w:left w:val="single" w:sz="12" w:space="0" w:color="auto"/>
              <w:bottom w:val="single" w:sz="18" w:space="0" w:color="auto"/>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libri"/>
                <w:color w:val="000000"/>
                <w:sz w:val="16"/>
                <w:szCs w:val="16"/>
                <w:lang w:val="sr-Latn-CS" w:eastAsia="en-US" w:bidi="ar-SA"/>
              </w:rPr>
              <w:t>17</w:t>
            </w:r>
          </w:p>
        </w:tc>
        <w:tc>
          <w:tcPr>
            <w:tcW w:w="411" w:type="pct"/>
            <w:tcBorders>
              <w:top w:val="nil"/>
              <w:left w:val="single" w:sz="12" w:space="0" w:color="auto"/>
              <w:bottom w:val="single" w:sz="18" w:space="0" w:color="auto"/>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sz w:val="16"/>
                <w:szCs w:val="16"/>
                <w:lang w:eastAsia="en-US" w:bidi="ar-SA"/>
              </w:rPr>
              <w:t>72</w:t>
            </w:r>
          </w:p>
        </w:tc>
        <w:tc>
          <w:tcPr>
            <w:tcW w:w="412" w:type="pct"/>
            <w:tcBorders>
              <w:top w:val="nil"/>
              <w:left w:val="single" w:sz="12" w:space="0" w:color="auto"/>
              <w:bottom w:val="single" w:sz="18" w:space="0" w:color="auto"/>
              <w:right w:val="single" w:sz="18"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cs="Times New Roman"/>
                <w:sz w:val="16"/>
                <w:szCs w:val="16"/>
                <w:lang w:eastAsia="en-US" w:bidi="ar-SA"/>
              </w:rPr>
              <w:t>100</w:t>
            </w:r>
          </w:p>
        </w:tc>
        <w:tc>
          <w:tcPr>
            <w:tcW w:w="307" w:type="pct"/>
            <w:tcBorders>
              <w:top w:val="nil"/>
              <w:left w:val="single" w:sz="12" w:space="0" w:color="auto"/>
              <w:bottom w:val="single" w:sz="18" w:space="0" w:color="auto"/>
              <w:right w:val="single" w:sz="18"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B050"/>
                <w:sz w:val="16"/>
                <w:szCs w:val="16"/>
                <w:lang w:eastAsia="en-US" w:bidi="ar-SA"/>
              </w:rPr>
            </w:pPr>
            <w:r w:rsidRPr="005B41A8">
              <w:rPr>
                <w:rFonts w:ascii="Garamond" w:eastAsia="游明朝" w:hAnsi="Garamond" w:cs="Calibri"/>
                <w:noProof/>
                <w:sz w:val="16"/>
                <w:szCs w:val="16"/>
                <w:lang w:eastAsia="ja-JP" w:bidi="ar-SA"/>
              </w:rPr>
              <w:drawing>
                <wp:inline distT="0" distB="0" distL="0" distR="0">
                  <wp:extent cx="276225" cy="233680"/>
                  <wp:effectExtent l="0" t="0" r="9525" b="0"/>
                  <wp:docPr id="4" name="Picture 34" descr="Description: 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C:\Users\owner\Desktop\zelena strelica - manja.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3680"/>
                          </a:xfrm>
                          <a:prstGeom prst="rect">
                            <a:avLst/>
                          </a:prstGeom>
                          <a:noFill/>
                          <a:ln>
                            <a:noFill/>
                          </a:ln>
                        </pic:spPr>
                      </pic:pic>
                    </a:graphicData>
                  </a:graphic>
                </wp:inline>
              </w:drawing>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tbl>
      <w:tblPr>
        <w:tblW w:w="5000" w:type="pct"/>
        <w:jc w:val="center"/>
        <w:tblLayout w:type="fixed"/>
        <w:tblLook w:val="04A0"/>
      </w:tblPr>
      <w:tblGrid>
        <w:gridCol w:w="2041"/>
        <w:gridCol w:w="27"/>
        <w:gridCol w:w="615"/>
        <w:gridCol w:w="10"/>
        <w:gridCol w:w="779"/>
        <w:gridCol w:w="119"/>
        <w:gridCol w:w="707"/>
        <w:gridCol w:w="40"/>
        <w:gridCol w:w="709"/>
        <w:gridCol w:w="103"/>
        <w:gridCol w:w="628"/>
        <w:gridCol w:w="25"/>
        <w:gridCol w:w="965"/>
        <w:gridCol w:w="8"/>
        <w:gridCol w:w="638"/>
        <w:gridCol w:w="787"/>
        <w:gridCol w:w="10"/>
        <w:gridCol w:w="720"/>
        <w:gridCol w:w="645"/>
      </w:tblGrid>
      <w:tr w:rsidR="005B41A8" w:rsidRPr="005B41A8" w:rsidTr="00643857">
        <w:trPr>
          <w:trHeight w:val="308"/>
          <w:jc w:val="center"/>
        </w:trPr>
        <w:tc>
          <w:tcPr>
            <w:tcW w:w="1080" w:type="pct"/>
            <w:gridSpan w:val="2"/>
            <w:vMerge w:val="restart"/>
            <w:tcBorders>
              <w:top w:val="single" w:sz="18" w:space="0" w:color="auto"/>
              <w:left w:val="single" w:sz="18" w:space="0" w:color="auto"/>
              <w:right w:val="single" w:sz="12" w:space="0" w:color="auto"/>
            </w:tcBorders>
            <w:shd w:val="clear" w:color="auto" w:fill="auto"/>
            <w:vAlign w:val="center"/>
            <w:hideMark/>
          </w:tcPr>
          <w:p w:rsidR="005B41A8" w:rsidRPr="00643857" w:rsidRDefault="00925712" w:rsidP="008E6887">
            <w:pPr>
              <w:rPr>
                <w:rFonts w:ascii="Garamond" w:hAnsi="Garamond"/>
                <w:b/>
                <w:sz w:val="16"/>
                <w:szCs w:val="16"/>
              </w:rPr>
            </w:pPr>
            <w:r w:rsidRPr="00643857">
              <w:rPr>
                <w:rFonts w:ascii="Garamond" w:hAnsi="Garamond"/>
                <w:b/>
                <w:sz w:val="16"/>
                <w:szCs w:val="16"/>
              </w:rPr>
              <w:t>Performance Indicator</w:t>
            </w:r>
            <w:r w:rsidR="005B41A8" w:rsidRPr="00643857">
              <w:rPr>
                <w:rFonts w:ascii="Garamond" w:hAnsi="Garamond"/>
                <w:b/>
                <w:sz w:val="16"/>
                <w:szCs w:val="16"/>
              </w:rPr>
              <w:tab/>
            </w:r>
          </w:p>
          <w:p w:rsidR="005B41A8" w:rsidRPr="00643857" w:rsidRDefault="005B41A8" w:rsidP="008E6887">
            <w:pPr>
              <w:widowControl/>
              <w:autoSpaceDE/>
              <w:autoSpaceDN/>
              <w:jc w:val="center"/>
              <w:rPr>
                <w:rFonts w:ascii="Garamond" w:eastAsia="Times New Roman" w:hAnsi="Garamond" w:cs="Calibri"/>
                <w:b/>
                <w:bCs/>
                <w:sz w:val="16"/>
                <w:szCs w:val="16"/>
                <w:lang w:eastAsia="en-US" w:bidi="ar-SA"/>
              </w:rPr>
            </w:pPr>
          </w:p>
        </w:tc>
        <w:tc>
          <w:tcPr>
            <w:tcW w:w="321" w:type="pct"/>
            <w:vMerge w:val="restart"/>
            <w:tcBorders>
              <w:top w:val="single" w:sz="18" w:space="0" w:color="auto"/>
              <w:left w:val="single" w:sz="12" w:space="0" w:color="auto"/>
              <w:right w:val="single" w:sz="12" w:space="0" w:color="auto"/>
            </w:tcBorders>
            <w:shd w:val="clear" w:color="auto" w:fill="auto"/>
            <w:vAlign w:val="center"/>
            <w:hideMark/>
          </w:tcPr>
          <w:p w:rsidR="005B41A8" w:rsidRPr="00643857" w:rsidRDefault="005B41A8" w:rsidP="008E6887">
            <w:pPr>
              <w:rPr>
                <w:rFonts w:ascii="Garamond" w:hAnsi="Garamond"/>
                <w:b/>
                <w:sz w:val="16"/>
                <w:szCs w:val="16"/>
              </w:rPr>
            </w:pPr>
            <w:r w:rsidRPr="00643857">
              <w:rPr>
                <w:rFonts w:ascii="Garamond" w:hAnsi="Garamond"/>
                <w:b/>
                <w:sz w:val="16"/>
                <w:szCs w:val="16"/>
              </w:rPr>
              <w:t>Planned 2014</w:t>
            </w:r>
          </w:p>
          <w:p w:rsidR="005B41A8" w:rsidRPr="00643857" w:rsidRDefault="005B41A8" w:rsidP="008E6887">
            <w:pPr>
              <w:widowControl/>
              <w:autoSpaceDE/>
              <w:autoSpaceDN/>
              <w:jc w:val="center"/>
              <w:rPr>
                <w:rFonts w:ascii="Garamond" w:eastAsia="Times New Roman" w:hAnsi="Garamond" w:cs="Calibri"/>
                <w:b/>
                <w:bCs/>
                <w:sz w:val="16"/>
                <w:szCs w:val="16"/>
                <w:lang w:eastAsia="en-US" w:bidi="ar-SA"/>
              </w:rPr>
            </w:pPr>
          </w:p>
        </w:tc>
        <w:tc>
          <w:tcPr>
            <w:tcW w:w="864" w:type="pct"/>
            <w:gridSpan w:val="5"/>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2017</w:t>
            </w:r>
          </w:p>
        </w:tc>
        <w:tc>
          <w:tcPr>
            <w:tcW w:w="752" w:type="pct"/>
            <w:gridSpan w:val="3"/>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2018</w:t>
            </w:r>
          </w:p>
        </w:tc>
        <w:tc>
          <w:tcPr>
            <w:tcW w:w="854" w:type="pct"/>
            <w:gridSpan w:val="4"/>
            <w:tcBorders>
              <w:top w:val="single" w:sz="18" w:space="0" w:color="auto"/>
              <w:left w:val="single" w:sz="12" w:space="0" w:color="auto"/>
              <w:bottom w:val="single" w:sz="12" w:space="0" w:color="auto"/>
              <w:right w:val="single" w:sz="12" w:space="0" w:color="auto"/>
            </w:tcBorders>
          </w:tcPr>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2019</w:t>
            </w:r>
          </w:p>
        </w:tc>
        <w:tc>
          <w:tcPr>
            <w:tcW w:w="792" w:type="pct"/>
            <w:gridSpan w:val="3"/>
            <w:tcBorders>
              <w:top w:val="single" w:sz="18" w:space="0" w:color="auto"/>
              <w:left w:val="single" w:sz="12" w:space="0" w:color="auto"/>
              <w:bottom w:val="single" w:sz="12" w:space="0" w:color="auto"/>
              <w:right w:val="single" w:sz="18" w:space="0" w:color="auto"/>
            </w:tcBorders>
          </w:tcPr>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2020</w:t>
            </w:r>
          </w:p>
        </w:tc>
        <w:tc>
          <w:tcPr>
            <w:tcW w:w="337" w:type="pct"/>
            <w:vMerge w:val="restart"/>
            <w:tcBorders>
              <w:top w:val="single" w:sz="18" w:space="0" w:color="auto"/>
              <w:left w:val="single" w:sz="12" w:space="0" w:color="auto"/>
              <w:right w:val="single" w:sz="18" w:space="0" w:color="auto"/>
            </w:tcBorders>
            <w:shd w:val="clear" w:color="auto" w:fill="auto"/>
            <w:vAlign w:val="center"/>
            <w:hideMark/>
          </w:tcPr>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Trend</w:t>
            </w:r>
          </w:p>
        </w:tc>
      </w:tr>
      <w:tr w:rsidR="005B41A8" w:rsidRPr="005B41A8" w:rsidTr="00643857">
        <w:trPr>
          <w:trHeight w:val="484"/>
          <w:jc w:val="center"/>
        </w:trPr>
        <w:tc>
          <w:tcPr>
            <w:tcW w:w="1080" w:type="pct"/>
            <w:gridSpan w:val="2"/>
            <w:vMerge/>
            <w:tcBorders>
              <w:left w:val="single" w:sz="18" w:space="0" w:color="auto"/>
              <w:bottom w:val="single" w:sz="12" w:space="0" w:color="000000"/>
              <w:right w:val="single" w:sz="12" w:space="0" w:color="auto"/>
            </w:tcBorders>
            <w:vAlign w:val="center"/>
            <w:hideMark/>
          </w:tcPr>
          <w:p w:rsidR="005B41A8" w:rsidRPr="005B41A8" w:rsidRDefault="005B41A8" w:rsidP="008E6887">
            <w:pPr>
              <w:widowControl/>
              <w:autoSpaceDE/>
              <w:autoSpaceDN/>
              <w:jc w:val="both"/>
              <w:rPr>
                <w:rFonts w:ascii="Garamond" w:eastAsia="Times New Roman" w:hAnsi="Garamond" w:cs="Calibri"/>
                <w:b/>
                <w:bCs/>
                <w:sz w:val="16"/>
                <w:szCs w:val="16"/>
                <w:lang w:eastAsia="en-US" w:bidi="ar-SA"/>
              </w:rPr>
            </w:pPr>
          </w:p>
        </w:tc>
        <w:tc>
          <w:tcPr>
            <w:tcW w:w="321" w:type="pct"/>
            <w:vMerge/>
            <w:tcBorders>
              <w:left w:val="single" w:sz="12" w:space="0" w:color="auto"/>
              <w:bottom w:val="single" w:sz="12" w:space="0" w:color="000000"/>
              <w:right w:val="single" w:sz="12" w:space="0" w:color="auto"/>
            </w:tcBorders>
            <w:vAlign w:val="center"/>
            <w:hideMark/>
          </w:tcPr>
          <w:p w:rsidR="005B41A8" w:rsidRPr="005B41A8" w:rsidRDefault="005B41A8" w:rsidP="008E6887">
            <w:pPr>
              <w:widowControl/>
              <w:autoSpaceDE/>
              <w:autoSpaceDN/>
              <w:jc w:val="both"/>
              <w:rPr>
                <w:rFonts w:ascii="Garamond" w:eastAsia="Times New Roman" w:hAnsi="Garamond" w:cs="Calibri"/>
                <w:b/>
                <w:bCs/>
                <w:sz w:val="16"/>
                <w:szCs w:val="16"/>
                <w:lang w:eastAsia="en-US" w:bidi="ar-SA"/>
              </w:rPr>
            </w:pPr>
          </w:p>
        </w:tc>
        <w:tc>
          <w:tcPr>
            <w:tcW w:w="412" w:type="pct"/>
            <w:gridSpan w:val="2"/>
            <w:tcBorders>
              <w:top w:val="nil"/>
              <w:left w:val="single" w:sz="12" w:space="0" w:color="auto"/>
              <w:bottom w:val="single" w:sz="12" w:space="0" w:color="auto"/>
              <w:right w:val="single" w:sz="4" w:space="0" w:color="auto"/>
            </w:tcBorders>
            <w:shd w:val="clear" w:color="auto" w:fill="auto"/>
            <w:vAlign w:val="center"/>
            <w:hideMark/>
          </w:tcPr>
          <w:p w:rsidR="005B41A8" w:rsidRPr="00925712" w:rsidRDefault="005B41A8" w:rsidP="008E6887">
            <w:pPr>
              <w:rPr>
                <w:rFonts w:ascii="Garamond" w:hAnsi="Garamond"/>
                <w:b/>
                <w:sz w:val="16"/>
                <w:szCs w:val="16"/>
              </w:rPr>
            </w:pPr>
            <w:r w:rsidRPr="00925712">
              <w:rPr>
                <w:rFonts w:ascii="Garamond" w:hAnsi="Garamond"/>
                <w:b/>
                <w:sz w:val="16"/>
                <w:szCs w:val="16"/>
              </w:rPr>
              <w:t>Target values</w:t>
            </w:r>
          </w:p>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p>
        </w:tc>
        <w:tc>
          <w:tcPr>
            <w:tcW w:w="452" w:type="pct"/>
            <w:gridSpan w:val="3"/>
            <w:tcBorders>
              <w:top w:val="nil"/>
              <w:left w:val="nil"/>
              <w:bottom w:val="single" w:sz="12" w:space="0" w:color="auto"/>
              <w:right w:val="single" w:sz="12" w:space="0" w:color="auto"/>
            </w:tcBorders>
            <w:shd w:val="clear" w:color="auto" w:fill="auto"/>
            <w:vAlign w:val="center"/>
            <w:hideMark/>
          </w:tcPr>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Implemented</w:t>
            </w:r>
          </w:p>
        </w:tc>
        <w:tc>
          <w:tcPr>
            <w:tcW w:w="370" w:type="pct"/>
            <w:tcBorders>
              <w:top w:val="nil"/>
              <w:left w:val="single" w:sz="12" w:space="0" w:color="auto"/>
              <w:bottom w:val="single" w:sz="12" w:space="0" w:color="auto"/>
              <w:right w:val="single" w:sz="4" w:space="0" w:color="auto"/>
            </w:tcBorders>
            <w:shd w:val="clear" w:color="auto" w:fill="auto"/>
            <w:vAlign w:val="center"/>
            <w:hideMark/>
          </w:tcPr>
          <w:p w:rsidR="005B41A8" w:rsidRPr="00925712" w:rsidRDefault="005B41A8" w:rsidP="008E6887">
            <w:pPr>
              <w:rPr>
                <w:rFonts w:ascii="Garamond" w:hAnsi="Garamond"/>
                <w:b/>
                <w:sz w:val="16"/>
                <w:szCs w:val="16"/>
              </w:rPr>
            </w:pPr>
            <w:r w:rsidRPr="00925712">
              <w:rPr>
                <w:rFonts w:ascii="Garamond" w:hAnsi="Garamond"/>
                <w:b/>
                <w:sz w:val="16"/>
                <w:szCs w:val="16"/>
              </w:rPr>
              <w:t>Target values</w:t>
            </w:r>
          </w:p>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p>
        </w:tc>
        <w:tc>
          <w:tcPr>
            <w:tcW w:w="382" w:type="pct"/>
            <w:gridSpan w:val="2"/>
            <w:tcBorders>
              <w:top w:val="nil"/>
              <w:left w:val="nil"/>
              <w:bottom w:val="single" w:sz="12" w:space="0" w:color="auto"/>
              <w:right w:val="single" w:sz="12" w:space="0" w:color="auto"/>
            </w:tcBorders>
            <w:shd w:val="clear" w:color="auto" w:fill="auto"/>
            <w:vAlign w:val="center"/>
            <w:hideMark/>
          </w:tcPr>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Implemented</w:t>
            </w:r>
          </w:p>
        </w:tc>
        <w:tc>
          <w:tcPr>
            <w:tcW w:w="517" w:type="pct"/>
            <w:gridSpan w:val="2"/>
            <w:tcBorders>
              <w:top w:val="single" w:sz="12" w:space="0" w:color="auto"/>
              <w:left w:val="single" w:sz="12" w:space="0" w:color="auto"/>
              <w:bottom w:val="single" w:sz="12" w:space="0" w:color="000000"/>
              <w:right w:val="single" w:sz="12" w:space="0" w:color="auto"/>
            </w:tcBorders>
          </w:tcPr>
          <w:p w:rsidR="005B41A8" w:rsidRPr="00925712" w:rsidRDefault="005B41A8" w:rsidP="008E6887">
            <w:pPr>
              <w:rPr>
                <w:rFonts w:ascii="Garamond" w:hAnsi="Garamond"/>
                <w:b/>
                <w:sz w:val="16"/>
                <w:szCs w:val="16"/>
              </w:rPr>
            </w:pPr>
            <w:r w:rsidRPr="00925712">
              <w:rPr>
                <w:rFonts w:ascii="Garamond" w:hAnsi="Garamond"/>
                <w:b/>
                <w:sz w:val="16"/>
                <w:szCs w:val="16"/>
              </w:rPr>
              <w:t>Target values</w:t>
            </w:r>
          </w:p>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p>
        </w:tc>
        <w:tc>
          <w:tcPr>
            <w:tcW w:w="337" w:type="pct"/>
            <w:gridSpan w:val="2"/>
            <w:tcBorders>
              <w:top w:val="single" w:sz="12" w:space="0" w:color="auto"/>
              <w:left w:val="single" w:sz="12" w:space="0" w:color="auto"/>
              <w:bottom w:val="single" w:sz="12" w:space="0" w:color="000000"/>
              <w:right w:val="single" w:sz="12" w:space="0" w:color="auto"/>
            </w:tcBorders>
          </w:tcPr>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Implemented</w:t>
            </w:r>
          </w:p>
        </w:tc>
        <w:tc>
          <w:tcPr>
            <w:tcW w:w="411" w:type="pct"/>
            <w:tcBorders>
              <w:top w:val="single" w:sz="12" w:space="0" w:color="auto"/>
              <w:left w:val="single" w:sz="12" w:space="0" w:color="auto"/>
              <w:bottom w:val="single" w:sz="12" w:space="0" w:color="000000"/>
              <w:right w:val="single" w:sz="12" w:space="0" w:color="auto"/>
            </w:tcBorders>
          </w:tcPr>
          <w:p w:rsidR="005B41A8" w:rsidRPr="00925712" w:rsidRDefault="005B41A8" w:rsidP="008E6887">
            <w:pPr>
              <w:rPr>
                <w:rFonts w:ascii="Garamond" w:hAnsi="Garamond"/>
                <w:b/>
                <w:sz w:val="16"/>
                <w:szCs w:val="16"/>
              </w:rPr>
            </w:pPr>
            <w:r w:rsidRPr="00925712">
              <w:rPr>
                <w:rFonts w:ascii="Garamond" w:hAnsi="Garamond"/>
                <w:b/>
                <w:sz w:val="16"/>
                <w:szCs w:val="16"/>
              </w:rPr>
              <w:t>Target values</w:t>
            </w:r>
          </w:p>
          <w:p w:rsidR="005B41A8" w:rsidRPr="00925712" w:rsidRDefault="005B41A8" w:rsidP="008E6887">
            <w:pPr>
              <w:widowControl/>
              <w:autoSpaceDE/>
              <w:autoSpaceDN/>
              <w:jc w:val="center"/>
              <w:rPr>
                <w:rFonts w:ascii="Garamond" w:eastAsia="Times New Roman" w:hAnsi="Garamond" w:cs="Calibri"/>
                <w:b/>
                <w:bCs/>
                <w:sz w:val="16"/>
                <w:szCs w:val="16"/>
                <w:lang w:eastAsia="en-US" w:bidi="ar-SA"/>
              </w:rPr>
            </w:pPr>
          </w:p>
        </w:tc>
        <w:tc>
          <w:tcPr>
            <w:tcW w:w="381" w:type="pct"/>
            <w:gridSpan w:val="2"/>
            <w:tcBorders>
              <w:top w:val="single" w:sz="12" w:space="0" w:color="auto"/>
              <w:left w:val="single" w:sz="12" w:space="0" w:color="auto"/>
              <w:bottom w:val="single" w:sz="12" w:space="0" w:color="000000"/>
              <w:right w:val="single" w:sz="18" w:space="0" w:color="auto"/>
            </w:tcBorders>
          </w:tcPr>
          <w:p w:rsidR="005B41A8" w:rsidRPr="00925712" w:rsidRDefault="005B41A8" w:rsidP="008E6887">
            <w:pPr>
              <w:widowControl/>
              <w:autoSpaceDE/>
              <w:autoSpaceDN/>
              <w:rPr>
                <w:rFonts w:ascii="Garamond" w:eastAsia="Times New Roman" w:hAnsi="Garamond" w:cs="Calibri"/>
                <w:b/>
                <w:bCs/>
                <w:sz w:val="16"/>
                <w:szCs w:val="16"/>
                <w:lang w:eastAsia="en-US" w:bidi="ar-SA"/>
              </w:rPr>
            </w:pPr>
            <w:r w:rsidRPr="00925712">
              <w:rPr>
                <w:rFonts w:ascii="Garamond" w:eastAsia="Times New Roman" w:hAnsi="Garamond" w:cs="Calibri"/>
                <w:b/>
                <w:bCs/>
                <w:sz w:val="16"/>
                <w:szCs w:val="16"/>
                <w:lang w:eastAsia="en-US" w:bidi="ar-SA"/>
              </w:rPr>
              <w:t xml:space="preserve">Implemented </w:t>
            </w:r>
          </w:p>
        </w:tc>
        <w:tc>
          <w:tcPr>
            <w:tcW w:w="337" w:type="pct"/>
            <w:vMerge/>
            <w:tcBorders>
              <w:left w:val="single" w:sz="12" w:space="0" w:color="auto"/>
              <w:bottom w:val="single" w:sz="12" w:space="0" w:color="000000"/>
              <w:right w:val="single" w:sz="18" w:space="0" w:color="auto"/>
            </w:tcBorders>
            <w:vAlign w:val="center"/>
            <w:hideMark/>
          </w:tcPr>
          <w:p w:rsidR="005B41A8" w:rsidRPr="00925712" w:rsidRDefault="005B41A8" w:rsidP="008E6887">
            <w:pPr>
              <w:widowControl/>
              <w:autoSpaceDE/>
              <w:autoSpaceDN/>
              <w:jc w:val="both"/>
              <w:rPr>
                <w:rFonts w:ascii="Garamond" w:eastAsia="Times New Roman" w:hAnsi="Garamond" w:cs="Calibri"/>
                <w:b/>
                <w:bCs/>
                <w:sz w:val="16"/>
                <w:szCs w:val="16"/>
                <w:lang w:eastAsia="en-US" w:bidi="ar-SA"/>
              </w:rPr>
            </w:pPr>
          </w:p>
        </w:tc>
      </w:tr>
      <w:tr w:rsidR="005B41A8" w:rsidRPr="005B41A8" w:rsidTr="00643857">
        <w:trPr>
          <w:cantSplit/>
          <w:trHeight w:val="883"/>
          <w:jc w:val="center"/>
        </w:trPr>
        <w:tc>
          <w:tcPr>
            <w:tcW w:w="1066" w:type="pct"/>
            <w:tcBorders>
              <w:top w:val="nil"/>
              <w:left w:val="single" w:sz="18" w:space="0" w:color="auto"/>
              <w:bottom w:val="single" w:sz="4" w:space="0" w:color="auto"/>
              <w:right w:val="single" w:sz="12" w:space="0" w:color="auto"/>
            </w:tcBorders>
            <w:shd w:val="clear" w:color="auto" w:fill="auto"/>
            <w:vAlign w:val="center"/>
            <w:hideMark/>
          </w:tcPr>
          <w:p w:rsidR="005B41A8" w:rsidRPr="005B41A8" w:rsidRDefault="00744B99" w:rsidP="00C42505">
            <w:pPr>
              <w:rPr>
                <w:rFonts w:ascii="Garamond" w:eastAsia="Times New Roman" w:hAnsi="Garamond" w:cs="Calibri"/>
                <w:color w:val="000000"/>
                <w:sz w:val="16"/>
                <w:szCs w:val="16"/>
                <w:lang w:eastAsia="en-US" w:bidi="ar-SA"/>
              </w:rPr>
            </w:pPr>
            <w:r w:rsidRPr="00744B99">
              <w:rPr>
                <w:rFonts w:ascii="Garamond" w:hAnsi="Garamond"/>
                <w:sz w:val="16"/>
                <w:szCs w:val="16"/>
              </w:rPr>
              <w:t>Share of first level budget organisations that provide comprehensive information with their annual budget requests</w:t>
            </w:r>
          </w:p>
        </w:tc>
        <w:tc>
          <w:tcPr>
            <w:tcW w:w="340" w:type="pct"/>
            <w:gridSpan w:val="3"/>
            <w:tcBorders>
              <w:top w:val="nil"/>
              <w:left w:val="single" w:sz="12" w:space="0" w:color="auto"/>
              <w:bottom w:val="single" w:sz="4"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40%</w:t>
            </w:r>
          </w:p>
        </w:tc>
        <w:tc>
          <w:tcPr>
            <w:tcW w:w="469" w:type="pct"/>
            <w:gridSpan w:val="2"/>
            <w:tcBorders>
              <w:top w:val="nil"/>
              <w:left w:val="single" w:sz="12" w:space="0" w:color="auto"/>
              <w:bottom w:val="single" w:sz="4" w:space="0" w:color="auto"/>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75%</w:t>
            </w:r>
          </w:p>
        </w:tc>
        <w:tc>
          <w:tcPr>
            <w:tcW w:w="369" w:type="pct"/>
            <w:tcBorders>
              <w:top w:val="nil"/>
              <w:left w:val="nil"/>
              <w:bottom w:val="single" w:sz="4"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70%</w:t>
            </w:r>
          </w:p>
        </w:tc>
        <w:tc>
          <w:tcPr>
            <w:tcW w:w="445" w:type="pct"/>
            <w:gridSpan w:val="3"/>
            <w:tcBorders>
              <w:top w:val="nil"/>
              <w:left w:val="single" w:sz="12" w:space="0" w:color="auto"/>
              <w:bottom w:val="single" w:sz="4" w:space="0" w:color="auto"/>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80%</w:t>
            </w:r>
          </w:p>
        </w:tc>
        <w:tc>
          <w:tcPr>
            <w:tcW w:w="341" w:type="pct"/>
            <w:gridSpan w:val="2"/>
            <w:tcBorders>
              <w:top w:val="nil"/>
              <w:left w:val="nil"/>
              <w:bottom w:val="single" w:sz="4"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80%</w:t>
            </w:r>
          </w:p>
        </w:tc>
        <w:tc>
          <w:tcPr>
            <w:tcW w:w="508" w:type="pct"/>
            <w:gridSpan w:val="2"/>
            <w:tcBorders>
              <w:top w:val="single" w:sz="4" w:space="0" w:color="auto"/>
              <w:left w:val="single" w:sz="12" w:space="0" w:color="auto"/>
              <w:bottom w:val="single" w:sz="4" w:space="0" w:color="auto"/>
              <w:right w:val="single" w:sz="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mbria"/>
                <w:color w:val="000000"/>
                <w:sz w:val="16"/>
                <w:szCs w:val="16"/>
                <w:lang w:val="sr-Latn-CS" w:eastAsia="en-US" w:bidi="ar-SA"/>
              </w:rPr>
              <w:t>90</w:t>
            </w:r>
            <w:r w:rsidRPr="005B41A8">
              <w:rPr>
                <w:rFonts w:ascii="Garamond" w:eastAsia="Times New Roman" w:hAnsi="Garamond" w:cs="Cambria"/>
                <w:color w:val="000000"/>
                <w:sz w:val="16"/>
                <w:szCs w:val="16"/>
                <w:lang w:eastAsia="en-US" w:bidi="ar-SA"/>
              </w:rPr>
              <w:t>%</w:t>
            </w:r>
          </w:p>
        </w:tc>
        <w:tc>
          <w:tcPr>
            <w:tcW w:w="333" w:type="pct"/>
            <w:tcBorders>
              <w:top w:val="single" w:sz="4" w:space="0" w:color="auto"/>
              <w:left w:val="single" w:sz="2" w:space="0" w:color="auto"/>
              <w:bottom w:val="single" w:sz="4" w:space="0" w:color="auto"/>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mbria"/>
                <w:color w:val="000000"/>
                <w:sz w:val="16"/>
                <w:szCs w:val="16"/>
                <w:lang w:val="sr-Latn-CS" w:eastAsia="en-US" w:bidi="ar-SA"/>
              </w:rPr>
              <w:t>90</w:t>
            </w:r>
            <w:r w:rsidRPr="005B41A8">
              <w:rPr>
                <w:rFonts w:ascii="Garamond" w:eastAsia="Times New Roman" w:hAnsi="Garamond" w:cs="Cambria"/>
                <w:color w:val="000000"/>
                <w:sz w:val="16"/>
                <w:szCs w:val="16"/>
                <w:lang w:eastAsia="en-US" w:bidi="ar-SA"/>
              </w:rPr>
              <w:t>%</w:t>
            </w:r>
          </w:p>
        </w:tc>
        <w:tc>
          <w:tcPr>
            <w:tcW w:w="416" w:type="pct"/>
            <w:gridSpan w:val="2"/>
            <w:tcBorders>
              <w:top w:val="nil"/>
              <w:left w:val="single" w:sz="12" w:space="0" w:color="auto"/>
              <w:bottom w:val="single" w:sz="4" w:space="0" w:color="auto"/>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cs="Calibri"/>
                <w:sz w:val="16"/>
                <w:szCs w:val="16"/>
                <w:lang w:eastAsia="en-US" w:bidi="ar-SA"/>
              </w:rPr>
              <w:t>100%</w:t>
            </w:r>
          </w:p>
        </w:tc>
        <w:tc>
          <w:tcPr>
            <w:tcW w:w="376" w:type="pct"/>
            <w:tcBorders>
              <w:top w:val="nil"/>
              <w:left w:val="single" w:sz="12" w:space="0" w:color="auto"/>
              <w:bottom w:val="single" w:sz="4" w:space="0" w:color="auto"/>
              <w:right w:val="single" w:sz="18"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cs="Calibri"/>
                <w:sz w:val="16"/>
                <w:szCs w:val="16"/>
                <w:lang w:eastAsia="en-US" w:bidi="ar-SA"/>
              </w:rPr>
              <w:t>100%</w:t>
            </w:r>
          </w:p>
        </w:tc>
        <w:tc>
          <w:tcPr>
            <w:tcW w:w="337" w:type="pct"/>
            <w:tcBorders>
              <w:top w:val="nil"/>
              <w:left w:val="single" w:sz="12" w:space="0" w:color="auto"/>
              <w:bottom w:val="single" w:sz="4" w:space="0" w:color="auto"/>
              <w:right w:val="single" w:sz="18"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B050"/>
                <w:sz w:val="16"/>
                <w:szCs w:val="16"/>
                <w:lang w:eastAsia="en-US" w:bidi="ar-SA"/>
              </w:rPr>
            </w:pPr>
            <w:r w:rsidRPr="005B41A8">
              <w:rPr>
                <w:rFonts w:ascii="Garamond" w:eastAsia="游明朝" w:hAnsi="Garamond" w:cs="Calibri"/>
                <w:noProof/>
                <w:sz w:val="16"/>
                <w:szCs w:val="16"/>
                <w:lang w:eastAsia="ja-JP" w:bidi="ar-SA"/>
              </w:rPr>
              <w:drawing>
                <wp:inline distT="0" distB="0" distL="0" distR="0">
                  <wp:extent cx="276225" cy="233680"/>
                  <wp:effectExtent l="0" t="0" r="9525" b="0"/>
                  <wp:docPr id="8" name="Picture 28" descr="Description: 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Description: Description: Description: C:\Users\owner\Desktop\zelena strelica - manja.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A70BEF" w:rsidRPr="005B41A8" w:rsidTr="00643857">
        <w:trPr>
          <w:cantSplit/>
          <w:trHeight w:val="2646"/>
          <w:jc w:val="center"/>
        </w:trPr>
        <w:tc>
          <w:tcPr>
            <w:tcW w:w="1066" w:type="pct"/>
            <w:tcBorders>
              <w:top w:val="nil"/>
              <w:left w:val="single" w:sz="18" w:space="0" w:color="auto"/>
              <w:bottom w:val="single" w:sz="4" w:space="0" w:color="auto"/>
              <w:right w:val="single" w:sz="12" w:space="0" w:color="auto"/>
            </w:tcBorders>
            <w:shd w:val="clear" w:color="auto" w:fill="auto"/>
            <w:vAlign w:val="center"/>
            <w:hideMark/>
          </w:tcPr>
          <w:p w:rsidR="00A70BEF" w:rsidRPr="005B41A8" w:rsidRDefault="00744B99" w:rsidP="005B41A8">
            <w:pPr>
              <w:widowControl/>
              <w:autoSpaceDE/>
              <w:autoSpaceDN/>
              <w:jc w:val="both"/>
              <w:rPr>
                <w:rFonts w:ascii="Garamond" w:eastAsia="Times New Roman" w:hAnsi="Garamond" w:cs="Calibri"/>
                <w:color w:val="000000"/>
                <w:sz w:val="16"/>
                <w:szCs w:val="16"/>
                <w:lang w:eastAsia="en-US" w:bidi="ar-SA"/>
              </w:rPr>
            </w:pPr>
            <w:r w:rsidRPr="00744B99">
              <w:rPr>
                <w:rFonts w:ascii="Garamond" w:hAnsi="Garamond"/>
                <w:sz w:val="16"/>
                <w:szCs w:val="16"/>
              </w:rPr>
              <w:t xml:space="preserve">Level of performance information included in budget planning </w:t>
            </w:r>
          </w:p>
        </w:tc>
        <w:tc>
          <w:tcPr>
            <w:tcW w:w="340" w:type="pct"/>
            <w:gridSpan w:val="3"/>
            <w:tcBorders>
              <w:top w:val="nil"/>
              <w:left w:val="single" w:sz="12" w:space="0" w:color="auto"/>
              <w:bottom w:val="single" w:sz="4" w:space="0" w:color="auto"/>
              <w:right w:val="single" w:sz="12" w:space="0" w:color="auto"/>
            </w:tcBorders>
            <w:shd w:val="clear" w:color="auto" w:fill="auto"/>
            <w:vAlign w:val="center"/>
            <w:hideMark/>
          </w:tcPr>
          <w:p w:rsidR="00A70BEF" w:rsidRPr="005B41A8" w:rsidRDefault="00744B99" w:rsidP="00A70BEF">
            <w:pPr>
              <w:widowControl/>
              <w:autoSpaceDE/>
              <w:autoSpaceDN/>
              <w:jc w:val="center"/>
              <w:rPr>
                <w:rFonts w:ascii="Garamond" w:eastAsia="Times New Roman" w:hAnsi="Garamond" w:cs="Calibri"/>
                <w:color w:val="000000"/>
                <w:sz w:val="16"/>
                <w:szCs w:val="16"/>
                <w:lang w:eastAsia="en-US" w:bidi="ar-SA"/>
              </w:rPr>
            </w:pPr>
            <w:r w:rsidRPr="00744B99">
              <w:rPr>
                <w:rFonts w:ascii="Garamond" w:eastAsia="Times New Roman" w:hAnsi="Garamond" w:cs="Calibri"/>
                <w:color w:val="000000"/>
                <w:sz w:val="16"/>
                <w:szCs w:val="16"/>
                <w:lang w:eastAsia="en-US" w:bidi="ar-SA"/>
              </w:rPr>
              <w:t>Programme headings are defined by all budget organisations</w:t>
            </w:r>
          </w:p>
        </w:tc>
        <w:tc>
          <w:tcPr>
            <w:tcW w:w="469" w:type="pct"/>
            <w:gridSpan w:val="2"/>
            <w:tcBorders>
              <w:top w:val="nil"/>
              <w:left w:val="single" w:sz="12" w:space="0" w:color="auto"/>
              <w:bottom w:val="single" w:sz="4" w:space="0" w:color="auto"/>
              <w:right w:val="single" w:sz="4" w:space="0" w:color="auto"/>
            </w:tcBorders>
            <w:shd w:val="clear" w:color="auto" w:fill="auto"/>
            <w:vAlign w:val="center"/>
            <w:hideMark/>
          </w:tcPr>
          <w:p w:rsidR="00A70BEF" w:rsidRPr="005B41A8" w:rsidRDefault="00744B99" w:rsidP="00A70BEF">
            <w:pPr>
              <w:rPr>
                <w:rFonts w:ascii="Garamond" w:eastAsia="Times New Roman" w:hAnsi="Garamond" w:cs="Calibri"/>
                <w:color w:val="000000"/>
                <w:sz w:val="16"/>
                <w:szCs w:val="16"/>
                <w:lang w:eastAsia="en-US" w:bidi="ar-SA"/>
              </w:rPr>
            </w:pPr>
            <w:r w:rsidRPr="00744B99">
              <w:rPr>
                <w:rFonts w:ascii="Garamond" w:hAnsi="Garamond"/>
                <w:sz w:val="16"/>
                <w:szCs w:val="16"/>
              </w:rPr>
              <w:t>Programme structure is developed in all budget organisations, including their mission statements, programme descriptions and goals</w:t>
            </w:r>
          </w:p>
        </w:tc>
        <w:tc>
          <w:tcPr>
            <w:tcW w:w="369" w:type="pct"/>
            <w:tcBorders>
              <w:top w:val="nil"/>
              <w:left w:val="nil"/>
              <w:bottom w:val="single" w:sz="4" w:space="0" w:color="auto"/>
              <w:right w:val="single" w:sz="12" w:space="0" w:color="auto"/>
            </w:tcBorders>
            <w:shd w:val="clear" w:color="auto" w:fill="auto"/>
            <w:vAlign w:val="center"/>
            <w:hideMark/>
          </w:tcPr>
          <w:p w:rsidR="00A70BEF" w:rsidRPr="005B41A8" w:rsidRDefault="00A70BEF" w:rsidP="00744B99">
            <w:pPr>
              <w:widowControl/>
              <w:autoSpaceDE/>
              <w:autoSpaceDN/>
              <w:jc w:val="center"/>
              <w:rPr>
                <w:rFonts w:ascii="Garamond" w:eastAsia="Times New Roman" w:hAnsi="Garamond" w:cs="Calibri"/>
                <w:color w:val="000000"/>
                <w:sz w:val="16"/>
                <w:szCs w:val="16"/>
                <w:lang w:eastAsia="en-US" w:bidi="ar-SA"/>
              </w:rPr>
            </w:pPr>
            <w:r w:rsidRPr="00A70BEF">
              <w:rPr>
                <w:rFonts w:ascii="Garamond" w:eastAsia="Times New Roman" w:hAnsi="Garamond" w:cs="Calibri"/>
                <w:color w:val="000000"/>
                <w:sz w:val="16"/>
                <w:szCs w:val="16"/>
                <w:lang w:eastAsia="en-US" w:bidi="ar-SA"/>
              </w:rPr>
              <w:t>Developed program structure as regard defining the program</w:t>
            </w:r>
            <w:r w:rsidR="00744B99">
              <w:rPr>
                <w:rFonts w:ascii="Garamond" w:eastAsia="Times New Roman" w:hAnsi="Garamond" w:cs="Calibri"/>
                <w:color w:val="000000"/>
                <w:sz w:val="16"/>
                <w:szCs w:val="16"/>
                <w:lang w:eastAsia="en-US" w:bidi="ar-SA"/>
              </w:rPr>
              <w:t>me</w:t>
            </w:r>
            <w:r w:rsidRPr="00A70BEF">
              <w:rPr>
                <w:rFonts w:ascii="Garamond" w:eastAsia="Times New Roman" w:hAnsi="Garamond" w:cs="Calibri"/>
                <w:color w:val="000000"/>
                <w:sz w:val="16"/>
                <w:szCs w:val="16"/>
                <w:lang w:eastAsia="en-US" w:bidi="ar-SA"/>
              </w:rPr>
              <w:t xml:space="preserve"> </w:t>
            </w:r>
            <w:r w:rsidR="00744B99">
              <w:rPr>
                <w:rFonts w:ascii="Garamond" w:eastAsia="Times New Roman" w:hAnsi="Garamond" w:cs="Calibri"/>
                <w:color w:val="000000"/>
                <w:sz w:val="16"/>
                <w:szCs w:val="16"/>
                <w:lang w:eastAsia="en-US" w:bidi="ar-SA"/>
              </w:rPr>
              <w:t>headings</w:t>
            </w:r>
            <w:r w:rsidRPr="00A70BEF">
              <w:rPr>
                <w:rFonts w:ascii="Garamond" w:eastAsia="Times New Roman" w:hAnsi="Garamond" w:cs="Calibri"/>
                <w:color w:val="000000"/>
                <w:sz w:val="16"/>
                <w:szCs w:val="16"/>
                <w:lang w:eastAsia="en-US" w:bidi="ar-SA"/>
              </w:rPr>
              <w:t xml:space="preserve"> of all spending units</w:t>
            </w:r>
          </w:p>
        </w:tc>
        <w:tc>
          <w:tcPr>
            <w:tcW w:w="445" w:type="pct"/>
            <w:gridSpan w:val="3"/>
            <w:tcBorders>
              <w:top w:val="nil"/>
              <w:left w:val="single" w:sz="12" w:space="0" w:color="auto"/>
              <w:bottom w:val="single" w:sz="4" w:space="0" w:color="auto"/>
              <w:right w:val="single" w:sz="4" w:space="0" w:color="auto"/>
            </w:tcBorders>
            <w:shd w:val="clear" w:color="auto" w:fill="auto"/>
            <w:vAlign w:val="center"/>
            <w:hideMark/>
          </w:tcPr>
          <w:p w:rsidR="00A70BEF" w:rsidRPr="005B41A8" w:rsidRDefault="00A70BEF" w:rsidP="00744B99">
            <w:pPr>
              <w:widowControl/>
              <w:autoSpaceDE/>
              <w:autoSpaceDN/>
              <w:jc w:val="center"/>
              <w:rPr>
                <w:rFonts w:ascii="Garamond" w:eastAsia="Times New Roman" w:hAnsi="Garamond" w:cs="Calibri"/>
                <w:color w:val="000000"/>
                <w:sz w:val="16"/>
                <w:szCs w:val="16"/>
                <w:lang w:eastAsia="en-US" w:bidi="ar-SA"/>
              </w:rPr>
            </w:pPr>
            <w:r w:rsidRPr="00A70BEF">
              <w:rPr>
                <w:rFonts w:ascii="Garamond" w:eastAsia="Times New Roman" w:hAnsi="Garamond" w:cs="Calibri"/>
                <w:color w:val="000000"/>
                <w:sz w:val="16"/>
                <w:szCs w:val="16"/>
                <w:lang w:eastAsia="en-US" w:bidi="ar-SA"/>
              </w:rPr>
              <w:t>Developed program</w:t>
            </w:r>
            <w:r w:rsidR="00744B99">
              <w:rPr>
                <w:rFonts w:ascii="Garamond" w:eastAsia="Times New Roman" w:hAnsi="Garamond" w:cs="Calibri"/>
                <w:color w:val="000000"/>
                <w:sz w:val="16"/>
                <w:szCs w:val="16"/>
                <w:lang w:eastAsia="en-US" w:bidi="ar-SA"/>
              </w:rPr>
              <w:t>me</w:t>
            </w:r>
            <w:r w:rsidRPr="00A70BEF">
              <w:rPr>
                <w:rFonts w:ascii="Garamond" w:eastAsia="Times New Roman" w:hAnsi="Garamond" w:cs="Calibri"/>
                <w:color w:val="000000"/>
                <w:sz w:val="16"/>
                <w:szCs w:val="16"/>
                <w:lang w:eastAsia="en-US" w:bidi="ar-SA"/>
              </w:rPr>
              <w:t xml:space="preserve"> structure as regard defining the program</w:t>
            </w:r>
            <w:r w:rsidR="00744B99">
              <w:rPr>
                <w:rFonts w:ascii="Garamond" w:eastAsia="Times New Roman" w:hAnsi="Garamond" w:cs="Calibri"/>
                <w:color w:val="000000"/>
                <w:sz w:val="16"/>
                <w:szCs w:val="16"/>
                <w:lang w:eastAsia="en-US" w:bidi="ar-SA"/>
              </w:rPr>
              <w:t>me</w:t>
            </w:r>
            <w:r w:rsidRPr="00A70BEF">
              <w:rPr>
                <w:rFonts w:ascii="Garamond" w:eastAsia="Times New Roman" w:hAnsi="Garamond" w:cs="Calibri"/>
                <w:color w:val="000000"/>
                <w:sz w:val="16"/>
                <w:szCs w:val="16"/>
                <w:lang w:eastAsia="en-US" w:bidi="ar-SA"/>
              </w:rPr>
              <w:t xml:space="preserve"> </w:t>
            </w:r>
            <w:r w:rsidR="00744B99">
              <w:rPr>
                <w:rFonts w:ascii="Garamond" w:eastAsia="Times New Roman" w:hAnsi="Garamond" w:cs="Calibri"/>
                <w:color w:val="000000"/>
                <w:sz w:val="16"/>
                <w:szCs w:val="16"/>
                <w:lang w:eastAsia="en-US" w:bidi="ar-SA"/>
              </w:rPr>
              <w:t>heading</w:t>
            </w:r>
            <w:r w:rsidRPr="00A70BEF">
              <w:rPr>
                <w:rFonts w:ascii="Garamond" w:eastAsia="Times New Roman" w:hAnsi="Garamond" w:cs="Calibri"/>
                <w:color w:val="000000"/>
                <w:sz w:val="16"/>
                <w:szCs w:val="16"/>
                <w:lang w:eastAsia="en-US" w:bidi="ar-SA"/>
              </w:rPr>
              <w:t xml:space="preserve"> of all spending units</w:t>
            </w:r>
          </w:p>
        </w:tc>
        <w:tc>
          <w:tcPr>
            <w:tcW w:w="341" w:type="pct"/>
            <w:gridSpan w:val="2"/>
            <w:tcBorders>
              <w:top w:val="nil"/>
              <w:left w:val="nil"/>
              <w:bottom w:val="single" w:sz="4" w:space="0" w:color="auto"/>
              <w:right w:val="single" w:sz="12" w:space="0" w:color="auto"/>
            </w:tcBorders>
            <w:shd w:val="clear" w:color="auto" w:fill="auto"/>
            <w:vAlign w:val="center"/>
            <w:hideMark/>
          </w:tcPr>
          <w:p w:rsidR="00A70BEF" w:rsidRPr="005B41A8" w:rsidRDefault="00A70BEF" w:rsidP="00744B99">
            <w:pPr>
              <w:widowControl/>
              <w:autoSpaceDE/>
              <w:autoSpaceDN/>
              <w:jc w:val="center"/>
              <w:rPr>
                <w:rFonts w:ascii="Garamond" w:eastAsia="Times New Roman" w:hAnsi="Garamond" w:cs="Calibri"/>
                <w:color w:val="000000"/>
                <w:sz w:val="16"/>
                <w:szCs w:val="16"/>
                <w:lang w:eastAsia="en-US" w:bidi="ar-SA"/>
              </w:rPr>
            </w:pPr>
            <w:r w:rsidRPr="00A70BEF">
              <w:rPr>
                <w:rFonts w:ascii="Garamond" w:eastAsia="Times New Roman" w:hAnsi="Garamond" w:cs="Calibri"/>
                <w:color w:val="000000"/>
                <w:sz w:val="16"/>
                <w:szCs w:val="16"/>
                <w:lang w:eastAsia="en-US" w:bidi="ar-SA"/>
              </w:rPr>
              <w:t>Def</w:t>
            </w:r>
            <w:r w:rsidR="00744B99">
              <w:rPr>
                <w:rFonts w:ascii="Garamond" w:eastAsia="Times New Roman" w:hAnsi="Garamond" w:cs="Calibri"/>
                <w:color w:val="000000"/>
                <w:sz w:val="16"/>
                <w:szCs w:val="16"/>
                <w:lang w:eastAsia="en-US" w:bidi="ar-SA"/>
              </w:rPr>
              <w:t>ined programme headings</w:t>
            </w:r>
            <w:r w:rsidRPr="00A70BEF">
              <w:rPr>
                <w:rFonts w:ascii="Garamond" w:eastAsia="Times New Roman" w:hAnsi="Garamond" w:cs="Calibri"/>
                <w:color w:val="000000"/>
                <w:sz w:val="16"/>
                <w:szCs w:val="16"/>
                <w:lang w:eastAsia="en-US" w:bidi="ar-SA"/>
              </w:rPr>
              <w:t xml:space="preserve"> of all spending  units</w:t>
            </w:r>
          </w:p>
        </w:tc>
        <w:tc>
          <w:tcPr>
            <w:tcW w:w="508" w:type="pct"/>
            <w:gridSpan w:val="2"/>
            <w:tcBorders>
              <w:top w:val="single" w:sz="4" w:space="0" w:color="auto"/>
              <w:left w:val="single" w:sz="12" w:space="0" w:color="auto"/>
              <w:bottom w:val="single" w:sz="4" w:space="0" w:color="auto"/>
              <w:right w:val="single" w:sz="2" w:space="0" w:color="auto"/>
            </w:tcBorders>
            <w:vAlign w:val="center"/>
          </w:tcPr>
          <w:p w:rsidR="00A70BEF" w:rsidRPr="005B41A8" w:rsidRDefault="00A70BEF" w:rsidP="005B41A8">
            <w:pPr>
              <w:widowControl/>
              <w:autoSpaceDE/>
              <w:autoSpaceDN/>
              <w:jc w:val="center"/>
              <w:rPr>
                <w:rFonts w:ascii="Garamond" w:eastAsia="游明朝" w:hAnsi="Garamond" w:cs="Calibri"/>
                <w:noProof/>
                <w:sz w:val="16"/>
                <w:szCs w:val="16"/>
                <w:lang w:eastAsia="en-US" w:bidi="ar-SA"/>
              </w:rPr>
            </w:pPr>
            <w:r w:rsidRPr="00A70BEF">
              <w:rPr>
                <w:rFonts w:ascii="Garamond" w:eastAsia="Times New Roman" w:hAnsi="Garamond"/>
                <w:bCs/>
                <w:sz w:val="16"/>
                <w:szCs w:val="16"/>
                <w:lang w:eastAsia="en-US" w:bidi="ar-SA"/>
              </w:rPr>
              <w:t>Level 1 upgrade with defining a set  of performance indicators for pilot projects</w:t>
            </w:r>
          </w:p>
        </w:tc>
        <w:tc>
          <w:tcPr>
            <w:tcW w:w="333" w:type="pct"/>
            <w:tcBorders>
              <w:top w:val="single" w:sz="4" w:space="0" w:color="auto"/>
              <w:left w:val="single" w:sz="2" w:space="0" w:color="auto"/>
              <w:bottom w:val="single" w:sz="4" w:space="0" w:color="auto"/>
              <w:right w:val="single" w:sz="12" w:space="0" w:color="auto"/>
            </w:tcBorders>
            <w:vAlign w:val="center"/>
          </w:tcPr>
          <w:p w:rsidR="00A70BEF" w:rsidRPr="005B41A8" w:rsidRDefault="00CA13DF" w:rsidP="00744B99">
            <w:pPr>
              <w:widowControl/>
              <w:autoSpaceDE/>
              <w:autoSpaceDN/>
              <w:jc w:val="center"/>
              <w:rPr>
                <w:rFonts w:ascii="Garamond" w:eastAsia="Times New Roman" w:hAnsi="Garamond" w:cs="Calibri"/>
                <w:color w:val="000000"/>
                <w:sz w:val="16"/>
                <w:szCs w:val="16"/>
                <w:lang w:eastAsia="en-US" w:bidi="ar-SA"/>
              </w:rPr>
            </w:pPr>
            <w:r>
              <w:rPr>
                <w:rFonts w:ascii="Garamond" w:eastAsia="Times New Roman" w:hAnsi="Garamond" w:cs="Calibri"/>
                <w:color w:val="000000"/>
                <w:sz w:val="16"/>
                <w:szCs w:val="16"/>
                <w:lang w:eastAsia="en-US" w:bidi="ar-SA"/>
              </w:rPr>
              <w:t xml:space="preserve">Defined programme </w:t>
            </w:r>
            <w:r w:rsidR="00744B99">
              <w:rPr>
                <w:rFonts w:ascii="Garamond" w:eastAsia="Times New Roman" w:hAnsi="Garamond" w:cs="Calibri"/>
                <w:color w:val="000000"/>
                <w:sz w:val="16"/>
                <w:szCs w:val="16"/>
                <w:lang w:eastAsia="en-US" w:bidi="ar-SA"/>
              </w:rPr>
              <w:t xml:space="preserve">headings </w:t>
            </w:r>
            <w:r w:rsidR="00A70BEF" w:rsidRPr="00A70BEF">
              <w:rPr>
                <w:rFonts w:ascii="Garamond" w:eastAsia="Times New Roman" w:hAnsi="Garamond" w:cs="Calibri"/>
                <w:color w:val="000000"/>
                <w:sz w:val="16"/>
                <w:szCs w:val="16"/>
                <w:lang w:eastAsia="en-US" w:bidi="ar-SA"/>
              </w:rPr>
              <w:t>of all spending  units</w:t>
            </w:r>
          </w:p>
        </w:tc>
        <w:tc>
          <w:tcPr>
            <w:tcW w:w="416" w:type="pct"/>
            <w:gridSpan w:val="2"/>
            <w:tcBorders>
              <w:top w:val="nil"/>
              <w:left w:val="single" w:sz="12" w:space="0" w:color="auto"/>
              <w:bottom w:val="single" w:sz="4" w:space="0" w:color="auto"/>
              <w:right w:val="single" w:sz="12" w:space="0" w:color="auto"/>
            </w:tcBorders>
            <w:vAlign w:val="center"/>
          </w:tcPr>
          <w:p w:rsidR="00A70BEF" w:rsidRPr="005B41A8" w:rsidRDefault="00A70BEF" w:rsidP="005B41A8">
            <w:pPr>
              <w:widowControl/>
              <w:autoSpaceDE/>
              <w:autoSpaceDN/>
              <w:jc w:val="center"/>
              <w:rPr>
                <w:rFonts w:ascii="Garamond" w:eastAsia="游明朝" w:hAnsi="Garamond" w:cs="Calibri"/>
                <w:noProof/>
                <w:sz w:val="16"/>
                <w:szCs w:val="16"/>
                <w:lang w:eastAsia="en-US" w:bidi="ar-SA"/>
              </w:rPr>
            </w:pPr>
            <w:r w:rsidRPr="00A70BEF">
              <w:rPr>
                <w:rFonts w:ascii="Garamond" w:eastAsia="游明朝" w:hAnsi="Garamond" w:cs="Calibri"/>
                <w:sz w:val="16"/>
                <w:szCs w:val="16"/>
                <w:lang w:eastAsia="en-US" w:bidi="ar-SA"/>
              </w:rPr>
              <w:t>Level</w:t>
            </w:r>
            <w:r w:rsidRPr="005B41A8">
              <w:rPr>
                <w:rFonts w:ascii="Garamond" w:eastAsia="游明朝" w:hAnsi="Garamond" w:cs="Calibri"/>
                <w:sz w:val="16"/>
                <w:szCs w:val="16"/>
                <w:lang w:eastAsia="en-US" w:bidi="ar-SA"/>
              </w:rPr>
              <w:t xml:space="preserve"> 3</w:t>
            </w:r>
          </w:p>
        </w:tc>
        <w:tc>
          <w:tcPr>
            <w:tcW w:w="376" w:type="pct"/>
            <w:tcBorders>
              <w:top w:val="nil"/>
              <w:left w:val="single" w:sz="12" w:space="0" w:color="auto"/>
              <w:bottom w:val="single" w:sz="4" w:space="0" w:color="auto"/>
              <w:right w:val="single" w:sz="18" w:space="0" w:color="auto"/>
            </w:tcBorders>
            <w:vAlign w:val="center"/>
          </w:tcPr>
          <w:p w:rsidR="00A70BEF" w:rsidRPr="005B41A8" w:rsidRDefault="00A70BEF" w:rsidP="00744B99">
            <w:pPr>
              <w:widowControl/>
              <w:autoSpaceDE/>
              <w:autoSpaceDN/>
              <w:jc w:val="center"/>
              <w:rPr>
                <w:rFonts w:ascii="Garamond" w:eastAsia="游明朝" w:hAnsi="Garamond" w:cs="Calibri"/>
                <w:noProof/>
                <w:sz w:val="16"/>
                <w:szCs w:val="16"/>
                <w:lang w:eastAsia="en-US" w:bidi="ar-SA"/>
              </w:rPr>
            </w:pPr>
            <w:r w:rsidRPr="00A70BEF">
              <w:rPr>
                <w:rFonts w:ascii="Garamond" w:eastAsia="游明朝" w:hAnsi="Garamond" w:cs="Calibri"/>
                <w:sz w:val="16"/>
                <w:szCs w:val="16"/>
                <w:lang w:eastAsia="en-US" w:bidi="ar-SA"/>
              </w:rPr>
              <w:t xml:space="preserve">Defined </w:t>
            </w:r>
            <w:r w:rsidR="00744B99">
              <w:rPr>
                <w:rFonts w:ascii="Garamond" w:eastAsia="游明朝" w:hAnsi="Garamond" w:cs="Calibri"/>
                <w:sz w:val="16"/>
                <w:szCs w:val="16"/>
                <w:lang w:eastAsia="en-US" w:bidi="ar-SA"/>
              </w:rPr>
              <w:t>heading</w:t>
            </w:r>
            <w:r w:rsidRPr="00A70BEF">
              <w:rPr>
                <w:rFonts w:ascii="Garamond" w:eastAsia="游明朝" w:hAnsi="Garamond" w:cs="Calibri"/>
                <w:sz w:val="16"/>
                <w:szCs w:val="16"/>
                <w:lang w:eastAsia="en-US" w:bidi="ar-SA"/>
              </w:rPr>
              <w:t xml:space="preserve"> of main program</w:t>
            </w:r>
            <w:r w:rsidR="00744B99">
              <w:rPr>
                <w:rFonts w:ascii="Garamond" w:eastAsia="游明朝" w:hAnsi="Garamond" w:cs="Calibri"/>
                <w:sz w:val="16"/>
                <w:szCs w:val="16"/>
                <w:lang w:eastAsia="en-US" w:bidi="ar-SA"/>
              </w:rPr>
              <w:t>me</w:t>
            </w:r>
            <w:r w:rsidRPr="00A70BEF">
              <w:rPr>
                <w:rFonts w:ascii="Garamond" w:eastAsia="游明朝" w:hAnsi="Garamond" w:cs="Calibri"/>
                <w:sz w:val="16"/>
                <w:szCs w:val="16"/>
                <w:lang w:eastAsia="en-US" w:bidi="ar-SA"/>
              </w:rPr>
              <w:t>s, program</w:t>
            </w:r>
            <w:r w:rsidR="00744B99">
              <w:rPr>
                <w:rFonts w:ascii="Garamond" w:eastAsia="游明朝" w:hAnsi="Garamond" w:cs="Calibri"/>
                <w:sz w:val="16"/>
                <w:szCs w:val="16"/>
                <w:lang w:eastAsia="en-US" w:bidi="ar-SA"/>
              </w:rPr>
              <w:t>me</w:t>
            </w:r>
            <w:r w:rsidRPr="00A70BEF">
              <w:rPr>
                <w:rFonts w:ascii="Garamond" w:eastAsia="游明朝" w:hAnsi="Garamond" w:cs="Calibri"/>
                <w:sz w:val="16"/>
                <w:szCs w:val="16"/>
                <w:lang w:eastAsia="en-US" w:bidi="ar-SA"/>
              </w:rPr>
              <w:t>s and subprogram</w:t>
            </w:r>
            <w:r w:rsidR="00744B99">
              <w:rPr>
                <w:rFonts w:ascii="Garamond" w:eastAsia="游明朝" w:hAnsi="Garamond" w:cs="Calibri"/>
                <w:sz w:val="16"/>
                <w:szCs w:val="16"/>
                <w:lang w:eastAsia="en-US" w:bidi="ar-SA"/>
              </w:rPr>
              <w:t>me</w:t>
            </w:r>
            <w:r w:rsidRPr="00A70BEF">
              <w:rPr>
                <w:rFonts w:ascii="Garamond" w:eastAsia="游明朝" w:hAnsi="Garamond" w:cs="Calibri"/>
                <w:sz w:val="16"/>
                <w:szCs w:val="16"/>
                <w:lang w:eastAsia="en-US" w:bidi="ar-SA"/>
              </w:rPr>
              <w:t>s</w:t>
            </w:r>
          </w:p>
        </w:tc>
        <w:tc>
          <w:tcPr>
            <w:tcW w:w="337" w:type="pct"/>
            <w:tcBorders>
              <w:top w:val="nil"/>
              <w:left w:val="single" w:sz="12" w:space="0" w:color="auto"/>
              <w:bottom w:val="single" w:sz="4" w:space="0" w:color="auto"/>
              <w:right w:val="single" w:sz="18" w:space="0" w:color="auto"/>
            </w:tcBorders>
            <w:shd w:val="clear" w:color="auto" w:fill="auto"/>
            <w:vAlign w:val="center"/>
            <w:hideMark/>
          </w:tcPr>
          <w:p w:rsidR="00A70BEF" w:rsidRPr="005B41A8" w:rsidRDefault="00A70BEF" w:rsidP="005B41A8">
            <w:pPr>
              <w:widowControl/>
              <w:autoSpaceDE/>
              <w:autoSpaceDN/>
              <w:jc w:val="center"/>
              <w:rPr>
                <w:rFonts w:ascii="Garamond" w:eastAsia="Times New Roman" w:hAnsi="Garamond" w:cs="Calibri"/>
                <w:color w:val="FF0000"/>
                <w:sz w:val="16"/>
                <w:szCs w:val="16"/>
                <w:lang w:eastAsia="en-US" w:bidi="ar-SA"/>
              </w:rPr>
            </w:pPr>
            <w:r w:rsidRPr="005B41A8">
              <w:rPr>
                <w:rFonts w:ascii="Garamond" w:eastAsia="游明朝" w:hAnsi="Garamond" w:cs="Calibri"/>
                <w:noProof/>
                <w:sz w:val="16"/>
                <w:szCs w:val="16"/>
                <w:lang w:eastAsia="ja-JP" w:bidi="ar-SA"/>
              </w:rPr>
              <w:drawing>
                <wp:inline distT="0" distB="0" distL="0" distR="0">
                  <wp:extent cx="276225" cy="233680"/>
                  <wp:effectExtent l="0" t="0" r="9525" b="0"/>
                  <wp:docPr id="13" name="Picture 64" descr="Description: 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C:\Users\owner\Desktop\zelena strelica - manja.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5B41A8" w:rsidRPr="005B41A8" w:rsidTr="00643857">
        <w:trPr>
          <w:cantSplit/>
          <w:trHeight w:val="895"/>
          <w:jc w:val="center"/>
        </w:trPr>
        <w:tc>
          <w:tcPr>
            <w:tcW w:w="1066" w:type="pct"/>
            <w:tcBorders>
              <w:top w:val="nil"/>
              <w:left w:val="single" w:sz="18" w:space="0" w:color="auto"/>
              <w:bottom w:val="single" w:sz="18" w:space="0" w:color="auto"/>
              <w:right w:val="single" w:sz="12" w:space="0" w:color="auto"/>
            </w:tcBorders>
            <w:shd w:val="clear" w:color="auto" w:fill="auto"/>
            <w:vAlign w:val="center"/>
            <w:hideMark/>
          </w:tcPr>
          <w:p w:rsidR="005B41A8" w:rsidRPr="005B41A8" w:rsidRDefault="00744B99" w:rsidP="005B41A8">
            <w:pPr>
              <w:widowControl/>
              <w:autoSpaceDE/>
              <w:autoSpaceDN/>
              <w:jc w:val="both"/>
              <w:rPr>
                <w:rFonts w:ascii="Garamond" w:eastAsia="Times New Roman" w:hAnsi="Garamond" w:cs="Calibri"/>
                <w:color w:val="000000"/>
                <w:sz w:val="16"/>
                <w:szCs w:val="16"/>
                <w:lang w:eastAsia="en-US" w:bidi="ar-SA"/>
              </w:rPr>
            </w:pPr>
            <w:r w:rsidRPr="00744B99">
              <w:rPr>
                <w:rFonts w:ascii="Garamond" w:hAnsi="Garamond"/>
                <w:sz w:val="16"/>
                <w:szCs w:val="16"/>
              </w:rPr>
              <w:t xml:space="preserve">The number of staff trained for planning and monitoring expenditures in line with programme budgeting principles </w:t>
            </w:r>
          </w:p>
        </w:tc>
        <w:tc>
          <w:tcPr>
            <w:tcW w:w="340" w:type="pct"/>
            <w:gridSpan w:val="3"/>
            <w:tcBorders>
              <w:top w:val="nil"/>
              <w:left w:val="single" w:sz="12" w:space="0" w:color="auto"/>
              <w:bottom w:val="single" w:sz="18"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0</w:t>
            </w:r>
          </w:p>
        </w:tc>
        <w:tc>
          <w:tcPr>
            <w:tcW w:w="469" w:type="pct"/>
            <w:gridSpan w:val="2"/>
            <w:tcBorders>
              <w:top w:val="nil"/>
              <w:left w:val="single" w:sz="12" w:space="0" w:color="auto"/>
              <w:bottom w:val="single" w:sz="18" w:space="0" w:color="auto"/>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20</w:t>
            </w:r>
          </w:p>
        </w:tc>
        <w:tc>
          <w:tcPr>
            <w:tcW w:w="369" w:type="pct"/>
            <w:tcBorders>
              <w:top w:val="nil"/>
              <w:left w:val="nil"/>
              <w:bottom w:val="single" w:sz="18"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0</w:t>
            </w:r>
          </w:p>
        </w:tc>
        <w:tc>
          <w:tcPr>
            <w:tcW w:w="445" w:type="pct"/>
            <w:gridSpan w:val="3"/>
            <w:tcBorders>
              <w:top w:val="nil"/>
              <w:left w:val="single" w:sz="12" w:space="0" w:color="auto"/>
              <w:bottom w:val="single" w:sz="18" w:space="0" w:color="auto"/>
              <w:right w:val="single" w:sz="4"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35</w:t>
            </w:r>
          </w:p>
        </w:tc>
        <w:tc>
          <w:tcPr>
            <w:tcW w:w="341" w:type="pct"/>
            <w:gridSpan w:val="2"/>
            <w:tcBorders>
              <w:top w:val="nil"/>
              <w:left w:val="nil"/>
              <w:bottom w:val="single" w:sz="18" w:space="0" w:color="auto"/>
              <w:right w:val="single" w:sz="12"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000000"/>
                <w:sz w:val="16"/>
                <w:szCs w:val="16"/>
                <w:lang w:eastAsia="en-US" w:bidi="ar-SA"/>
              </w:rPr>
            </w:pPr>
            <w:r w:rsidRPr="005B41A8">
              <w:rPr>
                <w:rFonts w:ascii="Garamond" w:eastAsia="Times New Roman" w:hAnsi="Garamond" w:cs="Calibri"/>
                <w:color w:val="000000"/>
                <w:sz w:val="16"/>
                <w:szCs w:val="16"/>
                <w:lang w:eastAsia="en-US" w:bidi="ar-SA"/>
              </w:rPr>
              <w:t>0</w:t>
            </w:r>
          </w:p>
        </w:tc>
        <w:tc>
          <w:tcPr>
            <w:tcW w:w="508" w:type="pct"/>
            <w:gridSpan w:val="2"/>
            <w:tcBorders>
              <w:top w:val="single" w:sz="4" w:space="0" w:color="auto"/>
              <w:left w:val="single" w:sz="12" w:space="0" w:color="auto"/>
              <w:bottom w:val="single" w:sz="18" w:space="0" w:color="auto"/>
              <w:right w:val="single" w:sz="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mbria"/>
                <w:color w:val="000000"/>
                <w:sz w:val="16"/>
                <w:szCs w:val="16"/>
                <w:lang w:val="sr-Latn-CS" w:eastAsia="en-US" w:bidi="ar-SA"/>
              </w:rPr>
              <w:t>70</w:t>
            </w:r>
          </w:p>
        </w:tc>
        <w:tc>
          <w:tcPr>
            <w:tcW w:w="333" w:type="pct"/>
            <w:tcBorders>
              <w:top w:val="single" w:sz="4" w:space="0" w:color="auto"/>
              <w:left w:val="single" w:sz="2" w:space="0" w:color="auto"/>
              <w:bottom w:val="single" w:sz="18" w:space="0" w:color="auto"/>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Times New Roman" w:hAnsi="Garamond" w:cs="Cambria"/>
                <w:color w:val="000000"/>
                <w:sz w:val="16"/>
                <w:szCs w:val="16"/>
                <w:lang w:val="sr-Latn-CS" w:eastAsia="en-US" w:bidi="ar-SA"/>
              </w:rPr>
              <w:t>17</w:t>
            </w:r>
          </w:p>
        </w:tc>
        <w:tc>
          <w:tcPr>
            <w:tcW w:w="416" w:type="pct"/>
            <w:gridSpan w:val="2"/>
            <w:tcBorders>
              <w:top w:val="nil"/>
              <w:left w:val="single" w:sz="12" w:space="0" w:color="auto"/>
              <w:bottom w:val="single" w:sz="18" w:space="0" w:color="auto"/>
              <w:right w:val="single" w:sz="12"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cs="Calibri"/>
                <w:sz w:val="16"/>
                <w:szCs w:val="16"/>
                <w:lang w:eastAsia="en-US" w:bidi="ar-SA"/>
              </w:rPr>
              <w:t>130</w:t>
            </w:r>
          </w:p>
        </w:tc>
        <w:tc>
          <w:tcPr>
            <w:tcW w:w="376" w:type="pct"/>
            <w:tcBorders>
              <w:top w:val="nil"/>
              <w:left w:val="single" w:sz="12" w:space="0" w:color="auto"/>
              <w:bottom w:val="single" w:sz="18" w:space="0" w:color="auto"/>
              <w:right w:val="single" w:sz="18" w:space="0" w:color="auto"/>
            </w:tcBorders>
            <w:vAlign w:val="center"/>
          </w:tcPr>
          <w:p w:rsidR="005B41A8" w:rsidRPr="005B41A8" w:rsidRDefault="005B41A8" w:rsidP="005B41A8">
            <w:pPr>
              <w:widowControl/>
              <w:autoSpaceDE/>
              <w:autoSpaceDN/>
              <w:jc w:val="center"/>
              <w:rPr>
                <w:rFonts w:ascii="Garamond" w:eastAsia="游明朝" w:hAnsi="Garamond" w:cs="Calibri"/>
                <w:noProof/>
                <w:sz w:val="16"/>
                <w:szCs w:val="16"/>
                <w:lang w:eastAsia="en-US" w:bidi="ar-SA"/>
              </w:rPr>
            </w:pPr>
            <w:r w:rsidRPr="005B41A8">
              <w:rPr>
                <w:rFonts w:ascii="Garamond" w:eastAsia="游明朝" w:hAnsi="Garamond" w:cs="Calibri"/>
                <w:sz w:val="16"/>
                <w:szCs w:val="16"/>
                <w:lang w:eastAsia="en-US" w:bidi="ar-SA"/>
              </w:rPr>
              <w:t>100</w:t>
            </w:r>
          </w:p>
        </w:tc>
        <w:tc>
          <w:tcPr>
            <w:tcW w:w="337" w:type="pct"/>
            <w:tcBorders>
              <w:top w:val="nil"/>
              <w:left w:val="single" w:sz="12" w:space="0" w:color="auto"/>
              <w:bottom w:val="single" w:sz="18" w:space="0" w:color="auto"/>
              <w:right w:val="single" w:sz="18" w:space="0" w:color="auto"/>
            </w:tcBorders>
            <w:shd w:val="clear" w:color="auto" w:fill="auto"/>
            <w:vAlign w:val="center"/>
            <w:hideMark/>
          </w:tcPr>
          <w:p w:rsidR="005B41A8" w:rsidRPr="005B41A8" w:rsidRDefault="005B41A8" w:rsidP="005B41A8">
            <w:pPr>
              <w:widowControl/>
              <w:autoSpaceDE/>
              <w:autoSpaceDN/>
              <w:jc w:val="center"/>
              <w:rPr>
                <w:rFonts w:ascii="Garamond" w:eastAsia="Times New Roman" w:hAnsi="Garamond" w:cs="Calibri"/>
                <w:color w:val="FF0000"/>
                <w:sz w:val="16"/>
                <w:szCs w:val="16"/>
                <w:lang w:eastAsia="en-US" w:bidi="ar-SA"/>
              </w:rPr>
            </w:pPr>
            <w:r w:rsidRPr="005B41A8">
              <w:rPr>
                <w:rFonts w:ascii="Garamond" w:eastAsia="游明朝" w:hAnsi="Garamond" w:cs="Calibri"/>
                <w:noProof/>
                <w:sz w:val="16"/>
                <w:szCs w:val="16"/>
                <w:lang w:eastAsia="ja-JP" w:bidi="ar-SA"/>
              </w:rPr>
              <w:drawing>
                <wp:inline distT="0" distB="0" distL="0" distR="0">
                  <wp:extent cx="276225" cy="233680"/>
                  <wp:effectExtent l="0" t="0" r="9525" b="0"/>
                  <wp:docPr id="10" name="Picture 65" descr="Description: 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Description: Description: C:\Users\owner\Desktop\zelena strelica - manja.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3680"/>
                          </a:xfrm>
                          <a:prstGeom prst="rect">
                            <a:avLst/>
                          </a:prstGeom>
                          <a:noFill/>
                          <a:ln>
                            <a:noFill/>
                          </a:ln>
                        </pic:spPr>
                      </pic:pic>
                    </a:graphicData>
                  </a:graphic>
                </wp:inline>
              </w:drawing>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3D78D3">
      <w:pPr>
        <w:jc w:val="both"/>
        <w:rPr>
          <w:rFonts w:ascii="Garamond" w:hAnsi="Garamond"/>
          <w:sz w:val="24"/>
          <w:szCs w:val="24"/>
        </w:rPr>
      </w:pPr>
      <w:r w:rsidRPr="00C32887">
        <w:rPr>
          <w:rFonts w:ascii="Garamond" w:hAnsi="Garamond"/>
          <w:sz w:val="24"/>
          <w:szCs w:val="24"/>
        </w:rPr>
        <w:t xml:space="preserve">The </w:t>
      </w:r>
      <w:r w:rsidR="00D37115">
        <w:rPr>
          <w:rFonts w:ascii="Garamond" w:hAnsi="Garamond"/>
          <w:sz w:val="24"/>
          <w:szCs w:val="24"/>
        </w:rPr>
        <w:t>implementation</w:t>
      </w:r>
      <w:r w:rsidRPr="00C32887">
        <w:rPr>
          <w:rFonts w:ascii="Garamond" w:hAnsi="Garamond"/>
          <w:sz w:val="24"/>
          <w:szCs w:val="24"/>
        </w:rPr>
        <w:t xml:space="preserve"> of the above </w:t>
      </w:r>
      <w:r w:rsidR="00D37115">
        <w:rPr>
          <w:rFonts w:ascii="Garamond" w:hAnsi="Garamond"/>
          <w:sz w:val="24"/>
          <w:szCs w:val="24"/>
        </w:rPr>
        <w:t xml:space="preserve">stated </w:t>
      </w:r>
      <w:r w:rsidRPr="00C32887">
        <w:rPr>
          <w:rFonts w:ascii="Garamond" w:hAnsi="Garamond"/>
          <w:sz w:val="24"/>
          <w:szCs w:val="24"/>
        </w:rPr>
        <w:t xml:space="preserve">activities </w:t>
      </w:r>
      <w:r w:rsidR="00D37115">
        <w:rPr>
          <w:rFonts w:ascii="Garamond" w:hAnsi="Garamond"/>
          <w:sz w:val="24"/>
          <w:szCs w:val="24"/>
        </w:rPr>
        <w:t>as regards</w:t>
      </w:r>
      <w:r w:rsidR="00CA13DF">
        <w:rPr>
          <w:rFonts w:ascii="Garamond" w:hAnsi="Garamond"/>
          <w:sz w:val="24"/>
          <w:szCs w:val="24"/>
        </w:rPr>
        <w:t xml:space="preserve"> the medium-</w:t>
      </w:r>
      <w:r w:rsidRPr="00C32887">
        <w:rPr>
          <w:rFonts w:ascii="Garamond" w:hAnsi="Garamond"/>
          <w:sz w:val="24"/>
          <w:szCs w:val="24"/>
        </w:rPr>
        <w:t>term budget</w:t>
      </w:r>
      <w:r w:rsidR="00CA13DF">
        <w:rPr>
          <w:rFonts w:ascii="Garamond" w:hAnsi="Garamond"/>
          <w:sz w:val="24"/>
          <w:szCs w:val="24"/>
        </w:rPr>
        <w:t>ary</w:t>
      </w:r>
      <w:r w:rsidRPr="00C32887">
        <w:rPr>
          <w:rFonts w:ascii="Garamond" w:hAnsi="Garamond"/>
          <w:sz w:val="24"/>
          <w:szCs w:val="24"/>
        </w:rPr>
        <w:t xml:space="preserve"> framework and </w:t>
      </w:r>
      <w:r w:rsidR="00D37115" w:rsidRPr="00C32887">
        <w:rPr>
          <w:rFonts w:ascii="Garamond" w:hAnsi="Garamond"/>
          <w:sz w:val="24"/>
          <w:szCs w:val="24"/>
        </w:rPr>
        <w:t>programme</w:t>
      </w:r>
      <w:r w:rsidR="00D37115">
        <w:rPr>
          <w:rFonts w:ascii="Garamond" w:hAnsi="Garamond"/>
          <w:sz w:val="24"/>
          <w:szCs w:val="24"/>
        </w:rPr>
        <w:t>-based</w:t>
      </w:r>
      <w:r w:rsidRPr="00C32887">
        <w:rPr>
          <w:rFonts w:ascii="Garamond" w:hAnsi="Garamond"/>
          <w:sz w:val="24"/>
          <w:szCs w:val="24"/>
        </w:rPr>
        <w:t xml:space="preserve"> budgeting has contributed to the positiv</w:t>
      </w:r>
      <w:r w:rsidR="00D37115">
        <w:rPr>
          <w:rFonts w:ascii="Garamond" w:hAnsi="Garamond"/>
          <w:sz w:val="24"/>
          <w:szCs w:val="24"/>
        </w:rPr>
        <w:t xml:space="preserve">e trend and </w:t>
      </w:r>
      <w:r w:rsidR="00A567B8">
        <w:rPr>
          <w:rFonts w:ascii="Garamond" w:hAnsi="Garamond"/>
          <w:sz w:val="24"/>
          <w:szCs w:val="24"/>
        </w:rPr>
        <w:t>achievement of</w:t>
      </w:r>
      <w:r w:rsidR="00D37115">
        <w:rPr>
          <w:rFonts w:ascii="Garamond" w:hAnsi="Garamond"/>
          <w:sz w:val="24"/>
          <w:szCs w:val="24"/>
        </w:rPr>
        <w:t xml:space="preserve"> the target values </w:t>
      </w:r>
      <w:r w:rsidRPr="00C32887">
        <w:rPr>
          <w:rFonts w:ascii="Garamond" w:hAnsi="Garamond"/>
          <w:sz w:val="24"/>
          <w:szCs w:val="24"/>
        </w:rPr>
        <w:t xml:space="preserve">of most of the indicators within the </w:t>
      </w:r>
      <w:r w:rsidR="00D37115">
        <w:rPr>
          <w:rFonts w:ascii="Garamond" w:hAnsi="Garamond"/>
          <w:sz w:val="24"/>
          <w:szCs w:val="24"/>
        </w:rPr>
        <w:t>objective of</w:t>
      </w:r>
      <w:r w:rsidRPr="00C32887">
        <w:rPr>
          <w:rFonts w:ascii="Garamond" w:hAnsi="Garamond"/>
          <w:sz w:val="24"/>
          <w:szCs w:val="24"/>
        </w:rPr>
        <w:t xml:space="preserve"> </w:t>
      </w:r>
      <w:r w:rsidR="00D37115">
        <w:rPr>
          <w:rFonts w:ascii="Garamond" w:hAnsi="Garamond"/>
          <w:sz w:val="24"/>
          <w:szCs w:val="24"/>
        </w:rPr>
        <w:t xml:space="preserve">Sustainable </w:t>
      </w:r>
      <w:r w:rsidR="00D37115" w:rsidRPr="00C32887">
        <w:rPr>
          <w:rFonts w:ascii="Garamond" w:hAnsi="Garamond"/>
          <w:sz w:val="24"/>
          <w:szCs w:val="24"/>
        </w:rPr>
        <w:t>Fiscal Framework</w:t>
      </w:r>
      <w:r w:rsidRPr="00C32887">
        <w:rPr>
          <w:rFonts w:ascii="Garamond" w:hAnsi="Garamond"/>
          <w:sz w:val="24"/>
          <w:szCs w:val="24"/>
        </w:rPr>
        <w:t xml:space="preserve">, </w:t>
      </w:r>
      <w:r w:rsidR="00CA13DF" w:rsidRPr="00C32887">
        <w:rPr>
          <w:rFonts w:ascii="Garamond" w:hAnsi="Garamond"/>
          <w:sz w:val="24"/>
          <w:szCs w:val="24"/>
        </w:rPr>
        <w:t xml:space="preserve">Public </w:t>
      </w:r>
      <w:r w:rsidR="00CA13DF">
        <w:rPr>
          <w:rFonts w:ascii="Garamond" w:hAnsi="Garamond"/>
          <w:sz w:val="24"/>
          <w:szCs w:val="24"/>
        </w:rPr>
        <w:t>Expenditure</w:t>
      </w:r>
      <w:r w:rsidR="00CA13DF" w:rsidRPr="00C32887">
        <w:rPr>
          <w:rFonts w:ascii="Garamond" w:hAnsi="Garamond"/>
          <w:sz w:val="24"/>
          <w:szCs w:val="24"/>
        </w:rPr>
        <w:t xml:space="preserve"> </w:t>
      </w:r>
      <w:r w:rsidR="00D37115" w:rsidRPr="00C32887">
        <w:rPr>
          <w:rFonts w:ascii="Garamond" w:hAnsi="Garamond"/>
          <w:sz w:val="24"/>
          <w:szCs w:val="24"/>
        </w:rPr>
        <w:t xml:space="preserve">Planning </w:t>
      </w:r>
      <w:r w:rsidRPr="00C32887">
        <w:rPr>
          <w:rFonts w:ascii="Garamond" w:hAnsi="Garamond"/>
          <w:sz w:val="24"/>
          <w:szCs w:val="24"/>
        </w:rPr>
        <w:t xml:space="preserve">and </w:t>
      </w:r>
      <w:r w:rsidR="00D37115" w:rsidRPr="00C32887">
        <w:rPr>
          <w:rFonts w:ascii="Garamond" w:hAnsi="Garamond"/>
          <w:sz w:val="24"/>
          <w:szCs w:val="24"/>
        </w:rPr>
        <w:t>Budgeting</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D37115">
      <w:pPr>
        <w:jc w:val="both"/>
        <w:rPr>
          <w:rFonts w:ascii="Garamond" w:hAnsi="Garamond"/>
          <w:sz w:val="24"/>
          <w:szCs w:val="24"/>
        </w:rPr>
      </w:pPr>
      <w:r w:rsidRPr="00C32887">
        <w:rPr>
          <w:rFonts w:ascii="Garamond" w:hAnsi="Garamond"/>
          <w:sz w:val="24"/>
          <w:szCs w:val="24"/>
        </w:rPr>
        <w:t>The share of medium-term sec</w:t>
      </w:r>
      <w:r w:rsidR="00CA13DF">
        <w:rPr>
          <w:rFonts w:ascii="Garamond" w:hAnsi="Garamond"/>
          <w:sz w:val="24"/>
          <w:szCs w:val="24"/>
        </w:rPr>
        <w:t>tor</w:t>
      </w:r>
      <w:r w:rsidRPr="00C32887">
        <w:rPr>
          <w:rFonts w:ascii="Garamond" w:hAnsi="Garamond"/>
          <w:sz w:val="24"/>
          <w:szCs w:val="24"/>
        </w:rPr>
        <w:t xml:space="preserve"> strategies that include cost estimates for their implementation, as defined by the </w:t>
      </w:r>
      <w:r w:rsidR="00CA13DF" w:rsidRPr="00C32887">
        <w:rPr>
          <w:rFonts w:ascii="Garamond" w:hAnsi="Garamond"/>
          <w:sz w:val="24"/>
          <w:szCs w:val="24"/>
        </w:rPr>
        <w:t>performance indicator</w:t>
      </w:r>
      <w:r w:rsidRPr="00C32887">
        <w:rPr>
          <w:rFonts w:ascii="Garamond" w:hAnsi="Garamond"/>
          <w:sz w:val="24"/>
          <w:szCs w:val="24"/>
        </w:rPr>
        <w:t>, is at the level of the planned value for 20</w:t>
      </w:r>
      <w:r w:rsidR="00D37115">
        <w:rPr>
          <w:rFonts w:ascii="Garamond" w:hAnsi="Garamond"/>
          <w:sz w:val="24"/>
          <w:szCs w:val="24"/>
        </w:rPr>
        <w:t>20</w:t>
      </w:r>
      <w:r w:rsidRPr="00C32887">
        <w:rPr>
          <w:rFonts w:ascii="Garamond" w:hAnsi="Garamond"/>
          <w:sz w:val="24"/>
          <w:szCs w:val="24"/>
        </w:rPr>
        <w:t xml:space="preserve">. Planning has been improved due to the insistence on providing better information in the process of reviewing strategic documents, </w:t>
      </w:r>
      <w:r w:rsidR="00D37115">
        <w:rPr>
          <w:rFonts w:ascii="Garamond" w:hAnsi="Garamond"/>
          <w:sz w:val="24"/>
          <w:szCs w:val="24"/>
        </w:rPr>
        <w:t>as regards</w:t>
      </w:r>
      <w:r w:rsidRPr="00C32887">
        <w:rPr>
          <w:rFonts w:ascii="Garamond" w:hAnsi="Garamond"/>
          <w:sz w:val="24"/>
          <w:szCs w:val="24"/>
        </w:rPr>
        <w:t xml:space="preserve"> financial impact assessment. These data are important when setting spending limits in the Macroeconomic and Fiscal Policy Guidelines, and later in the annual Budget Law. Also, the level of development of medium-term planning and activities </w:t>
      </w:r>
      <w:r w:rsidR="00CA13DF">
        <w:rPr>
          <w:rFonts w:ascii="Garamond" w:hAnsi="Garamond"/>
          <w:sz w:val="24"/>
          <w:szCs w:val="24"/>
        </w:rPr>
        <w:t>aimed at upgrading it,</w:t>
      </w:r>
      <w:r w:rsidRPr="00C32887">
        <w:rPr>
          <w:rFonts w:ascii="Garamond" w:hAnsi="Garamond"/>
          <w:sz w:val="24"/>
          <w:szCs w:val="24"/>
        </w:rPr>
        <w:t xml:space="preserve"> </w:t>
      </w:r>
      <w:r w:rsidR="00CA13DF">
        <w:rPr>
          <w:rFonts w:ascii="Garamond" w:hAnsi="Garamond"/>
          <w:sz w:val="24"/>
          <w:szCs w:val="24"/>
        </w:rPr>
        <w:t>primarily</w:t>
      </w:r>
      <w:r w:rsidRPr="00C32887">
        <w:rPr>
          <w:rFonts w:ascii="Garamond" w:hAnsi="Garamond"/>
          <w:sz w:val="24"/>
          <w:szCs w:val="24"/>
        </w:rPr>
        <w:t xml:space="preserve"> improved due to training </w:t>
      </w:r>
      <w:r w:rsidR="00D37115">
        <w:rPr>
          <w:rFonts w:ascii="Garamond" w:hAnsi="Garamond"/>
          <w:sz w:val="24"/>
          <w:szCs w:val="24"/>
        </w:rPr>
        <w:t>implemented during 2020</w:t>
      </w:r>
      <w:r w:rsidRPr="00C32887">
        <w:rPr>
          <w:rFonts w:ascii="Garamond" w:hAnsi="Garamond"/>
          <w:sz w:val="24"/>
          <w:szCs w:val="24"/>
        </w:rPr>
        <w:t>. In addition to the</w:t>
      </w:r>
      <w:r w:rsidR="00D37115">
        <w:rPr>
          <w:rFonts w:ascii="Garamond" w:hAnsi="Garamond"/>
          <w:sz w:val="24"/>
          <w:szCs w:val="24"/>
        </w:rPr>
        <w:t xml:space="preserve"> above,</w:t>
      </w:r>
      <w:r w:rsidRPr="00C32887">
        <w:rPr>
          <w:rFonts w:ascii="Garamond" w:hAnsi="Garamond"/>
          <w:sz w:val="24"/>
          <w:szCs w:val="24"/>
        </w:rPr>
        <w:t xml:space="preserve"> </w:t>
      </w:r>
      <w:r w:rsidR="00D37115">
        <w:rPr>
          <w:rFonts w:ascii="Garamond" w:hAnsi="Garamond"/>
          <w:sz w:val="24"/>
          <w:szCs w:val="24"/>
        </w:rPr>
        <w:t xml:space="preserve">we </w:t>
      </w:r>
      <w:r w:rsidRPr="00C32887">
        <w:rPr>
          <w:rFonts w:ascii="Garamond" w:hAnsi="Garamond"/>
          <w:sz w:val="24"/>
          <w:szCs w:val="24"/>
        </w:rPr>
        <w:t xml:space="preserve">will be working </w:t>
      </w:r>
      <w:r w:rsidR="00D37115">
        <w:rPr>
          <w:rFonts w:ascii="Garamond" w:hAnsi="Garamond"/>
          <w:sz w:val="24"/>
          <w:szCs w:val="24"/>
        </w:rPr>
        <w:t xml:space="preserve">in </w:t>
      </w:r>
      <w:r w:rsidR="00D37115" w:rsidRPr="00C32887">
        <w:rPr>
          <w:rFonts w:ascii="Garamond" w:hAnsi="Garamond"/>
          <w:sz w:val="24"/>
          <w:szCs w:val="24"/>
        </w:rPr>
        <w:t xml:space="preserve">continuity </w:t>
      </w:r>
      <w:r w:rsidRPr="00C32887">
        <w:rPr>
          <w:rFonts w:ascii="Garamond" w:hAnsi="Garamond"/>
          <w:sz w:val="24"/>
          <w:szCs w:val="24"/>
        </w:rPr>
        <w:t xml:space="preserve">on </w:t>
      </w:r>
      <w:r w:rsidR="00D37115">
        <w:rPr>
          <w:rFonts w:ascii="Garamond" w:hAnsi="Garamond"/>
          <w:sz w:val="24"/>
          <w:szCs w:val="24"/>
        </w:rPr>
        <w:t>improvement</w:t>
      </w:r>
      <w:r w:rsidR="00CA13DF">
        <w:rPr>
          <w:rFonts w:ascii="Garamond" w:hAnsi="Garamond"/>
          <w:sz w:val="24"/>
          <w:szCs w:val="24"/>
        </w:rPr>
        <w:t>,</w:t>
      </w:r>
      <w:r w:rsidR="00D37115">
        <w:rPr>
          <w:rFonts w:ascii="Garamond" w:hAnsi="Garamond"/>
          <w:sz w:val="24"/>
          <w:szCs w:val="24"/>
        </w:rPr>
        <w:t xml:space="preserve"> h</w:t>
      </w:r>
      <w:r w:rsidRPr="00C32887">
        <w:rPr>
          <w:rFonts w:ascii="Garamond" w:hAnsi="Garamond"/>
          <w:sz w:val="24"/>
          <w:szCs w:val="24"/>
        </w:rPr>
        <w:t xml:space="preserve">aving in mind that the IT solutions in this field </w:t>
      </w:r>
      <w:r w:rsidR="00D37115">
        <w:rPr>
          <w:rFonts w:ascii="Garamond" w:hAnsi="Garamond"/>
          <w:sz w:val="24"/>
          <w:szCs w:val="24"/>
        </w:rPr>
        <w:t xml:space="preserve">will be </w:t>
      </w:r>
      <w:r w:rsidR="00CA13DF">
        <w:rPr>
          <w:rFonts w:ascii="Garamond" w:hAnsi="Garamond"/>
          <w:sz w:val="24"/>
          <w:szCs w:val="24"/>
        </w:rPr>
        <w:t>upgraded</w:t>
      </w:r>
      <w:r w:rsidR="00D37115" w:rsidRPr="00D37115">
        <w:rPr>
          <w:rFonts w:ascii="Garamond" w:hAnsi="Garamond"/>
          <w:sz w:val="24"/>
          <w:szCs w:val="24"/>
        </w:rPr>
        <w:t xml:space="preserve"> </w:t>
      </w:r>
      <w:r w:rsidR="00D37115" w:rsidRPr="00C32887">
        <w:rPr>
          <w:rFonts w:ascii="Garamond" w:hAnsi="Garamond"/>
          <w:sz w:val="24"/>
          <w:szCs w:val="24"/>
        </w:rPr>
        <w:t>in</w:t>
      </w:r>
      <w:r w:rsidR="00D37115">
        <w:rPr>
          <w:rFonts w:ascii="Garamond" w:hAnsi="Garamond"/>
          <w:sz w:val="24"/>
          <w:szCs w:val="24"/>
        </w:rPr>
        <w:t xml:space="preserve"> the</w:t>
      </w:r>
      <w:r w:rsidR="00D37115" w:rsidRPr="00C32887">
        <w:rPr>
          <w:rFonts w:ascii="Garamond" w:hAnsi="Garamond"/>
          <w:sz w:val="24"/>
          <w:szCs w:val="24"/>
        </w:rPr>
        <w:t xml:space="preserve"> future</w:t>
      </w:r>
      <w:r w:rsidR="00D37115">
        <w:rPr>
          <w:rFonts w:ascii="Garamond" w:hAnsi="Garamond"/>
          <w:sz w:val="24"/>
          <w:szCs w:val="24"/>
        </w:rPr>
        <w:t xml:space="preserve"> period</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D37115">
      <w:pPr>
        <w:jc w:val="both"/>
        <w:rPr>
          <w:rFonts w:ascii="Garamond" w:hAnsi="Garamond"/>
          <w:sz w:val="24"/>
          <w:szCs w:val="24"/>
        </w:rPr>
      </w:pPr>
      <w:r w:rsidRPr="00C32887">
        <w:rPr>
          <w:rFonts w:ascii="Garamond" w:hAnsi="Garamond"/>
          <w:sz w:val="24"/>
          <w:szCs w:val="24"/>
        </w:rPr>
        <w:t xml:space="preserve">The performance indicator related to the </w:t>
      </w:r>
      <w:r w:rsidR="00CA13DF">
        <w:rPr>
          <w:rFonts w:ascii="Garamond" w:hAnsi="Garamond"/>
          <w:sz w:val="24"/>
          <w:szCs w:val="24"/>
        </w:rPr>
        <w:t>a</w:t>
      </w:r>
      <w:r w:rsidR="00CA13DF" w:rsidRPr="00CA13DF">
        <w:rPr>
          <w:rFonts w:ascii="Garamond" w:hAnsi="Garamond"/>
          <w:sz w:val="24"/>
          <w:szCs w:val="24"/>
        </w:rPr>
        <w:t xml:space="preserve">verage deviation between MTBF budget ceilings and actual annual budget expenditure limits </w:t>
      </w:r>
      <w:r w:rsidRPr="00C32887">
        <w:rPr>
          <w:rFonts w:ascii="Garamond" w:hAnsi="Garamond"/>
          <w:sz w:val="24"/>
          <w:szCs w:val="24"/>
        </w:rPr>
        <w:t xml:space="preserve">planned by the annual </w:t>
      </w:r>
      <w:r w:rsidR="00CA13DF" w:rsidRPr="00C32887">
        <w:rPr>
          <w:rFonts w:ascii="Garamond" w:hAnsi="Garamond"/>
          <w:sz w:val="24"/>
          <w:szCs w:val="24"/>
        </w:rPr>
        <w:t xml:space="preserve">Budget Law </w:t>
      </w:r>
      <w:r w:rsidRPr="00C32887">
        <w:rPr>
          <w:rFonts w:ascii="Garamond" w:hAnsi="Garamond"/>
          <w:sz w:val="24"/>
          <w:szCs w:val="24"/>
        </w:rPr>
        <w:t>shows a high degree of fulfillment</w:t>
      </w:r>
      <w:r w:rsidR="00A567B8">
        <w:rPr>
          <w:rFonts w:ascii="Garamond" w:hAnsi="Garamond"/>
          <w:sz w:val="24"/>
          <w:szCs w:val="24"/>
        </w:rPr>
        <w:t>,</w:t>
      </w:r>
      <w:r w:rsidRPr="00C32887">
        <w:rPr>
          <w:rFonts w:ascii="Garamond" w:hAnsi="Garamond"/>
          <w:sz w:val="24"/>
          <w:szCs w:val="24"/>
        </w:rPr>
        <w:t xml:space="preserve"> and </w:t>
      </w:r>
      <w:r w:rsidR="0035509C">
        <w:rPr>
          <w:rFonts w:ascii="Garamond" w:hAnsi="Garamond"/>
          <w:sz w:val="24"/>
          <w:szCs w:val="24"/>
        </w:rPr>
        <w:t>proves</w:t>
      </w:r>
      <w:r w:rsidRPr="00C32887">
        <w:rPr>
          <w:rFonts w:ascii="Garamond" w:hAnsi="Garamond"/>
          <w:sz w:val="24"/>
          <w:szCs w:val="24"/>
        </w:rPr>
        <w:t xml:space="preserve"> that the </w:t>
      </w:r>
      <w:r w:rsidR="0035509C">
        <w:rPr>
          <w:rFonts w:ascii="Garamond" w:hAnsi="Garamond"/>
          <w:sz w:val="24"/>
          <w:szCs w:val="24"/>
        </w:rPr>
        <w:t>limits</w:t>
      </w:r>
      <w:r w:rsidRPr="00C32887">
        <w:rPr>
          <w:rFonts w:ascii="Garamond" w:hAnsi="Garamond"/>
          <w:sz w:val="24"/>
          <w:szCs w:val="24"/>
        </w:rPr>
        <w:t xml:space="preserve"> of budget expenditures p</w:t>
      </w:r>
      <w:r w:rsidR="0035509C">
        <w:rPr>
          <w:rFonts w:ascii="Garamond" w:hAnsi="Garamond"/>
          <w:sz w:val="24"/>
          <w:szCs w:val="24"/>
        </w:rPr>
        <w:t xml:space="preserve">lanned </w:t>
      </w:r>
      <w:r w:rsidR="00A567B8">
        <w:rPr>
          <w:rFonts w:ascii="Garamond" w:hAnsi="Garamond"/>
          <w:sz w:val="24"/>
          <w:szCs w:val="24"/>
        </w:rPr>
        <w:t>under</w:t>
      </w:r>
      <w:r w:rsidR="0035509C">
        <w:rPr>
          <w:rFonts w:ascii="Garamond" w:hAnsi="Garamond"/>
          <w:sz w:val="24"/>
          <w:szCs w:val="24"/>
        </w:rPr>
        <w:t xml:space="preserve"> the Budget Law for 2020 </w:t>
      </w:r>
      <w:r w:rsidR="00D41C47">
        <w:rPr>
          <w:rFonts w:ascii="Garamond" w:hAnsi="Garamond"/>
          <w:sz w:val="24"/>
          <w:szCs w:val="24"/>
        </w:rPr>
        <w:t>deviate</w:t>
      </w:r>
      <w:r w:rsidRPr="00C32887">
        <w:rPr>
          <w:rFonts w:ascii="Garamond" w:hAnsi="Garamond"/>
          <w:sz w:val="24"/>
          <w:szCs w:val="24"/>
        </w:rPr>
        <w:t xml:space="preserve"> from the amount of the </w:t>
      </w:r>
      <w:r w:rsidR="00D41C47" w:rsidRPr="00CA13DF">
        <w:rPr>
          <w:rFonts w:ascii="Garamond" w:hAnsi="Garamond"/>
          <w:sz w:val="24"/>
          <w:szCs w:val="24"/>
        </w:rPr>
        <w:t xml:space="preserve">expenditure </w:t>
      </w:r>
      <w:r w:rsidRPr="00C32887">
        <w:rPr>
          <w:rFonts w:ascii="Garamond" w:hAnsi="Garamond"/>
          <w:sz w:val="24"/>
          <w:szCs w:val="24"/>
        </w:rPr>
        <w:t xml:space="preserve">limit planned by the </w:t>
      </w:r>
      <w:r w:rsidR="0035509C">
        <w:rPr>
          <w:rFonts w:ascii="Garamond" w:hAnsi="Garamond"/>
          <w:sz w:val="24"/>
          <w:szCs w:val="24"/>
        </w:rPr>
        <w:t>2020 - 20</w:t>
      </w:r>
      <w:r w:rsidR="0035509C" w:rsidRPr="00C32887">
        <w:rPr>
          <w:rFonts w:ascii="Garamond" w:hAnsi="Garamond"/>
          <w:sz w:val="24"/>
          <w:szCs w:val="24"/>
        </w:rPr>
        <w:t xml:space="preserve">22 </w:t>
      </w:r>
      <w:r w:rsidRPr="00C32887">
        <w:rPr>
          <w:rFonts w:ascii="Garamond" w:hAnsi="Garamond"/>
          <w:sz w:val="24"/>
          <w:szCs w:val="24"/>
        </w:rPr>
        <w:t xml:space="preserve">Macroeconomic </w:t>
      </w:r>
      <w:r w:rsidR="0035509C">
        <w:rPr>
          <w:rFonts w:ascii="Garamond" w:hAnsi="Garamond"/>
          <w:sz w:val="24"/>
          <w:szCs w:val="24"/>
        </w:rPr>
        <w:t xml:space="preserve">and Fiscal Policy Guidelines </w:t>
      </w:r>
      <w:r w:rsidRPr="00C32887">
        <w:rPr>
          <w:rFonts w:ascii="Garamond" w:hAnsi="Garamond"/>
          <w:sz w:val="24"/>
          <w:szCs w:val="24"/>
        </w:rPr>
        <w:t>less than</w:t>
      </w:r>
      <w:r w:rsidR="0035509C">
        <w:rPr>
          <w:rFonts w:ascii="Garamond" w:hAnsi="Garamond"/>
          <w:sz w:val="24"/>
          <w:szCs w:val="24"/>
        </w:rPr>
        <w:t xml:space="preserve"> the amount of the target value</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35509C">
      <w:pPr>
        <w:jc w:val="both"/>
        <w:rPr>
          <w:rFonts w:ascii="Garamond" w:hAnsi="Garamond"/>
          <w:sz w:val="24"/>
          <w:szCs w:val="24"/>
        </w:rPr>
      </w:pPr>
      <w:r w:rsidRPr="00C32887">
        <w:rPr>
          <w:rFonts w:ascii="Garamond" w:hAnsi="Garamond"/>
          <w:sz w:val="24"/>
          <w:szCs w:val="24"/>
        </w:rPr>
        <w:t xml:space="preserve">The performance indicator referring to the number of staff trained for medium-term planning is above the target value level. The trainings were </w:t>
      </w:r>
      <w:r w:rsidR="00D41C47">
        <w:rPr>
          <w:rFonts w:ascii="Garamond" w:hAnsi="Garamond"/>
          <w:sz w:val="24"/>
          <w:szCs w:val="24"/>
        </w:rPr>
        <w:t>delivered</w:t>
      </w:r>
      <w:r w:rsidRPr="00C32887">
        <w:rPr>
          <w:rFonts w:ascii="Garamond" w:hAnsi="Garamond"/>
          <w:sz w:val="24"/>
          <w:szCs w:val="24"/>
        </w:rPr>
        <w:t xml:space="preserve"> in a larger number </w:t>
      </w:r>
      <w:r w:rsidR="00D41C47">
        <w:rPr>
          <w:rFonts w:ascii="Garamond" w:hAnsi="Garamond"/>
          <w:sz w:val="24"/>
          <w:szCs w:val="24"/>
        </w:rPr>
        <w:t>compared</w:t>
      </w:r>
      <w:r w:rsidR="0035509C">
        <w:rPr>
          <w:rFonts w:ascii="Garamond" w:hAnsi="Garamond"/>
          <w:sz w:val="24"/>
          <w:szCs w:val="24"/>
        </w:rPr>
        <w:t xml:space="preserve"> to the target value</w:t>
      </w:r>
      <w:r w:rsidRPr="00C32887">
        <w:rPr>
          <w:rFonts w:ascii="Garamond" w:hAnsi="Garamond"/>
          <w:sz w:val="24"/>
          <w:szCs w:val="24"/>
        </w:rPr>
        <w:t xml:space="preserve">, bearing in mind that during 2020 there </w:t>
      </w:r>
      <w:r w:rsidR="00D41C47">
        <w:rPr>
          <w:rFonts w:ascii="Garamond" w:hAnsi="Garamond"/>
          <w:sz w:val="24"/>
          <w:szCs w:val="24"/>
        </w:rPr>
        <w:t>was</w:t>
      </w:r>
      <w:r w:rsidRPr="00C32887">
        <w:rPr>
          <w:rFonts w:ascii="Garamond" w:hAnsi="Garamond"/>
          <w:sz w:val="24"/>
          <w:szCs w:val="24"/>
        </w:rPr>
        <w:t xml:space="preserve"> a special emphasis on the implementation of the reform, </w:t>
      </w:r>
      <w:r w:rsidR="0035509C">
        <w:rPr>
          <w:rFonts w:ascii="Garamond" w:hAnsi="Garamond"/>
          <w:sz w:val="24"/>
          <w:szCs w:val="24"/>
        </w:rPr>
        <w:t xml:space="preserve">by </w:t>
      </w:r>
      <w:r w:rsidRPr="00C32887">
        <w:rPr>
          <w:rFonts w:ascii="Garamond" w:hAnsi="Garamond"/>
          <w:sz w:val="24"/>
          <w:szCs w:val="24"/>
        </w:rPr>
        <w:t xml:space="preserve">the adoption of </w:t>
      </w:r>
      <w:r w:rsidR="00F97725" w:rsidRPr="00D33D58">
        <w:rPr>
          <w:rFonts w:ascii="Garamond" w:hAnsi="Garamond"/>
          <w:b/>
          <w:sz w:val="24"/>
          <w:szCs w:val="24"/>
        </w:rPr>
        <w:t xml:space="preserve">Communication on the </w:t>
      </w:r>
      <w:r w:rsidR="00F97725">
        <w:rPr>
          <w:rFonts w:ascii="Garamond" w:hAnsi="Garamond"/>
          <w:b/>
          <w:sz w:val="24"/>
          <w:szCs w:val="24"/>
        </w:rPr>
        <w:t>enhancement</w:t>
      </w:r>
      <w:r w:rsidR="00A567B8">
        <w:rPr>
          <w:rFonts w:ascii="Garamond" w:hAnsi="Garamond"/>
          <w:b/>
          <w:sz w:val="24"/>
          <w:szCs w:val="24"/>
        </w:rPr>
        <w:t xml:space="preserve"> of budgeting and multiannual</w:t>
      </w:r>
      <w:r w:rsidR="00F97725" w:rsidRPr="00D33D58">
        <w:rPr>
          <w:rFonts w:ascii="Garamond" w:hAnsi="Garamond"/>
          <w:b/>
          <w:sz w:val="24"/>
          <w:szCs w:val="24"/>
        </w:rPr>
        <w:t xml:space="preserve"> </w:t>
      </w:r>
      <w:r w:rsidR="00A567B8">
        <w:rPr>
          <w:rFonts w:ascii="Garamond" w:hAnsi="Garamond"/>
          <w:b/>
          <w:sz w:val="24"/>
          <w:szCs w:val="24"/>
        </w:rPr>
        <w:t>financial</w:t>
      </w:r>
      <w:r w:rsidR="00F97725" w:rsidRPr="00D33D58">
        <w:rPr>
          <w:rFonts w:ascii="Garamond" w:hAnsi="Garamond"/>
          <w:b/>
          <w:sz w:val="24"/>
          <w:szCs w:val="24"/>
        </w:rPr>
        <w:t xml:space="preserve"> framework</w:t>
      </w:r>
      <w:r w:rsidRPr="0035509C">
        <w:rPr>
          <w:rFonts w:ascii="Garamond" w:hAnsi="Garamond"/>
          <w:b/>
          <w:sz w:val="24"/>
          <w:szCs w:val="24"/>
        </w:rPr>
        <w:t xml:space="preserve"> </w:t>
      </w:r>
      <w:r w:rsidRPr="0035509C">
        <w:rPr>
          <w:rFonts w:ascii="Garamond" w:hAnsi="Garamond"/>
          <w:sz w:val="24"/>
          <w:szCs w:val="24"/>
        </w:rPr>
        <w:t>by</w:t>
      </w:r>
      <w:r w:rsidRPr="00C32887">
        <w:rPr>
          <w:rFonts w:ascii="Garamond" w:hAnsi="Garamond"/>
          <w:sz w:val="24"/>
          <w:szCs w:val="24"/>
        </w:rPr>
        <w:t xml:space="preserve"> the Government and trainings for both management and expert level.</w:t>
      </w:r>
    </w:p>
    <w:p w:rsidR="004D1343" w:rsidRPr="00C32887" w:rsidRDefault="004D1343" w:rsidP="004D1343">
      <w:pPr>
        <w:rPr>
          <w:rFonts w:ascii="Garamond" w:hAnsi="Garamond"/>
          <w:sz w:val="24"/>
          <w:szCs w:val="24"/>
        </w:rPr>
      </w:pPr>
    </w:p>
    <w:p w:rsidR="004D1343" w:rsidRPr="00C32887" w:rsidRDefault="004D1343" w:rsidP="0035509C">
      <w:pPr>
        <w:jc w:val="both"/>
        <w:rPr>
          <w:rFonts w:ascii="Garamond" w:hAnsi="Garamond"/>
          <w:sz w:val="24"/>
          <w:szCs w:val="24"/>
        </w:rPr>
      </w:pPr>
      <w:r w:rsidRPr="00C32887">
        <w:rPr>
          <w:rFonts w:ascii="Garamond" w:hAnsi="Garamond"/>
          <w:sz w:val="24"/>
          <w:szCs w:val="24"/>
        </w:rPr>
        <w:t xml:space="preserve">The performance indicator related to the comprehensiveness of budget </w:t>
      </w:r>
      <w:r w:rsidR="00F97725">
        <w:rPr>
          <w:rFonts w:ascii="Garamond" w:hAnsi="Garamond"/>
          <w:sz w:val="24"/>
          <w:szCs w:val="24"/>
        </w:rPr>
        <w:t>requests</w:t>
      </w:r>
      <w:r w:rsidRPr="00C32887">
        <w:rPr>
          <w:rFonts w:ascii="Garamond" w:hAnsi="Garamond"/>
          <w:sz w:val="24"/>
          <w:szCs w:val="24"/>
        </w:rPr>
        <w:t xml:space="preserve"> meets the target value. Budget </w:t>
      </w:r>
      <w:r w:rsidR="00F97725">
        <w:rPr>
          <w:rFonts w:ascii="Garamond" w:hAnsi="Garamond"/>
          <w:sz w:val="24"/>
          <w:szCs w:val="24"/>
        </w:rPr>
        <w:t>requests</w:t>
      </w:r>
      <w:r w:rsidRPr="00C32887">
        <w:rPr>
          <w:rFonts w:ascii="Garamond" w:hAnsi="Garamond"/>
          <w:sz w:val="24"/>
          <w:szCs w:val="24"/>
        </w:rPr>
        <w:t xml:space="preserve"> obtained by budget users</w:t>
      </w:r>
      <w:r w:rsidR="0035509C">
        <w:rPr>
          <w:rFonts w:ascii="Garamond" w:hAnsi="Garamond"/>
          <w:sz w:val="24"/>
          <w:szCs w:val="24"/>
        </w:rPr>
        <w:t xml:space="preserve"> are</w:t>
      </w:r>
      <w:r w:rsidRPr="00C32887">
        <w:rPr>
          <w:rFonts w:ascii="Garamond" w:hAnsi="Garamond"/>
          <w:sz w:val="24"/>
          <w:szCs w:val="24"/>
        </w:rPr>
        <w:t xml:space="preserve"> in the format prescribed by the Ministry of Finance and Social Welfare in the </w:t>
      </w:r>
      <w:r w:rsidR="0035509C" w:rsidRPr="00C32887">
        <w:rPr>
          <w:rFonts w:ascii="Garamond" w:hAnsi="Garamond"/>
          <w:sz w:val="24"/>
          <w:szCs w:val="24"/>
        </w:rPr>
        <w:t>Budget Circular</w:t>
      </w:r>
      <w:r w:rsidRPr="00C32887">
        <w:rPr>
          <w:rFonts w:ascii="Garamond" w:hAnsi="Garamond"/>
          <w:sz w:val="24"/>
          <w:szCs w:val="24"/>
        </w:rPr>
        <w:t xml:space="preserve">. During 2020, </w:t>
      </w:r>
      <w:r w:rsidR="006D2184">
        <w:rPr>
          <w:rFonts w:ascii="Garamond" w:hAnsi="Garamond"/>
          <w:sz w:val="24"/>
          <w:szCs w:val="24"/>
        </w:rPr>
        <w:t xml:space="preserve">in the preparation of the </w:t>
      </w:r>
      <w:r w:rsidR="0035509C">
        <w:rPr>
          <w:rFonts w:ascii="Garamond" w:hAnsi="Garamond"/>
          <w:sz w:val="24"/>
          <w:szCs w:val="24"/>
        </w:rPr>
        <w:t>Draft</w:t>
      </w:r>
      <w:r w:rsidRPr="00C32887">
        <w:rPr>
          <w:rFonts w:ascii="Garamond" w:hAnsi="Garamond"/>
          <w:sz w:val="24"/>
          <w:szCs w:val="24"/>
        </w:rPr>
        <w:t xml:space="preserve"> </w:t>
      </w:r>
      <w:r w:rsidR="00F97725" w:rsidRPr="00C32887">
        <w:rPr>
          <w:rFonts w:ascii="Garamond" w:hAnsi="Garamond"/>
          <w:sz w:val="24"/>
          <w:szCs w:val="24"/>
        </w:rPr>
        <w:t xml:space="preserve">Budget Law </w:t>
      </w:r>
      <w:r w:rsidRPr="00C32887">
        <w:rPr>
          <w:rFonts w:ascii="Garamond" w:hAnsi="Garamond"/>
          <w:sz w:val="24"/>
          <w:szCs w:val="24"/>
        </w:rPr>
        <w:t>for 2021</w:t>
      </w:r>
      <w:r w:rsidR="006D2184">
        <w:rPr>
          <w:rFonts w:ascii="Garamond" w:hAnsi="Garamond"/>
          <w:sz w:val="24"/>
          <w:szCs w:val="24"/>
        </w:rPr>
        <w:t>,</w:t>
      </w:r>
      <w:r w:rsidRPr="00C32887">
        <w:rPr>
          <w:rFonts w:ascii="Garamond" w:hAnsi="Garamond"/>
          <w:sz w:val="24"/>
          <w:szCs w:val="24"/>
        </w:rPr>
        <w:t xml:space="preserve"> budget </w:t>
      </w:r>
      <w:r w:rsidR="00F97725">
        <w:rPr>
          <w:rFonts w:ascii="Garamond" w:hAnsi="Garamond"/>
          <w:sz w:val="24"/>
          <w:szCs w:val="24"/>
        </w:rPr>
        <w:t>requests</w:t>
      </w:r>
      <w:r w:rsidRPr="00C32887">
        <w:rPr>
          <w:rFonts w:ascii="Garamond" w:hAnsi="Garamond"/>
          <w:sz w:val="24"/>
          <w:szCs w:val="24"/>
        </w:rPr>
        <w:t xml:space="preserve"> </w:t>
      </w:r>
      <w:r w:rsidR="00F97725">
        <w:rPr>
          <w:rFonts w:ascii="Garamond" w:hAnsi="Garamond"/>
          <w:sz w:val="24"/>
          <w:szCs w:val="24"/>
        </w:rPr>
        <w:t>were filled in</w:t>
      </w:r>
      <w:r w:rsidRPr="00C32887">
        <w:rPr>
          <w:rFonts w:ascii="Garamond" w:hAnsi="Garamond"/>
          <w:sz w:val="24"/>
          <w:szCs w:val="24"/>
        </w:rPr>
        <w:t xml:space="preserve"> and submitted electronically using the new IT</w:t>
      </w:r>
      <w:r w:rsidR="00F97725">
        <w:rPr>
          <w:rFonts w:ascii="Garamond" w:hAnsi="Garamond"/>
          <w:sz w:val="24"/>
          <w:szCs w:val="24"/>
        </w:rPr>
        <w:t xml:space="preserve"> system for budget planning in the</w:t>
      </w:r>
      <w:r w:rsidRPr="00C32887">
        <w:rPr>
          <w:rFonts w:ascii="Garamond" w:hAnsi="Garamond"/>
          <w:sz w:val="24"/>
          <w:szCs w:val="24"/>
        </w:rPr>
        <w:t xml:space="preserve"> </w:t>
      </w:r>
      <w:r w:rsidR="00F97725">
        <w:rPr>
          <w:rFonts w:ascii="Garamond" w:hAnsi="Garamond"/>
          <w:sz w:val="24"/>
          <w:szCs w:val="24"/>
        </w:rPr>
        <w:t xml:space="preserve">set format, </w:t>
      </w:r>
      <w:r w:rsidR="006D2184">
        <w:rPr>
          <w:rFonts w:ascii="Garamond" w:hAnsi="Garamond"/>
          <w:sz w:val="24"/>
          <w:szCs w:val="24"/>
        </w:rPr>
        <w:t>and</w:t>
      </w:r>
      <w:r w:rsidR="00F97725">
        <w:rPr>
          <w:rFonts w:ascii="Garamond" w:hAnsi="Garamond"/>
          <w:sz w:val="24"/>
          <w:szCs w:val="24"/>
        </w:rPr>
        <w:t xml:space="preserve"> were returned </w:t>
      </w:r>
      <w:r w:rsidR="006D2184">
        <w:rPr>
          <w:rFonts w:ascii="Garamond" w:hAnsi="Garamond"/>
          <w:sz w:val="24"/>
          <w:szCs w:val="24"/>
        </w:rPr>
        <w:t xml:space="preserve">back to the spending units </w:t>
      </w:r>
      <w:r w:rsidR="0035509C">
        <w:rPr>
          <w:rFonts w:ascii="Garamond" w:hAnsi="Garamond"/>
          <w:sz w:val="24"/>
          <w:szCs w:val="24"/>
        </w:rPr>
        <w:t>by</w:t>
      </w:r>
      <w:r w:rsidRPr="00C32887">
        <w:rPr>
          <w:rFonts w:ascii="Garamond" w:hAnsi="Garamond"/>
          <w:sz w:val="24"/>
          <w:szCs w:val="24"/>
        </w:rPr>
        <w:t xml:space="preserve"> the Ministry of Finance and Social Welfare until completely filled in</w:t>
      </w:r>
      <w:r w:rsidR="00F97725">
        <w:rPr>
          <w:rFonts w:ascii="Garamond" w:hAnsi="Garamond"/>
          <w:sz w:val="24"/>
          <w:szCs w:val="24"/>
        </w:rPr>
        <w:t>,</w:t>
      </w:r>
      <w:r w:rsidRPr="00C32887">
        <w:rPr>
          <w:rFonts w:ascii="Garamond" w:hAnsi="Garamond"/>
          <w:sz w:val="24"/>
          <w:szCs w:val="24"/>
        </w:rPr>
        <w:t xml:space="preserve"> and quality information obtained. </w:t>
      </w:r>
      <w:r w:rsidR="00456267" w:rsidRPr="00C32887">
        <w:rPr>
          <w:rFonts w:ascii="Garamond" w:hAnsi="Garamond"/>
          <w:sz w:val="24"/>
          <w:szCs w:val="24"/>
        </w:rPr>
        <w:t xml:space="preserve">The Ministry of Finance and Social </w:t>
      </w:r>
      <w:r w:rsidR="00456267">
        <w:rPr>
          <w:rFonts w:ascii="Garamond" w:hAnsi="Garamond"/>
          <w:sz w:val="24"/>
          <w:szCs w:val="24"/>
        </w:rPr>
        <w:t>Welfare</w:t>
      </w:r>
      <w:r w:rsidR="00456267" w:rsidRPr="00C32887">
        <w:rPr>
          <w:rFonts w:ascii="Garamond" w:hAnsi="Garamond"/>
          <w:sz w:val="24"/>
          <w:szCs w:val="24"/>
        </w:rPr>
        <w:t xml:space="preserve"> </w:t>
      </w:r>
      <w:r w:rsidR="00456267">
        <w:rPr>
          <w:rFonts w:ascii="Garamond" w:hAnsi="Garamond"/>
          <w:sz w:val="24"/>
          <w:szCs w:val="24"/>
        </w:rPr>
        <w:t xml:space="preserve">also </w:t>
      </w:r>
      <w:r w:rsidR="00456267" w:rsidRPr="00C32887">
        <w:rPr>
          <w:rFonts w:ascii="Garamond" w:hAnsi="Garamond"/>
          <w:sz w:val="24"/>
          <w:szCs w:val="24"/>
        </w:rPr>
        <w:t xml:space="preserve">receives additional information from the </w:t>
      </w:r>
      <w:r w:rsidR="00456267">
        <w:rPr>
          <w:rFonts w:ascii="Garamond" w:hAnsi="Garamond"/>
          <w:sz w:val="24"/>
          <w:szCs w:val="24"/>
        </w:rPr>
        <w:t>spending</w:t>
      </w:r>
      <w:r w:rsidR="00456267" w:rsidRPr="00C32887">
        <w:rPr>
          <w:rFonts w:ascii="Garamond" w:hAnsi="Garamond"/>
          <w:sz w:val="24"/>
          <w:szCs w:val="24"/>
        </w:rPr>
        <w:t xml:space="preserve"> unit</w:t>
      </w:r>
      <w:r w:rsidR="00456267">
        <w:rPr>
          <w:rFonts w:ascii="Garamond" w:hAnsi="Garamond"/>
          <w:sz w:val="24"/>
          <w:szCs w:val="24"/>
        </w:rPr>
        <w:t>s</w:t>
      </w:r>
      <w:r w:rsidR="00456267" w:rsidRPr="00C32887">
        <w:rPr>
          <w:rFonts w:ascii="Garamond" w:hAnsi="Garamond"/>
          <w:sz w:val="24"/>
          <w:szCs w:val="24"/>
        </w:rPr>
        <w:t xml:space="preserve"> </w:t>
      </w:r>
      <w:r w:rsidR="00456267">
        <w:rPr>
          <w:rFonts w:ascii="Garamond" w:hAnsi="Garamond"/>
          <w:sz w:val="24"/>
          <w:szCs w:val="24"/>
        </w:rPr>
        <w:t>in the</w:t>
      </w:r>
      <w:r w:rsidRPr="00C32887">
        <w:rPr>
          <w:rFonts w:ascii="Garamond" w:hAnsi="Garamond"/>
          <w:sz w:val="24"/>
          <w:szCs w:val="24"/>
        </w:rPr>
        <w:t xml:space="preserve"> meetings in the framework of the process of preparation and planning of the annual budget law, during the preparation process, which </w:t>
      </w:r>
      <w:r w:rsidR="008E6887">
        <w:rPr>
          <w:rFonts w:ascii="Garamond" w:hAnsi="Garamond"/>
          <w:sz w:val="24"/>
          <w:szCs w:val="24"/>
        </w:rPr>
        <w:t>puts</w:t>
      </w:r>
      <w:r w:rsidRPr="00C32887">
        <w:rPr>
          <w:rFonts w:ascii="Garamond" w:hAnsi="Garamond"/>
          <w:sz w:val="24"/>
          <w:szCs w:val="24"/>
        </w:rPr>
        <w:t xml:space="preserve"> </w:t>
      </w:r>
      <w:r w:rsidR="00F97725">
        <w:rPr>
          <w:rFonts w:ascii="Garamond" w:hAnsi="Garamond"/>
          <w:sz w:val="24"/>
          <w:szCs w:val="24"/>
        </w:rPr>
        <w:t xml:space="preserve">the </w:t>
      </w:r>
      <w:r w:rsidRPr="00C32887">
        <w:rPr>
          <w:rFonts w:ascii="Garamond" w:hAnsi="Garamond"/>
          <w:sz w:val="24"/>
          <w:szCs w:val="24"/>
        </w:rPr>
        <w:t>value</w:t>
      </w:r>
      <w:r w:rsidR="008E6887">
        <w:rPr>
          <w:rFonts w:ascii="Garamond" w:hAnsi="Garamond"/>
          <w:sz w:val="24"/>
          <w:szCs w:val="24"/>
        </w:rPr>
        <w:t xml:space="preserve"> of the</w:t>
      </w:r>
      <w:r w:rsidRPr="00C32887">
        <w:rPr>
          <w:rFonts w:ascii="Garamond" w:hAnsi="Garamond"/>
          <w:sz w:val="24"/>
          <w:szCs w:val="24"/>
        </w:rPr>
        <w:t xml:space="preserve"> </w:t>
      </w:r>
      <w:r w:rsidR="00F97725">
        <w:rPr>
          <w:rFonts w:ascii="Garamond" w:hAnsi="Garamond"/>
          <w:sz w:val="24"/>
          <w:szCs w:val="24"/>
        </w:rPr>
        <w:t xml:space="preserve">performance </w:t>
      </w:r>
      <w:r w:rsidR="00F97725" w:rsidRPr="00C32887">
        <w:rPr>
          <w:rFonts w:ascii="Garamond" w:hAnsi="Garamond"/>
          <w:sz w:val="24"/>
          <w:szCs w:val="24"/>
        </w:rPr>
        <w:t>indi</w:t>
      </w:r>
      <w:r w:rsidR="00F97725">
        <w:rPr>
          <w:rFonts w:ascii="Garamond" w:hAnsi="Garamond"/>
          <w:sz w:val="24"/>
          <w:szCs w:val="24"/>
        </w:rPr>
        <w:t>cator</w:t>
      </w:r>
      <w:r w:rsidR="008E6887">
        <w:rPr>
          <w:rFonts w:ascii="Garamond" w:hAnsi="Garamond"/>
          <w:sz w:val="24"/>
          <w:szCs w:val="24"/>
        </w:rPr>
        <w:t>, observed in total</w:t>
      </w:r>
      <w:r w:rsidRPr="00C32887">
        <w:rPr>
          <w:rFonts w:ascii="Garamond" w:hAnsi="Garamond"/>
          <w:sz w:val="24"/>
          <w:szCs w:val="24"/>
        </w:rPr>
        <w:t>, at a satisfactory level.</w:t>
      </w:r>
      <w:r w:rsidR="006D2184">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8C184A" w:rsidP="0050124A">
      <w:pPr>
        <w:pStyle w:val="Default"/>
        <w:jc w:val="both"/>
        <w:rPr>
          <w:rFonts w:ascii="Garamond" w:hAnsi="Garamond"/>
        </w:rPr>
      </w:pPr>
      <w:r>
        <w:rPr>
          <w:rFonts w:ascii="Garamond" w:hAnsi="Garamond"/>
        </w:rPr>
        <w:t>As regards the fulfillment of the performance indicators</w:t>
      </w:r>
      <w:r w:rsidR="004D1343" w:rsidRPr="0050124A">
        <w:rPr>
          <w:rFonts w:ascii="Garamond" w:hAnsi="Garamond"/>
        </w:rPr>
        <w:t xml:space="preserve"> </w:t>
      </w:r>
      <w:r w:rsidR="0050124A" w:rsidRPr="0050124A">
        <w:rPr>
          <w:rFonts w:ascii="Garamond" w:hAnsi="Garamond"/>
        </w:rPr>
        <w:t>Level of performance informat</w:t>
      </w:r>
      <w:r w:rsidR="0050124A">
        <w:rPr>
          <w:rFonts w:ascii="Garamond" w:hAnsi="Garamond"/>
        </w:rPr>
        <w:t xml:space="preserve">ion included in budget planning, </w:t>
      </w:r>
      <w:r w:rsidR="004D1343" w:rsidRPr="00C32887">
        <w:rPr>
          <w:rFonts w:ascii="Garamond" w:hAnsi="Garamond"/>
        </w:rPr>
        <w:t xml:space="preserve">the main elements of the </w:t>
      </w:r>
      <w:r w:rsidR="008E6887">
        <w:rPr>
          <w:rFonts w:ascii="Garamond" w:hAnsi="Garamond"/>
        </w:rPr>
        <w:t>p</w:t>
      </w:r>
      <w:r w:rsidR="00AB73F6" w:rsidRPr="00C32887">
        <w:rPr>
          <w:rFonts w:ascii="Garamond" w:hAnsi="Garamond"/>
        </w:rPr>
        <w:t>rogramme</w:t>
      </w:r>
      <w:r w:rsidR="00620089">
        <w:rPr>
          <w:rFonts w:ascii="Garamond" w:hAnsi="Garamond"/>
        </w:rPr>
        <w:t>-based</w:t>
      </w:r>
      <w:r w:rsidR="004D1343" w:rsidRPr="00C32887">
        <w:rPr>
          <w:rFonts w:ascii="Garamond" w:hAnsi="Garamond"/>
        </w:rPr>
        <w:t xml:space="preserve"> budget </w:t>
      </w:r>
      <w:r w:rsidR="00456267">
        <w:rPr>
          <w:rFonts w:ascii="Garamond" w:hAnsi="Garamond"/>
        </w:rPr>
        <w:t>have</w:t>
      </w:r>
      <w:r w:rsidR="00456267" w:rsidRPr="00C32887">
        <w:rPr>
          <w:rFonts w:ascii="Garamond" w:hAnsi="Garamond"/>
        </w:rPr>
        <w:t xml:space="preserve"> </w:t>
      </w:r>
      <w:r w:rsidR="00456267">
        <w:rPr>
          <w:rFonts w:ascii="Garamond" w:hAnsi="Garamond"/>
        </w:rPr>
        <w:t xml:space="preserve">not </w:t>
      </w:r>
      <w:r w:rsidR="00456267" w:rsidRPr="00C32887">
        <w:rPr>
          <w:rFonts w:ascii="Garamond" w:hAnsi="Garamond"/>
        </w:rPr>
        <w:t xml:space="preserve">been fully developed </w:t>
      </w:r>
      <w:r w:rsidR="004D1343" w:rsidRPr="00C32887">
        <w:rPr>
          <w:rFonts w:ascii="Garamond" w:hAnsi="Garamond"/>
        </w:rPr>
        <w:t xml:space="preserve">during 2020. In this regard, activities on the development of </w:t>
      </w:r>
      <w:r>
        <w:rPr>
          <w:rFonts w:ascii="Garamond" w:hAnsi="Garamond"/>
        </w:rPr>
        <w:t xml:space="preserve">the </w:t>
      </w:r>
      <w:r w:rsidR="008E6887">
        <w:rPr>
          <w:rFonts w:ascii="Garamond" w:hAnsi="Garamond"/>
        </w:rPr>
        <w:t>p</w:t>
      </w:r>
      <w:r w:rsidR="00AB73F6" w:rsidRPr="00C32887">
        <w:rPr>
          <w:rFonts w:ascii="Garamond" w:hAnsi="Garamond"/>
        </w:rPr>
        <w:t>rogramme</w:t>
      </w:r>
      <w:r w:rsidR="00620089">
        <w:rPr>
          <w:rFonts w:ascii="Garamond" w:hAnsi="Garamond"/>
        </w:rPr>
        <w:t>-based</w:t>
      </w:r>
      <w:r w:rsidR="004D1343" w:rsidRPr="00C32887">
        <w:rPr>
          <w:rFonts w:ascii="Garamond" w:hAnsi="Garamond"/>
        </w:rPr>
        <w:t xml:space="preserve"> budget elements have been intensified</w:t>
      </w:r>
      <w:r w:rsidR="00456267" w:rsidRPr="00456267">
        <w:rPr>
          <w:rFonts w:ascii="Garamond" w:hAnsi="Garamond"/>
        </w:rPr>
        <w:t xml:space="preserve"> </w:t>
      </w:r>
      <w:r w:rsidR="00456267" w:rsidRPr="00C32887">
        <w:rPr>
          <w:rFonts w:ascii="Garamond" w:hAnsi="Garamond"/>
        </w:rPr>
        <w:t>during 2020</w:t>
      </w:r>
      <w:r w:rsidR="00456267">
        <w:rPr>
          <w:rFonts w:ascii="Garamond" w:hAnsi="Garamond"/>
        </w:rPr>
        <w:t>,</w:t>
      </w:r>
      <w:r w:rsidR="004D1343" w:rsidRPr="00C32887">
        <w:rPr>
          <w:rFonts w:ascii="Garamond" w:hAnsi="Garamond"/>
        </w:rPr>
        <w:t xml:space="preserve"> </w:t>
      </w:r>
      <w:r w:rsidR="008E6887">
        <w:rPr>
          <w:rFonts w:ascii="Garamond" w:hAnsi="Garamond"/>
        </w:rPr>
        <w:t>p</w:t>
      </w:r>
      <w:r w:rsidR="00AB73F6" w:rsidRPr="00C32887">
        <w:rPr>
          <w:rFonts w:ascii="Garamond" w:hAnsi="Garamond"/>
        </w:rPr>
        <w:t>rogramme</w:t>
      </w:r>
      <w:r w:rsidR="004D1343" w:rsidRPr="00C32887">
        <w:rPr>
          <w:rFonts w:ascii="Garamond" w:hAnsi="Garamond"/>
        </w:rPr>
        <w:t xml:space="preserve"> structure has been </w:t>
      </w:r>
      <w:r w:rsidR="00456267">
        <w:rPr>
          <w:rFonts w:ascii="Garamond" w:hAnsi="Garamond"/>
        </w:rPr>
        <w:t>elaborated</w:t>
      </w:r>
      <w:r w:rsidR="004D1343" w:rsidRPr="00C32887">
        <w:rPr>
          <w:rFonts w:ascii="Garamond" w:hAnsi="Garamond"/>
        </w:rPr>
        <w:t xml:space="preserve"> to the level of sub</w:t>
      </w:r>
      <w:r w:rsidR="008E6887">
        <w:rPr>
          <w:rFonts w:ascii="Garamond" w:hAnsi="Garamond"/>
        </w:rPr>
        <w:t>-p</w:t>
      </w:r>
      <w:r w:rsidR="00AB73F6" w:rsidRPr="00C32887">
        <w:rPr>
          <w:rFonts w:ascii="Garamond" w:hAnsi="Garamond"/>
        </w:rPr>
        <w:t>rogramme</w:t>
      </w:r>
      <w:r w:rsidR="004D1343" w:rsidRPr="00C32887">
        <w:rPr>
          <w:rFonts w:ascii="Garamond" w:hAnsi="Garamond"/>
        </w:rPr>
        <w:t xml:space="preserve">s, while </w:t>
      </w:r>
      <w:r w:rsidR="00456267" w:rsidRPr="00C32887">
        <w:rPr>
          <w:rFonts w:ascii="Garamond" w:hAnsi="Garamond"/>
        </w:rPr>
        <w:t xml:space="preserve">full implementation of the </w:t>
      </w:r>
      <w:r w:rsidR="00456267">
        <w:rPr>
          <w:rFonts w:ascii="Garamond" w:hAnsi="Garamond"/>
        </w:rPr>
        <w:t>p</w:t>
      </w:r>
      <w:r w:rsidR="00456267" w:rsidRPr="00C32887">
        <w:rPr>
          <w:rFonts w:ascii="Garamond" w:hAnsi="Garamond"/>
        </w:rPr>
        <w:t xml:space="preserve">rogramme structure is envisaged </w:t>
      </w:r>
      <w:r w:rsidR="004D1343" w:rsidRPr="00C32887">
        <w:rPr>
          <w:rFonts w:ascii="Garamond" w:hAnsi="Garamond"/>
        </w:rPr>
        <w:t>in 2021</w:t>
      </w:r>
      <w:r w:rsidR="00456267">
        <w:rPr>
          <w:rFonts w:ascii="Garamond" w:hAnsi="Garamond"/>
        </w:rPr>
        <w:t xml:space="preserve">, </w:t>
      </w:r>
      <w:r>
        <w:rPr>
          <w:rFonts w:ascii="Garamond" w:hAnsi="Garamond"/>
        </w:rPr>
        <w:t>with</w:t>
      </w:r>
      <w:r w:rsidR="004D1343" w:rsidRPr="00C32887">
        <w:rPr>
          <w:rFonts w:ascii="Garamond" w:hAnsi="Garamond"/>
        </w:rPr>
        <w:t xml:space="preserve"> </w:t>
      </w:r>
      <w:r w:rsidR="00456267" w:rsidRPr="00C32887">
        <w:rPr>
          <w:rFonts w:ascii="Garamond" w:hAnsi="Garamond"/>
        </w:rPr>
        <w:t xml:space="preserve">full implementation of the </w:t>
      </w:r>
      <w:r w:rsidR="00456267">
        <w:rPr>
          <w:rFonts w:ascii="Garamond" w:hAnsi="Garamond"/>
        </w:rPr>
        <w:t>p</w:t>
      </w:r>
      <w:r w:rsidR="00456267" w:rsidRPr="00C32887">
        <w:rPr>
          <w:rFonts w:ascii="Garamond" w:hAnsi="Garamond"/>
        </w:rPr>
        <w:t>rogramme</w:t>
      </w:r>
      <w:r w:rsidR="00456267">
        <w:rPr>
          <w:rFonts w:ascii="Garamond" w:hAnsi="Garamond"/>
        </w:rPr>
        <w:t>-based</w:t>
      </w:r>
      <w:r w:rsidR="00456267" w:rsidRPr="00C32887">
        <w:rPr>
          <w:rFonts w:ascii="Garamond" w:hAnsi="Garamond"/>
        </w:rPr>
        <w:t xml:space="preserve"> budget expected </w:t>
      </w:r>
      <w:r w:rsidR="004D1343" w:rsidRPr="00C32887">
        <w:rPr>
          <w:rFonts w:ascii="Garamond" w:hAnsi="Garamond"/>
        </w:rPr>
        <w:t>in the coming period</w:t>
      </w:r>
      <w:r w:rsidR="00620089">
        <w:rPr>
          <w:rFonts w:ascii="Garamond" w:hAnsi="Garamond"/>
        </w:rPr>
        <w:t>,</w:t>
      </w:r>
      <w:r w:rsidR="008E6887">
        <w:rPr>
          <w:rFonts w:ascii="Garamond" w:hAnsi="Garamond"/>
        </w:rPr>
        <w:t xml:space="preserve"> </w:t>
      </w:r>
      <w:r w:rsidR="00456267">
        <w:rPr>
          <w:rFonts w:ascii="Garamond" w:hAnsi="Garamond"/>
        </w:rPr>
        <w:t xml:space="preserve">at </w:t>
      </w:r>
      <w:r w:rsidR="00620089">
        <w:rPr>
          <w:rFonts w:ascii="Garamond" w:hAnsi="Garamond"/>
        </w:rPr>
        <w:t xml:space="preserve">the </w:t>
      </w:r>
      <w:r w:rsidR="00456267">
        <w:rPr>
          <w:rFonts w:ascii="Garamond" w:hAnsi="Garamond"/>
        </w:rPr>
        <w:t>level of activities</w:t>
      </w:r>
      <w:r w:rsidR="004D1343" w:rsidRPr="00C32887">
        <w:rPr>
          <w:rFonts w:ascii="Garamond" w:hAnsi="Garamond"/>
        </w:rPr>
        <w:t xml:space="preserve"> and performance indicators at all levels</w:t>
      </w:r>
      <w:r w:rsidR="00620089">
        <w:rPr>
          <w:rFonts w:ascii="Garamond" w:hAnsi="Garamond"/>
        </w:rPr>
        <w:t>.</w:t>
      </w:r>
      <w:r w:rsidR="00456267">
        <w:rPr>
          <w:rFonts w:ascii="Garamond" w:hAnsi="Garamond"/>
        </w:rPr>
        <w:t xml:space="preserve">   </w:t>
      </w:r>
    </w:p>
    <w:p w:rsidR="004D1343" w:rsidRPr="00C32887" w:rsidRDefault="004D1343" w:rsidP="004D1343">
      <w:pPr>
        <w:rPr>
          <w:rFonts w:ascii="Garamond" w:hAnsi="Garamond"/>
          <w:sz w:val="24"/>
          <w:szCs w:val="24"/>
        </w:rPr>
      </w:pPr>
    </w:p>
    <w:p w:rsidR="004D1343" w:rsidRPr="00C32887" w:rsidRDefault="004D1343" w:rsidP="008E6887">
      <w:pPr>
        <w:jc w:val="both"/>
        <w:rPr>
          <w:rFonts w:ascii="Garamond" w:hAnsi="Garamond"/>
          <w:sz w:val="24"/>
          <w:szCs w:val="24"/>
        </w:rPr>
      </w:pPr>
      <w:r w:rsidRPr="00C32887">
        <w:rPr>
          <w:rFonts w:ascii="Garamond" w:hAnsi="Garamond"/>
          <w:sz w:val="24"/>
          <w:szCs w:val="24"/>
        </w:rPr>
        <w:t xml:space="preserve">The performance indicator referring to the number of staff trained in accordance with the principles of </w:t>
      </w:r>
      <w:r w:rsidR="008E6887">
        <w:rPr>
          <w:rFonts w:ascii="Garamond" w:hAnsi="Garamond"/>
          <w:sz w:val="24"/>
          <w:szCs w:val="24"/>
        </w:rPr>
        <w:t>p</w:t>
      </w:r>
      <w:r w:rsidR="00AB73F6" w:rsidRPr="00C32887">
        <w:rPr>
          <w:rFonts w:ascii="Garamond" w:hAnsi="Garamond"/>
          <w:sz w:val="24"/>
          <w:szCs w:val="24"/>
        </w:rPr>
        <w:t>rogramme</w:t>
      </w:r>
      <w:r w:rsidR="008E6887">
        <w:rPr>
          <w:rFonts w:ascii="Garamond" w:hAnsi="Garamond"/>
          <w:sz w:val="24"/>
          <w:szCs w:val="24"/>
        </w:rPr>
        <w:t>-based</w:t>
      </w:r>
      <w:r w:rsidRPr="00C32887">
        <w:rPr>
          <w:rFonts w:ascii="Garamond" w:hAnsi="Garamond"/>
          <w:sz w:val="24"/>
          <w:szCs w:val="24"/>
        </w:rPr>
        <w:t xml:space="preserve"> b</w:t>
      </w:r>
      <w:r w:rsidR="008E6887">
        <w:rPr>
          <w:rFonts w:ascii="Garamond" w:hAnsi="Garamond"/>
          <w:sz w:val="24"/>
          <w:szCs w:val="24"/>
        </w:rPr>
        <w:t>udgeting has not been fully met</w:t>
      </w:r>
      <w:r w:rsidRPr="00C32887">
        <w:rPr>
          <w:rFonts w:ascii="Garamond" w:hAnsi="Garamond"/>
          <w:sz w:val="24"/>
          <w:szCs w:val="24"/>
        </w:rPr>
        <w:t xml:space="preserve">. Bearing in mind that during most of 2019 preparatory activities </w:t>
      </w:r>
      <w:r w:rsidR="008E6887">
        <w:rPr>
          <w:rFonts w:ascii="Garamond" w:hAnsi="Garamond"/>
          <w:sz w:val="24"/>
          <w:szCs w:val="24"/>
        </w:rPr>
        <w:t>have been implemented</w:t>
      </w:r>
      <w:r w:rsidRPr="00C32887">
        <w:rPr>
          <w:rFonts w:ascii="Garamond" w:hAnsi="Garamond"/>
          <w:sz w:val="24"/>
          <w:szCs w:val="24"/>
        </w:rPr>
        <w:t xml:space="preserve">, </w:t>
      </w:r>
      <w:r w:rsidR="007F338F">
        <w:rPr>
          <w:rFonts w:ascii="Garamond" w:hAnsi="Garamond"/>
          <w:sz w:val="24"/>
          <w:szCs w:val="24"/>
        </w:rPr>
        <w:t>such as the situation</w:t>
      </w:r>
      <w:r w:rsidRPr="00C32887">
        <w:rPr>
          <w:rFonts w:ascii="Garamond" w:hAnsi="Garamond"/>
          <w:sz w:val="24"/>
          <w:szCs w:val="24"/>
        </w:rPr>
        <w:t xml:space="preserve"> </w:t>
      </w:r>
      <w:r w:rsidR="001F444A" w:rsidRPr="00C32887">
        <w:rPr>
          <w:rFonts w:ascii="Garamond" w:hAnsi="Garamond"/>
          <w:sz w:val="24"/>
          <w:szCs w:val="24"/>
        </w:rPr>
        <w:t>analy</w:t>
      </w:r>
      <w:r w:rsidR="001F444A">
        <w:rPr>
          <w:rFonts w:ascii="Garamond" w:hAnsi="Garamond"/>
          <w:sz w:val="24"/>
          <w:szCs w:val="24"/>
        </w:rPr>
        <w:t>ses</w:t>
      </w:r>
      <w:r w:rsidR="001F444A" w:rsidRPr="00C32887">
        <w:rPr>
          <w:rFonts w:ascii="Garamond" w:hAnsi="Garamond"/>
          <w:sz w:val="24"/>
          <w:szCs w:val="24"/>
        </w:rPr>
        <w:t xml:space="preserve"> </w:t>
      </w:r>
      <w:r w:rsidRPr="00C32887">
        <w:rPr>
          <w:rFonts w:ascii="Garamond" w:hAnsi="Garamond"/>
          <w:sz w:val="24"/>
          <w:szCs w:val="24"/>
        </w:rPr>
        <w:t xml:space="preserve">and development of the concept, </w:t>
      </w:r>
      <w:r w:rsidR="008E6887">
        <w:rPr>
          <w:rFonts w:ascii="Garamond" w:hAnsi="Garamond"/>
          <w:sz w:val="24"/>
          <w:szCs w:val="24"/>
        </w:rPr>
        <w:t>training</w:t>
      </w:r>
      <w:r w:rsidR="007F338F">
        <w:rPr>
          <w:rFonts w:ascii="Garamond" w:hAnsi="Garamond"/>
          <w:sz w:val="24"/>
          <w:szCs w:val="24"/>
        </w:rPr>
        <w:t>s</w:t>
      </w:r>
      <w:r w:rsidRPr="00C32887">
        <w:rPr>
          <w:rFonts w:ascii="Garamond" w:hAnsi="Garamond"/>
          <w:sz w:val="24"/>
          <w:szCs w:val="24"/>
        </w:rPr>
        <w:t xml:space="preserve"> </w:t>
      </w:r>
      <w:r w:rsidR="007F338F">
        <w:rPr>
          <w:rFonts w:ascii="Garamond" w:hAnsi="Garamond"/>
          <w:sz w:val="24"/>
          <w:szCs w:val="24"/>
        </w:rPr>
        <w:t>during 2020</w:t>
      </w:r>
      <w:r w:rsidR="007F338F" w:rsidRPr="00C32887">
        <w:rPr>
          <w:rFonts w:ascii="Garamond" w:hAnsi="Garamond"/>
          <w:sz w:val="24"/>
          <w:szCs w:val="24"/>
        </w:rPr>
        <w:t xml:space="preserve"> </w:t>
      </w:r>
      <w:r w:rsidR="007F338F">
        <w:rPr>
          <w:rFonts w:ascii="Garamond" w:hAnsi="Garamond"/>
          <w:sz w:val="24"/>
          <w:szCs w:val="24"/>
        </w:rPr>
        <w:t xml:space="preserve">were </w:t>
      </w:r>
      <w:r w:rsidRPr="00C32887">
        <w:rPr>
          <w:rFonts w:ascii="Garamond" w:hAnsi="Garamond"/>
          <w:sz w:val="24"/>
          <w:szCs w:val="24"/>
        </w:rPr>
        <w:t xml:space="preserve">related to the improvement </w:t>
      </w:r>
      <w:r w:rsidR="008E6887">
        <w:rPr>
          <w:rFonts w:ascii="Garamond" w:hAnsi="Garamond"/>
          <w:sz w:val="24"/>
          <w:szCs w:val="24"/>
        </w:rPr>
        <w:t>of</w:t>
      </w:r>
      <w:r w:rsidRPr="00C32887">
        <w:rPr>
          <w:rFonts w:ascii="Garamond" w:hAnsi="Garamond"/>
          <w:sz w:val="24"/>
          <w:szCs w:val="24"/>
        </w:rPr>
        <w:t xml:space="preserve"> multi-annual planning, </w:t>
      </w:r>
      <w:r w:rsidR="008E6887">
        <w:rPr>
          <w:rFonts w:ascii="Garamond" w:hAnsi="Garamond"/>
          <w:sz w:val="24"/>
          <w:szCs w:val="24"/>
        </w:rPr>
        <w:t>p</w:t>
      </w:r>
      <w:r w:rsidR="00AB73F6" w:rsidRPr="00C32887">
        <w:rPr>
          <w:rFonts w:ascii="Garamond" w:hAnsi="Garamond"/>
          <w:sz w:val="24"/>
          <w:szCs w:val="24"/>
        </w:rPr>
        <w:t>rogramme</w:t>
      </w:r>
      <w:r w:rsidR="008E6887">
        <w:rPr>
          <w:rFonts w:ascii="Garamond" w:hAnsi="Garamond"/>
          <w:sz w:val="24"/>
          <w:szCs w:val="24"/>
        </w:rPr>
        <w:t>-based</w:t>
      </w:r>
      <w:r w:rsidRPr="00C32887">
        <w:rPr>
          <w:rFonts w:ascii="Garamond" w:hAnsi="Garamond"/>
          <w:sz w:val="24"/>
          <w:szCs w:val="24"/>
        </w:rPr>
        <w:t xml:space="preserve"> budgeting, </w:t>
      </w:r>
      <w:r w:rsidR="008E6887">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 structure</w:t>
      </w:r>
      <w:r w:rsidR="003A1D74" w:rsidRPr="003A1D74">
        <w:rPr>
          <w:rFonts w:ascii="Garamond" w:hAnsi="Garamond"/>
          <w:sz w:val="24"/>
          <w:szCs w:val="24"/>
        </w:rPr>
        <w:t xml:space="preserve"> </w:t>
      </w:r>
      <w:r w:rsidR="003A1D74">
        <w:rPr>
          <w:rFonts w:ascii="Garamond" w:hAnsi="Garamond"/>
          <w:sz w:val="24"/>
          <w:szCs w:val="24"/>
        </w:rPr>
        <w:t xml:space="preserve">revision, </w:t>
      </w:r>
      <w:r w:rsidR="001F444A">
        <w:rPr>
          <w:rFonts w:ascii="Garamond" w:hAnsi="Garamond"/>
          <w:sz w:val="24"/>
          <w:szCs w:val="24"/>
        </w:rPr>
        <w:t>establishment of the</w:t>
      </w:r>
      <w:r w:rsidR="003A1D74">
        <w:rPr>
          <w:rFonts w:ascii="Garamond" w:hAnsi="Garamond"/>
          <w:sz w:val="24"/>
          <w:szCs w:val="24"/>
        </w:rPr>
        <w:t xml:space="preserve"> </w:t>
      </w:r>
      <w:r w:rsidRPr="00C32887">
        <w:rPr>
          <w:rFonts w:ascii="Garamond" w:hAnsi="Garamond"/>
          <w:sz w:val="24"/>
          <w:szCs w:val="24"/>
        </w:rPr>
        <w:t xml:space="preserve">activities and </w:t>
      </w:r>
      <w:r w:rsidR="008C184A" w:rsidRPr="00C32887">
        <w:rPr>
          <w:rFonts w:ascii="Garamond" w:hAnsi="Garamond"/>
          <w:sz w:val="24"/>
          <w:szCs w:val="24"/>
        </w:rPr>
        <w:t>performance indicator</w:t>
      </w:r>
      <w:r w:rsidR="008C184A">
        <w:rPr>
          <w:rFonts w:ascii="Garamond" w:hAnsi="Garamond"/>
          <w:sz w:val="24"/>
          <w:szCs w:val="24"/>
        </w:rPr>
        <w:t>s,</w:t>
      </w:r>
      <w:r w:rsidR="008C184A" w:rsidRPr="00C32887">
        <w:rPr>
          <w:rFonts w:ascii="Garamond" w:hAnsi="Garamond"/>
          <w:sz w:val="24"/>
          <w:szCs w:val="24"/>
        </w:rPr>
        <w:t xml:space="preserve"> </w:t>
      </w:r>
      <w:r w:rsidRPr="00C32887">
        <w:rPr>
          <w:rFonts w:ascii="Garamond" w:hAnsi="Garamond"/>
          <w:sz w:val="24"/>
          <w:szCs w:val="24"/>
        </w:rPr>
        <w:t xml:space="preserve">and the like. However, the trainings were not </w:t>
      </w:r>
      <w:r w:rsidR="008C184A">
        <w:rPr>
          <w:rFonts w:ascii="Garamond" w:hAnsi="Garamond"/>
          <w:sz w:val="24"/>
          <w:szCs w:val="24"/>
        </w:rPr>
        <w:t>implemented fully</w:t>
      </w:r>
      <w:r w:rsidRPr="00C32887">
        <w:rPr>
          <w:rFonts w:ascii="Garamond" w:hAnsi="Garamond"/>
          <w:sz w:val="24"/>
          <w:szCs w:val="24"/>
        </w:rPr>
        <w:t xml:space="preserve">, having in mind the </w:t>
      </w:r>
      <w:r w:rsidR="003A1D74">
        <w:rPr>
          <w:rFonts w:ascii="Garamond" w:hAnsi="Garamond"/>
          <w:sz w:val="24"/>
          <w:szCs w:val="24"/>
        </w:rPr>
        <w:t xml:space="preserve">COVID-19 </w:t>
      </w:r>
      <w:r w:rsidR="008C184A">
        <w:rPr>
          <w:rFonts w:ascii="Garamond" w:hAnsi="Garamond"/>
          <w:sz w:val="24"/>
          <w:szCs w:val="24"/>
        </w:rPr>
        <w:t>outbreak</w:t>
      </w:r>
      <w:r w:rsidRPr="00C32887">
        <w:rPr>
          <w:rFonts w:ascii="Garamond" w:hAnsi="Garamond"/>
          <w:sz w:val="24"/>
          <w:szCs w:val="24"/>
        </w:rPr>
        <w:t xml:space="preserve">, which conditioned trainings </w:t>
      </w:r>
      <w:r w:rsidR="001F444A">
        <w:rPr>
          <w:rFonts w:ascii="Garamond" w:hAnsi="Garamond"/>
          <w:sz w:val="24"/>
          <w:szCs w:val="24"/>
        </w:rPr>
        <w:t xml:space="preserve">to be delivered </w:t>
      </w:r>
      <w:r w:rsidR="001F444A" w:rsidRPr="00C32887">
        <w:rPr>
          <w:rFonts w:ascii="Garamond" w:hAnsi="Garamond"/>
          <w:sz w:val="24"/>
          <w:szCs w:val="24"/>
        </w:rPr>
        <w:t xml:space="preserve">online </w:t>
      </w:r>
      <w:r w:rsidRPr="00C32887">
        <w:rPr>
          <w:rFonts w:ascii="Garamond" w:hAnsi="Garamond"/>
          <w:sz w:val="24"/>
          <w:szCs w:val="24"/>
        </w:rPr>
        <w:t xml:space="preserve">exclusively. The </w:t>
      </w:r>
      <w:r w:rsidR="001F444A">
        <w:rPr>
          <w:rFonts w:ascii="Garamond" w:hAnsi="Garamond"/>
          <w:sz w:val="24"/>
          <w:szCs w:val="24"/>
        </w:rPr>
        <w:t>delivery</w:t>
      </w:r>
      <w:r w:rsidRPr="00C32887">
        <w:rPr>
          <w:rFonts w:ascii="Garamond" w:hAnsi="Garamond"/>
          <w:sz w:val="24"/>
          <w:szCs w:val="24"/>
        </w:rPr>
        <w:t xml:space="preserve"> of trainings will continue during 2021.</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530939" w:rsidRDefault="00530939">
      <w:pPr>
        <w:rPr>
          <w:rFonts w:ascii="Garamond" w:hAnsi="Garamond"/>
          <w:sz w:val="24"/>
          <w:szCs w:val="24"/>
        </w:rPr>
      </w:pPr>
      <w:r>
        <w:rPr>
          <w:rFonts w:ascii="Garamond" w:hAnsi="Garamond"/>
          <w:sz w:val="24"/>
          <w:szCs w:val="24"/>
        </w:rPr>
        <w:br w:type="page"/>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tbl>
      <w:tblPr>
        <w:tblW w:w="5000" w:type="pct"/>
        <w:jc w:val="center"/>
        <w:tblLayout w:type="fixed"/>
        <w:tblLook w:val="04A0"/>
      </w:tblPr>
      <w:tblGrid>
        <w:gridCol w:w="824"/>
        <w:gridCol w:w="6"/>
        <w:gridCol w:w="900"/>
        <w:gridCol w:w="814"/>
        <w:gridCol w:w="1082"/>
        <w:gridCol w:w="892"/>
        <w:gridCol w:w="992"/>
        <w:gridCol w:w="902"/>
        <w:gridCol w:w="902"/>
        <w:gridCol w:w="804"/>
        <w:gridCol w:w="891"/>
        <w:gridCol w:w="10"/>
        <w:gridCol w:w="557"/>
      </w:tblGrid>
      <w:tr w:rsidR="003A1D74" w:rsidRPr="005B41A8" w:rsidTr="003A1D74">
        <w:trPr>
          <w:trHeight w:val="308"/>
          <w:jc w:val="center"/>
        </w:trPr>
        <w:tc>
          <w:tcPr>
            <w:tcW w:w="433" w:type="pct"/>
            <w:gridSpan w:val="2"/>
            <w:vMerge w:val="restart"/>
            <w:tcBorders>
              <w:top w:val="single" w:sz="18" w:space="0" w:color="auto"/>
              <w:left w:val="single" w:sz="18" w:space="0" w:color="auto"/>
              <w:right w:val="single" w:sz="12" w:space="0" w:color="auto"/>
            </w:tcBorders>
            <w:shd w:val="clear" w:color="auto" w:fill="auto"/>
            <w:vAlign w:val="center"/>
            <w:hideMark/>
          </w:tcPr>
          <w:p w:rsidR="003A1D74" w:rsidRPr="00530939" w:rsidRDefault="00530939" w:rsidP="00E414FE">
            <w:pPr>
              <w:rPr>
                <w:rFonts w:ascii="Garamond" w:hAnsi="Garamond"/>
                <w:b/>
                <w:sz w:val="16"/>
                <w:szCs w:val="16"/>
              </w:rPr>
            </w:pPr>
            <w:r w:rsidRPr="00530939">
              <w:rPr>
                <w:rFonts w:ascii="Garamond" w:hAnsi="Garamond"/>
                <w:b/>
                <w:sz w:val="16"/>
                <w:szCs w:val="16"/>
              </w:rPr>
              <w:t>Performance Indicator</w:t>
            </w:r>
            <w:r w:rsidR="003A1D74" w:rsidRPr="00530939">
              <w:rPr>
                <w:rFonts w:ascii="Garamond" w:hAnsi="Garamond"/>
                <w:b/>
                <w:sz w:val="16"/>
                <w:szCs w:val="16"/>
              </w:rPr>
              <w:tab/>
            </w:r>
          </w:p>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p>
        </w:tc>
        <w:tc>
          <w:tcPr>
            <w:tcW w:w="470" w:type="pct"/>
            <w:vMerge w:val="restart"/>
            <w:tcBorders>
              <w:top w:val="single" w:sz="18" w:space="0" w:color="auto"/>
              <w:left w:val="single" w:sz="12" w:space="0" w:color="auto"/>
              <w:right w:val="single" w:sz="12" w:space="0" w:color="auto"/>
            </w:tcBorders>
            <w:shd w:val="clear" w:color="auto" w:fill="auto"/>
            <w:vAlign w:val="center"/>
            <w:hideMark/>
          </w:tcPr>
          <w:p w:rsidR="003A1D74" w:rsidRPr="00530939" w:rsidRDefault="003A1D74" w:rsidP="00E414FE">
            <w:pPr>
              <w:rPr>
                <w:rFonts w:ascii="Garamond" w:hAnsi="Garamond"/>
                <w:b/>
                <w:sz w:val="16"/>
                <w:szCs w:val="16"/>
              </w:rPr>
            </w:pPr>
            <w:r w:rsidRPr="00530939">
              <w:rPr>
                <w:rFonts w:ascii="Garamond" w:hAnsi="Garamond"/>
                <w:b/>
                <w:sz w:val="16"/>
                <w:szCs w:val="16"/>
              </w:rPr>
              <w:t>Planned 2014</w:t>
            </w:r>
          </w:p>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p>
        </w:tc>
        <w:tc>
          <w:tcPr>
            <w:tcW w:w="990" w:type="pct"/>
            <w:gridSpan w:val="2"/>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r w:rsidRPr="00530939">
              <w:rPr>
                <w:rFonts w:ascii="Garamond" w:eastAsia="Times New Roman" w:hAnsi="Garamond" w:cs="Calibri"/>
                <w:b/>
                <w:bCs/>
                <w:sz w:val="16"/>
                <w:szCs w:val="16"/>
                <w:lang w:eastAsia="en-US" w:bidi="ar-SA"/>
              </w:rPr>
              <w:t>2017</w:t>
            </w:r>
          </w:p>
        </w:tc>
        <w:tc>
          <w:tcPr>
            <w:tcW w:w="984" w:type="pct"/>
            <w:gridSpan w:val="2"/>
            <w:tcBorders>
              <w:top w:val="single" w:sz="18" w:space="0" w:color="auto"/>
              <w:left w:val="single" w:sz="12" w:space="0" w:color="auto"/>
              <w:bottom w:val="single" w:sz="4" w:space="0" w:color="auto"/>
              <w:right w:val="single" w:sz="12" w:space="0" w:color="auto"/>
            </w:tcBorders>
            <w:shd w:val="clear" w:color="auto" w:fill="auto"/>
            <w:noWrap/>
            <w:vAlign w:val="center"/>
            <w:hideMark/>
          </w:tcPr>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r w:rsidRPr="00530939">
              <w:rPr>
                <w:rFonts w:ascii="Garamond" w:eastAsia="Times New Roman" w:hAnsi="Garamond" w:cs="Calibri"/>
                <w:b/>
                <w:bCs/>
                <w:sz w:val="16"/>
                <w:szCs w:val="16"/>
                <w:lang w:eastAsia="en-US" w:bidi="ar-SA"/>
              </w:rPr>
              <w:t>2018</w:t>
            </w:r>
          </w:p>
        </w:tc>
        <w:tc>
          <w:tcPr>
            <w:tcW w:w="942" w:type="pct"/>
            <w:gridSpan w:val="2"/>
            <w:tcBorders>
              <w:top w:val="single" w:sz="18" w:space="0" w:color="auto"/>
              <w:left w:val="single" w:sz="12" w:space="0" w:color="auto"/>
              <w:bottom w:val="single" w:sz="12" w:space="0" w:color="auto"/>
              <w:right w:val="single" w:sz="12" w:space="0" w:color="auto"/>
            </w:tcBorders>
          </w:tcPr>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r w:rsidRPr="00530939">
              <w:rPr>
                <w:rFonts w:ascii="Garamond" w:eastAsia="Times New Roman" w:hAnsi="Garamond" w:cs="Calibri"/>
                <w:b/>
                <w:bCs/>
                <w:sz w:val="16"/>
                <w:szCs w:val="16"/>
                <w:lang w:eastAsia="en-US" w:bidi="ar-SA"/>
              </w:rPr>
              <w:t>2019</w:t>
            </w:r>
          </w:p>
        </w:tc>
        <w:tc>
          <w:tcPr>
            <w:tcW w:w="885" w:type="pct"/>
            <w:gridSpan w:val="2"/>
            <w:tcBorders>
              <w:top w:val="single" w:sz="18" w:space="0" w:color="auto"/>
              <w:left w:val="single" w:sz="12" w:space="0" w:color="auto"/>
              <w:bottom w:val="single" w:sz="12" w:space="0" w:color="auto"/>
              <w:right w:val="single" w:sz="18" w:space="0" w:color="auto"/>
            </w:tcBorders>
          </w:tcPr>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r w:rsidRPr="00530939">
              <w:rPr>
                <w:rFonts w:ascii="Garamond" w:eastAsia="Times New Roman" w:hAnsi="Garamond" w:cs="Calibri"/>
                <w:b/>
                <w:bCs/>
                <w:sz w:val="16"/>
                <w:szCs w:val="16"/>
                <w:lang w:eastAsia="en-US" w:bidi="ar-SA"/>
              </w:rPr>
              <w:t>2020</w:t>
            </w:r>
          </w:p>
        </w:tc>
        <w:tc>
          <w:tcPr>
            <w:tcW w:w="296" w:type="pct"/>
            <w:gridSpan w:val="2"/>
            <w:vMerge w:val="restart"/>
            <w:tcBorders>
              <w:top w:val="single" w:sz="18" w:space="0" w:color="auto"/>
              <w:left w:val="single" w:sz="12" w:space="0" w:color="auto"/>
              <w:right w:val="single" w:sz="18" w:space="0" w:color="auto"/>
            </w:tcBorders>
            <w:shd w:val="clear" w:color="auto" w:fill="auto"/>
            <w:vAlign w:val="center"/>
            <w:hideMark/>
          </w:tcPr>
          <w:p w:rsidR="003A1D74" w:rsidRPr="005B41A8" w:rsidRDefault="003A1D74" w:rsidP="00E414FE">
            <w:pPr>
              <w:widowControl/>
              <w:autoSpaceDE/>
              <w:autoSpaceDN/>
              <w:jc w:val="center"/>
              <w:rPr>
                <w:rFonts w:ascii="Garamond" w:eastAsia="Times New Roman" w:hAnsi="Garamond" w:cs="Calibri"/>
                <w:b/>
                <w:bCs/>
                <w:sz w:val="16"/>
                <w:szCs w:val="16"/>
                <w:lang w:eastAsia="en-US" w:bidi="ar-SA"/>
              </w:rPr>
            </w:pPr>
            <w:r w:rsidRPr="005B41A8">
              <w:rPr>
                <w:rFonts w:ascii="Garamond" w:eastAsia="Times New Roman" w:hAnsi="Garamond" w:cs="Calibri"/>
                <w:b/>
                <w:bCs/>
                <w:sz w:val="16"/>
                <w:szCs w:val="16"/>
                <w:lang w:eastAsia="en-US" w:bidi="ar-SA"/>
              </w:rPr>
              <w:t>Trend</w:t>
            </w:r>
          </w:p>
        </w:tc>
      </w:tr>
      <w:tr w:rsidR="003A1D74" w:rsidRPr="005B41A8" w:rsidTr="003A1D74">
        <w:trPr>
          <w:trHeight w:val="484"/>
          <w:jc w:val="center"/>
        </w:trPr>
        <w:tc>
          <w:tcPr>
            <w:tcW w:w="433" w:type="pct"/>
            <w:gridSpan w:val="2"/>
            <w:vMerge/>
            <w:tcBorders>
              <w:left w:val="single" w:sz="18" w:space="0" w:color="auto"/>
              <w:bottom w:val="single" w:sz="12" w:space="0" w:color="000000"/>
              <w:right w:val="single" w:sz="12" w:space="0" w:color="auto"/>
            </w:tcBorders>
            <w:vAlign w:val="center"/>
            <w:hideMark/>
          </w:tcPr>
          <w:p w:rsidR="003A1D74" w:rsidRPr="00530939" w:rsidRDefault="003A1D74" w:rsidP="00E414FE">
            <w:pPr>
              <w:widowControl/>
              <w:autoSpaceDE/>
              <w:autoSpaceDN/>
              <w:jc w:val="both"/>
              <w:rPr>
                <w:rFonts w:ascii="Garamond" w:eastAsia="Times New Roman" w:hAnsi="Garamond" w:cs="Calibri"/>
                <w:b/>
                <w:bCs/>
                <w:sz w:val="16"/>
                <w:szCs w:val="16"/>
                <w:lang w:eastAsia="en-US" w:bidi="ar-SA"/>
              </w:rPr>
            </w:pPr>
          </w:p>
        </w:tc>
        <w:tc>
          <w:tcPr>
            <w:tcW w:w="470" w:type="pct"/>
            <w:vMerge/>
            <w:tcBorders>
              <w:left w:val="single" w:sz="12" w:space="0" w:color="auto"/>
              <w:bottom w:val="single" w:sz="12" w:space="0" w:color="000000"/>
              <w:right w:val="single" w:sz="12" w:space="0" w:color="auto"/>
            </w:tcBorders>
            <w:vAlign w:val="center"/>
            <w:hideMark/>
          </w:tcPr>
          <w:p w:rsidR="003A1D74" w:rsidRPr="00530939" w:rsidRDefault="003A1D74" w:rsidP="00E414FE">
            <w:pPr>
              <w:widowControl/>
              <w:autoSpaceDE/>
              <w:autoSpaceDN/>
              <w:jc w:val="both"/>
              <w:rPr>
                <w:rFonts w:ascii="Garamond" w:eastAsia="Times New Roman" w:hAnsi="Garamond" w:cs="Calibri"/>
                <w:b/>
                <w:bCs/>
                <w:sz w:val="16"/>
                <w:szCs w:val="16"/>
                <w:lang w:eastAsia="en-US" w:bidi="ar-SA"/>
              </w:rPr>
            </w:pPr>
          </w:p>
        </w:tc>
        <w:tc>
          <w:tcPr>
            <w:tcW w:w="425" w:type="pct"/>
            <w:tcBorders>
              <w:top w:val="nil"/>
              <w:left w:val="single" w:sz="12" w:space="0" w:color="auto"/>
              <w:bottom w:val="single" w:sz="12" w:space="0" w:color="auto"/>
              <w:right w:val="single" w:sz="4" w:space="0" w:color="auto"/>
            </w:tcBorders>
            <w:shd w:val="clear" w:color="auto" w:fill="auto"/>
            <w:vAlign w:val="center"/>
            <w:hideMark/>
          </w:tcPr>
          <w:p w:rsidR="003A1D74" w:rsidRPr="00530939" w:rsidRDefault="003A1D74" w:rsidP="00E414FE">
            <w:pPr>
              <w:rPr>
                <w:rFonts w:ascii="Garamond" w:hAnsi="Garamond"/>
                <w:b/>
                <w:sz w:val="16"/>
                <w:szCs w:val="16"/>
              </w:rPr>
            </w:pPr>
            <w:r w:rsidRPr="00530939">
              <w:rPr>
                <w:rFonts w:ascii="Garamond" w:hAnsi="Garamond"/>
                <w:b/>
                <w:sz w:val="16"/>
                <w:szCs w:val="16"/>
              </w:rPr>
              <w:t>Target values</w:t>
            </w:r>
          </w:p>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p>
        </w:tc>
        <w:tc>
          <w:tcPr>
            <w:tcW w:w="565" w:type="pct"/>
            <w:tcBorders>
              <w:top w:val="nil"/>
              <w:left w:val="nil"/>
              <w:bottom w:val="single" w:sz="12" w:space="0" w:color="auto"/>
              <w:right w:val="single" w:sz="12" w:space="0" w:color="auto"/>
            </w:tcBorders>
            <w:shd w:val="clear" w:color="auto" w:fill="auto"/>
            <w:vAlign w:val="center"/>
            <w:hideMark/>
          </w:tcPr>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r w:rsidRPr="00530939">
              <w:rPr>
                <w:rFonts w:ascii="Garamond" w:eastAsia="Times New Roman" w:hAnsi="Garamond" w:cs="Calibri"/>
                <w:b/>
                <w:bCs/>
                <w:sz w:val="16"/>
                <w:szCs w:val="16"/>
                <w:lang w:eastAsia="en-US" w:bidi="ar-SA"/>
              </w:rPr>
              <w:t>Implemented</w:t>
            </w:r>
          </w:p>
        </w:tc>
        <w:tc>
          <w:tcPr>
            <w:tcW w:w="466" w:type="pct"/>
            <w:tcBorders>
              <w:top w:val="nil"/>
              <w:left w:val="single" w:sz="12" w:space="0" w:color="auto"/>
              <w:bottom w:val="single" w:sz="12" w:space="0" w:color="auto"/>
              <w:right w:val="single" w:sz="4" w:space="0" w:color="auto"/>
            </w:tcBorders>
            <w:shd w:val="clear" w:color="auto" w:fill="auto"/>
            <w:vAlign w:val="center"/>
            <w:hideMark/>
          </w:tcPr>
          <w:p w:rsidR="003A1D74" w:rsidRPr="00530939" w:rsidRDefault="003A1D74" w:rsidP="00E414FE">
            <w:pPr>
              <w:rPr>
                <w:rFonts w:ascii="Garamond" w:hAnsi="Garamond"/>
                <w:b/>
                <w:sz w:val="16"/>
                <w:szCs w:val="16"/>
              </w:rPr>
            </w:pPr>
            <w:r w:rsidRPr="00530939">
              <w:rPr>
                <w:rFonts w:ascii="Garamond" w:hAnsi="Garamond"/>
                <w:b/>
                <w:sz w:val="16"/>
                <w:szCs w:val="16"/>
              </w:rPr>
              <w:t>Target values</w:t>
            </w:r>
          </w:p>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p>
        </w:tc>
        <w:tc>
          <w:tcPr>
            <w:tcW w:w="518" w:type="pct"/>
            <w:tcBorders>
              <w:top w:val="nil"/>
              <w:left w:val="nil"/>
              <w:bottom w:val="single" w:sz="12" w:space="0" w:color="auto"/>
              <w:right w:val="single" w:sz="12" w:space="0" w:color="auto"/>
            </w:tcBorders>
            <w:shd w:val="clear" w:color="auto" w:fill="auto"/>
            <w:vAlign w:val="center"/>
            <w:hideMark/>
          </w:tcPr>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r w:rsidRPr="00530939">
              <w:rPr>
                <w:rFonts w:ascii="Garamond" w:eastAsia="Times New Roman" w:hAnsi="Garamond" w:cs="Calibri"/>
                <w:b/>
                <w:bCs/>
                <w:sz w:val="16"/>
                <w:szCs w:val="16"/>
                <w:lang w:eastAsia="en-US" w:bidi="ar-SA"/>
              </w:rPr>
              <w:t>Implemented</w:t>
            </w:r>
          </w:p>
        </w:tc>
        <w:tc>
          <w:tcPr>
            <w:tcW w:w="471" w:type="pct"/>
            <w:tcBorders>
              <w:top w:val="single" w:sz="12" w:space="0" w:color="auto"/>
              <w:left w:val="single" w:sz="12" w:space="0" w:color="auto"/>
              <w:bottom w:val="single" w:sz="12" w:space="0" w:color="000000"/>
              <w:right w:val="single" w:sz="12" w:space="0" w:color="auto"/>
            </w:tcBorders>
          </w:tcPr>
          <w:p w:rsidR="003A1D74" w:rsidRPr="00530939" w:rsidRDefault="003A1D74" w:rsidP="00E414FE">
            <w:pPr>
              <w:rPr>
                <w:rFonts w:ascii="Garamond" w:hAnsi="Garamond"/>
                <w:b/>
                <w:sz w:val="16"/>
                <w:szCs w:val="16"/>
              </w:rPr>
            </w:pPr>
            <w:r w:rsidRPr="00530939">
              <w:rPr>
                <w:rFonts w:ascii="Garamond" w:hAnsi="Garamond"/>
                <w:b/>
                <w:sz w:val="16"/>
                <w:szCs w:val="16"/>
              </w:rPr>
              <w:t>Target values</w:t>
            </w:r>
          </w:p>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p>
        </w:tc>
        <w:tc>
          <w:tcPr>
            <w:tcW w:w="471" w:type="pct"/>
            <w:tcBorders>
              <w:top w:val="single" w:sz="12" w:space="0" w:color="auto"/>
              <w:left w:val="single" w:sz="12" w:space="0" w:color="auto"/>
              <w:bottom w:val="single" w:sz="12" w:space="0" w:color="000000"/>
              <w:right w:val="single" w:sz="12" w:space="0" w:color="auto"/>
            </w:tcBorders>
          </w:tcPr>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r w:rsidRPr="00530939">
              <w:rPr>
                <w:rFonts w:ascii="Garamond" w:eastAsia="Times New Roman" w:hAnsi="Garamond" w:cs="Calibri"/>
                <w:b/>
                <w:bCs/>
                <w:sz w:val="16"/>
                <w:szCs w:val="16"/>
                <w:lang w:eastAsia="en-US" w:bidi="ar-SA"/>
              </w:rPr>
              <w:t>Implemented</w:t>
            </w:r>
          </w:p>
        </w:tc>
        <w:tc>
          <w:tcPr>
            <w:tcW w:w="420" w:type="pct"/>
            <w:tcBorders>
              <w:top w:val="single" w:sz="12" w:space="0" w:color="auto"/>
              <w:left w:val="single" w:sz="12" w:space="0" w:color="auto"/>
              <w:bottom w:val="single" w:sz="12" w:space="0" w:color="000000"/>
              <w:right w:val="single" w:sz="12" w:space="0" w:color="auto"/>
            </w:tcBorders>
          </w:tcPr>
          <w:p w:rsidR="003A1D74" w:rsidRPr="00530939" w:rsidRDefault="003A1D74" w:rsidP="00E414FE">
            <w:pPr>
              <w:rPr>
                <w:rFonts w:ascii="Garamond" w:hAnsi="Garamond"/>
                <w:b/>
                <w:sz w:val="16"/>
                <w:szCs w:val="16"/>
              </w:rPr>
            </w:pPr>
            <w:r w:rsidRPr="00530939">
              <w:rPr>
                <w:rFonts w:ascii="Garamond" w:hAnsi="Garamond"/>
                <w:b/>
                <w:sz w:val="16"/>
                <w:szCs w:val="16"/>
              </w:rPr>
              <w:t>Target values</w:t>
            </w:r>
          </w:p>
          <w:p w:rsidR="003A1D74" w:rsidRPr="00530939" w:rsidRDefault="003A1D74" w:rsidP="00E414FE">
            <w:pPr>
              <w:widowControl/>
              <w:autoSpaceDE/>
              <w:autoSpaceDN/>
              <w:jc w:val="center"/>
              <w:rPr>
                <w:rFonts w:ascii="Garamond" w:eastAsia="Times New Roman" w:hAnsi="Garamond" w:cs="Calibri"/>
                <w:b/>
                <w:bCs/>
                <w:sz w:val="16"/>
                <w:szCs w:val="16"/>
                <w:lang w:eastAsia="en-US" w:bidi="ar-SA"/>
              </w:rPr>
            </w:pPr>
          </w:p>
        </w:tc>
        <w:tc>
          <w:tcPr>
            <w:tcW w:w="465" w:type="pct"/>
            <w:tcBorders>
              <w:top w:val="single" w:sz="12" w:space="0" w:color="auto"/>
              <w:left w:val="single" w:sz="12" w:space="0" w:color="auto"/>
              <w:bottom w:val="single" w:sz="12" w:space="0" w:color="000000"/>
              <w:right w:val="single" w:sz="18" w:space="0" w:color="auto"/>
            </w:tcBorders>
          </w:tcPr>
          <w:p w:rsidR="003A1D74" w:rsidRPr="00530939" w:rsidRDefault="003A1D74" w:rsidP="00E414FE">
            <w:pPr>
              <w:widowControl/>
              <w:autoSpaceDE/>
              <w:autoSpaceDN/>
              <w:rPr>
                <w:rFonts w:ascii="Garamond" w:eastAsia="Times New Roman" w:hAnsi="Garamond" w:cs="Calibri"/>
                <w:b/>
                <w:bCs/>
                <w:sz w:val="16"/>
                <w:szCs w:val="16"/>
                <w:lang w:eastAsia="en-US" w:bidi="ar-SA"/>
              </w:rPr>
            </w:pPr>
            <w:r w:rsidRPr="00530939">
              <w:rPr>
                <w:rFonts w:ascii="Garamond" w:eastAsia="Times New Roman" w:hAnsi="Garamond" w:cs="Calibri"/>
                <w:b/>
                <w:bCs/>
                <w:sz w:val="16"/>
                <w:szCs w:val="16"/>
                <w:lang w:eastAsia="en-US" w:bidi="ar-SA"/>
              </w:rPr>
              <w:t xml:space="preserve">Implemented </w:t>
            </w:r>
          </w:p>
        </w:tc>
        <w:tc>
          <w:tcPr>
            <w:tcW w:w="296" w:type="pct"/>
            <w:gridSpan w:val="2"/>
            <w:vMerge/>
            <w:tcBorders>
              <w:left w:val="single" w:sz="12" w:space="0" w:color="auto"/>
              <w:bottom w:val="single" w:sz="12" w:space="0" w:color="000000"/>
              <w:right w:val="single" w:sz="18" w:space="0" w:color="auto"/>
            </w:tcBorders>
            <w:vAlign w:val="center"/>
            <w:hideMark/>
          </w:tcPr>
          <w:p w:rsidR="003A1D74" w:rsidRPr="005B41A8" w:rsidRDefault="003A1D74" w:rsidP="00E414FE">
            <w:pPr>
              <w:widowControl/>
              <w:autoSpaceDE/>
              <w:autoSpaceDN/>
              <w:jc w:val="both"/>
              <w:rPr>
                <w:rFonts w:ascii="Garamond" w:eastAsia="Times New Roman" w:hAnsi="Garamond" w:cs="Calibri"/>
                <w:b/>
                <w:bCs/>
                <w:sz w:val="16"/>
                <w:szCs w:val="16"/>
                <w:lang w:eastAsia="en-US" w:bidi="ar-SA"/>
              </w:rPr>
            </w:pPr>
          </w:p>
        </w:tc>
      </w:tr>
      <w:tr w:rsidR="004B118C" w:rsidRPr="003A1D74" w:rsidTr="003A1D74">
        <w:trPr>
          <w:trHeight w:val="700"/>
          <w:jc w:val="center"/>
        </w:trPr>
        <w:tc>
          <w:tcPr>
            <w:tcW w:w="430" w:type="pct"/>
            <w:tcBorders>
              <w:top w:val="nil"/>
              <w:left w:val="single" w:sz="18" w:space="0" w:color="auto"/>
              <w:bottom w:val="single" w:sz="18" w:space="0" w:color="auto"/>
              <w:right w:val="single" w:sz="12" w:space="0" w:color="auto"/>
            </w:tcBorders>
            <w:shd w:val="clear" w:color="auto" w:fill="auto"/>
            <w:vAlign w:val="center"/>
            <w:hideMark/>
          </w:tcPr>
          <w:p w:rsidR="004B118C" w:rsidRPr="003A1D74" w:rsidRDefault="004B118C" w:rsidP="00E414FE">
            <w:pPr>
              <w:rPr>
                <w:rFonts w:ascii="Garamond" w:hAnsi="Garamond"/>
                <w:sz w:val="16"/>
                <w:szCs w:val="16"/>
              </w:rPr>
            </w:pPr>
            <w:r w:rsidRPr="003A1D74">
              <w:rPr>
                <w:rFonts w:ascii="Garamond" w:hAnsi="Garamond"/>
                <w:sz w:val="16"/>
                <w:szCs w:val="16"/>
              </w:rPr>
              <w:t>Level of detail in public presentation of capital budget</w:t>
            </w:r>
          </w:p>
          <w:p w:rsidR="004B118C" w:rsidRPr="003A1D74" w:rsidRDefault="004B118C" w:rsidP="00E414FE">
            <w:pPr>
              <w:widowControl/>
              <w:autoSpaceDE/>
              <w:autoSpaceDN/>
              <w:jc w:val="both"/>
              <w:rPr>
                <w:rFonts w:ascii="Garamond" w:eastAsia="Times New Roman" w:hAnsi="Garamond" w:cs="Calibri"/>
                <w:color w:val="000000"/>
                <w:sz w:val="16"/>
                <w:szCs w:val="16"/>
                <w:lang w:eastAsia="en-US" w:bidi="ar-SA"/>
              </w:rPr>
            </w:pPr>
          </w:p>
        </w:tc>
        <w:tc>
          <w:tcPr>
            <w:tcW w:w="473" w:type="pct"/>
            <w:gridSpan w:val="2"/>
            <w:tcBorders>
              <w:top w:val="nil"/>
              <w:left w:val="single" w:sz="12" w:space="0" w:color="auto"/>
              <w:bottom w:val="single" w:sz="18" w:space="0" w:color="auto"/>
              <w:right w:val="single" w:sz="12" w:space="0" w:color="auto"/>
            </w:tcBorders>
            <w:shd w:val="clear" w:color="auto" w:fill="auto"/>
            <w:vAlign w:val="center"/>
            <w:hideMark/>
          </w:tcPr>
          <w:p w:rsidR="004B118C" w:rsidRPr="003A1D74" w:rsidRDefault="004B118C" w:rsidP="003A1D74">
            <w:pPr>
              <w:rPr>
                <w:rFonts w:ascii="Garamond" w:eastAsia="Times New Roman" w:hAnsi="Garamond" w:cs="Calibri"/>
                <w:color w:val="000000"/>
                <w:sz w:val="16"/>
                <w:szCs w:val="16"/>
                <w:lang w:eastAsia="en-US" w:bidi="ar-SA"/>
              </w:rPr>
            </w:pPr>
            <w:r w:rsidRPr="003A1D74">
              <w:rPr>
                <w:rFonts w:ascii="Garamond" w:hAnsi="Garamond"/>
                <w:sz w:val="16"/>
                <w:szCs w:val="16"/>
              </w:rPr>
              <w:t>Projects in the capital budget presented grouped by areas (educ</w:t>
            </w:r>
            <w:r>
              <w:rPr>
                <w:rFonts w:ascii="Garamond" w:hAnsi="Garamond"/>
                <w:sz w:val="16"/>
                <w:szCs w:val="16"/>
              </w:rPr>
              <w:t>ation, health, culture, sports …</w:t>
            </w:r>
            <w:r w:rsidRPr="003A1D74">
              <w:rPr>
                <w:rFonts w:ascii="Garamond" w:hAnsi="Garamond"/>
                <w:sz w:val="16"/>
                <w:szCs w:val="16"/>
              </w:rPr>
              <w:t>)</w:t>
            </w:r>
          </w:p>
        </w:tc>
        <w:tc>
          <w:tcPr>
            <w:tcW w:w="425" w:type="pct"/>
            <w:tcBorders>
              <w:top w:val="nil"/>
              <w:left w:val="single" w:sz="12" w:space="0" w:color="auto"/>
              <w:bottom w:val="single" w:sz="18" w:space="0" w:color="auto"/>
              <w:right w:val="single" w:sz="4" w:space="0" w:color="auto"/>
            </w:tcBorders>
            <w:shd w:val="clear" w:color="auto" w:fill="auto"/>
            <w:vAlign w:val="center"/>
            <w:hideMark/>
          </w:tcPr>
          <w:p w:rsidR="004B118C" w:rsidRPr="003A1D74" w:rsidRDefault="004B118C" w:rsidP="003A1D74">
            <w:pPr>
              <w:rPr>
                <w:rFonts w:ascii="Garamond" w:hAnsi="Garamond"/>
                <w:sz w:val="16"/>
                <w:szCs w:val="16"/>
              </w:rPr>
            </w:pPr>
            <w:r w:rsidRPr="003A1D74">
              <w:rPr>
                <w:rFonts w:ascii="Garamond" w:hAnsi="Garamond"/>
                <w:sz w:val="16"/>
                <w:szCs w:val="16"/>
              </w:rPr>
              <w:t>Overview of all individual projects implemented in the budget year</w:t>
            </w:r>
          </w:p>
          <w:p w:rsidR="004B118C" w:rsidRPr="003A1D74" w:rsidRDefault="004B118C" w:rsidP="003A1D74">
            <w:pPr>
              <w:widowControl/>
              <w:autoSpaceDE/>
              <w:autoSpaceDN/>
              <w:jc w:val="center"/>
              <w:rPr>
                <w:rFonts w:ascii="Garamond" w:eastAsia="Times New Roman" w:hAnsi="Garamond" w:cs="Calibri"/>
                <w:color w:val="000000"/>
                <w:sz w:val="16"/>
                <w:szCs w:val="16"/>
                <w:lang w:eastAsia="en-US" w:bidi="ar-SA"/>
              </w:rPr>
            </w:pPr>
          </w:p>
        </w:tc>
        <w:tc>
          <w:tcPr>
            <w:tcW w:w="565" w:type="pct"/>
            <w:tcBorders>
              <w:top w:val="nil"/>
              <w:left w:val="nil"/>
              <w:bottom w:val="single" w:sz="18" w:space="0" w:color="auto"/>
              <w:right w:val="single" w:sz="12" w:space="0" w:color="auto"/>
            </w:tcBorders>
            <w:shd w:val="clear" w:color="auto" w:fill="auto"/>
            <w:vAlign w:val="center"/>
            <w:hideMark/>
          </w:tcPr>
          <w:p w:rsidR="004B118C" w:rsidRPr="003A1D74" w:rsidRDefault="004B118C" w:rsidP="003A1D74">
            <w:pPr>
              <w:rPr>
                <w:rFonts w:ascii="Garamond" w:hAnsi="Garamond"/>
                <w:sz w:val="16"/>
                <w:szCs w:val="16"/>
              </w:rPr>
            </w:pPr>
            <w:r w:rsidRPr="003A1D74">
              <w:rPr>
                <w:rFonts w:ascii="Garamond" w:hAnsi="Garamond"/>
                <w:sz w:val="16"/>
                <w:szCs w:val="16"/>
              </w:rPr>
              <w:t>Projects in the capital budget presented grouped by areas (educ</w:t>
            </w:r>
            <w:r>
              <w:rPr>
                <w:rFonts w:ascii="Garamond" w:hAnsi="Garamond"/>
                <w:sz w:val="16"/>
                <w:szCs w:val="16"/>
              </w:rPr>
              <w:t>ation, health, culture, sports…</w:t>
            </w:r>
            <w:r w:rsidRPr="003A1D74">
              <w:rPr>
                <w:rFonts w:ascii="Garamond" w:hAnsi="Garamond"/>
                <w:sz w:val="16"/>
                <w:szCs w:val="16"/>
              </w:rPr>
              <w:t>)</w:t>
            </w:r>
          </w:p>
          <w:p w:rsidR="004B118C" w:rsidRPr="003A1D74" w:rsidRDefault="004B118C" w:rsidP="003A1D74">
            <w:pPr>
              <w:widowControl/>
              <w:autoSpaceDE/>
              <w:autoSpaceDN/>
              <w:jc w:val="center"/>
              <w:rPr>
                <w:rFonts w:ascii="Garamond" w:eastAsia="Times New Roman" w:hAnsi="Garamond" w:cs="Calibri"/>
                <w:color w:val="000000"/>
                <w:sz w:val="16"/>
                <w:szCs w:val="16"/>
                <w:lang w:eastAsia="en-US" w:bidi="ar-SA"/>
              </w:rPr>
            </w:pPr>
          </w:p>
        </w:tc>
        <w:tc>
          <w:tcPr>
            <w:tcW w:w="466" w:type="pct"/>
            <w:tcBorders>
              <w:top w:val="nil"/>
              <w:left w:val="single" w:sz="12" w:space="0" w:color="auto"/>
              <w:bottom w:val="single" w:sz="18" w:space="0" w:color="auto"/>
              <w:right w:val="single" w:sz="4" w:space="0" w:color="auto"/>
            </w:tcBorders>
            <w:shd w:val="clear" w:color="auto" w:fill="auto"/>
            <w:vAlign w:val="center"/>
            <w:hideMark/>
          </w:tcPr>
          <w:p w:rsidR="004B118C" w:rsidRPr="003A1D74" w:rsidRDefault="004B118C" w:rsidP="00E414FE">
            <w:pPr>
              <w:rPr>
                <w:rFonts w:ascii="Garamond" w:hAnsi="Garamond"/>
                <w:sz w:val="16"/>
                <w:szCs w:val="16"/>
              </w:rPr>
            </w:pPr>
            <w:r w:rsidRPr="003A1D74">
              <w:rPr>
                <w:rFonts w:ascii="Garamond" w:hAnsi="Garamond"/>
                <w:sz w:val="16"/>
                <w:szCs w:val="16"/>
              </w:rPr>
              <w:t>Overview of all individual projects implemented in the budget year</w:t>
            </w:r>
          </w:p>
          <w:p w:rsidR="004B118C" w:rsidRPr="003A1D74" w:rsidRDefault="004B118C" w:rsidP="00E414FE">
            <w:pPr>
              <w:widowControl/>
              <w:autoSpaceDE/>
              <w:autoSpaceDN/>
              <w:jc w:val="center"/>
              <w:rPr>
                <w:rFonts w:ascii="Garamond" w:eastAsia="Times New Roman" w:hAnsi="Garamond" w:cs="Calibri"/>
                <w:color w:val="000000"/>
                <w:sz w:val="16"/>
                <w:szCs w:val="16"/>
                <w:lang w:eastAsia="en-US" w:bidi="ar-SA"/>
              </w:rPr>
            </w:pPr>
          </w:p>
        </w:tc>
        <w:tc>
          <w:tcPr>
            <w:tcW w:w="518" w:type="pct"/>
            <w:tcBorders>
              <w:top w:val="nil"/>
              <w:left w:val="nil"/>
              <w:bottom w:val="single" w:sz="18" w:space="0" w:color="auto"/>
              <w:right w:val="single" w:sz="12" w:space="0" w:color="auto"/>
            </w:tcBorders>
            <w:shd w:val="clear" w:color="auto" w:fill="auto"/>
            <w:vAlign w:val="center"/>
            <w:hideMark/>
          </w:tcPr>
          <w:p w:rsidR="004B118C" w:rsidRPr="003A1D74" w:rsidRDefault="004B118C" w:rsidP="00E414FE">
            <w:pPr>
              <w:rPr>
                <w:rFonts w:ascii="Garamond" w:hAnsi="Garamond"/>
                <w:sz w:val="16"/>
                <w:szCs w:val="16"/>
              </w:rPr>
            </w:pPr>
            <w:r w:rsidRPr="003A1D74">
              <w:rPr>
                <w:rFonts w:ascii="Garamond" w:hAnsi="Garamond"/>
                <w:sz w:val="16"/>
                <w:szCs w:val="16"/>
              </w:rPr>
              <w:t>Projects in the capital budget presented grouped by areas (educ</w:t>
            </w:r>
            <w:r>
              <w:rPr>
                <w:rFonts w:ascii="Garamond" w:hAnsi="Garamond"/>
                <w:sz w:val="16"/>
                <w:szCs w:val="16"/>
              </w:rPr>
              <w:t>ation, health, culture, sports…</w:t>
            </w:r>
            <w:r w:rsidRPr="003A1D74">
              <w:rPr>
                <w:rFonts w:ascii="Garamond" w:hAnsi="Garamond"/>
                <w:sz w:val="16"/>
                <w:szCs w:val="16"/>
              </w:rPr>
              <w:t>)</w:t>
            </w:r>
          </w:p>
          <w:p w:rsidR="004B118C" w:rsidRPr="003A1D74" w:rsidRDefault="004B118C" w:rsidP="00E414FE">
            <w:pPr>
              <w:widowControl/>
              <w:autoSpaceDE/>
              <w:autoSpaceDN/>
              <w:jc w:val="center"/>
              <w:rPr>
                <w:rFonts w:ascii="Garamond" w:eastAsia="Times New Roman" w:hAnsi="Garamond" w:cs="Calibri"/>
                <w:color w:val="000000"/>
                <w:sz w:val="16"/>
                <w:szCs w:val="16"/>
                <w:lang w:eastAsia="en-US" w:bidi="ar-SA"/>
              </w:rPr>
            </w:pPr>
          </w:p>
        </w:tc>
        <w:tc>
          <w:tcPr>
            <w:tcW w:w="471" w:type="pct"/>
            <w:tcBorders>
              <w:top w:val="nil"/>
              <w:left w:val="single" w:sz="12" w:space="0" w:color="auto"/>
              <w:bottom w:val="single" w:sz="18" w:space="0" w:color="auto"/>
              <w:right w:val="single" w:sz="2" w:space="0" w:color="auto"/>
            </w:tcBorders>
            <w:vAlign w:val="center"/>
          </w:tcPr>
          <w:p w:rsidR="004B118C" w:rsidRPr="003A1D74" w:rsidRDefault="004B118C" w:rsidP="00E414FE">
            <w:pPr>
              <w:rPr>
                <w:rFonts w:ascii="Garamond" w:hAnsi="Garamond"/>
                <w:sz w:val="16"/>
                <w:szCs w:val="16"/>
              </w:rPr>
            </w:pPr>
            <w:r w:rsidRPr="003A1D74">
              <w:rPr>
                <w:rFonts w:ascii="Garamond" w:hAnsi="Garamond"/>
                <w:sz w:val="16"/>
                <w:szCs w:val="16"/>
              </w:rPr>
              <w:t>Overview of all individual projects implemented in the budget year</w:t>
            </w:r>
          </w:p>
          <w:p w:rsidR="004B118C" w:rsidRPr="003A1D74" w:rsidRDefault="004B118C" w:rsidP="00E414FE">
            <w:pPr>
              <w:widowControl/>
              <w:autoSpaceDE/>
              <w:autoSpaceDN/>
              <w:jc w:val="center"/>
              <w:rPr>
                <w:rFonts w:ascii="Garamond" w:eastAsia="Times New Roman" w:hAnsi="Garamond" w:cs="Calibri"/>
                <w:color w:val="000000"/>
                <w:sz w:val="16"/>
                <w:szCs w:val="16"/>
                <w:lang w:eastAsia="en-US" w:bidi="ar-SA"/>
              </w:rPr>
            </w:pPr>
          </w:p>
        </w:tc>
        <w:tc>
          <w:tcPr>
            <w:tcW w:w="471" w:type="pct"/>
            <w:tcBorders>
              <w:top w:val="nil"/>
              <w:left w:val="single" w:sz="2" w:space="0" w:color="auto"/>
              <w:bottom w:val="single" w:sz="18" w:space="0" w:color="auto"/>
              <w:right w:val="single" w:sz="12" w:space="0" w:color="auto"/>
            </w:tcBorders>
            <w:vAlign w:val="center"/>
          </w:tcPr>
          <w:p w:rsidR="004B118C" w:rsidRPr="003A1D74" w:rsidRDefault="004B118C" w:rsidP="00E414FE">
            <w:pPr>
              <w:rPr>
                <w:rFonts w:ascii="Garamond" w:hAnsi="Garamond"/>
                <w:sz w:val="16"/>
                <w:szCs w:val="16"/>
              </w:rPr>
            </w:pPr>
            <w:r w:rsidRPr="003A1D74">
              <w:rPr>
                <w:rFonts w:ascii="Garamond" w:hAnsi="Garamond"/>
                <w:sz w:val="16"/>
                <w:szCs w:val="16"/>
              </w:rPr>
              <w:t>Projects in the capital budget presented grouped by areas (educ</w:t>
            </w:r>
            <w:r>
              <w:rPr>
                <w:rFonts w:ascii="Garamond" w:hAnsi="Garamond"/>
                <w:sz w:val="16"/>
                <w:szCs w:val="16"/>
              </w:rPr>
              <w:t>ation, health, culture, sports…</w:t>
            </w:r>
            <w:r w:rsidRPr="003A1D74">
              <w:rPr>
                <w:rFonts w:ascii="Garamond" w:hAnsi="Garamond"/>
                <w:sz w:val="16"/>
                <w:szCs w:val="16"/>
              </w:rPr>
              <w:t>)</w:t>
            </w:r>
          </w:p>
          <w:p w:rsidR="004B118C" w:rsidRPr="003A1D74" w:rsidRDefault="004B118C" w:rsidP="00E414FE">
            <w:pPr>
              <w:widowControl/>
              <w:autoSpaceDE/>
              <w:autoSpaceDN/>
              <w:jc w:val="center"/>
              <w:rPr>
                <w:rFonts w:ascii="Garamond" w:eastAsia="Times New Roman" w:hAnsi="Garamond" w:cs="Calibri"/>
                <w:color w:val="000000"/>
                <w:sz w:val="16"/>
                <w:szCs w:val="16"/>
                <w:lang w:eastAsia="en-US" w:bidi="ar-SA"/>
              </w:rPr>
            </w:pPr>
          </w:p>
        </w:tc>
        <w:tc>
          <w:tcPr>
            <w:tcW w:w="420" w:type="pct"/>
            <w:tcBorders>
              <w:top w:val="nil"/>
              <w:left w:val="single" w:sz="12" w:space="0" w:color="auto"/>
              <w:bottom w:val="single" w:sz="18" w:space="0" w:color="auto"/>
              <w:right w:val="single" w:sz="12" w:space="0" w:color="auto"/>
            </w:tcBorders>
            <w:vAlign w:val="center"/>
          </w:tcPr>
          <w:p w:rsidR="004B118C" w:rsidRPr="003A1D74" w:rsidRDefault="004B118C" w:rsidP="003A1D74">
            <w:pPr>
              <w:widowControl/>
              <w:autoSpaceDE/>
              <w:autoSpaceDN/>
              <w:jc w:val="center"/>
              <w:rPr>
                <w:rFonts w:ascii="Garamond" w:eastAsia="游明朝" w:hAnsi="Garamond" w:cs="Calibri"/>
                <w:sz w:val="18"/>
                <w:szCs w:val="18"/>
                <w:lang w:eastAsia="en-US" w:bidi="ar-SA"/>
              </w:rPr>
            </w:pPr>
            <w:r>
              <w:rPr>
                <w:rFonts w:ascii="Garamond" w:eastAsia="游明朝" w:hAnsi="Garamond" w:cs="Calibri"/>
                <w:sz w:val="18"/>
                <w:szCs w:val="18"/>
                <w:lang w:eastAsia="en-US" w:bidi="ar-SA"/>
              </w:rPr>
              <w:t>Level 3</w:t>
            </w:r>
          </w:p>
        </w:tc>
        <w:tc>
          <w:tcPr>
            <w:tcW w:w="470" w:type="pct"/>
            <w:gridSpan w:val="2"/>
            <w:tcBorders>
              <w:top w:val="nil"/>
              <w:left w:val="single" w:sz="12" w:space="0" w:color="auto"/>
              <w:bottom w:val="single" w:sz="18" w:space="0" w:color="auto"/>
              <w:right w:val="single" w:sz="18" w:space="0" w:color="auto"/>
            </w:tcBorders>
            <w:vAlign w:val="center"/>
          </w:tcPr>
          <w:p w:rsidR="004B118C" w:rsidRPr="003A1D74" w:rsidRDefault="004B118C" w:rsidP="00E414FE">
            <w:pPr>
              <w:rPr>
                <w:rFonts w:ascii="Garamond" w:hAnsi="Garamond"/>
                <w:sz w:val="16"/>
                <w:szCs w:val="16"/>
              </w:rPr>
            </w:pPr>
            <w:r w:rsidRPr="003A1D74">
              <w:rPr>
                <w:rFonts w:ascii="Garamond" w:hAnsi="Garamond"/>
                <w:sz w:val="16"/>
                <w:szCs w:val="16"/>
              </w:rPr>
              <w:t>Projects in the capital budget presented grouped by areas (educ</w:t>
            </w:r>
            <w:r>
              <w:rPr>
                <w:rFonts w:ascii="Garamond" w:hAnsi="Garamond"/>
                <w:sz w:val="16"/>
                <w:szCs w:val="16"/>
              </w:rPr>
              <w:t>ation, health, culture, sports…</w:t>
            </w:r>
            <w:r w:rsidRPr="003A1D74">
              <w:rPr>
                <w:rFonts w:ascii="Garamond" w:hAnsi="Garamond"/>
                <w:sz w:val="16"/>
                <w:szCs w:val="16"/>
              </w:rPr>
              <w:t>)</w:t>
            </w:r>
          </w:p>
          <w:p w:rsidR="004B118C" w:rsidRPr="003A1D74" w:rsidRDefault="004B118C" w:rsidP="00E414FE">
            <w:pPr>
              <w:widowControl/>
              <w:autoSpaceDE/>
              <w:autoSpaceDN/>
              <w:jc w:val="center"/>
              <w:rPr>
                <w:rFonts w:ascii="Garamond" w:eastAsia="Times New Roman" w:hAnsi="Garamond" w:cs="Calibri"/>
                <w:color w:val="000000"/>
                <w:sz w:val="16"/>
                <w:szCs w:val="16"/>
                <w:lang w:eastAsia="en-US" w:bidi="ar-SA"/>
              </w:rPr>
            </w:pPr>
          </w:p>
        </w:tc>
        <w:tc>
          <w:tcPr>
            <w:tcW w:w="291" w:type="pct"/>
            <w:tcBorders>
              <w:top w:val="nil"/>
              <w:left w:val="single" w:sz="12" w:space="0" w:color="auto"/>
              <w:bottom w:val="single" w:sz="18" w:space="0" w:color="auto"/>
              <w:right w:val="single" w:sz="18" w:space="0" w:color="auto"/>
            </w:tcBorders>
            <w:shd w:val="clear" w:color="auto" w:fill="auto"/>
            <w:vAlign w:val="center"/>
            <w:hideMark/>
          </w:tcPr>
          <w:p w:rsidR="004B118C" w:rsidRPr="003A1D74" w:rsidRDefault="004B118C" w:rsidP="003A1D74">
            <w:pPr>
              <w:widowControl/>
              <w:autoSpaceDE/>
              <w:autoSpaceDN/>
              <w:jc w:val="center"/>
              <w:rPr>
                <w:rFonts w:ascii="Garamond" w:eastAsia="游明朝" w:hAnsi="Garamond" w:cs="Calibri"/>
                <w:noProof/>
                <w:sz w:val="18"/>
                <w:szCs w:val="18"/>
                <w:lang w:eastAsia="ja-JP" w:bidi="ar-SA"/>
              </w:rPr>
            </w:pPr>
            <w:r w:rsidRPr="004B118C">
              <w:rPr>
                <w:rFonts w:ascii="Garamond" w:eastAsia="游明朝" w:hAnsi="Garamond" w:cs="Calibri"/>
                <w:noProof/>
                <w:sz w:val="18"/>
                <w:szCs w:val="18"/>
                <w:lang w:eastAsia="ja-JP" w:bidi="ar-SA"/>
              </w:rPr>
              <w:drawing>
                <wp:inline distT="0" distB="0" distL="0" distR="0">
                  <wp:extent cx="255270" cy="233680"/>
                  <wp:effectExtent l="0" t="0" r="0" b="0"/>
                  <wp:docPr id="23" name="Picture 31" descr="Description: 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Description: Description: Description: C:\Users\owner\Desktop\crvena strelica - manja.png"/>
                          <pic:cNvPicPr>
                            <a:picLocks noChangeAspect="1" noChangeArrowheads="1"/>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5270" cy="233680"/>
                          </a:xfrm>
                          <a:prstGeom prst="rect">
                            <a:avLst/>
                          </a:prstGeom>
                          <a:noFill/>
                          <a:ln>
                            <a:noFill/>
                          </a:ln>
                        </pic:spPr>
                      </pic:pic>
                    </a:graphicData>
                  </a:graphic>
                </wp:inline>
              </w:drawing>
            </w:r>
          </w:p>
        </w:tc>
      </w:tr>
      <w:tr w:rsidR="004B118C" w:rsidRPr="003A1D74" w:rsidTr="003A1D74">
        <w:trPr>
          <w:trHeight w:val="700"/>
          <w:jc w:val="center"/>
        </w:trPr>
        <w:tc>
          <w:tcPr>
            <w:tcW w:w="430" w:type="pct"/>
            <w:tcBorders>
              <w:top w:val="nil"/>
              <w:left w:val="single" w:sz="18" w:space="0" w:color="auto"/>
              <w:bottom w:val="single" w:sz="18" w:space="0" w:color="auto"/>
              <w:right w:val="single" w:sz="12" w:space="0" w:color="auto"/>
            </w:tcBorders>
            <w:shd w:val="clear" w:color="auto" w:fill="auto"/>
            <w:vAlign w:val="center"/>
            <w:hideMark/>
          </w:tcPr>
          <w:p w:rsidR="004B118C" w:rsidRPr="003A1D74" w:rsidRDefault="00530939" w:rsidP="003A1D74">
            <w:pPr>
              <w:widowControl/>
              <w:autoSpaceDE/>
              <w:autoSpaceDN/>
              <w:jc w:val="both"/>
              <w:rPr>
                <w:rFonts w:ascii="Garamond" w:eastAsia="Times New Roman" w:hAnsi="Garamond" w:cs="Calibri"/>
                <w:color w:val="000000"/>
                <w:sz w:val="16"/>
                <w:szCs w:val="16"/>
                <w:lang w:eastAsia="en-US" w:bidi="ar-SA"/>
              </w:rPr>
            </w:pPr>
            <w:r w:rsidRPr="00530939">
              <w:rPr>
                <w:rFonts w:ascii="Garamond" w:hAnsi="Garamond"/>
                <w:sz w:val="16"/>
                <w:szCs w:val="16"/>
              </w:rPr>
              <w:t>Actual capital spending in the current year as a share of the capital budget plan</w:t>
            </w:r>
          </w:p>
        </w:tc>
        <w:tc>
          <w:tcPr>
            <w:tcW w:w="473" w:type="pct"/>
            <w:gridSpan w:val="2"/>
            <w:tcBorders>
              <w:top w:val="nil"/>
              <w:left w:val="single" w:sz="12" w:space="0" w:color="auto"/>
              <w:bottom w:val="single" w:sz="18" w:space="0" w:color="auto"/>
              <w:right w:val="single" w:sz="12" w:space="0" w:color="auto"/>
            </w:tcBorders>
            <w:shd w:val="clear" w:color="auto" w:fill="auto"/>
            <w:vAlign w:val="center"/>
            <w:hideMark/>
          </w:tcPr>
          <w:p w:rsidR="004B118C" w:rsidRPr="003A1D74" w:rsidRDefault="004B118C" w:rsidP="003A1D74">
            <w:pPr>
              <w:widowControl/>
              <w:autoSpaceDE/>
              <w:autoSpaceDN/>
              <w:jc w:val="center"/>
              <w:rPr>
                <w:rFonts w:ascii="Garamond" w:eastAsia="Times New Roman" w:hAnsi="Garamond" w:cs="Calibri"/>
                <w:color w:val="000000"/>
                <w:sz w:val="18"/>
                <w:szCs w:val="18"/>
                <w:lang w:eastAsia="en-US" w:bidi="ar-SA"/>
              </w:rPr>
            </w:pPr>
            <w:r w:rsidRPr="003A1D74">
              <w:rPr>
                <w:rFonts w:ascii="Garamond" w:eastAsia="Times New Roman" w:hAnsi="Garamond" w:cs="Calibri"/>
                <w:color w:val="000000"/>
                <w:sz w:val="18"/>
                <w:szCs w:val="18"/>
                <w:lang w:eastAsia="en-US" w:bidi="ar-SA"/>
              </w:rPr>
              <w:t>70%</w:t>
            </w:r>
          </w:p>
        </w:tc>
        <w:tc>
          <w:tcPr>
            <w:tcW w:w="425" w:type="pct"/>
            <w:tcBorders>
              <w:top w:val="nil"/>
              <w:left w:val="single" w:sz="12" w:space="0" w:color="auto"/>
              <w:bottom w:val="single" w:sz="18" w:space="0" w:color="auto"/>
              <w:right w:val="single" w:sz="4" w:space="0" w:color="auto"/>
            </w:tcBorders>
            <w:shd w:val="clear" w:color="auto" w:fill="auto"/>
            <w:vAlign w:val="center"/>
            <w:hideMark/>
          </w:tcPr>
          <w:p w:rsidR="004B118C" w:rsidRPr="003A1D74" w:rsidRDefault="004B118C" w:rsidP="003A1D74">
            <w:pPr>
              <w:widowControl/>
              <w:autoSpaceDE/>
              <w:autoSpaceDN/>
              <w:jc w:val="center"/>
              <w:rPr>
                <w:rFonts w:ascii="Garamond" w:eastAsia="Times New Roman" w:hAnsi="Garamond" w:cs="Calibri"/>
                <w:color w:val="000000"/>
                <w:sz w:val="18"/>
                <w:szCs w:val="18"/>
                <w:lang w:eastAsia="en-US" w:bidi="ar-SA"/>
              </w:rPr>
            </w:pPr>
            <w:r w:rsidRPr="003A1D74">
              <w:rPr>
                <w:rFonts w:ascii="Garamond" w:eastAsia="Times New Roman" w:hAnsi="Garamond" w:cs="Calibri"/>
                <w:color w:val="000000"/>
                <w:sz w:val="18"/>
                <w:szCs w:val="18"/>
                <w:lang w:eastAsia="en-US" w:bidi="ar-SA"/>
              </w:rPr>
              <w:t>80%</w:t>
            </w:r>
          </w:p>
        </w:tc>
        <w:tc>
          <w:tcPr>
            <w:tcW w:w="565" w:type="pct"/>
            <w:tcBorders>
              <w:top w:val="nil"/>
              <w:left w:val="nil"/>
              <w:bottom w:val="single" w:sz="18" w:space="0" w:color="auto"/>
              <w:right w:val="single" w:sz="12" w:space="0" w:color="auto"/>
            </w:tcBorders>
            <w:shd w:val="clear" w:color="auto" w:fill="auto"/>
            <w:vAlign w:val="center"/>
            <w:hideMark/>
          </w:tcPr>
          <w:p w:rsidR="004B118C" w:rsidRPr="003A1D74" w:rsidRDefault="004B118C" w:rsidP="003A1D74">
            <w:pPr>
              <w:widowControl/>
              <w:autoSpaceDE/>
              <w:autoSpaceDN/>
              <w:jc w:val="center"/>
              <w:rPr>
                <w:rFonts w:ascii="Garamond" w:eastAsia="Times New Roman" w:hAnsi="Garamond" w:cs="Calibri"/>
                <w:color w:val="000000"/>
                <w:sz w:val="18"/>
                <w:szCs w:val="18"/>
                <w:lang w:eastAsia="en-US" w:bidi="ar-SA"/>
              </w:rPr>
            </w:pPr>
            <w:r w:rsidRPr="003A1D74">
              <w:rPr>
                <w:rFonts w:ascii="Garamond" w:eastAsia="Times New Roman" w:hAnsi="Garamond" w:cs="Calibri"/>
                <w:color w:val="000000"/>
                <w:sz w:val="18"/>
                <w:szCs w:val="18"/>
                <w:lang w:eastAsia="en-US" w:bidi="ar-SA"/>
              </w:rPr>
              <w:t>82%</w:t>
            </w:r>
          </w:p>
        </w:tc>
        <w:tc>
          <w:tcPr>
            <w:tcW w:w="466" w:type="pct"/>
            <w:tcBorders>
              <w:top w:val="nil"/>
              <w:left w:val="single" w:sz="12" w:space="0" w:color="auto"/>
              <w:bottom w:val="single" w:sz="18" w:space="0" w:color="auto"/>
              <w:right w:val="single" w:sz="4" w:space="0" w:color="auto"/>
            </w:tcBorders>
            <w:shd w:val="clear" w:color="auto" w:fill="auto"/>
            <w:vAlign w:val="center"/>
            <w:hideMark/>
          </w:tcPr>
          <w:p w:rsidR="004B118C" w:rsidRPr="003A1D74" w:rsidRDefault="004B118C" w:rsidP="003A1D74">
            <w:pPr>
              <w:widowControl/>
              <w:autoSpaceDE/>
              <w:autoSpaceDN/>
              <w:jc w:val="center"/>
              <w:rPr>
                <w:rFonts w:ascii="Garamond" w:eastAsia="Times New Roman" w:hAnsi="Garamond" w:cs="Calibri"/>
                <w:color w:val="000000"/>
                <w:sz w:val="18"/>
                <w:szCs w:val="18"/>
                <w:lang w:eastAsia="en-US" w:bidi="ar-SA"/>
              </w:rPr>
            </w:pPr>
            <w:r w:rsidRPr="003A1D74">
              <w:rPr>
                <w:rFonts w:ascii="Garamond" w:eastAsia="Times New Roman" w:hAnsi="Garamond" w:cs="Calibri"/>
                <w:color w:val="000000"/>
                <w:sz w:val="18"/>
                <w:szCs w:val="18"/>
                <w:lang w:eastAsia="en-US" w:bidi="ar-SA"/>
              </w:rPr>
              <w:t>80%</w:t>
            </w:r>
          </w:p>
        </w:tc>
        <w:tc>
          <w:tcPr>
            <w:tcW w:w="518" w:type="pct"/>
            <w:tcBorders>
              <w:top w:val="nil"/>
              <w:left w:val="nil"/>
              <w:bottom w:val="single" w:sz="18" w:space="0" w:color="auto"/>
              <w:right w:val="single" w:sz="12" w:space="0" w:color="auto"/>
            </w:tcBorders>
            <w:shd w:val="clear" w:color="auto" w:fill="auto"/>
            <w:vAlign w:val="center"/>
            <w:hideMark/>
          </w:tcPr>
          <w:p w:rsidR="004B118C" w:rsidRPr="003A1D74" w:rsidRDefault="004B118C" w:rsidP="003A1D74">
            <w:pPr>
              <w:widowControl/>
              <w:autoSpaceDE/>
              <w:autoSpaceDN/>
              <w:jc w:val="center"/>
              <w:rPr>
                <w:rFonts w:ascii="Garamond" w:eastAsia="Times New Roman" w:hAnsi="Garamond" w:cs="Calibri"/>
                <w:color w:val="000000"/>
                <w:sz w:val="18"/>
                <w:szCs w:val="18"/>
                <w:lang w:eastAsia="en-US" w:bidi="ar-SA"/>
              </w:rPr>
            </w:pPr>
            <w:r w:rsidRPr="003A1D74">
              <w:rPr>
                <w:rFonts w:ascii="Garamond" w:eastAsia="Times New Roman" w:hAnsi="Garamond" w:cs="Calibri"/>
                <w:color w:val="000000"/>
                <w:sz w:val="18"/>
                <w:szCs w:val="18"/>
                <w:lang w:eastAsia="en-US" w:bidi="ar-SA"/>
              </w:rPr>
              <w:t>91%/111%</w:t>
            </w:r>
          </w:p>
        </w:tc>
        <w:tc>
          <w:tcPr>
            <w:tcW w:w="471" w:type="pct"/>
            <w:tcBorders>
              <w:top w:val="nil"/>
              <w:left w:val="single" w:sz="12" w:space="0" w:color="auto"/>
              <w:bottom w:val="single" w:sz="18" w:space="0" w:color="auto"/>
              <w:right w:val="single" w:sz="2" w:space="0" w:color="auto"/>
            </w:tcBorders>
            <w:vAlign w:val="center"/>
          </w:tcPr>
          <w:p w:rsidR="004B118C" w:rsidRPr="003A1D74" w:rsidRDefault="004B118C" w:rsidP="003A1D74">
            <w:pPr>
              <w:widowControl/>
              <w:autoSpaceDE/>
              <w:autoSpaceDN/>
              <w:jc w:val="center"/>
              <w:rPr>
                <w:rFonts w:ascii="Garamond" w:eastAsia="游明朝" w:hAnsi="Garamond" w:cs="Calibri"/>
                <w:noProof/>
                <w:sz w:val="18"/>
                <w:szCs w:val="18"/>
                <w:lang w:eastAsia="en-US" w:bidi="ar-SA"/>
              </w:rPr>
            </w:pPr>
            <w:r w:rsidRPr="003A1D74">
              <w:rPr>
                <w:rFonts w:ascii="Garamond" w:eastAsia="Times New Roman" w:hAnsi="Garamond" w:cs="Calibri"/>
                <w:color w:val="000000"/>
                <w:sz w:val="18"/>
                <w:szCs w:val="18"/>
                <w:lang w:eastAsia="en-US" w:bidi="ar-SA"/>
              </w:rPr>
              <w:t>8</w:t>
            </w:r>
            <w:r w:rsidRPr="003A1D74">
              <w:rPr>
                <w:rFonts w:ascii="Garamond" w:eastAsia="Times New Roman" w:hAnsi="Garamond" w:cs="Calibri"/>
                <w:color w:val="000000"/>
                <w:sz w:val="18"/>
                <w:szCs w:val="18"/>
                <w:lang w:val="sr-Latn-CS" w:eastAsia="en-US" w:bidi="ar-SA"/>
              </w:rPr>
              <w:t>6</w:t>
            </w:r>
            <w:r w:rsidRPr="003A1D74">
              <w:rPr>
                <w:rFonts w:ascii="Garamond" w:eastAsia="Times New Roman" w:hAnsi="Garamond" w:cs="Calibri"/>
                <w:color w:val="000000"/>
                <w:sz w:val="18"/>
                <w:szCs w:val="18"/>
                <w:lang w:eastAsia="en-US" w:bidi="ar-SA"/>
              </w:rPr>
              <w:t>%</w:t>
            </w:r>
          </w:p>
        </w:tc>
        <w:tc>
          <w:tcPr>
            <w:tcW w:w="471" w:type="pct"/>
            <w:tcBorders>
              <w:top w:val="nil"/>
              <w:left w:val="single" w:sz="2" w:space="0" w:color="auto"/>
              <w:bottom w:val="single" w:sz="18" w:space="0" w:color="auto"/>
              <w:right w:val="single" w:sz="12" w:space="0" w:color="auto"/>
            </w:tcBorders>
            <w:vAlign w:val="center"/>
          </w:tcPr>
          <w:p w:rsidR="004B118C" w:rsidRPr="003A1D74" w:rsidRDefault="004B118C" w:rsidP="003A1D74">
            <w:pPr>
              <w:widowControl/>
              <w:autoSpaceDE/>
              <w:autoSpaceDN/>
              <w:jc w:val="center"/>
              <w:rPr>
                <w:rFonts w:ascii="Garamond" w:eastAsia="游明朝" w:hAnsi="Garamond" w:cs="Calibri"/>
                <w:noProof/>
                <w:sz w:val="18"/>
                <w:szCs w:val="18"/>
                <w:lang w:eastAsia="en-US" w:bidi="ar-SA"/>
              </w:rPr>
            </w:pPr>
            <w:r w:rsidRPr="003A1D74">
              <w:rPr>
                <w:rFonts w:ascii="Garamond" w:eastAsia="Times New Roman" w:hAnsi="Garamond" w:cs="Calibri"/>
                <w:color w:val="000000"/>
                <w:sz w:val="18"/>
                <w:szCs w:val="18"/>
                <w:lang w:eastAsia="en-US" w:bidi="ar-SA"/>
              </w:rPr>
              <w:t>9</w:t>
            </w:r>
            <w:r w:rsidRPr="003A1D74">
              <w:rPr>
                <w:rFonts w:ascii="Garamond" w:eastAsia="Times New Roman" w:hAnsi="Garamond" w:cs="Calibri"/>
                <w:color w:val="000000"/>
                <w:sz w:val="18"/>
                <w:szCs w:val="18"/>
                <w:lang w:val="sr-Latn-CS" w:eastAsia="en-US" w:bidi="ar-SA"/>
              </w:rPr>
              <w:t>2</w:t>
            </w:r>
            <w:r w:rsidRPr="003A1D74">
              <w:rPr>
                <w:rFonts w:ascii="Garamond" w:eastAsia="Times New Roman" w:hAnsi="Garamond" w:cs="Calibri"/>
                <w:color w:val="000000"/>
                <w:sz w:val="18"/>
                <w:szCs w:val="18"/>
                <w:lang w:eastAsia="en-US" w:bidi="ar-SA"/>
              </w:rPr>
              <w:t>%/11</w:t>
            </w:r>
            <w:r w:rsidRPr="003A1D74">
              <w:rPr>
                <w:rFonts w:ascii="Garamond" w:eastAsia="Times New Roman" w:hAnsi="Garamond" w:cs="Calibri"/>
                <w:color w:val="000000"/>
                <w:sz w:val="18"/>
                <w:szCs w:val="18"/>
                <w:lang w:val="sr-Latn-CS" w:eastAsia="en-US" w:bidi="ar-SA"/>
              </w:rPr>
              <w:t>2,3</w:t>
            </w:r>
            <w:r w:rsidRPr="003A1D74">
              <w:rPr>
                <w:rFonts w:ascii="Garamond" w:eastAsia="Times New Roman" w:hAnsi="Garamond" w:cs="Calibri"/>
                <w:color w:val="000000"/>
                <w:sz w:val="18"/>
                <w:szCs w:val="18"/>
                <w:lang w:eastAsia="en-US" w:bidi="ar-SA"/>
              </w:rPr>
              <w:t>%</w:t>
            </w:r>
          </w:p>
        </w:tc>
        <w:tc>
          <w:tcPr>
            <w:tcW w:w="420" w:type="pct"/>
            <w:tcBorders>
              <w:top w:val="nil"/>
              <w:left w:val="single" w:sz="12" w:space="0" w:color="auto"/>
              <w:bottom w:val="single" w:sz="18" w:space="0" w:color="auto"/>
              <w:right w:val="single" w:sz="12" w:space="0" w:color="auto"/>
            </w:tcBorders>
            <w:vAlign w:val="center"/>
          </w:tcPr>
          <w:p w:rsidR="004B118C" w:rsidRPr="003A1D74" w:rsidRDefault="004B118C" w:rsidP="003A1D74">
            <w:pPr>
              <w:widowControl/>
              <w:autoSpaceDE/>
              <w:autoSpaceDN/>
              <w:jc w:val="center"/>
              <w:rPr>
                <w:rFonts w:ascii="Garamond" w:eastAsia="游明朝" w:hAnsi="Garamond" w:cs="Calibri"/>
                <w:noProof/>
                <w:sz w:val="18"/>
                <w:szCs w:val="18"/>
                <w:lang w:eastAsia="en-US" w:bidi="ar-SA"/>
              </w:rPr>
            </w:pPr>
            <w:r w:rsidRPr="003A1D74">
              <w:rPr>
                <w:rFonts w:ascii="Garamond" w:eastAsia="游明朝" w:hAnsi="Garamond" w:cs="Calibri"/>
                <w:sz w:val="18"/>
                <w:szCs w:val="18"/>
                <w:lang w:eastAsia="en-US" w:bidi="ar-SA"/>
              </w:rPr>
              <w:t>90%</w:t>
            </w:r>
          </w:p>
        </w:tc>
        <w:tc>
          <w:tcPr>
            <w:tcW w:w="470" w:type="pct"/>
            <w:gridSpan w:val="2"/>
            <w:tcBorders>
              <w:top w:val="nil"/>
              <w:left w:val="single" w:sz="12" w:space="0" w:color="auto"/>
              <w:bottom w:val="single" w:sz="18" w:space="0" w:color="auto"/>
              <w:right w:val="single" w:sz="18" w:space="0" w:color="auto"/>
            </w:tcBorders>
            <w:vAlign w:val="center"/>
          </w:tcPr>
          <w:p w:rsidR="004B118C" w:rsidRPr="003A1D74" w:rsidRDefault="004B118C" w:rsidP="003A1D74">
            <w:pPr>
              <w:autoSpaceDE/>
              <w:autoSpaceDN/>
              <w:spacing w:before="60" w:after="120"/>
              <w:jc w:val="center"/>
              <w:rPr>
                <w:rFonts w:ascii="Garamond" w:eastAsia="Calibri" w:hAnsi="Garamond" w:cs="Calibri"/>
                <w:sz w:val="18"/>
                <w:szCs w:val="18"/>
                <w:lang w:eastAsia="en-US" w:bidi="ar-SA"/>
              </w:rPr>
            </w:pPr>
            <w:r w:rsidRPr="003A1D74">
              <w:rPr>
                <w:rFonts w:ascii="Garamond" w:eastAsia="Calibri" w:hAnsi="Garamond" w:cs="Calibri"/>
                <w:sz w:val="18"/>
                <w:szCs w:val="18"/>
                <w:lang w:eastAsia="en-US" w:bidi="ar-SA"/>
              </w:rPr>
              <w:t>180.60%</w:t>
            </w:r>
          </w:p>
          <w:p w:rsidR="004B118C" w:rsidRPr="003A1D74" w:rsidRDefault="004B118C" w:rsidP="003A1D74">
            <w:pPr>
              <w:widowControl/>
              <w:autoSpaceDE/>
              <w:autoSpaceDN/>
              <w:jc w:val="center"/>
              <w:rPr>
                <w:rFonts w:ascii="Garamond" w:eastAsia="游明朝" w:hAnsi="Garamond" w:cs="Calibri"/>
                <w:noProof/>
                <w:sz w:val="18"/>
                <w:szCs w:val="18"/>
                <w:lang w:eastAsia="en-US" w:bidi="ar-SA"/>
              </w:rPr>
            </w:pPr>
            <w:r w:rsidRPr="003A1D74">
              <w:rPr>
                <w:rFonts w:ascii="Garamond" w:eastAsia="游明朝" w:hAnsi="Garamond" w:cs="Calibri"/>
                <w:sz w:val="18"/>
                <w:szCs w:val="18"/>
                <w:lang w:eastAsia="en-US" w:bidi="ar-SA"/>
              </w:rPr>
              <w:t>107.6%</w:t>
            </w:r>
            <w:r w:rsidRPr="003A1D74">
              <w:rPr>
                <w:rFonts w:ascii="Garamond" w:eastAsia="游明朝" w:hAnsi="Garamond" w:cs="Calibri"/>
                <w:sz w:val="18"/>
                <w:vertAlign w:val="superscript"/>
                <w:lang w:eastAsia="en-US" w:bidi="ar-SA"/>
              </w:rPr>
              <w:footnoteReference w:id="16"/>
            </w:r>
          </w:p>
        </w:tc>
        <w:tc>
          <w:tcPr>
            <w:tcW w:w="291" w:type="pct"/>
            <w:tcBorders>
              <w:top w:val="nil"/>
              <w:left w:val="single" w:sz="12" w:space="0" w:color="auto"/>
              <w:bottom w:val="single" w:sz="18" w:space="0" w:color="auto"/>
              <w:right w:val="single" w:sz="18" w:space="0" w:color="auto"/>
            </w:tcBorders>
            <w:shd w:val="clear" w:color="auto" w:fill="auto"/>
            <w:vAlign w:val="center"/>
            <w:hideMark/>
          </w:tcPr>
          <w:p w:rsidR="004B118C" w:rsidRPr="003A1D74" w:rsidRDefault="004B118C" w:rsidP="003A1D74">
            <w:pPr>
              <w:widowControl/>
              <w:autoSpaceDE/>
              <w:autoSpaceDN/>
              <w:jc w:val="center"/>
              <w:rPr>
                <w:rFonts w:ascii="Garamond" w:eastAsia="Times New Roman" w:hAnsi="Garamond" w:cs="Calibri"/>
                <w:color w:val="00B050"/>
                <w:sz w:val="18"/>
                <w:szCs w:val="18"/>
                <w:lang w:eastAsia="en-US" w:bidi="ar-SA"/>
              </w:rPr>
            </w:pPr>
            <w:r w:rsidRPr="003A1D74">
              <w:rPr>
                <w:rFonts w:ascii="Garamond" w:eastAsia="游明朝" w:hAnsi="Garamond" w:cs="Calibri"/>
                <w:noProof/>
                <w:sz w:val="18"/>
                <w:szCs w:val="18"/>
                <w:lang w:eastAsia="ja-JP" w:bidi="ar-SA"/>
              </w:rPr>
              <w:drawing>
                <wp:inline distT="0" distB="0" distL="0" distR="0">
                  <wp:extent cx="287020" cy="233680"/>
                  <wp:effectExtent l="0" t="0" r="0" b="0"/>
                  <wp:docPr id="24" name="Picture 32" descr="Description: 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cription: Description: Description: C:\Users\owner\Desktop\zelena strelica - manja.pn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87020" cy="233680"/>
                          </a:xfrm>
                          <a:prstGeom prst="rect">
                            <a:avLst/>
                          </a:prstGeom>
                          <a:noFill/>
                          <a:ln>
                            <a:noFill/>
                          </a:ln>
                        </pic:spPr>
                      </pic:pic>
                    </a:graphicData>
                  </a:graphic>
                </wp:inline>
              </w:drawing>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Default="004D1343" w:rsidP="004B118C">
      <w:pPr>
        <w:jc w:val="both"/>
        <w:rPr>
          <w:rFonts w:ascii="Garamond" w:hAnsi="Garamond"/>
          <w:sz w:val="24"/>
          <w:szCs w:val="24"/>
        </w:rPr>
      </w:pPr>
      <w:r w:rsidRPr="00C32887">
        <w:rPr>
          <w:rFonts w:ascii="Garamond" w:hAnsi="Garamond"/>
          <w:sz w:val="24"/>
          <w:szCs w:val="24"/>
        </w:rPr>
        <w:t>The performance indicator related to the level of detail in the public presentation of the capital budget shows a negative trend of value in relati</w:t>
      </w:r>
      <w:r w:rsidR="004B118C">
        <w:rPr>
          <w:rFonts w:ascii="Garamond" w:hAnsi="Garamond"/>
          <w:sz w:val="24"/>
          <w:szCs w:val="24"/>
        </w:rPr>
        <w:t>on to the target value for 2020. H</w:t>
      </w:r>
      <w:r w:rsidRPr="00C32887">
        <w:rPr>
          <w:rFonts w:ascii="Garamond" w:hAnsi="Garamond"/>
          <w:sz w:val="24"/>
          <w:szCs w:val="24"/>
        </w:rPr>
        <w:t>owever</w:t>
      </w:r>
      <w:r w:rsidR="001F444A">
        <w:rPr>
          <w:rFonts w:ascii="Garamond" w:hAnsi="Garamond"/>
          <w:sz w:val="24"/>
          <w:szCs w:val="24"/>
        </w:rPr>
        <w:t>,</w:t>
      </w:r>
      <w:r w:rsidRPr="00C32887">
        <w:rPr>
          <w:rFonts w:ascii="Garamond" w:hAnsi="Garamond"/>
          <w:sz w:val="24"/>
          <w:szCs w:val="24"/>
        </w:rPr>
        <w:t xml:space="preserve"> </w:t>
      </w:r>
      <w:r w:rsidR="004B118C">
        <w:rPr>
          <w:rFonts w:ascii="Garamond" w:hAnsi="Garamond"/>
          <w:sz w:val="24"/>
          <w:szCs w:val="24"/>
        </w:rPr>
        <w:t xml:space="preserve">bearing in mind the </w:t>
      </w:r>
      <w:r w:rsidRPr="00C32887">
        <w:rPr>
          <w:rFonts w:ascii="Garamond" w:hAnsi="Garamond"/>
          <w:sz w:val="24"/>
          <w:szCs w:val="24"/>
        </w:rPr>
        <w:t xml:space="preserve">implemented </w:t>
      </w:r>
      <w:r w:rsidR="004B118C">
        <w:rPr>
          <w:rFonts w:ascii="Garamond" w:hAnsi="Garamond"/>
          <w:sz w:val="24"/>
          <w:szCs w:val="24"/>
        </w:rPr>
        <w:t xml:space="preserve">activities in </w:t>
      </w:r>
      <w:r w:rsidR="001F444A">
        <w:rPr>
          <w:rFonts w:ascii="Garamond" w:hAnsi="Garamond"/>
          <w:sz w:val="24"/>
          <w:szCs w:val="24"/>
        </w:rPr>
        <w:t xml:space="preserve">the </w:t>
      </w:r>
      <w:r w:rsidR="004B118C">
        <w:rPr>
          <w:rFonts w:ascii="Garamond" w:hAnsi="Garamond"/>
          <w:sz w:val="24"/>
          <w:szCs w:val="24"/>
        </w:rPr>
        <w:t>capital budget p</w:t>
      </w:r>
      <w:r w:rsidRPr="00C32887">
        <w:rPr>
          <w:rFonts w:ascii="Garamond" w:hAnsi="Garamond"/>
          <w:sz w:val="24"/>
          <w:szCs w:val="24"/>
        </w:rPr>
        <w:t xml:space="preserve">lanning </w:t>
      </w:r>
      <w:r w:rsidR="004B118C">
        <w:rPr>
          <w:rFonts w:ascii="Garamond" w:hAnsi="Garamond"/>
          <w:sz w:val="24"/>
          <w:szCs w:val="24"/>
        </w:rPr>
        <w:t>and</w:t>
      </w:r>
      <w:r w:rsidRPr="00C32887">
        <w:rPr>
          <w:rFonts w:ascii="Garamond" w:hAnsi="Garamond"/>
          <w:sz w:val="24"/>
          <w:szCs w:val="24"/>
        </w:rPr>
        <w:t xml:space="preserve"> IT </w:t>
      </w:r>
      <w:r w:rsidR="004B118C">
        <w:rPr>
          <w:rFonts w:ascii="Garamond" w:hAnsi="Garamond"/>
          <w:sz w:val="24"/>
          <w:szCs w:val="24"/>
        </w:rPr>
        <w:t>system</w:t>
      </w:r>
      <w:r w:rsidRPr="00C32887">
        <w:rPr>
          <w:rFonts w:ascii="Garamond" w:hAnsi="Garamond"/>
          <w:sz w:val="24"/>
          <w:szCs w:val="24"/>
        </w:rPr>
        <w:t xml:space="preserve"> </w:t>
      </w:r>
      <w:r w:rsidR="004B118C">
        <w:rPr>
          <w:rFonts w:ascii="Garamond" w:hAnsi="Garamond"/>
          <w:sz w:val="24"/>
          <w:szCs w:val="24"/>
        </w:rPr>
        <w:t>implementation</w:t>
      </w:r>
      <w:r w:rsidRPr="00C32887">
        <w:rPr>
          <w:rFonts w:ascii="Garamond" w:hAnsi="Garamond"/>
          <w:sz w:val="24"/>
          <w:szCs w:val="24"/>
        </w:rPr>
        <w:t xml:space="preserve"> during 2020, </w:t>
      </w:r>
      <w:r w:rsidR="004B118C">
        <w:rPr>
          <w:rFonts w:ascii="Garamond" w:hAnsi="Garamond"/>
          <w:sz w:val="24"/>
          <w:szCs w:val="24"/>
        </w:rPr>
        <w:t xml:space="preserve">it is </w:t>
      </w:r>
      <w:r w:rsidR="001F444A">
        <w:rPr>
          <w:rFonts w:ascii="Garamond" w:hAnsi="Garamond"/>
          <w:sz w:val="24"/>
          <w:szCs w:val="24"/>
        </w:rPr>
        <w:t>forecasted</w:t>
      </w:r>
      <w:r w:rsidRPr="00C32887">
        <w:rPr>
          <w:rFonts w:ascii="Garamond" w:hAnsi="Garamond"/>
          <w:sz w:val="24"/>
          <w:szCs w:val="24"/>
        </w:rPr>
        <w:t xml:space="preserve"> that </w:t>
      </w:r>
      <w:r w:rsidR="004B118C">
        <w:rPr>
          <w:rFonts w:ascii="Garamond" w:hAnsi="Garamond"/>
          <w:sz w:val="24"/>
          <w:szCs w:val="24"/>
        </w:rPr>
        <w:t xml:space="preserve">the </w:t>
      </w:r>
      <w:r w:rsidRPr="00C32887">
        <w:rPr>
          <w:rFonts w:ascii="Garamond" w:hAnsi="Garamond"/>
          <w:sz w:val="24"/>
          <w:szCs w:val="24"/>
        </w:rPr>
        <w:t xml:space="preserve">said indicator </w:t>
      </w:r>
      <w:r w:rsidR="00A102C4">
        <w:rPr>
          <w:rFonts w:ascii="Garamond" w:hAnsi="Garamond"/>
          <w:sz w:val="24"/>
          <w:szCs w:val="24"/>
        </w:rPr>
        <w:t xml:space="preserve">will </w:t>
      </w:r>
      <w:r w:rsidR="004B118C">
        <w:rPr>
          <w:rFonts w:ascii="Garamond" w:hAnsi="Garamond"/>
          <w:sz w:val="24"/>
          <w:szCs w:val="24"/>
        </w:rPr>
        <w:t>be</w:t>
      </w:r>
      <w:r w:rsidRPr="00C32887">
        <w:rPr>
          <w:rFonts w:ascii="Garamond" w:hAnsi="Garamond"/>
          <w:sz w:val="24"/>
          <w:szCs w:val="24"/>
        </w:rPr>
        <w:t xml:space="preserve"> completely </w:t>
      </w:r>
      <w:r w:rsidR="00A102C4">
        <w:rPr>
          <w:rFonts w:ascii="Garamond" w:hAnsi="Garamond"/>
          <w:sz w:val="24"/>
          <w:szCs w:val="24"/>
        </w:rPr>
        <w:t>implemented</w:t>
      </w:r>
      <w:r w:rsidRPr="00C32887">
        <w:rPr>
          <w:rFonts w:ascii="Garamond" w:hAnsi="Garamond"/>
          <w:sz w:val="24"/>
          <w:szCs w:val="24"/>
        </w:rPr>
        <w:t xml:space="preserve"> during 2021. In the coming period, intensive activities are planned in</w:t>
      </w:r>
      <w:r w:rsidR="00304297">
        <w:rPr>
          <w:rFonts w:ascii="Garamond" w:hAnsi="Garamond"/>
          <w:sz w:val="24"/>
          <w:szCs w:val="24"/>
        </w:rPr>
        <w:t xml:space="preserve"> order to meet the target value</w:t>
      </w:r>
      <w:r w:rsidRPr="00C32887">
        <w:rPr>
          <w:rFonts w:ascii="Garamond" w:hAnsi="Garamond"/>
          <w:sz w:val="24"/>
          <w:szCs w:val="24"/>
        </w:rPr>
        <w:t xml:space="preserve">. Also, with the </w:t>
      </w:r>
      <w:r w:rsidR="00A102C4">
        <w:rPr>
          <w:rFonts w:ascii="Garamond" w:hAnsi="Garamond"/>
          <w:sz w:val="24"/>
          <w:szCs w:val="24"/>
        </w:rPr>
        <w:t>implementation</w:t>
      </w:r>
      <w:r w:rsidRPr="00C32887">
        <w:rPr>
          <w:rFonts w:ascii="Garamond" w:hAnsi="Garamond"/>
          <w:sz w:val="24"/>
          <w:szCs w:val="24"/>
        </w:rPr>
        <w:t xml:space="preserve"> of the mentioned project, a more transparent presentation of capital projects is planned through the establishment of the register of public investments.</w:t>
      </w:r>
    </w:p>
    <w:p w:rsidR="00230E10" w:rsidRPr="00C32887" w:rsidRDefault="00230E10" w:rsidP="004B118C">
      <w:pPr>
        <w:jc w:val="both"/>
        <w:rPr>
          <w:rFonts w:ascii="Garamond" w:hAnsi="Garamond"/>
          <w:sz w:val="24"/>
          <w:szCs w:val="24"/>
        </w:rPr>
      </w:pPr>
    </w:p>
    <w:p w:rsidR="004D1343" w:rsidRPr="00C32887" w:rsidRDefault="00613C2B" w:rsidP="004D1343">
      <w:pPr>
        <w:rPr>
          <w:rFonts w:ascii="Garamond" w:hAnsi="Garamond"/>
          <w:sz w:val="24"/>
          <w:szCs w:val="24"/>
        </w:rPr>
      </w:pPr>
      <w:r w:rsidRPr="00613C2B">
        <w:rPr>
          <w:rFonts w:cstheme="majorHAnsi"/>
          <w:i/>
          <w:noProof/>
          <w:color w:val="000000"/>
          <w:szCs w:val="24"/>
          <w:lang w:val="en-GB" w:eastAsia="en-GB"/>
        </w:rPr>
      </w:r>
      <w:r w:rsidRPr="00613C2B">
        <w:rPr>
          <w:rFonts w:cstheme="majorHAnsi"/>
          <w:i/>
          <w:noProof/>
          <w:color w:val="000000"/>
          <w:szCs w:val="24"/>
          <w:lang w:val="en-GB" w:eastAsia="en-GB"/>
        </w:rPr>
        <w:pict>
          <v:roundrect id="Rounded Rectangle 37" o:spid="_x0000_s1036" style="width:496.2pt;height:136.8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" fillcolor="#243f60 [1604]" strokecolor="#243f60 [1604]" strokeweight="1pt">
            <v:stroke joinstyle="miter"/>
            <v:textbox style="mso-next-textbox:#Rounded Rectangle 37">
              <w:txbxContent>
                <w:p w:rsidR="002C4371" w:rsidRPr="00304297" w:rsidRDefault="002C4371" w:rsidP="00304297">
                  <w:pPr>
                    <w:rPr>
                      <w:rFonts w:ascii="Garamond" w:hAnsi="Garamond" w:cstheme="majorHAnsi"/>
                      <w:sz w:val="20"/>
                      <w:szCs w:val="20"/>
                    </w:rPr>
                  </w:pPr>
                  <w:r w:rsidRPr="00304297">
                    <w:rPr>
                      <w:rFonts w:ascii="Garamond" w:hAnsi="Garamond" w:cstheme="majorHAnsi"/>
                      <w:sz w:val="20"/>
                      <w:szCs w:val="20"/>
                    </w:rPr>
                    <w:t>Challenge:</w:t>
                  </w:r>
                </w:p>
                <w:p w:rsidR="002C4371" w:rsidRPr="00304297" w:rsidRDefault="002C4371" w:rsidP="00304297">
                  <w:pPr>
                    <w:jc w:val="both"/>
                    <w:rPr>
                      <w:rFonts w:ascii="Garamond" w:hAnsi="Garamond" w:cstheme="majorHAnsi"/>
                      <w:sz w:val="20"/>
                      <w:szCs w:val="20"/>
                    </w:rPr>
                  </w:pPr>
                  <w:r w:rsidRPr="00304297">
                    <w:rPr>
                      <w:rFonts w:ascii="Garamond" w:hAnsi="Garamond" w:cstheme="majorHAnsi"/>
                      <w:sz w:val="20"/>
                      <w:szCs w:val="20"/>
                    </w:rPr>
                    <w:t xml:space="preserve">Having in mind that the fulfillment of the planned </w:t>
                  </w:r>
                  <w:r>
                    <w:rPr>
                      <w:rFonts w:ascii="Garamond" w:hAnsi="Garamond" w:cstheme="majorHAnsi"/>
                      <w:sz w:val="20"/>
                      <w:szCs w:val="20"/>
                    </w:rPr>
                    <w:t>objectives</w:t>
                  </w:r>
                  <w:r w:rsidRPr="00304297">
                    <w:rPr>
                      <w:rFonts w:ascii="Garamond" w:hAnsi="Garamond" w:cstheme="majorHAnsi"/>
                      <w:sz w:val="20"/>
                      <w:szCs w:val="20"/>
                    </w:rPr>
                    <w:t xml:space="preserve"> requires further training and education of staff, the t</w:t>
                  </w:r>
                  <w:r>
                    <w:rPr>
                      <w:rFonts w:ascii="Garamond" w:hAnsi="Garamond" w:cstheme="majorHAnsi"/>
                      <w:sz w:val="20"/>
                      <w:szCs w:val="20"/>
                    </w:rPr>
                    <w:t>ime</w:t>
                  </w:r>
                  <w:r w:rsidRPr="00304297">
                    <w:rPr>
                      <w:rFonts w:ascii="Garamond" w:hAnsi="Garamond" w:cstheme="majorHAnsi"/>
                      <w:sz w:val="20"/>
                      <w:szCs w:val="20"/>
                    </w:rPr>
                    <w:t xml:space="preserve">frame </w:t>
                  </w:r>
                  <w:r>
                    <w:rPr>
                      <w:rFonts w:ascii="Garamond" w:hAnsi="Garamond" w:cstheme="majorHAnsi"/>
                      <w:sz w:val="20"/>
                      <w:szCs w:val="20"/>
                    </w:rPr>
                    <w:t>for</w:t>
                  </w:r>
                  <w:r w:rsidRPr="00304297">
                    <w:rPr>
                      <w:rFonts w:ascii="Garamond" w:hAnsi="Garamond" w:cstheme="majorHAnsi"/>
                      <w:sz w:val="20"/>
                      <w:szCs w:val="20"/>
                    </w:rPr>
                    <w:t xml:space="preserve"> the planned activities for the next period, which concerns the implementation of training for key users, future administrators and end users in individual spending units, </w:t>
                  </w:r>
                  <w:r>
                    <w:rPr>
                      <w:rFonts w:ascii="Garamond" w:hAnsi="Garamond" w:cstheme="majorHAnsi"/>
                      <w:sz w:val="20"/>
                      <w:szCs w:val="20"/>
                    </w:rPr>
                    <w:t xml:space="preserve">is questioned </w:t>
                  </w:r>
                  <w:r w:rsidRPr="00304297">
                    <w:rPr>
                      <w:rFonts w:ascii="Garamond" w:hAnsi="Garamond" w:cstheme="majorHAnsi"/>
                      <w:sz w:val="20"/>
                      <w:szCs w:val="20"/>
                    </w:rPr>
                    <w:t>due to the current situation with the COVID-19 pandemic, and poses a significant risk to the successful conduct of the training process. We conclude that this objective circumstance can significantly slow down the further dynamics of fulfillment of the planned activities on the project. Having in mind the period of validity of the implementation of the program</w:t>
                  </w:r>
                  <w:r>
                    <w:rPr>
                      <w:rFonts w:ascii="Garamond" w:hAnsi="Garamond" w:cstheme="majorHAnsi"/>
                      <w:sz w:val="20"/>
                      <w:szCs w:val="20"/>
                    </w:rPr>
                    <w:t>me</w:t>
                  </w:r>
                  <w:r w:rsidRPr="00304297">
                    <w:rPr>
                      <w:rFonts w:ascii="Garamond" w:hAnsi="Garamond" w:cstheme="majorHAnsi"/>
                      <w:sz w:val="20"/>
                      <w:szCs w:val="20"/>
                    </w:rPr>
                    <w:t>, which expires at the end of 2020, an extended time of implementation of the Action Plan during 2021 will</w:t>
                  </w:r>
                  <w:r w:rsidR="008C610C">
                    <w:rPr>
                      <w:rFonts w:ascii="Garamond" w:hAnsi="Garamond" w:cstheme="majorHAnsi"/>
                      <w:sz w:val="20"/>
                      <w:szCs w:val="20"/>
                    </w:rPr>
                    <w:t xml:space="preserve"> be proposed in order to finalis</w:t>
                  </w:r>
                  <w:r w:rsidRPr="00304297">
                    <w:rPr>
                      <w:rFonts w:ascii="Garamond" w:hAnsi="Garamond" w:cstheme="majorHAnsi"/>
                      <w:sz w:val="20"/>
                      <w:szCs w:val="20"/>
                    </w:rPr>
                    <w:t>e activities that are not expected to be implemented by the end of 2020.</w:t>
                  </w:r>
                </w:p>
                <w:p w:rsidR="002C4371" w:rsidRPr="00304297" w:rsidRDefault="002C4371" w:rsidP="00304297">
                  <w:pPr>
                    <w:rPr>
                      <w:rFonts w:ascii="Garamond" w:hAnsi="Garamond" w:cstheme="majorHAnsi"/>
                      <w:sz w:val="20"/>
                      <w:szCs w:val="20"/>
                    </w:rPr>
                  </w:pPr>
                </w:p>
                <w:p w:rsidR="002C4371" w:rsidRPr="00304297" w:rsidRDefault="002C4371" w:rsidP="00304297">
                  <w:pPr>
                    <w:rPr>
                      <w:rFonts w:ascii="Garamond" w:hAnsi="Garamond" w:cstheme="majorHAnsi"/>
                      <w:sz w:val="20"/>
                      <w:szCs w:val="20"/>
                    </w:rPr>
                  </w:pPr>
                </w:p>
                <w:p w:rsidR="002C4371" w:rsidRPr="00304297" w:rsidRDefault="002C4371" w:rsidP="00304297">
                  <w:pPr>
                    <w:rPr>
                      <w:rFonts w:ascii="Garamond" w:hAnsi="Garamond" w:cstheme="majorHAnsi"/>
                      <w:sz w:val="20"/>
                      <w:szCs w:val="20"/>
                    </w:rPr>
                  </w:pPr>
                </w:p>
              </w:txbxContent>
            </v:textbox>
            <w10:wrap type="none"/>
            <w10:anchorlock/>
          </v:roundrect>
        </w:pict>
      </w:r>
    </w:p>
    <w:p w:rsidR="00230E10" w:rsidRDefault="00230E10" w:rsidP="00304297">
      <w:pPr>
        <w:jc w:val="both"/>
        <w:rPr>
          <w:rFonts w:ascii="Garamond" w:hAnsi="Garamond"/>
          <w:sz w:val="24"/>
          <w:szCs w:val="24"/>
        </w:rPr>
      </w:pPr>
    </w:p>
    <w:p w:rsidR="004D1343" w:rsidRDefault="004D1343" w:rsidP="00304297">
      <w:pPr>
        <w:jc w:val="both"/>
        <w:rPr>
          <w:rFonts w:ascii="Garamond" w:hAnsi="Garamond"/>
          <w:sz w:val="24"/>
          <w:szCs w:val="24"/>
        </w:rPr>
      </w:pPr>
      <w:r w:rsidRPr="00C32887">
        <w:rPr>
          <w:rFonts w:ascii="Garamond" w:hAnsi="Garamond"/>
          <w:sz w:val="24"/>
          <w:szCs w:val="24"/>
        </w:rPr>
        <w:t xml:space="preserve">Indicator related to the creation of capital spending, </w:t>
      </w:r>
      <w:r w:rsidR="00304297">
        <w:rPr>
          <w:rFonts w:ascii="Garamond" w:hAnsi="Garamond"/>
          <w:sz w:val="24"/>
          <w:szCs w:val="24"/>
        </w:rPr>
        <w:t>that is,</w:t>
      </w:r>
      <w:r w:rsidRPr="00C32887">
        <w:rPr>
          <w:rFonts w:ascii="Garamond" w:hAnsi="Garamond"/>
          <w:sz w:val="24"/>
          <w:szCs w:val="24"/>
        </w:rPr>
        <w:t xml:space="preserve"> the </w:t>
      </w:r>
      <w:r w:rsidR="00A102C4" w:rsidRPr="00C32887">
        <w:rPr>
          <w:rFonts w:ascii="Garamond" w:hAnsi="Garamond"/>
          <w:sz w:val="24"/>
          <w:szCs w:val="24"/>
        </w:rPr>
        <w:t>implementation</w:t>
      </w:r>
      <w:r w:rsidRPr="00C32887">
        <w:rPr>
          <w:rFonts w:ascii="Garamond" w:hAnsi="Garamond"/>
          <w:sz w:val="24"/>
          <w:szCs w:val="24"/>
        </w:rPr>
        <w:t xml:space="preserve"> of the capital budget in 20</w:t>
      </w:r>
      <w:r w:rsidR="00304297">
        <w:rPr>
          <w:rFonts w:ascii="Garamond" w:hAnsi="Garamond"/>
          <w:sz w:val="24"/>
          <w:szCs w:val="24"/>
        </w:rPr>
        <w:t xml:space="preserve">20 </w:t>
      </w:r>
      <w:r w:rsidRPr="00C32887">
        <w:rPr>
          <w:rFonts w:ascii="Garamond" w:hAnsi="Garamond"/>
          <w:sz w:val="24"/>
          <w:szCs w:val="24"/>
        </w:rPr>
        <w:t>is f</w:t>
      </w:r>
      <w:r w:rsidR="00304297">
        <w:rPr>
          <w:rFonts w:ascii="Garamond" w:hAnsi="Garamond"/>
          <w:sz w:val="24"/>
          <w:szCs w:val="24"/>
        </w:rPr>
        <w:t xml:space="preserve">ulfilled and shows a positive </w:t>
      </w:r>
      <w:r w:rsidRPr="00C32887">
        <w:rPr>
          <w:rFonts w:ascii="Garamond" w:hAnsi="Garamond"/>
          <w:sz w:val="24"/>
          <w:szCs w:val="24"/>
        </w:rPr>
        <w:t xml:space="preserve">trend. Such a high level of implementation is the result </w:t>
      </w:r>
      <w:r w:rsidR="00304297">
        <w:rPr>
          <w:rFonts w:ascii="Garamond" w:hAnsi="Garamond"/>
          <w:sz w:val="24"/>
          <w:szCs w:val="24"/>
        </w:rPr>
        <w:t xml:space="preserve">of intensive </w:t>
      </w:r>
      <w:r w:rsidRPr="00C32887">
        <w:rPr>
          <w:rFonts w:ascii="Garamond" w:hAnsi="Garamond"/>
          <w:sz w:val="24"/>
          <w:szCs w:val="24"/>
        </w:rPr>
        <w:t>w</w:t>
      </w:r>
      <w:r w:rsidR="00304297">
        <w:rPr>
          <w:rFonts w:ascii="Garamond" w:hAnsi="Garamond"/>
          <w:sz w:val="24"/>
          <w:szCs w:val="24"/>
        </w:rPr>
        <w:t>ork on already started projects</w:t>
      </w:r>
      <w:r w:rsidRPr="00C32887">
        <w:rPr>
          <w:rFonts w:ascii="Garamond" w:hAnsi="Garamond"/>
          <w:sz w:val="24"/>
          <w:szCs w:val="24"/>
        </w:rPr>
        <w:t xml:space="preserve">, all in order to complete the activity and </w:t>
      </w:r>
      <w:r w:rsidR="008C610C">
        <w:rPr>
          <w:rFonts w:ascii="Garamond" w:hAnsi="Garamond"/>
          <w:sz w:val="24"/>
          <w:szCs w:val="24"/>
        </w:rPr>
        <w:t>put</w:t>
      </w:r>
      <w:r w:rsidRPr="00C32887">
        <w:rPr>
          <w:rFonts w:ascii="Garamond" w:hAnsi="Garamond"/>
          <w:sz w:val="24"/>
          <w:szCs w:val="24"/>
        </w:rPr>
        <w:t xml:space="preserve"> </w:t>
      </w:r>
      <w:r w:rsidR="0024352E">
        <w:rPr>
          <w:rFonts w:ascii="Garamond" w:hAnsi="Garamond"/>
          <w:sz w:val="24"/>
          <w:szCs w:val="24"/>
        </w:rPr>
        <w:t>facilities</w:t>
      </w:r>
      <w:r w:rsidRPr="00C32887">
        <w:rPr>
          <w:rFonts w:ascii="Garamond" w:hAnsi="Garamond"/>
          <w:sz w:val="24"/>
          <w:szCs w:val="24"/>
        </w:rPr>
        <w:t xml:space="preserve"> in </w:t>
      </w:r>
      <w:r w:rsidR="008C610C">
        <w:rPr>
          <w:rFonts w:ascii="Garamond" w:hAnsi="Garamond"/>
          <w:sz w:val="24"/>
          <w:szCs w:val="24"/>
        </w:rPr>
        <w:t>operation. Also,</w:t>
      </w:r>
      <w:r w:rsidRPr="00C32887">
        <w:rPr>
          <w:rFonts w:ascii="Garamond" w:hAnsi="Garamond"/>
          <w:sz w:val="24"/>
          <w:szCs w:val="24"/>
        </w:rPr>
        <w:t xml:space="preserve"> intensified activities related to new significant infrastructure projects in order to start the execution of works.</w:t>
      </w:r>
      <w:r w:rsidR="00A102C4">
        <w:rPr>
          <w:rFonts w:ascii="Garamond" w:hAnsi="Garamond"/>
          <w:sz w:val="24"/>
          <w:szCs w:val="24"/>
        </w:rPr>
        <w:t xml:space="preserve"> </w:t>
      </w:r>
    </w:p>
    <w:p w:rsidR="00304297" w:rsidRPr="00C32887" w:rsidRDefault="00304297" w:rsidP="00304297">
      <w:pPr>
        <w:jc w:val="both"/>
        <w:rPr>
          <w:rFonts w:ascii="Garamond" w:hAnsi="Garamond"/>
          <w:sz w:val="24"/>
          <w:szCs w:val="24"/>
        </w:rPr>
      </w:pPr>
    </w:p>
    <w:p w:rsidR="0024352E" w:rsidRDefault="0024352E">
      <w:pPr>
        <w:rPr>
          <w:rFonts w:ascii="Garamond" w:eastAsiaTheme="majorEastAsia" w:hAnsi="Garamond" w:cstheme="majorBidi"/>
          <w:b/>
          <w:bCs/>
          <w:color w:val="4F81BD" w:themeColor="accent1"/>
          <w:sz w:val="24"/>
          <w:szCs w:val="24"/>
        </w:rPr>
      </w:pPr>
      <w:r>
        <w:rPr>
          <w:rFonts w:ascii="Garamond" w:hAnsi="Garamond"/>
          <w:sz w:val="24"/>
          <w:szCs w:val="24"/>
        </w:rPr>
        <w:br w:type="page"/>
      </w:r>
    </w:p>
    <w:p w:rsidR="004D1343" w:rsidRPr="00C32887" w:rsidRDefault="00304297" w:rsidP="00304297">
      <w:pPr>
        <w:pStyle w:val="Heading3"/>
        <w:rPr>
          <w:rFonts w:ascii="Garamond" w:hAnsi="Garamond"/>
          <w:sz w:val="24"/>
          <w:szCs w:val="24"/>
        </w:rPr>
      </w:pPr>
      <w:bookmarkStart w:id="9" w:name="_Toc77688194"/>
      <w:r w:rsidRPr="00C32887">
        <w:rPr>
          <w:rFonts w:ascii="Garamond" w:hAnsi="Garamond"/>
          <w:sz w:val="24"/>
          <w:szCs w:val="24"/>
        </w:rPr>
        <w:t>IMPROVING MODELS FOR MACROECONOMIC PROJECTIONS</w:t>
      </w:r>
      <w:bookmarkEnd w:id="9"/>
    </w:p>
    <w:p w:rsidR="004D1343" w:rsidRPr="00C32887" w:rsidRDefault="004D1343" w:rsidP="004D1343">
      <w:pPr>
        <w:rPr>
          <w:rFonts w:ascii="Garamond" w:hAnsi="Garamond"/>
          <w:sz w:val="24"/>
          <w:szCs w:val="24"/>
        </w:rPr>
      </w:pPr>
    </w:p>
    <w:p w:rsidR="004D1343" w:rsidRPr="00C32887" w:rsidRDefault="004D1343" w:rsidP="00304297">
      <w:pPr>
        <w:jc w:val="both"/>
        <w:rPr>
          <w:rFonts w:ascii="Garamond" w:hAnsi="Garamond"/>
          <w:sz w:val="24"/>
          <w:szCs w:val="24"/>
        </w:rPr>
      </w:pPr>
      <w:r w:rsidRPr="00C32887">
        <w:rPr>
          <w:rFonts w:ascii="Garamond" w:hAnsi="Garamond"/>
          <w:sz w:val="24"/>
          <w:szCs w:val="24"/>
        </w:rPr>
        <w:t>Directorate for Economic Policy and D</w:t>
      </w:r>
      <w:r w:rsidR="00304297">
        <w:rPr>
          <w:rFonts w:ascii="Garamond" w:hAnsi="Garamond"/>
          <w:sz w:val="24"/>
          <w:szCs w:val="24"/>
        </w:rPr>
        <w:t>evelopment (DEPD) in March 2018 developed</w:t>
      </w:r>
      <w:r w:rsidR="007A738F">
        <w:rPr>
          <w:rFonts w:ascii="Garamond" w:hAnsi="Garamond"/>
          <w:sz w:val="24"/>
          <w:szCs w:val="24"/>
        </w:rPr>
        <w:t xml:space="preserve"> </w:t>
      </w:r>
      <w:r w:rsidR="007A738F" w:rsidRPr="00C32887">
        <w:rPr>
          <w:rFonts w:ascii="Garamond" w:hAnsi="Garamond"/>
          <w:sz w:val="24"/>
          <w:szCs w:val="24"/>
        </w:rPr>
        <w:t>Montenegro Macroeconomic Model</w:t>
      </w:r>
      <w:r w:rsidR="007A738F">
        <w:rPr>
          <w:rFonts w:ascii="Garamond" w:hAnsi="Garamond"/>
          <w:sz w:val="24"/>
          <w:szCs w:val="24"/>
        </w:rPr>
        <w:t>,</w:t>
      </w:r>
      <w:r w:rsidR="007A738F" w:rsidRPr="00C32887">
        <w:rPr>
          <w:rFonts w:ascii="Garamond" w:hAnsi="Garamond"/>
          <w:sz w:val="24"/>
          <w:szCs w:val="24"/>
        </w:rPr>
        <w:t xml:space="preserve"> </w:t>
      </w:r>
      <w:r w:rsidRPr="00C32887">
        <w:rPr>
          <w:rFonts w:ascii="Garamond" w:hAnsi="Garamond"/>
          <w:sz w:val="24"/>
          <w:szCs w:val="24"/>
        </w:rPr>
        <w:t xml:space="preserve">MMM, which will enable simulation analysis and module for </w:t>
      </w:r>
      <w:r w:rsidR="007F78F5">
        <w:rPr>
          <w:rFonts w:ascii="Garamond" w:hAnsi="Garamond"/>
          <w:sz w:val="24"/>
          <w:szCs w:val="24"/>
        </w:rPr>
        <w:t>assessment of</w:t>
      </w:r>
      <w:r w:rsidRPr="00C32887">
        <w:rPr>
          <w:rFonts w:ascii="Garamond" w:hAnsi="Garamond"/>
          <w:sz w:val="24"/>
          <w:szCs w:val="24"/>
        </w:rPr>
        <w:t xml:space="preserve"> the impact of structural reforms, which enables the assessment of the impact of structural r</w:t>
      </w:r>
      <w:r w:rsidR="007F78F5">
        <w:rPr>
          <w:rFonts w:ascii="Garamond" w:hAnsi="Garamond"/>
          <w:sz w:val="24"/>
          <w:szCs w:val="24"/>
        </w:rPr>
        <w:t>eform measures (including policies</w:t>
      </w:r>
      <w:r w:rsidRPr="00C32887">
        <w:rPr>
          <w:rFonts w:ascii="Garamond" w:hAnsi="Garamond"/>
          <w:sz w:val="24"/>
          <w:szCs w:val="24"/>
        </w:rPr>
        <w:t xml:space="preserve"> </w:t>
      </w:r>
      <w:r w:rsidR="007F78F5">
        <w:rPr>
          <w:rFonts w:ascii="Garamond" w:hAnsi="Garamond"/>
          <w:sz w:val="24"/>
          <w:szCs w:val="24"/>
        </w:rPr>
        <w:t>proposed</w:t>
      </w:r>
      <w:r w:rsidRPr="00C32887">
        <w:rPr>
          <w:rFonts w:ascii="Garamond" w:hAnsi="Garamond"/>
          <w:sz w:val="24"/>
          <w:szCs w:val="24"/>
        </w:rPr>
        <w:t xml:space="preserve"> in the </w:t>
      </w:r>
      <w:r w:rsidR="007F78F5">
        <w:rPr>
          <w:rFonts w:ascii="Garamond" w:hAnsi="Garamond"/>
          <w:sz w:val="24"/>
          <w:szCs w:val="24"/>
        </w:rPr>
        <w:t xml:space="preserve">Economic Reform </w:t>
      </w:r>
      <w:r w:rsidR="00AB73F6" w:rsidRPr="00C32887">
        <w:rPr>
          <w:rFonts w:ascii="Garamond" w:hAnsi="Garamond"/>
          <w:sz w:val="24"/>
          <w:szCs w:val="24"/>
        </w:rPr>
        <w:t>Programme</w:t>
      </w:r>
      <w:r w:rsidRPr="00C32887">
        <w:rPr>
          <w:rFonts w:ascii="Garamond" w:hAnsi="Garamond"/>
          <w:sz w:val="24"/>
          <w:szCs w:val="24"/>
        </w:rPr>
        <w:t xml:space="preserve"> -ERP) </w:t>
      </w:r>
      <w:r w:rsidR="007F78F5">
        <w:rPr>
          <w:rFonts w:ascii="Garamond" w:hAnsi="Garamond"/>
          <w:sz w:val="24"/>
          <w:szCs w:val="24"/>
        </w:rPr>
        <w:t>on</w:t>
      </w:r>
      <w:r w:rsidRPr="00C32887">
        <w:rPr>
          <w:rFonts w:ascii="Garamond" w:hAnsi="Garamond"/>
          <w:sz w:val="24"/>
          <w:szCs w:val="24"/>
        </w:rPr>
        <w:t xml:space="preserve"> economic dev</w:t>
      </w:r>
      <w:r w:rsidR="007F78F5">
        <w:rPr>
          <w:rFonts w:ascii="Garamond" w:hAnsi="Garamond"/>
          <w:sz w:val="24"/>
          <w:szCs w:val="24"/>
        </w:rPr>
        <w:t xml:space="preserve">elopment, in order to support preparation of strategic </w:t>
      </w:r>
      <w:r w:rsidRPr="00C32887">
        <w:rPr>
          <w:rFonts w:ascii="Garamond" w:hAnsi="Garamond"/>
          <w:sz w:val="24"/>
          <w:szCs w:val="24"/>
        </w:rPr>
        <w:t xml:space="preserve">documents. </w:t>
      </w:r>
    </w:p>
    <w:p w:rsidR="004D1343" w:rsidRPr="00C32887" w:rsidRDefault="004D1343" w:rsidP="004D1343">
      <w:pPr>
        <w:rPr>
          <w:rFonts w:ascii="Garamond" w:hAnsi="Garamond"/>
          <w:sz w:val="24"/>
          <w:szCs w:val="24"/>
        </w:rPr>
      </w:pPr>
    </w:p>
    <w:p w:rsidR="004D1343" w:rsidRPr="00C32887" w:rsidRDefault="004D1343" w:rsidP="007F78F5">
      <w:pPr>
        <w:jc w:val="both"/>
        <w:rPr>
          <w:rFonts w:ascii="Garamond" w:hAnsi="Garamond"/>
          <w:sz w:val="24"/>
          <w:szCs w:val="24"/>
        </w:rPr>
      </w:pPr>
      <w:r w:rsidRPr="00C32887">
        <w:rPr>
          <w:rFonts w:ascii="Garamond" w:hAnsi="Garamond"/>
          <w:sz w:val="24"/>
          <w:szCs w:val="24"/>
        </w:rPr>
        <w:t xml:space="preserve">During the reporting period, the Directorate for Economic and Development Policy worked on improving the newly developed model for macroeconomic projections (MMM). The </w:t>
      </w:r>
      <w:r w:rsidR="007F78F5" w:rsidRPr="00C32887">
        <w:rPr>
          <w:rFonts w:ascii="Garamond" w:hAnsi="Garamond"/>
          <w:sz w:val="24"/>
          <w:szCs w:val="24"/>
        </w:rPr>
        <w:t>Montenegro Macroeconomic Mode</w:t>
      </w:r>
      <w:r w:rsidRPr="00C32887">
        <w:rPr>
          <w:rFonts w:ascii="Garamond" w:hAnsi="Garamond"/>
          <w:sz w:val="24"/>
          <w:szCs w:val="24"/>
        </w:rPr>
        <w:t xml:space="preserve">l (MMM) is constantly updated in accordance with the latest available data, </w:t>
      </w:r>
      <w:r w:rsidR="007A738F">
        <w:rPr>
          <w:rFonts w:ascii="Garamond" w:hAnsi="Garamond"/>
          <w:sz w:val="24"/>
          <w:szCs w:val="24"/>
        </w:rPr>
        <w:t>and</w:t>
      </w:r>
      <w:r w:rsidRPr="00C32887">
        <w:rPr>
          <w:rFonts w:ascii="Garamond" w:hAnsi="Garamond"/>
          <w:sz w:val="24"/>
          <w:szCs w:val="24"/>
        </w:rPr>
        <w:t xml:space="preserve"> at the end of 2020 it was updated with official statistics of </w:t>
      </w:r>
      <w:r w:rsidR="007F78F5" w:rsidRPr="00C32887">
        <w:rPr>
          <w:rFonts w:ascii="Garamond" w:hAnsi="Garamond"/>
          <w:sz w:val="24"/>
          <w:szCs w:val="24"/>
        </w:rPr>
        <w:t xml:space="preserve">MONSTAT </w:t>
      </w:r>
      <w:r w:rsidRPr="00C32887">
        <w:rPr>
          <w:rFonts w:ascii="Garamond" w:hAnsi="Garamond"/>
          <w:sz w:val="24"/>
          <w:szCs w:val="24"/>
        </w:rPr>
        <w:t xml:space="preserve">for </w:t>
      </w:r>
      <w:r w:rsidR="007F78F5">
        <w:rPr>
          <w:rFonts w:ascii="Garamond" w:hAnsi="Garamond"/>
          <w:sz w:val="24"/>
          <w:szCs w:val="24"/>
        </w:rPr>
        <w:t>Q3</w:t>
      </w:r>
      <w:r w:rsidRPr="00C32887">
        <w:rPr>
          <w:rFonts w:ascii="Garamond" w:hAnsi="Garamond"/>
          <w:sz w:val="24"/>
          <w:szCs w:val="24"/>
        </w:rPr>
        <w:t xml:space="preserve"> 2020 in terms of gross domestic product, relevant labo</w:t>
      </w:r>
      <w:r w:rsidR="000770EC">
        <w:rPr>
          <w:rFonts w:ascii="Garamond" w:hAnsi="Garamond"/>
          <w:sz w:val="24"/>
          <w:szCs w:val="24"/>
        </w:rPr>
        <w:t>u</w:t>
      </w:r>
      <w:r w:rsidR="0024352E">
        <w:rPr>
          <w:rFonts w:ascii="Garamond" w:hAnsi="Garamond"/>
          <w:sz w:val="24"/>
          <w:szCs w:val="24"/>
        </w:rPr>
        <w:t>r market indicators (s</w:t>
      </w:r>
      <w:r w:rsidRPr="00C32887">
        <w:rPr>
          <w:rFonts w:ascii="Garamond" w:hAnsi="Garamond"/>
          <w:sz w:val="24"/>
          <w:szCs w:val="24"/>
        </w:rPr>
        <w:t>urvey on labo</w:t>
      </w:r>
      <w:r w:rsidR="007A738F">
        <w:rPr>
          <w:rFonts w:ascii="Garamond" w:hAnsi="Garamond"/>
          <w:sz w:val="24"/>
          <w:szCs w:val="24"/>
        </w:rPr>
        <w:t>u</w:t>
      </w:r>
      <w:r w:rsidRPr="00C32887">
        <w:rPr>
          <w:rFonts w:ascii="Garamond" w:hAnsi="Garamond"/>
          <w:sz w:val="24"/>
          <w:szCs w:val="24"/>
        </w:rPr>
        <w:t xml:space="preserve">r force), as well as with data on fiscal costs of individual structural reforms and infrastructure projects. Despite the </w:t>
      </w:r>
      <w:r w:rsidR="0024352E">
        <w:rPr>
          <w:rFonts w:ascii="Garamond" w:hAnsi="Garamond"/>
          <w:sz w:val="24"/>
          <w:szCs w:val="24"/>
        </w:rPr>
        <w:t>exercised</w:t>
      </w:r>
      <w:r w:rsidRPr="00C32887">
        <w:rPr>
          <w:rFonts w:ascii="Garamond" w:hAnsi="Garamond"/>
          <w:sz w:val="24"/>
          <w:szCs w:val="24"/>
        </w:rPr>
        <w:t xml:space="preserve"> legal ri</w:t>
      </w:r>
      <w:r w:rsidR="0024352E">
        <w:rPr>
          <w:rFonts w:ascii="Garamond" w:hAnsi="Garamond"/>
          <w:sz w:val="24"/>
          <w:szCs w:val="24"/>
        </w:rPr>
        <w:t xml:space="preserve">ght of three employees in 2020 </w:t>
      </w:r>
      <w:r w:rsidRPr="00C32887">
        <w:rPr>
          <w:rFonts w:ascii="Garamond" w:hAnsi="Garamond"/>
          <w:sz w:val="24"/>
          <w:szCs w:val="24"/>
        </w:rPr>
        <w:t xml:space="preserve">to the old-age pension, in accordance with the </w:t>
      </w:r>
      <w:r w:rsidR="0024352E">
        <w:rPr>
          <w:rFonts w:ascii="Garamond" w:hAnsi="Garamond"/>
          <w:sz w:val="24"/>
          <w:szCs w:val="24"/>
        </w:rPr>
        <w:t>public</w:t>
      </w:r>
      <w:r w:rsidR="0024352E" w:rsidRPr="00C32887">
        <w:rPr>
          <w:rFonts w:ascii="Garamond" w:hAnsi="Garamond"/>
          <w:sz w:val="24"/>
          <w:szCs w:val="24"/>
        </w:rPr>
        <w:t xml:space="preserve"> administration </w:t>
      </w:r>
      <w:r w:rsidRPr="00C32887">
        <w:rPr>
          <w:rFonts w:ascii="Garamond" w:hAnsi="Garamond"/>
          <w:sz w:val="24"/>
          <w:szCs w:val="24"/>
        </w:rPr>
        <w:t>reorgani</w:t>
      </w:r>
      <w:r w:rsidR="00F254DD">
        <w:rPr>
          <w:rFonts w:ascii="Garamond" w:hAnsi="Garamond"/>
          <w:sz w:val="24"/>
          <w:szCs w:val="24"/>
        </w:rPr>
        <w:t>sation</w:t>
      </w:r>
      <w:r w:rsidRPr="00C32887">
        <w:rPr>
          <w:rFonts w:ascii="Garamond" w:hAnsi="Garamond"/>
          <w:sz w:val="24"/>
          <w:szCs w:val="24"/>
        </w:rPr>
        <w:t xml:space="preserve">, the quality of work was maintained in </w:t>
      </w:r>
      <w:r w:rsidR="0024352E" w:rsidRPr="00C32887">
        <w:rPr>
          <w:rFonts w:ascii="Garamond" w:hAnsi="Garamond"/>
          <w:sz w:val="24"/>
          <w:szCs w:val="24"/>
        </w:rPr>
        <w:t xml:space="preserve">the previous year in </w:t>
      </w:r>
      <w:r w:rsidRPr="00C32887">
        <w:rPr>
          <w:rFonts w:ascii="Garamond" w:hAnsi="Garamond"/>
          <w:sz w:val="24"/>
          <w:szCs w:val="24"/>
        </w:rPr>
        <w:t xml:space="preserve">the context of the staff structure </w:t>
      </w:r>
      <w:r w:rsidR="0024352E">
        <w:rPr>
          <w:rFonts w:ascii="Garamond" w:hAnsi="Garamond"/>
          <w:sz w:val="24"/>
          <w:szCs w:val="24"/>
        </w:rPr>
        <w:t>of</w:t>
      </w:r>
      <w:r w:rsidRPr="00C32887">
        <w:rPr>
          <w:rFonts w:ascii="Garamond" w:hAnsi="Garamond"/>
          <w:sz w:val="24"/>
          <w:szCs w:val="24"/>
        </w:rPr>
        <w:t xml:space="preserve"> the Directorate, where one person was additionally hired to work on the MMM model.</w:t>
      </w:r>
      <w:r w:rsidR="0024352E">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0770EC">
      <w:pPr>
        <w:jc w:val="both"/>
        <w:rPr>
          <w:rFonts w:ascii="Garamond" w:hAnsi="Garamond"/>
          <w:sz w:val="24"/>
          <w:szCs w:val="24"/>
        </w:rPr>
      </w:pPr>
      <w:r w:rsidRPr="00C32887">
        <w:rPr>
          <w:rFonts w:ascii="Garamond" w:hAnsi="Garamond"/>
          <w:sz w:val="24"/>
          <w:szCs w:val="24"/>
        </w:rPr>
        <w:t xml:space="preserve">During the reporting period, employees who are actively working on the implementation and use of model solutions in the Directorate have successfully completed several trainings </w:t>
      </w:r>
      <w:r w:rsidR="00D2080A">
        <w:rPr>
          <w:rFonts w:ascii="Garamond" w:hAnsi="Garamond"/>
          <w:sz w:val="24"/>
          <w:szCs w:val="24"/>
        </w:rPr>
        <w:t>organised</w:t>
      </w:r>
      <w:r w:rsidRPr="00C32887">
        <w:rPr>
          <w:rFonts w:ascii="Garamond" w:hAnsi="Garamond"/>
          <w:sz w:val="24"/>
          <w:szCs w:val="24"/>
        </w:rPr>
        <w:t xml:space="preserve"> by CEF (C</w:t>
      </w:r>
      <w:r w:rsidR="008C610C">
        <w:rPr>
          <w:rFonts w:ascii="Garamond" w:hAnsi="Garamond"/>
          <w:sz w:val="24"/>
          <w:szCs w:val="24"/>
        </w:rPr>
        <w:t>enter of Excellence in Finance)</w:t>
      </w:r>
      <w:r w:rsidRPr="00C32887">
        <w:rPr>
          <w:rFonts w:ascii="Garamond" w:hAnsi="Garamond"/>
          <w:sz w:val="24"/>
          <w:szCs w:val="24"/>
        </w:rPr>
        <w:t xml:space="preserve"> </w:t>
      </w:r>
      <w:r w:rsidR="0024352E">
        <w:rPr>
          <w:rFonts w:ascii="Garamond" w:hAnsi="Garamond"/>
          <w:sz w:val="24"/>
          <w:szCs w:val="24"/>
        </w:rPr>
        <w:t xml:space="preserve">of </w:t>
      </w:r>
      <w:r w:rsidRPr="00C32887">
        <w:rPr>
          <w:rFonts w:ascii="Garamond" w:hAnsi="Garamond"/>
          <w:sz w:val="24"/>
          <w:szCs w:val="24"/>
        </w:rPr>
        <w:t xml:space="preserve">the International Monetary Fund. The trainings </w:t>
      </w:r>
      <w:r w:rsidR="00D2080A">
        <w:rPr>
          <w:rFonts w:ascii="Garamond" w:hAnsi="Garamond"/>
          <w:sz w:val="24"/>
          <w:szCs w:val="24"/>
        </w:rPr>
        <w:t>organised</w:t>
      </w:r>
      <w:r w:rsidRPr="00C32887">
        <w:rPr>
          <w:rFonts w:ascii="Garamond" w:hAnsi="Garamond"/>
          <w:sz w:val="24"/>
          <w:szCs w:val="24"/>
        </w:rPr>
        <w:t xml:space="preserve"> by CEF were related to the fiscal costs of structural reforms, their integration into national budgets and measuring the impact of structural reforms on macroeconomic indicators. All these trainings are of great importance for the Economic Reform </w:t>
      </w:r>
      <w:r w:rsidR="00AB73F6" w:rsidRPr="00C32887">
        <w:rPr>
          <w:rFonts w:ascii="Garamond" w:hAnsi="Garamond"/>
          <w:sz w:val="24"/>
          <w:szCs w:val="24"/>
        </w:rPr>
        <w:t>Programme</w:t>
      </w:r>
      <w:r w:rsidRPr="00C32887">
        <w:rPr>
          <w:rFonts w:ascii="Garamond" w:hAnsi="Garamond"/>
          <w:sz w:val="24"/>
          <w:szCs w:val="24"/>
        </w:rPr>
        <w:t xml:space="preserve">, a key strategic document in the economic dialogue of Montenegro with the EU, </w:t>
      </w:r>
      <w:r w:rsidR="000770EC">
        <w:rPr>
          <w:rFonts w:ascii="Garamond" w:hAnsi="Garamond"/>
          <w:sz w:val="24"/>
          <w:szCs w:val="24"/>
        </w:rPr>
        <w:t xml:space="preserve">where </w:t>
      </w:r>
      <w:r w:rsidRPr="00C32887">
        <w:rPr>
          <w:rFonts w:ascii="Garamond" w:hAnsi="Garamond"/>
          <w:sz w:val="24"/>
          <w:szCs w:val="24"/>
        </w:rPr>
        <w:t xml:space="preserve">Chapter III - Macroeconomic Framework, </w:t>
      </w:r>
      <w:r w:rsidR="000770EC">
        <w:rPr>
          <w:rFonts w:ascii="Garamond" w:hAnsi="Garamond"/>
          <w:sz w:val="24"/>
          <w:szCs w:val="24"/>
        </w:rPr>
        <w:t xml:space="preserve">relies on </w:t>
      </w:r>
      <w:r w:rsidRPr="00C32887">
        <w:rPr>
          <w:rFonts w:ascii="Garamond" w:hAnsi="Garamond"/>
          <w:sz w:val="24"/>
          <w:szCs w:val="24"/>
        </w:rPr>
        <w:t>the MMM model to project the most important macroeconomic indicators in comb</w:t>
      </w:r>
      <w:r w:rsidR="000770EC">
        <w:rPr>
          <w:rFonts w:ascii="Garamond" w:hAnsi="Garamond"/>
          <w:sz w:val="24"/>
          <w:szCs w:val="24"/>
        </w:rPr>
        <w:t>ination with the existing model of the Directorate</w:t>
      </w:r>
      <w:r w:rsidRPr="00C32887">
        <w:rPr>
          <w:rFonts w:ascii="Garamond" w:hAnsi="Garamond"/>
          <w:sz w:val="24"/>
          <w:szCs w:val="24"/>
        </w:rPr>
        <w:t xml:space="preserve">, and the </w:t>
      </w:r>
      <w:r w:rsidR="000770EC">
        <w:rPr>
          <w:rFonts w:ascii="Garamond" w:hAnsi="Garamond"/>
          <w:sz w:val="24"/>
          <w:szCs w:val="24"/>
        </w:rPr>
        <w:t xml:space="preserve">assessment of the </w:t>
      </w:r>
      <w:r w:rsidRPr="00C32887">
        <w:rPr>
          <w:rFonts w:ascii="Garamond" w:hAnsi="Garamond"/>
          <w:sz w:val="24"/>
          <w:szCs w:val="24"/>
        </w:rPr>
        <w:t>impact of the construction of infrastructure projects o</w:t>
      </w:r>
      <w:r w:rsidR="000770EC">
        <w:rPr>
          <w:rFonts w:ascii="Garamond" w:hAnsi="Garamond"/>
          <w:sz w:val="24"/>
          <w:szCs w:val="24"/>
        </w:rPr>
        <w:t>n the economy is being assessed also</w:t>
      </w:r>
      <w:r w:rsidRPr="00C32887">
        <w:rPr>
          <w:rFonts w:ascii="Garamond" w:hAnsi="Garamond"/>
          <w:sz w:val="24"/>
          <w:szCs w:val="24"/>
        </w:rPr>
        <w:t xml:space="preserve">. The employees also successfully completed the trainings - Macroeconometric Design and Financial </w:t>
      </w:r>
      <w:r w:rsidR="00AB73F6" w:rsidRPr="00C32887">
        <w:rPr>
          <w:rFonts w:ascii="Garamond" w:hAnsi="Garamond"/>
          <w:sz w:val="24"/>
          <w:szCs w:val="24"/>
        </w:rPr>
        <w:t>Programm</w:t>
      </w:r>
      <w:r w:rsidRPr="00C32887">
        <w:rPr>
          <w:rFonts w:ascii="Garamond" w:hAnsi="Garamond"/>
          <w:sz w:val="24"/>
          <w:szCs w:val="24"/>
        </w:rPr>
        <w:t xml:space="preserve">ing, </w:t>
      </w:r>
      <w:r w:rsidR="00D2080A">
        <w:rPr>
          <w:rFonts w:ascii="Garamond" w:hAnsi="Garamond"/>
          <w:sz w:val="24"/>
          <w:szCs w:val="24"/>
        </w:rPr>
        <w:t>organised</w:t>
      </w:r>
      <w:r w:rsidRPr="00C32887">
        <w:rPr>
          <w:rFonts w:ascii="Garamond" w:hAnsi="Garamond"/>
          <w:sz w:val="24"/>
          <w:szCs w:val="24"/>
        </w:rPr>
        <w:t xml:space="preserve"> online by the International Monetary Fund.</w:t>
      </w:r>
    </w:p>
    <w:p w:rsidR="004D1343" w:rsidRPr="00C32887" w:rsidRDefault="004D1343" w:rsidP="004D1343">
      <w:pPr>
        <w:rPr>
          <w:rFonts w:ascii="Garamond" w:hAnsi="Garamond"/>
          <w:sz w:val="24"/>
          <w:szCs w:val="24"/>
        </w:rPr>
      </w:pPr>
    </w:p>
    <w:p w:rsidR="004D1343" w:rsidRPr="00C32887" w:rsidRDefault="004D1343" w:rsidP="000770EC">
      <w:pPr>
        <w:jc w:val="both"/>
        <w:rPr>
          <w:rFonts w:ascii="Garamond" w:hAnsi="Garamond"/>
          <w:sz w:val="24"/>
          <w:szCs w:val="24"/>
        </w:rPr>
      </w:pPr>
      <w:r w:rsidRPr="00C32887">
        <w:rPr>
          <w:rFonts w:ascii="Garamond" w:hAnsi="Garamond"/>
          <w:sz w:val="24"/>
          <w:szCs w:val="24"/>
        </w:rPr>
        <w:t xml:space="preserve">These have </w:t>
      </w:r>
      <w:r w:rsidR="002E21A2">
        <w:rPr>
          <w:rFonts w:ascii="Garamond" w:hAnsi="Garamond"/>
          <w:sz w:val="24"/>
          <w:szCs w:val="24"/>
        </w:rPr>
        <w:t xml:space="preserve">also </w:t>
      </w:r>
      <w:r w:rsidRPr="00C32887">
        <w:rPr>
          <w:rFonts w:ascii="Garamond" w:hAnsi="Garamond"/>
          <w:sz w:val="24"/>
          <w:szCs w:val="24"/>
        </w:rPr>
        <w:t xml:space="preserve">been identified as the most </w:t>
      </w:r>
      <w:r w:rsidR="00DC1448">
        <w:rPr>
          <w:rFonts w:ascii="Garamond" w:hAnsi="Garamond"/>
          <w:sz w:val="24"/>
          <w:szCs w:val="24"/>
        </w:rPr>
        <w:t>significant</w:t>
      </w:r>
      <w:r w:rsidRPr="00C32887">
        <w:rPr>
          <w:rFonts w:ascii="Garamond" w:hAnsi="Garamond"/>
          <w:sz w:val="24"/>
          <w:szCs w:val="24"/>
        </w:rPr>
        <w:t xml:space="preserve"> risks in the Directorate in terms of full implementation of the new model (MMM), insufficient number of employees qualified for macroeconomic projections and insufficient number of trainings related to macroeconomic and financial </w:t>
      </w:r>
      <w:r w:rsidR="000770EC">
        <w:rPr>
          <w:rFonts w:ascii="Garamond" w:hAnsi="Garamond"/>
          <w:sz w:val="24"/>
          <w:szCs w:val="24"/>
        </w:rPr>
        <w:t>p</w:t>
      </w:r>
      <w:r w:rsidR="00AB73F6" w:rsidRPr="00C32887">
        <w:rPr>
          <w:rFonts w:ascii="Garamond" w:hAnsi="Garamond"/>
          <w:sz w:val="24"/>
          <w:szCs w:val="24"/>
        </w:rPr>
        <w:t>rogramm</w:t>
      </w:r>
      <w:r w:rsidRPr="00C32887">
        <w:rPr>
          <w:rFonts w:ascii="Garamond" w:hAnsi="Garamond"/>
          <w:sz w:val="24"/>
          <w:szCs w:val="24"/>
        </w:rPr>
        <w:t xml:space="preserve">ing. As stated, the Directorate carried out a number of activities in the reporting period in order to improve work processes and increase the quality of macroeconomic forecasts. </w:t>
      </w:r>
      <w:r w:rsidR="000770EC">
        <w:rPr>
          <w:rFonts w:ascii="Garamond" w:hAnsi="Garamond"/>
          <w:sz w:val="24"/>
          <w:szCs w:val="24"/>
        </w:rPr>
        <w:t>Continuous</w:t>
      </w:r>
      <w:r w:rsidRPr="00C32887">
        <w:rPr>
          <w:rFonts w:ascii="Garamond" w:hAnsi="Garamond"/>
          <w:sz w:val="24"/>
          <w:szCs w:val="24"/>
        </w:rPr>
        <w:t xml:space="preserve"> training </w:t>
      </w:r>
      <w:r w:rsidR="000770EC">
        <w:rPr>
          <w:rFonts w:ascii="Garamond" w:hAnsi="Garamond"/>
          <w:sz w:val="24"/>
          <w:szCs w:val="24"/>
        </w:rPr>
        <w:t xml:space="preserve">of </w:t>
      </w:r>
      <w:r w:rsidRPr="00C32887">
        <w:rPr>
          <w:rFonts w:ascii="Garamond" w:hAnsi="Garamond"/>
          <w:sz w:val="24"/>
          <w:szCs w:val="24"/>
        </w:rPr>
        <w:t>employees gradually fulfill</w:t>
      </w:r>
      <w:r w:rsidR="00AC4D69">
        <w:rPr>
          <w:rFonts w:ascii="Garamond" w:hAnsi="Garamond"/>
          <w:sz w:val="24"/>
          <w:szCs w:val="24"/>
        </w:rPr>
        <w:t>ed</w:t>
      </w:r>
      <w:r w:rsidRPr="00C32887">
        <w:rPr>
          <w:rFonts w:ascii="Garamond" w:hAnsi="Garamond"/>
          <w:sz w:val="24"/>
          <w:szCs w:val="24"/>
        </w:rPr>
        <w:t xml:space="preserve"> the recommendations of experts who have worked on the development and establishment of the </w:t>
      </w:r>
      <w:r w:rsidR="00AC4D69" w:rsidRPr="00C32887">
        <w:rPr>
          <w:rFonts w:ascii="Garamond" w:hAnsi="Garamond"/>
          <w:sz w:val="24"/>
          <w:szCs w:val="24"/>
        </w:rPr>
        <w:t xml:space="preserve">MMM </w:t>
      </w:r>
      <w:r w:rsidRPr="00C32887">
        <w:rPr>
          <w:rFonts w:ascii="Garamond" w:hAnsi="Garamond"/>
          <w:sz w:val="24"/>
          <w:szCs w:val="24"/>
        </w:rPr>
        <w:t>Model. In order to maxim</w:t>
      </w:r>
      <w:r w:rsidR="00A113DA">
        <w:rPr>
          <w:rFonts w:ascii="Garamond" w:hAnsi="Garamond"/>
          <w:sz w:val="24"/>
          <w:szCs w:val="24"/>
        </w:rPr>
        <w:t>ise</w:t>
      </w:r>
      <w:r w:rsidRPr="00C32887">
        <w:rPr>
          <w:rFonts w:ascii="Garamond" w:hAnsi="Garamond"/>
          <w:sz w:val="24"/>
          <w:szCs w:val="24"/>
        </w:rPr>
        <w:t xml:space="preserve"> the full capacity and functionality of the model, the Directorate for Economic and Development Policy in the reporting period </w:t>
      </w:r>
      <w:r w:rsidR="00AC4D69">
        <w:rPr>
          <w:rFonts w:ascii="Garamond" w:hAnsi="Garamond"/>
          <w:sz w:val="24"/>
          <w:szCs w:val="24"/>
        </w:rPr>
        <w:t>initiated</w:t>
      </w:r>
      <w:r w:rsidRPr="00C32887">
        <w:rPr>
          <w:rFonts w:ascii="Garamond" w:hAnsi="Garamond"/>
          <w:sz w:val="24"/>
          <w:szCs w:val="24"/>
        </w:rPr>
        <w:t xml:space="preserve"> additional project cycle and </w:t>
      </w:r>
      <w:r w:rsidR="00AC4D69">
        <w:rPr>
          <w:rFonts w:ascii="Garamond" w:hAnsi="Garamond"/>
          <w:sz w:val="24"/>
          <w:szCs w:val="24"/>
        </w:rPr>
        <w:t xml:space="preserve">asked </w:t>
      </w:r>
      <w:r w:rsidR="002E21A2">
        <w:rPr>
          <w:rFonts w:ascii="Garamond" w:hAnsi="Garamond"/>
          <w:sz w:val="24"/>
          <w:szCs w:val="24"/>
        </w:rPr>
        <w:t xml:space="preserve">for </w:t>
      </w:r>
      <w:r w:rsidRPr="00C32887">
        <w:rPr>
          <w:rFonts w:ascii="Garamond" w:hAnsi="Garamond"/>
          <w:sz w:val="24"/>
          <w:szCs w:val="24"/>
        </w:rPr>
        <w:t>professional and t</w:t>
      </w:r>
      <w:r w:rsidR="00AC4D69">
        <w:rPr>
          <w:rFonts w:ascii="Garamond" w:hAnsi="Garamond"/>
          <w:sz w:val="24"/>
          <w:szCs w:val="24"/>
        </w:rPr>
        <w:t>echnical assistance, which will, among other things</w:t>
      </w:r>
      <w:r w:rsidRPr="00C32887">
        <w:rPr>
          <w:rFonts w:ascii="Garamond" w:hAnsi="Garamond"/>
          <w:sz w:val="24"/>
          <w:szCs w:val="24"/>
        </w:rPr>
        <w:t>, include improv</w:t>
      </w:r>
      <w:r w:rsidR="00DC1448">
        <w:rPr>
          <w:rFonts w:ascii="Garamond" w:hAnsi="Garamond"/>
          <w:sz w:val="24"/>
          <w:szCs w:val="24"/>
        </w:rPr>
        <w:t>ed</w:t>
      </w:r>
      <w:r w:rsidRPr="00C32887">
        <w:rPr>
          <w:rFonts w:ascii="Garamond" w:hAnsi="Garamond"/>
          <w:sz w:val="24"/>
          <w:szCs w:val="24"/>
        </w:rPr>
        <w:t xml:space="preserve"> econometric knowledge of employees, manag</w:t>
      </w:r>
      <w:r w:rsidR="00AC4D69">
        <w:rPr>
          <w:rFonts w:ascii="Garamond" w:hAnsi="Garamond"/>
          <w:sz w:val="24"/>
          <w:szCs w:val="24"/>
        </w:rPr>
        <w:t>ement of newly developed models</w:t>
      </w:r>
      <w:r w:rsidRPr="00C32887">
        <w:rPr>
          <w:rFonts w:ascii="Garamond" w:hAnsi="Garamond"/>
          <w:sz w:val="24"/>
          <w:szCs w:val="24"/>
        </w:rPr>
        <w:t xml:space="preserve">, as well as developing </w:t>
      </w:r>
      <w:r w:rsidR="00AC4D69">
        <w:rPr>
          <w:rFonts w:ascii="Garamond" w:hAnsi="Garamond"/>
          <w:sz w:val="24"/>
          <w:szCs w:val="24"/>
        </w:rPr>
        <w:t>p</w:t>
      </w:r>
      <w:r w:rsidR="00AB73F6" w:rsidRPr="00C32887">
        <w:rPr>
          <w:rFonts w:ascii="Garamond" w:hAnsi="Garamond"/>
          <w:sz w:val="24"/>
          <w:szCs w:val="24"/>
        </w:rPr>
        <w:t>rogramm</w:t>
      </w:r>
      <w:r w:rsidRPr="00C32887">
        <w:rPr>
          <w:rFonts w:ascii="Garamond" w:hAnsi="Garamond"/>
          <w:sz w:val="24"/>
          <w:szCs w:val="24"/>
        </w:rPr>
        <w:t>ing skills in EViews econometric software, which is an integral part</w:t>
      </w:r>
      <w:r w:rsidR="00DC1448">
        <w:rPr>
          <w:rFonts w:ascii="Garamond" w:hAnsi="Garamond"/>
          <w:sz w:val="24"/>
          <w:szCs w:val="24"/>
        </w:rPr>
        <w:t xml:space="preserve"> of the model software solution</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AC4D69">
      <w:pPr>
        <w:jc w:val="both"/>
        <w:rPr>
          <w:rFonts w:ascii="Garamond" w:hAnsi="Garamond"/>
          <w:sz w:val="24"/>
          <w:szCs w:val="24"/>
        </w:rPr>
      </w:pPr>
      <w:r w:rsidRPr="00C32887">
        <w:rPr>
          <w:rFonts w:ascii="Garamond" w:hAnsi="Garamond"/>
          <w:sz w:val="24"/>
          <w:szCs w:val="24"/>
        </w:rPr>
        <w:t xml:space="preserve">The new model for macroeconomic projections MMM was also used </w:t>
      </w:r>
      <w:r w:rsidR="00A113DA">
        <w:rPr>
          <w:rFonts w:ascii="Garamond" w:hAnsi="Garamond"/>
          <w:sz w:val="24"/>
          <w:szCs w:val="24"/>
        </w:rPr>
        <w:t>to</w:t>
      </w:r>
      <w:r w:rsidRPr="00C32887">
        <w:rPr>
          <w:rFonts w:ascii="Garamond" w:hAnsi="Garamond"/>
          <w:sz w:val="24"/>
          <w:szCs w:val="24"/>
        </w:rPr>
        <w:t xml:space="preserve"> develop several scenarios of economic trends and the impact of the </w:t>
      </w:r>
      <w:r w:rsidR="00AC4D69" w:rsidRPr="00C32887">
        <w:rPr>
          <w:rFonts w:ascii="Garamond" w:hAnsi="Garamond"/>
          <w:sz w:val="24"/>
          <w:szCs w:val="24"/>
        </w:rPr>
        <w:t>COVID</w:t>
      </w:r>
      <w:r w:rsidRPr="00C32887">
        <w:rPr>
          <w:rFonts w:ascii="Garamond" w:hAnsi="Garamond"/>
          <w:sz w:val="24"/>
          <w:szCs w:val="24"/>
        </w:rPr>
        <w:t xml:space="preserve">-19 crisis on economic parameters in the current year and </w:t>
      </w:r>
      <w:r w:rsidR="002E21A2">
        <w:rPr>
          <w:rFonts w:ascii="Garamond" w:hAnsi="Garamond"/>
          <w:sz w:val="24"/>
          <w:szCs w:val="24"/>
        </w:rPr>
        <w:t>in medium-</w:t>
      </w:r>
      <w:r w:rsidRPr="00C32887">
        <w:rPr>
          <w:rFonts w:ascii="Garamond" w:hAnsi="Garamond"/>
          <w:sz w:val="24"/>
          <w:szCs w:val="24"/>
        </w:rPr>
        <w:t>term. For further development of the Model, through the</w:t>
      </w:r>
      <w:r w:rsidR="00AC4D69">
        <w:rPr>
          <w:rFonts w:ascii="Garamond" w:hAnsi="Garamond"/>
          <w:sz w:val="24"/>
          <w:szCs w:val="24"/>
        </w:rPr>
        <w:t xml:space="preserve"> implementation of the project </w:t>
      </w:r>
      <w:r w:rsidR="00C13A74">
        <w:rPr>
          <w:rFonts w:ascii="Garamond" w:hAnsi="Garamond"/>
          <w:sz w:val="24"/>
          <w:szCs w:val="24"/>
        </w:rPr>
        <w:t>‘</w:t>
      </w:r>
      <w:r w:rsidRPr="00C32887">
        <w:rPr>
          <w:rFonts w:ascii="Garamond" w:hAnsi="Garamond"/>
          <w:sz w:val="24"/>
          <w:szCs w:val="24"/>
        </w:rPr>
        <w:t>Strengthening transparent and responsible management o</w:t>
      </w:r>
      <w:r w:rsidR="00AC4D69">
        <w:rPr>
          <w:rFonts w:ascii="Garamond" w:hAnsi="Garamond"/>
          <w:sz w:val="24"/>
          <w:szCs w:val="24"/>
        </w:rPr>
        <w:t>f public finances in Montenegro</w:t>
      </w:r>
      <w:r w:rsidR="00C13A74">
        <w:rPr>
          <w:rFonts w:ascii="Garamond" w:hAnsi="Garamond"/>
          <w:sz w:val="24"/>
          <w:szCs w:val="24"/>
        </w:rPr>
        <w:t>’</w:t>
      </w:r>
      <w:r w:rsidRPr="00C32887">
        <w:rPr>
          <w:rFonts w:ascii="Garamond" w:hAnsi="Garamond"/>
          <w:sz w:val="24"/>
          <w:szCs w:val="24"/>
        </w:rPr>
        <w:t xml:space="preserve"> technical assistance </w:t>
      </w:r>
      <w:r w:rsidR="00AC4D69">
        <w:rPr>
          <w:rFonts w:ascii="Garamond" w:hAnsi="Garamond"/>
          <w:sz w:val="24"/>
          <w:szCs w:val="24"/>
        </w:rPr>
        <w:t>of</w:t>
      </w:r>
      <w:r w:rsidRPr="00C32887">
        <w:rPr>
          <w:rFonts w:ascii="Garamond" w:hAnsi="Garamond"/>
          <w:sz w:val="24"/>
          <w:szCs w:val="24"/>
        </w:rPr>
        <w:t xml:space="preserve"> Slovak experts</w:t>
      </w:r>
      <w:r w:rsidR="00AC4D69" w:rsidRPr="00AC4D69">
        <w:rPr>
          <w:rFonts w:ascii="Garamond" w:hAnsi="Garamond"/>
          <w:sz w:val="24"/>
          <w:szCs w:val="24"/>
        </w:rPr>
        <w:t xml:space="preserve"> </w:t>
      </w:r>
      <w:r w:rsidR="00AC4D69">
        <w:rPr>
          <w:rFonts w:ascii="Garamond" w:hAnsi="Garamond"/>
          <w:sz w:val="24"/>
          <w:szCs w:val="24"/>
        </w:rPr>
        <w:t xml:space="preserve">was </w:t>
      </w:r>
      <w:r w:rsidR="00AC4D69" w:rsidRPr="00C32887">
        <w:rPr>
          <w:rFonts w:ascii="Garamond" w:hAnsi="Garamond"/>
          <w:sz w:val="24"/>
          <w:szCs w:val="24"/>
        </w:rPr>
        <w:t>provided</w:t>
      </w:r>
      <w:r w:rsidRPr="00C32887">
        <w:rPr>
          <w:rFonts w:ascii="Garamond" w:hAnsi="Garamond"/>
          <w:sz w:val="24"/>
          <w:szCs w:val="24"/>
        </w:rPr>
        <w:t xml:space="preserve">, which </w:t>
      </w:r>
      <w:r w:rsidR="002E21A2">
        <w:rPr>
          <w:rFonts w:ascii="Garamond" w:hAnsi="Garamond"/>
          <w:sz w:val="24"/>
          <w:szCs w:val="24"/>
        </w:rPr>
        <w:t>was</w:t>
      </w:r>
      <w:r w:rsidRPr="00C32887">
        <w:rPr>
          <w:rFonts w:ascii="Garamond" w:hAnsi="Garamond"/>
          <w:sz w:val="24"/>
          <w:szCs w:val="24"/>
        </w:rPr>
        <w:t xml:space="preserve"> not implemented at the desired pace due to the global </w:t>
      </w:r>
      <w:r w:rsidR="00AC4D69">
        <w:rPr>
          <w:rFonts w:ascii="Garamond" w:hAnsi="Garamond"/>
          <w:sz w:val="24"/>
          <w:szCs w:val="24"/>
        </w:rPr>
        <w:t>COVID-</w:t>
      </w:r>
      <w:r w:rsidRPr="00C32887">
        <w:rPr>
          <w:rFonts w:ascii="Garamond" w:hAnsi="Garamond"/>
          <w:sz w:val="24"/>
          <w:szCs w:val="24"/>
        </w:rPr>
        <w:t>19</w:t>
      </w:r>
      <w:r w:rsidR="00AC4D69" w:rsidRPr="00AC4D69">
        <w:rPr>
          <w:rFonts w:ascii="Garamond" w:hAnsi="Garamond"/>
          <w:sz w:val="24"/>
          <w:szCs w:val="24"/>
        </w:rPr>
        <w:t xml:space="preserve"> </w:t>
      </w:r>
      <w:r w:rsidR="00AC4D69" w:rsidRPr="00C32887">
        <w:rPr>
          <w:rFonts w:ascii="Garamond" w:hAnsi="Garamond"/>
          <w:sz w:val="24"/>
          <w:szCs w:val="24"/>
        </w:rPr>
        <w:t>pandemic</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AC4D69">
      <w:pPr>
        <w:jc w:val="both"/>
        <w:rPr>
          <w:rFonts w:ascii="Garamond" w:hAnsi="Garamond"/>
          <w:sz w:val="24"/>
          <w:szCs w:val="24"/>
        </w:rPr>
      </w:pPr>
      <w:r w:rsidRPr="00C32887">
        <w:rPr>
          <w:rFonts w:ascii="Garamond" w:hAnsi="Garamond"/>
          <w:sz w:val="24"/>
          <w:szCs w:val="24"/>
        </w:rPr>
        <w:t xml:space="preserve">The target value of the performance indicator, which refers to the improvement of macroeconomic indicator projections and further training of employees to work on the MMM model, was partially implemented in the reporting period, as it is a continuous process, which is expected to be completed by the end of 2024. </w:t>
      </w:r>
      <w:r w:rsidR="00481CF4">
        <w:rPr>
          <w:rFonts w:ascii="Garamond" w:hAnsi="Garamond"/>
          <w:sz w:val="24"/>
          <w:szCs w:val="24"/>
        </w:rPr>
        <w:t>After that</w:t>
      </w:r>
      <w:r w:rsidRPr="00C32887">
        <w:rPr>
          <w:rFonts w:ascii="Garamond" w:hAnsi="Garamond"/>
          <w:sz w:val="24"/>
          <w:szCs w:val="24"/>
        </w:rPr>
        <w:t>, according to the recommendations of experts, the MMM model is expected</w:t>
      </w:r>
      <w:r w:rsidR="007238B0">
        <w:rPr>
          <w:rFonts w:ascii="Garamond" w:hAnsi="Garamond"/>
          <w:sz w:val="24"/>
          <w:szCs w:val="24"/>
        </w:rPr>
        <w:t xml:space="preserve"> to be </w:t>
      </w:r>
      <w:r w:rsidR="007238B0" w:rsidRPr="00C32887">
        <w:rPr>
          <w:rFonts w:ascii="Garamond" w:hAnsi="Garamond"/>
          <w:sz w:val="24"/>
          <w:szCs w:val="24"/>
        </w:rPr>
        <w:t>full</w:t>
      </w:r>
      <w:r w:rsidR="007238B0">
        <w:rPr>
          <w:rFonts w:ascii="Garamond" w:hAnsi="Garamond"/>
          <w:sz w:val="24"/>
          <w:szCs w:val="24"/>
        </w:rPr>
        <w:t>y operational</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AC4D69">
      <w:pPr>
        <w:jc w:val="both"/>
        <w:rPr>
          <w:rFonts w:ascii="Garamond" w:hAnsi="Garamond"/>
          <w:sz w:val="24"/>
          <w:szCs w:val="24"/>
        </w:rPr>
      </w:pPr>
      <w:r w:rsidRPr="00C32887">
        <w:rPr>
          <w:rFonts w:ascii="Garamond" w:hAnsi="Garamond"/>
          <w:sz w:val="24"/>
          <w:szCs w:val="24"/>
        </w:rPr>
        <w:t>The target value of t</w:t>
      </w:r>
      <w:r w:rsidR="00481CF4">
        <w:rPr>
          <w:rFonts w:ascii="Garamond" w:hAnsi="Garamond"/>
          <w:sz w:val="24"/>
          <w:szCs w:val="24"/>
        </w:rPr>
        <w:t>he second performance indicator</w:t>
      </w:r>
      <w:r w:rsidRPr="00C32887">
        <w:rPr>
          <w:rFonts w:ascii="Garamond" w:hAnsi="Garamond"/>
          <w:sz w:val="24"/>
          <w:szCs w:val="24"/>
        </w:rPr>
        <w:t>, minimi</w:t>
      </w:r>
      <w:r w:rsidR="00F254DD">
        <w:rPr>
          <w:rFonts w:ascii="Garamond" w:hAnsi="Garamond"/>
          <w:sz w:val="24"/>
          <w:szCs w:val="24"/>
        </w:rPr>
        <w:t>sation</w:t>
      </w:r>
      <w:r w:rsidRPr="00C32887">
        <w:rPr>
          <w:rFonts w:ascii="Garamond" w:hAnsi="Garamond"/>
          <w:sz w:val="24"/>
          <w:szCs w:val="24"/>
        </w:rPr>
        <w:t xml:space="preserve"> of the difference between </w:t>
      </w:r>
      <w:r w:rsidR="00AC4D69">
        <w:rPr>
          <w:rFonts w:ascii="Garamond" w:hAnsi="Garamond"/>
          <w:sz w:val="24"/>
          <w:szCs w:val="24"/>
        </w:rPr>
        <w:t>the</w:t>
      </w:r>
      <w:r w:rsidRPr="00C32887">
        <w:rPr>
          <w:rFonts w:ascii="Garamond" w:hAnsi="Garamond"/>
          <w:sz w:val="24"/>
          <w:szCs w:val="24"/>
        </w:rPr>
        <w:t xml:space="preserve"> plan </w:t>
      </w:r>
      <w:r w:rsidR="00AC4D69" w:rsidRPr="00C32887">
        <w:rPr>
          <w:rFonts w:ascii="Garamond" w:hAnsi="Garamond"/>
          <w:sz w:val="24"/>
          <w:szCs w:val="24"/>
        </w:rPr>
        <w:t xml:space="preserve">and </w:t>
      </w:r>
      <w:r w:rsidR="00AC4D69">
        <w:rPr>
          <w:rFonts w:ascii="Garamond" w:hAnsi="Garamond"/>
          <w:sz w:val="24"/>
          <w:szCs w:val="24"/>
        </w:rPr>
        <w:t>implementation</w:t>
      </w:r>
      <w:r w:rsidRPr="00C32887">
        <w:rPr>
          <w:rFonts w:ascii="Garamond" w:hAnsi="Garamond"/>
          <w:sz w:val="24"/>
          <w:szCs w:val="24"/>
        </w:rPr>
        <w:t xml:space="preserve">, </w:t>
      </w:r>
      <w:r w:rsidR="00481CF4">
        <w:rPr>
          <w:rFonts w:ascii="Garamond" w:hAnsi="Garamond"/>
          <w:sz w:val="24"/>
          <w:szCs w:val="24"/>
        </w:rPr>
        <w:t xml:space="preserve">has </w:t>
      </w:r>
      <w:r w:rsidRPr="00C32887">
        <w:rPr>
          <w:rFonts w:ascii="Garamond" w:hAnsi="Garamond"/>
          <w:sz w:val="24"/>
          <w:szCs w:val="24"/>
        </w:rPr>
        <w:t>not been reali</w:t>
      </w:r>
      <w:r w:rsidR="00371F6C">
        <w:rPr>
          <w:rFonts w:ascii="Garamond" w:hAnsi="Garamond"/>
          <w:sz w:val="24"/>
          <w:szCs w:val="24"/>
        </w:rPr>
        <w:t>sed</w:t>
      </w:r>
      <w:r w:rsidRPr="00C32887">
        <w:rPr>
          <w:rFonts w:ascii="Garamond" w:hAnsi="Garamond"/>
          <w:sz w:val="24"/>
          <w:szCs w:val="24"/>
        </w:rPr>
        <w:t xml:space="preserve"> due to a lower consistency </w:t>
      </w:r>
      <w:r w:rsidR="00AC4D69">
        <w:rPr>
          <w:rFonts w:ascii="Garamond" w:hAnsi="Garamond"/>
          <w:sz w:val="24"/>
          <w:szCs w:val="24"/>
        </w:rPr>
        <w:t>of</w:t>
      </w:r>
      <w:r w:rsidRPr="00C32887">
        <w:rPr>
          <w:rFonts w:ascii="Garamond" w:hAnsi="Garamond"/>
          <w:sz w:val="24"/>
          <w:szCs w:val="24"/>
        </w:rPr>
        <w:t xml:space="preserve"> MMM</w:t>
      </w:r>
      <w:r w:rsidR="00AC4D69">
        <w:rPr>
          <w:rFonts w:ascii="Garamond" w:hAnsi="Garamond"/>
          <w:sz w:val="24"/>
          <w:szCs w:val="24"/>
        </w:rPr>
        <w:t xml:space="preserve"> </w:t>
      </w:r>
      <w:r w:rsidRPr="00C32887">
        <w:rPr>
          <w:rFonts w:ascii="Garamond" w:hAnsi="Garamond"/>
          <w:sz w:val="24"/>
          <w:szCs w:val="24"/>
        </w:rPr>
        <w:t xml:space="preserve">conditioned </w:t>
      </w:r>
      <w:r w:rsidR="00AC4D69">
        <w:rPr>
          <w:rFonts w:ascii="Garamond" w:hAnsi="Garamond"/>
          <w:sz w:val="24"/>
          <w:szCs w:val="24"/>
        </w:rPr>
        <w:t xml:space="preserve">by </w:t>
      </w:r>
      <w:r w:rsidR="00AC4D69" w:rsidRPr="00C32887">
        <w:rPr>
          <w:rFonts w:ascii="Garamond" w:hAnsi="Garamond"/>
          <w:sz w:val="24"/>
          <w:szCs w:val="24"/>
        </w:rPr>
        <w:t xml:space="preserve">COVID-19 </w:t>
      </w:r>
      <w:r w:rsidRPr="00C32887">
        <w:rPr>
          <w:rFonts w:ascii="Garamond" w:hAnsi="Garamond"/>
          <w:sz w:val="24"/>
          <w:szCs w:val="24"/>
        </w:rPr>
        <w:t xml:space="preserve">crisis, which is generally characteristic of the </w:t>
      </w:r>
      <w:r w:rsidR="00AC4D69" w:rsidRPr="00C32887">
        <w:rPr>
          <w:rFonts w:ascii="Garamond" w:hAnsi="Garamond"/>
          <w:sz w:val="24"/>
          <w:szCs w:val="24"/>
        </w:rPr>
        <w:t>macro</w:t>
      </w:r>
      <w:r w:rsidR="00AC4D69">
        <w:rPr>
          <w:rFonts w:ascii="Garamond" w:hAnsi="Garamond"/>
          <w:sz w:val="24"/>
          <w:szCs w:val="24"/>
        </w:rPr>
        <w:t>economic</w:t>
      </w:r>
      <w:r w:rsidRPr="00C32887">
        <w:rPr>
          <w:rFonts w:ascii="Garamond" w:hAnsi="Garamond"/>
          <w:sz w:val="24"/>
          <w:szCs w:val="24"/>
        </w:rPr>
        <w:t xml:space="preserve"> model</w:t>
      </w:r>
      <w:r w:rsidR="00AC4D69">
        <w:rPr>
          <w:rFonts w:ascii="Garamond" w:hAnsi="Garamond"/>
          <w:sz w:val="24"/>
          <w:szCs w:val="24"/>
        </w:rPr>
        <w:t>s</w:t>
      </w:r>
      <w:r w:rsidRPr="00C32887">
        <w:rPr>
          <w:rFonts w:ascii="Garamond" w:hAnsi="Garamond"/>
          <w:sz w:val="24"/>
          <w:szCs w:val="24"/>
        </w:rPr>
        <w:t xml:space="preserve"> </w:t>
      </w:r>
      <w:r w:rsidR="00AC4D69">
        <w:rPr>
          <w:rFonts w:ascii="Garamond" w:hAnsi="Garamond"/>
          <w:sz w:val="24"/>
          <w:szCs w:val="24"/>
        </w:rPr>
        <w:t>in</w:t>
      </w:r>
      <w:r w:rsidR="00837F31">
        <w:rPr>
          <w:rFonts w:ascii="Garamond" w:hAnsi="Garamond"/>
          <w:sz w:val="24"/>
          <w:szCs w:val="24"/>
        </w:rPr>
        <w:t xml:space="preserve"> conditions of</w:t>
      </w:r>
      <w:r w:rsidRPr="00C32887">
        <w:rPr>
          <w:rFonts w:ascii="Garamond" w:hAnsi="Garamond"/>
          <w:sz w:val="24"/>
          <w:szCs w:val="24"/>
        </w:rPr>
        <w:t xml:space="preserve"> strong external, unforese</w:t>
      </w:r>
      <w:r w:rsidR="00DC1448">
        <w:rPr>
          <w:rFonts w:ascii="Garamond" w:hAnsi="Garamond"/>
          <w:sz w:val="24"/>
          <w:szCs w:val="24"/>
        </w:rPr>
        <w:t>en shocks. Therefore, the realis</w:t>
      </w:r>
      <w:r w:rsidRPr="00C32887">
        <w:rPr>
          <w:rFonts w:ascii="Garamond" w:hAnsi="Garamond"/>
          <w:sz w:val="24"/>
          <w:szCs w:val="24"/>
        </w:rPr>
        <w:t>ed GDP growth rate deviated significantly from the projected one.</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230E10" w:rsidRDefault="00230E10">
      <w:pPr>
        <w:rPr>
          <w:rFonts w:ascii="Garamond" w:hAnsi="Garamond"/>
          <w:sz w:val="24"/>
          <w:szCs w:val="24"/>
        </w:rPr>
      </w:pPr>
      <w:r>
        <w:rPr>
          <w:rFonts w:ascii="Garamond" w:hAnsi="Garamond"/>
          <w:sz w:val="24"/>
          <w:szCs w:val="24"/>
        </w:rPr>
        <w:br w:type="page"/>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tbl>
      <w:tblPr>
        <w:tblW w:w="5000" w:type="pct"/>
        <w:jc w:val="center"/>
        <w:tblLook w:val="04A0"/>
      </w:tblPr>
      <w:tblGrid>
        <w:gridCol w:w="1126"/>
        <w:gridCol w:w="994"/>
        <w:gridCol w:w="1127"/>
        <w:gridCol w:w="1127"/>
        <w:gridCol w:w="994"/>
        <w:gridCol w:w="1235"/>
        <w:gridCol w:w="1108"/>
        <w:gridCol w:w="1235"/>
        <w:gridCol w:w="630"/>
      </w:tblGrid>
      <w:tr w:rsidR="00837F31" w:rsidRPr="00837F31" w:rsidTr="00837F31">
        <w:trPr>
          <w:trHeight w:val="330"/>
          <w:jc w:val="center"/>
        </w:trPr>
        <w:tc>
          <w:tcPr>
            <w:tcW w:w="671" w:type="pct"/>
            <w:vMerge w:val="restart"/>
            <w:tcBorders>
              <w:top w:val="single" w:sz="18" w:space="0" w:color="auto"/>
              <w:left w:val="single" w:sz="18" w:space="0" w:color="auto"/>
              <w:bottom w:val="single" w:sz="2" w:space="0" w:color="auto"/>
              <w:right w:val="single" w:sz="12" w:space="0" w:color="auto"/>
            </w:tcBorders>
            <w:shd w:val="clear" w:color="auto" w:fill="auto"/>
            <w:vAlign w:val="center"/>
            <w:hideMark/>
          </w:tcPr>
          <w:p w:rsidR="00837F31" w:rsidRPr="00481CF4" w:rsidRDefault="00481CF4" w:rsidP="00E414FE">
            <w:pPr>
              <w:rPr>
                <w:rFonts w:ascii="Garamond" w:hAnsi="Garamond"/>
                <w:b/>
                <w:sz w:val="16"/>
                <w:szCs w:val="16"/>
              </w:rPr>
            </w:pPr>
            <w:r w:rsidRPr="00481CF4">
              <w:rPr>
                <w:rFonts w:ascii="Garamond" w:hAnsi="Garamond"/>
                <w:b/>
                <w:sz w:val="16"/>
                <w:szCs w:val="16"/>
              </w:rPr>
              <w:t>P</w:t>
            </w:r>
            <w:r w:rsidR="00837F31" w:rsidRPr="00481CF4">
              <w:rPr>
                <w:rFonts w:ascii="Garamond" w:hAnsi="Garamond"/>
                <w:b/>
                <w:sz w:val="16"/>
                <w:szCs w:val="16"/>
              </w:rPr>
              <w:t xml:space="preserve">erformance </w:t>
            </w:r>
            <w:r w:rsidRPr="00481CF4">
              <w:rPr>
                <w:rFonts w:ascii="Garamond" w:hAnsi="Garamond"/>
                <w:b/>
                <w:sz w:val="16"/>
                <w:szCs w:val="16"/>
              </w:rPr>
              <w:t>Indicator</w:t>
            </w:r>
            <w:r w:rsidR="00837F31" w:rsidRPr="00481CF4">
              <w:rPr>
                <w:rFonts w:ascii="Garamond" w:hAnsi="Garamond"/>
                <w:b/>
                <w:sz w:val="16"/>
                <w:szCs w:val="16"/>
              </w:rPr>
              <w:tab/>
            </w:r>
          </w:p>
          <w:p w:rsidR="00837F31" w:rsidRPr="00481CF4" w:rsidRDefault="00837F31" w:rsidP="00E414FE">
            <w:pPr>
              <w:widowControl/>
              <w:autoSpaceDE/>
              <w:autoSpaceDN/>
              <w:jc w:val="center"/>
              <w:rPr>
                <w:rFonts w:ascii="Garamond" w:eastAsia="Times New Roman" w:hAnsi="Garamond" w:cs="Calibri"/>
                <w:b/>
                <w:bCs/>
                <w:sz w:val="16"/>
                <w:szCs w:val="16"/>
                <w:lang w:eastAsia="en-US" w:bidi="ar-SA"/>
              </w:rPr>
            </w:pPr>
          </w:p>
        </w:tc>
        <w:tc>
          <w:tcPr>
            <w:tcW w:w="548" w:type="pct"/>
            <w:vMerge w:val="restart"/>
            <w:tcBorders>
              <w:top w:val="single" w:sz="18" w:space="0" w:color="auto"/>
              <w:left w:val="single" w:sz="12" w:space="0" w:color="auto"/>
              <w:bottom w:val="single" w:sz="2" w:space="0" w:color="auto"/>
              <w:right w:val="single" w:sz="12" w:space="0" w:color="auto"/>
            </w:tcBorders>
            <w:shd w:val="clear" w:color="auto" w:fill="auto"/>
            <w:vAlign w:val="center"/>
            <w:hideMark/>
          </w:tcPr>
          <w:p w:rsidR="00837F31" w:rsidRPr="00481CF4" w:rsidRDefault="00837F31" w:rsidP="00E414FE">
            <w:pPr>
              <w:rPr>
                <w:rFonts w:ascii="Garamond" w:hAnsi="Garamond"/>
                <w:b/>
                <w:sz w:val="16"/>
                <w:szCs w:val="16"/>
              </w:rPr>
            </w:pPr>
            <w:r w:rsidRPr="00481CF4">
              <w:rPr>
                <w:rFonts w:ascii="Garamond" w:hAnsi="Garamond"/>
                <w:b/>
                <w:sz w:val="16"/>
                <w:szCs w:val="16"/>
              </w:rPr>
              <w:t>Planned 2014</w:t>
            </w:r>
          </w:p>
          <w:p w:rsidR="00837F31" w:rsidRPr="00481CF4" w:rsidRDefault="00837F31" w:rsidP="00E414FE">
            <w:pPr>
              <w:widowControl/>
              <w:autoSpaceDE/>
              <w:autoSpaceDN/>
              <w:jc w:val="center"/>
              <w:rPr>
                <w:rFonts w:ascii="Garamond" w:eastAsia="Times New Roman" w:hAnsi="Garamond" w:cs="Calibri"/>
                <w:b/>
                <w:bCs/>
                <w:sz w:val="16"/>
                <w:szCs w:val="16"/>
                <w:lang w:eastAsia="en-US" w:bidi="ar-SA"/>
              </w:rPr>
            </w:pPr>
          </w:p>
        </w:tc>
        <w:tc>
          <w:tcPr>
            <w:tcW w:w="1342" w:type="pct"/>
            <w:gridSpan w:val="2"/>
            <w:tcBorders>
              <w:top w:val="single" w:sz="18" w:space="0" w:color="auto"/>
              <w:left w:val="single" w:sz="12" w:space="0" w:color="auto"/>
              <w:bottom w:val="single" w:sz="2" w:space="0" w:color="auto"/>
              <w:right w:val="single" w:sz="12" w:space="0" w:color="auto"/>
            </w:tcBorders>
            <w:shd w:val="clear" w:color="auto" w:fill="auto"/>
            <w:noWrap/>
            <w:vAlign w:val="center"/>
            <w:hideMark/>
          </w:tcPr>
          <w:p w:rsidR="00837F31" w:rsidRPr="00481CF4" w:rsidRDefault="00837F31" w:rsidP="00E414FE">
            <w:pPr>
              <w:widowControl/>
              <w:autoSpaceDE/>
              <w:autoSpaceDN/>
              <w:jc w:val="center"/>
              <w:rPr>
                <w:rFonts w:ascii="Garamond" w:eastAsia="Times New Roman" w:hAnsi="Garamond" w:cs="Calibri"/>
                <w:b/>
                <w:bCs/>
                <w:sz w:val="16"/>
                <w:szCs w:val="16"/>
                <w:lang w:eastAsia="en-US" w:bidi="ar-SA"/>
              </w:rPr>
            </w:pPr>
            <w:r w:rsidRPr="00481CF4">
              <w:rPr>
                <w:rFonts w:ascii="Garamond" w:eastAsia="Times New Roman" w:hAnsi="Garamond" w:cs="Calibri"/>
                <w:b/>
                <w:bCs/>
                <w:sz w:val="16"/>
                <w:szCs w:val="16"/>
                <w:lang w:eastAsia="en-US" w:bidi="ar-SA"/>
              </w:rPr>
              <w:t>2017</w:t>
            </w:r>
          </w:p>
        </w:tc>
        <w:tc>
          <w:tcPr>
            <w:tcW w:w="1002" w:type="pct"/>
            <w:gridSpan w:val="2"/>
            <w:tcBorders>
              <w:top w:val="single" w:sz="18" w:space="0" w:color="auto"/>
              <w:left w:val="single" w:sz="12" w:space="0" w:color="auto"/>
              <w:bottom w:val="single" w:sz="2" w:space="0" w:color="auto"/>
              <w:right w:val="single" w:sz="12" w:space="0" w:color="auto"/>
            </w:tcBorders>
            <w:shd w:val="clear" w:color="auto" w:fill="auto"/>
            <w:noWrap/>
            <w:vAlign w:val="center"/>
            <w:hideMark/>
          </w:tcPr>
          <w:p w:rsidR="00837F31" w:rsidRPr="00481CF4" w:rsidRDefault="00837F31" w:rsidP="00E414FE">
            <w:pPr>
              <w:widowControl/>
              <w:autoSpaceDE/>
              <w:autoSpaceDN/>
              <w:jc w:val="center"/>
              <w:rPr>
                <w:rFonts w:ascii="Garamond" w:eastAsia="Times New Roman" w:hAnsi="Garamond" w:cs="Calibri"/>
                <w:b/>
                <w:bCs/>
                <w:sz w:val="16"/>
                <w:szCs w:val="16"/>
                <w:lang w:eastAsia="en-US" w:bidi="ar-SA"/>
              </w:rPr>
            </w:pPr>
            <w:r w:rsidRPr="00481CF4">
              <w:rPr>
                <w:rFonts w:ascii="Garamond" w:eastAsia="Times New Roman" w:hAnsi="Garamond" w:cs="Calibri"/>
                <w:b/>
                <w:bCs/>
                <w:sz w:val="16"/>
                <w:szCs w:val="16"/>
                <w:lang w:eastAsia="en-US" w:bidi="ar-SA"/>
              </w:rPr>
              <w:t>2018</w:t>
            </w:r>
          </w:p>
        </w:tc>
        <w:tc>
          <w:tcPr>
            <w:tcW w:w="1130" w:type="pct"/>
            <w:gridSpan w:val="2"/>
            <w:tcBorders>
              <w:top w:val="single" w:sz="18" w:space="0" w:color="auto"/>
              <w:left w:val="single" w:sz="12" w:space="0" w:color="auto"/>
              <w:bottom w:val="single" w:sz="2" w:space="0" w:color="auto"/>
              <w:right w:val="single" w:sz="18" w:space="0" w:color="auto"/>
            </w:tcBorders>
          </w:tcPr>
          <w:p w:rsidR="00837F31" w:rsidRPr="00481CF4" w:rsidRDefault="00837F31" w:rsidP="00E414FE">
            <w:pPr>
              <w:widowControl/>
              <w:autoSpaceDE/>
              <w:autoSpaceDN/>
              <w:jc w:val="center"/>
              <w:rPr>
                <w:rFonts w:ascii="Garamond" w:eastAsia="Times New Roman" w:hAnsi="Garamond" w:cs="Calibri"/>
                <w:b/>
                <w:bCs/>
                <w:sz w:val="16"/>
                <w:szCs w:val="16"/>
                <w:lang w:eastAsia="en-US" w:bidi="ar-SA"/>
              </w:rPr>
            </w:pPr>
            <w:r w:rsidRPr="00481CF4">
              <w:rPr>
                <w:rFonts w:ascii="Garamond" w:eastAsia="Times New Roman" w:hAnsi="Garamond" w:cs="Calibri"/>
                <w:b/>
                <w:bCs/>
                <w:sz w:val="16"/>
                <w:szCs w:val="16"/>
                <w:lang w:eastAsia="en-US" w:bidi="ar-SA"/>
              </w:rPr>
              <w:t>2019</w:t>
            </w:r>
          </w:p>
        </w:tc>
        <w:tc>
          <w:tcPr>
            <w:tcW w:w="306" w:type="pct"/>
            <w:vMerge w:val="restart"/>
            <w:tcBorders>
              <w:top w:val="single" w:sz="18" w:space="0" w:color="auto"/>
              <w:left w:val="single" w:sz="12" w:space="0" w:color="auto"/>
              <w:bottom w:val="single" w:sz="2" w:space="0" w:color="auto"/>
              <w:right w:val="single" w:sz="18" w:space="0" w:color="auto"/>
            </w:tcBorders>
            <w:shd w:val="clear" w:color="auto" w:fill="auto"/>
            <w:hideMark/>
          </w:tcPr>
          <w:p w:rsidR="00837F31" w:rsidRPr="005B41A8" w:rsidRDefault="00837F31" w:rsidP="00E414FE">
            <w:pPr>
              <w:widowControl/>
              <w:autoSpaceDE/>
              <w:autoSpaceDN/>
              <w:jc w:val="center"/>
              <w:rPr>
                <w:rFonts w:ascii="Garamond" w:eastAsia="Times New Roman" w:hAnsi="Garamond" w:cs="Calibri"/>
                <w:b/>
                <w:bCs/>
                <w:sz w:val="16"/>
                <w:szCs w:val="16"/>
                <w:lang w:eastAsia="en-US" w:bidi="ar-SA"/>
              </w:rPr>
            </w:pPr>
            <w:r w:rsidRPr="005B41A8">
              <w:rPr>
                <w:rFonts w:ascii="Garamond" w:eastAsia="Times New Roman" w:hAnsi="Garamond" w:cs="Calibri"/>
                <w:b/>
                <w:bCs/>
                <w:sz w:val="16"/>
                <w:szCs w:val="16"/>
                <w:lang w:eastAsia="en-US" w:bidi="ar-SA"/>
              </w:rPr>
              <w:t>2020</w:t>
            </w:r>
          </w:p>
        </w:tc>
      </w:tr>
      <w:tr w:rsidR="00DD7C2F" w:rsidRPr="00837F31" w:rsidTr="00837F31">
        <w:trPr>
          <w:trHeight w:val="641"/>
          <w:jc w:val="center"/>
        </w:trPr>
        <w:tc>
          <w:tcPr>
            <w:tcW w:w="671" w:type="pct"/>
            <w:vMerge/>
            <w:tcBorders>
              <w:top w:val="single" w:sz="2" w:space="0" w:color="auto"/>
              <w:left w:val="single" w:sz="18" w:space="0" w:color="auto"/>
              <w:bottom w:val="single" w:sz="2" w:space="0" w:color="auto"/>
              <w:right w:val="single" w:sz="12" w:space="0" w:color="auto"/>
            </w:tcBorders>
            <w:vAlign w:val="center"/>
            <w:hideMark/>
          </w:tcPr>
          <w:p w:rsidR="00837F31" w:rsidRPr="00481CF4" w:rsidRDefault="00837F31" w:rsidP="00837F31">
            <w:pPr>
              <w:widowControl/>
              <w:autoSpaceDE/>
              <w:autoSpaceDN/>
              <w:jc w:val="both"/>
              <w:rPr>
                <w:rFonts w:ascii="Garamond" w:eastAsia="Times New Roman" w:hAnsi="Garamond" w:cs="Calibri"/>
                <w:b/>
                <w:bCs/>
                <w:sz w:val="16"/>
                <w:szCs w:val="16"/>
                <w:lang w:eastAsia="en-US" w:bidi="ar-SA"/>
              </w:rPr>
            </w:pPr>
          </w:p>
        </w:tc>
        <w:tc>
          <w:tcPr>
            <w:tcW w:w="548" w:type="pct"/>
            <w:vMerge/>
            <w:tcBorders>
              <w:top w:val="single" w:sz="2" w:space="0" w:color="auto"/>
              <w:left w:val="single" w:sz="12" w:space="0" w:color="auto"/>
              <w:bottom w:val="single" w:sz="2" w:space="0" w:color="auto"/>
              <w:right w:val="single" w:sz="12" w:space="0" w:color="auto"/>
            </w:tcBorders>
            <w:vAlign w:val="center"/>
            <w:hideMark/>
          </w:tcPr>
          <w:p w:rsidR="00837F31" w:rsidRPr="00481CF4" w:rsidRDefault="00837F31" w:rsidP="00837F31">
            <w:pPr>
              <w:widowControl/>
              <w:autoSpaceDE/>
              <w:autoSpaceDN/>
              <w:jc w:val="both"/>
              <w:rPr>
                <w:rFonts w:ascii="Garamond" w:eastAsia="Times New Roman" w:hAnsi="Garamond" w:cs="Calibri"/>
                <w:b/>
                <w:bCs/>
                <w:sz w:val="16"/>
                <w:szCs w:val="16"/>
                <w:lang w:eastAsia="en-US" w:bidi="ar-SA"/>
              </w:rPr>
            </w:pPr>
          </w:p>
        </w:tc>
        <w:tc>
          <w:tcPr>
            <w:tcW w:w="671" w:type="pct"/>
            <w:tcBorders>
              <w:top w:val="single" w:sz="2" w:space="0" w:color="auto"/>
              <w:left w:val="single" w:sz="12" w:space="0" w:color="auto"/>
              <w:bottom w:val="single" w:sz="2" w:space="0" w:color="auto"/>
              <w:right w:val="single" w:sz="2" w:space="0" w:color="auto"/>
            </w:tcBorders>
            <w:shd w:val="clear" w:color="auto" w:fill="auto"/>
            <w:vAlign w:val="center"/>
            <w:hideMark/>
          </w:tcPr>
          <w:p w:rsidR="00837F31" w:rsidRPr="00481CF4" w:rsidRDefault="00837F31" w:rsidP="00E414FE">
            <w:pPr>
              <w:rPr>
                <w:rFonts w:ascii="Garamond" w:hAnsi="Garamond"/>
                <w:b/>
                <w:sz w:val="16"/>
                <w:szCs w:val="16"/>
              </w:rPr>
            </w:pPr>
            <w:r w:rsidRPr="00481CF4">
              <w:rPr>
                <w:rFonts w:ascii="Garamond" w:hAnsi="Garamond"/>
                <w:b/>
                <w:sz w:val="16"/>
                <w:szCs w:val="16"/>
              </w:rPr>
              <w:t>Target values</w:t>
            </w:r>
          </w:p>
          <w:p w:rsidR="00837F31" w:rsidRPr="00481CF4" w:rsidRDefault="00837F31" w:rsidP="00837F31">
            <w:pPr>
              <w:widowControl/>
              <w:autoSpaceDE/>
              <w:autoSpaceDN/>
              <w:jc w:val="center"/>
              <w:rPr>
                <w:rFonts w:ascii="Garamond" w:eastAsia="Times New Roman" w:hAnsi="Garamond" w:cs="Calibri"/>
                <w:b/>
                <w:bCs/>
                <w:sz w:val="16"/>
                <w:szCs w:val="16"/>
                <w:lang w:eastAsia="en-US" w:bidi="ar-SA"/>
              </w:rPr>
            </w:pPr>
          </w:p>
        </w:tc>
        <w:tc>
          <w:tcPr>
            <w:tcW w:w="671" w:type="pct"/>
            <w:tcBorders>
              <w:top w:val="single" w:sz="2" w:space="0" w:color="auto"/>
              <w:left w:val="single" w:sz="2" w:space="0" w:color="auto"/>
              <w:bottom w:val="single" w:sz="2" w:space="0" w:color="auto"/>
              <w:right w:val="single" w:sz="12" w:space="0" w:color="auto"/>
            </w:tcBorders>
            <w:shd w:val="clear" w:color="auto" w:fill="auto"/>
            <w:vAlign w:val="center"/>
            <w:hideMark/>
          </w:tcPr>
          <w:p w:rsidR="00837F31" w:rsidRPr="00481CF4" w:rsidRDefault="00837F31" w:rsidP="00837F31">
            <w:pPr>
              <w:widowControl/>
              <w:autoSpaceDE/>
              <w:autoSpaceDN/>
              <w:jc w:val="center"/>
              <w:rPr>
                <w:rFonts w:ascii="Garamond" w:eastAsia="Times New Roman" w:hAnsi="Garamond" w:cs="Calibri"/>
                <w:b/>
                <w:bCs/>
                <w:sz w:val="16"/>
                <w:szCs w:val="16"/>
                <w:lang w:eastAsia="en-US" w:bidi="ar-SA"/>
              </w:rPr>
            </w:pPr>
            <w:r w:rsidRPr="00481CF4">
              <w:rPr>
                <w:rFonts w:ascii="Garamond" w:eastAsia="Times New Roman" w:hAnsi="Garamond" w:cs="Calibri"/>
                <w:b/>
                <w:bCs/>
                <w:sz w:val="16"/>
                <w:szCs w:val="16"/>
                <w:lang w:eastAsia="en-US" w:bidi="ar-SA"/>
              </w:rPr>
              <w:t>Implemented</w:t>
            </w:r>
          </w:p>
        </w:tc>
        <w:tc>
          <w:tcPr>
            <w:tcW w:w="497" w:type="pct"/>
            <w:tcBorders>
              <w:top w:val="single" w:sz="2" w:space="0" w:color="auto"/>
              <w:left w:val="single" w:sz="12" w:space="0" w:color="auto"/>
              <w:bottom w:val="single" w:sz="2" w:space="0" w:color="auto"/>
              <w:right w:val="single" w:sz="2" w:space="0" w:color="auto"/>
            </w:tcBorders>
            <w:shd w:val="clear" w:color="auto" w:fill="auto"/>
            <w:vAlign w:val="center"/>
            <w:hideMark/>
          </w:tcPr>
          <w:p w:rsidR="00837F31" w:rsidRPr="00481CF4" w:rsidRDefault="00837F31" w:rsidP="00E414FE">
            <w:pPr>
              <w:rPr>
                <w:rFonts w:ascii="Garamond" w:hAnsi="Garamond"/>
                <w:b/>
                <w:sz w:val="16"/>
                <w:szCs w:val="16"/>
              </w:rPr>
            </w:pPr>
            <w:r w:rsidRPr="00481CF4">
              <w:rPr>
                <w:rFonts w:ascii="Garamond" w:hAnsi="Garamond"/>
                <w:b/>
                <w:sz w:val="16"/>
                <w:szCs w:val="16"/>
              </w:rPr>
              <w:t>Target values</w:t>
            </w:r>
          </w:p>
          <w:p w:rsidR="00837F31" w:rsidRPr="00481CF4" w:rsidRDefault="00837F31" w:rsidP="00837F31">
            <w:pPr>
              <w:widowControl/>
              <w:autoSpaceDE/>
              <w:autoSpaceDN/>
              <w:jc w:val="center"/>
              <w:rPr>
                <w:rFonts w:ascii="Garamond" w:eastAsia="Times New Roman" w:hAnsi="Garamond" w:cs="Calibri"/>
                <w:b/>
                <w:bCs/>
                <w:sz w:val="16"/>
                <w:szCs w:val="16"/>
                <w:lang w:eastAsia="en-US" w:bidi="ar-SA"/>
              </w:rPr>
            </w:pPr>
          </w:p>
        </w:tc>
        <w:tc>
          <w:tcPr>
            <w:tcW w:w="505" w:type="pct"/>
            <w:tcBorders>
              <w:top w:val="single" w:sz="2" w:space="0" w:color="auto"/>
              <w:left w:val="single" w:sz="2" w:space="0" w:color="auto"/>
              <w:bottom w:val="single" w:sz="2" w:space="0" w:color="auto"/>
              <w:right w:val="single" w:sz="12" w:space="0" w:color="auto"/>
            </w:tcBorders>
            <w:shd w:val="clear" w:color="auto" w:fill="auto"/>
            <w:vAlign w:val="center"/>
            <w:hideMark/>
          </w:tcPr>
          <w:p w:rsidR="00837F31" w:rsidRPr="00481CF4" w:rsidRDefault="00837F31" w:rsidP="00837F31">
            <w:pPr>
              <w:widowControl/>
              <w:autoSpaceDE/>
              <w:autoSpaceDN/>
              <w:jc w:val="center"/>
              <w:rPr>
                <w:rFonts w:ascii="Garamond" w:eastAsia="Times New Roman" w:hAnsi="Garamond" w:cs="Calibri"/>
                <w:b/>
                <w:bCs/>
                <w:sz w:val="16"/>
                <w:szCs w:val="16"/>
                <w:lang w:eastAsia="en-US" w:bidi="ar-SA"/>
              </w:rPr>
            </w:pPr>
            <w:r w:rsidRPr="00481CF4">
              <w:rPr>
                <w:rFonts w:ascii="Garamond" w:eastAsia="Times New Roman" w:hAnsi="Garamond" w:cs="Calibri"/>
                <w:b/>
                <w:bCs/>
                <w:sz w:val="16"/>
                <w:szCs w:val="16"/>
                <w:lang w:eastAsia="en-US" w:bidi="ar-SA"/>
              </w:rPr>
              <w:t>Implemented</w:t>
            </w:r>
          </w:p>
        </w:tc>
        <w:tc>
          <w:tcPr>
            <w:tcW w:w="562" w:type="pct"/>
            <w:tcBorders>
              <w:top w:val="single" w:sz="2" w:space="0" w:color="auto"/>
              <w:left w:val="single" w:sz="12" w:space="0" w:color="auto"/>
              <w:bottom w:val="single" w:sz="2" w:space="0" w:color="auto"/>
              <w:right w:val="single" w:sz="12" w:space="0" w:color="auto"/>
            </w:tcBorders>
            <w:vAlign w:val="center"/>
          </w:tcPr>
          <w:p w:rsidR="00837F31" w:rsidRPr="00481CF4" w:rsidRDefault="00837F31" w:rsidP="00E414FE">
            <w:pPr>
              <w:rPr>
                <w:rFonts w:ascii="Garamond" w:hAnsi="Garamond"/>
                <w:b/>
                <w:sz w:val="16"/>
                <w:szCs w:val="16"/>
              </w:rPr>
            </w:pPr>
            <w:r w:rsidRPr="00481CF4">
              <w:rPr>
                <w:rFonts w:ascii="Garamond" w:hAnsi="Garamond"/>
                <w:b/>
                <w:sz w:val="16"/>
                <w:szCs w:val="16"/>
              </w:rPr>
              <w:t>Target values</w:t>
            </w:r>
          </w:p>
          <w:p w:rsidR="00837F31" w:rsidRPr="00481CF4" w:rsidRDefault="00837F31" w:rsidP="00E414FE">
            <w:pPr>
              <w:widowControl/>
              <w:autoSpaceDE/>
              <w:autoSpaceDN/>
              <w:jc w:val="center"/>
              <w:rPr>
                <w:rFonts w:ascii="Garamond" w:eastAsia="Times New Roman" w:hAnsi="Garamond" w:cs="Calibri"/>
                <w:b/>
                <w:bCs/>
                <w:sz w:val="16"/>
                <w:szCs w:val="16"/>
                <w:lang w:eastAsia="en-US" w:bidi="ar-SA"/>
              </w:rPr>
            </w:pPr>
          </w:p>
        </w:tc>
        <w:tc>
          <w:tcPr>
            <w:tcW w:w="569" w:type="pct"/>
            <w:tcBorders>
              <w:top w:val="single" w:sz="2" w:space="0" w:color="auto"/>
              <w:left w:val="single" w:sz="12" w:space="0" w:color="auto"/>
              <w:bottom w:val="single" w:sz="2" w:space="0" w:color="auto"/>
              <w:right w:val="single" w:sz="18" w:space="0" w:color="auto"/>
            </w:tcBorders>
            <w:vAlign w:val="center"/>
          </w:tcPr>
          <w:p w:rsidR="00837F31" w:rsidRPr="00481CF4" w:rsidRDefault="00837F31" w:rsidP="00E414FE">
            <w:pPr>
              <w:widowControl/>
              <w:autoSpaceDE/>
              <w:autoSpaceDN/>
              <w:jc w:val="center"/>
              <w:rPr>
                <w:rFonts w:ascii="Garamond" w:eastAsia="Times New Roman" w:hAnsi="Garamond" w:cs="Calibri"/>
                <w:b/>
                <w:bCs/>
                <w:sz w:val="16"/>
                <w:szCs w:val="16"/>
                <w:lang w:eastAsia="en-US" w:bidi="ar-SA"/>
              </w:rPr>
            </w:pPr>
            <w:r w:rsidRPr="00481CF4">
              <w:rPr>
                <w:rFonts w:ascii="Garamond" w:eastAsia="Times New Roman" w:hAnsi="Garamond" w:cs="Calibri"/>
                <w:b/>
                <w:bCs/>
                <w:sz w:val="16"/>
                <w:szCs w:val="16"/>
                <w:lang w:eastAsia="en-US" w:bidi="ar-SA"/>
              </w:rPr>
              <w:t>Implemented</w:t>
            </w:r>
          </w:p>
        </w:tc>
        <w:tc>
          <w:tcPr>
            <w:tcW w:w="306" w:type="pct"/>
            <w:vMerge/>
            <w:tcBorders>
              <w:top w:val="single" w:sz="2" w:space="0" w:color="auto"/>
              <w:left w:val="single" w:sz="12" w:space="0" w:color="auto"/>
              <w:bottom w:val="single" w:sz="2" w:space="0" w:color="auto"/>
              <w:right w:val="single" w:sz="18" w:space="0" w:color="auto"/>
            </w:tcBorders>
            <w:vAlign w:val="center"/>
            <w:hideMark/>
          </w:tcPr>
          <w:p w:rsidR="00837F31" w:rsidRPr="00837F31" w:rsidRDefault="00837F31" w:rsidP="00837F31">
            <w:pPr>
              <w:widowControl/>
              <w:autoSpaceDE/>
              <w:autoSpaceDN/>
              <w:jc w:val="both"/>
              <w:rPr>
                <w:rFonts w:ascii="Garamond" w:eastAsia="Times New Roman" w:hAnsi="Garamond" w:cs="Calibri"/>
                <w:b/>
                <w:bCs/>
                <w:sz w:val="18"/>
                <w:szCs w:val="18"/>
                <w:lang w:eastAsia="en-US" w:bidi="ar-SA"/>
              </w:rPr>
            </w:pPr>
          </w:p>
        </w:tc>
      </w:tr>
      <w:tr w:rsidR="00DD7C2F" w:rsidRPr="00DD7C2F" w:rsidTr="00837F31">
        <w:trPr>
          <w:trHeight w:val="2735"/>
          <w:jc w:val="center"/>
        </w:trPr>
        <w:tc>
          <w:tcPr>
            <w:tcW w:w="671" w:type="pct"/>
            <w:tcBorders>
              <w:top w:val="single" w:sz="2" w:space="0" w:color="auto"/>
              <w:left w:val="single" w:sz="18" w:space="0" w:color="auto"/>
              <w:bottom w:val="single" w:sz="2" w:space="0" w:color="auto"/>
              <w:right w:val="single" w:sz="12" w:space="0" w:color="auto"/>
            </w:tcBorders>
            <w:shd w:val="clear" w:color="auto" w:fill="auto"/>
            <w:vAlign w:val="center"/>
            <w:hideMark/>
          </w:tcPr>
          <w:p w:rsidR="00837F31" w:rsidRPr="00837F31" w:rsidRDefault="00481CF4" w:rsidP="00837F31">
            <w:pPr>
              <w:widowControl/>
              <w:autoSpaceDE/>
              <w:autoSpaceDN/>
              <w:jc w:val="both"/>
              <w:rPr>
                <w:rFonts w:ascii="Garamond" w:eastAsia="Times New Roman" w:hAnsi="Garamond" w:cs="Calibri"/>
                <w:color w:val="000000"/>
                <w:sz w:val="16"/>
                <w:szCs w:val="16"/>
                <w:lang w:eastAsia="en-US" w:bidi="ar-SA"/>
              </w:rPr>
            </w:pPr>
            <w:r w:rsidRPr="00481CF4">
              <w:rPr>
                <w:rFonts w:ascii="Garamond" w:hAnsi="Garamond"/>
                <w:sz w:val="16"/>
                <w:szCs w:val="16"/>
              </w:rPr>
              <w:t xml:space="preserve">Staged implementation of the upgraded model for macroeconomic projections and structural reform impacts </w:t>
            </w:r>
          </w:p>
        </w:tc>
        <w:tc>
          <w:tcPr>
            <w:tcW w:w="548" w:type="pct"/>
            <w:tcBorders>
              <w:top w:val="single" w:sz="2" w:space="0" w:color="auto"/>
              <w:left w:val="nil"/>
              <w:bottom w:val="single" w:sz="2" w:space="0" w:color="auto"/>
              <w:right w:val="single" w:sz="12" w:space="0" w:color="auto"/>
            </w:tcBorders>
            <w:shd w:val="clear" w:color="auto" w:fill="auto"/>
            <w:vAlign w:val="center"/>
            <w:hideMark/>
          </w:tcPr>
          <w:p w:rsidR="00837F31" w:rsidRPr="00837F31" w:rsidRDefault="00837F31" w:rsidP="00837F31">
            <w:pPr>
              <w:rPr>
                <w:rFonts w:ascii="Garamond" w:eastAsia="Times New Roman" w:hAnsi="Garamond" w:cs="Calibri"/>
                <w:color w:val="000000"/>
                <w:sz w:val="16"/>
                <w:szCs w:val="16"/>
                <w:lang w:eastAsia="en-US" w:bidi="ar-SA"/>
              </w:rPr>
            </w:pPr>
            <w:r w:rsidRPr="00DD7C2F">
              <w:rPr>
                <w:rFonts w:ascii="Garamond" w:hAnsi="Garamond"/>
                <w:sz w:val="16"/>
                <w:szCs w:val="16"/>
              </w:rPr>
              <w:t xml:space="preserve">The existing model used in the Directorate for </w:t>
            </w:r>
            <w:r w:rsidR="00481CF4" w:rsidRPr="00DD7C2F">
              <w:rPr>
                <w:rFonts w:ascii="Garamond" w:hAnsi="Garamond"/>
                <w:sz w:val="16"/>
                <w:szCs w:val="16"/>
              </w:rPr>
              <w:t xml:space="preserve">Economic </w:t>
            </w:r>
            <w:r w:rsidRPr="00DD7C2F">
              <w:rPr>
                <w:rFonts w:ascii="Garamond" w:hAnsi="Garamond"/>
                <w:sz w:val="16"/>
                <w:szCs w:val="16"/>
              </w:rPr>
              <w:t xml:space="preserve">and </w:t>
            </w:r>
            <w:r w:rsidR="00481CF4" w:rsidRPr="00DD7C2F">
              <w:rPr>
                <w:rFonts w:ascii="Garamond" w:hAnsi="Garamond"/>
                <w:sz w:val="16"/>
                <w:szCs w:val="16"/>
              </w:rPr>
              <w:t xml:space="preserve">Development Policy </w:t>
            </w:r>
            <w:r w:rsidRPr="00DD7C2F">
              <w:rPr>
                <w:rFonts w:ascii="Garamond" w:hAnsi="Garamond"/>
                <w:sz w:val="16"/>
                <w:szCs w:val="16"/>
              </w:rPr>
              <w:t>is based on a model of financial programming and projection of certain parameters is based on expert assessment</w:t>
            </w:r>
          </w:p>
        </w:tc>
        <w:tc>
          <w:tcPr>
            <w:tcW w:w="671" w:type="pct"/>
            <w:tcBorders>
              <w:top w:val="single" w:sz="2" w:space="0" w:color="auto"/>
              <w:left w:val="nil"/>
              <w:bottom w:val="single" w:sz="2" w:space="0" w:color="auto"/>
              <w:right w:val="single" w:sz="2" w:space="0" w:color="auto"/>
            </w:tcBorders>
            <w:shd w:val="clear" w:color="auto" w:fill="auto"/>
            <w:vAlign w:val="center"/>
            <w:hideMark/>
          </w:tcPr>
          <w:p w:rsidR="00DD7C2F" w:rsidRPr="00DD7C2F" w:rsidRDefault="00DD7C2F" w:rsidP="00DD7C2F">
            <w:pPr>
              <w:rPr>
                <w:rFonts w:ascii="Garamond" w:hAnsi="Garamond"/>
                <w:sz w:val="16"/>
                <w:szCs w:val="16"/>
              </w:rPr>
            </w:pPr>
            <w:r w:rsidRPr="00DD7C2F">
              <w:rPr>
                <w:rFonts w:ascii="Garamond" w:hAnsi="Garamond"/>
                <w:sz w:val="16"/>
                <w:szCs w:val="16"/>
              </w:rPr>
              <w:t>A new model for projections of macroeconomic indicators and the impact of structural reforms is developed and employees trained</w:t>
            </w:r>
          </w:p>
          <w:p w:rsidR="00837F31" w:rsidRPr="00837F31" w:rsidRDefault="00837F31" w:rsidP="00837F31">
            <w:pPr>
              <w:widowControl/>
              <w:autoSpaceDE/>
              <w:autoSpaceDN/>
              <w:jc w:val="center"/>
              <w:rPr>
                <w:rFonts w:ascii="Garamond" w:eastAsia="Times New Roman" w:hAnsi="Garamond" w:cs="Calibri"/>
                <w:color w:val="000000"/>
                <w:sz w:val="16"/>
                <w:szCs w:val="16"/>
                <w:lang w:eastAsia="en-US" w:bidi="ar-SA"/>
              </w:rPr>
            </w:pPr>
          </w:p>
        </w:tc>
        <w:tc>
          <w:tcPr>
            <w:tcW w:w="671" w:type="pct"/>
            <w:tcBorders>
              <w:top w:val="single" w:sz="2" w:space="0" w:color="auto"/>
              <w:left w:val="single" w:sz="2" w:space="0" w:color="auto"/>
              <w:bottom w:val="single" w:sz="2" w:space="0" w:color="auto"/>
              <w:right w:val="single" w:sz="12" w:space="0" w:color="auto"/>
            </w:tcBorders>
            <w:shd w:val="clear" w:color="auto" w:fill="auto"/>
            <w:vAlign w:val="center"/>
            <w:hideMark/>
          </w:tcPr>
          <w:p w:rsidR="00DD7C2F" w:rsidRPr="00DD7C2F" w:rsidRDefault="00DD7C2F" w:rsidP="00DD7C2F">
            <w:pPr>
              <w:rPr>
                <w:rFonts w:ascii="Garamond" w:hAnsi="Garamond"/>
                <w:sz w:val="16"/>
                <w:szCs w:val="16"/>
              </w:rPr>
            </w:pPr>
            <w:r w:rsidRPr="00DD7C2F">
              <w:rPr>
                <w:rFonts w:ascii="Garamond" w:hAnsi="Garamond"/>
                <w:sz w:val="16"/>
                <w:szCs w:val="16"/>
              </w:rPr>
              <w:t>A new model for projections of macroeconomic indicators and the impact of structural reforms is developed and employees trained</w:t>
            </w:r>
          </w:p>
          <w:p w:rsidR="00837F31" w:rsidRPr="00837F31" w:rsidRDefault="00837F31" w:rsidP="00837F31">
            <w:pPr>
              <w:widowControl/>
              <w:autoSpaceDE/>
              <w:autoSpaceDN/>
              <w:jc w:val="center"/>
              <w:rPr>
                <w:rFonts w:ascii="Garamond" w:eastAsia="Times New Roman" w:hAnsi="Garamond" w:cs="Calibri"/>
                <w:color w:val="000000"/>
                <w:sz w:val="16"/>
                <w:szCs w:val="16"/>
                <w:lang w:eastAsia="en-US" w:bidi="ar-SA"/>
              </w:rPr>
            </w:pPr>
          </w:p>
        </w:tc>
        <w:tc>
          <w:tcPr>
            <w:tcW w:w="497" w:type="pct"/>
            <w:tcBorders>
              <w:top w:val="single" w:sz="2" w:space="0" w:color="auto"/>
              <w:left w:val="nil"/>
              <w:bottom w:val="single" w:sz="2" w:space="0" w:color="auto"/>
              <w:right w:val="single" w:sz="2" w:space="0" w:color="auto"/>
            </w:tcBorders>
            <w:shd w:val="clear" w:color="auto" w:fill="auto"/>
            <w:vAlign w:val="center"/>
            <w:hideMark/>
          </w:tcPr>
          <w:p w:rsidR="00DD7C2F" w:rsidRPr="00DD7C2F" w:rsidRDefault="00DD7C2F" w:rsidP="00DD7C2F">
            <w:pPr>
              <w:rPr>
                <w:rFonts w:ascii="Garamond" w:hAnsi="Garamond"/>
                <w:sz w:val="16"/>
                <w:szCs w:val="16"/>
              </w:rPr>
            </w:pPr>
            <w:r w:rsidRPr="00DD7C2F">
              <w:rPr>
                <w:rFonts w:ascii="Garamond" w:hAnsi="Garamond"/>
                <w:sz w:val="16"/>
                <w:szCs w:val="16"/>
              </w:rPr>
              <w:t>The requirements for utili</w:t>
            </w:r>
            <w:r w:rsidR="00F254DD">
              <w:rPr>
                <w:rFonts w:ascii="Garamond" w:hAnsi="Garamond"/>
                <w:sz w:val="16"/>
                <w:szCs w:val="16"/>
              </w:rPr>
              <w:t>sation</w:t>
            </w:r>
            <w:r w:rsidRPr="00DD7C2F">
              <w:rPr>
                <w:rFonts w:ascii="Garamond" w:hAnsi="Garamond"/>
                <w:sz w:val="16"/>
                <w:szCs w:val="16"/>
              </w:rPr>
              <w:t xml:space="preserve"> of the new model by the employees in the Directorate for Economic Policy and Development are met</w:t>
            </w:r>
          </w:p>
          <w:p w:rsidR="00837F31" w:rsidRPr="00837F31" w:rsidRDefault="00837F31" w:rsidP="00837F31">
            <w:pPr>
              <w:widowControl/>
              <w:autoSpaceDE/>
              <w:autoSpaceDN/>
              <w:jc w:val="center"/>
              <w:rPr>
                <w:rFonts w:ascii="Garamond" w:eastAsia="Times New Roman" w:hAnsi="Garamond" w:cs="Calibri"/>
                <w:sz w:val="16"/>
                <w:szCs w:val="16"/>
                <w:lang w:eastAsia="en-US" w:bidi="ar-SA"/>
              </w:rPr>
            </w:pPr>
          </w:p>
        </w:tc>
        <w:tc>
          <w:tcPr>
            <w:tcW w:w="505" w:type="pct"/>
            <w:tcBorders>
              <w:top w:val="single" w:sz="2" w:space="0" w:color="auto"/>
              <w:left w:val="single" w:sz="2" w:space="0" w:color="auto"/>
              <w:bottom w:val="single" w:sz="2" w:space="0" w:color="auto"/>
              <w:right w:val="single" w:sz="12" w:space="0" w:color="auto"/>
            </w:tcBorders>
            <w:shd w:val="clear" w:color="auto" w:fill="auto"/>
            <w:vAlign w:val="center"/>
            <w:hideMark/>
          </w:tcPr>
          <w:p w:rsidR="00DD7C2F" w:rsidRPr="00DD7C2F" w:rsidRDefault="00DD7C2F" w:rsidP="00DD7C2F">
            <w:pPr>
              <w:rPr>
                <w:rFonts w:ascii="Garamond" w:hAnsi="Garamond"/>
                <w:sz w:val="16"/>
                <w:szCs w:val="16"/>
              </w:rPr>
            </w:pPr>
            <w:r w:rsidRPr="00DD7C2F">
              <w:rPr>
                <w:rFonts w:ascii="Garamond" w:hAnsi="Garamond"/>
                <w:sz w:val="16"/>
                <w:szCs w:val="16"/>
              </w:rPr>
              <w:t>The requirements for utili</w:t>
            </w:r>
            <w:r w:rsidR="00F254DD">
              <w:rPr>
                <w:rFonts w:ascii="Garamond" w:hAnsi="Garamond"/>
                <w:sz w:val="16"/>
                <w:szCs w:val="16"/>
              </w:rPr>
              <w:t>sation</w:t>
            </w:r>
            <w:r w:rsidRPr="00DD7C2F">
              <w:rPr>
                <w:rFonts w:ascii="Garamond" w:hAnsi="Garamond"/>
                <w:sz w:val="16"/>
                <w:szCs w:val="16"/>
              </w:rPr>
              <w:t xml:space="preserve"> of the new model by the employees in the Directorate for Economic Policy and Development are met</w:t>
            </w:r>
          </w:p>
          <w:p w:rsidR="00837F31" w:rsidRPr="00837F31" w:rsidRDefault="00837F31" w:rsidP="00837F31">
            <w:pPr>
              <w:widowControl/>
              <w:autoSpaceDE/>
              <w:autoSpaceDN/>
              <w:jc w:val="center"/>
              <w:rPr>
                <w:rFonts w:ascii="Garamond" w:eastAsia="Times New Roman" w:hAnsi="Garamond" w:cs="Calibri"/>
                <w:sz w:val="16"/>
                <w:szCs w:val="16"/>
                <w:lang w:eastAsia="en-US" w:bidi="ar-SA"/>
              </w:rPr>
            </w:pPr>
          </w:p>
        </w:tc>
        <w:tc>
          <w:tcPr>
            <w:tcW w:w="562" w:type="pct"/>
            <w:tcBorders>
              <w:top w:val="single" w:sz="2" w:space="0" w:color="auto"/>
              <w:left w:val="nil"/>
              <w:bottom w:val="single" w:sz="4" w:space="0" w:color="auto"/>
              <w:right w:val="single" w:sz="4" w:space="0" w:color="auto"/>
            </w:tcBorders>
            <w:vAlign w:val="center"/>
          </w:tcPr>
          <w:p w:rsidR="00DD7C2F" w:rsidRPr="00DD7C2F" w:rsidRDefault="00DD7C2F" w:rsidP="00DD7C2F">
            <w:pPr>
              <w:rPr>
                <w:rFonts w:ascii="Garamond" w:hAnsi="Garamond"/>
                <w:sz w:val="16"/>
                <w:szCs w:val="16"/>
              </w:rPr>
            </w:pPr>
            <w:r w:rsidRPr="00DD7C2F">
              <w:rPr>
                <w:rFonts w:ascii="Garamond" w:hAnsi="Garamond"/>
                <w:sz w:val="16"/>
                <w:szCs w:val="16"/>
              </w:rPr>
              <w:t>Full implementation and full training of employees to use the model</w:t>
            </w:r>
          </w:p>
          <w:p w:rsidR="00837F31" w:rsidRPr="00837F31" w:rsidRDefault="00837F31" w:rsidP="00837F31">
            <w:pPr>
              <w:widowControl/>
              <w:autoSpaceDE/>
              <w:autoSpaceDN/>
              <w:jc w:val="center"/>
              <w:rPr>
                <w:rFonts w:ascii="Garamond" w:eastAsia="游明朝" w:hAnsi="Garamond" w:cs="Calibri"/>
                <w:noProof/>
                <w:sz w:val="16"/>
                <w:szCs w:val="16"/>
                <w:lang w:eastAsia="en-US" w:bidi="ar-SA"/>
              </w:rPr>
            </w:pPr>
          </w:p>
        </w:tc>
        <w:tc>
          <w:tcPr>
            <w:tcW w:w="569" w:type="pct"/>
            <w:tcBorders>
              <w:top w:val="single" w:sz="2" w:space="0" w:color="auto"/>
              <w:left w:val="single" w:sz="4" w:space="0" w:color="auto"/>
              <w:bottom w:val="single" w:sz="4" w:space="0" w:color="auto"/>
              <w:right w:val="single" w:sz="18" w:space="0" w:color="auto"/>
            </w:tcBorders>
            <w:vAlign w:val="center"/>
          </w:tcPr>
          <w:p w:rsidR="00DD7C2F" w:rsidRPr="00DD7C2F" w:rsidRDefault="00DD7C2F" w:rsidP="00DD7C2F">
            <w:pPr>
              <w:rPr>
                <w:rFonts w:ascii="Garamond" w:hAnsi="Garamond"/>
                <w:sz w:val="16"/>
                <w:szCs w:val="16"/>
              </w:rPr>
            </w:pPr>
            <w:r w:rsidRPr="00DD7C2F">
              <w:rPr>
                <w:rFonts w:ascii="Garamond" w:hAnsi="Garamond"/>
                <w:sz w:val="16"/>
                <w:szCs w:val="16"/>
              </w:rPr>
              <w:t>Partially implemented. The project is being continuously implemented, in accordance with the recommendations of experts for the full implementation of the model, which is planned for the end of 2024</w:t>
            </w:r>
          </w:p>
          <w:p w:rsidR="00DD7C2F" w:rsidRPr="00DD7C2F" w:rsidRDefault="00DD7C2F" w:rsidP="00DD7C2F">
            <w:pPr>
              <w:rPr>
                <w:rFonts w:ascii="Garamond" w:hAnsi="Garamond"/>
                <w:sz w:val="16"/>
                <w:szCs w:val="16"/>
              </w:rPr>
            </w:pPr>
            <w:r w:rsidRPr="00DD7C2F">
              <w:rPr>
                <w:rFonts w:ascii="Garamond" w:hAnsi="Garamond"/>
                <w:sz w:val="16"/>
                <w:szCs w:val="16"/>
              </w:rPr>
              <w:tab/>
            </w:r>
          </w:p>
          <w:p w:rsidR="00837F31" w:rsidRPr="00837F31" w:rsidRDefault="00837F31" w:rsidP="00837F31">
            <w:pPr>
              <w:widowControl/>
              <w:autoSpaceDE/>
              <w:autoSpaceDN/>
              <w:jc w:val="center"/>
              <w:rPr>
                <w:rFonts w:ascii="Garamond" w:eastAsia="游明朝" w:hAnsi="Garamond" w:cs="Calibri"/>
                <w:noProof/>
                <w:sz w:val="16"/>
                <w:szCs w:val="16"/>
                <w:lang w:eastAsia="en-US" w:bidi="ar-SA"/>
              </w:rPr>
            </w:pPr>
          </w:p>
        </w:tc>
        <w:tc>
          <w:tcPr>
            <w:tcW w:w="306" w:type="pct"/>
            <w:tcBorders>
              <w:top w:val="single" w:sz="2" w:space="0" w:color="auto"/>
              <w:left w:val="nil"/>
              <w:bottom w:val="single" w:sz="2" w:space="0" w:color="auto"/>
              <w:right w:val="single" w:sz="18" w:space="0" w:color="auto"/>
            </w:tcBorders>
            <w:shd w:val="clear" w:color="auto" w:fill="auto"/>
            <w:vAlign w:val="center"/>
            <w:hideMark/>
          </w:tcPr>
          <w:p w:rsidR="00837F31" w:rsidRPr="00837F31" w:rsidRDefault="00837F31" w:rsidP="00837F31">
            <w:pPr>
              <w:widowControl/>
              <w:autoSpaceDE/>
              <w:autoSpaceDN/>
              <w:jc w:val="center"/>
              <w:rPr>
                <w:rFonts w:ascii="Garamond" w:eastAsia="Times New Roman" w:hAnsi="Garamond" w:cs="Calibri"/>
                <w:color w:val="00B050"/>
                <w:sz w:val="16"/>
                <w:szCs w:val="16"/>
                <w:lang w:eastAsia="en-US" w:bidi="ar-SA"/>
              </w:rPr>
            </w:pPr>
          </w:p>
          <w:p w:rsidR="00837F31" w:rsidRPr="00837F31" w:rsidRDefault="00837F31" w:rsidP="00837F31">
            <w:pPr>
              <w:widowControl/>
              <w:autoSpaceDE/>
              <w:autoSpaceDN/>
              <w:jc w:val="center"/>
              <w:rPr>
                <w:rFonts w:ascii="Garamond" w:eastAsia="Times New Roman" w:hAnsi="Garamond" w:cs="Calibri"/>
                <w:color w:val="00B050"/>
                <w:sz w:val="16"/>
                <w:szCs w:val="16"/>
                <w:lang w:eastAsia="en-US" w:bidi="ar-SA"/>
              </w:rPr>
            </w:pPr>
            <w:r w:rsidRPr="00837F31">
              <w:rPr>
                <w:rFonts w:ascii="Garamond" w:eastAsia="游明朝" w:hAnsi="Garamond" w:cs="Calibri"/>
                <w:noProof/>
                <w:sz w:val="16"/>
                <w:szCs w:val="16"/>
                <w:lang w:eastAsia="ja-JP" w:bidi="ar-SA"/>
              </w:rPr>
              <w:drawing>
                <wp:inline distT="0" distB="0" distL="0" distR="0">
                  <wp:extent cx="287020" cy="233680"/>
                  <wp:effectExtent l="0" t="0" r="0" b="0"/>
                  <wp:docPr id="27" name="Picture 69" descr="Description: 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Description: Description: Description: C:\Users\owner\Desktop\zelena strelica - manja.png"/>
                          <pic:cNvPicPr>
                            <a:picLocks noChangeAspect="1" noChangeArrowheads="1"/>
                          </pic:cNvPicPr>
                        </pic:nvPicPr>
                        <pic:blipFill>
                          <a:blip r:embed="rId15"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87020" cy="233680"/>
                          </a:xfrm>
                          <a:prstGeom prst="rect">
                            <a:avLst/>
                          </a:prstGeom>
                          <a:noFill/>
                          <a:ln>
                            <a:noFill/>
                          </a:ln>
                        </pic:spPr>
                      </pic:pic>
                    </a:graphicData>
                  </a:graphic>
                </wp:inline>
              </w:drawing>
            </w:r>
          </w:p>
        </w:tc>
      </w:tr>
      <w:tr w:rsidR="00DD7C2F" w:rsidRPr="00DD7C2F" w:rsidTr="00837F31">
        <w:trPr>
          <w:trHeight w:val="1244"/>
          <w:jc w:val="center"/>
        </w:trPr>
        <w:tc>
          <w:tcPr>
            <w:tcW w:w="671" w:type="pct"/>
            <w:tcBorders>
              <w:top w:val="single" w:sz="2" w:space="0" w:color="auto"/>
              <w:left w:val="single" w:sz="18" w:space="0" w:color="auto"/>
              <w:bottom w:val="single" w:sz="18" w:space="0" w:color="auto"/>
              <w:right w:val="single" w:sz="12" w:space="0" w:color="auto"/>
            </w:tcBorders>
            <w:shd w:val="clear" w:color="auto" w:fill="auto"/>
            <w:vAlign w:val="center"/>
            <w:hideMark/>
          </w:tcPr>
          <w:p w:rsidR="00837F31" w:rsidRPr="00837F31" w:rsidRDefault="00481CF4" w:rsidP="00837F31">
            <w:pPr>
              <w:widowControl/>
              <w:autoSpaceDE/>
              <w:autoSpaceDN/>
              <w:jc w:val="both"/>
              <w:rPr>
                <w:rFonts w:ascii="Garamond" w:eastAsia="Times New Roman" w:hAnsi="Garamond" w:cs="Calibri"/>
                <w:color w:val="000000"/>
                <w:sz w:val="16"/>
                <w:szCs w:val="16"/>
                <w:lang w:eastAsia="en-US" w:bidi="ar-SA"/>
              </w:rPr>
            </w:pPr>
            <w:r w:rsidRPr="00481CF4">
              <w:rPr>
                <w:rFonts w:ascii="Garamond" w:hAnsi="Garamond"/>
                <w:sz w:val="16"/>
                <w:szCs w:val="16"/>
              </w:rPr>
              <w:t xml:space="preserve">The difference between actual and projected real GDP growth rate </w:t>
            </w:r>
          </w:p>
        </w:tc>
        <w:tc>
          <w:tcPr>
            <w:tcW w:w="548" w:type="pct"/>
            <w:tcBorders>
              <w:top w:val="single" w:sz="2" w:space="0" w:color="auto"/>
              <w:left w:val="nil"/>
              <w:bottom w:val="single" w:sz="18" w:space="0" w:color="auto"/>
              <w:right w:val="single" w:sz="12" w:space="0" w:color="auto"/>
            </w:tcBorders>
            <w:shd w:val="clear" w:color="auto" w:fill="auto"/>
            <w:vAlign w:val="center"/>
            <w:hideMark/>
          </w:tcPr>
          <w:p w:rsidR="00837F31" w:rsidRPr="00837F31" w:rsidRDefault="00837F31" w:rsidP="00DD7C2F">
            <w:pPr>
              <w:widowControl/>
              <w:autoSpaceDE/>
              <w:autoSpaceDN/>
              <w:jc w:val="center"/>
              <w:rPr>
                <w:rFonts w:ascii="Garamond" w:eastAsia="Times New Roman" w:hAnsi="Garamond" w:cs="Calibri"/>
                <w:iCs/>
                <w:color w:val="000000"/>
                <w:sz w:val="16"/>
                <w:szCs w:val="16"/>
                <w:lang w:eastAsia="en-US" w:bidi="ar-SA"/>
              </w:rPr>
            </w:pPr>
            <w:r w:rsidRPr="00837F31">
              <w:rPr>
                <w:rFonts w:ascii="Garamond" w:eastAsia="Times New Roman" w:hAnsi="Garamond" w:cs="Calibri"/>
                <w:iCs/>
                <w:color w:val="000000"/>
                <w:sz w:val="16"/>
                <w:szCs w:val="16"/>
                <w:lang w:eastAsia="en-US" w:bidi="ar-SA"/>
              </w:rPr>
              <w:t>1</w:t>
            </w:r>
            <w:r w:rsidR="00DD7C2F" w:rsidRPr="00DD7C2F">
              <w:rPr>
                <w:rFonts w:ascii="Garamond" w:eastAsia="Times New Roman" w:hAnsi="Garamond" w:cs="Calibri"/>
                <w:iCs/>
                <w:color w:val="000000"/>
                <w:sz w:val="16"/>
                <w:szCs w:val="16"/>
                <w:lang w:eastAsia="en-US" w:bidi="ar-SA"/>
              </w:rPr>
              <w:t>.</w:t>
            </w:r>
            <w:r w:rsidRPr="00837F31">
              <w:rPr>
                <w:rFonts w:ascii="Garamond" w:eastAsia="Times New Roman" w:hAnsi="Garamond" w:cs="Calibri"/>
                <w:iCs/>
                <w:color w:val="000000"/>
                <w:sz w:val="16"/>
                <w:szCs w:val="16"/>
                <w:lang w:eastAsia="en-US" w:bidi="ar-SA"/>
              </w:rPr>
              <w:t>8 p.p.</w:t>
            </w:r>
          </w:p>
        </w:tc>
        <w:tc>
          <w:tcPr>
            <w:tcW w:w="671" w:type="pct"/>
            <w:tcBorders>
              <w:top w:val="single" w:sz="2" w:space="0" w:color="auto"/>
              <w:left w:val="nil"/>
              <w:bottom w:val="single" w:sz="18" w:space="0" w:color="auto"/>
              <w:right w:val="single" w:sz="2" w:space="0" w:color="auto"/>
            </w:tcBorders>
            <w:shd w:val="clear" w:color="auto" w:fill="auto"/>
            <w:vAlign w:val="center"/>
            <w:hideMark/>
          </w:tcPr>
          <w:p w:rsidR="00DD7C2F" w:rsidRPr="00DD7C2F" w:rsidRDefault="00DD7C2F" w:rsidP="00DD7C2F">
            <w:pPr>
              <w:rPr>
                <w:rFonts w:ascii="Garamond" w:hAnsi="Garamond"/>
                <w:sz w:val="16"/>
                <w:szCs w:val="16"/>
              </w:rPr>
            </w:pPr>
            <w:r w:rsidRPr="00DD7C2F">
              <w:rPr>
                <w:rFonts w:ascii="Garamond" w:hAnsi="Garamond"/>
                <w:sz w:val="16"/>
                <w:szCs w:val="16"/>
              </w:rPr>
              <w:t>Less than 0.3 pp</w:t>
            </w:r>
          </w:p>
          <w:p w:rsidR="00837F31" w:rsidRPr="00837F31" w:rsidRDefault="00837F31" w:rsidP="00837F31">
            <w:pPr>
              <w:widowControl/>
              <w:autoSpaceDE/>
              <w:autoSpaceDN/>
              <w:jc w:val="center"/>
              <w:rPr>
                <w:rFonts w:ascii="Garamond" w:eastAsia="Times New Roman" w:hAnsi="Garamond" w:cs="Calibri"/>
                <w:iCs/>
                <w:color w:val="000000"/>
                <w:sz w:val="16"/>
                <w:szCs w:val="16"/>
                <w:lang w:eastAsia="en-US" w:bidi="ar-SA"/>
              </w:rPr>
            </w:pPr>
          </w:p>
        </w:tc>
        <w:tc>
          <w:tcPr>
            <w:tcW w:w="671" w:type="pct"/>
            <w:tcBorders>
              <w:top w:val="single" w:sz="2" w:space="0" w:color="auto"/>
              <w:left w:val="single" w:sz="2" w:space="0" w:color="auto"/>
              <w:bottom w:val="single" w:sz="18" w:space="0" w:color="auto"/>
              <w:right w:val="single" w:sz="12" w:space="0" w:color="auto"/>
            </w:tcBorders>
            <w:shd w:val="clear" w:color="auto" w:fill="auto"/>
            <w:vAlign w:val="center"/>
            <w:hideMark/>
          </w:tcPr>
          <w:p w:rsidR="00DD7C2F" w:rsidRPr="00DD7C2F" w:rsidRDefault="00DD7C2F" w:rsidP="00DD7C2F">
            <w:pPr>
              <w:rPr>
                <w:rFonts w:ascii="Garamond" w:hAnsi="Garamond"/>
                <w:sz w:val="16"/>
                <w:szCs w:val="16"/>
              </w:rPr>
            </w:pPr>
            <w:r w:rsidRPr="00DD7C2F">
              <w:rPr>
                <w:rFonts w:ascii="Garamond" w:hAnsi="Garamond"/>
                <w:sz w:val="16"/>
                <w:szCs w:val="16"/>
              </w:rPr>
              <w:t>Target value for 2018 met (0.2 pp)</w:t>
            </w:r>
          </w:p>
          <w:p w:rsidR="00837F31" w:rsidRPr="00837F31" w:rsidRDefault="00837F31" w:rsidP="00837F31">
            <w:pPr>
              <w:widowControl/>
              <w:autoSpaceDE/>
              <w:autoSpaceDN/>
              <w:jc w:val="center"/>
              <w:rPr>
                <w:rFonts w:ascii="Garamond" w:eastAsia="Times New Roman" w:hAnsi="Garamond" w:cs="Calibri"/>
                <w:iCs/>
                <w:color w:val="000000"/>
                <w:sz w:val="16"/>
                <w:szCs w:val="16"/>
                <w:lang w:eastAsia="en-US" w:bidi="ar-SA"/>
              </w:rPr>
            </w:pPr>
          </w:p>
        </w:tc>
        <w:tc>
          <w:tcPr>
            <w:tcW w:w="497" w:type="pct"/>
            <w:tcBorders>
              <w:top w:val="single" w:sz="2" w:space="0" w:color="auto"/>
              <w:left w:val="nil"/>
              <w:bottom w:val="single" w:sz="18" w:space="0" w:color="auto"/>
              <w:right w:val="single" w:sz="2" w:space="0" w:color="auto"/>
            </w:tcBorders>
            <w:shd w:val="clear" w:color="auto" w:fill="auto"/>
            <w:vAlign w:val="center"/>
            <w:hideMark/>
          </w:tcPr>
          <w:p w:rsidR="00DD7C2F" w:rsidRPr="00DD7C2F" w:rsidRDefault="00DD7C2F" w:rsidP="00DD7C2F">
            <w:pPr>
              <w:rPr>
                <w:rFonts w:ascii="Garamond" w:hAnsi="Garamond"/>
                <w:sz w:val="16"/>
                <w:szCs w:val="16"/>
              </w:rPr>
            </w:pPr>
            <w:r w:rsidRPr="00DD7C2F">
              <w:rPr>
                <w:rFonts w:ascii="Garamond" w:hAnsi="Garamond"/>
                <w:sz w:val="16"/>
                <w:szCs w:val="16"/>
              </w:rPr>
              <w:t>Less than 0.3 pp</w:t>
            </w:r>
          </w:p>
          <w:p w:rsidR="00837F31" w:rsidRPr="00837F31" w:rsidRDefault="00837F31" w:rsidP="00837F31">
            <w:pPr>
              <w:widowControl/>
              <w:autoSpaceDE/>
              <w:autoSpaceDN/>
              <w:jc w:val="center"/>
              <w:rPr>
                <w:rFonts w:ascii="Garamond" w:eastAsia="Times New Roman" w:hAnsi="Garamond" w:cs="Calibri"/>
                <w:iCs/>
                <w:color w:val="000000"/>
                <w:sz w:val="16"/>
                <w:szCs w:val="16"/>
                <w:lang w:eastAsia="en-US" w:bidi="ar-SA"/>
              </w:rPr>
            </w:pPr>
          </w:p>
        </w:tc>
        <w:tc>
          <w:tcPr>
            <w:tcW w:w="505" w:type="pct"/>
            <w:tcBorders>
              <w:top w:val="single" w:sz="2" w:space="0" w:color="auto"/>
              <w:left w:val="single" w:sz="2" w:space="0" w:color="auto"/>
              <w:bottom w:val="single" w:sz="18" w:space="0" w:color="auto"/>
              <w:right w:val="single" w:sz="12" w:space="0" w:color="auto"/>
            </w:tcBorders>
            <w:shd w:val="clear" w:color="auto" w:fill="auto"/>
            <w:vAlign w:val="center"/>
            <w:hideMark/>
          </w:tcPr>
          <w:p w:rsidR="00DD7C2F" w:rsidRPr="00DD7C2F" w:rsidRDefault="00AD5EA3" w:rsidP="00DD7C2F">
            <w:pPr>
              <w:rPr>
                <w:rFonts w:ascii="Garamond" w:hAnsi="Garamond"/>
                <w:sz w:val="16"/>
                <w:szCs w:val="16"/>
              </w:rPr>
            </w:pPr>
            <w:r>
              <w:rPr>
                <w:rFonts w:ascii="Garamond" w:hAnsi="Garamond"/>
                <w:sz w:val="16"/>
                <w:szCs w:val="16"/>
              </w:rPr>
              <w:t>T</w:t>
            </w:r>
            <w:r w:rsidR="00DD7C2F" w:rsidRPr="00DD7C2F">
              <w:rPr>
                <w:rFonts w:ascii="Garamond" w:hAnsi="Garamond"/>
                <w:sz w:val="16"/>
                <w:szCs w:val="16"/>
              </w:rPr>
              <w:t xml:space="preserve">arget value for 2019, partly </w:t>
            </w:r>
            <w:r>
              <w:rPr>
                <w:rFonts w:ascii="Garamond" w:hAnsi="Garamond"/>
                <w:sz w:val="16"/>
                <w:szCs w:val="16"/>
              </w:rPr>
              <w:t>met</w:t>
            </w:r>
            <w:r w:rsidR="00DD7C2F" w:rsidRPr="00DD7C2F">
              <w:rPr>
                <w:rFonts w:ascii="Garamond" w:hAnsi="Garamond"/>
                <w:sz w:val="16"/>
                <w:szCs w:val="16"/>
              </w:rPr>
              <w:t>, given further recommendations</w:t>
            </w:r>
          </w:p>
          <w:p w:rsidR="00837F31" w:rsidRPr="00837F31" w:rsidRDefault="00837F31" w:rsidP="00837F31">
            <w:pPr>
              <w:widowControl/>
              <w:autoSpaceDE/>
              <w:autoSpaceDN/>
              <w:jc w:val="center"/>
              <w:rPr>
                <w:rFonts w:ascii="Garamond" w:eastAsia="Times New Roman" w:hAnsi="Garamond" w:cs="Calibri"/>
                <w:iCs/>
                <w:color w:val="000000"/>
                <w:sz w:val="16"/>
                <w:szCs w:val="16"/>
                <w:lang w:eastAsia="en-US" w:bidi="ar-SA"/>
              </w:rPr>
            </w:pPr>
          </w:p>
        </w:tc>
        <w:tc>
          <w:tcPr>
            <w:tcW w:w="562" w:type="pct"/>
            <w:tcBorders>
              <w:top w:val="single" w:sz="4" w:space="0" w:color="auto"/>
              <w:left w:val="nil"/>
              <w:bottom w:val="single" w:sz="18" w:space="0" w:color="auto"/>
              <w:right w:val="single" w:sz="4" w:space="0" w:color="auto"/>
            </w:tcBorders>
            <w:vAlign w:val="center"/>
          </w:tcPr>
          <w:p w:rsidR="00DD7C2F" w:rsidRPr="00DD7C2F" w:rsidRDefault="00DD7C2F" w:rsidP="00DD7C2F">
            <w:pPr>
              <w:rPr>
                <w:rFonts w:ascii="Garamond" w:hAnsi="Garamond"/>
                <w:sz w:val="16"/>
                <w:szCs w:val="16"/>
              </w:rPr>
            </w:pPr>
            <w:r w:rsidRPr="00DD7C2F">
              <w:rPr>
                <w:rFonts w:ascii="Garamond" w:hAnsi="Garamond"/>
                <w:sz w:val="16"/>
                <w:szCs w:val="16"/>
              </w:rPr>
              <w:t>Less than 0.2 pp</w:t>
            </w:r>
          </w:p>
          <w:p w:rsidR="00837F31" w:rsidRPr="00837F31" w:rsidRDefault="00837F31" w:rsidP="00837F31">
            <w:pPr>
              <w:widowControl/>
              <w:autoSpaceDE/>
              <w:autoSpaceDN/>
              <w:jc w:val="center"/>
              <w:rPr>
                <w:rFonts w:ascii="Garamond" w:eastAsia="游明朝" w:hAnsi="Garamond" w:cs="Calibri"/>
                <w:noProof/>
                <w:sz w:val="16"/>
                <w:szCs w:val="16"/>
                <w:lang w:eastAsia="en-US" w:bidi="ar-SA"/>
              </w:rPr>
            </w:pPr>
          </w:p>
        </w:tc>
        <w:tc>
          <w:tcPr>
            <w:tcW w:w="569" w:type="pct"/>
            <w:tcBorders>
              <w:top w:val="single" w:sz="4" w:space="0" w:color="auto"/>
              <w:left w:val="single" w:sz="4" w:space="0" w:color="auto"/>
              <w:bottom w:val="single" w:sz="18" w:space="0" w:color="auto"/>
              <w:right w:val="single" w:sz="18" w:space="0" w:color="auto"/>
            </w:tcBorders>
            <w:vAlign w:val="center"/>
          </w:tcPr>
          <w:p w:rsidR="00DD7C2F" w:rsidRPr="00DD7C2F" w:rsidRDefault="00AD5EA3" w:rsidP="00DD7C2F">
            <w:pPr>
              <w:rPr>
                <w:rFonts w:ascii="Garamond" w:hAnsi="Garamond"/>
                <w:sz w:val="16"/>
                <w:szCs w:val="16"/>
              </w:rPr>
            </w:pPr>
            <w:r>
              <w:rPr>
                <w:rFonts w:ascii="Garamond" w:hAnsi="Garamond"/>
                <w:sz w:val="16"/>
                <w:szCs w:val="16"/>
              </w:rPr>
              <w:t>T</w:t>
            </w:r>
            <w:r w:rsidR="00DD7C2F" w:rsidRPr="00DD7C2F">
              <w:rPr>
                <w:rFonts w:ascii="Garamond" w:hAnsi="Garamond"/>
                <w:sz w:val="16"/>
                <w:szCs w:val="16"/>
              </w:rPr>
              <w:t xml:space="preserve">arget value projections are not </w:t>
            </w:r>
            <w:r>
              <w:rPr>
                <w:rFonts w:ascii="Garamond" w:hAnsi="Garamond"/>
                <w:sz w:val="16"/>
                <w:szCs w:val="16"/>
              </w:rPr>
              <w:t>met</w:t>
            </w:r>
            <w:r w:rsidR="00DD7C2F" w:rsidRPr="00DD7C2F">
              <w:rPr>
                <w:rFonts w:ascii="Garamond" w:hAnsi="Garamond"/>
                <w:sz w:val="16"/>
                <w:szCs w:val="16"/>
              </w:rPr>
              <w:t xml:space="preserve"> due to market disruption and external shocks</w:t>
            </w:r>
          </w:p>
          <w:p w:rsidR="00837F31" w:rsidRPr="00837F31" w:rsidRDefault="00837F31" w:rsidP="00837F31">
            <w:pPr>
              <w:widowControl/>
              <w:autoSpaceDE/>
              <w:autoSpaceDN/>
              <w:jc w:val="center"/>
              <w:rPr>
                <w:rFonts w:ascii="Garamond" w:eastAsia="游明朝" w:hAnsi="Garamond" w:cs="Calibri"/>
                <w:noProof/>
                <w:sz w:val="16"/>
                <w:szCs w:val="16"/>
                <w:lang w:eastAsia="en-US" w:bidi="ar-SA"/>
              </w:rPr>
            </w:pPr>
          </w:p>
        </w:tc>
        <w:tc>
          <w:tcPr>
            <w:tcW w:w="306" w:type="pct"/>
            <w:tcBorders>
              <w:top w:val="single" w:sz="2" w:space="0" w:color="auto"/>
              <w:left w:val="nil"/>
              <w:bottom w:val="single" w:sz="18" w:space="0" w:color="auto"/>
              <w:right w:val="single" w:sz="18" w:space="0" w:color="auto"/>
            </w:tcBorders>
            <w:shd w:val="clear" w:color="auto" w:fill="auto"/>
            <w:vAlign w:val="center"/>
            <w:hideMark/>
          </w:tcPr>
          <w:p w:rsidR="00837F31" w:rsidRPr="00837F31" w:rsidRDefault="00837F31" w:rsidP="00837F31">
            <w:pPr>
              <w:widowControl/>
              <w:autoSpaceDE/>
              <w:autoSpaceDN/>
              <w:jc w:val="center"/>
              <w:rPr>
                <w:rFonts w:ascii="Garamond" w:eastAsia="Times New Roman" w:hAnsi="Garamond" w:cs="Calibri"/>
                <w:color w:val="FF0000"/>
                <w:sz w:val="16"/>
                <w:szCs w:val="16"/>
                <w:lang w:eastAsia="en-US" w:bidi="ar-SA"/>
              </w:rPr>
            </w:pPr>
            <w:r w:rsidRPr="00837F31">
              <w:rPr>
                <w:rFonts w:ascii="Garamond" w:eastAsia="游明朝" w:hAnsi="Garamond" w:cs="Calibri"/>
                <w:noProof/>
                <w:sz w:val="16"/>
                <w:szCs w:val="16"/>
                <w:lang w:eastAsia="ja-JP" w:bidi="ar-SA"/>
              </w:rPr>
              <w:drawing>
                <wp:inline distT="0" distB="0" distL="0" distR="0">
                  <wp:extent cx="257175" cy="238125"/>
                  <wp:effectExtent l="0" t="0" r="9525" b="9525"/>
                  <wp:docPr id="28" name="Picture 14" descr="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escription: Description: C:\Users\owner\Desktop\crvena strelica - manja.png"/>
                          <pic:cNvPicPr>
                            <a:picLocks noChangeAspect="1" noChangeArrowheads="1"/>
                          </pic:cNvPicPr>
                        </pic:nvPicPr>
                        <pic:blipFill>
                          <a:blip r:embed="rId1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7175" cy="238125"/>
                          </a:xfrm>
                          <a:prstGeom prst="rect">
                            <a:avLst/>
                          </a:prstGeom>
                          <a:noFill/>
                          <a:ln>
                            <a:noFill/>
                          </a:ln>
                        </pic:spPr>
                      </pic:pic>
                    </a:graphicData>
                  </a:graphic>
                </wp:inline>
              </w:drawing>
            </w:r>
          </w:p>
        </w:tc>
      </w:tr>
    </w:tbl>
    <w:p w:rsidR="004D1343" w:rsidRPr="00C32887" w:rsidRDefault="00613C2B" w:rsidP="004D1343">
      <w:pPr>
        <w:rPr>
          <w:rFonts w:ascii="Garamond" w:hAnsi="Garamond"/>
          <w:sz w:val="24"/>
          <w:szCs w:val="24"/>
        </w:rPr>
      </w:pPr>
      <w:r>
        <w:rPr>
          <w:rFonts w:ascii="Garamond" w:hAnsi="Garamond"/>
          <w:noProof/>
          <w:sz w:val="24"/>
          <w:szCs w:val="24"/>
          <w:lang w:eastAsia="ja-JP" w:bidi="ar-SA"/>
        </w:rPr>
        <w:pict>
          <v:roundrect id="Rounded Rectangle 47" o:spid="_x0000_s1028" style="position:absolute;margin-left:-31.2pt;margin-top:22.35pt;width:504.7pt;height:173pt;z-index:251660288;visibility:visible;mso-position-horizontal-relative:margin;mso-position-vertical-relative:text;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" fillcolor="#243f60 [1604]" strokecolor="#243f60 [1604]" strokeweight="1pt">
            <v:stroke joinstyle="miter"/>
            <v:textbox style="mso-next-textbox:#Rounded Rectangle 47">
              <w:txbxContent>
                <w:p w:rsidR="002C4371" w:rsidRPr="00157E6B" w:rsidRDefault="002C4371" w:rsidP="00157E6B">
                  <w:pPr>
                    <w:rPr>
                      <w:color w:val="FFFFFF" w:themeColor="background1"/>
                      <w:sz w:val="20"/>
                      <w:szCs w:val="20"/>
                    </w:rPr>
                  </w:pPr>
                  <w:r w:rsidRPr="00157E6B">
                    <w:rPr>
                      <w:color w:val="FFFFFF" w:themeColor="background1"/>
                      <w:sz w:val="20"/>
                      <w:szCs w:val="20"/>
                    </w:rPr>
                    <w:t>Challenge:</w:t>
                  </w:r>
                </w:p>
                <w:p w:rsidR="002C4371" w:rsidRPr="00157E6B" w:rsidRDefault="002C4371" w:rsidP="00157E6B">
                  <w:pPr>
                    <w:rPr>
                      <w:color w:val="FFFFFF" w:themeColor="background1"/>
                      <w:sz w:val="20"/>
                      <w:szCs w:val="20"/>
                    </w:rPr>
                  </w:pPr>
                  <w:r w:rsidRPr="00157E6B">
                    <w:rPr>
                      <w:color w:val="FFFFFF" w:themeColor="background1"/>
                      <w:sz w:val="20"/>
                      <w:szCs w:val="20"/>
                    </w:rPr>
                    <w:t xml:space="preserve">Some inaccuracy of data and results obtained by model estimation, which is a general feature of model solutions in </w:t>
                  </w:r>
                  <w:r>
                    <w:rPr>
                      <w:color w:val="FFFFFF" w:themeColor="background1"/>
                      <w:sz w:val="20"/>
                      <w:szCs w:val="20"/>
                    </w:rPr>
                    <w:t>times of</w:t>
                  </w:r>
                  <w:r w:rsidRPr="00157E6B">
                    <w:rPr>
                      <w:color w:val="FFFFFF" w:themeColor="background1"/>
                      <w:sz w:val="20"/>
                      <w:szCs w:val="20"/>
                    </w:rPr>
                    <w:t xml:space="preserve"> economic shocks, indicates that the model used a certain degree of experiential and expert </w:t>
                  </w:r>
                  <w:r>
                    <w:rPr>
                      <w:color w:val="FFFFFF" w:themeColor="background1"/>
                      <w:sz w:val="20"/>
                      <w:szCs w:val="20"/>
                    </w:rPr>
                    <w:t>forecasting</w:t>
                  </w:r>
                  <w:r w:rsidRPr="00157E6B">
                    <w:rPr>
                      <w:color w:val="FFFFFF" w:themeColor="background1"/>
                      <w:sz w:val="20"/>
                      <w:szCs w:val="20"/>
                    </w:rPr>
                    <w:t xml:space="preserve"> to predict macroeconomic parameters.</w:t>
                  </w:r>
                </w:p>
                <w:p w:rsidR="002C4371" w:rsidRPr="008469A3" w:rsidRDefault="002C4371" w:rsidP="00157E6B">
                  <w:pPr>
                    <w:rPr>
                      <w:color w:val="FFFFFF" w:themeColor="background1"/>
                      <w:sz w:val="20"/>
                      <w:szCs w:val="20"/>
                    </w:rPr>
                  </w:pPr>
                  <w:r w:rsidRPr="00157E6B">
                    <w:rPr>
                      <w:color w:val="FFFFFF" w:themeColor="background1"/>
                      <w:sz w:val="20"/>
                      <w:szCs w:val="20"/>
                    </w:rPr>
                    <w:t xml:space="preserve">The COVID-19 crisis showed the weaknesses of the Model in cases of external market shocks. It is necessary to further develop </w:t>
                  </w:r>
                  <w:r>
                    <w:rPr>
                      <w:color w:val="FFFFFF" w:themeColor="background1"/>
                      <w:sz w:val="20"/>
                      <w:szCs w:val="20"/>
                    </w:rPr>
                    <w:t>the model</w:t>
                  </w:r>
                  <w:r w:rsidRPr="00157E6B">
                    <w:rPr>
                      <w:color w:val="FFFFFF" w:themeColor="background1"/>
                      <w:sz w:val="20"/>
                      <w:szCs w:val="20"/>
                    </w:rPr>
                    <w:t xml:space="preserve"> </w:t>
                  </w:r>
                  <w:r w:rsidR="00DC1448">
                    <w:rPr>
                      <w:color w:val="FFFFFF" w:themeColor="background1"/>
                      <w:sz w:val="20"/>
                      <w:szCs w:val="20"/>
                    </w:rPr>
                    <w:t>to assess</w:t>
                  </w:r>
                  <w:r w:rsidRPr="00157E6B">
                    <w:rPr>
                      <w:color w:val="FFFFFF" w:themeColor="background1"/>
                      <w:sz w:val="20"/>
                      <w:szCs w:val="20"/>
                    </w:rPr>
                    <w:t xml:space="preserve"> the impact of new investments in certain sectors of the economy, as well as medium and long-term forecasts in case of endogenous and exogenous economic disorders, for which it is necessary to seek international expert support for further development of economic simulation models.</w:t>
                  </w:r>
                </w:p>
              </w:txbxContent>
            </v:textbox>
            <w10:wrap type="topAndBottom" anchorx="margin"/>
          </v:roundrect>
        </w:pict>
      </w:r>
      <w:r w:rsidR="004D1343" w:rsidRPr="00C32887">
        <w:rPr>
          <w:rFonts w:ascii="Garamond" w:hAnsi="Garamond"/>
          <w:sz w:val="24"/>
          <w:szCs w:val="24"/>
        </w:rPr>
        <w:tab/>
      </w:r>
      <w:r w:rsidR="004D1343" w:rsidRPr="00C32887">
        <w:rPr>
          <w:rFonts w:ascii="Garamond" w:hAnsi="Garamond"/>
          <w:sz w:val="24"/>
          <w:szCs w:val="24"/>
        </w:rPr>
        <w:tab/>
      </w:r>
    </w:p>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Default="004D1343" w:rsidP="004D1343">
      <w:pPr>
        <w:rPr>
          <w:rFonts w:ascii="Garamond" w:hAnsi="Garamond"/>
          <w:sz w:val="24"/>
          <w:szCs w:val="24"/>
        </w:rPr>
      </w:pPr>
    </w:p>
    <w:p w:rsidR="00157E6B" w:rsidRDefault="00157E6B" w:rsidP="004D1343">
      <w:pPr>
        <w:rPr>
          <w:rFonts w:ascii="Garamond" w:hAnsi="Garamond"/>
          <w:sz w:val="24"/>
          <w:szCs w:val="24"/>
        </w:rPr>
      </w:pPr>
    </w:p>
    <w:p w:rsidR="00157E6B" w:rsidRDefault="00157E6B" w:rsidP="004D1343">
      <w:pPr>
        <w:rPr>
          <w:rFonts w:ascii="Garamond" w:hAnsi="Garamond"/>
          <w:sz w:val="24"/>
          <w:szCs w:val="24"/>
        </w:rPr>
      </w:pPr>
    </w:p>
    <w:p w:rsidR="00157E6B" w:rsidRDefault="00157E6B" w:rsidP="004D1343">
      <w:pPr>
        <w:rPr>
          <w:rFonts w:ascii="Garamond" w:hAnsi="Garamond"/>
          <w:sz w:val="24"/>
          <w:szCs w:val="24"/>
        </w:rPr>
      </w:pPr>
    </w:p>
    <w:p w:rsidR="00157E6B" w:rsidRDefault="00157E6B" w:rsidP="004D1343">
      <w:pPr>
        <w:rPr>
          <w:rFonts w:ascii="Garamond" w:hAnsi="Garamond"/>
          <w:sz w:val="24"/>
          <w:szCs w:val="24"/>
        </w:rPr>
      </w:pPr>
    </w:p>
    <w:p w:rsidR="00157E6B" w:rsidRDefault="00157E6B" w:rsidP="004D1343">
      <w:pPr>
        <w:rPr>
          <w:rFonts w:ascii="Garamond" w:hAnsi="Garamond"/>
          <w:sz w:val="24"/>
          <w:szCs w:val="24"/>
        </w:rPr>
      </w:pPr>
    </w:p>
    <w:p w:rsidR="00157E6B" w:rsidRDefault="00157E6B" w:rsidP="004D1343">
      <w:pPr>
        <w:rPr>
          <w:rFonts w:ascii="Garamond" w:hAnsi="Garamond"/>
          <w:sz w:val="24"/>
          <w:szCs w:val="24"/>
        </w:rPr>
      </w:pPr>
    </w:p>
    <w:p w:rsidR="00157E6B" w:rsidRDefault="00157E6B" w:rsidP="004D1343">
      <w:pPr>
        <w:rPr>
          <w:rFonts w:ascii="Garamond" w:hAnsi="Garamond"/>
          <w:sz w:val="24"/>
          <w:szCs w:val="24"/>
        </w:rPr>
      </w:pPr>
    </w:p>
    <w:p w:rsidR="00157E6B" w:rsidRDefault="00157E6B" w:rsidP="004D1343">
      <w:pPr>
        <w:rPr>
          <w:rFonts w:ascii="Garamond" w:hAnsi="Garamond"/>
          <w:sz w:val="24"/>
          <w:szCs w:val="24"/>
        </w:rPr>
      </w:pPr>
    </w:p>
    <w:p w:rsidR="00230E10" w:rsidRDefault="00230E10">
      <w:pPr>
        <w:rPr>
          <w:rFonts w:ascii="Garamond" w:eastAsiaTheme="majorEastAsia" w:hAnsi="Garamond" w:cstheme="majorBidi"/>
          <w:b/>
          <w:bCs/>
          <w:color w:val="4F81BD" w:themeColor="accent1"/>
          <w:sz w:val="24"/>
          <w:szCs w:val="24"/>
        </w:rPr>
      </w:pPr>
      <w:r>
        <w:rPr>
          <w:rFonts w:ascii="Garamond" w:hAnsi="Garamond"/>
          <w:sz w:val="24"/>
          <w:szCs w:val="24"/>
        </w:rPr>
        <w:br w:type="page"/>
      </w:r>
    </w:p>
    <w:p w:rsidR="004D1343" w:rsidRPr="00C32887" w:rsidRDefault="004D1343" w:rsidP="00157E6B">
      <w:pPr>
        <w:pStyle w:val="Heading2"/>
        <w:rPr>
          <w:rFonts w:ascii="Garamond" w:hAnsi="Garamond"/>
          <w:sz w:val="24"/>
          <w:szCs w:val="24"/>
        </w:rPr>
      </w:pPr>
      <w:bookmarkStart w:id="10" w:name="_Toc77688195"/>
      <w:proofErr w:type="gramStart"/>
      <w:r w:rsidRPr="00C32887">
        <w:rPr>
          <w:rFonts w:ascii="Garamond" w:hAnsi="Garamond"/>
          <w:sz w:val="24"/>
          <w:szCs w:val="24"/>
        </w:rPr>
        <w:t>GOAL 2.</w:t>
      </w:r>
      <w:proofErr w:type="gramEnd"/>
      <w:r w:rsidRPr="00C32887">
        <w:rPr>
          <w:rFonts w:ascii="Garamond" w:hAnsi="Garamond"/>
          <w:sz w:val="24"/>
          <w:szCs w:val="24"/>
        </w:rPr>
        <w:t xml:space="preserve"> </w:t>
      </w:r>
      <w:r w:rsidR="00157E6B">
        <w:rPr>
          <w:rFonts w:ascii="Garamond" w:hAnsi="Garamond"/>
          <w:sz w:val="24"/>
          <w:szCs w:val="24"/>
        </w:rPr>
        <w:t xml:space="preserve">BUDGET </w:t>
      </w:r>
      <w:r w:rsidR="00157E6B" w:rsidRPr="00C32887">
        <w:rPr>
          <w:rFonts w:ascii="Garamond" w:hAnsi="Garamond"/>
          <w:sz w:val="24"/>
          <w:szCs w:val="24"/>
        </w:rPr>
        <w:t>EXECUTION</w:t>
      </w:r>
      <w:bookmarkEnd w:id="10"/>
    </w:p>
    <w:p w:rsidR="004D1343" w:rsidRPr="00C32887" w:rsidRDefault="004D1343" w:rsidP="004D1343">
      <w:pPr>
        <w:rPr>
          <w:rFonts w:ascii="Garamond" w:hAnsi="Garamond"/>
          <w:sz w:val="24"/>
          <w:szCs w:val="24"/>
        </w:rPr>
      </w:pPr>
    </w:p>
    <w:p w:rsidR="004D1343" w:rsidRDefault="004D1343" w:rsidP="00157E6B">
      <w:pPr>
        <w:jc w:val="both"/>
        <w:rPr>
          <w:rFonts w:ascii="Garamond" w:hAnsi="Garamond"/>
          <w:sz w:val="24"/>
          <w:szCs w:val="24"/>
        </w:rPr>
      </w:pPr>
      <w:r w:rsidRPr="00C32887">
        <w:rPr>
          <w:rFonts w:ascii="Garamond" w:hAnsi="Garamond"/>
          <w:sz w:val="24"/>
          <w:szCs w:val="24"/>
        </w:rPr>
        <w:t>In this area and in the original PFMRP, three p</w:t>
      </w:r>
      <w:r w:rsidR="005C563B">
        <w:rPr>
          <w:rFonts w:ascii="Garamond" w:hAnsi="Garamond"/>
          <w:sz w:val="24"/>
          <w:szCs w:val="24"/>
        </w:rPr>
        <w:t xml:space="preserve">riority areas have been </w:t>
      </w:r>
      <w:r w:rsidR="00DD07B2">
        <w:rPr>
          <w:rFonts w:ascii="Garamond" w:hAnsi="Garamond"/>
          <w:sz w:val="24"/>
          <w:szCs w:val="24"/>
        </w:rPr>
        <w:t>ident</w:t>
      </w:r>
      <w:r w:rsidR="005C563B">
        <w:rPr>
          <w:rFonts w:ascii="Garamond" w:hAnsi="Garamond"/>
          <w:sz w:val="24"/>
          <w:szCs w:val="24"/>
        </w:rPr>
        <w:t>i</w:t>
      </w:r>
      <w:r w:rsidR="00DD07B2">
        <w:rPr>
          <w:rFonts w:ascii="Garamond" w:hAnsi="Garamond"/>
          <w:sz w:val="24"/>
          <w:szCs w:val="24"/>
        </w:rPr>
        <w:t>fi</w:t>
      </w:r>
      <w:r w:rsidR="005C563B">
        <w:rPr>
          <w:rFonts w:ascii="Garamond" w:hAnsi="Garamond"/>
          <w:sz w:val="24"/>
          <w:szCs w:val="24"/>
        </w:rPr>
        <w:t>ed</w:t>
      </w:r>
      <w:r w:rsidRPr="00C32887">
        <w:rPr>
          <w:rFonts w:ascii="Garamond" w:hAnsi="Garamond"/>
          <w:sz w:val="24"/>
          <w:szCs w:val="24"/>
        </w:rPr>
        <w:t xml:space="preserve">: revenue collection, public procurement and debt management. In the revised PFMRP (2018), two priority </w:t>
      </w:r>
      <w:r w:rsidR="002C193E">
        <w:rPr>
          <w:rFonts w:ascii="Garamond" w:hAnsi="Garamond"/>
          <w:sz w:val="24"/>
          <w:szCs w:val="24"/>
        </w:rPr>
        <w:t>areas</w:t>
      </w:r>
      <w:r w:rsidRPr="00C32887">
        <w:rPr>
          <w:rFonts w:ascii="Garamond" w:hAnsi="Garamond"/>
          <w:sz w:val="24"/>
          <w:szCs w:val="24"/>
        </w:rPr>
        <w:t xml:space="preserve"> were added: customs administration and state aid reform.</w:t>
      </w:r>
    </w:p>
    <w:p w:rsidR="004D1343" w:rsidRPr="00C32887" w:rsidRDefault="005C563B" w:rsidP="00B4471F">
      <w:pPr>
        <w:pStyle w:val="Heading3"/>
        <w:rPr>
          <w:rFonts w:ascii="Garamond" w:hAnsi="Garamond"/>
          <w:sz w:val="24"/>
          <w:szCs w:val="24"/>
        </w:rPr>
      </w:pPr>
      <w:bookmarkStart w:id="11" w:name="_Toc77688196"/>
      <w:r>
        <w:rPr>
          <w:rFonts w:ascii="Garamond" w:hAnsi="Garamond"/>
          <w:sz w:val="24"/>
          <w:szCs w:val="24"/>
        </w:rPr>
        <w:t>TAX ADMINISTRATION</w:t>
      </w:r>
      <w:r>
        <w:rPr>
          <w:rStyle w:val="FootnoteReference"/>
          <w:rFonts w:ascii="Garamond" w:hAnsi="Garamond"/>
          <w:sz w:val="24"/>
          <w:szCs w:val="24"/>
        </w:rPr>
        <w:footnoteReference w:id="17"/>
      </w:r>
      <w:bookmarkEnd w:id="11"/>
    </w:p>
    <w:p w:rsidR="004D1343" w:rsidRPr="00C32887" w:rsidRDefault="004D1343" w:rsidP="004D1343">
      <w:pPr>
        <w:rPr>
          <w:rFonts w:ascii="Garamond" w:hAnsi="Garamond"/>
          <w:sz w:val="24"/>
          <w:szCs w:val="24"/>
        </w:rPr>
      </w:pPr>
    </w:p>
    <w:p w:rsidR="004D1343" w:rsidRPr="00C32887" w:rsidRDefault="004D1343" w:rsidP="00B4471F">
      <w:pPr>
        <w:jc w:val="both"/>
        <w:rPr>
          <w:rFonts w:ascii="Garamond" w:hAnsi="Garamond"/>
          <w:sz w:val="24"/>
          <w:szCs w:val="24"/>
        </w:rPr>
      </w:pPr>
      <w:r w:rsidRPr="00C32887">
        <w:rPr>
          <w:rFonts w:ascii="Garamond" w:hAnsi="Garamond"/>
          <w:sz w:val="24"/>
          <w:szCs w:val="24"/>
        </w:rPr>
        <w:t xml:space="preserve">The analysis of </w:t>
      </w:r>
      <w:r w:rsidR="002C193E">
        <w:rPr>
          <w:rFonts w:ascii="Garamond" w:hAnsi="Garamond"/>
          <w:sz w:val="24"/>
          <w:szCs w:val="24"/>
        </w:rPr>
        <w:t xml:space="preserve">revenue </w:t>
      </w:r>
      <w:r w:rsidRPr="00C32887">
        <w:rPr>
          <w:rFonts w:ascii="Garamond" w:hAnsi="Garamond"/>
          <w:sz w:val="24"/>
          <w:szCs w:val="24"/>
        </w:rPr>
        <w:t xml:space="preserve">collection </w:t>
      </w:r>
      <w:r w:rsidR="00B4471F">
        <w:rPr>
          <w:rFonts w:ascii="Garamond" w:hAnsi="Garamond"/>
          <w:sz w:val="24"/>
          <w:szCs w:val="24"/>
        </w:rPr>
        <w:t xml:space="preserve">shows that the Montenegrin economy, </w:t>
      </w:r>
      <w:r w:rsidRPr="00C32887">
        <w:rPr>
          <w:rFonts w:ascii="Garamond" w:hAnsi="Garamond"/>
          <w:sz w:val="24"/>
          <w:szCs w:val="24"/>
        </w:rPr>
        <w:t>when it comes to income tax</w:t>
      </w:r>
      <w:r w:rsidR="00B4471F">
        <w:rPr>
          <w:rFonts w:ascii="Garamond" w:hAnsi="Garamond"/>
          <w:sz w:val="24"/>
          <w:szCs w:val="24"/>
        </w:rPr>
        <w:t>, has</w:t>
      </w:r>
      <w:r w:rsidRPr="00C32887">
        <w:rPr>
          <w:rFonts w:ascii="Garamond" w:hAnsi="Garamond"/>
          <w:sz w:val="24"/>
          <w:szCs w:val="24"/>
        </w:rPr>
        <w:t xml:space="preserve"> a high degree of voluntary compliance with tax regulations and awareness of the importance of proper tax filing and payment, taking into account the fact that in the challenges of the economic cr</w:t>
      </w:r>
      <w:r w:rsidR="00B4471F">
        <w:rPr>
          <w:rFonts w:ascii="Garamond" w:hAnsi="Garamond"/>
          <w:sz w:val="24"/>
          <w:szCs w:val="24"/>
        </w:rPr>
        <w:t>isis, tax collection exceeding €</w:t>
      </w:r>
      <w:r w:rsidR="00B4471F" w:rsidRPr="00C32887">
        <w:rPr>
          <w:rFonts w:ascii="Garamond" w:hAnsi="Garamond"/>
          <w:sz w:val="24"/>
          <w:szCs w:val="24"/>
        </w:rPr>
        <w:t xml:space="preserve">45 million </w:t>
      </w:r>
      <w:r w:rsidR="002C193E">
        <w:rPr>
          <w:rFonts w:ascii="Garamond" w:hAnsi="Garamond"/>
          <w:sz w:val="24"/>
          <w:szCs w:val="24"/>
        </w:rPr>
        <w:t>was</w:t>
      </w:r>
      <w:r w:rsidR="00B4471F">
        <w:rPr>
          <w:rFonts w:ascii="Garamond" w:hAnsi="Garamond"/>
          <w:sz w:val="24"/>
          <w:szCs w:val="24"/>
        </w:rPr>
        <w:t xml:space="preserve"> delayed</w:t>
      </w:r>
      <w:r w:rsidRPr="00C32887">
        <w:rPr>
          <w:rFonts w:ascii="Garamond" w:hAnsi="Garamond"/>
          <w:sz w:val="24"/>
          <w:szCs w:val="24"/>
        </w:rPr>
        <w:t xml:space="preserve">. When it comes to value added tax (VAT), the Tax Administration faced the biggest challenges in collecting this type of </w:t>
      </w:r>
      <w:r w:rsidR="002C193E">
        <w:rPr>
          <w:rFonts w:ascii="Garamond" w:hAnsi="Garamond"/>
          <w:sz w:val="24"/>
          <w:szCs w:val="24"/>
        </w:rPr>
        <w:t>revenue</w:t>
      </w:r>
      <w:r w:rsidRPr="00C32887">
        <w:rPr>
          <w:rFonts w:ascii="Garamond" w:hAnsi="Garamond"/>
          <w:sz w:val="24"/>
          <w:szCs w:val="24"/>
        </w:rPr>
        <w:t xml:space="preserve"> since the tourist season did not meet expectations and due to which there was a drastic drop in turnover in all industries, especially catering and hospitality.</w:t>
      </w:r>
    </w:p>
    <w:p w:rsidR="004D1343" w:rsidRPr="00C32887" w:rsidRDefault="004D1343" w:rsidP="004D1343">
      <w:pPr>
        <w:rPr>
          <w:rFonts w:ascii="Garamond" w:hAnsi="Garamond"/>
          <w:sz w:val="24"/>
          <w:szCs w:val="24"/>
        </w:rPr>
      </w:pPr>
    </w:p>
    <w:p w:rsidR="004D1343" w:rsidRPr="00C32887" w:rsidRDefault="00B4471F" w:rsidP="00B4471F">
      <w:pPr>
        <w:jc w:val="both"/>
        <w:rPr>
          <w:rFonts w:ascii="Garamond" w:hAnsi="Garamond"/>
          <w:sz w:val="24"/>
          <w:szCs w:val="24"/>
        </w:rPr>
      </w:pPr>
      <w:r>
        <w:rPr>
          <w:rFonts w:ascii="Garamond" w:hAnsi="Garamond"/>
          <w:sz w:val="24"/>
          <w:szCs w:val="24"/>
        </w:rPr>
        <w:t>It is evident</w:t>
      </w:r>
      <w:r w:rsidR="004D1343" w:rsidRPr="00C32887">
        <w:rPr>
          <w:rFonts w:ascii="Garamond" w:hAnsi="Garamond"/>
          <w:sz w:val="24"/>
          <w:szCs w:val="24"/>
        </w:rPr>
        <w:t xml:space="preserve"> that efforts </w:t>
      </w:r>
      <w:r w:rsidR="002C193E">
        <w:rPr>
          <w:rFonts w:ascii="Garamond" w:hAnsi="Garamond"/>
          <w:sz w:val="24"/>
          <w:szCs w:val="24"/>
        </w:rPr>
        <w:t xml:space="preserve">in the implementation </w:t>
      </w:r>
      <w:r w:rsidR="004D1343" w:rsidRPr="00C32887">
        <w:rPr>
          <w:rFonts w:ascii="Garamond" w:hAnsi="Garamond"/>
          <w:sz w:val="24"/>
          <w:szCs w:val="24"/>
        </w:rPr>
        <w:t xml:space="preserve">of </w:t>
      </w:r>
      <w:r>
        <w:rPr>
          <w:rFonts w:ascii="Garamond" w:hAnsi="Garamond"/>
          <w:sz w:val="24"/>
          <w:szCs w:val="24"/>
        </w:rPr>
        <w:t xml:space="preserve">budget </w:t>
      </w:r>
      <w:r w:rsidR="004D1343" w:rsidRPr="00C32887">
        <w:rPr>
          <w:rFonts w:ascii="Garamond" w:hAnsi="Garamond"/>
          <w:sz w:val="24"/>
          <w:szCs w:val="24"/>
        </w:rPr>
        <w:t xml:space="preserve">execution in </w:t>
      </w:r>
      <w:r>
        <w:rPr>
          <w:rFonts w:ascii="Garamond" w:hAnsi="Garamond"/>
          <w:sz w:val="24"/>
          <w:szCs w:val="24"/>
        </w:rPr>
        <w:t>the conditions</w:t>
      </w:r>
      <w:r w:rsidR="004D1343" w:rsidRPr="00C32887">
        <w:rPr>
          <w:rFonts w:ascii="Garamond" w:hAnsi="Garamond"/>
          <w:sz w:val="24"/>
          <w:szCs w:val="24"/>
        </w:rPr>
        <w:t xml:space="preserve"> of </w:t>
      </w:r>
      <w:r>
        <w:rPr>
          <w:rFonts w:ascii="Garamond" w:hAnsi="Garamond"/>
          <w:sz w:val="24"/>
          <w:szCs w:val="24"/>
        </w:rPr>
        <w:t xml:space="preserve">the </w:t>
      </w:r>
      <w:r w:rsidR="004D1343" w:rsidRPr="00C32887">
        <w:rPr>
          <w:rFonts w:ascii="Garamond" w:hAnsi="Garamond"/>
          <w:sz w:val="24"/>
          <w:szCs w:val="24"/>
        </w:rPr>
        <w:t xml:space="preserve">pandemic gave certain results, </w:t>
      </w:r>
      <w:r w:rsidR="007D34DF">
        <w:rPr>
          <w:rFonts w:ascii="Garamond" w:hAnsi="Garamond"/>
          <w:sz w:val="24"/>
          <w:szCs w:val="24"/>
        </w:rPr>
        <w:t>that is,</w:t>
      </w:r>
      <w:r w:rsidR="00817E01">
        <w:rPr>
          <w:rFonts w:ascii="Garamond" w:hAnsi="Garamond"/>
          <w:sz w:val="24"/>
          <w:szCs w:val="24"/>
        </w:rPr>
        <w:t xml:space="preserve"> the</w:t>
      </w:r>
      <w:r w:rsidR="004D1343" w:rsidRPr="00C32887">
        <w:rPr>
          <w:rFonts w:ascii="Garamond" w:hAnsi="Garamond"/>
          <w:sz w:val="24"/>
          <w:szCs w:val="24"/>
        </w:rPr>
        <w:t xml:space="preserve"> value of indicators of tax </w:t>
      </w:r>
      <w:r w:rsidR="007D34DF">
        <w:rPr>
          <w:rFonts w:ascii="Garamond" w:hAnsi="Garamond"/>
          <w:sz w:val="24"/>
          <w:szCs w:val="24"/>
        </w:rPr>
        <w:t xml:space="preserve">revenue </w:t>
      </w:r>
      <w:r w:rsidR="004D1343" w:rsidRPr="00C32887">
        <w:rPr>
          <w:rFonts w:ascii="Garamond" w:hAnsi="Garamond"/>
          <w:sz w:val="24"/>
          <w:szCs w:val="24"/>
        </w:rPr>
        <w:t>collection in 2020</w:t>
      </w:r>
      <w:r w:rsidR="0046416E">
        <w:rPr>
          <w:rFonts w:ascii="Garamond" w:hAnsi="Garamond"/>
          <w:sz w:val="24"/>
          <w:szCs w:val="24"/>
        </w:rPr>
        <w:t xml:space="preserve"> were as follows</w:t>
      </w:r>
      <w:r w:rsidR="004D1343" w:rsidRPr="00C32887">
        <w:rPr>
          <w:rFonts w:ascii="Garamond" w:hAnsi="Garamond"/>
          <w:sz w:val="24"/>
          <w:szCs w:val="24"/>
        </w:rPr>
        <w:t xml:space="preserve">: </w:t>
      </w:r>
      <w:r w:rsidRPr="00C32887">
        <w:rPr>
          <w:rFonts w:ascii="Garamond" w:hAnsi="Garamond"/>
          <w:sz w:val="24"/>
          <w:szCs w:val="24"/>
        </w:rPr>
        <w:t>€</w:t>
      </w:r>
      <w:r>
        <w:rPr>
          <w:rFonts w:ascii="Garamond" w:hAnsi="Garamond"/>
          <w:sz w:val="24"/>
          <w:szCs w:val="24"/>
        </w:rPr>
        <w:t>65 million</w:t>
      </w:r>
      <w:r w:rsidR="004D1343" w:rsidRPr="00C32887">
        <w:rPr>
          <w:rFonts w:ascii="Garamond" w:hAnsi="Garamond"/>
          <w:sz w:val="24"/>
          <w:szCs w:val="24"/>
        </w:rPr>
        <w:t xml:space="preserve"> above the budget plan and </w:t>
      </w:r>
      <w:r w:rsidRPr="00C32887">
        <w:rPr>
          <w:rFonts w:ascii="Garamond" w:hAnsi="Garamond"/>
          <w:sz w:val="24"/>
          <w:szCs w:val="24"/>
        </w:rPr>
        <w:t>€</w:t>
      </w:r>
      <w:r>
        <w:rPr>
          <w:rFonts w:ascii="Garamond" w:hAnsi="Garamond"/>
          <w:sz w:val="24"/>
          <w:szCs w:val="24"/>
        </w:rPr>
        <w:t>79 million</w:t>
      </w:r>
      <w:r w:rsidR="007D34DF">
        <w:rPr>
          <w:rFonts w:ascii="Garamond" w:hAnsi="Garamond"/>
          <w:sz w:val="24"/>
          <w:szCs w:val="24"/>
        </w:rPr>
        <w:t xml:space="preserve"> (7%</w:t>
      </w:r>
      <w:r w:rsidR="004D1343" w:rsidRPr="00C32887">
        <w:rPr>
          <w:rFonts w:ascii="Garamond" w:hAnsi="Garamond"/>
          <w:sz w:val="24"/>
          <w:szCs w:val="24"/>
        </w:rPr>
        <w:t xml:space="preserve">) below the </w:t>
      </w:r>
      <w:r w:rsidR="007D34DF">
        <w:rPr>
          <w:rFonts w:ascii="Garamond" w:hAnsi="Garamond"/>
          <w:sz w:val="24"/>
          <w:szCs w:val="24"/>
        </w:rPr>
        <w:t>result</w:t>
      </w:r>
      <w:r w:rsidR="004D1343" w:rsidRPr="00C32887">
        <w:rPr>
          <w:rFonts w:ascii="Garamond" w:hAnsi="Garamond"/>
          <w:sz w:val="24"/>
          <w:szCs w:val="24"/>
        </w:rPr>
        <w:t xml:space="preserve"> from 2019.</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w:t>
      </w:r>
      <w:r w:rsidR="00B4471F">
        <w:rPr>
          <w:rFonts w:ascii="Garamond" w:hAnsi="Garamond"/>
          <w:sz w:val="24"/>
          <w:szCs w:val="24"/>
        </w:rPr>
        <w:t>ccording to records during 2020</w:t>
      </w:r>
      <w:r w:rsidRPr="00C32887">
        <w:rPr>
          <w:rFonts w:ascii="Garamond" w:hAnsi="Garamond"/>
          <w:sz w:val="24"/>
          <w:szCs w:val="24"/>
        </w:rPr>
        <w:t xml:space="preserve">, </w:t>
      </w:r>
      <w:r w:rsidR="007D34DF">
        <w:rPr>
          <w:rFonts w:ascii="Garamond" w:hAnsi="Garamond"/>
          <w:sz w:val="24"/>
          <w:szCs w:val="24"/>
        </w:rPr>
        <w:t>revenue</w:t>
      </w:r>
      <w:r w:rsidRPr="00C32887">
        <w:rPr>
          <w:rFonts w:ascii="Garamond" w:hAnsi="Garamond"/>
          <w:sz w:val="24"/>
          <w:szCs w:val="24"/>
        </w:rPr>
        <w:t xml:space="preserve"> collection </w:t>
      </w:r>
      <w:r w:rsidR="00B4471F">
        <w:rPr>
          <w:rFonts w:ascii="Garamond" w:hAnsi="Garamond"/>
          <w:sz w:val="24"/>
          <w:szCs w:val="24"/>
        </w:rPr>
        <w:t>was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B4471F" w:rsidRDefault="004D1343" w:rsidP="00B4471F">
      <w:pPr>
        <w:pStyle w:val="ListParagraph"/>
        <w:numPr>
          <w:ilvl w:val="0"/>
          <w:numId w:val="4"/>
        </w:numPr>
        <w:rPr>
          <w:rFonts w:ascii="Garamond" w:hAnsi="Garamond"/>
          <w:sz w:val="24"/>
          <w:szCs w:val="24"/>
        </w:rPr>
      </w:pPr>
      <w:r w:rsidRPr="00B4471F">
        <w:rPr>
          <w:rFonts w:ascii="Garamond" w:hAnsi="Garamond"/>
          <w:sz w:val="24"/>
          <w:szCs w:val="24"/>
        </w:rPr>
        <w:t xml:space="preserve">Total gross collection: </w:t>
      </w:r>
      <w:r w:rsidR="00B4471F" w:rsidRPr="00B4471F">
        <w:rPr>
          <w:rFonts w:ascii="Garamond" w:hAnsi="Garamond"/>
          <w:sz w:val="24"/>
          <w:szCs w:val="24"/>
        </w:rPr>
        <w:t>€</w:t>
      </w:r>
      <w:proofErr w:type="gramStart"/>
      <w:r w:rsidRPr="00B4471F">
        <w:rPr>
          <w:rFonts w:ascii="Garamond" w:hAnsi="Garamond"/>
          <w:sz w:val="24"/>
          <w:szCs w:val="24"/>
        </w:rPr>
        <w:t>1,098,146,781.23  -</w:t>
      </w:r>
      <w:proofErr w:type="gramEnd"/>
      <w:r w:rsidRPr="00B4471F">
        <w:rPr>
          <w:rFonts w:ascii="Garamond" w:hAnsi="Garamond"/>
          <w:sz w:val="24"/>
          <w:szCs w:val="24"/>
        </w:rPr>
        <w:t xml:space="preserve"> </w:t>
      </w:r>
      <w:r w:rsidR="00B4471F" w:rsidRPr="00B4471F">
        <w:rPr>
          <w:rFonts w:ascii="Garamond" w:hAnsi="Garamond"/>
          <w:sz w:val="24"/>
          <w:szCs w:val="24"/>
        </w:rPr>
        <w:t>€</w:t>
      </w:r>
      <w:r w:rsidRPr="00B4471F">
        <w:rPr>
          <w:rFonts w:ascii="Garamond" w:hAnsi="Garamond"/>
          <w:sz w:val="24"/>
          <w:szCs w:val="24"/>
        </w:rPr>
        <w:t>65 mil</w:t>
      </w:r>
      <w:r w:rsidR="00B4471F">
        <w:rPr>
          <w:rFonts w:ascii="Garamond" w:hAnsi="Garamond"/>
          <w:sz w:val="24"/>
          <w:szCs w:val="24"/>
        </w:rPr>
        <w:t>lion</w:t>
      </w:r>
      <w:r w:rsidRPr="00B4471F">
        <w:rPr>
          <w:rFonts w:ascii="Garamond" w:hAnsi="Garamond"/>
          <w:sz w:val="24"/>
          <w:szCs w:val="24"/>
        </w:rPr>
        <w:t xml:space="preserve"> over the plan, and </w:t>
      </w:r>
      <w:r w:rsidR="00B4471F" w:rsidRPr="00B4471F">
        <w:rPr>
          <w:rFonts w:ascii="Garamond" w:hAnsi="Garamond"/>
          <w:sz w:val="24"/>
          <w:szCs w:val="24"/>
        </w:rPr>
        <w:t>€</w:t>
      </w:r>
      <w:r w:rsidR="00B4471F">
        <w:rPr>
          <w:rFonts w:ascii="Garamond" w:hAnsi="Garamond"/>
          <w:sz w:val="24"/>
          <w:szCs w:val="24"/>
        </w:rPr>
        <w:t>79 million</w:t>
      </w:r>
      <w:r w:rsidRPr="00B4471F">
        <w:rPr>
          <w:rFonts w:ascii="Garamond" w:hAnsi="Garamond"/>
          <w:sz w:val="24"/>
          <w:szCs w:val="24"/>
        </w:rPr>
        <w:t xml:space="preserve"> less than in 2019 (7%)</w:t>
      </w:r>
      <w:r w:rsidR="008B6760">
        <w:rPr>
          <w:rFonts w:ascii="Garamond" w:hAnsi="Garamond"/>
          <w:sz w:val="24"/>
          <w:szCs w:val="24"/>
        </w:rPr>
        <w:t>;</w:t>
      </w:r>
      <w:r w:rsidRPr="00B4471F">
        <w:rPr>
          <w:rFonts w:ascii="Garamond" w:hAnsi="Garamond"/>
          <w:sz w:val="24"/>
          <w:szCs w:val="24"/>
        </w:rPr>
        <w:t xml:space="preserve">         </w:t>
      </w:r>
    </w:p>
    <w:p w:rsidR="004D1343" w:rsidRPr="00B4471F" w:rsidRDefault="007D34DF" w:rsidP="00B4471F">
      <w:pPr>
        <w:pStyle w:val="ListParagraph"/>
        <w:numPr>
          <w:ilvl w:val="0"/>
          <w:numId w:val="4"/>
        </w:numPr>
        <w:rPr>
          <w:rFonts w:ascii="Garamond" w:hAnsi="Garamond"/>
          <w:sz w:val="24"/>
          <w:szCs w:val="24"/>
        </w:rPr>
      </w:pPr>
      <w:r>
        <w:rPr>
          <w:rFonts w:ascii="Garamond" w:hAnsi="Garamond"/>
          <w:sz w:val="24"/>
          <w:szCs w:val="24"/>
        </w:rPr>
        <w:t>Revenue</w:t>
      </w:r>
      <w:r w:rsidR="004D1343" w:rsidRPr="00B4471F">
        <w:rPr>
          <w:rFonts w:ascii="Garamond" w:hAnsi="Garamond"/>
          <w:sz w:val="24"/>
          <w:szCs w:val="24"/>
        </w:rPr>
        <w:t xml:space="preserve"> on the basis of VAT amounted to </w:t>
      </w:r>
      <w:r w:rsidR="00B4471F" w:rsidRPr="00B4471F">
        <w:rPr>
          <w:rFonts w:ascii="Garamond" w:hAnsi="Garamond"/>
          <w:sz w:val="24"/>
          <w:szCs w:val="24"/>
        </w:rPr>
        <w:t>€</w:t>
      </w:r>
      <w:r w:rsidR="004D1343" w:rsidRPr="00B4471F">
        <w:rPr>
          <w:rFonts w:ascii="Garamond" w:hAnsi="Garamond"/>
          <w:sz w:val="24"/>
          <w:szCs w:val="24"/>
        </w:rPr>
        <w:t>529.8 mil.</w:t>
      </w:r>
      <w:r>
        <w:rPr>
          <w:rFonts w:ascii="Garamond" w:hAnsi="Garamond"/>
          <w:sz w:val="24"/>
          <w:szCs w:val="24"/>
        </w:rPr>
        <w:t>,</w:t>
      </w:r>
      <w:r w:rsidR="004D1343" w:rsidRPr="00B4471F">
        <w:rPr>
          <w:rFonts w:ascii="Garamond" w:hAnsi="Garamond"/>
          <w:sz w:val="24"/>
          <w:szCs w:val="24"/>
        </w:rPr>
        <w:t xml:space="preserve"> or 12.6% of estimated GDP.         </w:t>
      </w:r>
    </w:p>
    <w:p w:rsidR="004D1343" w:rsidRPr="00C32887" w:rsidRDefault="004D1343" w:rsidP="004D1343">
      <w:pPr>
        <w:rPr>
          <w:rFonts w:ascii="Garamond" w:hAnsi="Garamond"/>
          <w:sz w:val="24"/>
          <w:szCs w:val="24"/>
        </w:rPr>
      </w:pPr>
    </w:p>
    <w:p w:rsidR="004D1343" w:rsidRPr="00C32887" w:rsidRDefault="004D1343" w:rsidP="00B4471F">
      <w:pPr>
        <w:jc w:val="both"/>
        <w:rPr>
          <w:rFonts w:ascii="Garamond" w:hAnsi="Garamond"/>
          <w:sz w:val="24"/>
          <w:szCs w:val="24"/>
        </w:rPr>
      </w:pPr>
      <w:r w:rsidRPr="00C32887">
        <w:rPr>
          <w:rFonts w:ascii="Garamond" w:hAnsi="Garamond"/>
          <w:sz w:val="24"/>
          <w:szCs w:val="24"/>
        </w:rPr>
        <w:t xml:space="preserve">Also, the performance indicator related to the growth of the share of submitted </w:t>
      </w:r>
      <w:r w:rsidR="003F598A">
        <w:rPr>
          <w:rFonts w:ascii="Garamond" w:hAnsi="Garamond"/>
          <w:sz w:val="24"/>
          <w:szCs w:val="24"/>
        </w:rPr>
        <w:t>e-</w:t>
      </w:r>
      <w:r w:rsidR="00FE6BF3">
        <w:rPr>
          <w:rFonts w:ascii="Garamond" w:hAnsi="Garamond"/>
          <w:sz w:val="24"/>
          <w:szCs w:val="24"/>
        </w:rPr>
        <w:t>returns</w:t>
      </w:r>
      <w:r w:rsidRPr="00C32887">
        <w:rPr>
          <w:rFonts w:ascii="Garamond" w:hAnsi="Garamond"/>
          <w:sz w:val="24"/>
          <w:szCs w:val="24"/>
        </w:rPr>
        <w:t xml:space="preserve"> is abo</w:t>
      </w:r>
      <w:r w:rsidR="00FE6BF3">
        <w:rPr>
          <w:rFonts w:ascii="Garamond" w:hAnsi="Garamond"/>
          <w:sz w:val="24"/>
          <w:szCs w:val="24"/>
        </w:rPr>
        <w:t>ve the expected value for 2020</w:t>
      </w:r>
      <w:r w:rsidRPr="00C32887">
        <w:rPr>
          <w:rFonts w:ascii="Garamond" w:hAnsi="Garamond"/>
          <w:sz w:val="24"/>
          <w:szCs w:val="24"/>
        </w:rPr>
        <w:t>. Special emphasis should be placed on the</w:t>
      </w:r>
      <w:r w:rsidR="003F598A">
        <w:rPr>
          <w:rFonts w:ascii="Garamond" w:hAnsi="Garamond"/>
          <w:sz w:val="24"/>
          <w:szCs w:val="24"/>
        </w:rPr>
        <w:t xml:space="preserve"> increase of e-</w:t>
      </w:r>
      <w:r w:rsidR="00FE6BF3">
        <w:rPr>
          <w:rFonts w:ascii="Garamond" w:hAnsi="Garamond"/>
          <w:sz w:val="24"/>
          <w:szCs w:val="24"/>
        </w:rPr>
        <w:t>returns</w:t>
      </w:r>
      <w:r w:rsidRPr="00C32887">
        <w:rPr>
          <w:rFonts w:ascii="Garamond" w:hAnsi="Garamond"/>
          <w:sz w:val="24"/>
          <w:szCs w:val="24"/>
        </w:rPr>
        <w:t xml:space="preserve"> </w:t>
      </w:r>
      <w:r w:rsidR="003F598A">
        <w:rPr>
          <w:rFonts w:ascii="Garamond" w:hAnsi="Garamond"/>
          <w:sz w:val="24"/>
          <w:szCs w:val="24"/>
        </w:rPr>
        <w:t>for</w:t>
      </w:r>
      <w:r w:rsidRPr="00C32887">
        <w:rPr>
          <w:rFonts w:ascii="Garamond" w:hAnsi="Garamond"/>
          <w:sz w:val="24"/>
          <w:szCs w:val="24"/>
        </w:rPr>
        <w:t xml:space="preserve"> VAT - 89%. Namely, a novelty was introduced </w:t>
      </w:r>
      <w:r w:rsidR="0085229E">
        <w:rPr>
          <w:rFonts w:ascii="Garamond" w:hAnsi="Garamond"/>
          <w:sz w:val="24"/>
          <w:szCs w:val="24"/>
        </w:rPr>
        <w:t>and now m</w:t>
      </w:r>
      <w:r w:rsidRPr="00C32887">
        <w:rPr>
          <w:rFonts w:ascii="Garamond" w:hAnsi="Garamond"/>
          <w:sz w:val="24"/>
          <w:szCs w:val="24"/>
        </w:rPr>
        <w:t xml:space="preserve">onthly </w:t>
      </w:r>
      <w:r w:rsidR="00FE6BF3" w:rsidRPr="00C32887">
        <w:rPr>
          <w:rFonts w:ascii="Garamond" w:hAnsi="Garamond"/>
          <w:sz w:val="24"/>
          <w:szCs w:val="24"/>
        </w:rPr>
        <w:t xml:space="preserve">VAT </w:t>
      </w:r>
      <w:r w:rsidR="00FE6BF3">
        <w:rPr>
          <w:rFonts w:ascii="Garamond" w:hAnsi="Garamond"/>
          <w:sz w:val="24"/>
          <w:szCs w:val="24"/>
        </w:rPr>
        <w:t>return</w:t>
      </w:r>
      <w:r w:rsidR="0085229E">
        <w:rPr>
          <w:rFonts w:ascii="Garamond" w:hAnsi="Garamond"/>
          <w:sz w:val="24"/>
          <w:szCs w:val="24"/>
        </w:rPr>
        <w:t>s are</w:t>
      </w:r>
      <w:r w:rsidRPr="00C32887">
        <w:rPr>
          <w:rFonts w:ascii="Garamond" w:hAnsi="Garamond"/>
          <w:sz w:val="24"/>
          <w:szCs w:val="24"/>
        </w:rPr>
        <w:t xml:space="preserve"> submitted </w:t>
      </w:r>
      <w:r w:rsidR="0085229E" w:rsidRPr="00C32887">
        <w:rPr>
          <w:rFonts w:ascii="Garamond" w:hAnsi="Garamond"/>
          <w:sz w:val="24"/>
          <w:szCs w:val="24"/>
        </w:rPr>
        <w:t xml:space="preserve">electronically </w:t>
      </w:r>
      <w:r w:rsidRPr="00C32887">
        <w:rPr>
          <w:rFonts w:ascii="Garamond" w:hAnsi="Garamond"/>
          <w:sz w:val="24"/>
          <w:szCs w:val="24"/>
        </w:rPr>
        <w:t>exclusively, which is in accordanc</w:t>
      </w:r>
      <w:r w:rsidR="00FE6BF3">
        <w:rPr>
          <w:rFonts w:ascii="Garamond" w:hAnsi="Garamond"/>
          <w:sz w:val="24"/>
          <w:szCs w:val="24"/>
        </w:rPr>
        <w:t xml:space="preserve">e with </w:t>
      </w:r>
      <w:r w:rsidR="00817E01">
        <w:rPr>
          <w:rFonts w:ascii="Garamond" w:hAnsi="Garamond"/>
          <w:sz w:val="24"/>
          <w:szCs w:val="24"/>
        </w:rPr>
        <w:t xml:space="preserve">the </w:t>
      </w:r>
      <w:r w:rsidR="00FE6BF3">
        <w:rPr>
          <w:rFonts w:ascii="Garamond" w:hAnsi="Garamond"/>
          <w:sz w:val="24"/>
          <w:szCs w:val="24"/>
        </w:rPr>
        <w:t>European tax legislation. Also</w:t>
      </w:r>
      <w:r w:rsidRPr="00C32887">
        <w:rPr>
          <w:rFonts w:ascii="Garamond" w:hAnsi="Garamond"/>
          <w:sz w:val="24"/>
          <w:szCs w:val="24"/>
        </w:rPr>
        <w:t>, e-</w:t>
      </w:r>
      <w:r w:rsidR="0085229E">
        <w:rPr>
          <w:rFonts w:ascii="Garamond" w:hAnsi="Garamond"/>
          <w:sz w:val="24"/>
          <w:szCs w:val="24"/>
        </w:rPr>
        <w:t>filing</w:t>
      </w:r>
      <w:r w:rsidRPr="00C32887">
        <w:rPr>
          <w:rFonts w:ascii="Garamond" w:hAnsi="Garamond"/>
          <w:sz w:val="24"/>
          <w:szCs w:val="24"/>
        </w:rPr>
        <w:t xml:space="preserve"> of IOPPD </w:t>
      </w:r>
      <w:r w:rsidR="00FE6BF3">
        <w:rPr>
          <w:rFonts w:ascii="Garamond" w:hAnsi="Garamond"/>
          <w:sz w:val="24"/>
          <w:szCs w:val="24"/>
        </w:rPr>
        <w:t>returns</w:t>
      </w:r>
      <w:r w:rsidRPr="00C32887">
        <w:rPr>
          <w:rFonts w:ascii="Garamond" w:hAnsi="Garamond"/>
          <w:sz w:val="24"/>
          <w:szCs w:val="24"/>
        </w:rPr>
        <w:t xml:space="preserve"> is enabl</w:t>
      </w:r>
      <w:r w:rsidR="00FE6BF3">
        <w:rPr>
          <w:rFonts w:ascii="Garamond" w:hAnsi="Garamond"/>
          <w:sz w:val="24"/>
          <w:szCs w:val="24"/>
        </w:rPr>
        <w:t>ed</w:t>
      </w:r>
      <w:r w:rsidRPr="00C32887">
        <w:rPr>
          <w:rFonts w:ascii="Garamond" w:hAnsi="Garamond"/>
          <w:sz w:val="24"/>
          <w:szCs w:val="24"/>
        </w:rPr>
        <w:t xml:space="preserve">. </w:t>
      </w:r>
      <w:r w:rsidR="00FE6BF3">
        <w:rPr>
          <w:rFonts w:ascii="Garamond" w:hAnsi="Garamond"/>
          <w:sz w:val="24"/>
          <w:szCs w:val="24"/>
        </w:rPr>
        <w:t xml:space="preserve">Income tax </w:t>
      </w:r>
      <w:r w:rsidR="0085229E">
        <w:rPr>
          <w:rFonts w:ascii="Garamond" w:hAnsi="Garamond"/>
          <w:sz w:val="24"/>
          <w:szCs w:val="24"/>
        </w:rPr>
        <w:t xml:space="preserve">target is at </w:t>
      </w:r>
      <w:r w:rsidR="00FE6BF3">
        <w:rPr>
          <w:rFonts w:ascii="Garamond" w:hAnsi="Garamond"/>
          <w:sz w:val="24"/>
          <w:szCs w:val="24"/>
        </w:rPr>
        <w:t>99.6%</w:t>
      </w:r>
      <w:r w:rsidRPr="00C32887">
        <w:rPr>
          <w:rFonts w:ascii="Garamond" w:hAnsi="Garamond"/>
          <w:sz w:val="24"/>
          <w:szCs w:val="24"/>
        </w:rPr>
        <w:t>, which achieved the predicted value of the performance indicator and continued the positive trend.</w:t>
      </w:r>
      <w:r w:rsidR="0085229E">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FE6BF3">
      <w:pPr>
        <w:jc w:val="both"/>
        <w:rPr>
          <w:rFonts w:ascii="Garamond" w:hAnsi="Garamond"/>
          <w:sz w:val="24"/>
          <w:szCs w:val="24"/>
        </w:rPr>
      </w:pPr>
      <w:r w:rsidRPr="00C32887">
        <w:rPr>
          <w:rFonts w:ascii="Garamond" w:hAnsi="Garamond"/>
          <w:sz w:val="24"/>
          <w:szCs w:val="24"/>
        </w:rPr>
        <w:t>Harmoni</w:t>
      </w:r>
      <w:r w:rsidR="00F254DD">
        <w:rPr>
          <w:rFonts w:ascii="Garamond" w:hAnsi="Garamond"/>
          <w:sz w:val="24"/>
          <w:szCs w:val="24"/>
        </w:rPr>
        <w:t>sation</w:t>
      </w:r>
      <w:r w:rsidRPr="00C32887">
        <w:rPr>
          <w:rFonts w:ascii="Garamond" w:hAnsi="Garamond"/>
          <w:sz w:val="24"/>
          <w:szCs w:val="24"/>
        </w:rPr>
        <w:t xml:space="preserve"> of</w:t>
      </w:r>
      <w:r w:rsidR="00FE6BF3">
        <w:rPr>
          <w:rFonts w:ascii="Garamond" w:hAnsi="Garamond"/>
          <w:sz w:val="24"/>
          <w:szCs w:val="24"/>
        </w:rPr>
        <w:t xml:space="preserve"> legislation with the EU acquis</w:t>
      </w:r>
      <w:r w:rsidRPr="00C32887">
        <w:rPr>
          <w:rFonts w:ascii="Garamond" w:hAnsi="Garamond"/>
          <w:sz w:val="24"/>
          <w:szCs w:val="24"/>
        </w:rPr>
        <w:t xml:space="preserve"> takes place with a delay due to the</w:t>
      </w:r>
      <w:r w:rsidR="00817E01">
        <w:rPr>
          <w:rFonts w:ascii="Garamond" w:hAnsi="Garamond"/>
          <w:sz w:val="24"/>
          <w:szCs w:val="24"/>
        </w:rPr>
        <w:t xml:space="preserve"> fact</w:t>
      </w:r>
      <w:r w:rsidRPr="00C32887">
        <w:rPr>
          <w:rFonts w:ascii="Garamond" w:hAnsi="Garamond"/>
          <w:sz w:val="24"/>
          <w:szCs w:val="24"/>
        </w:rPr>
        <w:t xml:space="preserve"> </w:t>
      </w:r>
      <w:r w:rsidR="00817E01">
        <w:rPr>
          <w:rFonts w:ascii="Garamond" w:hAnsi="Garamond"/>
          <w:sz w:val="24"/>
          <w:szCs w:val="24"/>
        </w:rPr>
        <w:t xml:space="preserve">that the </w:t>
      </w:r>
      <w:r w:rsidRPr="00C32887">
        <w:rPr>
          <w:rFonts w:ascii="Garamond" w:hAnsi="Garamond"/>
          <w:sz w:val="24"/>
          <w:szCs w:val="24"/>
        </w:rPr>
        <w:t xml:space="preserve">adoption and amendments </w:t>
      </w:r>
      <w:r w:rsidR="00817E01">
        <w:rPr>
          <w:rFonts w:ascii="Garamond" w:hAnsi="Garamond"/>
          <w:sz w:val="24"/>
          <w:szCs w:val="24"/>
        </w:rPr>
        <w:t xml:space="preserve">to legislation are </w:t>
      </w:r>
      <w:r w:rsidRPr="00C32887">
        <w:rPr>
          <w:rFonts w:ascii="Garamond" w:hAnsi="Garamond"/>
          <w:sz w:val="24"/>
          <w:szCs w:val="24"/>
        </w:rPr>
        <w:t>based on comments submi</w:t>
      </w:r>
      <w:r w:rsidR="00FE6BF3">
        <w:rPr>
          <w:rFonts w:ascii="Garamond" w:hAnsi="Garamond"/>
          <w:sz w:val="24"/>
          <w:szCs w:val="24"/>
        </w:rPr>
        <w:t>tted by the European Commission</w:t>
      </w:r>
      <w:r w:rsidRPr="00C32887">
        <w:rPr>
          <w:rFonts w:ascii="Garamond" w:hAnsi="Garamond"/>
          <w:sz w:val="24"/>
          <w:szCs w:val="24"/>
        </w:rPr>
        <w:t xml:space="preserve">. </w:t>
      </w:r>
      <w:r w:rsidR="003F598A" w:rsidRPr="00C32887">
        <w:rPr>
          <w:rFonts w:ascii="Garamond" w:hAnsi="Garamond"/>
          <w:sz w:val="24"/>
          <w:szCs w:val="24"/>
        </w:rPr>
        <w:t xml:space="preserve">The Law </w:t>
      </w:r>
      <w:r w:rsidR="003F598A">
        <w:rPr>
          <w:rFonts w:ascii="Garamond" w:hAnsi="Garamond"/>
          <w:sz w:val="24"/>
          <w:szCs w:val="24"/>
        </w:rPr>
        <w:t>on</w:t>
      </w:r>
      <w:r w:rsidR="003F598A" w:rsidRPr="00C32887">
        <w:rPr>
          <w:rFonts w:ascii="Garamond" w:hAnsi="Garamond"/>
          <w:sz w:val="24"/>
          <w:szCs w:val="24"/>
        </w:rPr>
        <w:t xml:space="preserve"> Corporate Income Tax, VAT</w:t>
      </w:r>
      <w:r w:rsidR="003F598A" w:rsidRPr="003F598A">
        <w:rPr>
          <w:rFonts w:ascii="Garamond" w:hAnsi="Garamond"/>
          <w:sz w:val="24"/>
          <w:szCs w:val="24"/>
        </w:rPr>
        <w:t xml:space="preserve"> </w:t>
      </w:r>
      <w:r w:rsidR="003F598A" w:rsidRPr="00C32887">
        <w:rPr>
          <w:rFonts w:ascii="Garamond" w:hAnsi="Garamond"/>
          <w:sz w:val="24"/>
          <w:szCs w:val="24"/>
        </w:rPr>
        <w:t>Law</w:t>
      </w:r>
      <w:r w:rsidR="003F598A">
        <w:rPr>
          <w:rFonts w:ascii="Garamond" w:hAnsi="Garamond"/>
          <w:sz w:val="24"/>
          <w:szCs w:val="24"/>
        </w:rPr>
        <w:t>, t</w:t>
      </w:r>
      <w:r w:rsidR="003F598A" w:rsidRPr="00C32887">
        <w:rPr>
          <w:rFonts w:ascii="Garamond" w:hAnsi="Garamond"/>
          <w:sz w:val="24"/>
          <w:szCs w:val="24"/>
        </w:rPr>
        <w:t xml:space="preserve">he Law on Tax Administration </w:t>
      </w:r>
      <w:r w:rsidR="0085229E">
        <w:rPr>
          <w:rFonts w:ascii="Garamond" w:hAnsi="Garamond"/>
          <w:sz w:val="24"/>
          <w:szCs w:val="24"/>
        </w:rPr>
        <w:t>after</w:t>
      </w:r>
      <w:r w:rsidRPr="00C32887">
        <w:rPr>
          <w:rFonts w:ascii="Garamond" w:hAnsi="Garamond"/>
          <w:sz w:val="24"/>
          <w:szCs w:val="24"/>
        </w:rPr>
        <w:t xml:space="preserve"> </w:t>
      </w:r>
      <w:r w:rsidR="003F598A">
        <w:rPr>
          <w:rFonts w:ascii="Garamond" w:hAnsi="Garamond"/>
          <w:sz w:val="24"/>
          <w:szCs w:val="24"/>
        </w:rPr>
        <w:t>they obtained</w:t>
      </w:r>
      <w:r w:rsidRPr="00C32887">
        <w:rPr>
          <w:rFonts w:ascii="Garamond" w:hAnsi="Garamond"/>
          <w:sz w:val="24"/>
          <w:szCs w:val="24"/>
        </w:rPr>
        <w:t xml:space="preserve"> a positive opinio</w:t>
      </w:r>
      <w:r w:rsidR="003F598A">
        <w:rPr>
          <w:rFonts w:ascii="Garamond" w:hAnsi="Garamond"/>
          <w:sz w:val="24"/>
          <w:szCs w:val="24"/>
        </w:rPr>
        <w:t>n from the European Commission,</w:t>
      </w:r>
      <w:r w:rsidRPr="00C32887">
        <w:rPr>
          <w:rFonts w:ascii="Garamond" w:hAnsi="Garamond"/>
          <w:sz w:val="24"/>
          <w:szCs w:val="24"/>
        </w:rPr>
        <w:t xml:space="preserve"> are </w:t>
      </w:r>
      <w:r w:rsidR="00FE6BF3">
        <w:rPr>
          <w:rFonts w:ascii="Garamond" w:hAnsi="Garamond"/>
          <w:sz w:val="24"/>
          <w:szCs w:val="24"/>
        </w:rPr>
        <w:t xml:space="preserve">pending </w:t>
      </w:r>
      <w:r w:rsidRPr="00C32887">
        <w:rPr>
          <w:rFonts w:ascii="Garamond" w:hAnsi="Garamond"/>
          <w:sz w:val="24"/>
          <w:szCs w:val="24"/>
        </w:rPr>
        <w:t xml:space="preserve">re-adoption procedure. There are ongoing activities to </w:t>
      </w:r>
      <w:r w:rsidR="003F598A">
        <w:rPr>
          <w:rFonts w:ascii="Garamond" w:hAnsi="Garamond"/>
          <w:sz w:val="24"/>
          <w:szCs w:val="24"/>
        </w:rPr>
        <w:t>prepare</w:t>
      </w:r>
      <w:r w:rsidRPr="00C32887">
        <w:rPr>
          <w:rFonts w:ascii="Garamond" w:hAnsi="Garamond"/>
          <w:sz w:val="24"/>
          <w:szCs w:val="24"/>
        </w:rPr>
        <w:t xml:space="preserve"> </w:t>
      </w:r>
      <w:r w:rsidR="00FE6BF3" w:rsidRPr="00FE6BF3">
        <w:rPr>
          <w:rFonts w:ascii="Garamond" w:hAnsi="Garamond"/>
          <w:b/>
          <w:sz w:val="24"/>
          <w:szCs w:val="24"/>
        </w:rPr>
        <w:t xml:space="preserve">Draft </w:t>
      </w:r>
      <w:r w:rsidRPr="00FE6BF3">
        <w:rPr>
          <w:rFonts w:ascii="Garamond" w:hAnsi="Garamond"/>
          <w:b/>
          <w:sz w:val="24"/>
          <w:szCs w:val="24"/>
        </w:rPr>
        <w:t>Law on Amendments to the Law on Corporate Income Tax</w:t>
      </w:r>
      <w:r w:rsidR="00FE6BF3">
        <w:rPr>
          <w:rFonts w:ascii="Garamond" w:hAnsi="Garamond"/>
          <w:sz w:val="24"/>
          <w:szCs w:val="24"/>
        </w:rPr>
        <w:t xml:space="preserve">, </w:t>
      </w:r>
      <w:r w:rsidR="003F598A">
        <w:rPr>
          <w:rFonts w:ascii="Garamond" w:hAnsi="Garamond"/>
          <w:sz w:val="24"/>
          <w:szCs w:val="24"/>
        </w:rPr>
        <w:t>which will, in order to harmonis</w:t>
      </w:r>
      <w:r w:rsidRPr="00C32887">
        <w:rPr>
          <w:rFonts w:ascii="Garamond" w:hAnsi="Garamond"/>
          <w:sz w:val="24"/>
          <w:szCs w:val="24"/>
        </w:rPr>
        <w:t>e national tax legislation with the directives of the European Union</w:t>
      </w:r>
      <w:r w:rsidR="003F598A">
        <w:rPr>
          <w:rFonts w:ascii="Garamond" w:hAnsi="Garamond"/>
          <w:sz w:val="24"/>
          <w:szCs w:val="24"/>
        </w:rPr>
        <w:t>,</w:t>
      </w:r>
      <w:r w:rsidRPr="00C32887">
        <w:rPr>
          <w:rFonts w:ascii="Garamond" w:hAnsi="Garamond"/>
          <w:sz w:val="24"/>
          <w:szCs w:val="24"/>
        </w:rPr>
        <w:t xml:space="preserve"> harmoni</w:t>
      </w:r>
      <w:r w:rsidR="0085229E">
        <w:rPr>
          <w:rFonts w:ascii="Garamond" w:hAnsi="Garamond"/>
          <w:sz w:val="24"/>
          <w:szCs w:val="24"/>
        </w:rPr>
        <w:t>s</w:t>
      </w:r>
      <w:r w:rsidRPr="00C32887">
        <w:rPr>
          <w:rFonts w:ascii="Garamond" w:hAnsi="Garamond"/>
          <w:sz w:val="24"/>
          <w:szCs w:val="24"/>
        </w:rPr>
        <w:t>e the applicable law with Council Directiv</w:t>
      </w:r>
      <w:r w:rsidR="00FE6BF3">
        <w:rPr>
          <w:rFonts w:ascii="Garamond" w:hAnsi="Garamond"/>
          <w:sz w:val="24"/>
          <w:szCs w:val="24"/>
        </w:rPr>
        <w:t>e 2011/96</w:t>
      </w:r>
      <w:r w:rsidRPr="00C32887">
        <w:rPr>
          <w:rFonts w:ascii="Garamond" w:hAnsi="Garamond"/>
          <w:sz w:val="24"/>
          <w:szCs w:val="24"/>
        </w:rPr>
        <w:t>/EU (last amended</w:t>
      </w:r>
      <w:r w:rsidR="00FE6BF3">
        <w:rPr>
          <w:rFonts w:ascii="Garamond" w:hAnsi="Garamond"/>
          <w:sz w:val="24"/>
          <w:szCs w:val="24"/>
        </w:rPr>
        <w:t xml:space="preserve"> by Council Directive 2014/0086</w:t>
      </w:r>
      <w:r w:rsidRPr="00C32887">
        <w:rPr>
          <w:rFonts w:ascii="Garamond" w:hAnsi="Garamond"/>
          <w:sz w:val="24"/>
          <w:szCs w:val="24"/>
        </w:rPr>
        <w:t>/</w:t>
      </w:r>
      <w:r w:rsidR="00FE6BF3">
        <w:rPr>
          <w:rFonts w:ascii="Garamond" w:hAnsi="Garamond"/>
          <w:sz w:val="24"/>
          <w:szCs w:val="24"/>
        </w:rPr>
        <w:t>EU and 2015/0121</w:t>
      </w:r>
      <w:r w:rsidRPr="00C32887">
        <w:rPr>
          <w:rFonts w:ascii="Garamond" w:hAnsi="Garamond"/>
          <w:sz w:val="24"/>
          <w:szCs w:val="24"/>
        </w:rPr>
        <w:t xml:space="preserve">/EU) on the common system of taxation applicable </w:t>
      </w:r>
      <w:r w:rsidR="001E35E9">
        <w:rPr>
          <w:rFonts w:ascii="Garamond" w:hAnsi="Garamond"/>
          <w:sz w:val="24"/>
          <w:szCs w:val="24"/>
        </w:rPr>
        <w:t>in the case of</w:t>
      </w:r>
      <w:r w:rsidRPr="00C32887">
        <w:rPr>
          <w:rFonts w:ascii="Garamond" w:hAnsi="Garamond"/>
          <w:sz w:val="24"/>
          <w:szCs w:val="24"/>
        </w:rPr>
        <w:t xml:space="preserve"> parent </w:t>
      </w:r>
      <w:r w:rsidR="001E35E9">
        <w:rPr>
          <w:rFonts w:ascii="Garamond" w:hAnsi="Garamond"/>
          <w:sz w:val="24"/>
          <w:szCs w:val="24"/>
        </w:rPr>
        <w:t xml:space="preserve">companies </w:t>
      </w:r>
      <w:r w:rsidRPr="00C32887">
        <w:rPr>
          <w:rFonts w:ascii="Garamond" w:hAnsi="Garamond"/>
          <w:sz w:val="24"/>
          <w:szCs w:val="24"/>
        </w:rPr>
        <w:t xml:space="preserve">and subsidiaries of </w:t>
      </w:r>
      <w:r w:rsidR="001E35E9">
        <w:rPr>
          <w:rFonts w:ascii="Garamond" w:hAnsi="Garamond"/>
          <w:sz w:val="24"/>
          <w:szCs w:val="24"/>
        </w:rPr>
        <w:t xml:space="preserve">different </w:t>
      </w:r>
      <w:r w:rsidRPr="00C32887">
        <w:rPr>
          <w:rFonts w:ascii="Garamond" w:hAnsi="Garamond"/>
          <w:sz w:val="24"/>
          <w:szCs w:val="24"/>
        </w:rPr>
        <w:t>Member States and Council Directive 32003L0049 on the common system of taxation applicable to interest and royalt</w:t>
      </w:r>
      <w:r w:rsidR="001E35E9">
        <w:rPr>
          <w:rFonts w:ascii="Garamond" w:hAnsi="Garamond"/>
          <w:sz w:val="24"/>
          <w:szCs w:val="24"/>
        </w:rPr>
        <w:t>y payments made</w:t>
      </w:r>
      <w:r w:rsidRPr="00C32887">
        <w:rPr>
          <w:rFonts w:ascii="Garamond" w:hAnsi="Garamond"/>
          <w:sz w:val="24"/>
          <w:szCs w:val="24"/>
        </w:rPr>
        <w:t xml:space="preserve"> between associated companies </w:t>
      </w:r>
      <w:r w:rsidR="001E35E9">
        <w:rPr>
          <w:rFonts w:ascii="Garamond" w:hAnsi="Garamond"/>
          <w:sz w:val="24"/>
          <w:szCs w:val="24"/>
        </w:rPr>
        <w:t xml:space="preserve">of different </w:t>
      </w:r>
      <w:r w:rsidRPr="00C32887">
        <w:rPr>
          <w:rFonts w:ascii="Garamond" w:hAnsi="Garamond"/>
          <w:sz w:val="24"/>
          <w:szCs w:val="24"/>
        </w:rPr>
        <w:t xml:space="preserve">Member States. </w:t>
      </w:r>
      <w:r w:rsidR="001E35E9">
        <w:rPr>
          <w:rFonts w:ascii="Garamond" w:hAnsi="Garamond"/>
          <w:sz w:val="24"/>
          <w:szCs w:val="24"/>
        </w:rPr>
        <w:t>Draft</w:t>
      </w:r>
      <w:r w:rsidRPr="00C32887">
        <w:rPr>
          <w:rFonts w:ascii="Garamond" w:hAnsi="Garamond"/>
          <w:sz w:val="24"/>
          <w:szCs w:val="24"/>
        </w:rPr>
        <w:t xml:space="preserve"> Law on Amendments to the Law on Corp</w:t>
      </w:r>
      <w:r w:rsidR="00801BAB">
        <w:rPr>
          <w:rFonts w:ascii="Garamond" w:hAnsi="Garamond"/>
          <w:sz w:val="24"/>
          <w:szCs w:val="24"/>
        </w:rPr>
        <w:t>orate Income Tax, with the table of concorda</w:t>
      </w:r>
      <w:r w:rsidR="00801BAB" w:rsidRPr="00C32887">
        <w:rPr>
          <w:rFonts w:ascii="Garamond" w:hAnsi="Garamond"/>
          <w:sz w:val="24"/>
          <w:szCs w:val="24"/>
        </w:rPr>
        <w:t xml:space="preserve">nce </w:t>
      </w:r>
      <w:r w:rsidRPr="00C32887">
        <w:rPr>
          <w:rFonts w:ascii="Garamond" w:hAnsi="Garamond"/>
          <w:sz w:val="24"/>
          <w:szCs w:val="24"/>
        </w:rPr>
        <w:t xml:space="preserve">and appropriate documentation, was submitted </w:t>
      </w:r>
      <w:r w:rsidR="00801BAB">
        <w:rPr>
          <w:rFonts w:ascii="Garamond" w:hAnsi="Garamond"/>
          <w:sz w:val="24"/>
          <w:szCs w:val="24"/>
        </w:rPr>
        <w:t>to</w:t>
      </w:r>
      <w:r w:rsidRPr="00C32887">
        <w:rPr>
          <w:rFonts w:ascii="Garamond" w:hAnsi="Garamond"/>
          <w:sz w:val="24"/>
          <w:szCs w:val="24"/>
        </w:rPr>
        <w:t xml:space="preserve"> the Office for European Integration of the European Commission in Brussels </w:t>
      </w:r>
      <w:r w:rsidR="001E35E9">
        <w:rPr>
          <w:rFonts w:ascii="Garamond" w:hAnsi="Garamond"/>
          <w:sz w:val="24"/>
          <w:szCs w:val="24"/>
        </w:rPr>
        <w:t>and a positive opinion</w:t>
      </w:r>
      <w:r w:rsidR="00801BAB" w:rsidRPr="00801BAB">
        <w:rPr>
          <w:rFonts w:ascii="Garamond" w:hAnsi="Garamond"/>
          <w:sz w:val="24"/>
          <w:szCs w:val="24"/>
        </w:rPr>
        <w:t xml:space="preserve"> </w:t>
      </w:r>
      <w:r w:rsidR="00801BAB">
        <w:rPr>
          <w:rFonts w:ascii="Garamond" w:hAnsi="Garamond"/>
          <w:sz w:val="24"/>
          <w:szCs w:val="24"/>
        </w:rPr>
        <w:t>was obtained</w:t>
      </w:r>
      <w:r w:rsidRPr="00C32887">
        <w:rPr>
          <w:rFonts w:ascii="Garamond" w:hAnsi="Garamond"/>
          <w:sz w:val="24"/>
          <w:szCs w:val="24"/>
        </w:rPr>
        <w:t xml:space="preserve">. After the adoption of the Law, a rulebook on </w:t>
      </w:r>
      <w:r w:rsidR="001E35E9">
        <w:rPr>
          <w:rFonts w:ascii="Garamond" w:hAnsi="Garamond"/>
          <w:sz w:val="24"/>
          <w:szCs w:val="24"/>
        </w:rPr>
        <w:t>transfer prices will be adopted</w:t>
      </w:r>
      <w:r w:rsidRPr="00C32887">
        <w:rPr>
          <w:rFonts w:ascii="Garamond" w:hAnsi="Garamond"/>
          <w:sz w:val="24"/>
          <w:szCs w:val="24"/>
        </w:rPr>
        <w:t xml:space="preserve">, </w:t>
      </w:r>
      <w:proofErr w:type="gramStart"/>
      <w:r w:rsidRPr="00C32887">
        <w:rPr>
          <w:rFonts w:ascii="Garamond" w:hAnsi="Garamond"/>
          <w:sz w:val="24"/>
          <w:szCs w:val="24"/>
        </w:rPr>
        <w:t>which will regulate in more detail the application of the rules on transfer prices, in accordance with the guidelines of the Organi</w:t>
      </w:r>
      <w:r w:rsidR="00F254DD">
        <w:rPr>
          <w:rFonts w:ascii="Garamond" w:hAnsi="Garamond"/>
          <w:sz w:val="24"/>
          <w:szCs w:val="24"/>
        </w:rPr>
        <w:t>sation</w:t>
      </w:r>
      <w:r w:rsidRPr="00C32887">
        <w:rPr>
          <w:rFonts w:ascii="Garamond" w:hAnsi="Garamond"/>
          <w:sz w:val="24"/>
          <w:szCs w:val="24"/>
        </w:rPr>
        <w:t xml:space="preserve"> for Economic Co</w:t>
      </w:r>
      <w:r w:rsidR="00801BAB">
        <w:rPr>
          <w:rFonts w:ascii="Garamond" w:hAnsi="Garamond"/>
          <w:sz w:val="24"/>
          <w:szCs w:val="24"/>
        </w:rPr>
        <w:t>-</w:t>
      </w:r>
      <w:r w:rsidRPr="00C32887">
        <w:rPr>
          <w:rFonts w:ascii="Garamond" w:hAnsi="Garamond"/>
          <w:sz w:val="24"/>
          <w:szCs w:val="24"/>
        </w:rPr>
        <w:t>operation and Development (OECD).</w:t>
      </w:r>
      <w:proofErr w:type="gramEnd"/>
    </w:p>
    <w:p w:rsidR="004D1343" w:rsidRPr="00C32887" w:rsidRDefault="004D1343" w:rsidP="004D1343">
      <w:pPr>
        <w:rPr>
          <w:rFonts w:ascii="Garamond" w:hAnsi="Garamond"/>
          <w:sz w:val="24"/>
          <w:szCs w:val="24"/>
        </w:rPr>
      </w:pPr>
    </w:p>
    <w:p w:rsidR="004D1343" w:rsidRPr="00C32887" w:rsidRDefault="004D1343" w:rsidP="001E35E9">
      <w:pPr>
        <w:jc w:val="both"/>
        <w:rPr>
          <w:rFonts w:ascii="Garamond" w:hAnsi="Garamond"/>
          <w:sz w:val="24"/>
          <w:szCs w:val="24"/>
        </w:rPr>
      </w:pPr>
      <w:r w:rsidRPr="00C32887">
        <w:rPr>
          <w:rFonts w:ascii="Garamond" w:hAnsi="Garamond"/>
          <w:sz w:val="24"/>
          <w:szCs w:val="24"/>
        </w:rPr>
        <w:t xml:space="preserve">There are ongoing activities to prepare </w:t>
      </w:r>
      <w:r w:rsidR="001E35E9" w:rsidRPr="001E35E9">
        <w:rPr>
          <w:rFonts w:ascii="Garamond" w:hAnsi="Garamond"/>
          <w:b/>
          <w:sz w:val="24"/>
          <w:szCs w:val="24"/>
        </w:rPr>
        <w:t>Draft</w:t>
      </w:r>
      <w:r w:rsidRPr="001E35E9">
        <w:rPr>
          <w:rFonts w:ascii="Garamond" w:hAnsi="Garamond"/>
          <w:b/>
          <w:sz w:val="24"/>
          <w:szCs w:val="24"/>
        </w:rPr>
        <w:t xml:space="preserve"> Law on Amendments t</w:t>
      </w:r>
      <w:r w:rsidR="001E35E9" w:rsidRPr="001E35E9">
        <w:rPr>
          <w:rFonts w:ascii="Garamond" w:hAnsi="Garamond"/>
          <w:b/>
          <w:sz w:val="24"/>
          <w:szCs w:val="24"/>
        </w:rPr>
        <w:t>o the Law on Tax Administration</w:t>
      </w:r>
      <w:r w:rsidRPr="00C32887">
        <w:rPr>
          <w:rFonts w:ascii="Garamond" w:hAnsi="Garamond"/>
          <w:sz w:val="24"/>
          <w:szCs w:val="24"/>
        </w:rPr>
        <w:t xml:space="preserve">, which obtained the opinion of the European Commission and will be submitted to the Government of Montenegro for consideration and determination.  The said </w:t>
      </w:r>
      <w:r w:rsidR="001E35E9">
        <w:rPr>
          <w:rFonts w:ascii="Garamond" w:hAnsi="Garamond"/>
          <w:sz w:val="24"/>
          <w:szCs w:val="24"/>
        </w:rPr>
        <w:t>Draft</w:t>
      </w:r>
      <w:r w:rsidRPr="00C32887">
        <w:rPr>
          <w:rFonts w:ascii="Garamond" w:hAnsi="Garamond"/>
          <w:sz w:val="24"/>
          <w:szCs w:val="24"/>
        </w:rPr>
        <w:t xml:space="preserve"> </w:t>
      </w:r>
      <w:r w:rsidR="0085229E" w:rsidRPr="00C32887">
        <w:rPr>
          <w:rFonts w:ascii="Garamond" w:hAnsi="Garamond"/>
          <w:sz w:val="24"/>
          <w:szCs w:val="24"/>
        </w:rPr>
        <w:t xml:space="preserve">Law </w:t>
      </w:r>
      <w:r w:rsidRPr="00C32887">
        <w:rPr>
          <w:rFonts w:ascii="Garamond" w:hAnsi="Garamond"/>
          <w:sz w:val="24"/>
          <w:szCs w:val="24"/>
        </w:rPr>
        <w:t xml:space="preserve">shall </w:t>
      </w:r>
      <w:r w:rsidR="0085229E">
        <w:rPr>
          <w:rFonts w:ascii="Garamond" w:hAnsi="Garamond"/>
          <w:sz w:val="24"/>
          <w:szCs w:val="24"/>
        </w:rPr>
        <w:t>harmonis</w:t>
      </w:r>
      <w:r w:rsidR="001E35E9">
        <w:rPr>
          <w:rFonts w:ascii="Garamond" w:hAnsi="Garamond"/>
          <w:sz w:val="24"/>
          <w:szCs w:val="24"/>
        </w:rPr>
        <w:t xml:space="preserve">e </w:t>
      </w:r>
      <w:r w:rsidRPr="00C32887">
        <w:rPr>
          <w:rFonts w:ascii="Garamond" w:hAnsi="Garamond"/>
          <w:sz w:val="24"/>
          <w:szCs w:val="24"/>
        </w:rPr>
        <w:t>the existing Law on Tax Administration</w:t>
      </w:r>
      <w:r w:rsidR="001E35E9">
        <w:rPr>
          <w:rFonts w:ascii="Garamond" w:hAnsi="Garamond"/>
          <w:sz w:val="24"/>
          <w:szCs w:val="24"/>
        </w:rPr>
        <w:t xml:space="preserve"> with Council Directive 2011/16</w:t>
      </w:r>
      <w:r w:rsidRPr="00C32887">
        <w:rPr>
          <w:rFonts w:ascii="Garamond" w:hAnsi="Garamond"/>
          <w:sz w:val="24"/>
          <w:szCs w:val="24"/>
        </w:rPr>
        <w:t>/EU on administrative cooperation in the field of taxation (DAC 1), as well as changes to that Directive, namely:</w:t>
      </w:r>
      <w:r w:rsidR="001E35E9">
        <w:rPr>
          <w:rFonts w:ascii="Garamond" w:hAnsi="Garamond"/>
          <w:sz w:val="24"/>
          <w:szCs w:val="24"/>
        </w:rPr>
        <w:t xml:space="preserve"> the Council Directive 2014/107</w:t>
      </w:r>
      <w:r w:rsidRPr="00C32887">
        <w:rPr>
          <w:rFonts w:ascii="Garamond" w:hAnsi="Garamond"/>
          <w:sz w:val="24"/>
          <w:szCs w:val="24"/>
        </w:rPr>
        <w:t xml:space="preserve">/EC </w:t>
      </w:r>
      <w:r w:rsidR="001E35E9">
        <w:rPr>
          <w:rFonts w:ascii="Garamond" w:hAnsi="Garamond"/>
          <w:sz w:val="24"/>
          <w:szCs w:val="24"/>
        </w:rPr>
        <w:t>as regards</w:t>
      </w:r>
      <w:r w:rsidRPr="00C32887">
        <w:rPr>
          <w:rFonts w:ascii="Garamond" w:hAnsi="Garamond"/>
          <w:sz w:val="24"/>
          <w:szCs w:val="24"/>
        </w:rPr>
        <w:t xml:space="preserve"> mandatory automatic exchange of information in the field of taxation (DAC</w:t>
      </w:r>
      <w:r w:rsidR="001E35E9">
        <w:rPr>
          <w:rFonts w:ascii="Garamond" w:hAnsi="Garamond"/>
          <w:sz w:val="24"/>
          <w:szCs w:val="24"/>
        </w:rPr>
        <w:t xml:space="preserve"> 2), Council Directive 2016/881</w:t>
      </w:r>
      <w:r w:rsidRPr="00C32887">
        <w:rPr>
          <w:rFonts w:ascii="Garamond" w:hAnsi="Garamond"/>
          <w:sz w:val="24"/>
          <w:szCs w:val="24"/>
        </w:rPr>
        <w:t xml:space="preserve">/EU on the provision of information on transactions between related parties (DAC 4) and Council Directive 2016/2258 </w:t>
      </w:r>
      <w:r w:rsidR="00365CD4">
        <w:rPr>
          <w:rFonts w:ascii="Garamond" w:hAnsi="Garamond"/>
          <w:sz w:val="24"/>
          <w:szCs w:val="24"/>
        </w:rPr>
        <w:t>as regards</w:t>
      </w:r>
      <w:r w:rsidRPr="00C32887">
        <w:rPr>
          <w:rFonts w:ascii="Garamond" w:hAnsi="Garamond"/>
          <w:sz w:val="24"/>
          <w:szCs w:val="24"/>
        </w:rPr>
        <w:t xml:space="preserve"> access </w:t>
      </w:r>
      <w:r w:rsidR="00365CD4">
        <w:rPr>
          <w:rFonts w:ascii="Garamond" w:hAnsi="Garamond"/>
          <w:sz w:val="24"/>
          <w:szCs w:val="24"/>
        </w:rPr>
        <w:t>to anti-money-</w:t>
      </w:r>
      <w:r w:rsidR="00365CD4" w:rsidRPr="00C32887">
        <w:rPr>
          <w:rFonts w:ascii="Garamond" w:hAnsi="Garamond"/>
          <w:sz w:val="24"/>
          <w:szCs w:val="24"/>
        </w:rPr>
        <w:t xml:space="preserve">laundering information </w:t>
      </w:r>
      <w:r w:rsidRPr="00C32887">
        <w:rPr>
          <w:rFonts w:ascii="Garamond" w:hAnsi="Garamond"/>
          <w:sz w:val="24"/>
          <w:szCs w:val="24"/>
        </w:rPr>
        <w:t xml:space="preserve">by </w:t>
      </w:r>
      <w:r w:rsidR="00365CD4">
        <w:rPr>
          <w:rFonts w:ascii="Garamond" w:hAnsi="Garamond"/>
          <w:sz w:val="24"/>
          <w:szCs w:val="24"/>
        </w:rPr>
        <w:t>tax authorities</w:t>
      </w:r>
      <w:r w:rsidRPr="00C32887">
        <w:rPr>
          <w:rFonts w:ascii="Garamond" w:hAnsi="Garamond"/>
          <w:sz w:val="24"/>
          <w:szCs w:val="24"/>
        </w:rPr>
        <w:t xml:space="preserve"> ( DAC 5), which will provide a legal framework for the development of information exchange systems between competent authorities, </w:t>
      </w:r>
      <w:r w:rsidR="00801BAB">
        <w:rPr>
          <w:rFonts w:ascii="Garamond" w:hAnsi="Garamond"/>
          <w:sz w:val="24"/>
          <w:szCs w:val="24"/>
        </w:rPr>
        <w:t>and</w:t>
      </w:r>
      <w:r w:rsidRPr="00C32887">
        <w:rPr>
          <w:rFonts w:ascii="Garamond" w:hAnsi="Garamond"/>
          <w:sz w:val="24"/>
          <w:szCs w:val="24"/>
        </w:rPr>
        <w:t xml:space="preserve"> contribute to st</w:t>
      </w:r>
      <w:r w:rsidR="00750C90">
        <w:rPr>
          <w:rFonts w:ascii="Garamond" w:hAnsi="Garamond"/>
          <w:sz w:val="24"/>
          <w:szCs w:val="24"/>
        </w:rPr>
        <w:t>rengthening national tax system</w:t>
      </w:r>
      <w:r w:rsidRPr="00C32887">
        <w:rPr>
          <w:rFonts w:ascii="Garamond" w:hAnsi="Garamond"/>
          <w:sz w:val="24"/>
          <w:szCs w:val="24"/>
        </w:rPr>
        <w:t xml:space="preserve"> and improving tax collection.</w:t>
      </w:r>
    </w:p>
    <w:p w:rsidR="004D1343" w:rsidRPr="00C32887" w:rsidRDefault="004D1343" w:rsidP="004D1343">
      <w:pPr>
        <w:rPr>
          <w:rFonts w:ascii="Garamond" w:hAnsi="Garamond"/>
          <w:sz w:val="24"/>
          <w:szCs w:val="24"/>
        </w:rPr>
      </w:pPr>
    </w:p>
    <w:p w:rsidR="004D1343" w:rsidRPr="00C32887" w:rsidRDefault="004D1343" w:rsidP="00365CD4">
      <w:pPr>
        <w:jc w:val="both"/>
        <w:rPr>
          <w:rFonts w:ascii="Garamond" w:hAnsi="Garamond"/>
          <w:sz w:val="24"/>
          <w:szCs w:val="24"/>
        </w:rPr>
      </w:pPr>
      <w:r w:rsidRPr="00C32887">
        <w:rPr>
          <w:rFonts w:ascii="Garamond" w:hAnsi="Garamond"/>
          <w:sz w:val="24"/>
          <w:szCs w:val="24"/>
        </w:rPr>
        <w:t xml:space="preserve">After its adoption, the Parliament of Montenegro will </w:t>
      </w:r>
      <w:r w:rsidR="00706762">
        <w:rPr>
          <w:rFonts w:ascii="Garamond" w:hAnsi="Garamond"/>
          <w:sz w:val="24"/>
          <w:szCs w:val="24"/>
        </w:rPr>
        <w:t>pass</w:t>
      </w:r>
      <w:r w:rsidRPr="00C32887">
        <w:rPr>
          <w:rFonts w:ascii="Garamond" w:hAnsi="Garamond"/>
          <w:sz w:val="24"/>
          <w:szCs w:val="24"/>
        </w:rPr>
        <w:t xml:space="preserve"> bylaws for its implementation, which will be sent to the European Commission for an opinion, as follows:</w:t>
      </w:r>
    </w:p>
    <w:p w:rsidR="004D1343" w:rsidRPr="00C32887" w:rsidRDefault="004D1343" w:rsidP="004D1343">
      <w:pPr>
        <w:rPr>
          <w:rFonts w:ascii="Garamond" w:hAnsi="Garamond"/>
          <w:sz w:val="24"/>
          <w:szCs w:val="24"/>
        </w:rPr>
      </w:pPr>
    </w:p>
    <w:p w:rsidR="004D1343" w:rsidRPr="00365CD4" w:rsidRDefault="004D1343" w:rsidP="00706762">
      <w:pPr>
        <w:pStyle w:val="ListParagraph"/>
        <w:numPr>
          <w:ilvl w:val="0"/>
          <w:numId w:val="4"/>
        </w:numPr>
        <w:jc w:val="both"/>
        <w:rPr>
          <w:rFonts w:ascii="Garamond" w:hAnsi="Garamond"/>
          <w:sz w:val="24"/>
          <w:szCs w:val="24"/>
        </w:rPr>
      </w:pPr>
      <w:r w:rsidRPr="00365CD4">
        <w:rPr>
          <w:rFonts w:ascii="Garamond" w:hAnsi="Garamond"/>
          <w:sz w:val="24"/>
          <w:szCs w:val="24"/>
        </w:rPr>
        <w:t>Ordinance on the detailed manner of reporting on the accounts of residents of EU Member States, other countr</w:t>
      </w:r>
      <w:r w:rsidR="00365CD4">
        <w:rPr>
          <w:rFonts w:ascii="Garamond" w:hAnsi="Garamond"/>
          <w:sz w:val="24"/>
          <w:szCs w:val="24"/>
        </w:rPr>
        <w:t>ies or territories of countries</w:t>
      </w:r>
      <w:r w:rsidRPr="00365CD4">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365CD4" w:rsidRDefault="004D1343" w:rsidP="00706762">
      <w:pPr>
        <w:pStyle w:val="ListParagraph"/>
        <w:numPr>
          <w:ilvl w:val="0"/>
          <w:numId w:val="4"/>
        </w:numPr>
        <w:jc w:val="both"/>
        <w:rPr>
          <w:rFonts w:ascii="Garamond" w:hAnsi="Garamond"/>
          <w:sz w:val="24"/>
          <w:szCs w:val="24"/>
        </w:rPr>
      </w:pPr>
      <w:r w:rsidRPr="00365CD4">
        <w:rPr>
          <w:rFonts w:ascii="Garamond" w:hAnsi="Garamond"/>
          <w:sz w:val="24"/>
          <w:szCs w:val="24"/>
        </w:rPr>
        <w:t xml:space="preserve">Rulebook on the manner of exchanging information with the competent authorities of the EU Member States, other </w:t>
      </w:r>
      <w:r w:rsidR="00365CD4">
        <w:rPr>
          <w:rFonts w:ascii="Garamond" w:hAnsi="Garamond"/>
          <w:sz w:val="24"/>
          <w:szCs w:val="24"/>
        </w:rPr>
        <w:t>states or territories of states</w:t>
      </w:r>
      <w:r w:rsidRPr="00365CD4">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365CD4" w:rsidRDefault="00365CD4" w:rsidP="00365CD4">
      <w:pPr>
        <w:pStyle w:val="ListParagraph"/>
        <w:numPr>
          <w:ilvl w:val="0"/>
          <w:numId w:val="4"/>
        </w:numPr>
        <w:rPr>
          <w:rFonts w:ascii="Garamond" w:hAnsi="Garamond"/>
          <w:sz w:val="24"/>
          <w:szCs w:val="24"/>
        </w:rPr>
      </w:pPr>
      <w:r w:rsidRPr="00365CD4">
        <w:rPr>
          <w:rFonts w:ascii="Garamond" w:hAnsi="Garamond"/>
          <w:sz w:val="24"/>
          <w:szCs w:val="24"/>
        </w:rPr>
        <w:t xml:space="preserve">Rulebook </w:t>
      </w:r>
      <w:r w:rsidR="004D1343" w:rsidRPr="00365CD4">
        <w:rPr>
          <w:rFonts w:ascii="Garamond" w:hAnsi="Garamond"/>
          <w:sz w:val="24"/>
          <w:szCs w:val="24"/>
        </w:rPr>
        <w:t xml:space="preserve">on more detailed manner of reporting on the operations of related parties.         </w:t>
      </w:r>
    </w:p>
    <w:p w:rsidR="004D1343" w:rsidRPr="00C32887" w:rsidRDefault="004D1343" w:rsidP="004D1343">
      <w:pPr>
        <w:rPr>
          <w:rFonts w:ascii="Garamond" w:hAnsi="Garamond"/>
          <w:sz w:val="24"/>
          <w:szCs w:val="24"/>
        </w:rPr>
      </w:pPr>
    </w:p>
    <w:p w:rsidR="004D1343" w:rsidRPr="00C32887" w:rsidRDefault="004D1343" w:rsidP="00365CD4">
      <w:pPr>
        <w:jc w:val="both"/>
        <w:rPr>
          <w:rFonts w:ascii="Garamond" w:hAnsi="Garamond"/>
          <w:sz w:val="24"/>
          <w:szCs w:val="24"/>
        </w:rPr>
      </w:pPr>
      <w:r w:rsidRPr="00C32887">
        <w:rPr>
          <w:rFonts w:ascii="Garamond" w:hAnsi="Garamond"/>
          <w:sz w:val="24"/>
          <w:szCs w:val="24"/>
        </w:rPr>
        <w:t>Acti</w:t>
      </w:r>
      <w:r w:rsidR="00365CD4">
        <w:rPr>
          <w:rFonts w:ascii="Garamond" w:hAnsi="Garamond"/>
          <w:sz w:val="24"/>
          <w:szCs w:val="24"/>
        </w:rPr>
        <w:t xml:space="preserve">vities related to the project </w:t>
      </w:r>
      <w:r w:rsidR="00C13A74">
        <w:rPr>
          <w:rFonts w:ascii="Garamond" w:hAnsi="Garamond"/>
          <w:sz w:val="24"/>
          <w:szCs w:val="24"/>
        </w:rPr>
        <w:t>‘</w:t>
      </w:r>
      <w:r w:rsidRPr="00C32887">
        <w:rPr>
          <w:rFonts w:ascii="Garamond" w:hAnsi="Garamond"/>
          <w:sz w:val="24"/>
          <w:szCs w:val="24"/>
        </w:rPr>
        <w:t xml:space="preserve">Tax Administration Reform in </w:t>
      </w:r>
      <w:r w:rsidR="00365CD4">
        <w:rPr>
          <w:rFonts w:ascii="Garamond" w:hAnsi="Garamond"/>
          <w:sz w:val="24"/>
          <w:szCs w:val="24"/>
        </w:rPr>
        <w:t>Montenegro</w:t>
      </w:r>
      <w:r w:rsidR="00C13A74">
        <w:rPr>
          <w:rFonts w:ascii="Garamond" w:hAnsi="Garamond"/>
          <w:sz w:val="24"/>
          <w:szCs w:val="24"/>
        </w:rPr>
        <w:t>’</w:t>
      </w:r>
      <w:r w:rsidR="00365CD4">
        <w:rPr>
          <w:rFonts w:ascii="Garamond" w:hAnsi="Garamond"/>
          <w:sz w:val="24"/>
          <w:szCs w:val="24"/>
        </w:rPr>
        <w:t xml:space="preserve"> continued</w:t>
      </w:r>
      <w:r w:rsidR="00365CD4">
        <w:rPr>
          <w:rStyle w:val="FootnoteReference"/>
          <w:rFonts w:ascii="Garamond" w:hAnsi="Garamond"/>
          <w:sz w:val="24"/>
          <w:szCs w:val="24"/>
        </w:rPr>
        <w:footnoteReference w:id="18"/>
      </w:r>
      <w:r w:rsidR="00365CD4">
        <w:rPr>
          <w:rFonts w:ascii="Garamond" w:hAnsi="Garamond"/>
          <w:sz w:val="24"/>
          <w:szCs w:val="24"/>
        </w:rPr>
        <w:t xml:space="preserve"> (</w:t>
      </w:r>
      <w:r w:rsidR="00B81ED2">
        <w:rPr>
          <w:rFonts w:ascii="Garamond" w:hAnsi="Garamond"/>
          <w:sz w:val="24"/>
          <w:szCs w:val="24"/>
        </w:rPr>
        <w:t>RARP), which consists</w:t>
      </w:r>
      <w:r w:rsidRPr="00C32887">
        <w:rPr>
          <w:rFonts w:ascii="Garamond" w:hAnsi="Garamond"/>
          <w:sz w:val="24"/>
          <w:szCs w:val="24"/>
        </w:rPr>
        <w:t xml:space="preserve"> of four components: 1. Institutional </w:t>
      </w:r>
      <w:r w:rsidR="00695F57" w:rsidRPr="00C32887">
        <w:rPr>
          <w:rFonts w:ascii="Garamond" w:hAnsi="Garamond"/>
          <w:sz w:val="24"/>
          <w:szCs w:val="24"/>
        </w:rPr>
        <w:t>Development</w:t>
      </w:r>
      <w:r w:rsidRPr="00C32887">
        <w:rPr>
          <w:rFonts w:ascii="Garamond" w:hAnsi="Garamond"/>
          <w:sz w:val="24"/>
          <w:szCs w:val="24"/>
        </w:rPr>
        <w:t xml:space="preserve">, 2. </w:t>
      </w:r>
      <w:r w:rsidR="00695F57">
        <w:rPr>
          <w:rFonts w:ascii="Garamond" w:hAnsi="Garamond"/>
          <w:sz w:val="24"/>
          <w:szCs w:val="24"/>
        </w:rPr>
        <w:t>Business Process</w:t>
      </w:r>
      <w:r w:rsidR="00024F0F">
        <w:rPr>
          <w:rFonts w:ascii="Garamond" w:hAnsi="Garamond"/>
          <w:sz w:val="24"/>
          <w:szCs w:val="24"/>
        </w:rPr>
        <w:t>es</w:t>
      </w:r>
      <w:r w:rsidRPr="00C32887">
        <w:rPr>
          <w:rFonts w:ascii="Garamond" w:hAnsi="Garamond"/>
          <w:sz w:val="24"/>
          <w:szCs w:val="24"/>
        </w:rPr>
        <w:t xml:space="preserve">, 3. Taxpayer </w:t>
      </w:r>
      <w:r w:rsidR="00695F57" w:rsidRPr="00C32887">
        <w:rPr>
          <w:rFonts w:ascii="Garamond" w:hAnsi="Garamond"/>
          <w:sz w:val="24"/>
          <w:szCs w:val="24"/>
        </w:rPr>
        <w:t>Services</w:t>
      </w:r>
      <w:r w:rsidRPr="00C32887">
        <w:rPr>
          <w:rFonts w:ascii="Garamond" w:hAnsi="Garamond"/>
          <w:sz w:val="24"/>
          <w:szCs w:val="24"/>
        </w:rPr>
        <w:t xml:space="preserve">, and 4. </w:t>
      </w:r>
      <w:r w:rsidR="00695F57">
        <w:rPr>
          <w:rFonts w:ascii="Garamond" w:hAnsi="Garamond"/>
          <w:sz w:val="24"/>
          <w:szCs w:val="24"/>
        </w:rPr>
        <w:t>Electronic Fiscal Invoicing</w:t>
      </w:r>
      <w:r w:rsidR="009C338A">
        <w:rPr>
          <w:rFonts w:ascii="Garamond" w:hAnsi="Garamond"/>
          <w:sz w:val="24"/>
          <w:szCs w:val="24"/>
        </w:rPr>
        <w:t xml:space="preserve"> (EFI)</w:t>
      </w:r>
      <w:r w:rsidRPr="00C32887">
        <w:rPr>
          <w:rFonts w:ascii="Garamond" w:hAnsi="Garamond"/>
          <w:sz w:val="24"/>
          <w:szCs w:val="24"/>
        </w:rPr>
        <w:t xml:space="preserve">. </w:t>
      </w:r>
      <w:r w:rsidR="00B81ED2" w:rsidRPr="00C32887">
        <w:rPr>
          <w:rFonts w:ascii="Garamond" w:hAnsi="Garamond"/>
          <w:sz w:val="24"/>
          <w:szCs w:val="24"/>
        </w:rPr>
        <w:t xml:space="preserve">So </w:t>
      </w:r>
      <w:r w:rsidRPr="00C32887">
        <w:rPr>
          <w:rFonts w:ascii="Garamond" w:hAnsi="Garamond"/>
          <w:sz w:val="24"/>
          <w:szCs w:val="24"/>
        </w:rPr>
        <w:t>far</w:t>
      </w:r>
      <w:r w:rsidR="00B81ED2">
        <w:rPr>
          <w:rFonts w:ascii="Garamond" w:hAnsi="Garamond"/>
          <w:sz w:val="24"/>
          <w:szCs w:val="24"/>
        </w:rPr>
        <w:t>,</w:t>
      </w:r>
      <w:r w:rsidRPr="00C32887">
        <w:rPr>
          <w:rFonts w:ascii="Garamond" w:hAnsi="Garamond"/>
          <w:sz w:val="24"/>
          <w:szCs w:val="24"/>
        </w:rPr>
        <w:t xml:space="preserve"> </w:t>
      </w:r>
      <w:r w:rsidR="00024F0F">
        <w:rPr>
          <w:rFonts w:ascii="Garamond" w:hAnsi="Garamond"/>
          <w:sz w:val="24"/>
          <w:szCs w:val="24"/>
        </w:rPr>
        <w:t xml:space="preserve">the </w:t>
      </w:r>
      <w:r w:rsidRPr="00C32887">
        <w:rPr>
          <w:rFonts w:ascii="Garamond" w:hAnsi="Garamond"/>
          <w:sz w:val="24"/>
          <w:szCs w:val="24"/>
        </w:rPr>
        <w:t>initial report with an action plan, budget and implementation stages</w:t>
      </w:r>
      <w:r w:rsidR="00024F0F">
        <w:rPr>
          <w:rFonts w:ascii="Garamond" w:hAnsi="Garamond"/>
          <w:sz w:val="24"/>
          <w:szCs w:val="24"/>
        </w:rPr>
        <w:t xml:space="preserve"> </w:t>
      </w:r>
      <w:r w:rsidR="00B81ED2">
        <w:rPr>
          <w:rFonts w:ascii="Garamond" w:hAnsi="Garamond"/>
          <w:sz w:val="24"/>
          <w:szCs w:val="24"/>
        </w:rPr>
        <w:t>has</w:t>
      </w:r>
      <w:r w:rsidR="008E1537">
        <w:rPr>
          <w:rFonts w:ascii="Garamond" w:hAnsi="Garamond"/>
          <w:sz w:val="24"/>
          <w:szCs w:val="24"/>
        </w:rPr>
        <w:t xml:space="preserve"> been prepared</w:t>
      </w:r>
      <w:r w:rsidRPr="00C32887">
        <w:rPr>
          <w:rFonts w:ascii="Garamond" w:hAnsi="Garamond"/>
          <w:sz w:val="24"/>
          <w:szCs w:val="24"/>
        </w:rPr>
        <w:t xml:space="preserve">. </w:t>
      </w:r>
      <w:r w:rsidR="00D334DC" w:rsidRPr="00C32887">
        <w:rPr>
          <w:rFonts w:ascii="Garamond" w:hAnsi="Garamond"/>
          <w:sz w:val="24"/>
          <w:szCs w:val="24"/>
        </w:rPr>
        <w:t xml:space="preserve">Final </w:t>
      </w:r>
      <w:r w:rsidRPr="00C32887">
        <w:rPr>
          <w:rFonts w:ascii="Garamond" w:hAnsi="Garamond"/>
          <w:sz w:val="24"/>
          <w:szCs w:val="24"/>
        </w:rPr>
        <w:t xml:space="preserve">activities on the preparation of the </w:t>
      </w:r>
      <w:r w:rsidR="00D334DC" w:rsidRPr="00C32887">
        <w:rPr>
          <w:rFonts w:ascii="Garamond" w:hAnsi="Garamond"/>
          <w:sz w:val="24"/>
          <w:szCs w:val="24"/>
        </w:rPr>
        <w:t xml:space="preserve">Functional Requirements </w:t>
      </w:r>
      <w:r w:rsidRPr="00C32887">
        <w:rPr>
          <w:rFonts w:ascii="Garamond" w:hAnsi="Garamond"/>
          <w:sz w:val="24"/>
          <w:szCs w:val="24"/>
        </w:rPr>
        <w:t>Document of the f</w:t>
      </w:r>
      <w:r w:rsidR="008E1537">
        <w:rPr>
          <w:rFonts w:ascii="Garamond" w:hAnsi="Garamond"/>
          <w:sz w:val="24"/>
          <w:szCs w:val="24"/>
        </w:rPr>
        <w:t>uture IT system are in progress</w:t>
      </w:r>
      <w:r w:rsidRPr="00C32887">
        <w:rPr>
          <w:rFonts w:ascii="Garamond" w:hAnsi="Garamond"/>
          <w:sz w:val="24"/>
          <w:szCs w:val="24"/>
        </w:rPr>
        <w:t xml:space="preserve">. Also, the challenge </w:t>
      </w:r>
      <w:r w:rsidR="00D334DC">
        <w:rPr>
          <w:rFonts w:ascii="Garamond" w:hAnsi="Garamond"/>
          <w:sz w:val="24"/>
          <w:szCs w:val="24"/>
        </w:rPr>
        <w:t>in</w:t>
      </w:r>
      <w:r w:rsidRPr="00C32887">
        <w:rPr>
          <w:rFonts w:ascii="Garamond" w:hAnsi="Garamond"/>
          <w:sz w:val="24"/>
          <w:szCs w:val="24"/>
        </w:rPr>
        <w:t xml:space="preserve"> achieving the </w:t>
      </w:r>
      <w:r w:rsidR="008E1537">
        <w:rPr>
          <w:rFonts w:ascii="Garamond" w:hAnsi="Garamond"/>
          <w:sz w:val="24"/>
          <w:szCs w:val="24"/>
        </w:rPr>
        <w:t>objective</w:t>
      </w:r>
      <w:r w:rsidRPr="00C32887">
        <w:rPr>
          <w:rFonts w:ascii="Garamond" w:hAnsi="Garamond"/>
          <w:sz w:val="24"/>
          <w:szCs w:val="24"/>
        </w:rPr>
        <w:t xml:space="preserve"> is fully reflected in the implementation of th</w:t>
      </w:r>
      <w:r w:rsidR="008E1537">
        <w:rPr>
          <w:rFonts w:ascii="Garamond" w:hAnsi="Garamond"/>
          <w:sz w:val="24"/>
          <w:szCs w:val="24"/>
        </w:rPr>
        <w:t xml:space="preserve">e project </w:t>
      </w:r>
      <w:r w:rsidR="00024F0F">
        <w:rPr>
          <w:rFonts w:ascii="Garamond" w:hAnsi="Garamond"/>
          <w:sz w:val="24"/>
          <w:szCs w:val="24"/>
        </w:rPr>
        <w:t>Electronic Fiscal Invoicing</w:t>
      </w:r>
      <w:r w:rsidR="00024F0F" w:rsidRPr="00C32887">
        <w:rPr>
          <w:rFonts w:ascii="Garamond" w:hAnsi="Garamond"/>
          <w:sz w:val="24"/>
          <w:szCs w:val="24"/>
        </w:rPr>
        <w:t xml:space="preserve"> </w:t>
      </w:r>
      <w:r w:rsidRPr="00C32887">
        <w:rPr>
          <w:rFonts w:ascii="Garamond" w:hAnsi="Garamond"/>
          <w:sz w:val="24"/>
          <w:szCs w:val="24"/>
        </w:rPr>
        <w:t>and reform of the Tax Administration, which includes an integrated IT system and reengineering of business processes.</w:t>
      </w:r>
    </w:p>
    <w:p w:rsidR="004D1343" w:rsidRPr="00C32887" w:rsidRDefault="004D1343" w:rsidP="004D1343">
      <w:pPr>
        <w:rPr>
          <w:rFonts w:ascii="Garamond" w:hAnsi="Garamond"/>
          <w:sz w:val="24"/>
          <w:szCs w:val="24"/>
        </w:rPr>
      </w:pPr>
    </w:p>
    <w:p w:rsidR="004D1343" w:rsidRPr="00C32887" w:rsidRDefault="00024F0F" w:rsidP="008E1537">
      <w:pPr>
        <w:jc w:val="both"/>
        <w:rPr>
          <w:rFonts w:ascii="Garamond" w:hAnsi="Garamond"/>
          <w:sz w:val="24"/>
          <w:szCs w:val="24"/>
        </w:rPr>
      </w:pPr>
      <w:r>
        <w:rPr>
          <w:rFonts w:ascii="Garamond" w:hAnsi="Garamond"/>
          <w:sz w:val="24"/>
          <w:szCs w:val="24"/>
        </w:rPr>
        <w:t>Under</w:t>
      </w:r>
      <w:r w:rsidR="004D1343" w:rsidRPr="00C32887">
        <w:rPr>
          <w:rFonts w:ascii="Garamond" w:hAnsi="Garamond"/>
          <w:sz w:val="24"/>
          <w:szCs w:val="24"/>
        </w:rPr>
        <w:t xml:space="preserve"> </w:t>
      </w:r>
      <w:r w:rsidR="001261C1">
        <w:rPr>
          <w:rFonts w:ascii="Garamond" w:hAnsi="Garamond"/>
          <w:sz w:val="24"/>
          <w:szCs w:val="24"/>
        </w:rPr>
        <w:t>the 1</w:t>
      </w:r>
      <w:r w:rsidR="001261C1" w:rsidRPr="001261C1">
        <w:rPr>
          <w:rFonts w:ascii="Garamond" w:hAnsi="Garamond"/>
          <w:sz w:val="24"/>
          <w:szCs w:val="24"/>
          <w:vertAlign w:val="superscript"/>
        </w:rPr>
        <w:t>st</w:t>
      </w:r>
      <w:r w:rsidR="001261C1">
        <w:rPr>
          <w:rFonts w:ascii="Garamond" w:hAnsi="Garamond"/>
          <w:sz w:val="24"/>
          <w:szCs w:val="24"/>
        </w:rPr>
        <w:t xml:space="preserve"> Component </w:t>
      </w:r>
      <w:r w:rsidR="004D1343" w:rsidRPr="00C32887">
        <w:rPr>
          <w:rFonts w:ascii="Garamond" w:hAnsi="Garamond"/>
          <w:sz w:val="24"/>
          <w:szCs w:val="24"/>
        </w:rPr>
        <w:t>- Institutional Development, the methodology for calculating the tax gap for VAT, income and contributions for 2017, 2018</w:t>
      </w:r>
      <w:r w:rsidR="008E1537">
        <w:rPr>
          <w:rFonts w:ascii="Garamond" w:hAnsi="Garamond"/>
          <w:sz w:val="24"/>
          <w:szCs w:val="24"/>
        </w:rPr>
        <w:t xml:space="preserve"> was prepared</w:t>
      </w:r>
      <w:r w:rsidR="004D1343" w:rsidRPr="00C32887">
        <w:rPr>
          <w:rFonts w:ascii="Garamond" w:hAnsi="Garamond"/>
          <w:sz w:val="24"/>
          <w:szCs w:val="24"/>
        </w:rPr>
        <w:t xml:space="preserve">, while in the reporting period, the activities on the collection of data for 2019 </w:t>
      </w:r>
      <w:r w:rsidR="008E1537">
        <w:rPr>
          <w:rFonts w:ascii="Garamond" w:hAnsi="Garamond"/>
          <w:sz w:val="24"/>
          <w:szCs w:val="24"/>
        </w:rPr>
        <w:t>have been initiated</w:t>
      </w:r>
      <w:r w:rsidR="004D1343" w:rsidRPr="00C32887">
        <w:rPr>
          <w:rFonts w:ascii="Garamond" w:hAnsi="Garamond"/>
          <w:sz w:val="24"/>
          <w:szCs w:val="24"/>
        </w:rPr>
        <w:t>. In the previous period, a detailed methodology for assessing the tax gap by type of tax was prepared and tax</w:t>
      </w:r>
      <w:r w:rsidR="00EA526D">
        <w:rPr>
          <w:rFonts w:ascii="Garamond" w:hAnsi="Garamond"/>
          <w:sz w:val="24"/>
          <w:szCs w:val="24"/>
        </w:rPr>
        <w:t xml:space="preserve"> gap calculations were made, a r</w:t>
      </w:r>
      <w:r w:rsidR="004D1343" w:rsidRPr="00C32887">
        <w:rPr>
          <w:rFonts w:ascii="Garamond" w:hAnsi="Garamond"/>
          <w:sz w:val="24"/>
          <w:szCs w:val="24"/>
        </w:rPr>
        <w:t>eport on the new analytical function with rec</w:t>
      </w:r>
      <w:r w:rsidR="008E1537">
        <w:rPr>
          <w:rFonts w:ascii="Garamond" w:hAnsi="Garamond"/>
          <w:sz w:val="24"/>
          <w:szCs w:val="24"/>
        </w:rPr>
        <w:t>ommendations for organi</w:t>
      </w:r>
      <w:r w:rsidR="00F254DD">
        <w:rPr>
          <w:rFonts w:ascii="Garamond" w:hAnsi="Garamond"/>
          <w:sz w:val="24"/>
          <w:szCs w:val="24"/>
        </w:rPr>
        <w:t>sation</w:t>
      </w:r>
      <w:r w:rsidR="008E1537">
        <w:rPr>
          <w:rFonts w:ascii="Garamond" w:hAnsi="Garamond"/>
          <w:sz w:val="24"/>
          <w:szCs w:val="24"/>
        </w:rPr>
        <w:t>al</w:t>
      </w:r>
      <w:r w:rsidR="004D1343" w:rsidRPr="00C32887">
        <w:rPr>
          <w:rFonts w:ascii="Garamond" w:hAnsi="Garamond"/>
          <w:sz w:val="24"/>
          <w:szCs w:val="24"/>
        </w:rPr>
        <w:t>/personnel changes was prepared and training was held for employees to use the methodology. Also, an internal procedure for calculating the tax gap by type of tax has been prepared.</w:t>
      </w:r>
    </w:p>
    <w:p w:rsidR="004D1343" w:rsidRPr="00C32887" w:rsidRDefault="004D1343" w:rsidP="004D1343">
      <w:pPr>
        <w:rPr>
          <w:rFonts w:ascii="Garamond" w:hAnsi="Garamond"/>
          <w:sz w:val="24"/>
          <w:szCs w:val="24"/>
        </w:rPr>
      </w:pPr>
    </w:p>
    <w:p w:rsidR="004D1343" w:rsidRPr="00C32887" w:rsidRDefault="004D1343" w:rsidP="008E1537">
      <w:pPr>
        <w:jc w:val="both"/>
        <w:rPr>
          <w:rFonts w:ascii="Garamond" w:hAnsi="Garamond"/>
          <w:sz w:val="24"/>
          <w:szCs w:val="24"/>
        </w:rPr>
      </w:pPr>
      <w:r w:rsidRPr="00C32887">
        <w:rPr>
          <w:rFonts w:ascii="Garamond" w:hAnsi="Garamond"/>
          <w:sz w:val="24"/>
          <w:szCs w:val="24"/>
        </w:rPr>
        <w:t xml:space="preserve">Furthermore, in order to provide quality control services during the project implementation, </w:t>
      </w:r>
      <w:r w:rsidR="008E1537">
        <w:rPr>
          <w:rFonts w:ascii="Garamond" w:hAnsi="Garamond"/>
          <w:sz w:val="24"/>
          <w:szCs w:val="24"/>
        </w:rPr>
        <w:t>that is,</w:t>
      </w:r>
      <w:r w:rsidRPr="00C32887">
        <w:rPr>
          <w:rFonts w:ascii="Garamond" w:hAnsi="Garamond"/>
          <w:sz w:val="24"/>
          <w:szCs w:val="24"/>
        </w:rPr>
        <w:t xml:space="preserve"> a detailed overview, guidelines, as well as evaluation of key results in the introduction of a new integrated information system, a contract was sign</w:t>
      </w:r>
      <w:r w:rsidR="008E1537">
        <w:rPr>
          <w:rFonts w:ascii="Garamond" w:hAnsi="Garamond"/>
          <w:sz w:val="24"/>
          <w:szCs w:val="24"/>
        </w:rPr>
        <w:t>ed with the consulting company KPMG. FRD (</w:t>
      </w:r>
      <w:r w:rsidR="009C338A" w:rsidRPr="00C32887">
        <w:rPr>
          <w:rFonts w:ascii="Garamond" w:hAnsi="Garamond"/>
          <w:sz w:val="24"/>
          <w:szCs w:val="24"/>
        </w:rPr>
        <w:t xml:space="preserve">Functional Requirements </w:t>
      </w:r>
      <w:r w:rsidR="00BA36BB">
        <w:rPr>
          <w:rFonts w:ascii="Garamond" w:hAnsi="Garamond"/>
          <w:sz w:val="24"/>
          <w:szCs w:val="24"/>
        </w:rPr>
        <w:t>Document</w:t>
      </w:r>
      <w:r w:rsidRPr="00C32887">
        <w:rPr>
          <w:rFonts w:ascii="Garamond" w:hAnsi="Garamond"/>
          <w:sz w:val="24"/>
          <w:szCs w:val="24"/>
        </w:rPr>
        <w:t>)</w:t>
      </w:r>
      <w:r w:rsidR="00BA36BB">
        <w:rPr>
          <w:rFonts w:ascii="Garamond" w:hAnsi="Garamond"/>
          <w:sz w:val="24"/>
          <w:szCs w:val="24"/>
        </w:rPr>
        <w:t xml:space="preserve"> development</w:t>
      </w:r>
      <w:r w:rsidRPr="00C32887">
        <w:rPr>
          <w:rFonts w:ascii="Garamond" w:hAnsi="Garamond"/>
          <w:sz w:val="24"/>
          <w:szCs w:val="24"/>
        </w:rPr>
        <w:t xml:space="preserve"> is the most important task and implementation phase of the RARP </w:t>
      </w:r>
      <w:r w:rsidR="008E1537" w:rsidRPr="00C32887">
        <w:rPr>
          <w:rFonts w:ascii="Garamond" w:hAnsi="Garamond"/>
          <w:sz w:val="24"/>
          <w:szCs w:val="24"/>
        </w:rPr>
        <w:t xml:space="preserve">project </w:t>
      </w:r>
      <w:r w:rsidRPr="00C32887">
        <w:rPr>
          <w:rFonts w:ascii="Garamond" w:hAnsi="Garamond"/>
          <w:sz w:val="24"/>
          <w:szCs w:val="24"/>
        </w:rPr>
        <w:t xml:space="preserve">and </w:t>
      </w:r>
      <w:r w:rsidR="008E1537">
        <w:rPr>
          <w:rFonts w:ascii="Garamond" w:hAnsi="Garamond"/>
          <w:sz w:val="24"/>
          <w:szCs w:val="24"/>
        </w:rPr>
        <w:t xml:space="preserve">represents </w:t>
      </w:r>
      <w:r w:rsidR="00BA36BB">
        <w:rPr>
          <w:rFonts w:ascii="Garamond" w:hAnsi="Garamond"/>
          <w:sz w:val="24"/>
          <w:szCs w:val="24"/>
        </w:rPr>
        <w:t>a</w:t>
      </w:r>
      <w:r w:rsidRPr="00C32887">
        <w:rPr>
          <w:rFonts w:ascii="Garamond" w:hAnsi="Garamond"/>
          <w:sz w:val="24"/>
          <w:szCs w:val="24"/>
        </w:rPr>
        <w:t xml:space="preserve"> description of future business processes </w:t>
      </w:r>
      <w:r w:rsidR="008E1537">
        <w:rPr>
          <w:rFonts w:ascii="Garamond" w:hAnsi="Garamond"/>
          <w:sz w:val="24"/>
          <w:szCs w:val="24"/>
        </w:rPr>
        <w:t>for the</w:t>
      </w:r>
      <w:r w:rsidRPr="00C32887">
        <w:rPr>
          <w:rFonts w:ascii="Garamond" w:hAnsi="Garamond"/>
          <w:sz w:val="24"/>
          <w:szCs w:val="24"/>
        </w:rPr>
        <w:t xml:space="preserve"> IT system to support. The </w:t>
      </w:r>
      <w:r w:rsidR="009C338A" w:rsidRPr="00C32887">
        <w:rPr>
          <w:rFonts w:ascii="Garamond" w:hAnsi="Garamond"/>
          <w:sz w:val="24"/>
          <w:szCs w:val="24"/>
        </w:rPr>
        <w:t xml:space="preserve">Functional Requirements Document </w:t>
      </w:r>
      <w:r w:rsidR="008E1537">
        <w:rPr>
          <w:rFonts w:ascii="Garamond" w:hAnsi="Garamond"/>
          <w:sz w:val="24"/>
          <w:szCs w:val="24"/>
        </w:rPr>
        <w:t>was completed in December 2020</w:t>
      </w:r>
      <w:r w:rsidRPr="00C32887">
        <w:rPr>
          <w:rFonts w:ascii="Garamond" w:hAnsi="Garamond"/>
          <w:sz w:val="24"/>
          <w:szCs w:val="24"/>
        </w:rPr>
        <w:t>, after the qual</w:t>
      </w:r>
      <w:r w:rsidR="008E1537">
        <w:rPr>
          <w:rFonts w:ascii="Garamond" w:hAnsi="Garamond"/>
          <w:sz w:val="24"/>
          <w:szCs w:val="24"/>
        </w:rPr>
        <w:t xml:space="preserve">ity control carried out by </w:t>
      </w:r>
      <w:proofErr w:type="gramStart"/>
      <w:r w:rsidR="008E1537">
        <w:rPr>
          <w:rFonts w:ascii="Garamond" w:hAnsi="Garamond"/>
          <w:sz w:val="24"/>
          <w:szCs w:val="24"/>
        </w:rPr>
        <w:t>KPMG</w:t>
      </w:r>
      <w:r w:rsidRPr="00C32887">
        <w:rPr>
          <w:rFonts w:ascii="Garamond" w:hAnsi="Garamond"/>
          <w:sz w:val="24"/>
          <w:szCs w:val="24"/>
        </w:rPr>
        <w:t>,</w:t>
      </w:r>
      <w:proofErr w:type="gramEnd"/>
      <w:r w:rsidRPr="00C32887">
        <w:rPr>
          <w:rFonts w:ascii="Garamond" w:hAnsi="Garamond"/>
          <w:sz w:val="24"/>
          <w:szCs w:val="24"/>
        </w:rPr>
        <w:t xml:space="preserve"> </w:t>
      </w:r>
      <w:r w:rsidR="00BA36BB">
        <w:rPr>
          <w:rFonts w:ascii="Garamond" w:hAnsi="Garamond"/>
          <w:sz w:val="24"/>
          <w:szCs w:val="24"/>
        </w:rPr>
        <w:t xml:space="preserve">therefore, </w:t>
      </w:r>
      <w:r w:rsidRPr="00C32887">
        <w:rPr>
          <w:rFonts w:ascii="Garamond" w:hAnsi="Garamond"/>
          <w:sz w:val="24"/>
          <w:szCs w:val="24"/>
        </w:rPr>
        <w:t xml:space="preserve">the first phase of the Contract, the review of </w:t>
      </w:r>
      <w:r w:rsidR="009C338A" w:rsidRPr="00C32887">
        <w:rPr>
          <w:rFonts w:ascii="Garamond" w:hAnsi="Garamond"/>
          <w:sz w:val="24"/>
          <w:szCs w:val="24"/>
        </w:rPr>
        <w:t>Functional Requirements</w:t>
      </w:r>
      <w:r w:rsidR="009C338A" w:rsidRPr="00CA52C1">
        <w:rPr>
          <w:rFonts w:ascii="Garamond" w:hAnsi="Garamond"/>
          <w:sz w:val="24"/>
          <w:szCs w:val="24"/>
        </w:rPr>
        <w:t xml:space="preserve"> </w:t>
      </w:r>
      <w:r w:rsidR="009C338A">
        <w:rPr>
          <w:rFonts w:ascii="Garamond" w:hAnsi="Garamond"/>
          <w:sz w:val="24"/>
          <w:szCs w:val="24"/>
        </w:rPr>
        <w:t>D</w:t>
      </w:r>
      <w:r w:rsidR="009C338A" w:rsidRPr="00C32887">
        <w:rPr>
          <w:rFonts w:ascii="Garamond" w:hAnsi="Garamond"/>
          <w:sz w:val="24"/>
          <w:szCs w:val="24"/>
        </w:rPr>
        <w:t>ocument</w:t>
      </w:r>
      <w:r w:rsidRPr="00C32887">
        <w:rPr>
          <w:rFonts w:ascii="Garamond" w:hAnsi="Garamond"/>
          <w:sz w:val="24"/>
          <w:szCs w:val="24"/>
        </w:rPr>
        <w:t xml:space="preserve">, was successfully implemented. </w:t>
      </w:r>
      <w:r w:rsidR="00BA36BB">
        <w:rPr>
          <w:rFonts w:ascii="Garamond" w:hAnsi="Garamond"/>
          <w:sz w:val="24"/>
          <w:szCs w:val="24"/>
        </w:rPr>
        <w:t>Based on</w:t>
      </w:r>
      <w:r w:rsidRPr="00C32887">
        <w:rPr>
          <w:rFonts w:ascii="Garamond" w:hAnsi="Garamond"/>
          <w:sz w:val="24"/>
          <w:szCs w:val="24"/>
        </w:rPr>
        <w:t xml:space="preserve"> the adopted plan, the delay in the preparation of the Functional Requirements Document </w:t>
      </w:r>
      <w:r w:rsidR="00BA36BB">
        <w:rPr>
          <w:rFonts w:ascii="Garamond" w:hAnsi="Garamond"/>
          <w:sz w:val="24"/>
          <w:szCs w:val="24"/>
        </w:rPr>
        <w:t>was</w:t>
      </w:r>
      <w:r w:rsidRPr="00C32887">
        <w:rPr>
          <w:rFonts w:ascii="Garamond" w:hAnsi="Garamond"/>
          <w:sz w:val="24"/>
          <w:szCs w:val="24"/>
        </w:rPr>
        <w:t xml:space="preserve"> 14 months. In view of the new situation caused by </w:t>
      </w:r>
      <w:r w:rsidR="00CA52C1">
        <w:rPr>
          <w:rFonts w:ascii="Garamond" w:hAnsi="Garamond"/>
          <w:sz w:val="24"/>
          <w:szCs w:val="24"/>
        </w:rPr>
        <w:t>COVID-</w:t>
      </w:r>
      <w:r w:rsidRPr="00C32887">
        <w:rPr>
          <w:rFonts w:ascii="Garamond" w:hAnsi="Garamond"/>
          <w:sz w:val="24"/>
          <w:szCs w:val="24"/>
        </w:rPr>
        <w:t>19</w:t>
      </w:r>
      <w:r w:rsidR="00CA52C1" w:rsidRPr="00CA52C1">
        <w:rPr>
          <w:rFonts w:ascii="Garamond" w:hAnsi="Garamond"/>
          <w:sz w:val="24"/>
          <w:szCs w:val="24"/>
        </w:rPr>
        <w:t xml:space="preserve"> </w:t>
      </w:r>
      <w:r w:rsidR="00BA36BB">
        <w:rPr>
          <w:rFonts w:ascii="Garamond" w:hAnsi="Garamond"/>
          <w:sz w:val="24"/>
          <w:szCs w:val="24"/>
        </w:rPr>
        <w:t>outbreak</w:t>
      </w:r>
      <w:r w:rsidRPr="00C32887">
        <w:rPr>
          <w:rFonts w:ascii="Garamond" w:hAnsi="Garamond"/>
          <w:sz w:val="24"/>
          <w:szCs w:val="24"/>
        </w:rPr>
        <w:t xml:space="preserve">, a number of teams </w:t>
      </w:r>
      <w:r w:rsidR="009C338A">
        <w:rPr>
          <w:rFonts w:ascii="Garamond" w:hAnsi="Garamond"/>
          <w:sz w:val="24"/>
          <w:szCs w:val="24"/>
        </w:rPr>
        <w:t>spent more time than anticipated</w:t>
      </w:r>
      <w:r w:rsidRPr="00C32887">
        <w:rPr>
          <w:rFonts w:ascii="Garamond" w:hAnsi="Garamond"/>
          <w:sz w:val="24"/>
          <w:szCs w:val="24"/>
        </w:rPr>
        <w:t xml:space="preserve"> </w:t>
      </w:r>
      <w:r w:rsidR="00BA36BB">
        <w:rPr>
          <w:rFonts w:ascii="Garamond" w:hAnsi="Garamond"/>
          <w:sz w:val="24"/>
          <w:szCs w:val="24"/>
        </w:rPr>
        <w:t>in</w:t>
      </w:r>
      <w:r w:rsidRPr="00C32887">
        <w:rPr>
          <w:rFonts w:ascii="Garamond" w:hAnsi="Garamond"/>
          <w:sz w:val="24"/>
          <w:szCs w:val="24"/>
        </w:rPr>
        <w:t xml:space="preserve"> produc</w:t>
      </w:r>
      <w:r w:rsidR="00BA36BB">
        <w:rPr>
          <w:rFonts w:ascii="Garamond" w:hAnsi="Garamond"/>
          <w:sz w:val="24"/>
          <w:szCs w:val="24"/>
        </w:rPr>
        <w:t>ing</w:t>
      </w:r>
      <w:r w:rsidR="009C338A">
        <w:rPr>
          <w:rFonts w:ascii="Garamond" w:hAnsi="Garamond"/>
          <w:sz w:val="24"/>
          <w:szCs w:val="24"/>
        </w:rPr>
        <w:t xml:space="preserve"> the</w:t>
      </w:r>
      <w:r w:rsidRPr="00C32887">
        <w:rPr>
          <w:rFonts w:ascii="Garamond" w:hAnsi="Garamond"/>
          <w:sz w:val="24"/>
          <w:szCs w:val="24"/>
        </w:rPr>
        <w:t xml:space="preserve"> </w:t>
      </w:r>
      <w:r w:rsidR="009C338A" w:rsidRPr="00C32887">
        <w:rPr>
          <w:rFonts w:ascii="Garamond" w:hAnsi="Garamond"/>
          <w:sz w:val="24"/>
          <w:szCs w:val="24"/>
        </w:rPr>
        <w:t xml:space="preserve">Functional Requirements Document </w:t>
      </w:r>
      <w:r w:rsidRPr="00C32887">
        <w:rPr>
          <w:rFonts w:ascii="Garamond" w:hAnsi="Garamond"/>
          <w:sz w:val="24"/>
          <w:szCs w:val="24"/>
        </w:rPr>
        <w:t xml:space="preserve">because </w:t>
      </w:r>
      <w:r w:rsidR="00BA36BB">
        <w:rPr>
          <w:rFonts w:ascii="Garamond" w:hAnsi="Garamond"/>
          <w:sz w:val="24"/>
          <w:szCs w:val="24"/>
        </w:rPr>
        <w:t>the</w:t>
      </w:r>
      <w:r w:rsidRPr="00C32887">
        <w:rPr>
          <w:rFonts w:ascii="Garamond" w:hAnsi="Garamond"/>
          <w:sz w:val="24"/>
          <w:szCs w:val="24"/>
        </w:rPr>
        <w:t xml:space="preserve"> documentation </w:t>
      </w:r>
      <w:r w:rsidR="009C338A">
        <w:rPr>
          <w:rFonts w:ascii="Garamond" w:hAnsi="Garamond"/>
          <w:sz w:val="24"/>
          <w:szCs w:val="24"/>
        </w:rPr>
        <w:t xml:space="preserve">was </w:t>
      </w:r>
      <w:r w:rsidR="00BA36BB">
        <w:rPr>
          <w:rFonts w:ascii="Garamond" w:hAnsi="Garamond"/>
          <w:sz w:val="24"/>
          <w:szCs w:val="24"/>
        </w:rPr>
        <w:t>upgraded</w:t>
      </w:r>
      <w:r w:rsidRPr="00C32887">
        <w:rPr>
          <w:rFonts w:ascii="Garamond" w:hAnsi="Garamond"/>
          <w:sz w:val="24"/>
          <w:szCs w:val="24"/>
        </w:rPr>
        <w:t xml:space="preserve"> in several </w:t>
      </w:r>
      <w:r w:rsidR="00CA52C1">
        <w:rPr>
          <w:rFonts w:ascii="Garamond" w:hAnsi="Garamond"/>
          <w:sz w:val="24"/>
          <w:szCs w:val="24"/>
        </w:rPr>
        <w:t>instances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BA36BB" w:rsidP="00CA52C1">
      <w:pPr>
        <w:jc w:val="both"/>
        <w:rPr>
          <w:rFonts w:ascii="Garamond" w:hAnsi="Garamond"/>
          <w:sz w:val="24"/>
          <w:szCs w:val="24"/>
        </w:rPr>
      </w:pPr>
      <w:r>
        <w:rPr>
          <w:rFonts w:ascii="Garamond" w:hAnsi="Garamond"/>
          <w:sz w:val="24"/>
          <w:szCs w:val="24"/>
        </w:rPr>
        <w:t>Under the</w:t>
      </w:r>
      <w:r w:rsidR="004D1343" w:rsidRPr="00C32887">
        <w:rPr>
          <w:rFonts w:ascii="Garamond" w:hAnsi="Garamond"/>
          <w:sz w:val="24"/>
          <w:szCs w:val="24"/>
        </w:rPr>
        <w:t xml:space="preserve"> </w:t>
      </w:r>
      <w:r w:rsidR="001261C1">
        <w:rPr>
          <w:rFonts w:ascii="Garamond" w:hAnsi="Garamond"/>
          <w:sz w:val="24"/>
          <w:szCs w:val="24"/>
        </w:rPr>
        <w:t>2</w:t>
      </w:r>
      <w:r w:rsidR="001261C1" w:rsidRPr="001261C1">
        <w:rPr>
          <w:rFonts w:ascii="Garamond" w:hAnsi="Garamond"/>
          <w:sz w:val="24"/>
          <w:szCs w:val="24"/>
          <w:vertAlign w:val="superscript"/>
        </w:rPr>
        <w:t>nd</w:t>
      </w:r>
      <w:r w:rsidR="001261C1">
        <w:rPr>
          <w:rFonts w:ascii="Garamond" w:hAnsi="Garamond"/>
          <w:sz w:val="24"/>
          <w:szCs w:val="24"/>
        </w:rPr>
        <w:t xml:space="preserve"> </w:t>
      </w:r>
      <w:r w:rsidR="004D1343" w:rsidRPr="00C32887">
        <w:rPr>
          <w:rFonts w:ascii="Garamond" w:hAnsi="Garamond"/>
          <w:sz w:val="24"/>
          <w:szCs w:val="24"/>
        </w:rPr>
        <w:t>Component</w:t>
      </w:r>
      <w:r w:rsidR="009C338A">
        <w:rPr>
          <w:rFonts w:ascii="Garamond" w:hAnsi="Garamond"/>
          <w:sz w:val="24"/>
          <w:szCs w:val="24"/>
        </w:rPr>
        <w:t>–</w:t>
      </w:r>
      <w:r w:rsidR="004D1343" w:rsidRPr="00C32887">
        <w:rPr>
          <w:rFonts w:ascii="Garamond" w:hAnsi="Garamond"/>
          <w:sz w:val="24"/>
          <w:szCs w:val="24"/>
        </w:rPr>
        <w:t xml:space="preserve"> </w:t>
      </w:r>
      <w:r w:rsidR="009C338A">
        <w:rPr>
          <w:rFonts w:ascii="Garamond" w:hAnsi="Garamond"/>
          <w:sz w:val="24"/>
          <w:szCs w:val="24"/>
        </w:rPr>
        <w:t>Business Processe</w:t>
      </w:r>
      <w:r w:rsidR="004D1343" w:rsidRPr="00C32887">
        <w:rPr>
          <w:rFonts w:ascii="Garamond" w:hAnsi="Garamond"/>
          <w:sz w:val="24"/>
          <w:szCs w:val="24"/>
        </w:rPr>
        <w:t xml:space="preserve">s, </w:t>
      </w:r>
      <w:r w:rsidR="00CA52C1">
        <w:rPr>
          <w:rFonts w:ascii="Garamond" w:hAnsi="Garamond"/>
          <w:sz w:val="24"/>
          <w:szCs w:val="24"/>
        </w:rPr>
        <w:t>consulting firm (Coming-Computer Engineering</w:t>
      </w:r>
      <w:r w:rsidR="004D1343" w:rsidRPr="00C32887">
        <w:rPr>
          <w:rFonts w:ascii="Garamond" w:hAnsi="Garamond"/>
          <w:sz w:val="24"/>
          <w:szCs w:val="24"/>
        </w:rPr>
        <w:t xml:space="preserve">) began its engagement, which, inter alia, </w:t>
      </w:r>
      <w:r w:rsidR="00184914">
        <w:rPr>
          <w:rFonts w:ascii="Garamond" w:hAnsi="Garamond"/>
          <w:sz w:val="24"/>
          <w:szCs w:val="24"/>
        </w:rPr>
        <w:t>includes</w:t>
      </w:r>
      <w:r w:rsidR="004D1343" w:rsidRPr="00C32887">
        <w:rPr>
          <w:rFonts w:ascii="Garamond" w:hAnsi="Garamond"/>
          <w:sz w:val="24"/>
          <w:szCs w:val="24"/>
        </w:rPr>
        <w:t xml:space="preserve"> the preparation of a Data Clean</w:t>
      </w:r>
      <w:r w:rsidR="000C0EDD">
        <w:rPr>
          <w:rFonts w:ascii="Garamond" w:hAnsi="Garamond"/>
          <w:sz w:val="24"/>
          <w:szCs w:val="24"/>
        </w:rPr>
        <w:t>s</w:t>
      </w:r>
      <w:r w:rsidR="004D1343" w:rsidRPr="00C32887">
        <w:rPr>
          <w:rFonts w:ascii="Garamond" w:hAnsi="Garamond"/>
          <w:sz w:val="24"/>
          <w:szCs w:val="24"/>
        </w:rPr>
        <w:t>ing Strategy and a general plan for data</w:t>
      </w:r>
      <w:r w:rsidR="009C338A">
        <w:rPr>
          <w:rFonts w:ascii="Garamond" w:hAnsi="Garamond"/>
          <w:sz w:val="24"/>
          <w:szCs w:val="24"/>
        </w:rPr>
        <w:t xml:space="preserve"> clean</w:t>
      </w:r>
      <w:r w:rsidR="000C0EDD">
        <w:rPr>
          <w:rFonts w:ascii="Garamond" w:hAnsi="Garamond"/>
          <w:sz w:val="24"/>
          <w:szCs w:val="24"/>
        </w:rPr>
        <w:t>s</w:t>
      </w:r>
      <w:r w:rsidR="009C338A">
        <w:rPr>
          <w:rFonts w:ascii="Garamond" w:hAnsi="Garamond"/>
          <w:sz w:val="24"/>
          <w:szCs w:val="24"/>
        </w:rPr>
        <w:t xml:space="preserve">ing and conversion; </w:t>
      </w:r>
      <w:r w:rsidR="004D1343" w:rsidRPr="00C32887">
        <w:rPr>
          <w:rFonts w:ascii="Garamond" w:hAnsi="Garamond"/>
          <w:sz w:val="24"/>
          <w:szCs w:val="24"/>
        </w:rPr>
        <w:t>a detailed procedure for data clean</w:t>
      </w:r>
      <w:r w:rsidR="000C0EDD">
        <w:rPr>
          <w:rFonts w:ascii="Garamond" w:hAnsi="Garamond"/>
          <w:sz w:val="24"/>
          <w:szCs w:val="24"/>
        </w:rPr>
        <w:t>s</w:t>
      </w:r>
      <w:r w:rsidR="004D1343" w:rsidRPr="00C32887">
        <w:rPr>
          <w:rFonts w:ascii="Garamond" w:hAnsi="Garamond"/>
          <w:sz w:val="24"/>
          <w:szCs w:val="24"/>
        </w:rPr>
        <w:t>ing, training and management of the internal data clean</w:t>
      </w:r>
      <w:r w:rsidR="000C0EDD">
        <w:rPr>
          <w:rFonts w:ascii="Garamond" w:hAnsi="Garamond"/>
          <w:sz w:val="24"/>
          <w:szCs w:val="24"/>
        </w:rPr>
        <w:t>s</w:t>
      </w:r>
      <w:r w:rsidR="004D1343" w:rsidRPr="00C32887">
        <w:rPr>
          <w:rFonts w:ascii="Garamond" w:hAnsi="Garamond"/>
          <w:sz w:val="24"/>
          <w:szCs w:val="24"/>
        </w:rPr>
        <w:t>ing team (business and IT users); process implementation control and data clean</w:t>
      </w:r>
      <w:r w:rsidR="000C0EDD">
        <w:rPr>
          <w:rFonts w:ascii="Garamond" w:hAnsi="Garamond"/>
          <w:sz w:val="24"/>
          <w:szCs w:val="24"/>
        </w:rPr>
        <w:t>s</w:t>
      </w:r>
      <w:r w:rsidR="004D1343" w:rsidRPr="00C32887">
        <w:rPr>
          <w:rFonts w:ascii="Garamond" w:hAnsi="Garamond"/>
          <w:sz w:val="24"/>
          <w:szCs w:val="24"/>
        </w:rPr>
        <w:t>ing advice; preparation of systems for data migration from old systems to the new system, as well as consulting services in the process of preparation of tes</w:t>
      </w:r>
      <w:r w:rsidR="001261C1">
        <w:rPr>
          <w:rFonts w:ascii="Garamond" w:hAnsi="Garamond"/>
          <w:sz w:val="24"/>
          <w:szCs w:val="24"/>
        </w:rPr>
        <w:t>t</w:t>
      </w:r>
      <w:r w:rsidR="004D1343" w:rsidRPr="00C32887">
        <w:rPr>
          <w:rFonts w:ascii="Garamond" w:hAnsi="Garamond"/>
          <w:sz w:val="24"/>
          <w:szCs w:val="24"/>
        </w:rPr>
        <w:t xml:space="preserve"> and production data migra</w:t>
      </w:r>
      <w:r w:rsidR="00CA52C1">
        <w:rPr>
          <w:rFonts w:ascii="Garamond" w:hAnsi="Garamond"/>
          <w:sz w:val="24"/>
          <w:szCs w:val="24"/>
        </w:rPr>
        <w:t>tion. In March</w:t>
      </w:r>
      <w:r w:rsidR="004D1343" w:rsidRPr="00C32887">
        <w:rPr>
          <w:rFonts w:ascii="Garamond" w:hAnsi="Garamond"/>
          <w:sz w:val="24"/>
          <w:szCs w:val="24"/>
        </w:rPr>
        <w:t xml:space="preserve"> 2020, the agreed first phase was formally completed, </w:t>
      </w:r>
      <w:r w:rsidR="00CA52C1">
        <w:rPr>
          <w:rFonts w:ascii="Garamond" w:hAnsi="Garamond"/>
          <w:sz w:val="24"/>
          <w:szCs w:val="24"/>
        </w:rPr>
        <w:t>that is,</w:t>
      </w:r>
      <w:r w:rsidR="004D1343" w:rsidRPr="00C32887">
        <w:rPr>
          <w:rFonts w:ascii="Garamond" w:hAnsi="Garamond"/>
          <w:sz w:val="24"/>
          <w:szCs w:val="24"/>
        </w:rPr>
        <w:t xml:space="preserve"> the </w:t>
      </w:r>
      <w:r w:rsidR="000C0EDD" w:rsidRPr="00C32887">
        <w:rPr>
          <w:rFonts w:ascii="Garamond" w:hAnsi="Garamond"/>
          <w:sz w:val="24"/>
          <w:szCs w:val="24"/>
        </w:rPr>
        <w:t>Data Clean</w:t>
      </w:r>
      <w:r w:rsidR="000C0EDD">
        <w:rPr>
          <w:rFonts w:ascii="Garamond" w:hAnsi="Garamond"/>
          <w:sz w:val="24"/>
          <w:szCs w:val="24"/>
        </w:rPr>
        <w:t>s</w:t>
      </w:r>
      <w:r w:rsidR="000C0EDD" w:rsidRPr="00C32887">
        <w:rPr>
          <w:rFonts w:ascii="Garamond" w:hAnsi="Garamond"/>
          <w:sz w:val="24"/>
          <w:szCs w:val="24"/>
        </w:rPr>
        <w:t>ing Strategy</w:t>
      </w:r>
      <w:r w:rsidR="004D1343" w:rsidRPr="00C32887">
        <w:rPr>
          <w:rFonts w:ascii="Garamond" w:hAnsi="Garamond"/>
          <w:sz w:val="24"/>
          <w:szCs w:val="24"/>
        </w:rPr>
        <w:t xml:space="preserve">, the Action Plan, </w:t>
      </w:r>
      <w:r w:rsidR="00CA52C1" w:rsidRPr="00C32887">
        <w:rPr>
          <w:rFonts w:ascii="Garamond" w:hAnsi="Garamond"/>
          <w:sz w:val="24"/>
          <w:szCs w:val="24"/>
        </w:rPr>
        <w:t xml:space="preserve">data </w:t>
      </w:r>
      <w:r w:rsidR="004D1343" w:rsidRPr="00C32887">
        <w:rPr>
          <w:rFonts w:ascii="Garamond" w:hAnsi="Garamond"/>
          <w:sz w:val="24"/>
          <w:szCs w:val="24"/>
        </w:rPr>
        <w:t>catalog</w:t>
      </w:r>
      <w:r w:rsidR="001261C1">
        <w:rPr>
          <w:rFonts w:ascii="Garamond" w:hAnsi="Garamond"/>
          <w:sz w:val="24"/>
          <w:szCs w:val="24"/>
        </w:rPr>
        <w:t>ue</w:t>
      </w:r>
      <w:r w:rsidR="004D1343" w:rsidRPr="00C32887">
        <w:rPr>
          <w:rFonts w:ascii="Garamond" w:hAnsi="Garamond"/>
          <w:sz w:val="24"/>
          <w:szCs w:val="24"/>
        </w:rPr>
        <w:t xml:space="preserve">, as well as a </w:t>
      </w:r>
      <w:r w:rsidR="00CA52C1">
        <w:rPr>
          <w:rFonts w:ascii="Garamond" w:hAnsi="Garamond"/>
          <w:sz w:val="24"/>
          <w:szCs w:val="24"/>
        </w:rPr>
        <w:t>check</w:t>
      </w:r>
      <w:r w:rsidR="004D1343" w:rsidRPr="00C32887">
        <w:rPr>
          <w:rFonts w:ascii="Garamond" w:hAnsi="Garamond"/>
          <w:sz w:val="24"/>
          <w:szCs w:val="24"/>
        </w:rPr>
        <w:t xml:space="preserve">list of identified problems, </w:t>
      </w:r>
      <w:r w:rsidR="000C0EDD">
        <w:rPr>
          <w:rFonts w:ascii="Garamond" w:hAnsi="Garamond"/>
          <w:sz w:val="24"/>
          <w:szCs w:val="24"/>
        </w:rPr>
        <w:t xml:space="preserve">were prepared, </w:t>
      </w:r>
      <w:r w:rsidR="00CA52C1">
        <w:rPr>
          <w:rFonts w:ascii="Garamond" w:hAnsi="Garamond"/>
          <w:sz w:val="24"/>
          <w:szCs w:val="24"/>
        </w:rPr>
        <w:t>while in April</w:t>
      </w:r>
      <w:r w:rsidR="004D1343" w:rsidRPr="00C32887">
        <w:rPr>
          <w:rFonts w:ascii="Garamond" w:hAnsi="Garamond"/>
          <w:sz w:val="24"/>
          <w:szCs w:val="24"/>
        </w:rPr>
        <w:t xml:space="preserve"> 2020, the second </w:t>
      </w:r>
      <w:r w:rsidR="00CA52C1" w:rsidRPr="00C32887">
        <w:rPr>
          <w:rFonts w:ascii="Garamond" w:hAnsi="Garamond"/>
          <w:sz w:val="24"/>
          <w:szCs w:val="24"/>
        </w:rPr>
        <w:t xml:space="preserve">contract </w:t>
      </w:r>
      <w:r w:rsidR="004D1343" w:rsidRPr="00C32887">
        <w:rPr>
          <w:rFonts w:ascii="Garamond" w:hAnsi="Garamond"/>
          <w:sz w:val="24"/>
          <w:szCs w:val="24"/>
        </w:rPr>
        <w:t xml:space="preserve">phase </w:t>
      </w:r>
      <w:r w:rsidR="001261C1">
        <w:rPr>
          <w:rFonts w:ascii="Garamond" w:hAnsi="Garamond"/>
          <w:sz w:val="24"/>
          <w:szCs w:val="24"/>
        </w:rPr>
        <w:t xml:space="preserve">was </w:t>
      </w:r>
      <w:r w:rsidR="000C0EDD" w:rsidRPr="00C32887">
        <w:rPr>
          <w:rFonts w:ascii="Garamond" w:hAnsi="Garamond"/>
          <w:sz w:val="24"/>
          <w:szCs w:val="24"/>
        </w:rPr>
        <w:t>completed</w:t>
      </w:r>
      <w:r w:rsidR="001261C1">
        <w:rPr>
          <w:rFonts w:ascii="Garamond" w:hAnsi="Garamond"/>
          <w:sz w:val="24"/>
          <w:szCs w:val="24"/>
        </w:rPr>
        <w:t xml:space="preserve">, involving </w:t>
      </w:r>
      <w:r w:rsidR="004D1343" w:rsidRPr="00C32887">
        <w:rPr>
          <w:rFonts w:ascii="Garamond" w:hAnsi="Garamond"/>
          <w:sz w:val="24"/>
          <w:szCs w:val="24"/>
        </w:rPr>
        <w:t xml:space="preserve">the development of </w:t>
      </w:r>
      <w:r w:rsidR="000C0EDD" w:rsidRPr="00C32887">
        <w:rPr>
          <w:rFonts w:ascii="Garamond" w:hAnsi="Garamond"/>
          <w:sz w:val="24"/>
          <w:szCs w:val="24"/>
        </w:rPr>
        <w:t>clean</w:t>
      </w:r>
      <w:r w:rsidR="000C0EDD">
        <w:rPr>
          <w:rFonts w:ascii="Garamond" w:hAnsi="Garamond"/>
          <w:sz w:val="24"/>
          <w:szCs w:val="24"/>
        </w:rPr>
        <w:t>s</w:t>
      </w:r>
      <w:r w:rsidR="000C0EDD" w:rsidRPr="00C32887">
        <w:rPr>
          <w:rFonts w:ascii="Garamond" w:hAnsi="Garamond"/>
          <w:sz w:val="24"/>
          <w:szCs w:val="24"/>
        </w:rPr>
        <w:t xml:space="preserve">ing </w:t>
      </w:r>
      <w:r w:rsidR="004D1343" w:rsidRPr="00C32887">
        <w:rPr>
          <w:rFonts w:ascii="Garamond" w:hAnsi="Garamond"/>
          <w:sz w:val="24"/>
          <w:szCs w:val="24"/>
        </w:rPr>
        <w:t>procedures, as well as training of employees who will be involved in the clean</w:t>
      </w:r>
      <w:r w:rsidR="000C0EDD">
        <w:rPr>
          <w:rFonts w:ascii="Garamond" w:hAnsi="Garamond"/>
          <w:sz w:val="24"/>
          <w:szCs w:val="24"/>
        </w:rPr>
        <w:t>s</w:t>
      </w:r>
      <w:r w:rsidR="004D1343" w:rsidRPr="00C32887">
        <w:rPr>
          <w:rFonts w:ascii="Garamond" w:hAnsi="Garamond"/>
          <w:sz w:val="24"/>
          <w:szCs w:val="24"/>
        </w:rPr>
        <w:t>ing process itself. The third phase has started, which specifically refers to the process of data clean</w:t>
      </w:r>
      <w:r w:rsidR="000C0EDD">
        <w:rPr>
          <w:rFonts w:ascii="Garamond" w:hAnsi="Garamond"/>
          <w:sz w:val="24"/>
          <w:szCs w:val="24"/>
        </w:rPr>
        <w:t>s</w:t>
      </w:r>
      <w:r w:rsidR="004D1343" w:rsidRPr="00C32887">
        <w:rPr>
          <w:rFonts w:ascii="Garamond" w:hAnsi="Garamond"/>
          <w:sz w:val="24"/>
          <w:szCs w:val="24"/>
        </w:rPr>
        <w:t>ing, in accordance with t</w:t>
      </w:r>
      <w:r w:rsidR="00CA52C1">
        <w:rPr>
          <w:rFonts w:ascii="Garamond" w:hAnsi="Garamond"/>
          <w:sz w:val="24"/>
          <w:szCs w:val="24"/>
        </w:rPr>
        <w:t xml:space="preserve">he adopted documents and plans. In addition, two </w:t>
      </w:r>
      <w:r w:rsidR="004D1343" w:rsidRPr="00C32887">
        <w:rPr>
          <w:rFonts w:ascii="Garamond" w:hAnsi="Garamond"/>
          <w:sz w:val="24"/>
          <w:szCs w:val="24"/>
        </w:rPr>
        <w:t>progress reports were prepared</w:t>
      </w:r>
      <w:r w:rsidR="00CA52C1">
        <w:rPr>
          <w:rFonts w:ascii="Garamond" w:hAnsi="Garamond"/>
          <w:sz w:val="24"/>
          <w:szCs w:val="24"/>
        </w:rPr>
        <w:t xml:space="preserve"> in </w:t>
      </w:r>
      <w:r w:rsidR="000C0EDD">
        <w:rPr>
          <w:rFonts w:ascii="Garamond" w:hAnsi="Garamond"/>
          <w:sz w:val="24"/>
          <w:szCs w:val="24"/>
        </w:rPr>
        <w:t>the 3</w:t>
      </w:r>
      <w:r w:rsidR="000C0EDD" w:rsidRPr="000C0EDD">
        <w:rPr>
          <w:rFonts w:ascii="Garamond" w:hAnsi="Garamond"/>
          <w:sz w:val="24"/>
          <w:szCs w:val="24"/>
          <w:vertAlign w:val="superscript"/>
        </w:rPr>
        <w:t>rd</w:t>
      </w:r>
      <w:r w:rsidR="000C0EDD">
        <w:rPr>
          <w:rFonts w:ascii="Garamond" w:hAnsi="Garamond"/>
          <w:sz w:val="24"/>
          <w:szCs w:val="24"/>
        </w:rPr>
        <w:t xml:space="preserve"> </w:t>
      </w:r>
      <w:r w:rsidR="00CA52C1">
        <w:rPr>
          <w:rFonts w:ascii="Garamond" w:hAnsi="Garamond"/>
          <w:sz w:val="24"/>
          <w:szCs w:val="24"/>
        </w:rPr>
        <w:t>phase of the data clean</w:t>
      </w:r>
      <w:r w:rsidR="000C0EDD">
        <w:rPr>
          <w:rFonts w:ascii="Garamond" w:hAnsi="Garamond"/>
          <w:sz w:val="24"/>
          <w:szCs w:val="24"/>
        </w:rPr>
        <w:t>s</w:t>
      </w:r>
      <w:r w:rsidR="004D1343" w:rsidRPr="00C32887">
        <w:rPr>
          <w:rFonts w:ascii="Garamond" w:hAnsi="Garamond"/>
          <w:sz w:val="24"/>
          <w:szCs w:val="24"/>
        </w:rPr>
        <w:t>ing.</w:t>
      </w:r>
    </w:p>
    <w:p w:rsidR="004D1343" w:rsidRPr="00C32887" w:rsidRDefault="004D1343" w:rsidP="004D1343">
      <w:pPr>
        <w:rPr>
          <w:rFonts w:ascii="Garamond" w:hAnsi="Garamond"/>
          <w:sz w:val="24"/>
          <w:szCs w:val="24"/>
        </w:rPr>
      </w:pPr>
    </w:p>
    <w:p w:rsidR="004D1343" w:rsidRPr="00C32887" w:rsidRDefault="004D1343" w:rsidP="00CA52C1">
      <w:pPr>
        <w:jc w:val="both"/>
        <w:rPr>
          <w:rFonts w:ascii="Garamond" w:hAnsi="Garamond"/>
          <w:sz w:val="24"/>
          <w:szCs w:val="24"/>
        </w:rPr>
      </w:pPr>
      <w:r w:rsidRPr="00C32887">
        <w:rPr>
          <w:rFonts w:ascii="Garamond" w:hAnsi="Garamond"/>
          <w:sz w:val="24"/>
          <w:szCs w:val="24"/>
        </w:rPr>
        <w:t xml:space="preserve">The </w:t>
      </w:r>
      <w:r w:rsidR="00CA52C1">
        <w:rPr>
          <w:rFonts w:ascii="Garamond" w:hAnsi="Garamond"/>
          <w:sz w:val="24"/>
          <w:szCs w:val="24"/>
        </w:rPr>
        <w:t>Terms of Reference for the introduction of the Data Warehouse</w:t>
      </w:r>
      <w:r w:rsidR="00CA52C1" w:rsidRPr="00C32887">
        <w:rPr>
          <w:rFonts w:ascii="Garamond" w:hAnsi="Garamond"/>
          <w:sz w:val="24"/>
          <w:szCs w:val="24"/>
        </w:rPr>
        <w:t xml:space="preserve"> </w:t>
      </w:r>
      <w:r w:rsidR="000C0EDD">
        <w:rPr>
          <w:rFonts w:ascii="Garamond" w:hAnsi="Garamond"/>
          <w:sz w:val="24"/>
          <w:szCs w:val="24"/>
        </w:rPr>
        <w:t xml:space="preserve">System </w:t>
      </w:r>
      <w:r w:rsidR="00CA52C1">
        <w:rPr>
          <w:rFonts w:ascii="Garamond" w:hAnsi="Garamond"/>
          <w:sz w:val="24"/>
          <w:szCs w:val="24"/>
        </w:rPr>
        <w:t>have been completed</w:t>
      </w:r>
      <w:r w:rsidRPr="00C32887">
        <w:rPr>
          <w:rFonts w:ascii="Garamond" w:hAnsi="Garamond"/>
          <w:sz w:val="24"/>
          <w:szCs w:val="24"/>
        </w:rPr>
        <w:t xml:space="preserve">, followed by the selection of a company for its implementation. The </w:t>
      </w:r>
      <w:r w:rsidR="001261C1">
        <w:rPr>
          <w:rFonts w:ascii="Garamond" w:hAnsi="Garamond"/>
          <w:sz w:val="24"/>
          <w:szCs w:val="24"/>
        </w:rPr>
        <w:t>implementation</w:t>
      </w:r>
      <w:r w:rsidRPr="00C32887">
        <w:rPr>
          <w:rFonts w:ascii="Garamond" w:hAnsi="Garamond"/>
          <w:sz w:val="24"/>
          <w:szCs w:val="24"/>
        </w:rPr>
        <w:t xml:space="preserve"> of the </w:t>
      </w:r>
      <w:r w:rsidR="00E414FE">
        <w:rPr>
          <w:rFonts w:ascii="Garamond" w:hAnsi="Garamond"/>
          <w:sz w:val="24"/>
          <w:szCs w:val="24"/>
        </w:rPr>
        <w:t>Terms of Reference</w:t>
      </w:r>
      <w:r w:rsidRPr="00C32887">
        <w:rPr>
          <w:rFonts w:ascii="Garamond" w:hAnsi="Garamond"/>
          <w:sz w:val="24"/>
          <w:szCs w:val="24"/>
        </w:rPr>
        <w:t xml:space="preserve"> consists of two phases. The first phase will follow e-fiscali</w:t>
      </w:r>
      <w:r w:rsidR="00F254DD">
        <w:rPr>
          <w:rFonts w:ascii="Garamond" w:hAnsi="Garamond"/>
          <w:sz w:val="24"/>
          <w:szCs w:val="24"/>
        </w:rPr>
        <w:t>sation</w:t>
      </w:r>
      <w:r w:rsidRPr="00C32887">
        <w:rPr>
          <w:rFonts w:ascii="Garamond" w:hAnsi="Garamond"/>
          <w:sz w:val="24"/>
          <w:szCs w:val="24"/>
        </w:rPr>
        <w:t>, while the second phase of implementation is related to the implementation of the RMS system.</w:t>
      </w:r>
    </w:p>
    <w:p w:rsidR="004D1343" w:rsidRPr="00C32887" w:rsidRDefault="004D1343" w:rsidP="004D1343">
      <w:pPr>
        <w:rPr>
          <w:rFonts w:ascii="Garamond" w:hAnsi="Garamond"/>
          <w:sz w:val="24"/>
          <w:szCs w:val="24"/>
        </w:rPr>
      </w:pPr>
    </w:p>
    <w:p w:rsidR="004D1343" w:rsidRPr="00C32887" w:rsidRDefault="001261C1" w:rsidP="00E414FE">
      <w:pPr>
        <w:jc w:val="both"/>
        <w:rPr>
          <w:rFonts w:ascii="Garamond" w:hAnsi="Garamond"/>
          <w:sz w:val="24"/>
          <w:szCs w:val="24"/>
        </w:rPr>
      </w:pPr>
      <w:r>
        <w:rPr>
          <w:rFonts w:ascii="Garamond" w:hAnsi="Garamond"/>
          <w:sz w:val="24"/>
          <w:szCs w:val="24"/>
        </w:rPr>
        <w:t>Under the</w:t>
      </w:r>
      <w:r w:rsidR="00E414FE">
        <w:rPr>
          <w:rFonts w:ascii="Garamond" w:hAnsi="Garamond"/>
          <w:sz w:val="24"/>
          <w:szCs w:val="24"/>
        </w:rPr>
        <w:t xml:space="preserve"> 3</w:t>
      </w:r>
      <w:r w:rsidR="00E414FE" w:rsidRPr="00E414FE">
        <w:rPr>
          <w:rFonts w:ascii="Garamond" w:hAnsi="Garamond"/>
          <w:sz w:val="24"/>
          <w:szCs w:val="24"/>
          <w:vertAlign w:val="superscript"/>
        </w:rPr>
        <w:t>rd</w:t>
      </w:r>
      <w:r w:rsidR="00E414FE">
        <w:rPr>
          <w:rFonts w:ascii="Garamond" w:hAnsi="Garamond"/>
          <w:sz w:val="24"/>
          <w:szCs w:val="24"/>
        </w:rPr>
        <w:t xml:space="preserve"> </w:t>
      </w:r>
      <w:r>
        <w:rPr>
          <w:rFonts w:ascii="Garamond" w:hAnsi="Garamond"/>
          <w:sz w:val="24"/>
          <w:szCs w:val="24"/>
        </w:rPr>
        <w:t xml:space="preserve">Component, </w:t>
      </w:r>
      <w:r w:rsidR="004D1343" w:rsidRPr="00C32887">
        <w:rPr>
          <w:rFonts w:ascii="Garamond" w:hAnsi="Garamond"/>
          <w:sz w:val="24"/>
          <w:szCs w:val="24"/>
        </w:rPr>
        <w:t>consulting firm (</w:t>
      </w:r>
      <w:r w:rsidR="000C0EDD" w:rsidRPr="00C32887">
        <w:rPr>
          <w:rFonts w:ascii="Garamond" w:hAnsi="Garamond"/>
          <w:sz w:val="24"/>
          <w:szCs w:val="24"/>
        </w:rPr>
        <w:t xml:space="preserve">IPSOS </w:t>
      </w:r>
      <w:r w:rsidR="004D1343" w:rsidRPr="00C32887">
        <w:rPr>
          <w:rFonts w:ascii="Garamond" w:hAnsi="Garamond"/>
          <w:sz w:val="24"/>
          <w:szCs w:val="24"/>
        </w:rPr>
        <w:t>Strategic Marketing/</w:t>
      </w:r>
      <w:r w:rsidR="00E414FE">
        <w:rPr>
          <w:rFonts w:ascii="Garamond" w:hAnsi="Garamond"/>
          <w:sz w:val="24"/>
          <w:szCs w:val="24"/>
        </w:rPr>
        <w:t>Belgrade, in Sep</w:t>
      </w:r>
      <w:r w:rsidR="004D1343" w:rsidRPr="00C32887">
        <w:rPr>
          <w:rFonts w:ascii="Garamond" w:hAnsi="Garamond"/>
          <w:sz w:val="24"/>
          <w:szCs w:val="24"/>
        </w:rPr>
        <w:t>tember 2019)</w:t>
      </w:r>
      <w:r w:rsidR="00E414FE">
        <w:rPr>
          <w:rFonts w:ascii="Garamond" w:hAnsi="Garamond"/>
          <w:sz w:val="24"/>
          <w:szCs w:val="24"/>
        </w:rPr>
        <w:t xml:space="preserve"> </w:t>
      </w:r>
      <w:r>
        <w:rPr>
          <w:rFonts w:ascii="Garamond" w:hAnsi="Garamond"/>
          <w:sz w:val="24"/>
          <w:szCs w:val="24"/>
        </w:rPr>
        <w:t>was</w:t>
      </w:r>
      <w:r w:rsidRPr="00C32887">
        <w:rPr>
          <w:rFonts w:ascii="Garamond" w:hAnsi="Garamond"/>
          <w:sz w:val="24"/>
          <w:szCs w:val="24"/>
        </w:rPr>
        <w:t xml:space="preserve"> engage</w:t>
      </w:r>
      <w:r>
        <w:rPr>
          <w:rFonts w:ascii="Garamond" w:hAnsi="Garamond"/>
          <w:sz w:val="24"/>
          <w:szCs w:val="24"/>
        </w:rPr>
        <w:t>d to prepare, implement</w:t>
      </w:r>
      <w:r w:rsidR="004D1343" w:rsidRPr="00C32887">
        <w:rPr>
          <w:rFonts w:ascii="Garamond" w:hAnsi="Garamond"/>
          <w:sz w:val="24"/>
          <w:szCs w:val="24"/>
        </w:rPr>
        <w:t xml:space="preserve"> and analys</w:t>
      </w:r>
      <w:r>
        <w:rPr>
          <w:rFonts w:ascii="Garamond" w:hAnsi="Garamond"/>
          <w:sz w:val="24"/>
          <w:szCs w:val="24"/>
        </w:rPr>
        <w:t>e</w:t>
      </w:r>
      <w:r w:rsidR="00E414FE">
        <w:rPr>
          <w:rFonts w:ascii="Garamond" w:hAnsi="Garamond"/>
          <w:sz w:val="24"/>
          <w:szCs w:val="24"/>
        </w:rPr>
        <w:t xml:space="preserve"> results of two surveys – </w:t>
      </w:r>
      <w:r w:rsidR="00C13A74">
        <w:rPr>
          <w:rFonts w:ascii="Garamond" w:hAnsi="Garamond"/>
          <w:sz w:val="24"/>
          <w:szCs w:val="24"/>
        </w:rPr>
        <w:t>‘</w:t>
      </w:r>
      <w:r w:rsidR="00E414FE">
        <w:rPr>
          <w:rFonts w:ascii="Garamond" w:hAnsi="Garamond"/>
          <w:sz w:val="24"/>
          <w:szCs w:val="24"/>
        </w:rPr>
        <w:t>taxpayer</w:t>
      </w:r>
      <w:r w:rsidR="00E414FE" w:rsidRPr="00C32887">
        <w:rPr>
          <w:rFonts w:ascii="Garamond" w:hAnsi="Garamond"/>
          <w:sz w:val="24"/>
          <w:szCs w:val="24"/>
        </w:rPr>
        <w:t xml:space="preserve"> </w:t>
      </w:r>
      <w:r w:rsidR="00E414FE">
        <w:rPr>
          <w:rFonts w:ascii="Garamond" w:hAnsi="Garamond"/>
          <w:sz w:val="24"/>
          <w:szCs w:val="24"/>
        </w:rPr>
        <w:t>satisfaction survey</w:t>
      </w:r>
      <w:r w:rsidR="00C13A74">
        <w:rPr>
          <w:rFonts w:ascii="Garamond" w:hAnsi="Garamond"/>
          <w:sz w:val="24"/>
          <w:szCs w:val="24"/>
        </w:rPr>
        <w:t>’</w:t>
      </w:r>
      <w:r w:rsidR="00E414FE">
        <w:rPr>
          <w:rFonts w:ascii="Garamond" w:hAnsi="Garamond"/>
          <w:sz w:val="24"/>
          <w:szCs w:val="24"/>
        </w:rPr>
        <w:t xml:space="preserve"> and </w:t>
      </w:r>
      <w:r w:rsidR="00C13A74">
        <w:rPr>
          <w:rFonts w:ascii="Garamond" w:hAnsi="Garamond"/>
          <w:sz w:val="24"/>
          <w:szCs w:val="24"/>
        </w:rPr>
        <w:t>‘</w:t>
      </w:r>
      <w:r w:rsidR="004D1343" w:rsidRPr="00C32887">
        <w:rPr>
          <w:rFonts w:ascii="Garamond" w:hAnsi="Garamond"/>
          <w:sz w:val="24"/>
          <w:szCs w:val="24"/>
        </w:rPr>
        <w:t>satisfaction survey of employees in the Tax Admini</w:t>
      </w:r>
      <w:r w:rsidR="00E414FE">
        <w:rPr>
          <w:rFonts w:ascii="Garamond" w:hAnsi="Garamond"/>
          <w:sz w:val="24"/>
          <w:szCs w:val="24"/>
        </w:rPr>
        <w:t>stration of Montenegro</w:t>
      </w:r>
      <w:r w:rsidR="00C13A74">
        <w:rPr>
          <w:rFonts w:ascii="Garamond" w:hAnsi="Garamond"/>
          <w:sz w:val="24"/>
          <w:szCs w:val="24"/>
        </w:rPr>
        <w:t>’</w:t>
      </w:r>
      <w:r w:rsidR="004D1343" w:rsidRPr="00C32887">
        <w:rPr>
          <w:rFonts w:ascii="Garamond" w:hAnsi="Garamond"/>
          <w:sz w:val="24"/>
          <w:szCs w:val="24"/>
        </w:rPr>
        <w:t xml:space="preserve">. In order to monitor </w:t>
      </w:r>
      <w:r w:rsidR="00380805">
        <w:rPr>
          <w:rFonts w:ascii="Garamond" w:hAnsi="Garamond"/>
          <w:sz w:val="24"/>
          <w:szCs w:val="24"/>
        </w:rPr>
        <w:t>a</w:t>
      </w:r>
      <w:r w:rsidR="004D1343" w:rsidRPr="00C32887">
        <w:rPr>
          <w:rFonts w:ascii="Garamond" w:hAnsi="Garamond"/>
          <w:sz w:val="24"/>
          <w:szCs w:val="24"/>
        </w:rPr>
        <w:t xml:space="preserve"> set </w:t>
      </w:r>
      <w:r w:rsidR="000C0EDD">
        <w:rPr>
          <w:rFonts w:ascii="Garamond" w:hAnsi="Garamond"/>
          <w:sz w:val="24"/>
          <w:szCs w:val="24"/>
        </w:rPr>
        <w:t xml:space="preserve">of </w:t>
      </w:r>
      <w:r w:rsidR="004D1343" w:rsidRPr="00C32887">
        <w:rPr>
          <w:rFonts w:ascii="Garamond" w:hAnsi="Garamond"/>
          <w:sz w:val="24"/>
          <w:szCs w:val="24"/>
        </w:rPr>
        <w:t xml:space="preserve">indicators </w:t>
      </w:r>
      <w:r w:rsidR="00380805">
        <w:rPr>
          <w:rFonts w:ascii="Garamond" w:hAnsi="Garamond"/>
          <w:sz w:val="24"/>
          <w:szCs w:val="24"/>
        </w:rPr>
        <w:t>concerning the</w:t>
      </w:r>
      <w:r w:rsidR="004D1343" w:rsidRPr="00C32887">
        <w:rPr>
          <w:rFonts w:ascii="Garamond" w:hAnsi="Garamond"/>
          <w:sz w:val="24"/>
          <w:szCs w:val="24"/>
        </w:rPr>
        <w:t xml:space="preserve"> success of the project, the beginning of a new round of </w:t>
      </w:r>
      <w:r w:rsidR="00276988">
        <w:rPr>
          <w:rFonts w:ascii="Garamond" w:hAnsi="Garamond"/>
          <w:sz w:val="24"/>
          <w:szCs w:val="24"/>
        </w:rPr>
        <w:t>survey</w:t>
      </w:r>
      <w:r w:rsidR="004D1343" w:rsidRPr="00C32887">
        <w:rPr>
          <w:rFonts w:ascii="Garamond" w:hAnsi="Garamond"/>
          <w:sz w:val="24"/>
          <w:szCs w:val="24"/>
        </w:rPr>
        <w:t xml:space="preserve"> </w:t>
      </w:r>
      <w:r w:rsidR="00380805">
        <w:rPr>
          <w:rFonts w:ascii="Garamond" w:hAnsi="Garamond"/>
          <w:sz w:val="24"/>
          <w:szCs w:val="24"/>
        </w:rPr>
        <w:t>is planned, which will be realis</w:t>
      </w:r>
      <w:r w:rsidR="004D1343" w:rsidRPr="00C32887">
        <w:rPr>
          <w:rFonts w:ascii="Garamond" w:hAnsi="Garamond"/>
          <w:sz w:val="24"/>
          <w:szCs w:val="24"/>
        </w:rPr>
        <w:t>ed annually until the end of the project.</w:t>
      </w:r>
    </w:p>
    <w:p w:rsidR="004D1343" w:rsidRPr="00C32887" w:rsidRDefault="004D1343" w:rsidP="004D1343">
      <w:pPr>
        <w:rPr>
          <w:rFonts w:ascii="Garamond" w:hAnsi="Garamond"/>
          <w:sz w:val="24"/>
          <w:szCs w:val="24"/>
        </w:rPr>
      </w:pPr>
    </w:p>
    <w:p w:rsidR="004D1343" w:rsidRPr="00C32887" w:rsidRDefault="00380805" w:rsidP="00E414FE">
      <w:pPr>
        <w:jc w:val="both"/>
        <w:rPr>
          <w:rFonts w:ascii="Garamond" w:hAnsi="Garamond"/>
          <w:sz w:val="24"/>
          <w:szCs w:val="24"/>
        </w:rPr>
      </w:pPr>
      <w:r>
        <w:rPr>
          <w:rFonts w:ascii="Garamond" w:hAnsi="Garamond"/>
          <w:sz w:val="24"/>
          <w:szCs w:val="24"/>
        </w:rPr>
        <w:t>Under the 4</w:t>
      </w:r>
      <w:r w:rsidRPr="00380805">
        <w:rPr>
          <w:rFonts w:ascii="Garamond" w:hAnsi="Garamond"/>
          <w:sz w:val="24"/>
          <w:szCs w:val="24"/>
          <w:vertAlign w:val="superscript"/>
        </w:rPr>
        <w:t>th</w:t>
      </w:r>
      <w:r w:rsidR="004D1343" w:rsidRPr="00C32887">
        <w:rPr>
          <w:rFonts w:ascii="Garamond" w:hAnsi="Garamond"/>
          <w:sz w:val="24"/>
          <w:szCs w:val="24"/>
        </w:rPr>
        <w:t xml:space="preserve"> Component</w:t>
      </w:r>
      <w:r w:rsidR="00276988">
        <w:rPr>
          <w:rFonts w:ascii="Garamond" w:hAnsi="Garamond"/>
          <w:sz w:val="24"/>
          <w:szCs w:val="24"/>
        </w:rPr>
        <w:t>– EFI</w:t>
      </w:r>
      <w:r w:rsidR="004D1343" w:rsidRPr="00C32887">
        <w:rPr>
          <w:rFonts w:ascii="Garamond" w:hAnsi="Garamond"/>
          <w:sz w:val="24"/>
          <w:szCs w:val="24"/>
        </w:rPr>
        <w:t xml:space="preserve">, the agreement </w:t>
      </w:r>
      <w:r w:rsidR="00E414FE">
        <w:rPr>
          <w:rFonts w:ascii="Garamond" w:hAnsi="Garamond"/>
          <w:sz w:val="24"/>
          <w:szCs w:val="24"/>
        </w:rPr>
        <w:t xml:space="preserve">was </w:t>
      </w:r>
      <w:r w:rsidR="00E414FE" w:rsidRPr="00C32887">
        <w:rPr>
          <w:rFonts w:ascii="Garamond" w:hAnsi="Garamond"/>
          <w:sz w:val="24"/>
          <w:szCs w:val="24"/>
        </w:rPr>
        <w:t xml:space="preserve">concluded </w:t>
      </w:r>
      <w:r w:rsidR="004D1343" w:rsidRPr="00C32887">
        <w:rPr>
          <w:rFonts w:ascii="Garamond" w:hAnsi="Garamond"/>
          <w:sz w:val="24"/>
          <w:szCs w:val="24"/>
        </w:rPr>
        <w:t>on implementation of the e-fiscali</w:t>
      </w:r>
      <w:r w:rsidR="00F254DD">
        <w:rPr>
          <w:rFonts w:ascii="Garamond" w:hAnsi="Garamond"/>
          <w:sz w:val="24"/>
          <w:szCs w:val="24"/>
        </w:rPr>
        <w:t>sation</w:t>
      </w:r>
      <w:r w:rsidR="00E414FE">
        <w:rPr>
          <w:rFonts w:ascii="Garamond" w:hAnsi="Garamond"/>
          <w:sz w:val="24"/>
          <w:szCs w:val="24"/>
        </w:rPr>
        <w:t xml:space="preserve"> project with the consulting firm OSA-</w:t>
      </w:r>
      <w:r w:rsidR="004D1343" w:rsidRPr="00C32887">
        <w:rPr>
          <w:rFonts w:ascii="Garamond" w:hAnsi="Garamond"/>
          <w:sz w:val="24"/>
          <w:szCs w:val="24"/>
        </w:rPr>
        <w:t xml:space="preserve">NEOS in July, 2020. The </w:t>
      </w:r>
      <w:r w:rsidR="00E414FE">
        <w:rPr>
          <w:rFonts w:ascii="Garamond" w:hAnsi="Garamond"/>
          <w:sz w:val="24"/>
          <w:szCs w:val="24"/>
        </w:rPr>
        <w:t>Terms of Reference</w:t>
      </w:r>
      <w:r w:rsidR="004D1343" w:rsidRPr="00C32887">
        <w:rPr>
          <w:rFonts w:ascii="Garamond" w:hAnsi="Garamond"/>
          <w:sz w:val="24"/>
          <w:szCs w:val="24"/>
        </w:rPr>
        <w:t>, the Project Charter have been prepared and adopted</w:t>
      </w:r>
      <w:r w:rsidR="00276988">
        <w:rPr>
          <w:rFonts w:ascii="Garamond" w:hAnsi="Garamond"/>
          <w:sz w:val="24"/>
          <w:szCs w:val="24"/>
        </w:rPr>
        <w:t>,</w:t>
      </w:r>
      <w:r w:rsidR="004D1343" w:rsidRPr="00C32887">
        <w:rPr>
          <w:rFonts w:ascii="Garamond" w:hAnsi="Garamond"/>
          <w:sz w:val="24"/>
          <w:szCs w:val="24"/>
        </w:rPr>
        <w:t xml:space="preserve"> and the implementation has started in accordance with </w:t>
      </w:r>
      <w:r w:rsidR="00276988">
        <w:rPr>
          <w:rFonts w:ascii="Garamond" w:hAnsi="Garamond"/>
          <w:sz w:val="24"/>
          <w:szCs w:val="24"/>
        </w:rPr>
        <w:t>them</w:t>
      </w:r>
      <w:r w:rsidR="004D1343" w:rsidRPr="00C32887">
        <w:rPr>
          <w:rFonts w:ascii="Garamond" w:hAnsi="Garamond"/>
          <w:sz w:val="24"/>
          <w:szCs w:val="24"/>
        </w:rPr>
        <w:t xml:space="preserve">. </w:t>
      </w:r>
      <w:r w:rsidR="00E414FE" w:rsidRPr="00C32887">
        <w:rPr>
          <w:rFonts w:ascii="Garamond" w:hAnsi="Garamond"/>
          <w:sz w:val="24"/>
          <w:szCs w:val="24"/>
        </w:rPr>
        <w:t xml:space="preserve">The </w:t>
      </w:r>
      <w:r w:rsidR="004D1343" w:rsidRPr="00C32887">
        <w:rPr>
          <w:rFonts w:ascii="Garamond" w:hAnsi="Garamond"/>
          <w:sz w:val="24"/>
          <w:szCs w:val="24"/>
        </w:rPr>
        <w:t xml:space="preserve">phase of the project that allows EFI system from 01 January 2021 to be available 100% of the time for cash and </w:t>
      </w:r>
      <w:r w:rsidR="00E414FE">
        <w:rPr>
          <w:rFonts w:ascii="Garamond" w:hAnsi="Garamond"/>
          <w:sz w:val="24"/>
          <w:szCs w:val="24"/>
        </w:rPr>
        <w:t>cashless</w:t>
      </w:r>
      <w:r w:rsidR="004D1343" w:rsidRPr="00C32887">
        <w:rPr>
          <w:rFonts w:ascii="Garamond" w:hAnsi="Garamond"/>
          <w:sz w:val="24"/>
          <w:szCs w:val="24"/>
        </w:rPr>
        <w:t xml:space="preserve"> </w:t>
      </w:r>
      <w:proofErr w:type="gramStart"/>
      <w:r w:rsidR="004D1343" w:rsidRPr="00C32887">
        <w:rPr>
          <w:rFonts w:ascii="Garamond" w:hAnsi="Garamond"/>
          <w:sz w:val="24"/>
          <w:szCs w:val="24"/>
        </w:rPr>
        <w:t>transactions</w:t>
      </w:r>
      <w:r>
        <w:rPr>
          <w:rFonts w:ascii="Garamond" w:hAnsi="Garamond"/>
          <w:sz w:val="24"/>
          <w:szCs w:val="24"/>
        </w:rPr>
        <w:t>,</w:t>
      </w:r>
      <w:proofErr w:type="gramEnd"/>
      <w:r w:rsidR="00E414FE">
        <w:rPr>
          <w:rFonts w:ascii="Garamond" w:hAnsi="Garamond"/>
          <w:sz w:val="24"/>
          <w:szCs w:val="24"/>
        </w:rPr>
        <w:t xml:space="preserve"> was also completed</w:t>
      </w:r>
      <w:r w:rsidR="004D1343" w:rsidRPr="00C32887">
        <w:rPr>
          <w:rFonts w:ascii="Garamond" w:hAnsi="Garamond"/>
          <w:sz w:val="24"/>
          <w:szCs w:val="24"/>
        </w:rPr>
        <w:t xml:space="preserve">. On December 29, 2020, the Parliament of Montenegro </w:t>
      </w:r>
      <w:r>
        <w:rPr>
          <w:rFonts w:ascii="Garamond" w:hAnsi="Garamond"/>
          <w:sz w:val="24"/>
          <w:szCs w:val="24"/>
        </w:rPr>
        <w:t>passed</w:t>
      </w:r>
      <w:r w:rsidR="004D1343" w:rsidRPr="00C32887">
        <w:rPr>
          <w:rFonts w:ascii="Garamond" w:hAnsi="Garamond"/>
          <w:sz w:val="24"/>
          <w:szCs w:val="24"/>
        </w:rPr>
        <w:t xml:space="preserve"> the Law on </w:t>
      </w:r>
      <w:r w:rsidR="00276988">
        <w:rPr>
          <w:rFonts w:ascii="Garamond" w:hAnsi="Garamond"/>
          <w:sz w:val="24"/>
          <w:szCs w:val="24"/>
        </w:rPr>
        <w:t xml:space="preserve">Amendments to the Law on Fiscal Invoicing </w:t>
      </w:r>
      <w:r w:rsidR="004D1343" w:rsidRPr="00C32887">
        <w:rPr>
          <w:rFonts w:ascii="Garamond" w:hAnsi="Garamond"/>
          <w:sz w:val="24"/>
          <w:szCs w:val="24"/>
        </w:rPr>
        <w:t>in Tr</w:t>
      </w:r>
      <w:r w:rsidR="00E414FE">
        <w:rPr>
          <w:rFonts w:ascii="Garamond" w:hAnsi="Garamond"/>
          <w:sz w:val="24"/>
          <w:szCs w:val="24"/>
        </w:rPr>
        <w:t>ade in Products and Services (Official Gazette of Montenegro, No. 08/21)</w:t>
      </w:r>
      <w:proofErr w:type="gramStart"/>
      <w:r w:rsidR="004D1343" w:rsidRPr="00C32887">
        <w:rPr>
          <w:rFonts w:ascii="Garamond" w:hAnsi="Garamond"/>
          <w:sz w:val="24"/>
          <w:szCs w:val="24"/>
        </w:rPr>
        <w:t>,</w:t>
      </w:r>
      <w:proofErr w:type="gramEnd"/>
      <w:r w:rsidR="004D1343" w:rsidRPr="00C32887">
        <w:rPr>
          <w:rFonts w:ascii="Garamond" w:hAnsi="Garamond"/>
          <w:sz w:val="24"/>
          <w:szCs w:val="24"/>
        </w:rPr>
        <w:t xml:space="preserve"> in order to adjust taxpayers to the new system of recording trade </w:t>
      </w:r>
      <w:r w:rsidR="00895EBB">
        <w:rPr>
          <w:rFonts w:ascii="Garamond" w:hAnsi="Garamond"/>
          <w:sz w:val="24"/>
          <w:szCs w:val="24"/>
        </w:rPr>
        <w:t xml:space="preserve">in </w:t>
      </w:r>
      <w:r w:rsidR="004D1343" w:rsidRPr="00C32887">
        <w:rPr>
          <w:rFonts w:ascii="Garamond" w:hAnsi="Garamond"/>
          <w:sz w:val="24"/>
          <w:szCs w:val="24"/>
        </w:rPr>
        <w:t>products and services via electronic toll booths. The process</w:t>
      </w:r>
      <w:r>
        <w:rPr>
          <w:rFonts w:ascii="Garamond" w:hAnsi="Garamond"/>
          <w:sz w:val="24"/>
          <w:szCs w:val="24"/>
        </w:rPr>
        <w:t xml:space="preserve"> of implementation of this Law</w:t>
      </w:r>
      <w:r w:rsidR="004D1343" w:rsidRPr="00C32887">
        <w:rPr>
          <w:rFonts w:ascii="Garamond" w:hAnsi="Garamond"/>
          <w:sz w:val="24"/>
          <w:szCs w:val="24"/>
        </w:rPr>
        <w:t xml:space="preserve">, as indicated by a large number of entrepreneurs, is further complicated by the situation caused by the COVID </w:t>
      </w:r>
      <w:r>
        <w:rPr>
          <w:rFonts w:ascii="Garamond" w:hAnsi="Garamond"/>
          <w:sz w:val="24"/>
          <w:szCs w:val="24"/>
        </w:rPr>
        <w:t>–</w:t>
      </w:r>
      <w:r w:rsidR="004D1343" w:rsidRPr="00C32887">
        <w:rPr>
          <w:rFonts w:ascii="Garamond" w:hAnsi="Garamond"/>
          <w:sz w:val="24"/>
          <w:szCs w:val="24"/>
        </w:rPr>
        <w:t xml:space="preserve"> 19</w:t>
      </w:r>
      <w:r>
        <w:rPr>
          <w:rFonts w:ascii="Garamond" w:hAnsi="Garamond"/>
          <w:sz w:val="24"/>
          <w:szCs w:val="24"/>
        </w:rPr>
        <w:t xml:space="preserve"> </w:t>
      </w:r>
      <w:proofErr w:type="gramStart"/>
      <w:r>
        <w:rPr>
          <w:rFonts w:ascii="Garamond" w:hAnsi="Garamond"/>
          <w:sz w:val="24"/>
          <w:szCs w:val="24"/>
        </w:rPr>
        <w:t>outbreak</w:t>
      </w:r>
      <w:proofErr w:type="gramEnd"/>
      <w:r w:rsidR="004D1343" w:rsidRPr="00C32887">
        <w:rPr>
          <w:rFonts w:ascii="Garamond" w:hAnsi="Garamond"/>
          <w:sz w:val="24"/>
          <w:szCs w:val="24"/>
        </w:rPr>
        <w:t xml:space="preserve">, which led to a decrease in economic activity of economic entities. Due to all the above, as well as taking into account the needs of the business community, this </w:t>
      </w:r>
      <w:r>
        <w:rPr>
          <w:rFonts w:ascii="Garamond" w:hAnsi="Garamond"/>
          <w:sz w:val="24"/>
          <w:szCs w:val="24"/>
        </w:rPr>
        <w:t>Law provided</w:t>
      </w:r>
      <w:r w:rsidR="004D1343" w:rsidRPr="00C32887">
        <w:rPr>
          <w:rFonts w:ascii="Garamond" w:hAnsi="Garamond"/>
          <w:sz w:val="24"/>
          <w:szCs w:val="24"/>
        </w:rPr>
        <w:t xml:space="preserve"> the possibility of a transitional period, until June 1, 2021, to establis</w:t>
      </w:r>
      <w:r w:rsidR="00E85DB5">
        <w:rPr>
          <w:rFonts w:ascii="Garamond" w:hAnsi="Garamond"/>
          <w:sz w:val="24"/>
          <w:szCs w:val="24"/>
        </w:rPr>
        <w:t>h a system of electronic fiscal invoicing i</w:t>
      </w:r>
      <w:r w:rsidR="004D1343" w:rsidRPr="00C32887">
        <w:rPr>
          <w:rFonts w:ascii="Garamond" w:hAnsi="Garamond"/>
          <w:sz w:val="24"/>
          <w:szCs w:val="24"/>
        </w:rPr>
        <w:t xml:space="preserve">n </w:t>
      </w:r>
      <w:r w:rsidR="00895EBB">
        <w:rPr>
          <w:rFonts w:ascii="Garamond" w:hAnsi="Garamond"/>
          <w:sz w:val="24"/>
          <w:szCs w:val="24"/>
        </w:rPr>
        <w:t>real time (online). Accordingly</w:t>
      </w:r>
      <w:r w:rsidR="004D1343" w:rsidRPr="00C32887">
        <w:rPr>
          <w:rFonts w:ascii="Garamond" w:hAnsi="Garamond"/>
          <w:sz w:val="24"/>
          <w:szCs w:val="24"/>
        </w:rPr>
        <w:t>, taxpayers i</w:t>
      </w:r>
      <w:r w:rsidR="00E85DB5">
        <w:rPr>
          <w:rFonts w:ascii="Garamond" w:hAnsi="Garamond"/>
          <w:sz w:val="24"/>
          <w:szCs w:val="24"/>
        </w:rPr>
        <w:t>n the first five months of 2021</w:t>
      </w:r>
      <w:r w:rsidR="004D1343" w:rsidRPr="00C32887">
        <w:rPr>
          <w:rFonts w:ascii="Garamond" w:hAnsi="Garamond"/>
          <w:sz w:val="24"/>
          <w:szCs w:val="24"/>
        </w:rPr>
        <w:t xml:space="preserve"> </w:t>
      </w:r>
      <w:r w:rsidR="00895EBB">
        <w:rPr>
          <w:rFonts w:ascii="Garamond" w:hAnsi="Garamond"/>
          <w:sz w:val="24"/>
          <w:szCs w:val="24"/>
        </w:rPr>
        <w:t>had</w:t>
      </w:r>
      <w:r w:rsidR="004D1343" w:rsidRPr="00C32887">
        <w:rPr>
          <w:rFonts w:ascii="Garamond" w:hAnsi="Garamond"/>
          <w:sz w:val="24"/>
          <w:szCs w:val="24"/>
        </w:rPr>
        <w:t xml:space="preserve"> a choice of methods </w:t>
      </w:r>
      <w:r w:rsidR="00E85DB5">
        <w:rPr>
          <w:rFonts w:ascii="Garamond" w:hAnsi="Garamond"/>
          <w:sz w:val="24"/>
          <w:szCs w:val="24"/>
        </w:rPr>
        <w:t>to record</w:t>
      </w:r>
      <w:r w:rsidR="00895EBB">
        <w:rPr>
          <w:rFonts w:ascii="Garamond" w:hAnsi="Garamond"/>
          <w:sz w:val="24"/>
          <w:szCs w:val="24"/>
        </w:rPr>
        <w:t xml:space="preserve"> trade in </w:t>
      </w:r>
      <w:r w:rsidR="004D1343" w:rsidRPr="00C32887">
        <w:rPr>
          <w:rFonts w:ascii="Garamond" w:hAnsi="Garamond"/>
          <w:sz w:val="24"/>
          <w:szCs w:val="24"/>
        </w:rPr>
        <w:t>goods and services, with the obligation to introduce th</w:t>
      </w:r>
      <w:r w:rsidR="00895EBB">
        <w:rPr>
          <w:rFonts w:ascii="Garamond" w:hAnsi="Garamond"/>
          <w:sz w:val="24"/>
          <w:szCs w:val="24"/>
        </w:rPr>
        <w:t>e application of the on</w:t>
      </w:r>
      <w:r w:rsidR="00E85DB5">
        <w:rPr>
          <w:rFonts w:ascii="Garamond" w:hAnsi="Garamond"/>
          <w:sz w:val="24"/>
          <w:szCs w:val="24"/>
        </w:rPr>
        <w:t xml:space="preserve">line </w:t>
      </w:r>
      <w:r w:rsidR="00E85DB5" w:rsidRPr="00C32887">
        <w:rPr>
          <w:rFonts w:ascii="Garamond" w:hAnsi="Garamond"/>
          <w:sz w:val="24"/>
          <w:szCs w:val="24"/>
        </w:rPr>
        <w:t>real time</w:t>
      </w:r>
      <w:r w:rsidR="00E85DB5">
        <w:rPr>
          <w:rFonts w:ascii="Garamond" w:hAnsi="Garamond"/>
          <w:sz w:val="24"/>
          <w:szCs w:val="24"/>
        </w:rPr>
        <w:t xml:space="preserve"> fiscal invoicing s</w:t>
      </w:r>
      <w:r w:rsidR="00895EBB">
        <w:rPr>
          <w:rFonts w:ascii="Garamond" w:hAnsi="Garamond"/>
          <w:sz w:val="24"/>
          <w:szCs w:val="24"/>
        </w:rPr>
        <w:t xml:space="preserve">ystem </w:t>
      </w:r>
      <w:r w:rsidR="004D1343" w:rsidRPr="00C32887">
        <w:rPr>
          <w:rFonts w:ascii="Garamond" w:hAnsi="Garamond"/>
          <w:sz w:val="24"/>
          <w:szCs w:val="24"/>
        </w:rPr>
        <w:t xml:space="preserve">from June 1, 2021, </w:t>
      </w:r>
      <w:r>
        <w:rPr>
          <w:rFonts w:ascii="Garamond" w:hAnsi="Garamond"/>
          <w:sz w:val="24"/>
          <w:szCs w:val="24"/>
        </w:rPr>
        <w:t>by</w:t>
      </w:r>
      <w:r w:rsidR="004D1343" w:rsidRPr="00C32887">
        <w:rPr>
          <w:rFonts w:ascii="Garamond" w:hAnsi="Garamond"/>
          <w:sz w:val="24"/>
          <w:szCs w:val="24"/>
        </w:rPr>
        <w:t xml:space="preserve"> all taxpayers in accordance with </w:t>
      </w:r>
      <w:r w:rsidR="00895EBB">
        <w:rPr>
          <w:rFonts w:ascii="Garamond" w:hAnsi="Garamond"/>
          <w:sz w:val="24"/>
          <w:szCs w:val="24"/>
        </w:rPr>
        <w:t>the</w:t>
      </w:r>
      <w:r w:rsidR="004D1343" w:rsidRPr="00C32887">
        <w:rPr>
          <w:rFonts w:ascii="Garamond" w:hAnsi="Garamond"/>
          <w:sz w:val="24"/>
          <w:szCs w:val="24"/>
        </w:rPr>
        <w:t xml:space="preserve"> law.</w:t>
      </w:r>
    </w:p>
    <w:p w:rsidR="004D1343" w:rsidRPr="00C32887" w:rsidRDefault="004D1343" w:rsidP="004D1343">
      <w:pPr>
        <w:rPr>
          <w:rFonts w:ascii="Garamond" w:hAnsi="Garamond"/>
          <w:sz w:val="24"/>
          <w:szCs w:val="24"/>
        </w:rPr>
      </w:pPr>
    </w:p>
    <w:p w:rsidR="004D1343" w:rsidRPr="00C32887" w:rsidRDefault="00E85DB5" w:rsidP="00895EBB">
      <w:pPr>
        <w:jc w:val="both"/>
        <w:rPr>
          <w:rFonts w:ascii="Garamond" w:hAnsi="Garamond"/>
          <w:sz w:val="24"/>
          <w:szCs w:val="24"/>
        </w:rPr>
      </w:pPr>
      <w:r>
        <w:rPr>
          <w:rFonts w:ascii="Garamond" w:hAnsi="Garamond"/>
          <w:sz w:val="24"/>
          <w:szCs w:val="24"/>
        </w:rPr>
        <w:t>Under</w:t>
      </w:r>
      <w:r w:rsidR="004D1343" w:rsidRPr="00C32887">
        <w:rPr>
          <w:rFonts w:ascii="Garamond" w:hAnsi="Garamond"/>
          <w:sz w:val="24"/>
          <w:szCs w:val="24"/>
        </w:rPr>
        <w:t xml:space="preserve"> the project financed by the European Com</w:t>
      </w:r>
      <w:r>
        <w:rPr>
          <w:rFonts w:ascii="Garamond" w:hAnsi="Garamond"/>
          <w:sz w:val="24"/>
          <w:szCs w:val="24"/>
        </w:rPr>
        <w:t xml:space="preserve">mission - Multi-beneficiary IPA, </w:t>
      </w:r>
      <w:r w:rsidR="004D1343" w:rsidRPr="00C32887">
        <w:rPr>
          <w:rFonts w:ascii="Garamond" w:hAnsi="Garamond"/>
          <w:sz w:val="24"/>
          <w:szCs w:val="24"/>
        </w:rPr>
        <w:t xml:space="preserve">implemented by </w:t>
      </w:r>
      <w:r>
        <w:rPr>
          <w:rFonts w:ascii="Garamond" w:hAnsi="Garamond"/>
          <w:sz w:val="24"/>
          <w:szCs w:val="24"/>
        </w:rPr>
        <w:t xml:space="preserve">the </w:t>
      </w:r>
      <w:r w:rsidR="004D1343" w:rsidRPr="00C32887">
        <w:rPr>
          <w:rFonts w:ascii="Garamond" w:hAnsi="Garamond"/>
          <w:sz w:val="24"/>
          <w:szCs w:val="24"/>
        </w:rPr>
        <w:t xml:space="preserve">consultants of the International Monetary Fund, </w:t>
      </w:r>
      <w:r w:rsidR="00380805">
        <w:rPr>
          <w:rFonts w:ascii="Garamond" w:hAnsi="Garamond"/>
          <w:sz w:val="24"/>
          <w:szCs w:val="24"/>
        </w:rPr>
        <w:t>relating</w:t>
      </w:r>
      <w:r w:rsidR="004D1343" w:rsidRPr="00C32887">
        <w:rPr>
          <w:rFonts w:ascii="Garamond" w:hAnsi="Garamond"/>
          <w:sz w:val="24"/>
          <w:szCs w:val="24"/>
        </w:rPr>
        <w:t xml:space="preserve"> to </w:t>
      </w:r>
      <w:r w:rsidR="00380805">
        <w:rPr>
          <w:rFonts w:ascii="Garamond" w:hAnsi="Garamond"/>
          <w:sz w:val="24"/>
          <w:szCs w:val="24"/>
        </w:rPr>
        <w:t xml:space="preserve">the </w:t>
      </w:r>
      <w:r w:rsidR="004D1343" w:rsidRPr="00C32887">
        <w:rPr>
          <w:rFonts w:ascii="Garamond" w:hAnsi="Garamond"/>
          <w:sz w:val="24"/>
          <w:szCs w:val="24"/>
        </w:rPr>
        <w:t>strengthening</w:t>
      </w:r>
      <w:r w:rsidR="00380805">
        <w:rPr>
          <w:rFonts w:ascii="Garamond" w:hAnsi="Garamond"/>
          <w:sz w:val="24"/>
          <w:szCs w:val="24"/>
        </w:rPr>
        <w:t xml:space="preserve">of </w:t>
      </w:r>
      <w:r w:rsidR="004D1343" w:rsidRPr="00C32887">
        <w:rPr>
          <w:rFonts w:ascii="Garamond" w:hAnsi="Garamond"/>
          <w:sz w:val="24"/>
          <w:szCs w:val="24"/>
        </w:rPr>
        <w:t xml:space="preserve">administrative capacity, in </w:t>
      </w:r>
      <w:r w:rsidR="00380805">
        <w:rPr>
          <w:rFonts w:ascii="Garamond" w:hAnsi="Garamond"/>
          <w:sz w:val="24"/>
          <w:szCs w:val="24"/>
        </w:rPr>
        <w:t>H1</w:t>
      </w:r>
      <w:r w:rsidR="004D1343" w:rsidRPr="00C32887">
        <w:rPr>
          <w:rFonts w:ascii="Garamond" w:hAnsi="Garamond"/>
          <w:sz w:val="24"/>
          <w:szCs w:val="24"/>
        </w:rPr>
        <w:t xml:space="preserve"> 2020, online workshops were held on the following topics: Large </w:t>
      </w:r>
      <w:r w:rsidR="00380805" w:rsidRPr="00C32887">
        <w:rPr>
          <w:rFonts w:ascii="Garamond" w:hAnsi="Garamond"/>
          <w:sz w:val="24"/>
          <w:szCs w:val="24"/>
        </w:rPr>
        <w:t>Taxpayers</w:t>
      </w:r>
      <w:r w:rsidR="004D1343" w:rsidRPr="00C32887">
        <w:rPr>
          <w:rFonts w:ascii="Garamond" w:hAnsi="Garamond"/>
          <w:sz w:val="24"/>
          <w:szCs w:val="24"/>
        </w:rPr>
        <w:t xml:space="preserve">; Tax </w:t>
      </w:r>
      <w:r w:rsidR="00380805" w:rsidRPr="00C32887">
        <w:rPr>
          <w:rFonts w:ascii="Garamond" w:hAnsi="Garamond"/>
          <w:sz w:val="24"/>
          <w:szCs w:val="24"/>
        </w:rPr>
        <w:t>Control</w:t>
      </w:r>
      <w:r w:rsidR="004D1343" w:rsidRPr="00C32887">
        <w:rPr>
          <w:rFonts w:ascii="Garamond" w:hAnsi="Garamond"/>
          <w:sz w:val="24"/>
          <w:szCs w:val="24"/>
        </w:rPr>
        <w:t xml:space="preserve">; as well as VAT </w:t>
      </w:r>
      <w:r w:rsidR="00380805" w:rsidRPr="00C32887">
        <w:rPr>
          <w:rFonts w:ascii="Garamond" w:hAnsi="Garamond"/>
          <w:sz w:val="24"/>
          <w:szCs w:val="24"/>
        </w:rPr>
        <w:t>Refund.</w:t>
      </w:r>
    </w:p>
    <w:p w:rsidR="004D1343" w:rsidRPr="00C32887" w:rsidRDefault="004D1343" w:rsidP="004D1343">
      <w:pPr>
        <w:rPr>
          <w:rFonts w:ascii="Garamond" w:hAnsi="Garamond"/>
          <w:sz w:val="24"/>
          <w:szCs w:val="24"/>
        </w:rPr>
      </w:pPr>
    </w:p>
    <w:p w:rsidR="00895EBB" w:rsidRDefault="00895EBB" w:rsidP="00E85DB5">
      <w:pPr>
        <w:jc w:val="both"/>
        <w:rPr>
          <w:rFonts w:ascii="Garamond" w:hAnsi="Garamond"/>
          <w:sz w:val="24"/>
          <w:szCs w:val="24"/>
        </w:rPr>
      </w:pPr>
      <w:r>
        <w:rPr>
          <w:rFonts w:ascii="Garamond" w:hAnsi="Garamond"/>
          <w:sz w:val="24"/>
          <w:szCs w:val="24"/>
        </w:rPr>
        <w:t>In February 2020</w:t>
      </w:r>
      <w:r w:rsidR="004D1343" w:rsidRPr="00C32887">
        <w:rPr>
          <w:rFonts w:ascii="Garamond" w:hAnsi="Garamond"/>
          <w:sz w:val="24"/>
          <w:szCs w:val="24"/>
        </w:rPr>
        <w:t xml:space="preserve">, the annual IMF Mission was implemented, which monitors the implementation of recommendations from the previous year, with guidelines and recommendations for next year. Based on the recommendations through the Action Plan, the quarterly implementation of the recommendations based on the </w:t>
      </w:r>
      <w:r w:rsidR="00E85DB5" w:rsidRPr="00C32887">
        <w:rPr>
          <w:rFonts w:ascii="Garamond" w:hAnsi="Garamond"/>
          <w:sz w:val="24"/>
          <w:szCs w:val="24"/>
        </w:rPr>
        <w:t xml:space="preserve">Missions </w:t>
      </w:r>
      <w:r w:rsidR="004D1343" w:rsidRPr="00C32887">
        <w:rPr>
          <w:rFonts w:ascii="Garamond" w:hAnsi="Garamond"/>
          <w:sz w:val="24"/>
          <w:szCs w:val="24"/>
        </w:rPr>
        <w:t>reports is monitored.</w:t>
      </w:r>
    </w:p>
    <w:p w:rsidR="00895EBB" w:rsidRDefault="00895EBB" w:rsidP="004D1343">
      <w:pPr>
        <w:rPr>
          <w:rFonts w:ascii="Garamond" w:hAnsi="Garamond"/>
          <w:sz w:val="24"/>
          <w:szCs w:val="24"/>
        </w:rPr>
        <w:sectPr w:rsidR="00895EBB" w:rsidSect="00A24AAD">
          <w:pgSz w:w="12240" w:h="15840"/>
          <w:pgMar w:top="630" w:right="1440" w:bottom="450" w:left="1440" w:header="720" w:footer="720" w:gutter="0"/>
          <w:cols w:space="720"/>
          <w:docGrid w:linePitch="360"/>
        </w:sectPr>
      </w:pPr>
    </w:p>
    <w:tbl>
      <w:tblPr>
        <w:tblW w:w="5210" w:type="pct"/>
        <w:tblCellMar>
          <w:top w:w="15" w:type="dxa"/>
          <w:left w:w="15" w:type="dxa"/>
          <w:bottom w:w="15" w:type="dxa"/>
          <w:right w:w="15" w:type="dxa"/>
        </w:tblCellMar>
        <w:tblLook w:val="0400"/>
      </w:tblPr>
      <w:tblGrid>
        <w:gridCol w:w="1927"/>
        <w:gridCol w:w="954"/>
        <w:gridCol w:w="1205"/>
        <w:gridCol w:w="1252"/>
        <w:gridCol w:w="1277"/>
        <w:gridCol w:w="1309"/>
        <w:gridCol w:w="1277"/>
        <w:gridCol w:w="1253"/>
        <w:gridCol w:w="1134"/>
        <w:gridCol w:w="1261"/>
        <w:gridCol w:w="703"/>
      </w:tblGrid>
      <w:tr w:rsidR="00895EBB" w:rsidRPr="00ED71A0" w:rsidTr="00F12354">
        <w:trPr>
          <w:trHeight w:val="482"/>
        </w:trPr>
        <w:tc>
          <w:tcPr>
            <w:tcW w:w="714" w:type="pct"/>
            <w:vMerge w:val="restart"/>
            <w:tcBorders>
              <w:top w:val="single" w:sz="18" w:space="0" w:color="000000"/>
              <w:left w:val="single" w:sz="18" w:space="0" w:color="000000"/>
              <w:bottom w:val="single" w:sz="8" w:space="0" w:color="000000"/>
              <w:right w:val="single" w:sz="8" w:space="0" w:color="000000"/>
            </w:tcBorders>
            <w:shd w:val="clear" w:color="auto" w:fill="FFFFFF"/>
            <w:noWrap/>
            <w:vAlign w:val="center"/>
            <w:hideMark/>
          </w:tcPr>
          <w:p w:rsidR="00895EBB" w:rsidRPr="00ED71A0" w:rsidRDefault="00895EBB" w:rsidP="00895EBB">
            <w:pPr>
              <w:widowControl/>
              <w:autoSpaceDE/>
              <w:autoSpaceDN/>
              <w:ind w:left="100" w:right="100"/>
              <w:jc w:val="center"/>
              <w:rPr>
                <w:rFonts w:ascii="Garamond" w:eastAsia="Times New Roman" w:hAnsi="Garamond" w:cs="Calibri"/>
                <w:b/>
                <w:bCs/>
                <w:sz w:val="16"/>
                <w:szCs w:val="16"/>
                <w:lang w:eastAsia="hr-HR" w:bidi="ar-SA"/>
              </w:rPr>
            </w:pPr>
            <w:r w:rsidRPr="00ED71A0">
              <w:rPr>
                <w:rFonts w:ascii="Garamond" w:eastAsia="Times New Roman" w:hAnsi="Garamond" w:cs="Calibri"/>
                <w:b/>
                <w:bCs/>
                <w:sz w:val="16"/>
                <w:szCs w:val="16"/>
                <w:lang w:eastAsia="hr-HR" w:bidi="ar-SA"/>
              </w:rPr>
              <w:t xml:space="preserve">Performance </w:t>
            </w:r>
            <w:r w:rsidR="00481CF4" w:rsidRPr="00ED71A0">
              <w:rPr>
                <w:rFonts w:ascii="Garamond" w:eastAsia="Times New Roman" w:hAnsi="Garamond" w:cs="Calibri"/>
                <w:b/>
                <w:bCs/>
                <w:sz w:val="16"/>
                <w:szCs w:val="16"/>
                <w:lang w:eastAsia="hr-HR" w:bidi="ar-SA"/>
              </w:rPr>
              <w:t xml:space="preserve">Indicator </w:t>
            </w:r>
          </w:p>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p>
        </w:tc>
        <w:tc>
          <w:tcPr>
            <w:tcW w:w="355" w:type="pct"/>
            <w:tcBorders>
              <w:top w:val="single" w:sz="18" w:space="0" w:color="000000"/>
              <w:left w:val="single" w:sz="8" w:space="0" w:color="000000"/>
              <w:bottom w:val="single" w:sz="2"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Planned  2014</w:t>
            </w:r>
          </w:p>
        </w:tc>
        <w:tc>
          <w:tcPr>
            <w:tcW w:w="881" w:type="pct"/>
            <w:gridSpan w:val="2"/>
            <w:tcBorders>
              <w:top w:val="single" w:sz="1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2017</w:t>
            </w:r>
          </w:p>
        </w:tc>
        <w:tc>
          <w:tcPr>
            <w:tcW w:w="960" w:type="pct"/>
            <w:gridSpan w:val="2"/>
            <w:tcBorders>
              <w:top w:val="single" w:sz="1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2018</w:t>
            </w:r>
          </w:p>
        </w:tc>
        <w:tc>
          <w:tcPr>
            <w:tcW w:w="939" w:type="pct"/>
            <w:gridSpan w:val="2"/>
            <w:tcBorders>
              <w:top w:val="single" w:sz="18" w:space="0" w:color="000000"/>
              <w:left w:val="single" w:sz="8" w:space="0" w:color="000000"/>
              <w:bottom w:val="single" w:sz="4" w:space="0" w:color="auto"/>
              <w:right w:val="single" w:sz="12"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b/>
                <w:sz w:val="16"/>
                <w:szCs w:val="16"/>
                <w:lang w:eastAsia="hr-HR" w:bidi="ar-SA"/>
              </w:rPr>
            </w:pPr>
            <w:r w:rsidRPr="00ED71A0">
              <w:rPr>
                <w:rFonts w:ascii="Garamond" w:eastAsia="Times New Roman" w:hAnsi="Garamond" w:cs="Calibri"/>
                <w:b/>
                <w:sz w:val="16"/>
                <w:szCs w:val="16"/>
                <w:lang w:eastAsia="hr-HR" w:bidi="ar-SA"/>
              </w:rPr>
              <w:t>2019</w:t>
            </w:r>
          </w:p>
        </w:tc>
        <w:tc>
          <w:tcPr>
            <w:tcW w:w="888" w:type="pct"/>
            <w:gridSpan w:val="2"/>
            <w:tcBorders>
              <w:top w:val="single" w:sz="18" w:space="0" w:color="000000"/>
              <w:left w:val="single" w:sz="12" w:space="0" w:color="000000"/>
              <w:bottom w:val="single" w:sz="4" w:space="0" w:color="auto"/>
              <w:right w:val="single" w:sz="18"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Times New Roman" w:hAnsi="Garamond" w:cs="Calibri"/>
                <w:b/>
                <w:sz w:val="16"/>
                <w:szCs w:val="16"/>
                <w:lang w:eastAsia="hr-HR" w:bidi="ar-SA"/>
              </w:rPr>
            </w:pPr>
            <w:r w:rsidRPr="00ED71A0">
              <w:rPr>
                <w:rFonts w:ascii="Garamond" w:eastAsia="Times New Roman" w:hAnsi="Garamond" w:cs="Calibri"/>
                <w:b/>
                <w:sz w:val="16"/>
                <w:szCs w:val="16"/>
                <w:lang w:eastAsia="hr-HR" w:bidi="ar-SA"/>
              </w:rPr>
              <w:t>2020</w:t>
            </w:r>
          </w:p>
        </w:tc>
        <w:tc>
          <w:tcPr>
            <w:tcW w:w="263" w:type="pct"/>
            <w:vMerge w:val="restart"/>
            <w:tcBorders>
              <w:top w:val="single" w:sz="18" w:space="0" w:color="000000"/>
              <w:left w:val="single" w:sz="12" w:space="0" w:color="000000"/>
              <w:right w:val="single" w:sz="18"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Times New Roman" w:hAnsi="Garamond" w:cs="Calibri"/>
                <w:b/>
                <w:sz w:val="16"/>
                <w:szCs w:val="16"/>
                <w:lang w:eastAsia="hr-HR" w:bidi="ar-SA"/>
              </w:rPr>
            </w:pPr>
            <w:r w:rsidRPr="00ED71A0">
              <w:rPr>
                <w:rFonts w:ascii="Garamond" w:eastAsia="Times New Roman" w:hAnsi="Garamond" w:cs="Calibri"/>
                <w:b/>
                <w:sz w:val="16"/>
                <w:szCs w:val="16"/>
                <w:lang w:eastAsia="hr-HR" w:bidi="ar-SA"/>
              </w:rPr>
              <w:t>Trend</w:t>
            </w:r>
          </w:p>
        </w:tc>
      </w:tr>
      <w:tr w:rsidR="00895EBB" w:rsidRPr="00ED71A0" w:rsidTr="00F12354">
        <w:trPr>
          <w:trHeight w:val="348"/>
        </w:trPr>
        <w:tc>
          <w:tcPr>
            <w:tcW w:w="714" w:type="pct"/>
            <w:vMerge/>
            <w:tcBorders>
              <w:top w:val="single" w:sz="18" w:space="0" w:color="000000"/>
              <w:left w:val="single" w:sz="18" w:space="0" w:color="000000"/>
              <w:bottom w:val="single" w:sz="8" w:space="0" w:color="000000"/>
              <w:right w:val="single" w:sz="8" w:space="0" w:color="000000"/>
            </w:tcBorders>
            <w:vAlign w:val="center"/>
            <w:hideMark/>
          </w:tcPr>
          <w:p w:rsidR="00895EBB" w:rsidRPr="00ED71A0" w:rsidRDefault="00895EBB" w:rsidP="00895EBB">
            <w:pPr>
              <w:widowControl/>
              <w:autoSpaceDE/>
              <w:autoSpaceDN/>
              <w:jc w:val="center"/>
              <w:rPr>
                <w:rFonts w:ascii="Garamond" w:eastAsia="Times New Roman" w:hAnsi="Garamond" w:cs="Calibri"/>
                <w:sz w:val="16"/>
                <w:szCs w:val="16"/>
                <w:lang w:eastAsia="hr-HR" w:bidi="ar-SA"/>
              </w:rPr>
            </w:pPr>
          </w:p>
        </w:tc>
        <w:tc>
          <w:tcPr>
            <w:tcW w:w="355" w:type="pct"/>
            <w:tcBorders>
              <w:top w:val="single" w:sz="2" w:space="0" w:color="000000"/>
              <w:left w:val="single" w:sz="8" w:space="0" w:color="000000"/>
              <w:bottom w:val="single" w:sz="8" w:space="0" w:color="000000"/>
              <w:right w:val="single" w:sz="8" w:space="0" w:color="000000"/>
            </w:tcBorders>
            <w:vAlign w:val="center"/>
            <w:hideMark/>
          </w:tcPr>
          <w:p w:rsidR="00895EBB" w:rsidRPr="00ED71A0" w:rsidRDefault="00895EBB" w:rsidP="00895EBB">
            <w:pPr>
              <w:widowControl/>
              <w:autoSpaceDE/>
              <w:autoSpaceDN/>
              <w:jc w:val="center"/>
              <w:rPr>
                <w:rFonts w:ascii="Garamond" w:eastAsia="Times New Roman" w:hAnsi="Garamond" w:cs="Calibri"/>
                <w:sz w:val="16"/>
                <w:szCs w:val="16"/>
                <w:lang w:eastAsia="hr-HR" w:bidi="ar-SA"/>
              </w:rPr>
            </w:pPr>
          </w:p>
        </w:tc>
        <w:tc>
          <w:tcPr>
            <w:tcW w:w="41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Target value</w:t>
            </w:r>
          </w:p>
        </w:tc>
        <w:tc>
          <w:tcPr>
            <w:tcW w:w="46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 xml:space="preserve">Implemented </w:t>
            </w:r>
          </w:p>
        </w:tc>
        <w:tc>
          <w:tcPr>
            <w:tcW w:w="47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0257FD">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Target value</w:t>
            </w:r>
          </w:p>
        </w:tc>
        <w:tc>
          <w:tcPr>
            <w:tcW w:w="4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0257FD">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 xml:space="preserve">Implemented </w:t>
            </w:r>
          </w:p>
        </w:tc>
        <w:tc>
          <w:tcPr>
            <w:tcW w:w="474" w:type="pct"/>
            <w:tcBorders>
              <w:top w:val="single" w:sz="4" w:space="0" w:color="auto"/>
              <w:left w:val="single" w:sz="8" w:space="0" w:color="000000"/>
              <w:bottom w:val="single" w:sz="8" w:space="0" w:color="000000"/>
              <w:right w:val="single" w:sz="4" w:space="0" w:color="auto"/>
            </w:tcBorders>
            <w:vAlign w:val="center"/>
            <w:hideMark/>
          </w:tcPr>
          <w:p w:rsidR="00895EBB" w:rsidRPr="00ED71A0" w:rsidRDefault="00895EBB" w:rsidP="000257FD">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Target value</w:t>
            </w:r>
          </w:p>
        </w:tc>
        <w:tc>
          <w:tcPr>
            <w:tcW w:w="465" w:type="pct"/>
            <w:tcBorders>
              <w:top w:val="single" w:sz="4" w:space="0" w:color="auto"/>
              <w:left w:val="single" w:sz="4" w:space="0" w:color="auto"/>
              <w:bottom w:val="single" w:sz="8" w:space="0" w:color="000000"/>
              <w:right w:val="single" w:sz="12" w:space="0" w:color="000000"/>
            </w:tcBorders>
            <w:vAlign w:val="center"/>
          </w:tcPr>
          <w:p w:rsidR="00895EBB" w:rsidRPr="00ED71A0" w:rsidRDefault="00895EBB" w:rsidP="000257FD">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 xml:space="preserve">Implemented </w:t>
            </w:r>
          </w:p>
        </w:tc>
        <w:tc>
          <w:tcPr>
            <w:tcW w:w="421" w:type="pct"/>
            <w:tcBorders>
              <w:top w:val="single" w:sz="4" w:space="0" w:color="auto"/>
              <w:left w:val="single" w:sz="12" w:space="0" w:color="000000"/>
              <w:bottom w:val="single" w:sz="8" w:space="0" w:color="000000"/>
              <w:right w:val="single" w:sz="12" w:space="0" w:color="000000"/>
            </w:tcBorders>
            <w:vAlign w:val="center"/>
          </w:tcPr>
          <w:p w:rsidR="00895EBB" w:rsidRPr="00ED71A0" w:rsidRDefault="00895EBB" w:rsidP="000257FD">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Target value</w:t>
            </w:r>
          </w:p>
        </w:tc>
        <w:tc>
          <w:tcPr>
            <w:tcW w:w="468" w:type="pct"/>
            <w:tcBorders>
              <w:top w:val="single" w:sz="4" w:space="0" w:color="auto"/>
              <w:left w:val="single" w:sz="12" w:space="0" w:color="000000"/>
              <w:bottom w:val="single" w:sz="8" w:space="0" w:color="000000"/>
              <w:right w:val="single" w:sz="18" w:space="0" w:color="000000"/>
            </w:tcBorders>
            <w:vAlign w:val="center"/>
          </w:tcPr>
          <w:p w:rsidR="00895EBB" w:rsidRPr="00ED71A0" w:rsidRDefault="00895EBB" w:rsidP="000257FD">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b/>
                <w:bCs/>
                <w:sz w:val="16"/>
                <w:szCs w:val="16"/>
                <w:lang w:eastAsia="hr-HR" w:bidi="ar-SA"/>
              </w:rPr>
              <w:t xml:space="preserve">Implemented </w:t>
            </w:r>
          </w:p>
        </w:tc>
        <w:tc>
          <w:tcPr>
            <w:tcW w:w="263" w:type="pct"/>
            <w:vMerge/>
            <w:tcBorders>
              <w:left w:val="single" w:sz="12" w:space="0" w:color="000000"/>
              <w:bottom w:val="single" w:sz="8" w:space="0" w:color="000000"/>
              <w:right w:val="single" w:sz="18" w:space="0" w:color="000000"/>
            </w:tcBorders>
            <w:vAlign w:val="center"/>
          </w:tcPr>
          <w:p w:rsidR="00895EBB" w:rsidRPr="00ED71A0" w:rsidRDefault="00895EBB" w:rsidP="00895EBB">
            <w:pPr>
              <w:widowControl/>
              <w:autoSpaceDE/>
              <w:autoSpaceDN/>
              <w:jc w:val="center"/>
              <w:rPr>
                <w:rFonts w:ascii="Garamond" w:eastAsia="Times New Roman" w:hAnsi="Garamond" w:cs="Calibri"/>
                <w:b/>
                <w:sz w:val="16"/>
                <w:szCs w:val="16"/>
                <w:lang w:eastAsia="hr-HR" w:bidi="ar-SA"/>
              </w:rPr>
            </w:pPr>
          </w:p>
        </w:tc>
      </w:tr>
      <w:tr w:rsidR="00895EBB" w:rsidRPr="00ED71A0" w:rsidTr="00F12354">
        <w:trPr>
          <w:trHeight w:val="246"/>
        </w:trPr>
        <w:tc>
          <w:tcPr>
            <w:tcW w:w="714" w:type="pct"/>
            <w:vMerge w:val="restart"/>
            <w:tcBorders>
              <w:top w:val="single" w:sz="8" w:space="0" w:color="000000"/>
              <w:left w:val="single" w:sz="18" w:space="0" w:color="000000"/>
              <w:bottom w:val="single" w:sz="8" w:space="0" w:color="000000"/>
              <w:right w:val="single" w:sz="8" w:space="0" w:color="000000"/>
            </w:tcBorders>
            <w:shd w:val="clear" w:color="auto" w:fill="FFFFFF"/>
            <w:vAlign w:val="center"/>
            <w:hideMark/>
          </w:tcPr>
          <w:p w:rsidR="00895EBB" w:rsidRPr="00ED71A0" w:rsidRDefault="00E85DB5"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Share of submitted e-returns (Profit tax, VAT) in comparison to total number of submissions</w:t>
            </w:r>
          </w:p>
        </w:tc>
        <w:tc>
          <w:tcPr>
            <w:tcW w:w="355" w:type="pct"/>
            <w:vMerge w:val="restar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27%</w:t>
            </w:r>
          </w:p>
        </w:tc>
        <w:tc>
          <w:tcPr>
            <w:tcW w:w="41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VAT 50%</w:t>
            </w:r>
          </w:p>
        </w:tc>
        <w:tc>
          <w:tcPr>
            <w:tcW w:w="46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VAT 50%</w:t>
            </w:r>
          </w:p>
        </w:tc>
        <w:tc>
          <w:tcPr>
            <w:tcW w:w="47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VAT 65%</w:t>
            </w:r>
          </w:p>
        </w:tc>
        <w:tc>
          <w:tcPr>
            <w:tcW w:w="4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VAT 70%</w:t>
            </w:r>
          </w:p>
        </w:tc>
        <w:tc>
          <w:tcPr>
            <w:tcW w:w="474" w:type="pct"/>
            <w:tcBorders>
              <w:top w:val="single" w:sz="8" w:space="0" w:color="000000"/>
              <w:left w:val="single" w:sz="8" w:space="0" w:color="000000"/>
              <w:bottom w:val="single" w:sz="4" w:space="0" w:color="auto"/>
              <w:right w:val="single" w:sz="4" w:space="0" w:color="auto"/>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bookmarkStart w:id="12" w:name="graphic48"/>
            <w:bookmarkEnd w:id="12"/>
            <w:r w:rsidRPr="00ED71A0">
              <w:rPr>
                <w:rFonts w:ascii="Garamond" w:eastAsia="Times New Roman" w:hAnsi="Garamond" w:cs="Calibri"/>
                <w:sz w:val="16"/>
                <w:szCs w:val="16"/>
                <w:lang w:eastAsia="hr-HR" w:bidi="ar-SA"/>
              </w:rPr>
              <w:t>75%</w:t>
            </w:r>
          </w:p>
        </w:tc>
        <w:tc>
          <w:tcPr>
            <w:tcW w:w="465" w:type="pct"/>
            <w:tcBorders>
              <w:top w:val="single" w:sz="8" w:space="0" w:color="000000"/>
              <w:left w:val="single" w:sz="4" w:space="0" w:color="auto"/>
              <w:bottom w:val="single" w:sz="4" w:space="0" w:color="auto"/>
              <w:right w:val="single" w:sz="12"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77,37%</w:t>
            </w:r>
          </w:p>
        </w:tc>
        <w:tc>
          <w:tcPr>
            <w:tcW w:w="421" w:type="pct"/>
            <w:tcBorders>
              <w:top w:val="single" w:sz="8" w:space="0" w:color="000000"/>
              <w:left w:val="single" w:sz="12" w:space="0" w:color="000000"/>
              <w:bottom w:val="single" w:sz="4" w:space="0" w:color="auto"/>
              <w:right w:val="single" w:sz="12" w:space="0" w:color="000000"/>
            </w:tcBorders>
            <w:shd w:val="clear" w:color="auto" w:fill="FFFFFF"/>
            <w:vAlign w:val="center"/>
          </w:tcPr>
          <w:p w:rsidR="00895EBB" w:rsidRPr="00ED71A0" w:rsidRDefault="00895EBB" w:rsidP="00895EBB">
            <w:pPr>
              <w:widowControl/>
              <w:autoSpaceDE/>
              <w:autoSpaceDN/>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VAT 80%</w:t>
            </w:r>
          </w:p>
          <w:p w:rsidR="00895EBB" w:rsidRPr="00ED71A0" w:rsidRDefault="00895EBB" w:rsidP="00895EBB">
            <w:pPr>
              <w:widowControl/>
              <w:autoSpaceDE/>
              <w:autoSpaceDN/>
              <w:ind w:left="100" w:right="100"/>
              <w:jc w:val="center"/>
              <w:rPr>
                <w:rFonts w:ascii="Garamond" w:eastAsia="游明朝" w:hAnsi="Garamond" w:cs="Calibri"/>
                <w:noProof/>
                <w:sz w:val="16"/>
                <w:szCs w:val="16"/>
                <w:lang w:eastAsia="en-US" w:bidi="ar-SA"/>
              </w:rPr>
            </w:pPr>
          </w:p>
        </w:tc>
        <w:tc>
          <w:tcPr>
            <w:tcW w:w="468" w:type="pct"/>
            <w:tcBorders>
              <w:top w:val="single" w:sz="8" w:space="0" w:color="000000"/>
              <w:left w:val="single" w:sz="12" w:space="0" w:color="000000"/>
              <w:bottom w:val="single" w:sz="4" w:space="0" w:color="auto"/>
              <w:right w:val="single" w:sz="18" w:space="0" w:color="000000"/>
            </w:tcBorders>
            <w:shd w:val="clear" w:color="auto" w:fill="FFFFFF"/>
            <w:vAlign w:val="center"/>
          </w:tcPr>
          <w:p w:rsidR="00895EBB" w:rsidRPr="00ED71A0" w:rsidRDefault="00895EBB" w:rsidP="00895EBB">
            <w:pPr>
              <w:widowControl/>
              <w:autoSpaceDE/>
              <w:autoSpaceDN/>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VAT 89%</w:t>
            </w:r>
          </w:p>
          <w:p w:rsidR="00895EBB" w:rsidRPr="00ED71A0" w:rsidRDefault="00895EBB" w:rsidP="00895EBB">
            <w:pPr>
              <w:widowControl/>
              <w:autoSpaceDE/>
              <w:autoSpaceDN/>
              <w:ind w:left="100" w:right="100"/>
              <w:jc w:val="center"/>
              <w:rPr>
                <w:rFonts w:ascii="Garamond" w:eastAsia="游明朝" w:hAnsi="Garamond" w:cs="Calibri"/>
                <w:noProof/>
                <w:sz w:val="16"/>
                <w:szCs w:val="16"/>
                <w:lang w:eastAsia="en-US" w:bidi="ar-SA"/>
              </w:rPr>
            </w:pPr>
          </w:p>
        </w:tc>
        <w:tc>
          <w:tcPr>
            <w:tcW w:w="263" w:type="pct"/>
            <w:vMerge w:val="restart"/>
            <w:tcBorders>
              <w:top w:val="single" w:sz="8" w:space="0" w:color="000000"/>
              <w:left w:val="single" w:sz="12" w:space="0" w:color="000000"/>
              <w:right w:val="single" w:sz="18"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游明朝" w:hAnsi="Garamond" w:cs="Calibri"/>
                <w:noProof/>
                <w:sz w:val="16"/>
                <w:szCs w:val="16"/>
                <w:lang w:eastAsia="ja-JP" w:bidi="ar-SA"/>
              </w:rPr>
              <w:drawing>
                <wp:inline distT="0" distB="0" distL="0" distR="0">
                  <wp:extent cx="276225" cy="233680"/>
                  <wp:effectExtent l="0" t="0" r="9525" b="0"/>
                  <wp:docPr id="34" name="Picture 20"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escription: Description: C:\Users\owner\Desktop\zelena strelica - manja.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895EBB" w:rsidRPr="00ED71A0" w:rsidTr="00F12354">
        <w:trPr>
          <w:trHeight w:val="172"/>
        </w:trPr>
        <w:tc>
          <w:tcPr>
            <w:tcW w:w="714" w:type="pct"/>
            <w:vMerge/>
            <w:tcBorders>
              <w:top w:val="single" w:sz="8" w:space="0" w:color="000000"/>
              <w:left w:val="single" w:sz="18" w:space="0" w:color="000000"/>
              <w:bottom w:val="single" w:sz="8" w:space="0" w:color="000000"/>
              <w:right w:val="single" w:sz="8" w:space="0" w:color="000000"/>
            </w:tcBorders>
            <w:vAlign w:val="center"/>
            <w:hideMark/>
          </w:tcPr>
          <w:p w:rsidR="00895EBB" w:rsidRPr="00ED71A0" w:rsidRDefault="00895EBB" w:rsidP="00895EBB">
            <w:pPr>
              <w:widowControl/>
              <w:autoSpaceDE/>
              <w:autoSpaceDN/>
              <w:jc w:val="center"/>
              <w:rPr>
                <w:rFonts w:ascii="Garamond" w:eastAsia="Times New Roman" w:hAnsi="Garamond" w:cs="Calibri"/>
                <w:sz w:val="16"/>
                <w:szCs w:val="16"/>
                <w:lang w:eastAsia="hr-HR" w:bidi="ar-SA"/>
              </w:rPr>
            </w:pPr>
          </w:p>
        </w:tc>
        <w:tc>
          <w:tcPr>
            <w:tcW w:w="355" w:type="pct"/>
            <w:vMerge/>
            <w:tcBorders>
              <w:top w:val="single" w:sz="8" w:space="0" w:color="000000"/>
              <w:left w:val="single" w:sz="8" w:space="0" w:color="000000"/>
              <w:bottom w:val="single" w:sz="8" w:space="0" w:color="000000"/>
              <w:right w:val="single" w:sz="8" w:space="0" w:color="000000"/>
            </w:tcBorders>
            <w:vAlign w:val="center"/>
            <w:hideMark/>
          </w:tcPr>
          <w:p w:rsidR="00895EBB" w:rsidRPr="00ED71A0" w:rsidRDefault="00895EBB" w:rsidP="00895EBB">
            <w:pPr>
              <w:widowControl/>
              <w:autoSpaceDE/>
              <w:autoSpaceDN/>
              <w:jc w:val="center"/>
              <w:rPr>
                <w:rFonts w:ascii="Garamond" w:eastAsia="Times New Roman" w:hAnsi="Garamond" w:cs="Calibri"/>
                <w:sz w:val="16"/>
                <w:szCs w:val="16"/>
                <w:lang w:eastAsia="hr-HR" w:bidi="ar-SA"/>
              </w:rPr>
            </w:pPr>
          </w:p>
        </w:tc>
        <w:tc>
          <w:tcPr>
            <w:tcW w:w="41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E85DB5"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INCOME</w:t>
            </w:r>
            <w:r w:rsidR="00895EBB" w:rsidRPr="00ED71A0">
              <w:rPr>
                <w:rFonts w:ascii="Garamond" w:eastAsia="Times New Roman" w:hAnsi="Garamond" w:cs="Calibri"/>
                <w:sz w:val="16"/>
                <w:szCs w:val="16"/>
                <w:lang w:eastAsia="hr-HR" w:bidi="ar-SA"/>
              </w:rPr>
              <w:t xml:space="preserve"> 95%</w:t>
            </w:r>
          </w:p>
        </w:tc>
        <w:tc>
          <w:tcPr>
            <w:tcW w:w="46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E85DB5"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 xml:space="preserve">INCOME </w:t>
            </w:r>
            <w:r w:rsidR="00895EBB" w:rsidRPr="00ED71A0">
              <w:rPr>
                <w:rFonts w:ascii="Garamond" w:eastAsia="Times New Roman" w:hAnsi="Garamond" w:cs="Calibri"/>
                <w:sz w:val="16"/>
                <w:szCs w:val="16"/>
                <w:lang w:eastAsia="hr-HR" w:bidi="ar-SA"/>
              </w:rPr>
              <w:t>95%</w:t>
            </w:r>
          </w:p>
        </w:tc>
        <w:tc>
          <w:tcPr>
            <w:tcW w:w="47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E85DB5"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 xml:space="preserve">INCOME </w:t>
            </w:r>
            <w:r w:rsidR="00895EBB" w:rsidRPr="00ED71A0">
              <w:rPr>
                <w:rFonts w:ascii="Garamond" w:eastAsia="Times New Roman" w:hAnsi="Garamond" w:cs="Calibri"/>
                <w:sz w:val="16"/>
                <w:szCs w:val="16"/>
                <w:lang w:eastAsia="hr-HR" w:bidi="ar-SA"/>
              </w:rPr>
              <w:t>97%</w:t>
            </w:r>
          </w:p>
        </w:tc>
        <w:tc>
          <w:tcPr>
            <w:tcW w:w="4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E85DB5" w:rsidP="00895EBB">
            <w:pPr>
              <w:widowControl/>
              <w:autoSpaceDE/>
              <w:autoSpaceDN/>
              <w:ind w:left="100" w:right="100"/>
              <w:jc w:val="center"/>
              <w:rPr>
                <w:rFonts w:ascii="Garamond" w:eastAsia="Times New Roman" w:hAnsi="Garamond" w:cs="Calibri"/>
                <w:sz w:val="16"/>
                <w:szCs w:val="16"/>
                <w:lang w:eastAsia="hr-HR" w:bidi="ar-SA"/>
              </w:rPr>
            </w:pPr>
            <w:bookmarkStart w:id="13" w:name="RANGE!G5"/>
            <w:bookmarkEnd w:id="13"/>
            <w:r w:rsidRPr="00ED71A0">
              <w:rPr>
                <w:rFonts w:ascii="Garamond" w:eastAsia="Times New Roman" w:hAnsi="Garamond" w:cs="Calibri"/>
                <w:sz w:val="16"/>
                <w:szCs w:val="16"/>
                <w:lang w:eastAsia="hr-HR" w:bidi="ar-SA"/>
              </w:rPr>
              <w:t xml:space="preserve">INCOME </w:t>
            </w:r>
            <w:r w:rsidR="00895EBB" w:rsidRPr="00ED71A0">
              <w:rPr>
                <w:rFonts w:ascii="Garamond" w:eastAsia="Times New Roman" w:hAnsi="Garamond" w:cs="Calibri"/>
                <w:sz w:val="16"/>
                <w:szCs w:val="16"/>
                <w:lang w:eastAsia="hr-HR" w:bidi="ar-SA"/>
              </w:rPr>
              <w:t>99%</w:t>
            </w:r>
          </w:p>
        </w:tc>
        <w:tc>
          <w:tcPr>
            <w:tcW w:w="474" w:type="pct"/>
            <w:tcBorders>
              <w:top w:val="single" w:sz="4" w:space="0" w:color="auto"/>
              <w:left w:val="single" w:sz="8" w:space="0" w:color="000000"/>
              <w:bottom w:val="single" w:sz="8" w:space="0" w:color="000000"/>
              <w:right w:val="single" w:sz="4" w:space="0" w:color="auto"/>
            </w:tcBorders>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99%</w:t>
            </w:r>
          </w:p>
        </w:tc>
        <w:tc>
          <w:tcPr>
            <w:tcW w:w="465" w:type="pct"/>
            <w:tcBorders>
              <w:top w:val="single" w:sz="4" w:space="0" w:color="auto"/>
              <w:left w:val="single" w:sz="4" w:space="0" w:color="auto"/>
              <w:bottom w:val="single" w:sz="8" w:space="0" w:color="000000"/>
              <w:right w:val="single" w:sz="12" w:space="0" w:color="000000"/>
            </w:tcBorders>
            <w:vAlign w:val="center"/>
          </w:tcPr>
          <w:p w:rsidR="00895EBB" w:rsidRPr="00ED71A0" w:rsidRDefault="00895EBB" w:rsidP="00895EBB">
            <w:pPr>
              <w:widowControl/>
              <w:autoSpaceDE/>
              <w:autoSpaceDN/>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99,5%</w:t>
            </w:r>
          </w:p>
        </w:tc>
        <w:tc>
          <w:tcPr>
            <w:tcW w:w="421" w:type="pct"/>
            <w:tcBorders>
              <w:top w:val="single" w:sz="4" w:space="0" w:color="auto"/>
              <w:left w:val="single" w:sz="12" w:space="0" w:color="000000"/>
              <w:bottom w:val="single" w:sz="8" w:space="0" w:color="000000"/>
              <w:right w:val="single" w:sz="12" w:space="0" w:color="000000"/>
            </w:tcBorders>
            <w:vAlign w:val="center"/>
          </w:tcPr>
          <w:p w:rsidR="00895EBB" w:rsidRPr="00ED71A0" w:rsidRDefault="00E85DB5" w:rsidP="00895EBB">
            <w:pPr>
              <w:widowControl/>
              <w:autoSpaceDE/>
              <w:autoSpaceDN/>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 xml:space="preserve">INCOME </w:t>
            </w:r>
            <w:r w:rsidR="00895EBB" w:rsidRPr="00ED71A0">
              <w:rPr>
                <w:rFonts w:ascii="Garamond" w:eastAsia="Times New Roman" w:hAnsi="Garamond" w:cs="Calibri"/>
                <w:sz w:val="16"/>
                <w:szCs w:val="16"/>
                <w:lang w:eastAsia="hr-HR" w:bidi="ar-SA"/>
              </w:rPr>
              <w:t>99%</w:t>
            </w:r>
          </w:p>
        </w:tc>
        <w:tc>
          <w:tcPr>
            <w:tcW w:w="468" w:type="pct"/>
            <w:tcBorders>
              <w:top w:val="single" w:sz="4" w:space="0" w:color="auto"/>
              <w:left w:val="single" w:sz="12" w:space="0" w:color="000000"/>
              <w:bottom w:val="single" w:sz="8" w:space="0" w:color="000000"/>
              <w:right w:val="single" w:sz="18" w:space="0" w:color="000000"/>
            </w:tcBorders>
            <w:vAlign w:val="center"/>
          </w:tcPr>
          <w:p w:rsidR="00895EBB" w:rsidRPr="00ED71A0" w:rsidRDefault="00E85DB5" w:rsidP="00895EBB">
            <w:pPr>
              <w:widowControl/>
              <w:autoSpaceDE/>
              <w:autoSpaceDN/>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 xml:space="preserve">INCOME </w:t>
            </w:r>
            <w:r w:rsidR="00895EBB" w:rsidRPr="00ED71A0">
              <w:rPr>
                <w:rFonts w:ascii="Garamond" w:eastAsia="Times New Roman" w:hAnsi="Garamond" w:cs="Calibri"/>
                <w:sz w:val="16"/>
                <w:szCs w:val="16"/>
                <w:lang w:eastAsia="hr-HR" w:bidi="ar-SA"/>
              </w:rPr>
              <w:t>99,6%</w:t>
            </w:r>
          </w:p>
        </w:tc>
        <w:tc>
          <w:tcPr>
            <w:tcW w:w="263" w:type="pct"/>
            <w:vMerge/>
            <w:tcBorders>
              <w:left w:val="single" w:sz="12" w:space="0" w:color="000000"/>
              <w:bottom w:val="single" w:sz="8" w:space="0" w:color="000000"/>
              <w:right w:val="single" w:sz="18" w:space="0" w:color="000000"/>
            </w:tcBorders>
            <w:vAlign w:val="center"/>
          </w:tcPr>
          <w:p w:rsidR="00895EBB" w:rsidRPr="00ED71A0" w:rsidRDefault="00895EBB" w:rsidP="00895EBB">
            <w:pPr>
              <w:widowControl/>
              <w:autoSpaceDE/>
              <w:autoSpaceDN/>
              <w:jc w:val="center"/>
              <w:rPr>
                <w:rFonts w:ascii="Garamond" w:eastAsia="Times New Roman" w:hAnsi="Garamond" w:cs="Calibri"/>
                <w:sz w:val="16"/>
                <w:szCs w:val="16"/>
                <w:lang w:eastAsia="hr-HR" w:bidi="ar-SA"/>
              </w:rPr>
            </w:pPr>
          </w:p>
        </w:tc>
      </w:tr>
      <w:tr w:rsidR="00895EBB" w:rsidRPr="00ED71A0" w:rsidTr="00ED71A0">
        <w:trPr>
          <w:trHeight w:val="2800"/>
        </w:trPr>
        <w:tc>
          <w:tcPr>
            <w:tcW w:w="714" w:type="pct"/>
            <w:tcBorders>
              <w:top w:val="single" w:sz="8" w:space="0" w:color="000000"/>
              <w:left w:val="single" w:sz="18" w:space="0" w:color="000000"/>
              <w:bottom w:val="single" w:sz="8" w:space="0" w:color="000000"/>
              <w:right w:val="single" w:sz="8" w:space="0" w:color="000000"/>
            </w:tcBorders>
            <w:shd w:val="clear" w:color="auto" w:fill="FFFFFF"/>
            <w:vAlign w:val="center"/>
            <w:hideMark/>
          </w:tcPr>
          <w:p w:rsidR="00895EBB" w:rsidRPr="00ED71A0" w:rsidRDefault="00E85DB5"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EU VAT regulations concerning EU common market successfully implemented</w:t>
            </w:r>
          </w:p>
        </w:tc>
        <w:tc>
          <w:tcPr>
            <w:tcW w:w="3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Screening process completed</w:t>
            </w:r>
          </w:p>
        </w:tc>
        <w:tc>
          <w:tcPr>
            <w:tcW w:w="41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Negotiations in Chapter 16 open</w:t>
            </w:r>
          </w:p>
        </w:tc>
        <w:tc>
          <w:tcPr>
            <w:tcW w:w="46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F12354"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A certain degree of legislative harmoni</w:t>
            </w:r>
            <w:r w:rsidR="00F254DD" w:rsidRPr="00ED71A0">
              <w:rPr>
                <w:rFonts w:ascii="Garamond" w:eastAsia="Times New Roman" w:hAnsi="Garamond" w:cs="Calibri"/>
                <w:sz w:val="16"/>
                <w:szCs w:val="16"/>
                <w:lang w:eastAsia="hr-HR" w:bidi="ar-SA"/>
              </w:rPr>
              <w:t>sation</w:t>
            </w:r>
            <w:r w:rsidRPr="00ED71A0">
              <w:rPr>
                <w:rFonts w:ascii="Garamond" w:eastAsia="Times New Roman" w:hAnsi="Garamond" w:cs="Calibri"/>
                <w:sz w:val="16"/>
                <w:szCs w:val="16"/>
                <w:lang w:eastAsia="hr-HR" w:bidi="ar-SA"/>
              </w:rPr>
              <w:t xml:space="preserve"> has been </w:t>
            </w:r>
            <w:proofErr w:type="gramStart"/>
            <w:r w:rsidRPr="00ED71A0">
              <w:rPr>
                <w:rFonts w:ascii="Garamond" w:eastAsia="Times New Roman" w:hAnsi="Garamond" w:cs="Calibri"/>
                <w:sz w:val="16"/>
                <w:szCs w:val="16"/>
                <w:lang w:eastAsia="hr-HR" w:bidi="ar-SA"/>
              </w:rPr>
              <w:t>achieved,</w:t>
            </w:r>
            <w:proofErr w:type="gramEnd"/>
            <w:r w:rsidRPr="00ED71A0">
              <w:rPr>
                <w:rFonts w:ascii="Garamond" w:eastAsia="Times New Roman" w:hAnsi="Garamond" w:cs="Calibri"/>
                <w:sz w:val="16"/>
                <w:szCs w:val="16"/>
                <w:lang w:eastAsia="hr-HR" w:bidi="ar-SA"/>
              </w:rPr>
              <w:t xml:space="preserve"> a higher degree has been achieved in the field of VAT, harmoni</w:t>
            </w:r>
            <w:r w:rsidR="00F254DD" w:rsidRPr="00ED71A0">
              <w:rPr>
                <w:rFonts w:ascii="Garamond" w:eastAsia="Times New Roman" w:hAnsi="Garamond" w:cs="Calibri"/>
                <w:sz w:val="16"/>
                <w:szCs w:val="16"/>
                <w:lang w:eastAsia="hr-HR" w:bidi="ar-SA"/>
              </w:rPr>
              <w:t>sation</w:t>
            </w:r>
            <w:r w:rsidRPr="00ED71A0">
              <w:rPr>
                <w:rFonts w:ascii="Garamond" w:eastAsia="Times New Roman" w:hAnsi="Garamond" w:cs="Calibri"/>
                <w:sz w:val="16"/>
                <w:szCs w:val="16"/>
                <w:lang w:eastAsia="hr-HR" w:bidi="ar-SA"/>
              </w:rPr>
              <w:t xml:space="preserve"> in the field </w:t>
            </w:r>
            <w:r w:rsidR="00ED71A0" w:rsidRPr="00ED71A0">
              <w:rPr>
                <w:rFonts w:ascii="Garamond" w:eastAsia="Times New Roman" w:hAnsi="Garamond" w:cs="Calibri"/>
                <w:sz w:val="16"/>
                <w:szCs w:val="16"/>
                <w:lang w:eastAsia="hr-HR" w:bidi="ar-SA"/>
              </w:rPr>
              <w:t xml:space="preserve">of income tax (transfer prices), </w:t>
            </w:r>
            <w:r w:rsidRPr="00ED71A0">
              <w:rPr>
                <w:rFonts w:ascii="Garamond" w:eastAsia="Times New Roman" w:hAnsi="Garamond" w:cs="Calibri"/>
                <w:sz w:val="16"/>
                <w:szCs w:val="16"/>
                <w:lang w:eastAsia="hr-HR" w:bidi="ar-SA"/>
              </w:rPr>
              <w:t>of administrative cooperation and mutual assistance remains.</w:t>
            </w:r>
          </w:p>
        </w:tc>
        <w:tc>
          <w:tcPr>
            <w:tcW w:w="47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Law on Amendments to the Law on Corporate Income Tax (Q4 2018)</w:t>
            </w:r>
          </w:p>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p>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Law on Amendments to the Law on Tax Administration</w:t>
            </w:r>
          </w:p>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p>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VAT law</w:t>
            </w:r>
          </w:p>
          <w:p w:rsidR="00895EBB"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(Q4 2018)</w:t>
            </w:r>
          </w:p>
        </w:tc>
        <w:tc>
          <w:tcPr>
            <w:tcW w:w="4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895EBB" w:rsidRPr="00ED71A0" w:rsidRDefault="00F12354"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Submitted draft versions of amendments to the Law on VAT, the Law on Income Tax and the Law on Tax Administration in the area of information exchange (automatic) and mutual assistance in order to further harmon</w:t>
            </w:r>
            <w:r w:rsidR="00A113DA">
              <w:rPr>
                <w:rFonts w:ascii="Garamond" w:eastAsia="Times New Roman" w:hAnsi="Garamond" w:cs="Calibri"/>
                <w:sz w:val="16"/>
                <w:szCs w:val="16"/>
                <w:lang w:eastAsia="hr-HR" w:bidi="ar-SA"/>
              </w:rPr>
              <w:t>ise</w:t>
            </w:r>
            <w:r w:rsidRPr="00ED71A0">
              <w:rPr>
                <w:rFonts w:ascii="Garamond" w:eastAsia="Times New Roman" w:hAnsi="Garamond" w:cs="Calibri"/>
                <w:sz w:val="16"/>
                <w:szCs w:val="16"/>
                <w:lang w:eastAsia="hr-HR" w:bidi="ar-SA"/>
              </w:rPr>
              <w:t xml:space="preserve"> domestic legislation with the acquis communautaire</w:t>
            </w:r>
          </w:p>
        </w:tc>
        <w:tc>
          <w:tcPr>
            <w:tcW w:w="474" w:type="pct"/>
            <w:tcBorders>
              <w:top w:val="single" w:sz="8" w:space="0" w:color="000000"/>
              <w:left w:val="single" w:sz="8" w:space="0" w:color="000000"/>
              <w:bottom w:val="single" w:sz="8" w:space="0" w:color="000000"/>
              <w:right w:val="single" w:sz="4" w:space="0" w:color="auto"/>
            </w:tcBorders>
            <w:shd w:val="clear" w:color="auto" w:fill="FFFFFF"/>
            <w:vAlign w:val="center"/>
            <w:hideMark/>
          </w:tcPr>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bookmarkStart w:id="14" w:name="graphic49"/>
            <w:bookmarkEnd w:id="14"/>
            <w:r w:rsidRPr="00ED71A0">
              <w:rPr>
                <w:rFonts w:ascii="Garamond" w:eastAsia="Times New Roman" w:hAnsi="Garamond" w:cs="Calibri"/>
                <w:sz w:val="16"/>
                <w:szCs w:val="16"/>
                <w:lang w:eastAsia="hr-HR" w:bidi="ar-SA"/>
              </w:rPr>
              <w:t>Law on Amendments to the Law on Corporate Income Tax (Q4 2018)</w:t>
            </w:r>
          </w:p>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p>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Law on Amendments to the Law on Tax Administration</w:t>
            </w:r>
          </w:p>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p>
          <w:p w:rsidR="00F12354"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VAT law</w:t>
            </w:r>
          </w:p>
          <w:p w:rsidR="00895EBB" w:rsidRPr="00ED71A0" w:rsidRDefault="00F12354" w:rsidP="00F12354">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(Q4)</w:t>
            </w:r>
          </w:p>
        </w:tc>
        <w:tc>
          <w:tcPr>
            <w:tcW w:w="465" w:type="pct"/>
            <w:tcBorders>
              <w:top w:val="single" w:sz="8" w:space="0" w:color="000000"/>
              <w:left w:val="single" w:sz="4" w:space="0" w:color="auto"/>
              <w:bottom w:val="single" w:sz="8" w:space="0" w:color="000000"/>
              <w:right w:val="single" w:sz="12" w:space="0" w:color="000000"/>
            </w:tcBorders>
            <w:shd w:val="clear" w:color="auto" w:fill="FFFFFF"/>
            <w:vAlign w:val="center"/>
          </w:tcPr>
          <w:p w:rsidR="00895EBB" w:rsidRPr="00ED71A0" w:rsidRDefault="00F12354" w:rsidP="00ED71A0">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 xml:space="preserve">All proposed amendments to the law </w:t>
            </w:r>
            <w:r w:rsidR="00ED71A0" w:rsidRPr="00ED71A0">
              <w:rPr>
                <w:rFonts w:ascii="Garamond" w:eastAsia="Times New Roman" w:hAnsi="Garamond" w:cs="Calibri"/>
                <w:sz w:val="16"/>
                <w:szCs w:val="16"/>
                <w:lang w:eastAsia="hr-HR" w:bidi="ar-SA"/>
              </w:rPr>
              <w:t>were approved by</w:t>
            </w:r>
            <w:r w:rsidRPr="00ED71A0">
              <w:rPr>
                <w:rFonts w:ascii="Garamond" w:eastAsia="Times New Roman" w:hAnsi="Garamond" w:cs="Calibri"/>
                <w:sz w:val="16"/>
                <w:szCs w:val="16"/>
                <w:lang w:eastAsia="hr-HR" w:bidi="ar-SA"/>
              </w:rPr>
              <w:t xml:space="preserve"> the Legislative Committee. After which they were submitted to the EC for an opinion.</w:t>
            </w:r>
          </w:p>
        </w:tc>
        <w:tc>
          <w:tcPr>
            <w:tcW w:w="421" w:type="pct"/>
            <w:tcBorders>
              <w:top w:val="single" w:sz="8" w:space="0" w:color="000000"/>
              <w:left w:val="single" w:sz="12" w:space="0" w:color="000000"/>
              <w:bottom w:val="single" w:sz="8" w:space="0" w:color="000000"/>
              <w:right w:val="single" w:sz="12" w:space="0" w:color="000000"/>
            </w:tcBorders>
            <w:shd w:val="clear" w:color="auto" w:fill="FFFFFF"/>
            <w:vAlign w:val="center"/>
          </w:tcPr>
          <w:p w:rsidR="00ED71A0" w:rsidRPr="00ED71A0" w:rsidRDefault="00ED71A0" w:rsidP="00ED71A0">
            <w:pPr>
              <w:autoSpaceDE/>
              <w:autoSpaceDN/>
              <w:spacing w:before="60" w:after="120"/>
              <w:jc w:val="center"/>
              <w:rPr>
                <w:rFonts w:ascii="Garamond" w:eastAsia="Calibri" w:hAnsi="Garamond" w:cs="Calibri"/>
                <w:sz w:val="16"/>
                <w:szCs w:val="16"/>
                <w:lang w:val="uz-Cyrl-UZ" w:eastAsia="en-US" w:bidi="ar-SA"/>
              </w:rPr>
            </w:pPr>
            <w:r w:rsidRPr="00ED71A0">
              <w:rPr>
                <w:rFonts w:ascii="Garamond" w:eastAsia="Calibri" w:hAnsi="Garamond" w:cs="Calibri"/>
                <w:sz w:val="16"/>
                <w:szCs w:val="16"/>
                <w:lang w:val="uz-Cyrl-UZ" w:eastAsia="en-US" w:bidi="ar-SA"/>
              </w:rPr>
              <w:t xml:space="preserve">Implemented planned activities </w:t>
            </w:r>
            <w:r w:rsidRPr="00ED71A0">
              <w:rPr>
                <w:rFonts w:ascii="Garamond" w:eastAsia="Calibri" w:hAnsi="Garamond" w:cs="Calibri"/>
                <w:sz w:val="16"/>
                <w:szCs w:val="16"/>
                <w:lang w:val="en-GB" w:eastAsia="en-US" w:bidi="ar-SA"/>
              </w:rPr>
              <w:t>under</w:t>
            </w:r>
            <w:r w:rsidRPr="00ED71A0">
              <w:rPr>
                <w:rFonts w:ascii="Garamond" w:eastAsia="Calibri" w:hAnsi="Garamond" w:cs="Calibri"/>
                <w:sz w:val="16"/>
                <w:szCs w:val="16"/>
                <w:lang w:val="uz-Cyrl-UZ" w:eastAsia="en-US" w:bidi="ar-SA"/>
              </w:rPr>
              <w:t xml:space="preserve"> the Accession Program</w:t>
            </w:r>
            <w:r w:rsidRPr="00ED71A0">
              <w:rPr>
                <w:rFonts w:ascii="Garamond" w:eastAsia="Calibri" w:hAnsi="Garamond" w:cs="Calibri"/>
                <w:sz w:val="16"/>
                <w:szCs w:val="16"/>
                <w:lang w:val="en-GB" w:eastAsia="en-US" w:bidi="ar-SA"/>
              </w:rPr>
              <w:t>me</w:t>
            </w:r>
            <w:r w:rsidRPr="00ED71A0">
              <w:rPr>
                <w:rFonts w:ascii="Garamond" w:eastAsia="Calibri" w:hAnsi="Garamond" w:cs="Calibri"/>
                <w:sz w:val="16"/>
                <w:szCs w:val="16"/>
                <w:lang w:val="uz-Cyrl-UZ" w:eastAsia="en-US" w:bidi="ar-SA"/>
              </w:rPr>
              <w:t xml:space="preserve"> - Chapter 16. Taxes</w:t>
            </w:r>
          </w:p>
          <w:p w:rsidR="00895EBB" w:rsidRPr="00ED71A0" w:rsidRDefault="00ED71A0" w:rsidP="00ED71A0">
            <w:pPr>
              <w:widowControl/>
              <w:autoSpaceDE/>
              <w:autoSpaceDN/>
              <w:ind w:left="100" w:right="100"/>
              <w:jc w:val="center"/>
              <w:rPr>
                <w:rFonts w:ascii="Garamond" w:eastAsia="游明朝" w:hAnsi="Garamond" w:cs="Calibri"/>
                <w:noProof/>
                <w:sz w:val="16"/>
                <w:szCs w:val="16"/>
                <w:lang w:eastAsia="en-US" w:bidi="ar-SA"/>
              </w:rPr>
            </w:pPr>
            <w:r w:rsidRPr="00ED71A0">
              <w:rPr>
                <w:rFonts w:ascii="Garamond" w:eastAsia="Calibri" w:hAnsi="Garamond" w:cs="Calibri"/>
                <w:sz w:val="16"/>
                <w:szCs w:val="16"/>
                <w:lang w:val="uz-Cyrl-UZ" w:eastAsia="en-US" w:bidi="ar-SA"/>
              </w:rPr>
              <w:t>(PPCG document</w:t>
            </w:r>
          </w:p>
        </w:tc>
        <w:tc>
          <w:tcPr>
            <w:tcW w:w="468" w:type="pct"/>
            <w:tcBorders>
              <w:top w:val="single" w:sz="8" w:space="0" w:color="000000"/>
              <w:left w:val="single" w:sz="12" w:space="0" w:color="000000"/>
              <w:bottom w:val="single" w:sz="8" w:space="0" w:color="000000"/>
              <w:right w:val="single" w:sz="18" w:space="0" w:color="000000"/>
            </w:tcBorders>
            <w:shd w:val="clear" w:color="auto" w:fill="FFFFFF"/>
            <w:vAlign w:val="center"/>
          </w:tcPr>
          <w:p w:rsidR="00895EBB" w:rsidRPr="00ED71A0" w:rsidRDefault="00F12354" w:rsidP="00895EBB">
            <w:pPr>
              <w:widowControl/>
              <w:autoSpaceDE/>
              <w:autoSpaceDN/>
              <w:ind w:left="100" w:right="100"/>
              <w:jc w:val="center"/>
              <w:rPr>
                <w:rFonts w:ascii="Garamond" w:eastAsia="游明朝" w:hAnsi="Garamond" w:cs="Calibri"/>
                <w:noProof/>
                <w:sz w:val="16"/>
                <w:szCs w:val="16"/>
                <w:lang w:eastAsia="en-US" w:bidi="ar-SA"/>
              </w:rPr>
            </w:pPr>
            <w:r w:rsidRPr="00ED71A0">
              <w:rPr>
                <w:rFonts w:ascii="Garamond" w:eastAsia="游明朝" w:hAnsi="Garamond" w:cs="Calibri"/>
                <w:sz w:val="16"/>
                <w:szCs w:val="16"/>
                <w:lang w:eastAsia="en-US" w:bidi="ar-SA"/>
              </w:rPr>
              <w:t>Higher degree of compliance compared to the previous year</w:t>
            </w:r>
          </w:p>
        </w:tc>
        <w:tc>
          <w:tcPr>
            <w:tcW w:w="263" w:type="pct"/>
            <w:tcBorders>
              <w:top w:val="single" w:sz="8" w:space="0" w:color="000000"/>
              <w:left w:val="single" w:sz="12" w:space="0" w:color="000000"/>
              <w:bottom w:val="single" w:sz="8" w:space="0" w:color="000000"/>
              <w:right w:val="single" w:sz="18"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游明朝" w:hAnsi="Garamond" w:cs="Calibri"/>
                <w:noProof/>
                <w:sz w:val="16"/>
                <w:szCs w:val="16"/>
                <w:lang w:eastAsia="ja-JP" w:bidi="ar-SA"/>
              </w:rPr>
              <w:drawing>
                <wp:inline distT="0" distB="0" distL="0" distR="0">
                  <wp:extent cx="276225" cy="233680"/>
                  <wp:effectExtent l="0" t="0" r="9525" b="0"/>
                  <wp:docPr id="35" name="Picture 46"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Description: Description: C:\Users\owner\Desktop\zelena strelica - manja.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F12354" w:rsidRPr="00ED71A0" w:rsidTr="00F12354">
        <w:trPr>
          <w:trHeight w:val="348"/>
        </w:trPr>
        <w:tc>
          <w:tcPr>
            <w:tcW w:w="714" w:type="pct"/>
            <w:tcBorders>
              <w:top w:val="single" w:sz="8" w:space="0" w:color="000000"/>
              <w:left w:val="single" w:sz="18" w:space="0" w:color="000000"/>
              <w:bottom w:val="single" w:sz="8" w:space="0" w:color="000000"/>
              <w:right w:val="single" w:sz="8" w:space="0" w:color="000000"/>
            </w:tcBorders>
            <w:shd w:val="clear" w:color="auto" w:fill="FFFFFF"/>
            <w:vAlign w:val="center"/>
            <w:hideMark/>
          </w:tcPr>
          <w:p w:rsidR="00F12354" w:rsidRPr="00ED71A0" w:rsidRDefault="00E85DB5"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Share of collected tax revenue compared to the planned tax revenue in the annual budget law</w:t>
            </w:r>
          </w:p>
        </w:tc>
        <w:tc>
          <w:tcPr>
            <w:tcW w:w="35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12354" w:rsidRPr="00ED71A0" w:rsidRDefault="00F12354" w:rsidP="000257FD">
            <w:pPr>
              <w:ind w:left="100" w:right="100"/>
              <w:jc w:val="center"/>
              <w:rPr>
                <w:rFonts w:ascii="Garamond" w:eastAsia="Times New Roman" w:hAnsi="Garamond" w:cstheme="minorHAnsi"/>
                <w:sz w:val="16"/>
                <w:szCs w:val="16"/>
                <w:lang w:eastAsia="hr-HR"/>
              </w:rPr>
            </w:pPr>
            <w:r w:rsidRPr="00ED71A0">
              <w:rPr>
                <w:rFonts w:ascii="Garamond" w:eastAsia="Times New Roman" w:hAnsi="Garamond" w:cstheme="minorHAnsi"/>
                <w:sz w:val="16"/>
                <w:szCs w:val="16"/>
                <w:lang w:eastAsia="hr-HR"/>
              </w:rPr>
              <w:t>100%</w:t>
            </w:r>
          </w:p>
        </w:tc>
        <w:tc>
          <w:tcPr>
            <w:tcW w:w="41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12354" w:rsidRPr="00ED71A0" w:rsidRDefault="00F12354" w:rsidP="00ED71A0">
            <w:pPr>
              <w:ind w:left="100" w:right="100"/>
              <w:jc w:val="center"/>
              <w:rPr>
                <w:rFonts w:ascii="Garamond" w:eastAsia="Times New Roman" w:hAnsi="Garamond" w:cstheme="minorHAnsi"/>
                <w:sz w:val="16"/>
                <w:szCs w:val="16"/>
                <w:lang w:eastAsia="hr-HR"/>
              </w:rPr>
            </w:pPr>
            <w:r w:rsidRPr="00ED71A0">
              <w:rPr>
                <w:rFonts w:ascii="Garamond" w:eastAsia="Times New Roman" w:hAnsi="Garamond" w:cstheme="minorHAnsi"/>
                <w:sz w:val="16"/>
                <w:szCs w:val="16"/>
                <w:lang w:eastAsia="hr-HR"/>
              </w:rPr>
              <w:t xml:space="preserve">More than 100% of the planned (24 million above the plan for 2017) and 34 million above the </w:t>
            </w:r>
            <w:r w:rsidR="00ED71A0">
              <w:rPr>
                <w:rFonts w:ascii="Garamond" w:eastAsia="Times New Roman" w:hAnsi="Garamond" w:cstheme="minorHAnsi"/>
                <w:sz w:val="16"/>
                <w:szCs w:val="16"/>
                <w:lang w:eastAsia="hr-HR"/>
              </w:rPr>
              <w:t>implementation</w:t>
            </w:r>
            <w:r w:rsidRPr="00ED71A0">
              <w:rPr>
                <w:rFonts w:ascii="Garamond" w:eastAsia="Times New Roman" w:hAnsi="Garamond" w:cstheme="minorHAnsi"/>
                <w:sz w:val="16"/>
                <w:szCs w:val="16"/>
                <w:lang w:eastAsia="hr-HR"/>
              </w:rPr>
              <w:t xml:space="preserve"> in 2016.</w:t>
            </w:r>
          </w:p>
        </w:tc>
        <w:tc>
          <w:tcPr>
            <w:tcW w:w="465"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12354" w:rsidRPr="00ED71A0" w:rsidRDefault="00F12354" w:rsidP="000257FD">
            <w:pPr>
              <w:ind w:left="100" w:right="100"/>
              <w:jc w:val="center"/>
              <w:rPr>
                <w:rFonts w:ascii="Garamond" w:eastAsia="Times New Roman" w:hAnsi="Garamond" w:cstheme="minorHAnsi"/>
                <w:sz w:val="16"/>
                <w:szCs w:val="16"/>
                <w:lang w:eastAsia="hr-HR"/>
              </w:rPr>
            </w:pPr>
            <w:r w:rsidRPr="00ED71A0">
              <w:rPr>
                <w:rFonts w:ascii="Garamond" w:eastAsia="Times New Roman" w:hAnsi="Garamond" w:cstheme="minorHAnsi"/>
                <w:sz w:val="16"/>
                <w:szCs w:val="16"/>
                <w:lang w:eastAsia="hr-HR"/>
              </w:rPr>
              <w:t>More than 100% of the planned</w:t>
            </w:r>
          </w:p>
        </w:tc>
        <w:tc>
          <w:tcPr>
            <w:tcW w:w="474"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12354" w:rsidRPr="00ED71A0" w:rsidRDefault="00F12354" w:rsidP="000257FD">
            <w:pPr>
              <w:ind w:left="100" w:right="100"/>
              <w:jc w:val="center"/>
              <w:rPr>
                <w:rFonts w:ascii="Garamond" w:eastAsia="Times New Roman" w:hAnsi="Garamond" w:cstheme="minorHAnsi"/>
                <w:sz w:val="16"/>
                <w:szCs w:val="16"/>
                <w:lang w:eastAsia="hr-HR"/>
              </w:rPr>
            </w:pPr>
            <w:r w:rsidRPr="00ED71A0">
              <w:rPr>
                <w:rFonts w:ascii="Garamond" w:eastAsia="Times New Roman" w:hAnsi="Garamond" w:cstheme="minorHAnsi"/>
                <w:sz w:val="16"/>
                <w:szCs w:val="16"/>
                <w:lang w:eastAsia="hr-HR"/>
              </w:rPr>
              <w:t>100%</w:t>
            </w:r>
          </w:p>
        </w:tc>
        <w:tc>
          <w:tcPr>
            <w:tcW w:w="486" w:type="pct"/>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F12354" w:rsidRPr="00ED71A0" w:rsidRDefault="00F12354" w:rsidP="000257FD">
            <w:pPr>
              <w:ind w:left="100" w:right="100"/>
              <w:jc w:val="center"/>
              <w:rPr>
                <w:rFonts w:ascii="Garamond" w:eastAsia="Times New Roman" w:hAnsi="Garamond" w:cstheme="minorHAnsi"/>
                <w:sz w:val="16"/>
                <w:szCs w:val="16"/>
                <w:lang w:eastAsia="hr-HR"/>
              </w:rPr>
            </w:pPr>
            <w:r w:rsidRPr="00ED71A0">
              <w:rPr>
                <w:rFonts w:ascii="Garamond" w:eastAsia="Times New Roman" w:hAnsi="Garamond" w:cstheme="minorHAnsi"/>
                <w:sz w:val="16"/>
                <w:szCs w:val="16"/>
                <w:lang w:eastAsia="hr-HR"/>
              </w:rPr>
              <w:t xml:space="preserve">Above the plan for 2018, 73 million or 117 million above the </w:t>
            </w:r>
            <w:r w:rsidR="00ED71A0">
              <w:rPr>
                <w:rFonts w:ascii="Garamond" w:eastAsia="Times New Roman" w:hAnsi="Garamond" w:cstheme="minorHAnsi"/>
                <w:sz w:val="16"/>
                <w:szCs w:val="16"/>
                <w:lang w:eastAsia="hr-HR"/>
              </w:rPr>
              <w:t>implementation</w:t>
            </w:r>
            <w:r w:rsidR="00ED71A0" w:rsidRPr="00ED71A0">
              <w:rPr>
                <w:rFonts w:ascii="Garamond" w:eastAsia="Times New Roman" w:hAnsi="Garamond" w:cstheme="minorHAnsi"/>
                <w:sz w:val="16"/>
                <w:szCs w:val="16"/>
                <w:lang w:eastAsia="hr-HR"/>
              </w:rPr>
              <w:t xml:space="preserve"> </w:t>
            </w:r>
            <w:r w:rsidRPr="00ED71A0">
              <w:rPr>
                <w:rFonts w:ascii="Garamond" w:eastAsia="Times New Roman" w:hAnsi="Garamond" w:cstheme="minorHAnsi"/>
                <w:sz w:val="16"/>
                <w:szCs w:val="16"/>
                <w:lang w:eastAsia="hr-HR"/>
              </w:rPr>
              <w:t>from 2017.</w:t>
            </w:r>
          </w:p>
        </w:tc>
        <w:tc>
          <w:tcPr>
            <w:tcW w:w="474" w:type="pct"/>
            <w:tcBorders>
              <w:top w:val="single" w:sz="8" w:space="0" w:color="000000"/>
              <w:left w:val="single" w:sz="8" w:space="0" w:color="000000"/>
              <w:bottom w:val="single" w:sz="8" w:space="0" w:color="000000"/>
              <w:right w:val="single" w:sz="4" w:space="0" w:color="auto"/>
            </w:tcBorders>
            <w:shd w:val="clear" w:color="auto" w:fill="FFFFFF"/>
            <w:vAlign w:val="center"/>
            <w:hideMark/>
          </w:tcPr>
          <w:p w:rsidR="00F12354" w:rsidRPr="00ED71A0" w:rsidRDefault="00F12354" w:rsidP="000257FD">
            <w:pPr>
              <w:ind w:left="100" w:right="100"/>
              <w:jc w:val="center"/>
              <w:rPr>
                <w:rFonts w:ascii="Garamond" w:eastAsia="Times New Roman" w:hAnsi="Garamond" w:cstheme="minorHAnsi"/>
                <w:sz w:val="16"/>
                <w:szCs w:val="16"/>
                <w:lang w:eastAsia="hr-HR"/>
              </w:rPr>
            </w:pPr>
            <w:bookmarkStart w:id="15" w:name="graphic4A"/>
            <w:bookmarkEnd w:id="15"/>
            <w:r w:rsidRPr="00ED71A0">
              <w:rPr>
                <w:rFonts w:ascii="Garamond" w:eastAsia="Times New Roman" w:hAnsi="Garamond" w:cstheme="minorHAnsi"/>
                <w:sz w:val="16"/>
                <w:szCs w:val="16"/>
                <w:lang w:eastAsia="hr-HR"/>
              </w:rPr>
              <w:t>100%</w:t>
            </w:r>
          </w:p>
        </w:tc>
        <w:tc>
          <w:tcPr>
            <w:tcW w:w="465" w:type="pct"/>
            <w:tcBorders>
              <w:top w:val="single" w:sz="8" w:space="0" w:color="000000"/>
              <w:left w:val="single" w:sz="4" w:space="0" w:color="auto"/>
              <w:bottom w:val="single" w:sz="8" w:space="0" w:color="000000"/>
              <w:right w:val="single" w:sz="12" w:space="0" w:color="000000"/>
            </w:tcBorders>
            <w:shd w:val="clear" w:color="auto" w:fill="FFFFFF"/>
            <w:vAlign w:val="center"/>
          </w:tcPr>
          <w:p w:rsidR="00F12354" w:rsidRPr="00ED71A0" w:rsidRDefault="00F12354" w:rsidP="00ED71A0">
            <w:pPr>
              <w:ind w:left="100" w:right="100"/>
              <w:jc w:val="center"/>
              <w:rPr>
                <w:rFonts w:ascii="Garamond" w:eastAsia="Times New Roman" w:hAnsi="Garamond" w:cstheme="minorHAnsi"/>
                <w:sz w:val="16"/>
                <w:szCs w:val="16"/>
                <w:lang w:eastAsia="hr-HR"/>
              </w:rPr>
            </w:pPr>
            <w:r w:rsidRPr="00ED71A0">
              <w:rPr>
                <w:rFonts w:ascii="Garamond" w:eastAsia="Times New Roman" w:hAnsi="Garamond" w:cstheme="minorHAnsi"/>
                <w:sz w:val="16"/>
                <w:szCs w:val="16"/>
                <w:lang w:eastAsia="hr-HR"/>
              </w:rPr>
              <w:t xml:space="preserve">Above the plan for 2019, 80 million were </w:t>
            </w:r>
            <w:r w:rsidR="00ED71A0">
              <w:rPr>
                <w:rFonts w:ascii="Garamond" w:eastAsia="Times New Roman" w:hAnsi="Garamond" w:cstheme="minorHAnsi"/>
                <w:sz w:val="16"/>
                <w:szCs w:val="16"/>
                <w:lang w:eastAsia="hr-HR"/>
              </w:rPr>
              <w:t>implemented</w:t>
            </w:r>
            <w:r w:rsidR="00ED71A0" w:rsidRPr="00ED71A0">
              <w:rPr>
                <w:rFonts w:ascii="Garamond" w:eastAsia="Times New Roman" w:hAnsi="Garamond" w:cstheme="minorHAnsi"/>
                <w:sz w:val="16"/>
                <w:szCs w:val="16"/>
                <w:lang w:eastAsia="hr-HR"/>
              </w:rPr>
              <w:t xml:space="preserve"> </w:t>
            </w:r>
            <w:r w:rsidRPr="00ED71A0">
              <w:rPr>
                <w:rFonts w:ascii="Garamond" w:eastAsia="Times New Roman" w:hAnsi="Garamond" w:cstheme="minorHAnsi"/>
                <w:sz w:val="16"/>
                <w:szCs w:val="16"/>
                <w:lang w:eastAsia="hr-HR"/>
              </w:rPr>
              <w:t>above the plan.</w:t>
            </w:r>
          </w:p>
        </w:tc>
        <w:tc>
          <w:tcPr>
            <w:tcW w:w="421" w:type="pct"/>
            <w:tcBorders>
              <w:top w:val="single" w:sz="8" w:space="0" w:color="000000"/>
              <w:left w:val="single" w:sz="12" w:space="0" w:color="000000"/>
              <w:bottom w:val="single" w:sz="8" w:space="0" w:color="000000"/>
              <w:right w:val="single" w:sz="12" w:space="0" w:color="000000"/>
            </w:tcBorders>
            <w:shd w:val="clear" w:color="auto" w:fill="FFFFFF"/>
            <w:vAlign w:val="center"/>
          </w:tcPr>
          <w:p w:rsidR="00F12354" w:rsidRPr="00ED71A0" w:rsidRDefault="00F12354" w:rsidP="000257FD">
            <w:pPr>
              <w:ind w:left="100" w:right="100"/>
              <w:jc w:val="center"/>
              <w:rPr>
                <w:rFonts w:ascii="Garamond" w:hAnsi="Garamond" w:cstheme="minorHAnsi"/>
                <w:noProof/>
                <w:sz w:val="16"/>
                <w:szCs w:val="16"/>
              </w:rPr>
            </w:pPr>
            <w:r w:rsidRPr="00ED71A0">
              <w:rPr>
                <w:rFonts w:ascii="Garamond" w:hAnsi="Garamond" w:cstheme="minorHAnsi"/>
                <w:noProof/>
                <w:sz w:val="16"/>
                <w:szCs w:val="16"/>
              </w:rPr>
              <w:t>100%</w:t>
            </w:r>
          </w:p>
        </w:tc>
        <w:tc>
          <w:tcPr>
            <w:tcW w:w="468" w:type="pct"/>
            <w:tcBorders>
              <w:top w:val="single" w:sz="8" w:space="0" w:color="000000"/>
              <w:left w:val="single" w:sz="12" w:space="0" w:color="000000"/>
              <w:bottom w:val="single" w:sz="8" w:space="0" w:color="000000"/>
              <w:right w:val="single" w:sz="18" w:space="0" w:color="000000"/>
            </w:tcBorders>
            <w:shd w:val="clear" w:color="auto" w:fill="FFFFFF"/>
            <w:vAlign w:val="center"/>
          </w:tcPr>
          <w:p w:rsidR="00F12354" w:rsidRPr="00ED71A0" w:rsidRDefault="00F12354" w:rsidP="000257FD">
            <w:pPr>
              <w:ind w:left="100" w:right="100"/>
              <w:jc w:val="center"/>
              <w:rPr>
                <w:rFonts w:ascii="Garamond" w:hAnsi="Garamond" w:cstheme="minorHAnsi"/>
                <w:sz w:val="16"/>
                <w:szCs w:val="16"/>
              </w:rPr>
            </w:pPr>
            <w:r w:rsidRPr="00ED71A0">
              <w:rPr>
                <w:rFonts w:ascii="Garamond" w:hAnsi="Garamond" w:cstheme="minorHAnsi"/>
                <w:sz w:val="16"/>
                <w:szCs w:val="16"/>
              </w:rPr>
              <w:t xml:space="preserve">100% </w:t>
            </w:r>
          </w:p>
          <w:p w:rsidR="00F12354" w:rsidRPr="00ED71A0" w:rsidRDefault="00F12354" w:rsidP="000257FD">
            <w:pPr>
              <w:ind w:left="100" w:right="100"/>
              <w:jc w:val="center"/>
              <w:rPr>
                <w:rFonts w:ascii="Garamond" w:hAnsi="Garamond" w:cstheme="minorHAnsi"/>
                <w:sz w:val="16"/>
                <w:szCs w:val="16"/>
              </w:rPr>
            </w:pPr>
          </w:p>
          <w:p w:rsidR="00F12354" w:rsidRPr="00ED71A0" w:rsidRDefault="00EA2CC9" w:rsidP="00EA2CC9">
            <w:pPr>
              <w:ind w:left="100" w:right="100"/>
              <w:jc w:val="center"/>
              <w:rPr>
                <w:rFonts w:ascii="Garamond" w:hAnsi="Garamond" w:cstheme="minorHAnsi"/>
                <w:noProof/>
                <w:sz w:val="16"/>
                <w:szCs w:val="16"/>
              </w:rPr>
            </w:pPr>
            <w:r>
              <w:rPr>
                <w:rFonts w:ascii="Garamond" w:hAnsi="Garamond" w:cstheme="minorHAnsi"/>
                <w:sz w:val="16"/>
                <w:szCs w:val="16"/>
              </w:rPr>
              <w:t>€</w:t>
            </w:r>
            <w:r w:rsidR="00F12354" w:rsidRPr="00ED71A0">
              <w:rPr>
                <w:rFonts w:ascii="Garamond" w:hAnsi="Garamond" w:cstheme="minorHAnsi"/>
                <w:sz w:val="16"/>
                <w:szCs w:val="16"/>
              </w:rPr>
              <w:t xml:space="preserve">65 mil. </w:t>
            </w:r>
            <w:proofErr w:type="gramStart"/>
            <w:r w:rsidR="00F12354" w:rsidRPr="00ED71A0">
              <w:rPr>
                <w:rFonts w:ascii="Garamond" w:hAnsi="Garamond" w:cstheme="minorHAnsi"/>
                <w:sz w:val="16"/>
                <w:szCs w:val="16"/>
              </w:rPr>
              <w:t>above</w:t>
            </w:r>
            <w:proofErr w:type="gramEnd"/>
            <w:r w:rsidR="00F12354" w:rsidRPr="00ED71A0">
              <w:rPr>
                <w:rFonts w:ascii="Garamond" w:hAnsi="Garamond" w:cstheme="minorHAnsi"/>
                <w:sz w:val="16"/>
                <w:szCs w:val="16"/>
              </w:rPr>
              <w:t xml:space="preserve"> the plan according to the budget revision, and </w:t>
            </w:r>
            <w:r>
              <w:rPr>
                <w:rFonts w:ascii="Garamond" w:hAnsi="Garamond" w:cstheme="minorHAnsi"/>
                <w:sz w:val="16"/>
                <w:szCs w:val="16"/>
              </w:rPr>
              <w:t>€</w:t>
            </w:r>
            <w:r w:rsidR="00F12354" w:rsidRPr="00ED71A0">
              <w:rPr>
                <w:rFonts w:ascii="Garamond" w:hAnsi="Garamond" w:cstheme="minorHAnsi"/>
                <w:sz w:val="16"/>
                <w:szCs w:val="16"/>
              </w:rPr>
              <w:t xml:space="preserve">79 mil. (7%) below the </w:t>
            </w:r>
            <w:r>
              <w:rPr>
                <w:rFonts w:ascii="Garamond" w:eastAsia="Times New Roman" w:hAnsi="Garamond" w:cstheme="minorHAnsi"/>
                <w:sz w:val="16"/>
                <w:szCs w:val="16"/>
                <w:lang w:eastAsia="hr-HR"/>
              </w:rPr>
              <w:t>implementation</w:t>
            </w:r>
            <w:r w:rsidRPr="00ED71A0">
              <w:rPr>
                <w:rFonts w:ascii="Garamond" w:eastAsia="Times New Roman" w:hAnsi="Garamond" w:cstheme="minorHAnsi"/>
                <w:sz w:val="16"/>
                <w:szCs w:val="16"/>
                <w:lang w:eastAsia="hr-HR"/>
              </w:rPr>
              <w:t xml:space="preserve"> </w:t>
            </w:r>
            <w:r w:rsidR="00F12354" w:rsidRPr="00ED71A0">
              <w:rPr>
                <w:rFonts w:ascii="Garamond" w:hAnsi="Garamond" w:cstheme="minorHAnsi"/>
                <w:sz w:val="16"/>
                <w:szCs w:val="16"/>
              </w:rPr>
              <w:t>from 2019.</w:t>
            </w:r>
          </w:p>
        </w:tc>
        <w:tc>
          <w:tcPr>
            <w:tcW w:w="263" w:type="pct"/>
            <w:tcBorders>
              <w:top w:val="single" w:sz="8" w:space="0" w:color="000000"/>
              <w:left w:val="single" w:sz="12" w:space="0" w:color="000000"/>
              <w:bottom w:val="single" w:sz="8" w:space="0" w:color="000000"/>
              <w:right w:val="single" w:sz="18" w:space="0" w:color="000000"/>
            </w:tcBorders>
            <w:shd w:val="clear" w:color="auto" w:fill="FFFFFF"/>
            <w:vAlign w:val="center"/>
          </w:tcPr>
          <w:p w:rsidR="00F12354" w:rsidRPr="00ED71A0" w:rsidRDefault="00F12354"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游明朝" w:hAnsi="Garamond" w:cs="Calibri Light"/>
                <w:noProof/>
                <w:sz w:val="16"/>
                <w:szCs w:val="16"/>
                <w:lang w:eastAsia="ja-JP" w:bidi="ar-SA"/>
              </w:rPr>
              <w:drawing>
                <wp:inline distT="0" distB="0" distL="0" distR="0">
                  <wp:extent cx="257175" cy="238125"/>
                  <wp:effectExtent l="0" t="0" r="9525" b="9525"/>
                  <wp:docPr id="38" name="Picture 78" descr="crv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vena strelica - manja"/>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895EBB" w:rsidRPr="00ED71A0" w:rsidTr="00F12354">
        <w:trPr>
          <w:trHeight w:val="363"/>
        </w:trPr>
        <w:tc>
          <w:tcPr>
            <w:tcW w:w="714" w:type="pct"/>
            <w:tcBorders>
              <w:top w:val="single" w:sz="8" w:space="0" w:color="000000"/>
              <w:left w:val="single" w:sz="18" w:space="0" w:color="000000"/>
              <w:bottom w:val="single" w:sz="18" w:space="0" w:color="000000"/>
              <w:right w:val="single" w:sz="8" w:space="0" w:color="000000"/>
            </w:tcBorders>
            <w:shd w:val="clear" w:color="auto" w:fill="FFFFFF"/>
            <w:vAlign w:val="center"/>
            <w:hideMark/>
          </w:tcPr>
          <w:p w:rsidR="00895EBB" w:rsidRPr="00ED71A0" w:rsidRDefault="00E85DB5"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Share of collected VAT revenues in GDP</w:t>
            </w:r>
          </w:p>
        </w:tc>
        <w:tc>
          <w:tcPr>
            <w:tcW w:w="355" w:type="pct"/>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13</w:t>
            </w:r>
            <w:r w:rsidR="00F12354" w:rsidRPr="00ED71A0">
              <w:rPr>
                <w:rFonts w:ascii="Garamond" w:eastAsia="Times New Roman" w:hAnsi="Garamond" w:cs="Calibri"/>
                <w:sz w:val="16"/>
                <w:szCs w:val="16"/>
                <w:lang w:eastAsia="hr-HR" w:bidi="ar-SA"/>
              </w:rPr>
              <w:t>.</w:t>
            </w:r>
            <w:r w:rsidRPr="00ED71A0">
              <w:rPr>
                <w:rFonts w:ascii="Garamond" w:eastAsia="Times New Roman" w:hAnsi="Garamond" w:cs="Calibri"/>
                <w:sz w:val="16"/>
                <w:szCs w:val="16"/>
                <w:lang w:eastAsia="hr-HR" w:bidi="ar-SA"/>
              </w:rPr>
              <w:t>5%</w:t>
            </w:r>
          </w:p>
        </w:tc>
        <w:tc>
          <w:tcPr>
            <w:tcW w:w="416" w:type="pct"/>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13</w:t>
            </w:r>
            <w:r w:rsidR="00F12354" w:rsidRPr="00ED71A0">
              <w:rPr>
                <w:rFonts w:ascii="Garamond" w:eastAsia="Times New Roman" w:hAnsi="Garamond" w:cs="Calibri"/>
                <w:sz w:val="16"/>
                <w:szCs w:val="16"/>
                <w:lang w:eastAsia="hr-HR" w:bidi="ar-SA"/>
              </w:rPr>
              <w:t>.</w:t>
            </w:r>
            <w:r w:rsidRPr="00ED71A0">
              <w:rPr>
                <w:rFonts w:ascii="Garamond" w:eastAsia="Times New Roman" w:hAnsi="Garamond" w:cs="Calibri"/>
                <w:sz w:val="16"/>
                <w:szCs w:val="16"/>
                <w:lang w:eastAsia="hr-HR" w:bidi="ar-SA"/>
              </w:rPr>
              <w:t>5%</w:t>
            </w:r>
          </w:p>
        </w:tc>
        <w:tc>
          <w:tcPr>
            <w:tcW w:w="465" w:type="pct"/>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13</w:t>
            </w:r>
            <w:r w:rsidR="00F12354" w:rsidRPr="00ED71A0">
              <w:rPr>
                <w:rFonts w:ascii="Garamond" w:eastAsia="Times New Roman" w:hAnsi="Garamond" w:cs="Calibri"/>
                <w:sz w:val="16"/>
                <w:szCs w:val="16"/>
                <w:lang w:eastAsia="hr-HR" w:bidi="ar-SA"/>
              </w:rPr>
              <w:t>.</w:t>
            </w:r>
            <w:r w:rsidRPr="00ED71A0">
              <w:rPr>
                <w:rFonts w:ascii="Garamond" w:eastAsia="Times New Roman" w:hAnsi="Garamond" w:cs="Calibri"/>
                <w:sz w:val="16"/>
                <w:szCs w:val="16"/>
                <w:lang w:eastAsia="hr-HR" w:bidi="ar-SA"/>
              </w:rPr>
              <w:t>0%[1]</w:t>
            </w:r>
          </w:p>
        </w:tc>
        <w:tc>
          <w:tcPr>
            <w:tcW w:w="474" w:type="pct"/>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14</w:t>
            </w:r>
            <w:r w:rsidR="00F12354" w:rsidRPr="00ED71A0">
              <w:rPr>
                <w:rFonts w:ascii="Garamond" w:eastAsia="Times New Roman" w:hAnsi="Garamond" w:cs="Calibri"/>
                <w:sz w:val="16"/>
                <w:szCs w:val="16"/>
                <w:lang w:eastAsia="hr-HR" w:bidi="ar-SA"/>
              </w:rPr>
              <w:t>.</w:t>
            </w:r>
            <w:r w:rsidRPr="00ED71A0">
              <w:rPr>
                <w:rFonts w:ascii="Garamond" w:eastAsia="Times New Roman" w:hAnsi="Garamond" w:cs="Calibri"/>
                <w:sz w:val="16"/>
                <w:szCs w:val="16"/>
                <w:lang w:eastAsia="hr-HR" w:bidi="ar-SA"/>
              </w:rPr>
              <w:t>7%</w:t>
            </w:r>
          </w:p>
        </w:tc>
        <w:tc>
          <w:tcPr>
            <w:tcW w:w="486" w:type="pct"/>
            <w:tcBorders>
              <w:top w:val="single" w:sz="8" w:space="0" w:color="000000"/>
              <w:left w:val="single" w:sz="8" w:space="0" w:color="000000"/>
              <w:bottom w:val="single" w:sz="18" w:space="0" w:color="000000"/>
              <w:right w:val="single" w:sz="8" w:space="0" w:color="000000"/>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13</w:t>
            </w:r>
            <w:r w:rsidR="00F12354" w:rsidRPr="00ED71A0">
              <w:rPr>
                <w:rFonts w:ascii="Garamond" w:eastAsia="Times New Roman" w:hAnsi="Garamond" w:cs="Calibri"/>
                <w:sz w:val="16"/>
                <w:szCs w:val="16"/>
                <w:lang w:eastAsia="hr-HR" w:bidi="ar-SA"/>
              </w:rPr>
              <w:t>.</w:t>
            </w:r>
            <w:r w:rsidRPr="00ED71A0">
              <w:rPr>
                <w:rFonts w:ascii="Garamond" w:eastAsia="Times New Roman" w:hAnsi="Garamond" w:cs="Calibri"/>
                <w:sz w:val="16"/>
                <w:szCs w:val="16"/>
                <w:lang w:eastAsia="hr-HR" w:bidi="ar-SA"/>
              </w:rPr>
              <w:t>6%</w:t>
            </w:r>
          </w:p>
        </w:tc>
        <w:tc>
          <w:tcPr>
            <w:tcW w:w="474" w:type="pct"/>
            <w:tcBorders>
              <w:top w:val="single" w:sz="8" w:space="0" w:color="000000"/>
              <w:left w:val="single" w:sz="8" w:space="0" w:color="000000"/>
              <w:bottom w:val="single" w:sz="18" w:space="0" w:color="000000"/>
              <w:right w:val="single" w:sz="4" w:space="0" w:color="auto"/>
            </w:tcBorders>
            <w:shd w:val="clear" w:color="auto" w:fill="FFFFFF"/>
            <w:vAlign w:val="center"/>
            <w:hideMark/>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bookmarkStart w:id="16" w:name="graphic4B"/>
            <w:bookmarkEnd w:id="16"/>
            <w:r w:rsidRPr="00ED71A0">
              <w:rPr>
                <w:rFonts w:ascii="Garamond" w:eastAsia="Times New Roman" w:hAnsi="Garamond" w:cs="Calibri"/>
                <w:sz w:val="16"/>
                <w:szCs w:val="16"/>
                <w:lang w:eastAsia="hr-HR" w:bidi="ar-SA"/>
              </w:rPr>
              <w:t>13</w:t>
            </w:r>
            <w:r w:rsidR="00F12354" w:rsidRPr="00ED71A0">
              <w:rPr>
                <w:rFonts w:ascii="Garamond" w:eastAsia="Times New Roman" w:hAnsi="Garamond" w:cs="Calibri"/>
                <w:sz w:val="16"/>
                <w:szCs w:val="16"/>
                <w:lang w:eastAsia="hr-HR" w:bidi="ar-SA"/>
              </w:rPr>
              <w:t>.</w:t>
            </w:r>
            <w:r w:rsidRPr="00ED71A0">
              <w:rPr>
                <w:rFonts w:ascii="Garamond" w:eastAsia="Times New Roman" w:hAnsi="Garamond" w:cs="Calibri"/>
                <w:sz w:val="16"/>
                <w:szCs w:val="16"/>
                <w:lang w:eastAsia="hr-HR" w:bidi="ar-SA"/>
              </w:rPr>
              <w:t>6%</w:t>
            </w:r>
          </w:p>
        </w:tc>
        <w:tc>
          <w:tcPr>
            <w:tcW w:w="465" w:type="pct"/>
            <w:tcBorders>
              <w:top w:val="single" w:sz="8" w:space="0" w:color="000000"/>
              <w:left w:val="single" w:sz="4" w:space="0" w:color="auto"/>
              <w:bottom w:val="single" w:sz="18" w:space="0" w:color="000000"/>
              <w:right w:val="single" w:sz="12"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Times New Roman" w:hAnsi="Garamond" w:cs="Calibri"/>
                <w:sz w:val="16"/>
                <w:szCs w:val="16"/>
                <w:lang w:eastAsia="hr-HR" w:bidi="ar-SA"/>
              </w:rPr>
              <w:t>14</w:t>
            </w:r>
            <w:r w:rsidR="00F12354" w:rsidRPr="00ED71A0">
              <w:rPr>
                <w:rFonts w:ascii="Garamond" w:eastAsia="Times New Roman" w:hAnsi="Garamond" w:cs="Calibri"/>
                <w:sz w:val="16"/>
                <w:szCs w:val="16"/>
                <w:lang w:eastAsia="hr-HR" w:bidi="ar-SA"/>
              </w:rPr>
              <w:t>.</w:t>
            </w:r>
            <w:r w:rsidRPr="00ED71A0">
              <w:rPr>
                <w:rFonts w:ascii="Garamond" w:eastAsia="Times New Roman" w:hAnsi="Garamond" w:cs="Calibri"/>
                <w:sz w:val="16"/>
                <w:szCs w:val="16"/>
                <w:lang w:eastAsia="hr-HR" w:bidi="ar-SA"/>
              </w:rPr>
              <w:t>44%</w:t>
            </w:r>
          </w:p>
        </w:tc>
        <w:tc>
          <w:tcPr>
            <w:tcW w:w="421" w:type="pct"/>
            <w:tcBorders>
              <w:top w:val="single" w:sz="8" w:space="0" w:color="000000"/>
              <w:left w:val="single" w:sz="12" w:space="0" w:color="000000"/>
              <w:bottom w:val="single" w:sz="18" w:space="0" w:color="000000"/>
              <w:right w:val="single" w:sz="12"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游明朝" w:hAnsi="Garamond" w:cs="Calibri"/>
                <w:noProof/>
                <w:sz w:val="16"/>
                <w:szCs w:val="16"/>
                <w:lang w:eastAsia="en-US" w:bidi="ar-SA"/>
              </w:rPr>
            </w:pPr>
            <w:r w:rsidRPr="00ED71A0">
              <w:rPr>
                <w:rFonts w:ascii="Garamond" w:eastAsia="游明朝" w:hAnsi="Garamond" w:cs="Calibri"/>
                <w:sz w:val="16"/>
                <w:szCs w:val="16"/>
                <w:lang w:eastAsia="en-US" w:bidi="ar-SA"/>
              </w:rPr>
              <w:t>14</w:t>
            </w:r>
            <w:r w:rsidR="00F12354" w:rsidRPr="00ED71A0">
              <w:rPr>
                <w:rFonts w:ascii="Garamond" w:eastAsia="游明朝" w:hAnsi="Garamond" w:cs="Calibri"/>
                <w:sz w:val="16"/>
                <w:szCs w:val="16"/>
                <w:lang w:eastAsia="en-US" w:bidi="ar-SA"/>
              </w:rPr>
              <w:t>.</w:t>
            </w:r>
            <w:r w:rsidRPr="00ED71A0">
              <w:rPr>
                <w:rFonts w:ascii="Garamond" w:eastAsia="游明朝" w:hAnsi="Garamond" w:cs="Calibri"/>
                <w:sz w:val="16"/>
                <w:szCs w:val="16"/>
                <w:lang w:eastAsia="en-US" w:bidi="ar-SA"/>
              </w:rPr>
              <w:t>6%</w:t>
            </w:r>
          </w:p>
        </w:tc>
        <w:tc>
          <w:tcPr>
            <w:tcW w:w="468" w:type="pct"/>
            <w:tcBorders>
              <w:top w:val="single" w:sz="8" w:space="0" w:color="000000"/>
              <w:left w:val="single" w:sz="12" w:space="0" w:color="000000"/>
              <w:bottom w:val="single" w:sz="18" w:space="0" w:color="000000"/>
              <w:right w:val="single" w:sz="18"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游明朝" w:hAnsi="Garamond" w:cs="Calibri"/>
                <w:noProof/>
                <w:sz w:val="16"/>
                <w:szCs w:val="16"/>
                <w:lang w:eastAsia="en-US" w:bidi="ar-SA"/>
              </w:rPr>
            </w:pPr>
            <w:r w:rsidRPr="00ED71A0">
              <w:rPr>
                <w:rFonts w:ascii="Garamond" w:eastAsia="游明朝" w:hAnsi="Garamond" w:cs="Times New Roman"/>
                <w:color w:val="000000"/>
                <w:sz w:val="16"/>
                <w:szCs w:val="16"/>
                <w:lang w:eastAsia="en-US" w:bidi="ar-SA"/>
              </w:rPr>
              <w:t>12</w:t>
            </w:r>
            <w:r w:rsidR="00F12354" w:rsidRPr="00ED71A0">
              <w:rPr>
                <w:rFonts w:ascii="Garamond" w:eastAsia="游明朝" w:hAnsi="Garamond" w:cs="Times New Roman"/>
                <w:color w:val="000000"/>
                <w:sz w:val="16"/>
                <w:szCs w:val="16"/>
                <w:lang w:eastAsia="en-US" w:bidi="ar-SA"/>
              </w:rPr>
              <w:t>.</w:t>
            </w:r>
            <w:r w:rsidRPr="00ED71A0">
              <w:rPr>
                <w:rFonts w:ascii="Garamond" w:eastAsia="游明朝" w:hAnsi="Garamond" w:cs="Times New Roman"/>
                <w:color w:val="000000"/>
                <w:sz w:val="16"/>
                <w:szCs w:val="16"/>
                <w:lang w:eastAsia="en-US" w:bidi="ar-SA"/>
              </w:rPr>
              <w:t>6%</w:t>
            </w:r>
          </w:p>
        </w:tc>
        <w:tc>
          <w:tcPr>
            <w:tcW w:w="263" w:type="pct"/>
            <w:tcBorders>
              <w:top w:val="single" w:sz="8" w:space="0" w:color="000000"/>
              <w:left w:val="single" w:sz="12" w:space="0" w:color="000000"/>
              <w:bottom w:val="single" w:sz="18" w:space="0" w:color="000000"/>
              <w:right w:val="single" w:sz="18" w:space="0" w:color="000000"/>
            </w:tcBorders>
            <w:shd w:val="clear" w:color="auto" w:fill="FFFFFF"/>
            <w:vAlign w:val="center"/>
          </w:tcPr>
          <w:p w:rsidR="00895EBB" w:rsidRPr="00ED71A0" w:rsidRDefault="00895EBB" w:rsidP="00895EBB">
            <w:pPr>
              <w:widowControl/>
              <w:autoSpaceDE/>
              <w:autoSpaceDN/>
              <w:ind w:left="100" w:right="100"/>
              <w:jc w:val="center"/>
              <w:rPr>
                <w:rFonts w:ascii="Garamond" w:eastAsia="Times New Roman" w:hAnsi="Garamond" w:cs="Calibri"/>
                <w:sz w:val="16"/>
                <w:szCs w:val="16"/>
                <w:lang w:eastAsia="hr-HR" w:bidi="ar-SA"/>
              </w:rPr>
            </w:pPr>
            <w:r w:rsidRPr="00ED71A0">
              <w:rPr>
                <w:rFonts w:ascii="Garamond" w:eastAsia="游明朝" w:hAnsi="Garamond" w:cs="Calibri Light"/>
                <w:noProof/>
                <w:sz w:val="16"/>
                <w:szCs w:val="16"/>
                <w:lang w:eastAsia="ja-JP" w:bidi="ar-SA"/>
              </w:rPr>
              <w:drawing>
                <wp:inline distT="0" distB="0" distL="0" distR="0">
                  <wp:extent cx="257175" cy="238125"/>
                  <wp:effectExtent l="0" t="0" r="9525" b="9525"/>
                  <wp:docPr id="37" name="Picture 70" descr="crv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vena strelica - manja"/>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7175" cy="238125"/>
                          </a:xfrm>
                          <a:prstGeom prst="rect">
                            <a:avLst/>
                          </a:prstGeom>
                          <a:noFill/>
                          <a:ln>
                            <a:noFill/>
                          </a:ln>
                        </pic:spPr>
                      </pic:pic>
                    </a:graphicData>
                  </a:graphic>
                </wp:inline>
              </w:drawing>
            </w:r>
          </w:p>
        </w:tc>
      </w:tr>
    </w:tbl>
    <w:p w:rsidR="00F12354" w:rsidRDefault="00F12354" w:rsidP="004D1343">
      <w:pPr>
        <w:rPr>
          <w:rFonts w:ascii="Garamond" w:hAnsi="Garamond"/>
          <w:sz w:val="24"/>
          <w:szCs w:val="24"/>
        </w:rPr>
        <w:sectPr w:rsidR="00F12354" w:rsidSect="00895EBB">
          <w:pgSz w:w="15840" w:h="12240" w:orient="landscape"/>
          <w:pgMar w:top="1440" w:right="1440" w:bottom="1440" w:left="1440" w:header="720" w:footer="720" w:gutter="0"/>
          <w:cols w:space="720"/>
          <w:docGrid w:linePitch="360"/>
        </w:sectPr>
      </w:pPr>
    </w:p>
    <w:p w:rsidR="00F12354" w:rsidRPr="00C32887" w:rsidRDefault="00613C2B" w:rsidP="004D1343">
      <w:pPr>
        <w:rPr>
          <w:rFonts w:ascii="Garamond" w:hAnsi="Garamond"/>
          <w:sz w:val="24"/>
          <w:szCs w:val="24"/>
        </w:rPr>
      </w:pPr>
      <w:r>
        <w:rPr>
          <w:rFonts w:ascii="Garamond" w:hAnsi="Garamond"/>
          <w:sz w:val="24"/>
          <w:szCs w:val="24"/>
        </w:rPr>
      </w:r>
      <w:r>
        <w:rPr>
          <w:rFonts w:ascii="Garamond" w:hAnsi="Garamond"/>
          <w:sz w:val="24"/>
          <w:szCs w:val="24"/>
        </w:rPr>
        <w:pict>
          <v:roundrect id="Rounded Rectangle 24" o:spid="_x0000_s1035" style="width:502.8pt;height:109.2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" fillcolor="#243f60 [1604]" strokecolor="#243f60 [1604]" strokeweight="1pt">
            <v:stroke joinstyle="miter"/>
            <v:path arrowok="t"/>
            <v:textbox>
              <w:txbxContent>
                <w:p w:rsidR="002C4371" w:rsidRPr="00F12354" w:rsidRDefault="002C4371" w:rsidP="00F12354">
                  <w:pPr>
                    <w:rPr>
                      <w:rFonts w:ascii="Garamond" w:hAnsi="Garamond" w:cstheme="majorHAnsi"/>
                      <w:sz w:val="20"/>
                      <w:szCs w:val="20"/>
                    </w:rPr>
                  </w:pPr>
                  <w:r w:rsidRPr="00F12354">
                    <w:rPr>
                      <w:rFonts w:ascii="Garamond" w:hAnsi="Garamond" w:cstheme="majorHAnsi"/>
                      <w:sz w:val="20"/>
                      <w:szCs w:val="20"/>
                    </w:rPr>
                    <w:t>Challenge:</w:t>
                  </w:r>
                </w:p>
                <w:p w:rsidR="002C4371" w:rsidRPr="00F12354" w:rsidRDefault="002C4371" w:rsidP="00F12354">
                  <w:pPr>
                    <w:rPr>
                      <w:rFonts w:ascii="Garamond" w:hAnsi="Garamond" w:cstheme="majorHAnsi"/>
                      <w:sz w:val="20"/>
                      <w:szCs w:val="20"/>
                    </w:rPr>
                  </w:pPr>
                </w:p>
                <w:p w:rsidR="002C4371" w:rsidRPr="00F12354" w:rsidRDefault="002C4371" w:rsidP="00EE578D">
                  <w:pPr>
                    <w:jc w:val="both"/>
                    <w:rPr>
                      <w:rFonts w:ascii="Garamond" w:hAnsi="Garamond" w:cstheme="majorHAnsi"/>
                      <w:sz w:val="20"/>
                      <w:szCs w:val="20"/>
                    </w:rPr>
                  </w:pPr>
                  <w:r w:rsidRPr="00F12354">
                    <w:rPr>
                      <w:rFonts w:ascii="Garamond" w:hAnsi="Garamond" w:cstheme="majorHAnsi"/>
                      <w:sz w:val="20"/>
                      <w:szCs w:val="20"/>
                    </w:rPr>
                    <w:t>Further strengthening of administrative capacities in the light of the creation of new business processes imposed by the project implementation and digiti</w:t>
                  </w:r>
                  <w:r>
                    <w:rPr>
                      <w:rFonts w:ascii="Garamond" w:hAnsi="Garamond" w:cstheme="majorHAnsi"/>
                      <w:sz w:val="20"/>
                      <w:szCs w:val="20"/>
                    </w:rPr>
                    <w:t>sation</w:t>
                  </w:r>
                  <w:r w:rsidRPr="00F12354">
                    <w:rPr>
                      <w:rFonts w:ascii="Garamond" w:hAnsi="Garamond" w:cstheme="majorHAnsi"/>
                      <w:sz w:val="20"/>
                      <w:szCs w:val="20"/>
                    </w:rPr>
                    <w:t xml:space="preserve"> processes. The outflow of staff remains a challenge in this domain</w:t>
                  </w:r>
                </w:p>
                <w:p w:rsidR="002C4371" w:rsidRPr="00F12354" w:rsidRDefault="002C4371" w:rsidP="00F12354">
                  <w:pPr>
                    <w:rPr>
                      <w:rFonts w:ascii="Garamond" w:hAnsi="Garamond" w:cstheme="majorHAnsi"/>
                      <w:sz w:val="20"/>
                      <w:szCs w:val="20"/>
                    </w:rPr>
                  </w:pPr>
                </w:p>
                <w:p w:rsidR="002C4371" w:rsidRPr="00F12354" w:rsidRDefault="002C4371" w:rsidP="00F12354">
                  <w:pPr>
                    <w:rPr>
                      <w:rFonts w:ascii="Garamond" w:hAnsi="Garamond"/>
                      <w:szCs w:val="20"/>
                    </w:rPr>
                  </w:pPr>
                  <w:r w:rsidRPr="00F12354">
                    <w:rPr>
                      <w:rFonts w:ascii="Garamond" w:hAnsi="Garamond" w:cstheme="majorHAnsi"/>
                      <w:sz w:val="20"/>
                      <w:szCs w:val="20"/>
                    </w:rPr>
                    <w:t>It is important to continue with the tr</w:t>
                  </w:r>
                  <w:r>
                    <w:rPr>
                      <w:rFonts w:ascii="Garamond" w:hAnsi="Garamond" w:cstheme="majorHAnsi"/>
                      <w:sz w:val="20"/>
                      <w:szCs w:val="20"/>
                    </w:rPr>
                    <w:t xml:space="preserve">aining of employees, prepare the </w:t>
                  </w:r>
                  <w:r w:rsidRPr="00F12354">
                    <w:rPr>
                      <w:rFonts w:ascii="Garamond" w:hAnsi="Garamond" w:cstheme="majorHAnsi"/>
                      <w:sz w:val="20"/>
                      <w:szCs w:val="20"/>
                    </w:rPr>
                    <w:t>Human Resources Management</w:t>
                  </w:r>
                  <w:r w:rsidRPr="00FA7303">
                    <w:rPr>
                      <w:rFonts w:ascii="Garamond" w:hAnsi="Garamond" w:cstheme="majorHAnsi"/>
                      <w:sz w:val="20"/>
                      <w:szCs w:val="20"/>
                    </w:rPr>
                    <w:t xml:space="preserve"> </w:t>
                  </w:r>
                  <w:r w:rsidRPr="00F12354">
                    <w:rPr>
                      <w:rFonts w:ascii="Garamond" w:hAnsi="Garamond" w:cstheme="majorHAnsi"/>
                      <w:sz w:val="20"/>
                      <w:szCs w:val="20"/>
                    </w:rPr>
                    <w:t xml:space="preserve">Strategy, not only at the level of the </w:t>
                  </w:r>
                  <w:r>
                    <w:rPr>
                      <w:rFonts w:ascii="Garamond" w:hAnsi="Garamond" w:cstheme="majorHAnsi"/>
                      <w:sz w:val="20"/>
                      <w:szCs w:val="20"/>
                    </w:rPr>
                    <w:t>Administration</w:t>
                  </w:r>
                  <w:r w:rsidRPr="00F12354">
                    <w:rPr>
                      <w:rFonts w:ascii="Garamond" w:hAnsi="Garamond" w:cstheme="majorHAnsi"/>
                      <w:sz w:val="20"/>
                      <w:szCs w:val="20"/>
                    </w:rPr>
                    <w:t xml:space="preserve"> but also beyond.</w:t>
                  </w:r>
                </w:p>
              </w:txbxContent>
            </v:textbox>
            <w10:wrap type="none"/>
            <w10:anchorlock/>
          </v:roundrect>
        </w:pict>
      </w:r>
    </w:p>
    <w:p w:rsidR="00A6753F" w:rsidRDefault="00A6753F" w:rsidP="004D1343">
      <w:pPr>
        <w:rPr>
          <w:rFonts w:ascii="Garamond" w:hAnsi="Garamond"/>
          <w:sz w:val="24"/>
          <w:szCs w:val="24"/>
        </w:rPr>
      </w:pPr>
    </w:p>
    <w:p w:rsidR="004D1343" w:rsidRPr="00C32887" w:rsidRDefault="00A6753F" w:rsidP="00A6753F">
      <w:pPr>
        <w:pStyle w:val="Heading3"/>
        <w:rPr>
          <w:rFonts w:ascii="Garamond" w:hAnsi="Garamond"/>
          <w:sz w:val="24"/>
          <w:szCs w:val="24"/>
        </w:rPr>
      </w:pPr>
      <w:bookmarkStart w:id="17" w:name="_Toc77688197"/>
      <w:r w:rsidRPr="00C32887">
        <w:rPr>
          <w:rFonts w:ascii="Garamond" w:hAnsi="Garamond"/>
          <w:sz w:val="24"/>
          <w:szCs w:val="24"/>
        </w:rPr>
        <w:t xml:space="preserve">STRENGTHENING </w:t>
      </w:r>
      <w:r>
        <w:rPr>
          <w:rFonts w:ascii="Garamond" w:hAnsi="Garamond"/>
          <w:sz w:val="24"/>
          <w:szCs w:val="24"/>
        </w:rPr>
        <w:t>CUSTOMS ADMINISTRATION CAPACITIES</w:t>
      </w:r>
      <w:r>
        <w:rPr>
          <w:rStyle w:val="FootnoteReference"/>
          <w:rFonts w:ascii="Garamond" w:hAnsi="Garamond"/>
          <w:sz w:val="24"/>
          <w:szCs w:val="24"/>
        </w:rPr>
        <w:footnoteReference w:id="19"/>
      </w:r>
      <w:bookmarkEnd w:id="17"/>
    </w:p>
    <w:p w:rsidR="004D1343" w:rsidRPr="00C32887" w:rsidRDefault="004D1343" w:rsidP="004D1343">
      <w:pPr>
        <w:rPr>
          <w:rFonts w:ascii="Garamond" w:hAnsi="Garamond"/>
          <w:sz w:val="24"/>
          <w:szCs w:val="24"/>
        </w:rPr>
      </w:pPr>
    </w:p>
    <w:p w:rsidR="004D1343" w:rsidRPr="00C32887" w:rsidRDefault="004D1343" w:rsidP="00A6753F">
      <w:pPr>
        <w:jc w:val="both"/>
        <w:rPr>
          <w:rFonts w:ascii="Garamond" w:hAnsi="Garamond"/>
          <w:sz w:val="24"/>
          <w:szCs w:val="24"/>
        </w:rPr>
      </w:pPr>
      <w:r w:rsidRPr="00C32887">
        <w:rPr>
          <w:rFonts w:ascii="Garamond" w:hAnsi="Garamond"/>
          <w:sz w:val="24"/>
          <w:szCs w:val="24"/>
        </w:rPr>
        <w:t>In order to efficiently collect revenues, the Customs Administration continuously conducts activities for proper and timely collection of revenues, based on the calculation of customs, tax, excise and other duties.</w:t>
      </w:r>
    </w:p>
    <w:p w:rsidR="004D1343" w:rsidRPr="00C32887" w:rsidRDefault="004D1343" w:rsidP="004D1343">
      <w:pPr>
        <w:rPr>
          <w:rFonts w:ascii="Garamond" w:hAnsi="Garamond"/>
          <w:sz w:val="24"/>
          <w:szCs w:val="24"/>
        </w:rPr>
      </w:pPr>
    </w:p>
    <w:p w:rsidR="004D1343" w:rsidRPr="00C32887" w:rsidRDefault="004D1343" w:rsidP="00A6753F">
      <w:pPr>
        <w:jc w:val="both"/>
        <w:rPr>
          <w:rFonts w:ascii="Garamond" w:hAnsi="Garamond"/>
          <w:sz w:val="24"/>
          <w:szCs w:val="24"/>
        </w:rPr>
      </w:pPr>
      <w:r w:rsidRPr="00C32887">
        <w:rPr>
          <w:rFonts w:ascii="Garamond" w:hAnsi="Garamond"/>
          <w:sz w:val="24"/>
          <w:szCs w:val="24"/>
        </w:rPr>
        <w:t xml:space="preserve">In 2020, net collection </w:t>
      </w:r>
      <w:r w:rsidR="00A6753F">
        <w:rPr>
          <w:rFonts w:ascii="Garamond" w:hAnsi="Garamond"/>
          <w:sz w:val="24"/>
          <w:szCs w:val="24"/>
        </w:rPr>
        <w:t>of</w:t>
      </w:r>
      <w:r w:rsidRPr="00C32887">
        <w:rPr>
          <w:rFonts w:ascii="Garamond" w:hAnsi="Garamond"/>
          <w:sz w:val="24"/>
          <w:szCs w:val="24"/>
        </w:rPr>
        <w:t xml:space="preserve"> revenue </w:t>
      </w:r>
      <w:r w:rsidR="00A6753F">
        <w:rPr>
          <w:rFonts w:ascii="Garamond" w:hAnsi="Garamond"/>
          <w:sz w:val="24"/>
          <w:szCs w:val="24"/>
        </w:rPr>
        <w:t xml:space="preserve">amounted to </w:t>
      </w:r>
      <w:r w:rsidR="00A6753F" w:rsidRPr="00C32887">
        <w:rPr>
          <w:rFonts w:ascii="Garamond" w:hAnsi="Garamond"/>
          <w:sz w:val="24"/>
          <w:szCs w:val="24"/>
        </w:rPr>
        <w:t>€</w:t>
      </w:r>
      <w:r w:rsidRPr="00C32887">
        <w:rPr>
          <w:rFonts w:ascii="Garamond" w:hAnsi="Garamond"/>
          <w:sz w:val="24"/>
          <w:szCs w:val="24"/>
        </w:rPr>
        <w:t xml:space="preserve">661,379,779.21. In the conditions caused by the economic crisis due to the COVID-19 pandemic, the decline in </w:t>
      </w:r>
      <w:r w:rsidR="00FA7303">
        <w:rPr>
          <w:rFonts w:ascii="Garamond" w:hAnsi="Garamond"/>
          <w:sz w:val="24"/>
          <w:szCs w:val="24"/>
        </w:rPr>
        <w:t>revenue</w:t>
      </w:r>
      <w:r w:rsidRPr="00C32887">
        <w:rPr>
          <w:rFonts w:ascii="Garamond" w:hAnsi="Garamond"/>
          <w:sz w:val="24"/>
          <w:szCs w:val="24"/>
        </w:rPr>
        <w:t xml:space="preserve"> in domestic and foreign trade as well as the</w:t>
      </w:r>
      <w:r w:rsidR="00F80F06">
        <w:rPr>
          <w:rFonts w:ascii="Garamond" w:hAnsi="Garamond"/>
          <w:sz w:val="24"/>
          <w:szCs w:val="24"/>
        </w:rPr>
        <w:t xml:space="preserve"> reduction of economic activity</w:t>
      </w:r>
      <w:r w:rsidRPr="00C32887">
        <w:rPr>
          <w:rFonts w:ascii="Garamond" w:hAnsi="Garamond"/>
          <w:sz w:val="24"/>
          <w:szCs w:val="24"/>
        </w:rPr>
        <w:t xml:space="preserve"> </w:t>
      </w:r>
      <w:r w:rsidR="00FA7303">
        <w:rPr>
          <w:rFonts w:ascii="Garamond" w:hAnsi="Garamond"/>
          <w:sz w:val="24"/>
          <w:szCs w:val="24"/>
        </w:rPr>
        <w:t xml:space="preserve">caused </w:t>
      </w:r>
      <w:r w:rsidRPr="00C32887">
        <w:rPr>
          <w:rFonts w:ascii="Garamond" w:hAnsi="Garamond"/>
          <w:sz w:val="24"/>
          <w:szCs w:val="24"/>
        </w:rPr>
        <w:t xml:space="preserve">the generated revenues </w:t>
      </w:r>
      <w:r w:rsidR="00FA7303">
        <w:rPr>
          <w:rFonts w:ascii="Garamond" w:hAnsi="Garamond"/>
          <w:sz w:val="24"/>
          <w:szCs w:val="24"/>
        </w:rPr>
        <w:t>to be</w:t>
      </w:r>
      <w:r w:rsidRPr="00C32887">
        <w:rPr>
          <w:rFonts w:ascii="Garamond" w:hAnsi="Garamond"/>
          <w:sz w:val="24"/>
          <w:szCs w:val="24"/>
        </w:rPr>
        <w:t xml:space="preserve"> lower by 18% compared to the previous year.</w:t>
      </w:r>
      <w:r w:rsidR="00A6753F">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A6753F" w:rsidP="00A6753F">
      <w:pPr>
        <w:jc w:val="center"/>
        <w:rPr>
          <w:rFonts w:ascii="Garamond" w:hAnsi="Garamond"/>
          <w:sz w:val="24"/>
          <w:szCs w:val="24"/>
        </w:rPr>
      </w:pPr>
      <w:r>
        <w:rPr>
          <w:rFonts w:ascii="Garamond" w:hAnsi="Garamond"/>
          <w:noProof/>
          <w:sz w:val="24"/>
          <w:szCs w:val="24"/>
          <w:lang w:eastAsia="ja-JP" w:bidi="ar-SA"/>
        </w:rPr>
        <w:drawing>
          <wp:inline distT="0" distB="0" distL="0" distR="0">
            <wp:extent cx="3424615" cy="1392197"/>
            <wp:effectExtent l="19050" t="0" r="4385" b="0"/>
            <wp:docPr id="390" name="Picture 390" descr="C:\Users\win10\Desktop\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0" descr="C:\Users\win10\Desktop\Untitled.png"/>
                    <pic:cNvPicPr>
                      <a:picLocks noChangeAspect="1" noChangeArrowheads="1"/>
                    </pic:cNvPicPr>
                  </pic:nvPicPr>
                  <pic:blipFill>
                    <a:blip r:embed="rId17" cstate="print"/>
                    <a:srcRect/>
                    <a:stretch>
                      <a:fillRect/>
                    </a:stretch>
                  </pic:blipFill>
                  <pic:spPr bwMode="auto">
                    <a:xfrm>
                      <a:off x="0" y="0"/>
                      <a:ext cx="3429506" cy="1394185"/>
                    </a:xfrm>
                    <a:prstGeom prst="rect">
                      <a:avLst/>
                    </a:prstGeom>
                    <a:noFill/>
                    <a:ln w="9525">
                      <a:noFill/>
                      <a:miter lim="800000"/>
                      <a:headEnd/>
                      <a:tailEnd/>
                    </a:ln>
                  </pic:spPr>
                </pic:pic>
              </a:graphicData>
            </a:graphic>
          </wp:inline>
        </w:drawing>
      </w: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4D1343" w:rsidRPr="00C32887" w:rsidRDefault="004D1343" w:rsidP="00A6753F">
      <w:pPr>
        <w:jc w:val="both"/>
        <w:rPr>
          <w:rFonts w:ascii="Garamond" w:hAnsi="Garamond"/>
          <w:sz w:val="24"/>
          <w:szCs w:val="24"/>
        </w:rPr>
      </w:pPr>
      <w:r w:rsidRPr="00C32887">
        <w:rPr>
          <w:rFonts w:ascii="Garamond" w:hAnsi="Garamond"/>
          <w:sz w:val="24"/>
          <w:szCs w:val="24"/>
        </w:rPr>
        <w:t>D</w:t>
      </w:r>
      <w:r w:rsidR="00F80F06">
        <w:rPr>
          <w:rFonts w:ascii="Garamond" w:hAnsi="Garamond"/>
          <w:sz w:val="24"/>
          <w:szCs w:val="24"/>
        </w:rPr>
        <w:t>uring 2020, in order to harmonis</w:t>
      </w:r>
      <w:r w:rsidRPr="00C32887">
        <w:rPr>
          <w:rFonts w:ascii="Garamond" w:hAnsi="Garamond"/>
          <w:sz w:val="24"/>
          <w:szCs w:val="24"/>
        </w:rPr>
        <w:t>e the</w:t>
      </w:r>
      <w:r w:rsidR="00A6753F">
        <w:rPr>
          <w:rFonts w:ascii="Garamond" w:hAnsi="Garamond"/>
          <w:sz w:val="24"/>
          <w:szCs w:val="24"/>
        </w:rPr>
        <w:t xml:space="preserve"> customs and excise legislation</w:t>
      </w:r>
      <w:r w:rsidRPr="00C32887">
        <w:rPr>
          <w:rFonts w:ascii="Garamond" w:hAnsi="Garamond"/>
          <w:sz w:val="24"/>
          <w:szCs w:val="24"/>
        </w:rPr>
        <w:t>, the Regulation on the Cust</w:t>
      </w:r>
      <w:r w:rsidR="00A6753F">
        <w:rPr>
          <w:rFonts w:ascii="Garamond" w:hAnsi="Garamond"/>
          <w:sz w:val="24"/>
          <w:szCs w:val="24"/>
        </w:rPr>
        <w:t>oms Tariff for 2020 was adopted</w:t>
      </w:r>
      <w:r w:rsidR="00F80F06">
        <w:rPr>
          <w:rFonts w:ascii="Garamond" w:hAnsi="Garamond"/>
          <w:sz w:val="24"/>
          <w:szCs w:val="24"/>
        </w:rPr>
        <w:t>, which harmonis</w:t>
      </w:r>
      <w:r w:rsidRPr="00C32887">
        <w:rPr>
          <w:rFonts w:ascii="Garamond" w:hAnsi="Garamond"/>
          <w:sz w:val="24"/>
          <w:szCs w:val="24"/>
        </w:rPr>
        <w:t>ed the nomenclature of the customs tariff with the Combined Nomenclature of the European Union.</w:t>
      </w:r>
    </w:p>
    <w:p w:rsidR="004D1343" w:rsidRPr="00C32887" w:rsidRDefault="004D1343" w:rsidP="004D1343">
      <w:pPr>
        <w:rPr>
          <w:rFonts w:ascii="Garamond" w:hAnsi="Garamond"/>
          <w:sz w:val="24"/>
          <w:szCs w:val="24"/>
        </w:rPr>
      </w:pPr>
    </w:p>
    <w:p w:rsidR="004D1343" w:rsidRPr="00C32887" w:rsidRDefault="004D1343" w:rsidP="008B6CDB">
      <w:pPr>
        <w:jc w:val="both"/>
        <w:rPr>
          <w:rFonts w:ascii="Garamond" w:hAnsi="Garamond"/>
          <w:sz w:val="24"/>
          <w:szCs w:val="24"/>
        </w:rPr>
      </w:pPr>
      <w:r w:rsidRPr="00C32887">
        <w:rPr>
          <w:rFonts w:ascii="Garamond" w:hAnsi="Garamond"/>
          <w:sz w:val="24"/>
          <w:szCs w:val="24"/>
        </w:rPr>
        <w:t>The Draft Customs Law has been prepared in accordance with the EU Customs Law and the nat</w:t>
      </w:r>
      <w:r w:rsidR="00A25C13">
        <w:rPr>
          <w:rFonts w:ascii="Garamond" w:hAnsi="Garamond"/>
          <w:sz w:val="24"/>
          <w:szCs w:val="24"/>
        </w:rPr>
        <w:t>ional procedure is being finalis</w:t>
      </w:r>
      <w:r w:rsidRPr="00C32887">
        <w:rPr>
          <w:rFonts w:ascii="Garamond" w:hAnsi="Garamond"/>
          <w:sz w:val="24"/>
          <w:szCs w:val="24"/>
        </w:rPr>
        <w:t>ed and sent to the European Commission for review.</w:t>
      </w:r>
    </w:p>
    <w:p w:rsidR="004D1343" w:rsidRPr="00C32887" w:rsidRDefault="004D1343" w:rsidP="004D1343">
      <w:pPr>
        <w:rPr>
          <w:rFonts w:ascii="Garamond" w:hAnsi="Garamond"/>
          <w:sz w:val="24"/>
          <w:szCs w:val="24"/>
        </w:rPr>
      </w:pPr>
    </w:p>
    <w:p w:rsidR="004D1343" w:rsidRPr="00C32887" w:rsidRDefault="004D1343" w:rsidP="008B6CDB">
      <w:pPr>
        <w:jc w:val="both"/>
        <w:rPr>
          <w:rFonts w:ascii="Garamond" w:hAnsi="Garamond"/>
          <w:sz w:val="24"/>
          <w:szCs w:val="24"/>
        </w:rPr>
      </w:pPr>
      <w:r w:rsidRPr="008B6CDB">
        <w:rPr>
          <w:rFonts w:ascii="Garamond" w:hAnsi="Garamond"/>
          <w:b/>
          <w:sz w:val="24"/>
          <w:szCs w:val="24"/>
        </w:rPr>
        <w:t>In order to implement the IT system for excise duties at the national level</w:t>
      </w:r>
      <w:r w:rsidRPr="00C32887">
        <w:rPr>
          <w:rFonts w:ascii="Garamond" w:hAnsi="Garamond"/>
          <w:sz w:val="24"/>
          <w:szCs w:val="24"/>
        </w:rPr>
        <w:t>, activities continued in accordance with the planned dynamics through the</w:t>
      </w:r>
      <w:r w:rsidR="008B6CDB">
        <w:rPr>
          <w:rFonts w:ascii="Garamond" w:hAnsi="Garamond"/>
          <w:sz w:val="24"/>
          <w:szCs w:val="24"/>
        </w:rPr>
        <w:t xml:space="preserve"> implementation of the project </w:t>
      </w:r>
      <w:r w:rsidR="00C13A74">
        <w:rPr>
          <w:rFonts w:ascii="Garamond" w:hAnsi="Garamond"/>
          <w:sz w:val="24"/>
          <w:szCs w:val="24"/>
        </w:rPr>
        <w:t>‘</w:t>
      </w:r>
      <w:r w:rsidRPr="00C32887">
        <w:rPr>
          <w:rFonts w:ascii="Garamond" w:hAnsi="Garamond"/>
          <w:sz w:val="24"/>
          <w:szCs w:val="24"/>
        </w:rPr>
        <w:t>Support to the Customs Administration in the f</w:t>
      </w:r>
      <w:r w:rsidR="008B6CDB">
        <w:rPr>
          <w:rFonts w:ascii="Garamond" w:hAnsi="Garamond"/>
          <w:sz w:val="24"/>
          <w:szCs w:val="24"/>
        </w:rPr>
        <w:t>ield of excise duties</w:t>
      </w:r>
      <w:r w:rsidR="00C13A74">
        <w:rPr>
          <w:rFonts w:ascii="Garamond" w:hAnsi="Garamond"/>
          <w:sz w:val="24"/>
          <w:szCs w:val="24"/>
        </w:rPr>
        <w:t>’</w:t>
      </w:r>
      <w:r w:rsidRPr="00C32887">
        <w:rPr>
          <w:rFonts w:ascii="Garamond" w:hAnsi="Garamond"/>
          <w:sz w:val="24"/>
          <w:szCs w:val="24"/>
        </w:rPr>
        <w:t xml:space="preserve"> </w:t>
      </w:r>
      <w:r w:rsidR="00A94CE6">
        <w:rPr>
          <w:rFonts w:ascii="Garamond" w:hAnsi="Garamond"/>
          <w:sz w:val="24"/>
          <w:szCs w:val="24"/>
        </w:rPr>
        <w:t>under</w:t>
      </w:r>
      <w:r w:rsidRPr="00C32887">
        <w:rPr>
          <w:rFonts w:ascii="Garamond" w:hAnsi="Garamond"/>
          <w:sz w:val="24"/>
          <w:szCs w:val="24"/>
        </w:rPr>
        <w:t xml:space="preserve"> EUIF funds. The implementation of the new national application for excises in the Customs Information System will enable electronic communication between the Customs Administration and excise taxpayers, among other things, as well as electronic monitoring of excise products in the regime of deferred excise payment, using electronic excise documents as important prerequisites for future connection with EU Excise </w:t>
      </w:r>
      <w:r w:rsidR="008B6CDB">
        <w:rPr>
          <w:rFonts w:ascii="Garamond" w:hAnsi="Garamond"/>
          <w:sz w:val="24"/>
          <w:szCs w:val="24"/>
        </w:rPr>
        <w:t xml:space="preserve">Movement and Control </w:t>
      </w:r>
      <w:r w:rsidRPr="00C32887">
        <w:rPr>
          <w:rFonts w:ascii="Garamond" w:hAnsi="Garamond"/>
          <w:sz w:val="24"/>
          <w:szCs w:val="24"/>
        </w:rPr>
        <w:t>System (EMCS). The duration of the project has been extended until February 1, 2021, when it will end and when the new application will be released into production.</w:t>
      </w:r>
    </w:p>
    <w:p w:rsidR="004D1343" w:rsidRPr="00C32887" w:rsidRDefault="004D1343" w:rsidP="004D1343">
      <w:pPr>
        <w:rPr>
          <w:rFonts w:ascii="Garamond" w:hAnsi="Garamond"/>
          <w:sz w:val="24"/>
          <w:szCs w:val="24"/>
        </w:rPr>
      </w:pPr>
    </w:p>
    <w:p w:rsidR="004D1343" w:rsidRPr="00C32887" w:rsidRDefault="00A94CE6" w:rsidP="008B6CDB">
      <w:pPr>
        <w:jc w:val="both"/>
        <w:rPr>
          <w:rFonts w:ascii="Garamond" w:hAnsi="Garamond"/>
          <w:sz w:val="24"/>
          <w:szCs w:val="24"/>
        </w:rPr>
      </w:pPr>
      <w:r>
        <w:rPr>
          <w:rFonts w:ascii="Garamond" w:hAnsi="Garamond"/>
          <w:sz w:val="24"/>
          <w:szCs w:val="24"/>
        </w:rPr>
        <w:t>As regards</w:t>
      </w:r>
      <w:r w:rsidR="004D1343" w:rsidRPr="00C32887">
        <w:rPr>
          <w:rFonts w:ascii="Garamond" w:hAnsi="Garamond"/>
          <w:sz w:val="24"/>
          <w:szCs w:val="24"/>
        </w:rPr>
        <w:t xml:space="preserve"> the </w:t>
      </w:r>
      <w:r w:rsidR="008B6CDB" w:rsidRPr="008B6CDB">
        <w:rPr>
          <w:rFonts w:ascii="Garamond" w:hAnsi="Garamond"/>
          <w:b/>
          <w:sz w:val="24"/>
          <w:szCs w:val="24"/>
        </w:rPr>
        <w:t xml:space="preserve">Implementation </w:t>
      </w:r>
      <w:r w:rsidR="002F33DC">
        <w:rPr>
          <w:rFonts w:ascii="Garamond" w:hAnsi="Garamond"/>
          <w:b/>
          <w:sz w:val="24"/>
          <w:szCs w:val="24"/>
        </w:rPr>
        <w:t>of modernis</w:t>
      </w:r>
      <w:r w:rsidR="004D1343" w:rsidRPr="008B6CDB">
        <w:rPr>
          <w:rFonts w:ascii="Garamond" w:hAnsi="Garamond"/>
          <w:b/>
          <w:sz w:val="24"/>
          <w:szCs w:val="24"/>
        </w:rPr>
        <w:t>ed customs procedures at the national level</w:t>
      </w:r>
      <w:r w:rsidR="004D1343" w:rsidRPr="00C32887">
        <w:rPr>
          <w:rFonts w:ascii="Garamond" w:hAnsi="Garamond"/>
          <w:sz w:val="24"/>
          <w:szCs w:val="24"/>
        </w:rPr>
        <w:t>, i</w:t>
      </w:r>
      <w:r w:rsidR="008B6CDB">
        <w:rPr>
          <w:rFonts w:ascii="Garamond" w:hAnsi="Garamond"/>
          <w:sz w:val="24"/>
          <w:szCs w:val="24"/>
        </w:rPr>
        <w:t xml:space="preserve">n the framework of the project </w:t>
      </w:r>
      <w:r w:rsidR="00C13A74">
        <w:rPr>
          <w:rFonts w:ascii="Garamond" w:hAnsi="Garamond"/>
          <w:sz w:val="24"/>
          <w:szCs w:val="24"/>
        </w:rPr>
        <w:t>‘</w:t>
      </w:r>
      <w:r w:rsidR="004D1343" w:rsidRPr="00C32887">
        <w:rPr>
          <w:rFonts w:ascii="Garamond" w:hAnsi="Garamond"/>
          <w:sz w:val="24"/>
          <w:szCs w:val="24"/>
        </w:rPr>
        <w:t>Support to the Customs Administrati</w:t>
      </w:r>
      <w:r w:rsidR="008B6CDB">
        <w:rPr>
          <w:rFonts w:ascii="Garamond" w:hAnsi="Garamond"/>
          <w:sz w:val="24"/>
          <w:szCs w:val="24"/>
        </w:rPr>
        <w:t>on</w:t>
      </w:r>
      <w:r w:rsidR="00C13A74">
        <w:rPr>
          <w:rFonts w:ascii="Garamond" w:hAnsi="Garamond"/>
          <w:sz w:val="24"/>
          <w:szCs w:val="24"/>
        </w:rPr>
        <w:t>’</w:t>
      </w:r>
      <w:r w:rsidR="004D1343" w:rsidRPr="00C32887">
        <w:rPr>
          <w:rFonts w:ascii="Garamond" w:hAnsi="Garamond"/>
          <w:sz w:val="24"/>
          <w:szCs w:val="24"/>
        </w:rPr>
        <w:t xml:space="preserve"> at the end of February and July 2020 the third and </w:t>
      </w:r>
      <w:r w:rsidR="008B6CDB">
        <w:rPr>
          <w:rFonts w:ascii="Garamond" w:hAnsi="Garamond"/>
          <w:sz w:val="24"/>
          <w:szCs w:val="24"/>
        </w:rPr>
        <w:t>fourth</w:t>
      </w:r>
      <w:r w:rsidR="004D1343" w:rsidRPr="00C32887">
        <w:rPr>
          <w:rFonts w:ascii="Garamond" w:hAnsi="Garamond"/>
          <w:sz w:val="24"/>
          <w:szCs w:val="24"/>
        </w:rPr>
        <w:t xml:space="preserve"> meeting of the Ste</w:t>
      </w:r>
      <w:r w:rsidR="008B6CDB">
        <w:rPr>
          <w:rFonts w:ascii="Garamond" w:hAnsi="Garamond"/>
          <w:sz w:val="24"/>
          <w:szCs w:val="24"/>
        </w:rPr>
        <w:t xml:space="preserve">ering Committee of the project </w:t>
      </w:r>
      <w:r w:rsidR="00C13A74">
        <w:rPr>
          <w:rFonts w:ascii="Garamond" w:hAnsi="Garamond"/>
          <w:sz w:val="24"/>
          <w:szCs w:val="24"/>
        </w:rPr>
        <w:t>‘</w:t>
      </w:r>
      <w:r w:rsidR="004D1343" w:rsidRPr="00C32887">
        <w:rPr>
          <w:rFonts w:ascii="Garamond" w:hAnsi="Garamond"/>
          <w:sz w:val="24"/>
          <w:szCs w:val="24"/>
        </w:rPr>
        <w:t xml:space="preserve">Support to the accession </w:t>
      </w:r>
      <w:r w:rsidR="002F33DC">
        <w:rPr>
          <w:rFonts w:ascii="Garamond" w:hAnsi="Garamond"/>
          <w:sz w:val="24"/>
          <w:szCs w:val="24"/>
        </w:rPr>
        <w:t>to</w:t>
      </w:r>
      <w:r w:rsidR="004D1343" w:rsidRPr="00C32887">
        <w:rPr>
          <w:rFonts w:ascii="Garamond" w:hAnsi="Garamond"/>
          <w:sz w:val="24"/>
          <w:szCs w:val="24"/>
        </w:rPr>
        <w:t xml:space="preserve"> Common Transit </w:t>
      </w:r>
      <w:r w:rsidR="002F33DC" w:rsidRPr="00C32887">
        <w:rPr>
          <w:rFonts w:ascii="Garamond" w:hAnsi="Garamond"/>
          <w:sz w:val="24"/>
          <w:szCs w:val="24"/>
        </w:rPr>
        <w:t xml:space="preserve">Convention </w:t>
      </w:r>
      <w:r w:rsidR="004D1343" w:rsidRPr="00C32887">
        <w:rPr>
          <w:rFonts w:ascii="Garamond" w:hAnsi="Garamond"/>
          <w:sz w:val="24"/>
          <w:szCs w:val="24"/>
        </w:rPr>
        <w:t xml:space="preserve">and the Convention on Facilitation </w:t>
      </w:r>
      <w:r w:rsidR="002F33DC">
        <w:rPr>
          <w:rFonts w:ascii="Garamond" w:hAnsi="Garamond"/>
          <w:sz w:val="24"/>
          <w:szCs w:val="24"/>
        </w:rPr>
        <w:t>of</w:t>
      </w:r>
      <w:r w:rsidR="004D1343" w:rsidRPr="00C32887">
        <w:rPr>
          <w:rFonts w:ascii="Garamond" w:hAnsi="Garamond"/>
          <w:sz w:val="24"/>
          <w:szCs w:val="24"/>
        </w:rPr>
        <w:t xml:space="preserve"> </w:t>
      </w:r>
      <w:r w:rsidR="002F33DC" w:rsidRPr="00C32887">
        <w:rPr>
          <w:rFonts w:ascii="Garamond" w:hAnsi="Garamond"/>
          <w:sz w:val="24"/>
          <w:szCs w:val="24"/>
        </w:rPr>
        <w:t xml:space="preserve">Trade </w:t>
      </w:r>
      <w:r w:rsidR="004D1343" w:rsidRPr="00C32887">
        <w:rPr>
          <w:rFonts w:ascii="Garamond" w:hAnsi="Garamond"/>
          <w:sz w:val="24"/>
          <w:szCs w:val="24"/>
        </w:rPr>
        <w:t xml:space="preserve">in </w:t>
      </w:r>
      <w:r w:rsidR="002F33DC" w:rsidRPr="00C32887">
        <w:rPr>
          <w:rFonts w:ascii="Garamond" w:hAnsi="Garamond"/>
          <w:sz w:val="24"/>
          <w:szCs w:val="24"/>
        </w:rPr>
        <w:t>Goods</w:t>
      </w:r>
      <w:r w:rsidR="002F33DC">
        <w:rPr>
          <w:rFonts w:ascii="Garamond" w:hAnsi="Garamond"/>
          <w:sz w:val="24"/>
          <w:szCs w:val="24"/>
        </w:rPr>
        <w:t>’</w:t>
      </w:r>
      <w:r w:rsidR="002F33DC" w:rsidRPr="00C32887">
        <w:rPr>
          <w:rFonts w:ascii="Garamond" w:hAnsi="Garamond"/>
          <w:sz w:val="24"/>
          <w:szCs w:val="24"/>
        </w:rPr>
        <w:t xml:space="preserve"> </w:t>
      </w:r>
      <w:r w:rsidR="008B6CDB" w:rsidRPr="00C32887">
        <w:rPr>
          <w:rFonts w:ascii="Garamond" w:hAnsi="Garamond"/>
          <w:sz w:val="24"/>
          <w:szCs w:val="24"/>
        </w:rPr>
        <w:t>was held</w:t>
      </w:r>
      <w:r w:rsidR="004D1343" w:rsidRPr="00C32887">
        <w:rPr>
          <w:rFonts w:ascii="Garamond" w:hAnsi="Garamond"/>
          <w:sz w:val="24"/>
          <w:szCs w:val="24"/>
        </w:rPr>
        <w:t>, as well as the third and fourth meeting of the Ste</w:t>
      </w:r>
      <w:r w:rsidR="008B6CDB">
        <w:rPr>
          <w:rFonts w:ascii="Garamond" w:hAnsi="Garamond"/>
          <w:sz w:val="24"/>
          <w:szCs w:val="24"/>
        </w:rPr>
        <w:t xml:space="preserve">ering Committee of the project </w:t>
      </w:r>
      <w:r w:rsidR="00C13A74">
        <w:rPr>
          <w:rFonts w:ascii="Garamond" w:hAnsi="Garamond"/>
          <w:sz w:val="24"/>
          <w:szCs w:val="24"/>
        </w:rPr>
        <w:t>‘</w:t>
      </w:r>
      <w:r w:rsidR="004D1343" w:rsidRPr="00C32887">
        <w:rPr>
          <w:rFonts w:ascii="Garamond" w:hAnsi="Garamond"/>
          <w:sz w:val="24"/>
          <w:szCs w:val="24"/>
        </w:rPr>
        <w:t>Implementation of the New Comp</w:t>
      </w:r>
      <w:r>
        <w:rPr>
          <w:rFonts w:ascii="Garamond" w:hAnsi="Garamond"/>
          <w:sz w:val="24"/>
          <w:szCs w:val="24"/>
        </w:rPr>
        <w:t>uteris</w:t>
      </w:r>
      <w:r w:rsidR="003B0755">
        <w:rPr>
          <w:rFonts w:ascii="Garamond" w:hAnsi="Garamond"/>
          <w:sz w:val="24"/>
          <w:szCs w:val="24"/>
        </w:rPr>
        <w:t>ed Transit System (NCTS)</w:t>
      </w:r>
      <w:r w:rsidR="00C13A74">
        <w:rPr>
          <w:rFonts w:ascii="Garamond" w:hAnsi="Garamond"/>
          <w:sz w:val="24"/>
          <w:szCs w:val="24"/>
        </w:rPr>
        <w:t>’</w:t>
      </w:r>
      <w:r w:rsidR="004D1343" w:rsidRPr="00C32887">
        <w:rPr>
          <w:rFonts w:ascii="Garamond" w:hAnsi="Garamond"/>
          <w:sz w:val="24"/>
          <w:szCs w:val="24"/>
        </w:rPr>
        <w:t>, which are implement</w:t>
      </w:r>
      <w:r w:rsidR="003B0755">
        <w:rPr>
          <w:rFonts w:ascii="Garamond" w:hAnsi="Garamond"/>
          <w:sz w:val="24"/>
          <w:szCs w:val="24"/>
        </w:rPr>
        <w:t xml:space="preserve">ed </w:t>
      </w:r>
      <w:r w:rsidR="00D847CC">
        <w:rPr>
          <w:rFonts w:ascii="Garamond" w:hAnsi="Garamond"/>
          <w:sz w:val="24"/>
          <w:szCs w:val="24"/>
        </w:rPr>
        <w:t>under</w:t>
      </w:r>
      <w:r w:rsidR="003B0755">
        <w:rPr>
          <w:rFonts w:ascii="Garamond" w:hAnsi="Garamond"/>
          <w:sz w:val="24"/>
          <w:szCs w:val="24"/>
        </w:rPr>
        <w:t xml:space="preserve"> the IPA 2014 project </w:t>
      </w:r>
      <w:r w:rsidR="00C13A74">
        <w:rPr>
          <w:rFonts w:ascii="Garamond" w:hAnsi="Garamond"/>
          <w:sz w:val="24"/>
          <w:szCs w:val="24"/>
        </w:rPr>
        <w:t>‘</w:t>
      </w:r>
      <w:r w:rsidR="004D1343" w:rsidRPr="00C32887">
        <w:rPr>
          <w:rFonts w:ascii="Garamond" w:hAnsi="Garamond"/>
          <w:sz w:val="24"/>
          <w:szCs w:val="24"/>
        </w:rPr>
        <w:t>Support</w:t>
      </w:r>
      <w:r w:rsidR="003B0755">
        <w:rPr>
          <w:rFonts w:ascii="Garamond" w:hAnsi="Garamond"/>
          <w:sz w:val="24"/>
          <w:szCs w:val="24"/>
        </w:rPr>
        <w:t xml:space="preserve"> to the Customs Administration</w:t>
      </w:r>
      <w:r w:rsidR="00C13A74">
        <w:rPr>
          <w:rFonts w:ascii="Garamond" w:hAnsi="Garamond"/>
          <w:sz w:val="24"/>
          <w:szCs w:val="24"/>
        </w:rPr>
        <w:t>’</w:t>
      </w:r>
      <w:r w:rsidR="004D1343" w:rsidRPr="00C32887">
        <w:rPr>
          <w:rFonts w:ascii="Garamond" w:hAnsi="Garamond"/>
          <w:sz w:val="24"/>
          <w:szCs w:val="24"/>
        </w:rPr>
        <w:t>. At the meetings of the Steering Committees, the second and thi</w:t>
      </w:r>
      <w:r w:rsidR="003B0755">
        <w:rPr>
          <w:rFonts w:ascii="Garamond" w:hAnsi="Garamond"/>
          <w:sz w:val="24"/>
          <w:szCs w:val="24"/>
        </w:rPr>
        <w:t>rd Interim Reports were adopted</w:t>
      </w:r>
      <w:r w:rsidR="004D1343" w:rsidRPr="00C32887">
        <w:rPr>
          <w:rFonts w:ascii="Garamond" w:hAnsi="Garamond"/>
          <w:sz w:val="24"/>
          <w:szCs w:val="24"/>
        </w:rPr>
        <w:t>, which contain the activities and tasks performed by the consortium in the reporting period from 1</w:t>
      </w:r>
      <w:r w:rsidR="003B0755" w:rsidRPr="003B0755">
        <w:rPr>
          <w:rFonts w:ascii="Garamond" w:hAnsi="Garamond"/>
          <w:sz w:val="24"/>
          <w:szCs w:val="24"/>
        </w:rPr>
        <w:t xml:space="preserve"> </w:t>
      </w:r>
      <w:r w:rsidR="003B0755" w:rsidRPr="00C32887">
        <w:rPr>
          <w:rFonts w:ascii="Garamond" w:hAnsi="Garamond"/>
          <w:sz w:val="24"/>
          <w:szCs w:val="24"/>
        </w:rPr>
        <w:t>July</w:t>
      </w:r>
      <w:r w:rsidR="003B0755">
        <w:rPr>
          <w:rFonts w:ascii="Garamond" w:hAnsi="Garamond"/>
          <w:sz w:val="24"/>
          <w:szCs w:val="24"/>
        </w:rPr>
        <w:t xml:space="preserve">, 2019 to 31 January 2020 and from 01 February 2020 to 30 June </w:t>
      </w:r>
      <w:r w:rsidR="004D1343" w:rsidRPr="00C32887">
        <w:rPr>
          <w:rFonts w:ascii="Garamond" w:hAnsi="Garamond"/>
          <w:sz w:val="24"/>
          <w:szCs w:val="24"/>
        </w:rPr>
        <w:t>2020, as well as the plan for the following periods</w:t>
      </w:r>
      <w:r w:rsidR="003B0755">
        <w:rPr>
          <w:rFonts w:ascii="Garamond" w:hAnsi="Garamond"/>
          <w:sz w:val="24"/>
          <w:szCs w:val="24"/>
        </w:rPr>
        <w:t>. Also, the impact of the COVID-</w:t>
      </w:r>
      <w:r w:rsidR="004D1343" w:rsidRPr="00C32887">
        <w:rPr>
          <w:rFonts w:ascii="Garamond" w:hAnsi="Garamond"/>
          <w:sz w:val="24"/>
          <w:szCs w:val="24"/>
        </w:rPr>
        <w:t xml:space="preserve">19 pandemic on planned activities was considered, as well as measures that can reduce the impact. At the end of 2020, two meetings were held - Technical e-mission of DG TAXUD, on the topic of NCTS-P5 &amp; Geographical expansion, where a summary of the status of completed and planned activities was given, </w:t>
      </w:r>
      <w:r w:rsidR="00124CD9">
        <w:rPr>
          <w:rFonts w:ascii="Garamond" w:hAnsi="Garamond"/>
          <w:sz w:val="24"/>
          <w:szCs w:val="24"/>
        </w:rPr>
        <w:t>while</w:t>
      </w:r>
      <w:r w:rsidR="004D1343" w:rsidRPr="00C32887">
        <w:rPr>
          <w:rFonts w:ascii="Garamond" w:hAnsi="Garamond"/>
          <w:sz w:val="24"/>
          <w:szCs w:val="24"/>
        </w:rPr>
        <w:t xml:space="preserve"> experts gave their views </w:t>
      </w:r>
      <w:r w:rsidR="00991D0D">
        <w:rPr>
          <w:rFonts w:ascii="Garamond" w:hAnsi="Garamond"/>
          <w:sz w:val="24"/>
          <w:szCs w:val="24"/>
        </w:rPr>
        <w:t>on</w:t>
      </w:r>
      <w:r w:rsidR="004D1343" w:rsidRPr="00C32887">
        <w:rPr>
          <w:rFonts w:ascii="Garamond" w:hAnsi="Garamond"/>
          <w:sz w:val="24"/>
          <w:szCs w:val="24"/>
        </w:rPr>
        <w:t xml:space="preserve"> updating our National Project </w:t>
      </w:r>
      <w:r w:rsidR="003B0755" w:rsidRPr="00C32887">
        <w:rPr>
          <w:rFonts w:ascii="Garamond" w:hAnsi="Garamond"/>
          <w:sz w:val="24"/>
          <w:szCs w:val="24"/>
        </w:rPr>
        <w:t xml:space="preserve">Plan </w:t>
      </w:r>
      <w:r w:rsidR="004D1343" w:rsidRPr="00C32887">
        <w:rPr>
          <w:rFonts w:ascii="Garamond" w:hAnsi="Garamond"/>
          <w:sz w:val="24"/>
          <w:szCs w:val="24"/>
        </w:rPr>
        <w:t xml:space="preserve">(NPP) and listed the challenges that await us, due to the COVID pandemic, in </w:t>
      </w:r>
      <w:r w:rsidR="00124CD9">
        <w:rPr>
          <w:rFonts w:ascii="Garamond" w:hAnsi="Garamond"/>
          <w:sz w:val="24"/>
          <w:szCs w:val="24"/>
        </w:rPr>
        <w:t>view</w:t>
      </w:r>
      <w:r w:rsidR="004D1343" w:rsidRPr="00C32887">
        <w:rPr>
          <w:rFonts w:ascii="Garamond" w:hAnsi="Garamond"/>
          <w:sz w:val="24"/>
          <w:szCs w:val="24"/>
        </w:rPr>
        <w:t xml:space="preserve"> of application testing and training of customs officers. In cooperation with the Chamber of Commerce of Montenegro, trainings </w:t>
      </w:r>
      <w:r w:rsidR="00991D0D" w:rsidRPr="00C32887">
        <w:rPr>
          <w:rFonts w:ascii="Garamond" w:hAnsi="Garamond"/>
          <w:sz w:val="24"/>
          <w:szCs w:val="24"/>
        </w:rPr>
        <w:t xml:space="preserve">were </w:t>
      </w:r>
      <w:r w:rsidR="00991D0D">
        <w:rPr>
          <w:rFonts w:ascii="Garamond" w:hAnsi="Garamond"/>
          <w:sz w:val="24"/>
          <w:szCs w:val="24"/>
        </w:rPr>
        <w:t>delivered</w:t>
      </w:r>
      <w:r w:rsidR="00991D0D" w:rsidRPr="00C32887">
        <w:rPr>
          <w:rFonts w:ascii="Garamond" w:hAnsi="Garamond"/>
          <w:sz w:val="24"/>
          <w:szCs w:val="24"/>
        </w:rPr>
        <w:t xml:space="preserve"> </w:t>
      </w:r>
      <w:r w:rsidR="004D1343" w:rsidRPr="00C32887">
        <w:rPr>
          <w:rFonts w:ascii="Garamond" w:hAnsi="Garamond"/>
          <w:sz w:val="24"/>
          <w:szCs w:val="24"/>
        </w:rPr>
        <w:t xml:space="preserve">for the economy and the banking sector on the </w:t>
      </w:r>
      <w:r w:rsidR="00991D0D" w:rsidRPr="00C32887">
        <w:rPr>
          <w:rFonts w:ascii="Garamond" w:hAnsi="Garamond"/>
          <w:sz w:val="24"/>
          <w:szCs w:val="24"/>
        </w:rPr>
        <w:t xml:space="preserve">Common Transit </w:t>
      </w:r>
      <w:r w:rsidR="004D1343" w:rsidRPr="00C32887">
        <w:rPr>
          <w:rFonts w:ascii="Garamond" w:hAnsi="Garamond"/>
          <w:sz w:val="24"/>
          <w:szCs w:val="24"/>
        </w:rPr>
        <w:t xml:space="preserve">Convention, the benefits it brings and the </w:t>
      </w:r>
      <w:r w:rsidR="003B0755">
        <w:rPr>
          <w:rFonts w:ascii="Garamond" w:hAnsi="Garamond"/>
          <w:sz w:val="24"/>
          <w:szCs w:val="24"/>
        </w:rPr>
        <w:t>novelty</w:t>
      </w:r>
      <w:r w:rsidR="004D1343" w:rsidRPr="00C32887">
        <w:rPr>
          <w:rFonts w:ascii="Garamond" w:hAnsi="Garamond"/>
          <w:sz w:val="24"/>
          <w:szCs w:val="24"/>
        </w:rPr>
        <w:t xml:space="preserve"> that await them. The application for </w:t>
      </w:r>
      <w:r w:rsidR="00991D0D" w:rsidRPr="00C32887">
        <w:rPr>
          <w:rFonts w:ascii="Garamond" w:hAnsi="Garamond"/>
          <w:sz w:val="24"/>
          <w:szCs w:val="24"/>
        </w:rPr>
        <w:t>Guarantee Management</w:t>
      </w:r>
      <w:r w:rsidR="00991D0D">
        <w:rPr>
          <w:rFonts w:ascii="Garamond" w:hAnsi="Garamond"/>
          <w:sz w:val="24"/>
          <w:szCs w:val="24"/>
        </w:rPr>
        <w:t xml:space="preserve"> System</w:t>
      </w:r>
      <w:r w:rsidR="00991D0D" w:rsidRPr="00C32887">
        <w:rPr>
          <w:rFonts w:ascii="Garamond" w:hAnsi="Garamond"/>
          <w:sz w:val="24"/>
          <w:szCs w:val="24"/>
        </w:rPr>
        <w:t xml:space="preserve"> </w:t>
      </w:r>
      <w:r w:rsidR="004D1343" w:rsidRPr="00C32887">
        <w:rPr>
          <w:rFonts w:ascii="Garamond" w:hAnsi="Garamond"/>
          <w:sz w:val="24"/>
          <w:szCs w:val="24"/>
        </w:rPr>
        <w:t>(GMS) was tested</w:t>
      </w:r>
      <w:r w:rsidR="00E9462A">
        <w:rPr>
          <w:rFonts w:ascii="Garamond" w:hAnsi="Garamond"/>
          <w:sz w:val="24"/>
          <w:szCs w:val="24"/>
        </w:rPr>
        <w:t>,</w:t>
      </w:r>
      <w:r w:rsidR="004D1343" w:rsidRPr="00C32887">
        <w:rPr>
          <w:rFonts w:ascii="Garamond" w:hAnsi="Garamond"/>
          <w:sz w:val="24"/>
          <w:szCs w:val="24"/>
        </w:rPr>
        <w:t xml:space="preserve"> and </w:t>
      </w:r>
      <w:r w:rsidR="00991D0D" w:rsidRPr="00C32887">
        <w:rPr>
          <w:rFonts w:ascii="Garamond" w:hAnsi="Garamond"/>
          <w:sz w:val="24"/>
          <w:szCs w:val="24"/>
        </w:rPr>
        <w:t xml:space="preserve">work </w:t>
      </w:r>
      <w:r w:rsidR="00E9462A" w:rsidRPr="00C32887">
        <w:rPr>
          <w:rFonts w:ascii="Garamond" w:hAnsi="Garamond"/>
          <w:sz w:val="24"/>
          <w:szCs w:val="24"/>
        </w:rPr>
        <w:t xml:space="preserve">continued </w:t>
      </w:r>
      <w:r w:rsidR="004D1343" w:rsidRPr="00C32887">
        <w:rPr>
          <w:rFonts w:ascii="Garamond" w:hAnsi="Garamond"/>
          <w:sz w:val="24"/>
          <w:szCs w:val="24"/>
        </w:rPr>
        <w:t>on national instructions (transit, guarantees</w:t>
      </w:r>
      <w:r w:rsidR="00E9462A">
        <w:rPr>
          <w:rFonts w:ascii="Garamond" w:hAnsi="Garamond"/>
          <w:sz w:val="24"/>
          <w:szCs w:val="24"/>
        </w:rPr>
        <w:t>, etc</w:t>
      </w:r>
      <w:proofErr w:type="gramStart"/>
      <w:r w:rsidR="00E9462A">
        <w:rPr>
          <w:rFonts w:ascii="Garamond" w:hAnsi="Garamond"/>
          <w:sz w:val="24"/>
          <w:szCs w:val="24"/>
        </w:rPr>
        <w:t>. )</w:t>
      </w:r>
      <w:proofErr w:type="gramEnd"/>
      <w:r w:rsidR="00E9462A">
        <w:rPr>
          <w:rFonts w:ascii="Garamond" w:hAnsi="Garamond"/>
          <w:sz w:val="24"/>
          <w:szCs w:val="24"/>
        </w:rPr>
        <w:t>, which will be harmonis</w:t>
      </w:r>
      <w:r w:rsidR="004D1343" w:rsidRPr="00C32887">
        <w:rPr>
          <w:rFonts w:ascii="Garamond" w:hAnsi="Garamond"/>
          <w:sz w:val="24"/>
          <w:szCs w:val="24"/>
        </w:rPr>
        <w:t xml:space="preserve">ed with the new Customs Law. </w:t>
      </w:r>
      <w:r w:rsidR="00E9462A" w:rsidRPr="00C32887">
        <w:rPr>
          <w:rFonts w:ascii="Garamond" w:hAnsi="Garamond"/>
          <w:sz w:val="24"/>
          <w:szCs w:val="24"/>
        </w:rPr>
        <w:t xml:space="preserve">The </w:t>
      </w:r>
      <w:r w:rsidR="004D1343" w:rsidRPr="00C32887">
        <w:rPr>
          <w:rFonts w:ascii="Garamond" w:hAnsi="Garamond"/>
          <w:sz w:val="24"/>
          <w:szCs w:val="24"/>
        </w:rPr>
        <w:t>connection with the Joint Communication Ne</w:t>
      </w:r>
      <w:r w:rsidR="003B0755">
        <w:rPr>
          <w:rFonts w:ascii="Garamond" w:hAnsi="Garamond"/>
          <w:sz w:val="24"/>
          <w:szCs w:val="24"/>
        </w:rPr>
        <w:t>twork of the Member States (CCN</w:t>
      </w:r>
      <w:r w:rsidR="004D1343" w:rsidRPr="00C32887">
        <w:rPr>
          <w:rFonts w:ascii="Garamond" w:hAnsi="Garamond"/>
          <w:sz w:val="24"/>
          <w:szCs w:val="24"/>
        </w:rPr>
        <w:t>/ CSI) managed by the Directorate General for Taxation and Customs (DG TAXUD) is being successfully implemented</w:t>
      </w:r>
      <w:r w:rsidR="00E9462A" w:rsidRPr="00E9462A">
        <w:rPr>
          <w:rFonts w:ascii="Garamond" w:hAnsi="Garamond"/>
          <w:sz w:val="24"/>
          <w:szCs w:val="24"/>
        </w:rPr>
        <w:t xml:space="preserve"> </w:t>
      </w:r>
      <w:r w:rsidR="00E9462A">
        <w:rPr>
          <w:rFonts w:ascii="Garamond" w:hAnsi="Garamond"/>
          <w:sz w:val="24"/>
          <w:szCs w:val="24"/>
        </w:rPr>
        <w:t>under</w:t>
      </w:r>
      <w:r w:rsidR="00E9462A" w:rsidRPr="00C32887">
        <w:rPr>
          <w:rFonts w:ascii="Garamond" w:hAnsi="Garamond"/>
          <w:sz w:val="24"/>
          <w:szCs w:val="24"/>
        </w:rPr>
        <w:t xml:space="preserve"> the project,</w:t>
      </w:r>
      <w:r w:rsidR="004D1343" w:rsidRPr="00C32887">
        <w:rPr>
          <w:rFonts w:ascii="Garamond" w:hAnsi="Garamond"/>
          <w:sz w:val="24"/>
          <w:szCs w:val="24"/>
        </w:rPr>
        <w:t xml:space="preserve"> which will be used to test this and all other IT systems imp</w:t>
      </w:r>
      <w:r w:rsidR="003B0755">
        <w:rPr>
          <w:rFonts w:ascii="Garamond" w:hAnsi="Garamond"/>
          <w:sz w:val="24"/>
          <w:szCs w:val="24"/>
        </w:rPr>
        <w:t xml:space="preserve">lemented in </w:t>
      </w:r>
      <w:r w:rsidR="00E9462A">
        <w:rPr>
          <w:rFonts w:ascii="Garamond" w:hAnsi="Garamond"/>
          <w:sz w:val="24"/>
          <w:szCs w:val="24"/>
        </w:rPr>
        <w:t xml:space="preserve">the </w:t>
      </w:r>
      <w:r w:rsidR="003B0755">
        <w:rPr>
          <w:rFonts w:ascii="Garamond" w:hAnsi="Garamond"/>
          <w:sz w:val="24"/>
          <w:szCs w:val="24"/>
        </w:rPr>
        <w:t>Customs Information</w:t>
      </w:r>
      <w:r w:rsidR="004D1343" w:rsidRPr="00C32887">
        <w:rPr>
          <w:rFonts w:ascii="Garamond" w:hAnsi="Garamond"/>
          <w:sz w:val="24"/>
          <w:szCs w:val="24"/>
        </w:rPr>
        <w:t xml:space="preserve"> </w:t>
      </w:r>
      <w:r w:rsidR="003B0755" w:rsidRPr="00C32887">
        <w:rPr>
          <w:rFonts w:ascii="Garamond" w:hAnsi="Garamond"/>
          <w:sz w:val="24"/>
          <w:szCs w:val="24"/>
        </w:rPr>
        <w:t xml:space="preserve">System </w:t>
      </w:r>
      <w:r w:rsidR="004D1343" w:rsidRPr="00C32887">
        <w:rPr>
          <w:rFonts w:ascii="Garamond" w:hAnsi="Garamond"/>
          <w:sz w:val="24"/>
          <w:szCs w:val="24"/>
        </w:rPr>
        <w:t>through Chapter 29 Customs Union</w:t>
      </w:r>
      <w:r w:rsidR="00991D0D">
        <w:rPr>
          <w:rFonts w:ascii="Garamond" w:hAnsi="Garamond"/>
          <w:sz w:val="24"/>
          <w:szCs w:val="24"/>
        </w:rPr>
        <w:t>,</w:t>
      </w:r>
      <w:r w:rsidR="004D1343" w:rsidRPr="00C32887">
        <w:rPr>
          <w:rFonts w:ascii="Garamond" w:hAnsi="Garamond"/>
          <w:sz w:val="24"/>
          <w:szCs w:val="24"/>
        </w:rPr>
        <w:t xml:space="preserve"> </w:t>
      </w:r>
      <w:r w:rsidR="00E9462A">
        <w:rPr>
          <w:rFonts w:ascii="Garamond" w:hAnsi="Garamond"/>
          <w:sz w:val="24"/>
          <w:szCs w:val="24"/>
        </w:rPr>
        <w:t xml:space="preserve">and </w:t>
      </w:r>
      <w:r w:rsidR="004D1343" w:rsidRPr="00C32887">
        <w:rPr>
          <w:rFonts w:ascii="Garamond" w:hAnsi="Garamond"/>
          <w:sz w:val="24"/>
          <w:szCs w:val="24"/>
        </w:rPr>
        <w:t>which after Montenegro</w:t>
      </w:r>
      <w:r w:rsidR="00C13A74">
        <w:rPr>
          <w:rFonts w:ascii="Garamond" w:hAnsi="Garamond"/>
          <w:sz w:val="24"/>
          <w:szCs w:val="24"/>
        </w:rPr>
        <w:t>’</w:t>
      </w:r>
      <w:r w:rsidR="004D1343" w:rsidRPr="00C32887">
        <w:rPr>
          <w:rFonts w:ascii="Garamond" w:hAnsi="Garamond"/>
          <w:sz w:val="24"/>
          <w:szCs w:val="24"/>
        </w:rPr>
        <w:t>s accession to the EU will serve as a security link for the exchange of data in the field of customs and taxes. With the</w:t>
      </w:r>
      <w:r w:rsidR="003B0755">
        <w:rPr>
          <w:rFonts w:ascii="Garamond" w:hAnsi="Garamond"/>
          <w:sz w:val="24"/>
          <w:szCs w:val="24"/>
        </w:rPr>
        <w:t xml:space="preserve"> implementation of this Project</w:t>
      </w:r>
      <w:r w:rsidR="004D1343" w:rsidRPr="00C32887">
        <w:rPr>
          <w:rFonts w:ascii="Garamond" w:hAnsi="Garamond"/>
          <w:sz w:val="24"/>
          <w:szCs w:val="24"/>
        </w:rPr>
        <w:t>, the conditions for Montenegro</w:t>
      </w:r>
      <w:r w:rsidR="00C13A74">
        <w:rPr>
          <w:rFonts w:ascii="Garamond" w:hAnsi="Garamond"/>
          <w:sz w:val="24"/>
          <w:szCs w:val="24"/>
        </w:rPr>
        <w:t>’</w:t>
      </w:r>
      <w:r w:rsidR="004D1343" w:rsidRPr="00C32887">
        <w:rPr>
          <w:rFonts w:ascii="Garamond" w:hAnsi="Garamond"/>
          <w:sz w:val="24"/>
          <w:szCs w:val="24"/>
        </w:rPr>
        <w:t>s acc</w:t>
      </w:r>
      <w:r w:rsidR="003B0755">
        <w:rPr>
          <w:rFonts w:ascii="Garamond" w:hAnsi="Garamond"/>
          <w:sz w:val="24"/>
          <w:szCs w:val="24"/>
        </w:rPr>
        <w:t xml:space="preserve">ession to the </w:t>
      </w:r>
      <w:r w:rsidR="004D1343" w:rsidRPr="00C32887">
        <w:rPr>
          <w:rFonts w:ascii="Garamond" w:hAnsi="Garamond"/>
          <w:sz w:val="24"/>
          <w:szCs w:val="24"/>
        </w:rPr>
        <w:t xml:space="preserve">Common Transit </w:t>
      </w:r>
      <w:r w:rsidR="00E9462A">
        <w:rPr>
          <w:rFonts w:ascii="Garamond" w:hAnsi="Garamond"/>
          <w:sz w:val="24"/>
          <w:szCs w:val="24"/>
        </w:rPr>
        <w:t xml:space="preserve">Convention </w:t>
      </w:r>
      <w:r w:rsidR="004D1343" w:rsidRPr="00C32887">
        <w:rPr>
          <w:rFonts w:ascii="Garamond" w:hAnsi="Garamond"/>
          <w:sz w:val="24"/>
          <w:szCs w:val="24"/>
        </w:rPr>
        <w:t xml:space="preserve">and the Convention on Facilitation of Trade in Goods, which is one of the conditions for accession to the European Union, will be met. The project is expected to be completed in 2021, when the largest number of activities will be </w:t>
      </w:r>
      <w:r w:rsidR="002E2BCC">
        <w:rPr>
          <w:rFonts w:ascii="Garamond" w:hAnsi="Garamond"/>
          <w:sz w:val="24"/>
          <w:szCs w:val="24"/>
        </w:rPr>
        <w:t>implemented</w:t>
      </w:r>
      <w:r w:rsidR="004D1343"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E4154F">
      <w:pPr>
        <w:jc w:val="both"/>
        <w:rPr>
          <w:rFonts w:ascii="Garamond" w:hAnsi="Garamond"/>
          <w:sz w:val="24"/>
          <w:szCs w:val="24"/>
        </w:rPr>
      </w:pPr>
      <w:r w:rsidRPr="00C32887">
        <w:rPr>
          <w:rFonts w:ascii="Garamond" w:hAnsi="Garamond"/>
          <w:sz w:val="24"/>
          <w:szCs w:val="24"/>
        </w:rPr>
        <w:t xml:space="preserve">Also, during 2020, activities were carried out </w:t>
      </w:r>
      <w:r w:rsidR="002E2BCC">
        <w:rPr>
          <w:rFonts w:ascii="Garamond" w:hAnsi="Garamond"/>
          <w:sz w:val="24"/>
          <w:szCs w:val="24"/>
        </w:rPr>
        <w:t>under</w:t>
      </w:r>
      <w:r w:rsidRPr="00C32887">
        <w:rPr>
          <w:rFonts w:ascii="Garamond" w:hAnsi="Garamond"/>
          <w:sz w:val="24"/>
          <w:szCs w:val="24"/>
        </w:rPr>
        <w:t xml:space="preserve"> the Project for the introduction of a system for electronic management of excise stamps in order to implement the Decree on labeling tobacco products and alcoholic</w:t>
      </w:r>
      <w:r w:rsidR="00E4154F">
        <w:rPr>
          <w:rFonts w:ascii="Garamond" w:hAnsi="Garamond"/>
          <w:sz w:val="24"/>
          <w:szCs w:val="24"/>
        </w:rPr>
        <w:t xml:space="preserve"> beverages with excise stamps (Official Gazette of Montenegro</w:t>
      </w:r>
      <w:r w:rsidRPr="00C32887">
        <w:rPr>
          <w:rFonts w:ascii="Garamond" w:hAnsi="Garamond"/>
          <w:sz w:val="24"/>
          <w:szCs w:val="24"/>
        </w:rPr>
        <w:t xml:space="preserve">, No. 28/19). The aim of </w:t>
      </w:r>
      <w:r w:rsidR="002E2BCC">
        <w:rPr>
          <w:rFonts w:ascii="Garamond" w:hAnsi="Garamond"/>
          <w:sz w:val="24"/>
          <w:szCs w:val="24"/>
        </w:rPr>
        <w:t>the</w:t>
      </w:r>
      <w:r w:rsidRPr="00C32887">
        <w:rPr>
          <w:rFonts w:ascii="Garamond" w:hAnsi="Garamond"/>
          <w:sz w:val="24"/>
          <w:szCs w:val="24"/>
        </w:rPr>
        <w:t xml:space="preserve"> project is to introduce advanced technology to improve the efficiency of the customs service in combating the illicit trade in tobacco products, which is the recommendation of the EC </w:t>
      </w:r>
      <w:r w:rsidR="00E9462A">
        <w:rPr>
          <w:rFonts w:ascii="Garamond" w:hAnsi="Garamond"/>
          <w:sz w:val="24"/>
          <w:szCs w:val="24"/>
        </w:rPr>
        <w:t>from</w:t>
      </w:r>
      <w:r w:rsidRPr="00C32887">
        <w:rPr>
          <w:rFonts w:ascii="Garamond" w:hAnsi="Garamond"/>
          <w:sz w:val="24"/>
          <w:szCs w:val="24"/>
        </w:rPr>
        <w:t xml:space="preserve"> the annual progress reports. </w:t>
      </w:r>
      <w:r w:rsidR="002E2BCC">
        <w:rPr>
          <w:rFonts w:ascii="Garamond" w:hAnsi="Garamond"/>
          <w:sz w:val="24"/>
          <w:szCs w:val="24"/>
        </w:rPr>
        <w:t>Under</w:t>
      </w:r>
      <w:r w:rsidRPr="00C32887">
        <w:rPr>
          <w:rFonts w:ascii="Garamond" w:hAnsi="Garamond"/>
          <w:sz w:val="24"/>
          <w:szCs w:val="24"/>
        </w:rPr>
        <w:t xml:space="preserve"> the Project, activities of delivery of hardware (server and storage) equipment, printed excise stamps for marking tobacco products and printed excise stamps for marking alcoholic beverages and software licenses for the </w:t>
      </w:r>
      <w:r w:rsidR="002E2BCC" w:rsidRPr="00C32887">
        <w:rPr>
          <w:rFonts w:ascii="Garamond" w:hAnsi="Garamond"/>
          <w:sz w:val="24"/>
          <w:szCs w:val="24"/>
        </w:rPr>
        <w:t xml:space="preserve">electronic management </w:t>
      </w:r>
      <w:r w:rsidRPr="00C32887">
        <w:rPr>
          <w:rFonts w:ascii="Garamond" w:hAnsi="Garamond"/>
          <w:sz w:val="24"/>
          <w:szCs w:val="24"/>
        </w:rPr>
        <w:t xml:space="preserve">system for excise stamps were </w:t>
      </w:r>
      <w:r w:rsidR="002E2BCC">
        <w:rPr>
          <w:rFonts w:ascii="Garamond" w:hAnsi="Garamond"/>
          <w:sz w:val="24"/>
          <w:szCs w:val="24"/>
        </w:rPr>
        <w:t>implemented</w:t>
      </w:r>
      <w:r w:rsidRPr="00C32887">
        <w:rPr>
          <w:rFonts w:ascii="Garamond" w:hAnsi="Garamond"/>
          <w:sz w:val="24"/>
          <w:szCs w:val="24"/>
        </w:rPr>
        <w:t>. The completion of this p</w:t>
      </w:r>
      <w:r w:rsidR="00E4154F">
        <w:rPr>
          <w:rFonts w:ascii="Garamond" w:hAnsi="Garamond"/>
          <w:sz w:val="24"/>
          <w:szCs w:val="24"/>
        </w:rPr>
        <w:t>roject is expected in February</w:t>
      </w:r>
      <w:r w:rsidR="002E2BCC">
        <w:rPr>
          <w:rFonts w:ascii="Garamond" w:hAnsi="Garamond"/>
          <w:sz w:val="24"/>
          <w:szCs w:val="24"/>
        </w:rPr>
        <w:t xml:space="preserve"> 2021</w:t>
      </w: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E9462A" w:rsidP="00E4154F">
      <w:pPr>
        <w:jc w:val="both"/>
        <w:rPr>
          <w:rFonts w:ascii="Garamond" w:hAnsi="Garamond"/>
          <w:sz w:val="24"/>
          <w:szCs w:val="24"/>
        </w:rPr>
      </w:pPr>
      <w:r>
        <w:rPr>
          <w:rFonts w:ascii="Garamond" w:hAnsi="Garamond"/>
          <w:sz w:val="24"/>
          <w:szCs w:val="24"/>
        </w:rPr>
        <w:t>Under</w:t>
      </w:r>
      <w:r w:rsidR="00E4154F">
        <w:rPr>
          <w:rFonts w:ascii="Garamond" w:hAnsi="Garamond"/>
          <w:sz w:val="24"/>
          <w:szCs w:val="24"/>
        </w:rPr>
        <w:t xml:space="preserve"> the </w:t>
      </w:r>
      <w:r w:rsidR="00C13A74">
        <w:rPr>
          <w:rFonts w:ascii="Garamond" w:hAnsi="Garamond"/>
          <w:sz w:val="24"/>
          <w:szCs w:val="24"/>
        </w:rPr>
        <w:t>‘</w:t>
      </w:r>
      <w:r w:rsidR="004D1343" w:rsidRPr="00C32887">
        <w:rPr>
          <w:rFonts w:ascii="Garamond" w:hAnsi="Garamond"/>
          <w:sz w:val="24"/>
          <w:szCs w:val="24"/>
        </w:rPr>
        <w:t xml:space="preserve">Support to the Implementation of the Integrated Border Management </w:t>
      </w:r>
      <w:r w:rsidR="00E4154F">
        <w:rPr>
          <w:rFonts w:ascii="Garamond" w:hAnsi="Garamond"/>
          <w:sz w:val="24"/>
          <w:szCs w:val="24"/>
        </w:rPr>
        <w:t>Strategy</w:t>
      </w:r>
      <w:r w:rsidR="00C13A74">
        <w:rPr>
          <w:rFonts w:ascii="Garamond" w:hAnsi="Garamond"/>
          <w:sz w:val="24"/>
          <w:szCs w:val="24"/>
        </w:rPr>
        <w:t>’</w:t>
      </w:r>
      <w:r w:rsidR="004D1343" w:rsidRPr="00C32887">
        <w:rPr>
          <w:rFonts w:ascii="Garamond" w:hAnsi="Garamond"/>
          <w:sz w:val="24"/>
          <w:szCs w:val="24"/>
        </w:rPr>
        <w:t xml:space="preserve"> </w:t>
      </w:r>
      <w:r w:rsidR="00E4154F">
        <w:rPr>
          <w:rFonts w:ascii="Garamond" w:hAnsi="Garamond"/>
          <w:sz w:val="24"/>
          <w:szCs w:val="24"/>
        </w:rPr>
        <w:t>IPA SBS IBM 2015</w:t>
      </w:r>
      <w:r w:rsidRPr="00E9462A">
        <w:rPr>
          <w:rFonts w:ascii="Garamond" w:hAnsi="Garamond"/>
          <w:sz w:val="24"/>
          <w:szCs w:val="24"/>
        </w:rPr>
        <w:t xml:space="preserve"> </w:t>
      </w:r>
      <w:r>
        <w:rPr>
          <w:rFonts w:ascii="Garamond" w:hAnsi="Garamond"/>
          <w:sz w:val="24"/>
          <w:szCs w:val="24"/>
        </w:rPr>
        <w:t>Project</w:t>
      </w:r>
      <w:r w:rsidR="00E4154F">
        <w:rPr>
          <w:rFonts w:ascii="Garamond" w:hAnsi="Garamond"/>
          <w:sz w:val="24"/>
          <w:szCs w:val="24"/>
        </w:rPr>
        <w:t xml:space="preserve">, in September 2020, </w:t>
      </w:r>
      <w:r w:rsidR="00C13A74">
        <w:rPr>
          <w:rFonts w:ascii="Garamond" w:hAnsi="Garamond"/>
          <w:sz w:val="24"/>
          <w:szCs w:val="24"/>
        </w:rPr>
        <w:t>‘</w:t>
      </w:r>
      <w:r w:rsidR="00DD5CBD">
        <w:rPr>
          <w:rFonts w:ascii="Garamond" w:hAnsi="Garamond"/>
          <w:sz w:val="24"/>
          <w:szCs w:val="24"/>
        </w:rPr>
        <w:t>Strengthening the Administrative</w:t>
      </w:r>
      <w:r w:rsidR="004D1343" w:rsidRPr="00C32887">
        <w:rPr>
          <w:rFonts w:ascii="Garamond" w:hAnsi="Garamond"/>
          <w:sz w:val="24"/>
          <w:szCs w:val="24"/>
        </w:rPr>
        <w:t xml:space="preserve"> </w:t>
      </w:r>
      <w:r w:rsidR="00DD5CBD" w:rsidRPr="00C32887">
        <w:rPr>
          <w:rFonts w:ascii="Garamond" w:hAnsi="Garamond"/>
          <w:sz w:val="24"/>
          <w:szCs w:val="24"/>
        </w:rPr>
        <w:t xml:space="preserve">Capacities </w:t>
      </w:r>
      <w:r w:rsidR="004D1343" w:rsidRPr="00C32887">
        <w:rPr>
          <w:rFonts w:ascii="Garamond" w:hAnsi="Garamond"/>
          <w:sz w:val="24"/>
          <w:szCs w:val="24"/>
        </w:rPr>
        <w:t xml:space="preserve">of the Customs Administration for </w:t>
      </w:r>
      <w:r w:rsidR="00DD5CBD" w:rsidRPr="00C32887">
        <w:rPr>
          <w:rFonts w:ascii="Garamond" w:hAnsi="Garamond"/>
          <w:sz w:val="24"/>
          <w:szCs w:val="24"/>
        </w:rPr>
        <w:t xml:space="preserve">Full Implementation </w:t>
      </w:r>
      <w:r w:rsidR="004D1343" w:rsidRPr="00C32887">
        <w:rPr>
          <w:rFonts w:ascii="Garamond" w:hAnsi="Garamond"/>
          <w:sz w:val="24"/>
          <w:szCs w:val="24"/>
        </w:rPr>
        <w:t xml:space="preserve">of the </w:t>
      </w:r>
      <w:r w:rsidR="00DD5CBD" w:rsidRPr="00C32887">
        <w:rPr>
          <w:rFonts w:ascii="Garamond" w:hAnsi="Garamond"/>
          <w:sz w:val="24"/>
          <w:szCs w:val="24"/>
        </w:rPr>
        <w:t>Information S</w:t>
      </w:r>
      <w:r w:rsidR="00DD5CBD">
        <w:rPr>
          <w:rFonts w:ascii="Garamond" w:hAnsi="Garamond"/>
          <w:sz w:val="24"/>
          <w:szCs w:val="24"/>
        </w:rPr>
        <w:t xml:space="preserve">ystem </w:t>
      </w:r>
      <w:r w:rsidR="00E4154F">
        <w:rPr>
          <w:rFonts w:ascii="Garamond" w:hAnsi="Garamond"/>
          <w:sz w:val="24"/>
          <w:szCs w:val="24"/>
        </w:rPr>
        <w:t xml:space="preserve">for </w:t>
      </w:r>
      <w:r w:rsidR="00DD5CBD">
        <w:rPr>
          <w:rFonts w:ascii="Garamond" w:hAnsi="Garamond"/>
          <w:sz w:val="24"/>
          <w:szCs w:val="24"/>
        </w:rPr>
        <w:t>Inspection Management’</w:t>
      </w:r>
      <w:r w:rsidR="00DD5CBD" w:rsidRPr="00C32887">
        <w:rPr>
          <w:rFonts w:ascii="Garamond" w:hAnsi="Garamond"/>
          <w:sz w:val="24"/>
          <w:szCs w:val="24"/>
        </w:rPr>
        <w:t xml:space="preserve"> </w:t>
      </w:r>
      <w:r>
        <w:rPr>
          <w:rFonts w:ascii="Garamond" w:hAnsi="Garamond"/>
          <w:sz w:val="24"/>
          <w:szCs w:val="24"/>
        </w:rPr>
        <w:t xml:space="preserve">project </w:t>
      </w:r>
      <w:r w:rsidR="004D1343" w:rsidRPr="00C32887">
        <w:rPr>
          <w:rFonts w:ascii="Garamond" w:hAnsi="Garamond"/>
          <w:sz w:val="24"/>
          <w:szCs w:val="24"/>
        </w:rPr>
        <w:t>was completed, which enable</w:t>
      </w:r>
      <w:r>
        <w:rPr>
          <w:rFonts w:ascii="Garamond" w:hAnsi="Garamond"/>
          <w:sz w:val="24"/>
          <w:szCs w:val="24"/>
        </w:rPr>
        <w:t>d</w:t>
      </w:r>
      <w:r w:rsidR="004D1343" w:rsidRPr="00C32887">
        <w:rPr>
          <w:rFonts w:ascii="Garamond" w:hAnsi="Garamond"/>
          <w:sz w:val="24"/>
          <w:szCs w:val="24"/>
        </w:rPr>
        <w:t xml:space="preserve"> analytical work and reporting for the purposes of inspection management, case management records</w:t>
      </w:r>
      <w:r w:rsidR="00A94B0F">
        <w:rPr>
          <w:rFonts w:ascii="Garamond" w:hAnsi="Garamond"/>
          <w:sz w:val="24"/>
          <w:szCs w:val="24"/>
        </w:rPr>
        <w:t>,</w:t>
      </w:r>
      <w:r w:rsidR="004D1343" w:rsidRPr="00C32887">
        <w:rPr>
          <w:rFonts w:ascii="Garamond" w:hAnsi="Garamond"/>
          <w:sz w:val="24"/>
          <w:szCs w:val="24"/>
        </w:rPr>
        <w:t xml:space="preserve"> as well as the development of an objective and impartial annual ex-post c</w:t>
      </w:r>
      <w:r w:rsidR="00E4154F">
        <w:rPr>
          <w:rFonts w:ascii="Garamond" w:hAnsi="Garamond"/>
          <w:sz w:val="24"/>
          <w:szCs w:val="24"/>
        </w:rPr>
        <w:t xml:space="preserve">ontrol plan. </w:t>
      </w:r>
      <w:r w:rsidRPr="00C32887">
        <w:rPr>
          <w:rFonts w:ascii="Garamond" w:hAnsi="Garamond"/>
          <w:sz w:val="24"/>
          <w:szCs w:val="24"/>
        </w:rPr>
        <w:t xml:space="preserve">The </w:t>
      </w:r>
      <w:r w:rsidR="004D1343" w:rsidRPr="00C32887">
        <w:rPr>
          <w:rFonts w:ascii="Garamond" w:hAnsi="Garamond"/>
          <w:sz w:val="24"/>
          <w:szCs w:val="24"/>
        </w:rPr>
        <w:t xml:space="preserve">procurement of equipment for the customs laboratory for testing </w:t>
      </w:r>
      <w:r w:rsidR="00E4154F">
        <w:rPr>
          <w:rFonts w:ascii="Garamond" w:hAnsi="Garamond"/>
          <w:sz w:val="24"/>
          <w:szCs w:val="24"/>
        </w:rPr>
        <w:t>petroleum</w:t>
      </w:r>
      <w:r w:rsidR="00E4154F" w:rsidRPr="00C32887">
        <w:rPr>
          <w:rFonts w:ascii="Garamond" w:hAnsi="Garamond"/>
          <w:sz w:val="24"/>
          <w:szCs w:val="24"/>
        </w:rPr>
        <w:t xml:space="preserve"> and </w:t>
      </w:r>
      <w:r w:rsidR="00E4154F">
        <w:rPr>
          <w:rFonts w:ascii="Garamond" w:hAnsi="Garamond"/>
          <w:sz w:val="24"/>
          <w:szCs w:val="24"/>
        </w:rPr>
        <w:t>petroleum</w:t>
      </w:r>
      <w:r w:rsidR="00E4154F" w:rsidRPr="00C32887">
        <w:rPr>
          <w:rFonts w:ascii="Garamond" w:hAnsi="Garamond"/>
          <w:sz w:val="24"/>
          <w:szCs w:val="24"/>
        </w:rPr>
        <w:t xml:space="preserve"> </w:t>
      </w:r>
      <w:r w:rsidR="00E4154F">
        <w:rPr>
          <w:rFonts w:ascii="Garamond" w:hAnsi="Garamond"/>
          <w:sz w:val="24"/>
          <w:szCs w:val="24"/>
        </w:rPr>
        <w:t>products</w:t>
      </w:r>
      <w:r w:rsidR="004D1343" w:rsidRPr="00C32887">
        <w:rPr>
          <w:rFonts w:ascii="Garamond" w:hAnsi="Garamond"/>
          <w:sz w:val="24"/>
          <w:szCs w:val="24"/>
        </w:rPr>
        <w:t xml:space="preserve"> was </w:t>
      </w:r>
      <w:r>
        <w:rPr>
          <w:rFonts w:ascii="Garamond" w:hAnsi="Garamond"/>
          <w:sz w:val="24"/>
          <w:szCs w:val="24"/>
        </w:rPr>
        <w:t>also implemented under the project</w:t>
      </w:r>
      <w:r w:rsidR="00A94B0F">
        <w:rPr>
          <w:rFonts w:ascii="Garamond" w:hAnsi="Garamond"/>
          <w:sz w:val="24"/>
          <w:szCs w:val="24"/>
        </w:rPr>
        <w:t>,</w:t>
      </w:r>
      <w:r w:rsidR="004D1343" w:rsidRPr="00C32887">
        <w:rPr>
          <w:rFonts w:ascii="Garamond" w:hAnsi="Garamond"/>
          <w:sz w:val="24"/>
          <w:szCs w:val="24"/>
        </w:rPr>
        <w:t xml:space="preserve"> and was installed in the customs laboratory. Trainings of customs laboratory employees were </w:t>
      </w:r>
      <w:r w:rsidR="00A94B0F">
        <w:rPr>
          <w:rFonts w:ascii="Garamond" w:hAnsi="Garamond"/>
          <w:sz w:val="24"/>
          <w:szCs w:val="24"/>
        </w:rPr>
        <w:t>implemented</w:t>
      </w:r>
      <w:r w:rsidR="004D1343" w:rsidRPr="00C32887">
        <w:rPr>
          <w:rFonts w:ascii="Garamond" w:hAnsi="Garamond"/>
          <w:sz w:val="24"/>
          <w:szCs w:val="24"/>
        </w:rPr>
        <w:t xml:space="preserve">. The new modernly equipped laboratory for the analysis of </w:t>
      </w:r>
      <w:r w:rsidR="00E4154F">
        <w:rPr>
          <w:rFonts w:ascii="Garamond" w:hAnsi="Garamond"/>
          <w:sz w:val="24"/>
          <w:szCs w:val="24"/>
        </w:rPr>
        <w:t>petroleum</w:t>
      </w:r>
      <w:r w:rsidR="00E4154F" w:rsidRPr="00C32887">
        <w:rPr>
          <w:rFonts w:ascii="Garamond" w:hAnsi="Garamond"/>
          <w:sz w:val="24"/>
          <w:szCs w:val="24"/>
        </w:rPr>
        <w:t xml:space="preserve"> </w:t>
      </w:r>
      <w:r w:rsidR="004D1343" w:rsidRPr="00C32887">
        <w:rPr>
          <w:rFonts w:ascii="Garamond" w:hAnsi="Garamond"/>
          <w:sz w:val="24"/>
          <w:szCs w:val="24"/>
        </w:rPr>
        <w:t xml:space="preserve">and </w:t>
      </w:r>
      <w:r w:rsidR="00E4154F">
        <w:rPr>
          <w:rFonts w:ascii="Garamond" w:hAnsi="Garamond"/>
          <w:sz w:val="24"/>
          <w:szCs w:val="24"/>
        </w:rPr>
        <w:t>petroleum</w:t>
      </w:r>
      <w:r w:rsidR="004D1343" w:rsidRPr="00C32887">
        <w:rPr>
          <w:rFonts w:ascii="Garamond" w:hAnsi="Garamond"/>
          <w:sz w:val="24"/>
          <w:szCs w:val="24"/>
        </w:rPr>
        <w:t xml:space="preserve"> </w:t>
      </w:r>
      <w:r w:rsidR="00E4154F">
        <w:rPr>
          <w:rFonts w:ascii="Garamond" w:hAnsi="Garamond"/>
          <w:sz w:val="24"/>
          <w:szCs w:val="24"/>
        </w:rPr>
        <w:t>products</w:t>
      </w:r>
      <w:r w:rsidR="004D1343" w:rsidRPr="00C32887">
        <w:rPr>
          <w:rFonts w:ascii="Garamond" w:hAnsi="Garamond"/>
          <w:sz w:val="24"/>
          <w:szCs w:val="24"/>
        </w:rPr>
        <w:t xml:space="preserve"> started </w:t>
      </w:r>
      <w:r w:rsidR="00A94B0F">
        <w:rPr>
          <w:rFonts w:ascii="Garamond" w:hAnsi="Garamond"/>
          <w:sz w:val="24"/>
          <w:szCs w:val="24"/>
        </w:rPr>
        <w:t>operating</w:t>
      </w:r>
      <w:r w:rsidR="00E4154F">
        <w:rPr>
          <w:rFonts w:ascii="Garamond" w:hAnsi="Garamond"/>
          <w:sz w:val="24"/>
          <w:szCs w:val="24"/>
        </w:rPr>
        <w:t xml:space="preserve"> in September 2020. The customs laboratory</w:t>
      </w:r>
      <w:r w:rsidR="004D1343" w:rsidRPr="00C32887">
        <w:rPr>
          <w:rFonts w:ascii="Garamond" w:hAnsi="Garamond"/>
          <w:sz w:val="24"/>
          <w:szCs w:val="24"/>
        </w:rPr>
        <w:t xml:space="preserve"> perform</w:t>
      </w:r>
      <w:r w:rsidR="00E4154F">
        <w:rPr>
          <w:rFonts w:ascii="Garamond" w:hAnsi="Garamond"/>
          <w:sz w:val="24"/>
          <w:szCs w:val="24"/>
        </w:rPr>
        <w:t>s</w:t>
      </w:r>
      <w:r w:rsidR="004D1343" w:rsidRPr="00C32887">
        <w:rPr>
          <w:rFonts w:ascii="Garamond" w:hAnsi="Garamond"/>
          <w:sz w:val="24"/>
          <w:szCs w:val="24"/>
        </w:rPr>
        <w:t xml:space="preserve"> the physical-chemical analysis of high-risk excise goods and </w:t>
      </w:r>
      <w:r w:rsidR="00A94B0F">
        <w:rPr>
          <w:rFonts w:ascii="Garamond" w:hAnsi="Garamond"/>
          <w:sz w:val="24"/>
          <w:szCs w:val="24"/>
        </w:rPr>
        <w:t xml:space="preserve">provides </w:t>
      </w:r>
      <w:r w:rsidR="004D1343" w:rsidRPr="00C32887">
        <w:rPr>
          <w:rFonts w:ascii="Garamond" w:hAnsi="Garamond"/>
          <w:sz w:val="24"/>
          <w:szCs w:val="24"/>
        </w:rPr>
        <w:t xml:space="preserve">expert opinions on the classification of goods in the </w:t>
      </w:r>
      <w:r w:rsidR="005565EB" w:rsidRPr="00C32887">
        <w:rPr>
          <w:rFonts w:ascii="Garamond" w:hAnsi="Garamond"/>
          <w:sz w:val="24"/>
          <w:szCs w:val="24"/>
        </w:rPr>
        <w:t xml:space="preserve">customs tariff, </w:t>
      </w:r>
      <w:r w:rsidR="004D1343" w:rsidRPr="00C32887">
        <w:rPr>
          <w:rFonts w:ascii="Garamond" w:hAnsi="Garamond"/>
          <w:sz w:val="24"/>
          <w:szCs w:val="24"/>
        </w:rPr>
        <w:t xml:space="preserve">to ensure proper calculation of customs duties, </w:t>
      </w:r>
      <w:r w:rsidR="00A94B0F">
        <w:rPr>
          <w:rFonts w:ascii="Garamond" w:hAnsi="Garamond"/>
          <w:sz w:val="24"/>
          <w:szCs w:val="24"/>
        </w:rPr>
        <w:t>improve</w:t>
      </w:r>
      <w:r w:rsidR="004D1343" w:rsidRPr="00C32887">
        <w:rPr>
          <w:rFonts w:ascii="Garamond" w:hAnsi="Garamond"/>
          <w:sz w:val="24"/>
          <w:szCs w:val="24"/>
        </w:rPr>
        <w:t xml:space="preserve"> fight against the gray economy and prevent illegal traffic of goods. Additionally, the purchase of computer equipment for border crossings </w:t>
      </w:r>
      <w:r w:rsidR="006241A6">
        <w:rPr>
          <w:rFonts w:ascii="Garamond" w:hAnsi="Garamond"/>
          <w:sz w:val="24"/>
          <w:szCs w:val="24"/>
        </w:rPr>
        <w:t xml:space="preserve">was made </w:t>
      </w:r>
      <w:r w:rsidR="005565EB">
        <w:rPr>
          <w:rFonts w:ascii="Garamond" w:hAnsi="Garamond"/>
          <w:sz w:val="24"/>
          <w:szCs w:val="24"/>
        </w:rPr>
        <w:t>and completed work</w:t>
      </w:r>
      <w:r w:rsidR="004D1343" w:rsidRPr="00C32887">
        <w:rPr>
          <w:rFonts w:ascii="Garamond" w:hAnsi="Garamond"/>
          <w:sz w:val="24"/>
          <w:szCs w:val="24"/>
        </w:rPr>
        <w:t xml:space="preserve"> to improve </w:t>
      </w:r>
      <w:r w:rsidR="005565EB">
        <w:rPr>
          <w:rFonts w:ascii="Garamond" w:hAnsi="Garamond"/>
          <w:sz w:val="24"/>
          <w:szCs w:val="24"/>
        </w:rPr>
        <w:t>the operation</w:t>
      </w:r>
      <w:r w:rsidR="004D1343" w:rsidRPr="00C32887">
        <w:rPr>
          <w:rFonts w:ascii="Garamond" w:hAnsi="Garamond"/>
          <w:sz w:val="24"/>
          <w:szCs w:val="24"/>
        </w:rPr>
        <w:t xml:space="preserve"> of the </w:t>
      </w:r>
      <w:r w:rsidR="00A94B0F" w:rsidRPr="00C32887">
        <w:rPr>
          <w:rFonts w:ascii="Garamond" w:hAnsi="Garamond"/>
          <w:sz w:val="24"/>
          <w:szCs w:val="24"/>
        </w:rPr>
        <w:t xml:space="preserve">Customs Security </w:t>
      </w:r>
      <w:r w:rsidR="004D1343" w:rsidRPr="00C32887">
        <w:rPr>
          <w:rFonts w:ascii="Garamond" w:hAnsi="Garamond"/>
          <w:sz w:val="24"/>
          <w:szCs w:val="24"/>
        </w:rPr>
        <w:t xml:space="preserve">and </w:t>
      </w:r>
      <w:r w:rsidR="00A94B0F" w:rsidRPr="00C32887">
        <w:rPr>
          <w:rFonts w:ascii="Garamond" w:hAnsi="Garamond"/>
          <w:sz w:val="24"/>
          <w:szCs w:val="24"/>
        </w:rPr>
        <w:t>Control</w:t>
      </w:r>
      <w:r w:rsidR="00A94B0F">
        <w:rPr>
          <w:rFonts w:ascii="Garamond" w:hAnsi="Garamond"/>
          <w:sz w:val="24"/>
          <w:szCs w:val="24"/>
        </w:rPr>
        <w:t xml:space="preserve"> Division</w:t>
      </w:r>
      <w:r w:rsidR="004D1343" w:rsidRPr="00C32887">
        <w:rPr>
          <w:rFonts w:ascii="Garamond" w:hAnsi="Garamond"/>
          <w:sz w:val="24"/>
          <w:szCs w:val="24"/>
        </w:rPr>
        <w:t xml:space="preserve">. All planned activities of the Customs Administration </w:t>
      </w:r>
      <w:r w:rsidR="005565EB">
        <w:rPr>
          <w:rFonts w:ascii="Garamond" w:hAnsi="Garamond"/>
          <w:sz w:val="24"/>
          <w:szCs w:val="24"/>
        </w:rPr>
        <w:t>under</w:t>
      </w:r>
      <w:r w:rsidR="004D1343" w:rsidRPr="00C32887">
        <w:rPr>
          <w:rFonts w:ascii="Garamond" w:hAnsi="Garamond"/>
          <w:sz w:val="24"/>
          <w:szCs w:val="24"/>
        </w:rPr>
        <w:t xml:space="preserve"> the </w:t>
      </w:r>
      <w:r w:rsidR="005565EB">
        <w:rPr>
          <w:rFonts w:ascii="Garamond" w:hAnsi="Garamond"/>
          <w:sz w:val="24"/>
          <w:szCs w:val="24"/>
        </w:rPr>
        <w:t>p</w:t>
      </w:r>
      <w:r w:rsidR="004D1343" w:rsidRPr="00C32887">
        <w:rPr>
          <w:rFonts w:ascii="Garamond" w:hAnsi="Garamond"/>
          <w:sz w:val="24"/>
          <w:szCs w:val="24"/>
        </w:rPr>
        <w:t xml:space="preserve">roject have been completed.  </w:t>
      </w:r>
    </w:p>
    <w:p w:rsidR="004D1343" w:rsidRPr="00C32887" w:rsidRDefault="004D1343" w:rsidP="004D1343">
      <w:pPr>
        <w:rPr>
          <w:rFonts w:ascii="Garamond" w:hAnsi="Garamond"/>
          <w:sz w:val="24"/>
          <w:szCs w:val="24"/>
        </w:rPr>
      </w:pPr>
    </w:p>
    <w:p w:rsidR="004D1343" w:rsidRPr="00C32887" w:rsidRDefault="004D1343" w:rsidP="006241A6">
      <w:pPr>
        <w:jc w:val="both"/>
        <w:rPr>
          <w:rFonts w:ascii="Garamond" w:hAnsi="Garamond"/>
          <w:sz w:val="24"/>
          <w:szCs w:val="24"/>
        </w:rPr>
      </w:pPr>
      <w:r w:rsidRPr="00C32887">
        <w:rPr>
          <w:rFonts w:ascii="Garamond" w:hAnsi="Garamond"/>
          <w:sz w:val="24"/>
          <w:szCs w:val="24"/>
        </w:rPr>
        <w:t>The nCEN network of the World Customs Organi</w:t>
      </w:r>
      <w:r w:rsidR="00A94B0F">
        <w:rPr>
          <w:rFonts w:ascii="Garamond" w:hAnsi="Garamond"/>
          <w:sz w:val="24"/>
          <w:szCs w:val="24"/>
        </w:rPr>
        <w:t>z</w:t>
      </w:r>
      <w:r w:rsidR="00F254DD">
        <w:rPr>
          <w:rFonts w:ascii="Garamond" w:hAnsi="Garamond"/>
          <w:sz w:val="24"/>
          <w:szCs w:val="24"/>
        </w:rPr>
        <w:t>ation</w:t>
      </w:r>
      <w:r w:rsidRPr="00C32887">
        <w:rPr>
          <w:rFonts w:ascii="Garamond" w:hAnsi="Garamond"/>
          <w:sz w:val="24"/>
          <w:szCs w:val="24"/>
        </w:rPr>
        <w:t xml:space="preserve"> has been established, which contributes to the efficient exchange of information between the countries of the Western Balkans, relate</w:t>
      </w:r>
      <w:r w:rsidR="00A94B0F">
        <w:rPr>
          <w:rFonts w:ascii="Garamond" w:hAnsi="Garamond"/>
          <w:sz w:val="24"/>
          <w:szCs w:val="24"/>
        </w:rPr>
        <w:t>d</w:t>
      </w:r>
      <w:r w:rsidRPr="00C32887">
        <w:rPr>
          <w:rFonts w:ascii="Garamond" w:hAnsi="Garamond"/>
          <w:sz w:val="24"/>
          <w:szCs w:val="24"/>
        </w:rPr>
        <w:t xml:space="preserve"> to increasingly significant seizures of narcotics, precursors, psychotropic substances, cigarettes, goods infringing intellectual property rights and more.</w:t>
      </w:r>
    </w:p>
    <w:p w:rsidR="004D1343" w:rsidRPr="00C32887" w:rsidRDefault="004D1343" w:rsidP="004D1343">
      <w:pPr>
        <w:rPr>
          <w:rFonts w:ascii="Garamond" w:hAnsi="Garamond"/>
          <w:sz w:val="24"/>
          <w:szCs w:val="24"/>
        </w:rPr>
      </w:pPr>
    </w:p>
    <w:p w:rsidR="004D1343" w:rsidRPr="00C32887" w:rsidRDefault="004D1343" w:rsidP="006241A6">
      <w:pPr>
        <w:jc w:val="both"/>
        <w:rPr>
          <w:rFonts w:ascii="Garamond" w:hAnsi="Garamond"/>
          <w:sz w:val="24"/>
          <w:szCs w:val="24"/>
        </w:rPr>
      </w:pPr>
      <w:r w:rsidRPr="00C32887">
        <w:rPr>
          <w:rFonts w:ascii="Garamond" w:hAnsi="Garamond"/>
          <w:sz w:val="24"/>
          <w:szCs w:val="24"/>
        </w:rPr>
        <w:t>During 2020, the Customs Administration con</w:t>
      </w:r>
      <w:r w:rsidR="00A94B0F">
        <w:rPr>
          <w:rFonts w:ascii="Garamond" w:hAnsi="Garamond"/>
          <w:sz w:val="24"/>
          <w:szCs w:val="24"/>
        </w:rPr>
        <w:t>tinued its activities on finalis</w:t>
      </w:r>
      <w:r w:rsidRPr="00C32887">
        <w:rPr>
          <w:rFonts w:ascii="Garamond" w:hAnsi="Garamond"/>
          <w:sz w:val="24"/>
          <w:szCs w:val="24"/>
        </w:rPr>
        <w:t xml:space="preserve">ing the terms of reference and technical specifications for activities approved </w:t>
      </w:r>
      <w:r w:rsidR="006241A6">
        <w:rPr>
          <w:rFonts w:ascii="Garamond" w:hAnsi="Garamond"/>
          <w:sz w:val="24"/>
          <w:szCs w:val="24"/>
        </w:rPr>
        <w:t xml:space="preserve">to be implemented </w:t>
      </w:r>
      <w:r w:rsidR="00A94B0F">
        <w:rPr>
          <w:rFonts w:ascii="Garamond" w:hAnsi="Garamond"/>
          <w:sz w:val="24"/>
          <w:szCs w:val="24"/>
        </w:rPr>
        <w:t>under</w:t>
      </w:r>
      <w:r w:rsidR="006241A6">
        <w:rPr>
          <w:rFonts w:ascii="Garamond" w:hAnsi="Garamond"/>
          <w:sz w:val="24"/>
          <w:szCs w:val="24"/>
        </w:rPr>
        <w:t xml:space="preserve"> IPA 2018, among which is the project </w:t>
      </w:r>
      <w:r w:rsidR="00C13A74">
        <w:rPr>
          <w:rFonts w:ascii="Garamond" w:hAnsi="Garamond"/>
          <w:sz w:val="24"/>
          <w:szCs w:val="24"/>
        </w:rPr>
        <w:t>‘</w:t>
      </w:r>
      <w:r w:rsidRPr="00C32887">
        <w:rPr>
          <w:rFonts w:ascii="Garamond" w:hAnsi="Garamond"/>
          <w:sz w:val="24"/>
          <w:szCs w:val="24"/>
        </w:rPr>
        <w:t xml:space="preserve">Support to the Customs Administration to </w:t>
      </w:r>
      <w:r w:rsidR="005565EB" w:rsidRPr="00C32887">
        <w:rPr>
          <w:rFonts w:ascii="Garamond" w:hAnsi="Garamond"/>
          <w:sz w:val="24"/>
          <w:szCs w:val="24"/>
        </w:rPr>
        <w:t xml:space="preserve">Improve </w:t>
      </w:r>
      <w:r w:rsidRPr="00C32887">
        <w:rPr>
          <w:rFonts w:ascii="Garamond" w:hAnsi="Garamond"/>
          <w:sz w:val="24"/>
          <w:szCs w:val="24"/>
        </w:rPr>
        <w:t>Customs Information System</w:t>
      </w:r>
      <w:r w:rsidR="00C13A74">
        <w:rPr>
          <w:rFonts w:ascii="Garamond" w:hAnsi="Garamond"/>
          <w:sz w:val="24"/>
          <w:szCs w:val="24"/>
        </w:rPr>
        <w:t>’</w:t>
      </w:r>
      <w:r w:rsidRPr="00C32887">
        <w:rPr>
          <w:rFonts w:ascii="Garamond" w:hAnsi="Garamond"/>
          <w:sz w:val="24"/>
          <w:szCs w:val="24"/>
        </w:rPr>
        <w:t xml:space="preserve">. Also, the preparation of </w:t>
      </w:r>
      <w:r w:rsidR="005565EB">
        <w:rPr>
          <w:rFonts w:ascii="Garamond" w:hAnsi="Garamond"/>
          <w:sz w:val="24"/>
          <w:szCs w:val="24"/>
        </w:rPr>
        <w:t>documentation for the approved p</w:t>
      </w:r>
      <w:r w:rsidRPr="00C32887">
        <w:rPr>
          <w:rFonts w:ascii="Garamond" w:hAnsi="Garamond"/>
          <w:sz w:val="24"/>
          <w:szCs w:val="24"/>
        </w:rPr>
        <w:t>roject</w:t>
      </w:r>
      <w:r w:rsidR="006241A6">
        <w:rPr>
          <w:rFonts w:ascii="Garamond" w:hAnsi="Garamond"/>
          <w:sz w:val="24"/>
          <w:szCs w:val="24"/>
        </w:rPr>
        <w:t xml:space="preserve"> of the Customs Administration </w:t>
      </w:r>
      <w:r w:rsidR="00C13A74">
        <w:rPr>
          <w:rFonts w:ascii="Garamond" w:hAnsi="Garamond"/>
          <w:sz w:val="24"/>
          <w:szCs w:val="24"/>
        </w:rPr>
        <w:t>‘</w:t>
      </w:r>
      <w:r w:rsidRPr="00C32887">
        <w:rPr>
          <w:rFonts w:ascii="Garamond" w:hAnsi="Garamond"/>
          <w:sz w:val="24"/>
          <w:szCs w:val="24"/>
        </w:rPr>
        <w:t xml:space="preserve">Support to the Customs Administration for the </w:t>
      </w:r>
      <w:r w:rsidR="005565EB" w:rsidRPr="00C32887">
        <w:rPr>
          <w:rFonts w:ascii="Garamond" w:hAnsi="Garamond"/>
          <w:sz w:val="24"/>
          <w:szCs w:val="24"/>
        </w:rPr>
        <w:t xml:space="preserve">Implementation </w:t>
      </w:r>
      <w:r w:rsidRPr="00C32887">
        <w:rPr>
          <w:rFonts w:ascii="Garamond" w:hAnsi="Garamond"/>
          <w:sz w:val="24"/>
          <w:szCs w:val="24"/>
        </w:rPr>
        <w:t xml:space="preserve">of the </w:t>
      </w:r>
      <w:r w:rsidR="005565EB">
        <w:rPr>
          <w:rFonts w:ascii="Garamond" w:hAnsi="Garamond"/>
          <w:sz w:val="24"/>
          <w:szCs w:val="24"/>
        </w:rPr>
        <w:t xml:space="preserve">National </w:t>
      </w:r>
      <w:r w:rsidR="005565EB" w:rsidRPr="00C32887">
        <w:rPr>
          <w:rFonts w:ascii="Garamond" w:hAnsi="Garamond"/>
          <w:sz w:val="24"/>
          <w:szCs w:val="24"/>
        </w:rPr>
        <w:t>Customs Decisi</w:t>
      </w:r>
      <w:r w:rsidR="005565EB">
        <w:rPr>
          <w:rFonts w:ascii="Garamond" w:hAnsi="Garamond"/>
          <w:sz w:val="24"/>
          <w:szCs w:val="24"/>
        </w:rPr>
        <w:t xml:space="preserve">ons System’ </w:t>
      </w:r>
      <w:r w:rsidR="00A94B0F">
        <w:rPr>
          <w:rFonts w:ascii="Garamond" w:hAnsi="Garamond"/>
          <w:sz w:val="24"/>
          <w:szCs w:val="24"/>
        </w:rPr>
        <w:t>under</w:t>
      </w:r>
      <w:r w:rsidRPr="00C32887">
        <w:rPr>
          <w:rFonts w:ascii="Garamond" w:hAnsi="Garamond"/>
          <w:sz w:val="24"/>
          <w:szCs w:val="24"/>
        </w:rPr>
        <w:t xml:space="preserve"> the EUIF 2017 continued.</w:t>
      </w:r>
    </w:p>
    <w:p w:rsidR="004D1343" w:rsidRPr="00C32887" w:rsidRDefault="004D1343" w:rsidP="004D1343">
      <w:pPr>
        <w:rPr>
          <w:rFonts w:ascii="Garamond" w:hAnsi="Garamond"/>
          <w:sz w:val="24"/>
          <w:szCs w:val="24"/>
        </w:rPr>
      </w:pPr>
    </w:p>
    <w:p w:rsidR="004D1343" w:rsidRPr="00C32887" w:rsidRDefault="004D1343" w:rsidP="006241A6">
      <w:pPr>
        <w:jc w:val="both"/>
        <w:rPr>
          <w:rFonts w:ascii="Garamond" w:hAnsi="Garamond"/>
          <w:sz w:val="24"/>
          <w:szCs w:val="24"/>
        </w:rPr>
      </w:pPr>
      <w:r w:rsidRPr="006241A6">
        <w:rPr>
          <w:rFonts w:ascii="Garamond" w:hAnsi="Garamond"/>
          <w:b/>
          <w:sz w:val="24"/>
          <w:szCs w:val="24"/>
        </w:rPr>
        <w:t>When it comes to improving customs system for risk management</w:t>
      </w:r>
      <w:r w:rsidRPr="00C32887">
        <w:rPr>
          <w:rFonts w:ascii="Garamond" w:hAnsi="Garamond"/>
          <w:sz w:val="24"/>
          <w:szCs w:val="24"/>
        </w:rPr>
        <w:t>, i</w:t>
      </w:r>
      <w:r w:rsidR="006241A6">
        <w:rPr>
          <w:rFonts w:ascii="Garamond" w:hAnsi="Garamond"/>
          <w:sz w:val="24"/>
          <w:szCs w:val="24"/>
        </w:rPr>
        <w:t xml:space="preserve">n the framework of the project </w:t>
      </w:r>
      <w:r w:rsidR="00C13A74">
        <w:rPr>
          <w:rFonts w:ascii="Garamond" w:hAnsi="Garamond"/>
          <w:sz w:val="24"/>
          <w:szCs w:val="24"/>
        </w:rPr>
        <w:t>‘</w:t>
      </w:r>
      <w:r w:rsidRPr="00C32887">
        <w:rPr>
          <w:rFonts w:ascii="Garamond" w:hAnsi="Garamond"/>
          <w:sz w:val="24"/>
          <w:szCs w:val="24"/>
        </w:rPr>
        <w:t>Suppor</w:t>
      </w:r>
      <w:r w:rsidR="006241A6">
        <w:rPr>
          <w:rFonts w:ascii="Garamond" w:hAnsi="Garamond"/>
          <w:sz w:val="24"/>
          <w:szCs w:val="24"/>
        </w:rPr>
        <w:t>t to the Customs Administration</w:t>
      </w:r>
      <w:r w:rsidR="00C13A74">
        <w:rPr>
          <w:rFonts w:ascii="Garamond" w:hAnsi="Garamond"/>
          <w:sz w:val="24"/>
          <w:szCs w:val="24"/>
        </w:rPr>
        <w:t>’</w:t>
      </w:r>
      <w:r w:rsidRPr="00C32887">
        <w:rPr>
          <w:rFonts w:ascii="Garamond" w:hAnsi="Garamond"/>
          <w:sz w:val="24"/>
          <w:szCs w:val="24"/>
        </w:rPr>
        <w:t xml:space="preserve"> </w:t>
      </w:r>
      <w:r w:rsidR="006241A6">
        <w:rPr>
          <w:rFonts w:ascii="Garamond" w:hAnsi="Garamond"/>
          <w:sz w:val="24"/>
          <w:szCs w:val="24"/>
        </w:rPr>
        <w:t xml:space="preserve">intensive </w:t>
      </w:r>
      <w:r w:rsidRPr="00C32887">
        <w:rPr>
          <w:rFonts w:ascii="Garamond" w:hAnsi="Garamond"/>
          <w:sz w:val="24"/>
          <w:szCs w:val="24"/>
        </w:rPr>
        <w:t xml:space="preserve">activities </w:t>
      </w:r>
      <w:r w:rsidR="00D847CC" w:rsidRPr="00C32887">
        <w:rPr>
          <w:rFonts w:ascii="Garamond" w:hAnsi="Garamond"/>
          <w:sz w:val="24"/>
          <w:szCs w:val="24"/>
        </w:rPr>
        <w:t xml:space="preserve">continued </w:t>
      </w:r>
      <w:r w:rsidRPr="00C32887">
        <w:rPr>
          <w:rFonts w:ascii="Garamond" w:hAnsi="Garamond"/>
          <w:sz w:val="24"/>
          <w:szCs w:val="24"/>
        </w:rPr>
        <w:t xml:space="preserve">to build a new and modern system of risk management. </w:t>
      </w:r>
      <w:r w:rsidR="005565EB" w:rsidRPr="00C32887">
        <w:rPr>
          <w:rFonts w:ascii="Garamond" w:hAnsi="Garamond"/>
          <w:sz w:val="24"/>
          <w:szCs w:val="24"/>
        </w:rPr>
        <w:t xml:space="preserve">The </w:t>
      </w:r>
      <w:r w:rsidRPr="00C32887">
        <w:rPr>
          <w:rFonts w:ascii="Garamond" w:hAnsi="Garamond"/>
          <w:sz w:val="24"/>
          <w:szCs w:val="24"/>
        </w:rPr>
        <w:t>following documents were prepared</w:t>
      </w:r>
      <w:r w:rsidR="005565EB" w:rsidRPr="005565EB">
        <w:rPr>
          <w:rFonts w:ascii="Garamond" w:hAnsi="Garamond"/>
          <w:sz w:val="24"/>
          <w:szCs w:val="24"/>
        </w:rPr>
        <w:t xml:space="preserve"> </w:t>
      </w:r>
      <w:r w:rsidR="005565EB" w:rsidRPr="00C32887">
        <w:rPr>
          <w:rFonts w:ascii="Garamond" w:hAnsi="Garamond"/>
          <w:sz w:val="24"/>
          <w:szCs w:val="24"/>
        </w:rPr>
        <w:t xml:space="preserve">in </w:t>
      </w:r>
      <w:r w:rsidR="005565EB">
        <w:rPr>
          <w:rFonts w:ascii="Garamond" w:hAnsi="Garamond"/>
          <w:sz w:val="24"/>
          <w:szCs w:val="24"/>
        </w:rPr>
        <w:t>cooperation with experts</w:t>
      </w:r>
      <w:r w:rsidRPr="00C32887">
        <w:rPr>
          <w:rFonts w:ascii="Garamond" w:hAnsi="Garamond"/>
          <w:sz w:val="24"/>
          <w:szCs w:val="24"/>
        </w:rPr>
        <w:t xml:space="preserve">: Concept of common risk criteria and standards in accordance with the </w:t>
      </w:r>
      <w:r w:rsidR="005565EB" w:rsidRPr="00C32887">
        <w:rPr>
          <w:rFonts w:ascii="Garamond" w:hAnsi="Garamond"/>
          <w:sz w:val="24"/>
          <w:szCs w:val="24"/>
        </w:rPr>
        <w:t xml:space="preserve">Customs Law </w:t>
      </w:r>
      <w:r w:rsidRPr="00C32887">
        <w:rPr>
          <w:rFonts w:ascii="Garamond" w:hAnsi="Garamond"/>
          <w:sz w:val="24"/>
          <w:szCs w:val="24"/>
        </w:rPr>
        <w:t xml:space="preserve">of Montenegro; Concept of priority control areas; Risk </w:t>
      </w:r>
      <w:r w:rsidR="00C53358" w:rsidRPr="00C32887">
        <w:rPr>
          <w:rFonts w:ascii="Garamond" w:hAnsi="Garamond"/>
          <w:sz w:val="24"/>
          <w:szCs w:val="24"/>
        </w:rPr>
        <w:t>Management Framewo</w:t>
      </w:r>
      <w:r w:rsidRPr="00C32887">
        <w:rPr>
          <w:rFonts w:ascii="Garamond" w:hAnsi="Garamond"/>
          <w:sz w:val="24"/>
          <w:szCs w:val="24"/>
        </w:rPr>
        <w:t xml:space="preserve">rk in the Customs Administration; Customs Administration Risk Management Strategy; Functional </w:t>
      </w:r>
      <w:r w:rsidR="00C53358" w:rsidRPr="00C32887">
        <w:rPr>
          <w:rFonts w:ascii="Garamond" w:hAnsi="Garamond"/>
          <w:sz w:val="24"/>
          <w:szCs w:val="24"/>
        </w:rPr>
        <w:t xml:space="preserve">Specification </w:t>
      </w:r>
      <w:r w:rsidRPr="00C32887">
        <w:rPr>
          <w:rFonts w:ascii="Garamond" w:hAnsi="Garamond"/>
          <w:sz w:val="24"/>
          <w:szCs w:val="24"/>
        </w:rPr>
        <w:t xml:space="preserve">for the RMS of the Customs Administration and Process Design in the Risk Management System as part of the business architecture and processes in the Customs Administration. </w:t>
      </w:r>
    </w:p>
    <w:p w:rsidR="004D1343" w:rsidRPr="00C32887" w:rsidRDefault="004D1343" w:rsidP="004D1343">
      <w:pPr>
        <w:rPr>
          <w:rFonts w:ascii="Garamond" w:hAnsi="Garamond"/>
          <w:sz w:val="24"/>
          <w:szCs w:val="24"/>
        </w:rPr>
      </w:pPr>
    </w:p>
    <w:p w:rsidR="004D1343" w:rsidRPr="00C32887" w:rsidRDefault="004D1343" w:rsidP="006241A6">
      <w:pPr>
        <w:jc w:val="both"/>
        <w:rPr>
          <w:rFonts w:ascii="Garamond" w:hAnsi="Garamond"/>
          <w:sz w:val="24"/>
          <w:szCs w:val="24"/>
        </w:rPr>
      </w:pPr>
      <w:r w:rsidRPr="00C32887">
        <w:rPr>
          <w:rFonts w:ascii="Garamond" w:hAnsi="Garamond"/>
          <w:sz w:val="24"/>
          <w:szCs w:val="24"/>
        </w:rPr>
        <w:t>World Customs Organi</w:t>
      </w:r>
      <w:r w:rsidR="00F17B15">
        <w:rPr>
          <w:rFonts w:ascii="Garamond" w:hAnsi="Garamond"/>
          <w:sz w:val="24"/>
          <w:szCs w:val="24"/>
        </w:rPr>
        <w:t>z</w:t>
      </w:r>
      <w:r w:rsidR="00F254DD">
        <w:rPr>
          <w:rFonts w:ascii="Garamond" w:hAnsi="Garamond"/>
          <w:sz w:val="24"/>
          <w:szCs w:val="24"/>
        </w:rPr>
        <w:t>ation</w:t>
      </w:r>
      <w:r w:rsidRPr="00C32887">
        <w:rPr>
          <w:rFonts w:ascii="Garamond" w:hAnsi="Garamond"/>
          <w:sz w:val="24"/>
          <w:szCs w:val="24"/>
        </w:rPr>
        <w:t xml:space="preserve"> </w:t>
      </w:r>
      <w:r w:rsidR="006241A6">
        <w:rPr>
          <w:rFonts w:ascii="Garamond" w:hAnsi="Garamond"/>
          <w:sz w:val="24"/>
          <w:szCs w:val="24"/>
        </w:rPr>
        <w:t>(WCO), in the period from 9</w:t>
      </w:r>
      <w:r w:rsidRPr="00C32887">
        <w:rPr>
          <w:rFonts w:ascii="Garamond" w:hAnsi="Garamond"/>
          <w:sz w:val="24"/>
          <w:szCs w:val="24"/>
        </w:rPr>
        <w:t xml:space="preserve"> until </w:t>
      </w:r>
      <w:r w:rsidR="006241A6" w:rsidRPr="00C32887">
        <w:rPr>
          <w:rFonts w:ascii="Garamond" w:hAnsi="Garamond"/>
          <w:sz w:val="24"/>
          <w:szCs w:val="24"/>
        </w:rPr>
        <w:t>13</w:t>
      </w:r>
      <w:r w:rsidR="006241A6">
        <w:rPr>
          <w:rFonts w:ascii="Garamond" w:hAnsi="Garamond"/>
          <w:sz w:val="24"/>
          <w:szCs w:val="24"/>
        </w:rPr>
        <w:t xml:space="preserve"> </w:t>
      </w:r>
      <w:r w:rsidRPr="00C32887">
        <w:rPr>
          <w:rFonts w:ascii="Garamond" w:hAnsi="Garamond"/>
          <w:sz w:val="24"/>
          <w:szCs w:val="24"/>
        </w:rPr>
        <w:t xml:space="preserve">November, 2020, </w:t>
      </w:r>
      <w:r w:rsidR="00F17B15">
        <w:rPr>
          <w:rFonts w:ascii="Garamond" w:hAnsi="Garamond"/>
          <w:sz w:val="24"/>
          <w:szCs w:val="24"/>
        </w:rPr>
        <w:t xml:space="preserve">organised </w:t>
      </w:r>
      <w:r w:rsidRPr="00C32887">
        <w:rPr>
          <w:rFonts w:ascii="Garamond" w:hAnsi="Garamond"/>
          <w:sz w:val="24"/>
          <w:szCs w:val="24"/>
        </w:rPr>
        <w:t>an online workshop on ri</w:t>
      </w:r>
      <w:r w:rsidR="00F17B15">
        <w:rPr>
          <w:rFonts w:ascii="Garamond" w:hAnsi="Garamond"/>
          <w:sz w:val="24"/>
          <w:szCs w:val="24"/>
        </w:rPr>
        <w:t xml:space="preserve">sk management, </w:t>
      </w:r>
      <w:r w:rsidRPr="00C32887">
        <w:rPr>
          <w:rFonts w:ascii="Garamond" w:hAnsi="Garamond"/>
          <w:sz w:val="24"/>
          <w:szCs w:val="24"/>
        </w:rPr>
        <w:t xml:space="preserve">with a focus on risk assessment and selectivity. SEED system functionality </w:t>
      </w:r>
      <w:r w:rsidR="006241A6">
        <w:rPr>
          <w:rFonts w:ascii="Garamond" w:hAnsi="Garamond"/>
          <w:sz w:val="24"/>
          <w:szCs w:val="24"/>
        </w:rPr>
        <w:t>is</w:t>
      </w:r>
      <w:r w:rsidRPr="00C32887">
        <w:rPr>
          <w:rFonts w:ascii="Garamond" w:hAnsi="Garamond"/>
          <w:sz w:val="24"/>
          <w:szCs w:val="24"/>
        </w:rPr>
        <w:t xml:space="preserve"> continuously improving, especially </w:t>
      </w:r>
      <w:r w:rsidR="00F17B15">
        <w:rPr>
          <w:rFonts w:ascii="Garamond" w:hAnsi="Garamond"/>
          <w:sz w:val="24"/>
          <w:szCs w:val="24"/>
        </w:rPr>
        <w:t>for</w:t>
      </w:r>
      <w:r w:rsidRPr="00C32887">
        <w:rPr>
          <w:rFonts w:ascii="Garamond" w:hAnsi="Garamond"/>
          <w:sz w:val="24"/>
          <w:szCs w:val="24"/>
        </w:rPr>
        <w:t xml:space="preserve"> the </w:t>
      </w:r>
      <w:r w:rsidR="00F37CB7" w:rsidRPr="00C32887">
        <w:rPr>
          <w:rFonts w:ascii="Garamond" w:hAnsi="Garamond"/>
          <w:sz w:val="24"/>
          <w:szCs w:val="24"/>
        </w:rPr>
        <w:t xml:space="preserve">common </w:t>
      </w:r>
      <w:r w:rsidRPr="00C32887">
        <w:rPr>
          <w:rFonts w:ascii="Garamond" w:hAnsi="Garamond"/>
          <w:sz w:val="24"/>
          <w:szCs w:val="24"/>
        </w:rPr>
        <w:t xml:space="preserve">risk analysis to enable the information exchange </w:t>
      </w:r>
      <w:r w:rsidR="00F37CB7">
        <w:rPr>
          <w:rFonts w:ascii="Garamond" w:hAnsi="Garamond"/>
          <w:sz w:val="24"/>
          <w:szCs w:val="24"/>
        </w:rPr>
        <w:t>at</w:t>
      </w:r>
      <w:r w:rsidRPr="00C32887">
        <w:rPr>
          <w:rFonts w:ascii="Garamond" w:hAnsi="Garamond"/>
          <w:sz w:val="24"/>
          <w:szCs w:val="24"/>
        </w:rPr>
        <w:t xml:space="preserve"> the regional </w:t>
      </w:r>
      <w:r w:rsidR="00F37CB7" w:rsidRPr="00C32887">
        <w:rPr>
          <w:rFonts w:ascii="Garamond" w:hAnsi="Garamond"/>
          <w:sz w:val="24"/>
          <w:szCs w:val="24"/>
        </w:rPr>
        <w:t xml:space="preserve">CEFTA </w:t>
      </w:r>
      <w:r w:rsidRPr="00C32887">
        <w:rPr>
          <w:rFonts w:ascii="Garamond" w:hAnsi="Garamond"/>
          <w:sz w:val="24"/>
          <w:szCs w:val="24"/>
        </w:rPr>
        <w:t>level.</w:t>
      </w:r>
    </w:p>
    <w:p w:rsidR="004D1343" w:rsidRPr="00C32887" w:rsidRDefault="004D1343" w:rsidP="004D1343">
      <w:pPr>
        <w:rPr>
          <w:rFonts w:ascii="Garamond" w:hAnsi="Garamond"/>
          <w:sz w:val="24"/>
          <w:szCs w:val="24"/>
        </w:r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tblPr>
      <w:tblGrid>
        <w:gridCol w:w="1418"/>
        <w:gridCol w:w="1139"/>
        <w:gridCol w:w="973"/>
        <w:gridCol w:w="1132"/>
        <w:gridCol w:w="974"/>
        <w:gridCol w:w="1132"/>
        <w:gridCol w:w="991"/>
        <w:gridCol w:w="1132"/>
        <w:gridCol w:w="685"/>
      </w:tblGrid>
      <w:tr w:rsidR="00F37CB7" w:rsidRPr="00F37CB7" w:rsidTr="00F37CB7">
        <w:trPr>
          <w:trHeight w:val="255"/>
          <w:jc w:val="center"/>
        </w:trPr>
        <w:tc>
          <w:tcPr>
            <w:tcW w:w="755" w:type="pct"/>
            <w:vMerge w:val="restart"/>
            <w:tcBorders>
              <w:top w:val="single" w:sz="18" w:space="0" w:color="auto"/>
              <w:left w:val="single" w:sz="18" w:space="0" w:color="auto"/>
              <w:bottom w:val="single" w:sz="2" w:space="0" w:color="auto"/>
              <w:right w:val="single" w:sz="12" w:space="0" w:color="auto"/>
            </w:tcBorders>
            <w:shd w:val="clear" w:color="auto" w:fill="auto"/>
            <w:vAlign w:val="center"/>
            <w:hideMark/>
          </w:tcPr>
          <w:p w:rsidR="00F37CB7" w:rsidRPr="00F17B15" w:rsidRDefault="00F17B15" w:rsidP="000257FD">
            <w:pPr>
              <w:rPr>
                <w:rFonts w:ascii="Garamond" w:hAnsi="Garamond"/>
                <w:b/>
                <w:sz w:val="16"/>
                <w:szCs w:val="16"/>
              </w:rPr>
            </w:pPr>
            <w:r w:rsidRPr="00F17B15">
              <w:rPr>
                <w:rFonts w:ascii="Garamond" w:hAnsi="Garamond"/>
                <w:b/>
                <w:sz w:val="16"/>
                <w:szCs w:val="16"/>
              </w:rPr>
              <w:t>Performance Indicator</w:t>
            </w:r>
          </w:p>
          <w:p w:rsidR="00F37CB7" w:rsidRPr="00F17B15" w:rsidRDefault="00F37CB7" w:rsidP="000257FD">
            <w:pPr>
              <w:widowControl/>
              <w:autoSpaceDE/>
              <w:autoSpaceDN/>
              <w:jc w:val="center"/>
              <w:rPr>
                <w:rFonts w:ascii="Garamond" w:eastAsia="Times New Roman" w:hAnsi="Garamond" w:cs="Calibri"/>
                <w:b/>
                <w:bCs/>
                <w:sz w:val="16"/>
                <w:szCs w:val="16"/>
                <w:lang w:eastAsia="en-US" w:bidi="ar-SA"/>
              </w:rPr>
            </w:pPr>
          </w:p>
        </w:tc>
        <w:tc>
          <w:tcPr>
            <w:tcW w:w="609" w:type="pct"/>
            <w:vMerge w:val="restart"/>
            <w:tcBorders>
              <w:top w:val="single" w:sz="18" w:space="0" w:color="auto"/>
              <w:left w:val="single" w:sz="12" w:space="0" w:color="auto"/>
              <w:bottom w:val="single" w:sz="2" w:space="0" w:color="auto"/>
              <w:right w:val="single" w:sz="12" w:space="0" w:color="auto"/>
            </w:tcBorders>
            <w:shd w:val="clear" w:color="auto" w:fill="auto"/>
            <w:vAlign w:val="center"/>
            <w:hideMark/>
          </w:tcPr>
          <w:p w:rsidR="00F37CB7" w:rsidRPr="00F17B15" w:rsidRDefault="00F37CB7" w:rsidP="000257FD">
            <w:pPr>
              <w:rPr>
                <w:rFonts w:ascii="Garamond" w:hAnsi="Garamond"/>
                <w:b/>
                <w:sz w:val="16"/>
                <w:szCs w:val="16"/>
              </w:rPr>
            </w:pPr>
            <w:r w:rsidRPr="00F17B15">
              <w:rPr>
                <w:rFonts w:ascii="Garamond" w:hAnsi="Garamond"/>
                <w:b/>
                <w:sz w:val="16"/>
                <w:szCs w:val="16"/>
              </w:rPr>
              <w:t>Planned 2014</w:t>
            </w:r>
          </w:p>
          <w:p w:rsidR="00F37CB7" w:rsidRPr="00F17B15" w:rsidRDefault="00F37CB7" w:rsidP="000257FD">
            <w:pPr>
              <w:widowControl/>
              <w:autoSpaceDE/>
              <w:autoSpaceDN/>
              <w:jc w:val="center"/>
              <w:rPr>
                <w:rFonts w:ascii="Garamond" w:eastAsia="Times New Roman" w:hAnsi="Garamond" w:cs="Calibri"/>
                <w:b/>
                <w:bCs/>
                <w:sz w:val="16"/>
                <w:szCs w:val="16"/>
                <w:lang w:eastAsia="en-US" w:bidi="ar-SA"/>
              </w:rPr>
            </w:pPr>
          </w:p>
        </w:tc>
        <w:tc>
          <w:tcPr>
            <w:tcW w:w="1113" w:type="pct"/>
            <w:gridSpan w:val="2"/>
            <w:tcBorders>
              <w:left w:val="single" w:sz="12" w:space="0" w:color="auto"/>
              <w:right w:val="single" w:sz="12" w:space="0" w:color="auto"/>
            </w:tcBorders>
            <w:shd w:val="clear" w:color="auto" w:fill="auto"/>
            <w:noWrap/>
            <w:vAlign w:val="center"/>
            <w:hideMark/>
          </w:tcPr>
          <w:p w:rsidR="00F37CB7" w:rsidRPr="00F17B15" w:rsidRDefault="00F37CB7" w:rsidP="00F37CB7">
            <w:pPr>
              <w:widowControl/>
              <w:autoSpaceDE/>
              <w:autoSpaceDN/>
              <w:jc w:val="center"/>
              <w:rPr>
                <w:rFonts w:ascii="Garamond" w:eastAsia="Times New Roman" w:hAnsi="Garamond" w:cs="Calibri"/>
                <w:b/>
                <w:bCs/>
                <w:sz w:val="18"/>
                <w:szCs w:val="18"/>
                <w:lang w:eastAsia="en-US" w:bidi="ar-SA"/>
              </w:rPr>
            </w:pPr>
            <w:r w:rsidRPr="00F17B15">
              <w:rPr>
                <w:rFonts w:ascii="Garamond" w:eastAsia="Times New Roman" w:hAnsi="Garamond" w:cs="Calibri"/>
                <w:b/>
                <w:bCs/>
                <w:sz w:val="18"/>
                <w:szCs w:val="18"/>
                <w:lang w:eastAsia="en-US" w:bidi="ar-SA"/>
              </w:rPr>
              <w:t>2018</w:t>
            </w:r>
          </w:p>
        </w:tc>
        <w:tc>
          <w:tcPr>
            <w:tcW w:w="1113" w:type="pct"/>
            <w:gridSpan w:val="2"/>
            <w:tcBorders>
              <w:top w:val="single" w:sz="18" w:space="0" w:color="auto"/>
              <w:left w:val="single" w:sz="12" w:space="0" w:color="auto"/>
              <w:bottom w:val="single" w:sz="2" w:space="0" w:color="auto"/>
              <w:right w:val="single" w:sz="12" w:space="0" w:color="auto"/>
            </w:tcBorders>
            <w:shd w:val="clear" w:color="auto" w:fill="auto"/>
            <w:noWrap/>
            <w:vAlign w:val="center"/>
            <w:hideMark/>
          </w:tcPr>
          <w:p w:rsidR="00F37CB7" w:rsidRPr="00F17B15" w:rsidRDefault="00F37CB7" w:rsidP="00F37CB7">
            <w:pPr>
              <w:widowControl/>
              <w:autoSpaceDE/>
              <w:autoSpaceDN/>
              <w:jc w:val="center"/>
              <w:rPr>
                <w:rFonts w:ascii="Garamond" w:eastAsia="Times New Roman" w:hAnsi="Garamond" w:cs="Calibri"/>
                <w:b/>
                <w:bCs/>
                <w:sz w:val="18"/>
                <w:szCs w:val="18"/>
                <w:lang w:eastAsia="en-US" w:bidi="ar-SA"/>
              </w:rPr>
            </w:pPr>
            <w:r w:rsidRPr="00F17B15">
              <w:rPr>
                <w:rFonts w:ascii="Garamond" w:eastAsia="Times New Roman" w:hAnsi="Garamond" w:cs="Calibri"/>
                <w:b/>
                <w:bCs/>
                <w:sz w:val="18"/>
                <w:szCs w:val="18"/>
                <w:lang w:eastAsia="en-US" w:bidi="ar-SA"/>
              </w:rPr>
              <w:t>2019</w:t>
            </w:r>
          </w:p>
        </w:tc>
        <w:tc>
          <w:tcPr>
            <w:tcW w:w="1052" w:type="pct"/>
            <w:gridSpan w:val="2"/>
            <w:tcBorders>
              <w:left w:val="single" w:sz="12" w:space="0" w:color="auto"/>
            </w:tcBorders>
          </w:tcPr>
          <w:p w:rsidR="00F37CB7" w:rsidRPr="00F17B15" w:rsidRDefault="00F37CB7" w:rsidP="00F37CB7">
            <w:pPr>
              <w:widowControl/>
              <w:autoSpaceDE/>
              <w:autoSpaceDN/>
              <w:jc w:val="both"/>
              <w:rPr>
                <w:rFonts w:ascii="Garamond" w:eastAsia="Times New Roman" w:hAnsi="Garamond" w:cs="Calibri"/>
                <w:b/>
                <w:bCs/>
                <w:sz w:val="18"/>
                <w:szCs w:val="18"/>
                <w:lang w:eastAsia="en-US" w:bidi="ar-SA"/>
              </w:rPr>
            </w:pPr>
            <w:r w:rsidRPr="00F17B15">
              <w:rPr>
                <w:rFonts w:ascii="Garamond" w:eastAsia="Times New Roman" w:hAnsi="Garamond" w:cs="Calibri"/>
                <w:b/>
                <w:bCs/>
                <w:sz w:val="18"/>
                <w:szCs w:val="18"/>
                <w:lang w:eastAsia="en-US" w:bidi="ar-SA"/>
              </w:rPr>
              <w:t>2020</w:t>
            </w:r>
          </w:p>
        </w:tc>
        <w:tc>
          <w:tcPr>
            <w:tcW w:w="358" w:type="pct"/>
            <w:vMerge w:val="restart"/>
            <w:tcBorders>
              <w:left w:val="single" w:sz="12" w:space="0" w:color="auto"/>
            </w:tcBorders>
            <w:shd w:val="clear" w:color="auto" w:fill="auto"/>
            <w:vAlign w:val="center"/>
            <w:hideMark/>
          </w:tcPr>
          <w:p w:rsidR="00F37CB7" w:rsidRPr="00F37CB7" w:rsidRDefault="00F37CB7" w:rsidP="00F37CB7">
            <w:pPr>
              <w:widowControl/>
              <w:autoSpaceDE/>
              <w:autoSpaceDN/>
              <w:jc w:val="both"/>
              <w:rPr>
                <w:rFonts w:ascii="Garamond" w:eastAsia="Times New Roman" w:hAnsi="Garamond" w:cs="Calibri"/>
                <w:b/>
                <w:bCs/>
                <w:sz w:val="18"/>
                <w:szCs w:val="18"/>
                <w:lang w:eastAsia="en-US" w:bidi="ar-SA"/>
              </w:rPr>
            </w:pPr>
            <w:r w:rsidRPr="00F37CB7">
              <w:rPr>
                <w:rFonts w:ascii="Garamond" w:eastAsia="Times New Roman" w:hAnsi="Garamond" w:cs="Calibri"/>
                <w:b/>
                <w:bCs/>
                <w:sz w:val="18"/>
                <w:szCs w:val="18"/>
                <w:lang w:eastAsia="en-US" w:bidi="ar-SA"/>
              </w:rPr>
              <w:t>Trend</w:t>
            </w:r>
          </w:p>
        </w:tc>
      </w:tr>
      <w:tr w:rsidR="00F37CB7" w:rsidRPr="00F37CB7" w:rsidTr="00F37CB7">
        <w:trPr>
          <w:trHeight w:val="495"/>
          <w:jc w:val="center"/>
        </w:trPr>
        <w:tc>
          <w:tcPr>
            <w:tcW w:w="755" w:type="pct"/>
            <w:vMerge/>
            <w:tcBorders>
              <w:top w:val="single" w:sz="2" w:space="0" w:color="auto"/>
              <w:left w:val="single" w:sz="18" w:space="0" w:color="auto"/>
              <w:bottom w:val="single" w:sz="2" w:space="0" w:color="auto"/>
              <w:right w:val="single" w:sz="12" w:space="0" w:color="auto"/>
            </w:tcBorders>
            <w:vAlign w:val="center"/>
            <w:hideMark/>
          </w:tcPr>
          <w:p w:rsidR="00F37CB7" w:rsidRPr="00F17B15" w:rsidRDefault="00F37CB7" w:rsidP="00F37CB7">
            <w:pPr>
              <w:widowControl/>
              <w:autoSpaceDE/>
              <w:autoSpaceDN/>
              <w:jc w:val="both"/>
              <w:rPr>
                <w:rFonts w:ascii="Garamond" w:eastAsia="Times New Roman" w:hAnsi="Garamond" w:cs="Calibri"/>
                <w:b/>
                <w:bCs/>
                <w:sz w:val="18"/>
                <w:szCs w:val="18"/>
                <w:lang w:eastAsia="en-US" w:bidi="ar-SA"/>
              </w:rPr>
            </w:pPr>
          </w:p>
        </w:tc>
        <w:tc>
          <w:tcPr>
            <w:tcW w:w="609" w:type="pct"/>
            <w:vMerge/>
            <w:tcBorders>
              <w:top w:val="single" w:sz="2" w:space="0" w:color="auto"/>
              <w:left w:val="single" w:sz="12" w:space="0" w:color="auto"/>
              <w:bottom w:val="single" w:sz="2" w:space="0" w:color="auto"/>
              <w:right w:val="single" w:sz="12" w:space="0" w:color="auto"/>
            </w:tcBorders>
            <w:vAlign w:val="center"/>
            <w:hideMark/>
          </w:tcPr>
          <w:p w:rsidR="00F37CB7" w:rsidRPr="00F17B15" w:rsidRDefault="00F37CB7" w:rsidP="00F37CB7">
            <w:pPr>
              <w:widowControl/>
              <w:autoSpaceDE/>
              <w:autoSpaceDN/>
              <w:jc w:val="center"/>
              <w:rPr>
                <w:rFonts w:ascii="Garamond" w:eastAsia="Times New Roman" w:hAnsi="Garamond" w:cs="Calibri"/>
                <w:b/>
                <w:bCs/>
                <w:sz w:val="18"/>
                <w:szCs w:val="18"/>
                <w:lang w:eastAsia="en-US" w:bidi="ar-SA"/>
              </w:rPr>
            </w:pPr>
          </w:p>
        </w:tc>
        <w:tc>
          <w:tcPr>
            <w:tcW w:w="522" w:type="pct"/>
            <w:tcBorders>
              <w:left w:val="single" w:sz="12" w:space="0" w:color="auto"/>
            </w:tcBorders>
            <w:shd w:val="clear" w:color="auto" w:fill="auto"/>
            <w:vAlign w:val="center"/>
            <w:hideMark/>
          </w:tcPr>
          <w:p w:rsidR="00F37CB7" w:rsidRPr="00F17B15" w:rsidRDefault="00F37CB7" w:rsidP="000257FD">
            <w:pPr>
              <w:rPr>
                <w:rFonts w:ascii="Garamond" w:hAnsi="Garamond"/>
                <w:b/>
                <w:sz w:val="16"/>
                <w:szCs w:val="16"/>
              </w:rPr>
            </w:pPr>
            <w:r w:rsidRPr="00F17B15">
              <w:rPr>
                <w:rFonts w:ascii="Garamond" w:hAnsi="Garamond"/>
                <w:b/>
                <w:sz w:val="16"/>
                <w:szCs w:val="16"/>
              </w:rPr>
              <w:t>Target values</w:t>
            </w:r>
          </w:p>
          <w:p w:rsidR="00F37CB7" w:rsidRPr="00F17B15" w:rsidRDefault="00F37CB7" w:rsidP="000257FD">
            <w:pPr>
              <w:widowControl/>
              <w:autoSpaceDE/>
              <w:autoSpaceDN/>
              <w:jc w:val="center"/>
              <w:rPr>
                <w:rFonts w:ascii="Garamond" w:eastAsia="Times New Roman" w:hAnsi="Garamond" w:cs="Calibri"/>
                <w:b/>
                <w:bCs/>
                <w:sz w:val="16"/>
                <w:szCs w:val="16"/>
                <w:lang w:eastAsia="en-US" w:bidi="ar-SA"/>
              </w:rPr>
            </w:pPr>
          </w:p>
        </w:tc>
        <w:tc>
          <w:tcPr>
            <w:tcW w:w="591" w:type="pct"/>
            <w:tcBorders>
              <w:right w:val="single" w:sz="12" w:space="0" w:color="auto"/>
            </w:tcBorders>
            <w:shd w:val="clear" w:color="auto" w:fill="auto"/>
            <w:vAlign w:val="center"/>
            <w:hideMark/>
          </w:tcPr>
          <w:p w:rsidR="00F37CB7" w:rsidRPr="00F17B15" w:rsidRDefault="00F37CB7" w:rsidP="000257FD">
            <w:pPr>
              <w:widowControl/>
              <w:autoSpaceDE/>
              <w:autoSpaceDN/>
              <w:jc w:val="center"/>
              <w:rPr>
                <w:rFonts w:ascii="Garamond" w:eastAsia="Times New Roman" w:hAnsi="Garamond" w:cs="Calibri"/>
                <w:b/>
                <w:bCs/>
                <w:sz w:val="16"/>
                <w:szCs w:val="16"/>
                <w:lang w:eastAsia="en-US" w:bidi="ar-SA"/>
              </w:rPr>
            </w:pPr>
            <w:r w:rsidRPr="00F17B15">
              <w:rPr>
                <w:rFonts w:ascii="Garamond" w:eastAsia="Times New Roman" w:hAnsi="Garamond" w:cs="Calibri"/>
                <w:b/>
                <w:bCs/>
                <w:sz w:val="16"/>
                <w:szCs w:val="16"/>
                <w:lang w:eastAsia="en-US" w:bidi="ar-SA"/>
              </w:rPr>
              <w:t>Implemented</w:t>
            </w:r>
          </w:p>
        </w:tc>
        <w:tc>
          <w:tcPr>
            <w:tcW w:w="522" w:type="pct"/>
            <w:tcBorders>
              <w:top w:val="single" w:sz="2" w:space="0" w:color="auto"/>
              <w:left w:val="single" w:sz="12" w:space="0" w:color="auto"/>
              <w:bottom w:val="single" w:sz="2" w:space="0" w:color="auto"/>
            </w:tcBorders>
            <w:shd w:val="clear" w:color="auto" w:fill="auto"/>
            <w:vAlign w:val="center"/>
            <w:hideMark/>
          </w:tcPr>
          <w:p w:rsidR="00F37CB7" w:rsidRPr="00F17B15" w:rsidRDefault="00F37CB7" w:rsidP="000257FD">
            <w:pPr>
              <w:rPr>
                <w:rFonts w:ascii="Garamond" w:hAnsi="Garamond"/>
                <w:b/>
                <w:sz w:val="16"/>
                <w:szCs w:val="16"/>
              </w:rPr>
            </w:pPr>
            <w:r w:rsidRPr="00F17B15">
              <w:rPr>
                <w:rFonts w:ascii="Garamond" w:hAnsi="Garamond"/>
                <w:b/>
                <w:sz w:val="16"/>
                <w:szCs w:val="16"/>
              </w:rPr>
              <w:t>Target values</w:t>
            </w:r>
          </w:p>
          <w:p w:rsidR="00F37CB7" w:rsidRPr="00F17B15" w:rsidRDefault="00F37CB7" w:rsidP="000257FD">
            <w:pPr>
              <w:widowControl/>
              <w:autoSpaceDE/>
              <w:autoSpaceDN/>
              <w:jc w:val="center"/>
              <w:rPr>
                <w:rFonts w:ascii="Garamond" w:eastAsia="Times New Roman" w:hAnsi="Garamond" w:cs="Calibri"/>
                <w:b/>
                <w:bCs/>
                <w:sz w:val="16"/>
                <w:szCs w:val="16"/>
                <w:lang w:eastAsia="en-US" w:bidi="ar-SA"/>
              </w:rPr>
            </w:pPr>
          </w:p>
        </w:tc>
        <w:tc>
          <w:tcPr>
            <w:tcW w:w="591" w:type="pct"/>
            <w:tcBorders>
              <w:top w:val="single" w:sz="2" w:space="0" w:color="auto"/>
              <w:bottom w:val="single" w:sz="2" w:space="0" w:color="auto"/>
              <w:right w:val="single" w:sz="12" w:space="0" w:color="auto"/>
            </w:tcBorders>
            <w:shd w:val="clear" w:color="auto" w:fill="auto"/>
            <w:vAlign w:val="center"/>
            <w:hideMark/>
          </w:tcPr>
          <w:p w:rsidR="00F37CB7" w:rsidRPr="00F17B15" w:rsidRDefault="00F37CB7" w:rsidP="000257FD">
            <w:pPr>
              <w:widowControl/>
              <w:autoSpaceDE/>
              <w:autoSpaceDN/>
              <w:jc w:val="center"/>
              <w:rPr>
                <w:rFonts w:ascii="Garamond" w:eastAsia="Times New Roman" w:hAnsi="Garamond" w:cs="Calibri"/>
                <w:b/>
                <w:bCs/>
                <w:sz w:val="16"/>
                <w:szCs w:val="16"/>
                <w:lang w:eastAsia="en-US" w:bidi="ar-SA"/>
              </w:rPr>
            </w:pPr>
            <w:r w:rsidRPr="00F17B15">
              <w:rPr>
                <w:rFonts w:ascii="Garamond" w:eastAsia="Times New Roman" w:hAnsi="Garamond" w:cs="Calibri"/>
                <w:b/>
                <w:bCs/>
                <w:sz w:val="16"/>
                <w:szCs w:val="16"/>
                <w:lang w:eastAsia="en-US" w:bidi="ar-SA"/>
              </w:rPr>
              <w:t>Implemented</w:t>
            </w:r>
          </w:p>
        </w:tc>
        <w:tc>
          <w:tcPr>
            <w:tcW w:w="531" w:type="pct"/>
            <w:tcBorders>
              <w:right w:val="single" w:sz="12" w:space="0" w:color="auto"/>
            </w:tcBorders>
            <w:vAlign w:val="center"/>
          </w:tcPr>
          <w:p w:rsidR="00F37CB7" w:rsidRPr="00F17B15" w:rsidRDefault="00F37CB7" w:rsidP="000257FD">
            <w:pPr>
              <w:rPr>
                <w:rFonts w:ascii="Garamond" w:hAnsi="Garamond"/>
                <w:b/>
                <w:sz w:val="16"/>
                <w:szCs w:val="16"/>
              </w:rPr>
            </w:pPr>
            <w:r w:rsidRPr="00F17B15">
              <w:rPr>
                <w:rFonts w:ascii="Garamond" w:hAnsi="Garamond"/>
                <w:b/>
                <w:sz w:val="16"/>
                <w:szCs w:val="16"/>
              </w:rPr>
              <w:t>Target values</w:t>
            </w:r>
          </w:p>
          <w:p w:rsidR="00F37CB7" w:rsidRPr="00F17B15" w:rsidRDefault="00F37CB7" w:rsidP="000257FD">
            <w:pPr>
              <w:widowControl/>
              <w:autoSpaceDE/>
              <w:autoSpaceDN/>
              <w:jc w:val="center"/>
              <w:rPr>
                <w:rFonts w:ascii="Garamond" w:eastAsia="Times New Roman" w:hAnsi="Garamond" w:cs="Calibri"/>
                <w:b/>
                <w:bCs/>
                <w:sz w:val="16"/>
                <w:szCs w:val="16"/>
                <w:lang w:eastAsia="en-US" w:bidi="ar-SA"/>
              </w:rPr>
            </w:pPr>
          </w:p>
        </w:tc>
        <w:tc>
          <w:tcPr>
            <w:tcW w:w="521" w:type="pct"/>
            <w:vAlign w:val="center"/>
          </w:tcPr>
          <w:p w:rsidR="00F37CB7" w:rsidRPr="00837F31" w:rsidRDefault="00F37CB7" w:rsidP="000257FD">
            <w:pPr>
              <w:widowControl/>
              <w:autoSpaceDE/>
              <w:autoSpaceDN/>
              <w:jc w:val="center"/>
              <w:rPr>
                <w:rFonts w:ascii="Garamond" w:eastAsia="Times New Roman" w:hAnsi="Garamond" w:cs="Calibri"/>
                <w:b/>
                <w:bCs/>
                <w:sz w:val="16"/>
                <w:szCs w:val="16"/>
                <w:lang w:eastAsia="en-US" w:bidi="ar-SA"/>
              </w:rPr>
            </w:pPr>
            <w:r w:rsidRPr="00A70BEF">
              <w:rPr>
                <w:rFonts w:ascii="Garamond" w:eastAsia="Times New Roman" w:hAnsi="Garamond" w:cs="Calibri"/>
                <w:b/>
                <w:bCs/>
                <w:sz w:val="16"/>
                <w:szCs w:val="16"/>
                <w:lang w:eastAsia="en-US" w:bidi="ar-SA"/>
              </w:rPr>
              <w:t>Implemented</w:t>
            </w:r>
          </w:p>
        </w:tc>
        <w:tc>
          <w:tcPr>
            <w:tcW w:w="358" w:type="pct"/>
            <w:vMerge/>
            <w:tcBorders>
              <w:left w:val="single" w:sz="12" w:space="0" w:color="auto"/>
            </w:tcBorders>
            <w:vAlign w:val="center"/>
            <w:hideMark/>
          </w:tcPr>
          <w:p w:rsidR="00F37CB7" w:rsidRPr="00F37CB7" w:rsidRDefault="00F37CB7" w:rsidP="00F37CB7">
            <w:pPr>
              <w:widowControl/>
              <w:autoSpaceDE/>
              <w:autoSpaceDN/>
              <w:jc w:val="both"/>
              <w:rPr>
                <w:rFonts w:ascii="Garamond" w:eastAsia="Times New Roman" w:hAnsi="Garamond" w:cs="Calibri"/>
                <w:b/>
                <w:bCs/>
                <w:sz w:val="18"/>
                <w:szCs w:val="18"/>
                <w:lang w:eastAsia="en-US" w:bidi="ar-SA"/>
              </w:rPr>
            </w:pPr>
          </w:p>
        </w:tc>
      </w:tr>
      <w:tr w:rsidR="00F37CB7" w:rsidRPr="00F37CB7" w:rsidTr="00F37CB7">
        <w:trPr>
          <w:trHeight w:val="255"/>
          <w:jc w:val="center"/>
        </w:trPr>
        <w:tc>
          <w:tcPr>
            <w:tcW w:w="755" w:type="pct"/>
            <w:tcBorders>
              <w:top w:val="single" w:sz="2" w:space="0" w:color="auto"/>
              <w:left w:val="single" w:sz="18" w:space="0" w:color="auto"/>
              <w:bottom w:val="single" w:sz="2" w:space="0" w:color="auto"/>
              <w:right w:val="single" w:sz="12" w:space="0" w:color="auto"/>
            </w:tcBorders>
            <w:shd w:val="clear" w:color="auto" w:fill="auto"/>
            <w:vAlign w:val="center"/>
            <w:hideMark/>
          </w:tcPr>
          <w:p w:rsidR="00F37CB7" w:rsidRPr="00F37CB7" w:rsidRDefault="00F17B15" w:rsidP="00F17B15">
            <w:pPr>
              <w:widowControl/>
              <w:autoSpaceDE/>
              <w:autoSpaceDN/>
              <w:rPr>
                <w:rFonts w:ascii="Garamond" w:eastAsia="Times New Roman" w:hAnsi="Garamond" w:cs="Calibri"/>
                <w:bCs/>
                <w:color w:val="000000"/>
                <w:sz w:val="16"/>
                <w:szCs w:val="16"/>
                <w:lang w:eastAsia="en-US" w:bidi="ar-SA"/>
              </w:rPr>
            </w:pPr>
            <w:r w:rsidRPr="00F17B15">
              <w:rPr>
                <w:rFonts w:ascii="Garamond" w:hAnsi="Garamond"/>
                <w:sz w:val="16"/>
                <w:szCs w:val="16"/>
              </w:rPr>
              <w:t>Change in revenue collection compared to the previous year</w:t>
            </w:r>
          </w:p>
        </w:tc>
        <w:tc>
          <w:tcPr>
            <w:tcW w:w="609" w:type="pct"/>
            <w:tcBorders>
              <w:top w:val="single" w:sz="2" w:space="0" w:color="auto"/>
              <w:left w:val="single" w:sz="12" w:space="0" w:color="auto"/>
              <w:bottom w:val="single" w:sz="2" w:space="0" w:color="auto"/>
              <w:right w:val="single" w:sz="12" w:space="0" w:color="auto"/>
            </w:tcBorders>
            <w:shd w:val="clear" w:color="auto" w:fill="auto"/>
            <w:vAlign w:val="center"/>
            <w:hideMark/>
          </w:tcPr>
          <w:p w:rsidR="00F37CB7" w:rsidRPr="00F37CB7" w:rsidRDefault="00F37CB7" w:rsidP="00F37CB7">
            <w:pPr>
              <w:widowControl/>
              <w:autoSpaceDE/>
              <w:autoSpaceDN/>
              <w:jc w:val="center"/>
              <w:rPr>
                <w:rFonts w:ascii="Garamond" w:eastAsia="Times New Roman" w:hAnsi="Garamond" w:cs="Calibri"/>
                <w:color w:val="000000"/>
                <w:sz w:val="16"/>
                <w:szCs w:val="16"/>
                <w:lang w:eastAsia="en-US" w:bidi="ar-SA"/>
              </w:rPr>
            </w:pPr>
            <w:r w:rsidRPr="00F37CB7">
              <w:rPr>
                <w:rFonts w:ascii="Garamond" w:eastAsia="Times New Roman" w:hAnsi="Garamond" w:cs="Calibri"/>
                <w:color w:val="000000"/>
                <w:sz w:val="16"/>
                <w:szCs w:val="16"/>
                <w:lang w:eastAsia="en-US" w:bidi="ar-SA"/>
              </w:rPr>
              <w:t>15%</w:t>
            </w:r>
          </w:p>
        </w:tc>
        <w:tc>
          <w:tcPr>
            <w:tcW w:w="522" w:type="pct"/>
            <w:tcBorders>
              <w:left w:val="single" w:sz="12" w:space="0" w:color="auto"/>
            </w:tcBorders>
            <w:shd w:val="clear" w:color="auto" w:fill="auto"/>
            <w:vAlign w:val="center"/>
            <w:hideMark/>
          </w:tcPr>
          <w:p w:rsidR="00F37CB7" w:rsidRPr="00F37CB7" w:rsidRDefault="00F37CB7" w:rsidP="00F37CB7">
            <w:pPr>
              <w:widowControl/>
              <w:autoSpaceDE/>
              <w:autoSpaceDN/>
              <w:jc w:val="center"/>
              <w:rPr>
                <w:rFonts w:ascii="Garamond" w:eastAsia="Times New Roman" w:hAnsi="Garamond" w:cs="Calibri"/>
                <w:color w:val="000000"/>
                <w:sz w:val="16"/>
                <w:szCs w:val="16"/>
                <w:lang w:eastAsia="en-US" w:bidi="ar-SA"/>
              </w:rPr>
            </w:pPr>
            <w:r w:rsidRPr="00F37CB7">
              <w:rPr>
                <w:rFonts w:ascii="Garamond" w:eastAsia="Times New Roman" w:hAnsi="Garamond" w:cs="Calibri"/>
                <w:color w:val="000000"/>
                <w:sz w:val="16"/>
                <w:szCs w:val="16"/>
                <w:lang w:eastAsia="en-US" w:bidi="ar-SA"/>
              </w:rPr>
              <w:t>5%</w:t>
            </w:r>
          </w:p>
        </w:tc>
        <w:tc>
          <w:tcPr>
            <w:tcW w:w="591" w:type="pct"/>
            <w:tcBorders>
              <w:right w:val="single" w:sz="12" w:space="0" w:color="auto"/>
            </w:tcBorders>
            <w:shd w:val="clear" w:color="auto" w:fill="auto"/>
            <w:vAlign w:val="center"/>
            <w:hideMark/>
          </w:tcPr>
          <w:p w:rsidR="00F37CB7" w:rsidRPr="00F37CB7" w:rsidRDefault="00F37CB7" w:rsidP="00F37CB7">
            <w:pPr>
              <w:widowControl/>
              <w:autoSpaceDE/>
              <w:autoSpaceDN/>
              <w:jc w:val="center"/>
              <w:rPr>
                <w:rFonts w:ascii="Garamond" w:eastAsia="Times New Roman" w:hAnsi="Garamond" w:cs="Calibri"/>
                <w:color w:val="000000"/>
                <w:sz w:val="16"/>
                <w:szCs w:val="16"/>
                <w:lang w:eastAsia="en-US" w:bidi="ar-SA"/>
              </w:rPr>
            </w:pPr>
            <w:r w:rsidRPr="00F37CB7">
              <w:rPr>
                <w:rFonts w:ascii="Garamond" w:eastAsia="Times New Roman" w:hAnsi="Garamond" w:cs="Calibri"/>
                <w:color w:val="000000"/>
                <w:sz w:val="16"/>
                <w:szCs w:val="16"/>
                <w:lang w:eastAsia="en-US" w:bidi="ar-SA"/>
              </w:rPr>
              <w:t>11,03%</w:t>
            </w:r>
          </w:p>
        </w:tc>
        <w:tc>
          <w:tcPr>
            <w:tcW w:w="522" w:type="pct"/>
            <w:tcBorders>
              <w:top w:val="single" w:sz="2" w:space="0" w:color="auto"/>
              <w:left w:val="single" w:sz="12" w:space="0" w:color="auto"/>
              <w:bottom w:val="single" w:sz="2" w:space="0" w:color="auto"/>
            </w:tcBorders>
            <w:shd w:val="clear" w:color="auto" w:fill="auto"/>
            <w:vAlign w:val="center"/>
            <w:hideMark/>
          </w:tcPr>
          <w:p w:rsidR="00F37CB7" w:rsidRPr="00F37CB7" w:rsidRDefault="00F37CB7" w:rsidP="00F37CB7">
            <w:pPr>
              <w:widowControl/>
              <w:autoSpaceDE/>
              <w:autoSpaceDN/>
              <w:jc w:val="center"/>
              <w:rPr>
                <w:rFonts w:ascii="Garamond" w:eastAsia="Times New Roman" w:hAnsi="Garamond" w:cs="Calibri"/>
                <w:color w:val="000000"/>
                <w:sz w:val="16"/>
                <w:szCs w:val="16"/>
                <w:lang w:eastAsia="en-US" w:bidi="ar-SA"/>
              </w:rPr>
            </w:pPr>
            <w:r w:rsidRPr="00F37CB7">
              <w:rPr>
                <w:rFonts w:ascii="Garamond" w:eastAsia="Times New Roman" w:hAnsi="Garamond" w:cs="Calibri"/>
                <w:color w:val="000000"/>
                <w:sz w:val="16"/>
                <w:szCs w:val="16"/>
                <w:lang w:eastAsia="en-US" w:bidi="ar-SA"/>
              </w:rPr>
              <w:t>5%</w:t>
            </w:r>
          </w:p>
        </w:tc>
        <w:tc>
          <w:tcPr>
            <w:tcW w:w="591" w:type="pct"/>
            <w:tcBorders>
              <w:top w:val="single" w:sz="2" w:space="0" w:color="auto"/>
              <w:bottom w:val="single" w:sz="2" w:space="0" w:color="auto"/>
              <w:right w:val="single" w:sz="12" w:space="0" w:color="auto"/>
            </w:tcBorders>
            <w:shd w:val="clear" w:color="auto" w:fill="auto"/>
            <w:vAlign w:val="center"/>
            <w:hideMark/>
          </w:tcPr>
          <w:p w:rsidR="00F37CB7" w:rsidRPr="00F37CB7" w:rsidRDefault="00F37CB7" w:rsidP="00F37CB7">
            <w:pPr>
              <w:widowControl/>
              <w:autoSpaceDE/>
              <w:autoSpaceDN/>
              <w:jc w:val="center"/>
              <w:rPr>
                <w:rFonts w:ascii="Garamond" w:eastAsia="Times New Roman" w:hAnsi="Garamond" w:cs="Calibri"/>
                <w:color w:val="000000"/>
                <w:sz w:val="16"/>
                <w:szCs w:val="16"/>
                <w:highlight w:val="yellow"/>
                <w:lang w:eastAsia="en-US" w:bidi="ar-SA"/>
              </w:rPr>
            </w:pPr>
            <w:r w:rsidRPr="00F37CB7">
              <w:rPr>
                <w:rFonts w:ascii="Garamond" w:eastAsia="Times New Roman" w:hAnsi="Garamond" w:cs="Calibri"/>
                <w:color w:val="000000"/>
                <w:sz w:val="16"/>
                <w:szCs w:val="16"/>
                <w:lang w:eastAsia="en-US" w:bidi="ar-SA"/>
              </w:rPr>
              <w:t>5,17%</w:t>
            </w:r>
          </w:p>
        </w:tc>
        <w:tc>
          <w:tcPr>
            <w:tcW w:w="531" w:type="pct"/>
            <w:tcBorders>
              <w:right w:val="single" w:sz="12" w:space="0" w:color="auto"/>
            </w:tcBorders>
            <w:vAlign w:val="center"/>
          </w:tcPr>
          <w:p w:rsidR="00F37CB7" w:rsidRPr="00F37CB7" w:rsidRDefault="00F37CB7" w:rsidP="00F37CB7">
            <w:pPr>
              <w:widowControl/>
              <w:autoSpaceDE/>
              <w:autoSpaceDN/>
              <w:jc w:val="center"/>
              <w:rPr>
                <w:rFonts w:ascii="Garamond" w:eastAsia="游明朝" w:hAnsi="Garamond" w:cs="Calibri"/>
                <w:noProof/>
                <w:sz w:val="16"/>
                <w:szCs w:val="16"/>
                <w:lang w:eastAsia="en-US" w:bidi="ar-SA"/>
              </w:rPr>
            </w:pPr>
            <w:r w:rsidRPr="00F37CB7">
              <w:rPr>
                <w:rFonts w:ascii="Garamond" w:eastAsia="游明朝" w:hAnsi="Garamond"/>
                <w:sz w:val="16"/>
                <w:szCs w:val="16"/>
                <w:lang w:eastAsia="sl-SI" w:bidi="ar-SA"/>
              </w:rPr>
              <w:t>5%</w:t>
            </w:r>
          </w:p>
        </w:tc>
        <w:tc>
          <w:tcPr>
            <w:tcW w:w="521" w:type="pct"/>
            <w:vAlign w:val="center"/>
          </w:tcPr>
          <w:p w:rsidR="00F37CB7" w:rsidRPr="00F37CB7" w:rsidRDefault="00F37CB7" w:rsidP="00F37CB7">
            <w:pPr>
              <w:widowControl/>
              <w:autoSpaceDE/>
              <w:autoSpaceDN/>
              <w:jc w:val="center"/>
              <w:rPr>
                <w:rFonts w:ascii="Garamond" w:eastAsia="游明朝" w:hAnsi="Garamond" w:cs="Calibri"/>
                <w:noProof/>
                <w:sz w:val="16"/>
                <w:szCs w:val="16"/>
                <w:lang w:eastAsia="en-US" w:bidi="ar-SA"/>
              </w:rPr>
            </w:pPr>
            <w:r w:rsidRPr="00F37CB7">
              <w:rPr>
                <w:rFonts w:ascii="Garamond" w:eastAsia="游明朝" w:hAnsi="Garamond" w:cs="Times New Roman"/>
                <w:sz w:val="16"/>
                <w:szCs w:val="16"/>
                <w:lang w:eastAsia="sl-SI" w:bidi="ar-SA"/>
              </w:rPr>
              <w:t>-18%</w:t>
            </w:r>
          </w:p>
        </w:tc>
        <w:tc>
          <w:tcPr>
            <w:tcW w:w="358" w:type="pct"/>
            <w:tcBorders>
              <w:left w:val="single" w:sz="12" w:space="0" w:color="auto"/>
            </w:tcBorders>
            <w:shd w:val="clear" w:color="auto" w:fill="auto"/>
            <w:vAlign w:val="center"/>
            <w:hideMark/>
          </w:tcPr>
          <w:p w:rsidR="00F37CB7" w:rsidRPr="00F37CB7" w:rsidRDefault="00F37CB7" w:rsidP="00F37CB7">
            <w:pPr>
              <w:widowControl/>
              <w:autoSpaceDE/>
              <w:autoSpaceDN/>
              <w:jc w:val="center"/>
              <w:rPr>
                <w:rFonts w:ascii="Garamond" w:eastAsia="Times New Roman" w:hAnsi="Garamond" w:cs="Calibri"/>
                <w:color w:val="00B050"/>
                <w:sz w:val="16"/>
                <w:szCs w:val="16"/>
                <w:lang w:eastAsia="en-US" w:bidi="ar-SA"/>
              </w:rPr>
            </w:pPr>
            <w:r w:rsidRPr="00F37CB7">
              <w:rPr>
                <w:rFonts w:ascii="Garamond" w:eastAsia="游明朝" w:hAnsi="Garamond" w:cs="Calibri Light"/>
                <w:noProof/>
                <w:sz w:val="16"/>
                <w:szCs w:val="16"/>
                <w:lang w:eastAsia="ja-JP" w:bidi="ar-SA"/>
              </w:rPr>
              <w:drawing>
                <wp:inline distT="0" distB="0" distL="0" distR="0">
                  <wp:extent cx="257175" cy="238125"/>
                  <wp:effectExtent l="0" t="0" r="9525" b="9525"/>
                  <wp:docPr id="40" name="Picture 19" descr="crv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vena strelica - manja"/>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F37CB7" w:rsidRPr="00F37CB7" w:rsidTr="00F37CB7">
        <w:trPr>
          <w:trHeight w:val="419"/>
          <w:jc w:val="center"/>
        </w:trPr>
        <w:tc>
          <w:tcPr>
            <w:tcW w:w="755" w:type="pct"/>
            <w:tcBorders>
              <w:top w:val="single" w:sz="2" w:space="0" w:color="auto"/>
              <w:left w:val="single" w:sz="18" w:space="0" w:color="auto"/>
              <w:bottom w:val="single" w:sz="18" w:space="0" w:color="auto"/>
              <w:right w:val="single" w:sz="12" w:space="0" w:color="auto"/>
            </w:tcBorders>
            <w:shd w:val="clear" w:color="auto" w:fill="auto"/>
            <w:vAlign w:val="center"/>
            <w:hideMark/>
          </w:tcPr>
          <w:p w:rsidR="00F37CB7" w:rsidRPr="00F37CB7" w:rsidRDefault="00F17B15" w:rsidP="00F37CB7">
            <w:pPr>
              <w:widowControl/>
              <w:autoSpaceDE/>
              <w:autoSpaceDN/>
              <w:jc w:val="center"/>
              <w:rPr>
                <w:rFonts w:ascii="Garamond" w:eastAsia="Times New Roman" w:hAnsi="Garamond" w:cs="Calibri"/>
                <w:bCs/>
                <w:color w:val="000000"/>
                <w:sz w:val="16"/>
                <w:szCs w:val="16"/>
                <w:lang w:eastAsia="en-US" w:bidi="ar-SA"/>
              </w:rPr>
            </w:pPr>
            <w:r w:rsidRPr="00F17B15">
              <w:rPr>
                <w:rFonts w:ascii="Garamond" w:hAnsi="Garamond"/>
                <w:sz w:val="16"/>
                <w:szCs w:val="16"/>
              </w:rPr>
              <w:t>Harmonisation of customs and excise legislation with the EU Acquis</w:t>
            </w:r>
          </w:p>
        </w:tc>
        <w:tc>
          <w:tcPr>
            <w:tcW w:w="609" w:type="pct"/>
            <w:tcBorders>
              <w:top w:val="single" w:sz="2" w:space="0" w:color="auto"/>
              <w:left w:val="single" w:sz="12" w:space="0" w:color="auto"/>
              <w:bottom w:val="single" w:sz="18" w:space="0" w:color="auto"/>
              <w:right w:val="single" w:sz="12" w:space="0" w:color="auto"/>
            </w:tcBorders>
            <w:shd w:val="clear" w:color="auto" w:fill="auto"/>
            <w:vAlign w:val="center"/>
            <w:hideMark/>
          </w:tcPr>
          <w:p w:rsidR="00F37CB7" w:rsidRPr="00F37CB7" w:rsidRDefault="00F37CB7" w:rsidP="00F37CB7">
            <w:pPr>
              <w:rPr>
                <w:rFonts w:ascii="Garamond" w:hAnsi="Garamond"/>
                <w:sz w:val="16"/>
                <w:szCs w:val="16"/>
              </w:rPr>
            </w:pPr>
            <w:r w:rsidRPr="00F37CB7">
              <w:rPr>
                <w:rFonts w:ascii="Garamond" w:hAnsi="Garamond"/>
                <w:sz w:val="16"/>
                <w:szCs w:val="16"/>
              </w:rPr>
              <w:t>Completed screening process for Chapter 16 Taxation</w:t>
            </w:r>
          </w:p>
          <w:p w:rsidR="00F37CB7" w:rsidRPr="00F37CB7" w:rsidRDefault="00F37CB7" w:rsidP="00F37CB7">
            <w:pPr>
              <w:widowControl/>
              <w:autoSpaceDE/>
              <w:autoSpaceDN/>
              <w:jc w:val="center"/>
              <w:rPr>
                <w:rFonts w:ascii="Garamond" w:eastAsia="Times New Roman" w:hAnsi="Garamond" w:cs="Calibri"/>
                <w:color w:val="000000"/>
                <w:sz w:val="16"/>
                <w:szCs w:val="16"/>
                <w:lang w:eastAsia="en-US" w:bidi="ar-SA"/>
              </w:rPr>
            </w:pPr>
          </w:p>
        </w:tc>
        <w:tc>
          <w:tcPr>
            <w:tcW w:w="522" w:type="pct"/>
            <w:tcBorders>
              <w:left w:val="single" w:sz="12" w:space="0" w:color="auto"/>
            </w:tcBorders>
            <w:shd w:val="clear" w:color="auto" w:fill="auto"/>
            <w:vAlign w:val="center"/>
            <w:hideMark/>
          </w:tcPr>
          <w:p w:rsidR="00F37CB7" w:rsidRPr="00F37CB7" w:rsidRDefault="00F37CB7" w:rsidP="00F37CB7">
            <w:pPr>
              <w:rPr>
                <w:rFonts w:ascii="Garamond" w:hAnsi="Garamond"/>
                <w:sz w:val="16"/>
                <w:szCs w:val="16"/>
              </w:rPr>
            </w:pPr>
            <w:r w:rsidRPr="00F37CB7">
              <w:rPr>
                <w:rFonts w:ascii="Garamond" w:hAnsi="Garamond"/>
                <w:sz w:val="16"/>
                <w:szCs w:val="16"/>
              </w:rPr>
              <w:t>Adoption of 3 regulations</w:t>
            </w:r>
          </w:p>
          <w:p w:rsidR="00F37CB7" w:rsidRPr="00F37CB7" w:rsidRDefault="00F37CB7" w:rsidP="00F37CB7">
            <w:pPr>
              <w:widowControl/>
              <w:autoSpaceDE/>
              <w:autoSpaceDN/>
              <w:jc w:val="center"/>
              <w:rPr>
                <w:rFonts w:ascii="Garamond" w:eastAsia="Times New Roman" w:hAnsi="Garamond" w:cs="Calibri"/>
                <w:color w:val="000000"/>
                <w:sz w:val="16"/>
                <w:szCs w:val="16"/>
                <w:lang w:eastAsia="en-US" w:bidi="ar-SA"/>
              </w:rPr>
            </w:pPr>
          </w:p>
        </w:tc>
        <w:tc>
          <w:tcPr>
            <w:tcW w:w="591" w:type="pct"/>
            <w:tcBorders>
              <w:right w:val="single" w:sz="12" w:space="0" w:color="auto"/>
            </w:tcBorders>
            <w:shd w:val="clear" w:color="auto" w:fill="auto"/>
            <w:vAlign w:val="center"/>
            <w:hideMark/>
          </w:tcPr>
          <w:p w:rsidR="00F37CB7" w:rsidRPr="00F37CB7" w:rsidRDefault="00F37CB7" w:rsidP="00F37CB7">
            <w:pPr>
              <w:rPr>
                <w:rFonts w:ascii="Garamond" w:hAnsi="Garamond"/>
                <w:sz w:val="16"/>
                <w:szCs w:val="16"/>
              </w:rPr>
            </w:pPr>
            <w:r w:rsidRPr="00F37CB7">
              <w:rPr>
                <w:rFonts w:ascii="Garamond" w:hAnsi="Garamond"/>
                <w:sz w:val="16"/>
                <w:szCs w:val="16"/>
              </w:rPr>
              <w:t>Adoption of 3 regulations</w:t>
            </w:r>
          </w:p>
          <w:p w:rsidR="00F37CB7" w:rsidRPr="00F37CB7" w:rsidRDefault="00F37CB7" w:rsidP="00F37CB7">
            <w:pPr>
              <w:widowControl/>
              <w:autoSpaceDE/>
              <w:autoSpaceDN/>
              <w:jc w:val="center"/>
              <w:rPr>
                <w:rFonts w:ascii="Garamond" w:eastAsia="Times New Roman" w:hAnsi="Garamond" w:cs="Calibri"/>
                <w:color w:val="000000"/>
                <w:sz w:val="16"/>
                <w:szCs w:val="16"/>
                <w:lang w:eastAsia="en-US" w:bidi="ar-SA"/>
              </w:rPr>
            </w:pPr>
          </w:p>
        </w:tc>
        <w:tc>
          <w:tcPr>
            <w:tcW w:w="522" w:type="pct"/>
            <w:tcBorders>
              <w:top w:val="single" w:sz="2" w:space="0" w:color="auto"/>
              <w:left w:val="single" w:sz="12" w:space="0" w:color="auto"/>
              <w:bottom w:val="single" w:sz="18" w:space="0" w:color="auto"/>
            </w:tcBorders>
            <w:shd w:val="clear" w:color="auto" w:fill="auto"/>
            <w:vAlign w:val="center"/>
            <w:hideMark/>
          </w:tcPr>
          <w:p w:rsidR="00F37CB7" w:rsidRPr="00F37CB7" w:rsidRDefault="00F37CB7" w:rsidP="00F37CB7">
            <w:pPr>
              <w:rPr>
                <w:rFonts w:ascii="Garamond" w:hAnsi="Garamond"/>
                <w:sz w:val="16"/>
                <w:szCs w:val="16"/>
              </w:rPr>
            </w:pPr>
            <w:r w:rsidRPr="00F37CB7">
              <w:rPr>
                <w:rFonts w:ascii="Garamond" w:hAnsi="Garamond"/>
                <w:sz w:val="16"/>
                <w:szCs w:val="16"/>
              </w:rPr>
              <w:t>Adoption of 3 regulations</w:t>
            </w:r>
          </w:p>
          <w:p w:rsidR="00F37CB7" w:rsidRPr="00F37CB7" w:rsidRDefault="00F37CB7" w:rsidP="00F37CB7">
            <w:pPr>
              <w:widowControl/>
              <w:autoSpaceDE/>
              <w:autoSpaceDN/>
              <w:jc w:val="center"/>
              <w:rPr>
                <w:rFonts w:ascii="Garamond" w:eastAsia="Times New Roman" w:hAnsi="Garamond" w:cs="Calibri"/>
                <w:color w:val="000000"/>
                <w:sz w:val="16"/>
                <w:szCs w:val="16"/>
                <w:highlight w:val="yellow"/>
                <w:lang w:eastAsia="en-US" w:bidi="ar-SA"/>
              </w:rPr>
            </w:pPr>
          </w:p>
        </w:tc>
        <w:tc>
          <w:tcPr>
            <w:tcW w:w="591" w:type="pct"/>
            <w:tcBorders>
              <w:top w:val="single" w:sz="2" w:space="0" w:color="auto"/>
              <w:bottom w:val="single" w:sz="18" w:space="0" w:color="auto"/>
              <w:right w:val="single" w:sz="12" w:space="0" w:color="auto"/>
            </w:tcBorders>
            <w:shd w:val="clear" w:color="auto" w:fill="auto"/>
            <w:vAlign w:val="center"/>
            <w:hideMark/>
          </w:tcPr>
          <w:p w:rsidR="00F37CB7" w:rsidRPr="00F37CB7" w:rsidRDefault="00F37CB7" w:rsidP="00F37CB7">
            <w:pPr>
              <w:rPr>
                <w:rFonts w:ascii="Garamond" w:hAnsi="Garamond"/>
                <w:sz w:val="16"/>
                <w:szCs w:val="16"/>
              </w:rPr>
            </w:pPr>
            <w:r w:rsidRPr="00F37CB7">
              <w:rPr>
                <w:rFonts w:ascii="Garamond" w:hAnsi="Garamond"/>
                <w:sz w:val="16"/>
                <w:szCs w:val="16"/>
              </w:rPr>
              <w:t>Adoption of 3 regulations</w:t>
            </w:r>
          </w:p>
          <w:p w:rsidR="00F37CB7" w:rsidRPr="00F37CB7" w:rsidRDefault="00F37CB7" w:rsidP="00F37CB7">
            <w:pPr>
              <w:widowControl/>
              <w:autoSpaceDE/>
              <w:autoSpaceDN/>
              <w:jc w:val="center"/>
              <w:rPr>
                <w:rFonts w:ascii="Garamond" w:eastAsia="Times New Roman" w:hAnsi="Garamond" w:cs="Calibri"/>
                <w:color w:val="000000"/>
                <w:sz w:val="16"/>
                <w:szCs w:val="16"/>
                <w:highlight w:val="yellow"/>
                <w:lang w:eastAsia="en-US" w:bidi="ar-SA"/>
              </w:rPr>
            </w:pPr>
          </w:p>
        </w:tc>
        <w:tc>
          <w:tcPr>
            <w:tcW w:w="531" w:type="pct"/>
            <w:tcBorders>
              <w:right w:val="single" w:sz="12" w:space="0" w:color="auto"/>
            </w:tcBorders>
            <w:vAlign w:val="center"/>
          </w:tcPr>
          <w:p w:rsidR="00F37CB7" w:rsidRPr="00F37CB7" w:rsidRDefault="00F37CB7" w:rsidP="00F37CB7">
            <w:pPr>
              <w:rPr>
                <w:rFonts w:ascii="Garamond" w:hAnsi="Garamond"/>
                <w:sz w:val="16"/>
                <w:szCs w:val="16"/>
              </w:rPr>
            </w:pPr>
            <w:r w:rsidRPr="00F37CB7">
              <w:rPr>
                <w:rFonts w:ascii="Garamond" w:hAnsi="Garamond"/>
                <w:sz w:val="16"/>
                <w:szCs w:val="16"/>
              </w:rPr>
              <w:t>Adoption of 3 regulations</w:t>
            </w:r>
          </w:p>
          <w:p w:rsidR="00F37CB7" w:rsidRPr="00F37CB7" w:rsidRDefault="00F37CB7" w:rsidP="00F37CB7">
            <w:pPr>
              <w:widowControl/>
              <w:autoSpaceDE/>
              <w:autoSpaceDN/>
              <w:jc w:val="center"/>
              <w:rPr>
                <w:rFonts w:ascii="Garamond" w:eastAsia="游明朝" w:hAnsi="Garamond" w:cs="Calibri"/>
                <w:noProof/>
                <w:sz w:val="16"/>
                <w:szCs w:val="16"/>
                <w:lang w:eastAsia="en-US" w:bidi="ar-SA"/>
              </w:rPr>
            </w:pPr>
          </w:p>
        </w:tc>
        <w:tc>
          <w:tcPr>
            <w:tcW w:w="521" w:type="pct"/>
            <w:vAlign w:val="center"/>
          </w:tcPr>
          <w:p w:rsidR="00F37CB7" w:rsidRPr="00F37CB7" w:rsidRDefault="00F37CB7" w:rsidP="00F37CB7">
            <w:pPr>
              <w:rPr>
                <w:rFonts w:ascii="Garamond" w:hAnsi="Garamond"/>
                <w:sz w:val="16"/>
                <w:szCs w:val="16"/>
              </w:rPr>
            </w:pPr>
            <w:r w:rsidRPr="00F37CB7">
              <w:rPr>
                <w:rFonts w:ascii="Garamond" w:hAnsi="Garamond"/>
                <w:sz w:val="16"/>
                <w:szCs w:val="16"/>
              </w:rPr>
              <w:t>Adoption of 1 regulation</w:t>
            </w:r>
          </w:p>
          <w:p w:rsidR="00F37CB7" w:rsidRPr="00F37CB7" w:rsidRDefault="00F37CB7" w:rsidP="00F37CB7">
            <w:pPr>
              <w:widowControl/>
              <w:autoSpaceDE/>
              <w:autoSpaceDN/>
              <w:jc w:val="center"/>
              <w:rPr>
                <w:rFonts w:ascii="Garamond" w:eastAsia="游明朝" w:hAnsi="Garamond" w:cs="Calibri"/>
                <w:noProof/>
                <w:sz w:val="16"/>
                <w:szCs w:val="16"/>
                <w:lang w:eastAsia="en-US" w:bidi="ar-SA"/>
              </w:rPr>
            </w:pPr>
          </w:p>
        </w:tc>
        <w:tc>
          <w:tcPr>
            <w:tcW w:w="358" w:type="pct"/>
            <w:tcBorders>
              <w:left w:val="single" w:sz="12" w:space="0" w:color="auto"/>
            </w:tcBorders>
            <w:shd w:val="clear" w:color="auto" w:fill="auto"/>
            <w:vAlign w:val="center"/>
            <w:hideMark/>
          </w:tcPr>
          <w:p w:rsidR="00F37CB7" w:rsidRPr="00F37CB7" w:rsidRDefault="00F37CB7" w:rsidP="00F37CB7">
            <w:pPr>
              <w:widowControl/>
              <w:autoSpaceDE/>
              <w:autoSpaceDN/>
              <w:jc w:val="center"/>
              <w:rPr>
                <w:rFonts w:ascii="Garamond" w:eastAsia="Times New Roman" w:hAnsi="Garamond" w:cs="Calibri"/>
                <w:color w:val="00B050"/>
                <w:sz w:val="16"/>
                <w:szCs w:val="16"/>
                <w:lang w:eastAsia="en-US" w:bidi="ar-SA"/>
              </w:rPr>
            </w:pPr>
            <w:r w:rsidRPr="00F37CB7">
              <w:rPr>
                <w:rFonts w:ascii="Garamond" w:eastAsia="游明朝" w:hAnsi="Garamond" w:cs="Calibri Light"/>
                <w:noProof/>
                <w:sz w:val="16"/>
                <w:szCs w:val="16"/>
                <w:lang w:eastAsia="ja-JP" w:bidi="ar-SA"/>
              </w:rPr>
              <w:drawing>
                <wp:inline distT="0" distB="0" distL="0" distR="0">
                  <wp:extent cx="257175" cy="238125"/>
                  <wp:effectExtent l="0" t="0" r="9525" b="9525"/>
                  <wp:docPr id="41" name="Picture 17" descr="crv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vena strelica - manja"/>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7175" cy="238125"/>
                          </a:xfrm>
                          <a:prstGeom prst="rect">
                            <a:avLst/>
                          </a:prstGeom>
                          <a:noFill/>
                          <a:ln>
                            <a:noFill/>
                          </a:ln>
                        </pic:spPr>
                      </pic:pic>
                    </a:graphicData>
                  </a:graphic>
                </wp:inline>
              </w:drawing>
            </w:r>
          </w:p>
        </w:tc>
      </w:tr>
    </w:tbl>
    <w:p w:rsidR="004D1343" w:rsidRPr="00C32887" w:rsidRDefault="004D1343" w:rsidP="00F37CB7">
      <w:pPr>
        <w:jc w:val="both"/>
        <w:rPr>
          <w:rFonts w:ascii="Garamond" w:hAnsi="Garamond"/>
          <w:sz w:val="24"/>
          <w:szCs w:val="24"/>
        </w:rPr>
      </w:pPr>
      <w:r w:rsidRPr="00C32887">
        <w:rPr>
          <w:rFonts w:ascii="Garamond" w:hAnsi="Garamond"/>
          <w:sz w:val="24"/>
          <w:szCs w:val="24"/>
        </w:rPr>
        <w:t>In order to increase the number of economic entities that have been issued approvals for simplified procedures, in 2020</w:t>
      </w:r>
      <w:r w:rsidR="00F37CB7">
        <w:rPr>
          <w:rFonts w:ascii="Garamond" w:hAnsi="Garamond"/>
          <w:sz w:val="24"/>
          <w:szCs w:val="24"/>
        </w:rPr>
        <w:t>,</w:t>
      </w:r>
      <w:r w:rsidRPr="00C32887">
        <w:rPr>
          <w:rFonts w:ascii="Garamond" w:hAnsi="Garamond"/>
          <w:sz w:val="24"/>
          <w:szCs w:val="24"/>
        </w:rPr>
        <w:t xml:space="preserve"> the Customs Administration issued 2 approvals based on the accounting entry and 37 approvals based on the trade document or invoice.</w:t>
      </w:r>
    </w:p>
    <w:p w:rsidR="004D1343" w:rsidRPr="00C32887" w:rsidRDefault="004D1343" w:rsidP="004D1343">
      <w:pPr>
        <w:rPr>
          <w:rFonts w:ascii="Garamond" w:hAnsi="Garamond"/>
          <w:sz w:val="24"/>
          <w:szCs w:val="24"/>
        </w:rPr>
      </w:pPr>
    </w:p>
    <w:p w:rsidR="004D1343" w:rsidRDefault="004D1343" w:rsidP="0013596A">
      <w:pPr>
        <w:jc w:val="both"/>
        <w:rPr>
          <w:rFonts w:ascii="Garamond" w:hAnsi="Garamond"/>
          <w:sz w:val="24"/>
          <w:szCs w:val="24"/>
        </w:rPr>
      </w:pPr>
      <w:r w:rsidRPr="00C32887">
        <w:rPr>
          <w:rFonts w:ascii="Garamond" w:hAnsi="Garamond"/>
          <w:sz w:val="24"/>
          <w:szCs w:val="24"/>
        </w:rPr>
        <w:t xml:space="preserve">When it comes to continuing the development of AEO </w:t>
      </w:r>
      <w:r w:rsidR="00AB73F6" w:rsidRPr="00C32887">
        <w:rPr>
          <w:rFonts w:ascii="Garamond" w:hAnsi="Garamond"/>
          <w:sz w:val="24"/>
          <w:szCs w:val="24"/>
        </w:rPr>
        <w:t>Programme</w:t>
      </w:r>
      <w:r w:rsidRPr="00C32887">
        <w:rPr>
          <w:rFonts w:ascii="Garamond" w:hAnsi="Garamond"/>
          <w:sz w:val="24"/>
          <w:szCs w:val="24"/>
        </w:rPr>
        <w:t>s, Customs Administration during 2020 gave two approvals for AEO status. In order to harmoni</w:t>
      </w:r>
      <w:r w:rsidR="00F17B15">
        <w:rPr>
          <w:rFonts w:ascii="Garamond" w:hAnsi="Garamond"/>
          <w:sz w:val="24"/>
          <w:szCs w:val="24"/>
        </w:rPr>
        <w:t>s</w:t>
      </w:r>
      <w:r w:rsidRPr="00C32887">
        <w:rPr>
          <w:rFonts w:ascii="Garamond" w:hAnsi="Garamond"/>
          <w:sz w:val="24"/>
          <w:szCs w:val="24"/>
        </w:rPr>
        <w:t xml:space="preserve">e the procedures in the field of development of AEO </w:t>
      </w:r>
      <w:r w:rsidR="00AB73F6" w:rsidRPr="00C32887">
        <w:rPr>
          <w:rFonts w:ascii="Garamond" w:hAnsi="Garamond"/>
          <w:sz w:val="24"/>
          <w:szCs w:val="24"/>
        </w:rPr>
        <w:t>Programme</w:t>
      </w:r>
      <w:r w:rsidRPr="00C32887">
        <w:rPr>
          <w:rFonts w:ascii="Garamond" w:hAnsi="Garamond"/>
          <w:sz w:val="24"/>
          <w:szCs w:val="24"/>
        </w:rPr>
        <w:t>s in Montenegro with the AEO COMPACT model of the EU, the Risk Matrix of economic entities in electronic form has been implemented. Also, the official Instruction for filling in the Risk Matrix of economic entities</w:t>
      </w:r>
      <w:r w:rsidR="00C53358" w:rsidRPr="00C53358">
        <w:rPr>
          <w:rFonts w:ascii="Garamond" w:hAnsi="Garamond"/>
          <w:sz w:val="24"/>
          <w:szCs w:val="24"/>
        </w:rPr>
        <w:t xml:space="preserve"> </w:t>
      </w:r>
      <w:r w:rsidR="00C53358">
        <w:rPr>
          <w:rFonts w:ascii="Garamond" w:hAnsi="Garamond"/>
          <w:sz w:val="24"/>
          <w:szCs w:val="24"/>
        </w:rPr>
        <w:t>was adopted,</w:t>
      </w:r>
      <w:r w:rsidRPr="00C32887">
        <w:rPr>
          <w:rFonts w:ascii="Garamond" w:hAnsi="Garamond"/>
          <w:sz w:val="24"/>
          <w:szCs w:val="24"/>
        </w:rPr>
        <w:t xml:space="preserve"> with</w:t>
      </w:r>
      <w:r w:rsidR="0013596A">
        <w:rPr>
          <w:rFonts w:ascii="Garamond" w:hAnsi="Garamond"/>
          <w:sz w:val="24"/>
          <w:szCs w:val="24"/>
        </w:rPr>
        <w:t xml:space="preserve"> the support of GIZ.</w:t>
      </w:r>
    </w:p>
    <w:p w:rsidR="0013596A" w:rsidRDefault="00613C2B" w:rsidP="0013596A">
      <w:pPr>
        <w:jc w:val="both"/>
        <w:rPr>
          <w:rFonts w:ascii="Garamond" w:hAnsi="Garamond"/>
          <w:sz w:val="24"/>
          <w:szCs w:val="24"/>
        </w:rPr>
      </w:pPr>
      <w:r w:rsidRPr="00613C2B">
        <w:rPr>
          <w:noProof/>
          <w:color w:val="000000"/>
          <w:szCs w:val="24"/>
          <w:lang w:val="en-GB" w:eastAsia="en-GB"/>
        </w:rPr>
      </w:r>
      <w:r w:rsidRPr="00613C2B">
        <w:rPr>
          <w:noProof/>
          <w:color w:val="000000"/>
          <w:szCs w:val="24"/>
          <w:lang w:val="en-GB" w:eastAsia="en-GB"/>
        </w:rPr>
        <w:pict>
          <v:roundrect id="Rounded Rectangle 15" o:spid="_x0000_s1034" style="width:500.4pt;height:85.95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" fillcolor="#243f60 [1604]" strokecolor="#243f60 [1604]" strokeweight="1pt">
            <v:stroke joinstyle="miter"/>
            <v:textbox>
              <w:txbxContent>
                <w:p w:rsidR="002C4371" w:rsidRPr="0013596A" w:rsidRDefault="002C4371" w:rsidP="0013596A">
                  <w:pPr>
                    <w:rPr>
                      <w:rFonts w:ascii="Garamond" w:hAnsi="Garamond"/>
                      <w:sz w:val="20"/>
                      <w:szCs w:val="20"/>
                    </w:rPr>
                  </w:pPr>
                  <w:r w:rsidRPr="0013596A">
                    <w:rPr>
                      <w:rFonts w:ascii="Garamond" w:hAnsi="Garamond"/>
                      <w:sz w:val="20"/>
                      <w:szCs w:val="20"/>
                    </w:rPr>
                    <w:t>Challenge:</w:t>
                  </w:r>
                </w:p>
                <w:p w:rsidR="002C4371" w:rsidRPr="0013596A" w:rsidRDefault="002C4371" w:rsidP="0013596A">
                  <w:pPr>
                    <w:rPr>
                      <w:rFonts w:ascii="Garamond" w:hAnsi="Garamond"/>
                      <w:sz w:val="20"/>
                      <w:szCs w:val="20"/>
                    </w:rPr>
                  </w:pPr>
                </w:p>
                <w:p w:rsidR="002C4371" w:rsidRPr="0013596A" w:rsidRDefault="002C4371" w:rsidP="00F17B15">
                  <w:pPr>
                    <w:jc w:val="both"/>
                    <w:rPr>
                      <w:rFonts w:ascii="Garamond" w:hAnsi="Garamond"/>
                      <w:szCs w:val="20"/>
                    </w:rPr>
                  </w:pPr>
                  <w:r w:rsidRPr="0013596A">
                    <w:rPr>
                      <w:rFonts w:ascii="Garamond" w:hAnsi="Garamond"/>
                      <w:sz w:val="20"/>
                      <w:szCs w:val="20"/>
                    </w:rPr>
                    <w:t>The main challenge in the coming period is to cont</w:t>
                  </w:r>
                  <w:r>
                    <w:rPr>
                      <w:rFonts w:ascii="Garamond" w:hAnsi="Garamond"/>
                      <w:sz w:val="20"/>
                      <w:szCs w:val="20"/>
                    </w:rPr>
                    <w:t xml:space="preserve">inue improving the IT system, that is, the </w:t>
                  </w:r>
                  <w:r w:rsidR="00C53358">
                    <w:rPr>
                      <w:rFonts w:ascii="Garamond" w:hAnsi="Garamond"/>
                      <w:sz w:val="20"/>
                      <w:szCs w:val="20"/>
                    </w:rPr>
                    <w:t>implementation of modernis</w:t>
                  </w:r>
                  <w:r w:rsidRPr="0013596A">
                    <w:rPr>
                      <w:rFonts w:ascii="Garamond" w:hAnsi="Garamond"/>
                      <w:sz w:val="20"/>
                      <w:szCs w:val="20"/>
                    </w:rPr>
                    <w:t>ed information systems applied by EU customs services in order to achieve interconnectivity and interoperability while strengthening administrative capacity</w:t>
                  </w:r>
                  <w:r w:rsidR="00C53358">
                    <w:rPr>
                      <w:rFonts w:ascii="Garamond" w:hAnsi="Garamond"/>
                      <w:sz w:val="20"/>
                      <w:szCs w:val="20"/>
                    </w:rPr>
                    <w:t>.</w:t>
                  </w:r>
                </w:p>
              </w:txbxContent>
            </v:textbox>
            <w10:wrap type="none"/>
            <w10:anchorlock/>
          </v:roundrect>
        </w:pict>
      </w:r>
    </w:p>
    <w:p w:rsidR="0013596A" w:rsidRPr="00C32887" w:rsidRDefault="0013596A" w:rsidP="0013596A">
      <w:pPr>
        <w:jc w:val="both"/>
        <w:rPr>
          <w:rFonts w:ascii="Garamond" w:hAnsi="Garamond"/>
          <w:sz w:val="24"/>
          <w:szCs w:val="24"/>
        </w:rPr>
      </w:pPr>
    </w:p>
    <w:p w:rsidR="004D1343" w:rsidRPr="00C32887" w:rsidRDefault="0013596A" w:rsidP="0013596A">
      <w:pPr>
        <w:pStyle w:val="Heading3"/>
        <w:rPr>
          <w:rFonts w:ascii="Garamond" w:hAnsi="Garamond"/>
          <w:sz w:val="24"/>
          <w:szCs w:val="24"/>
        </w:rPr>
      </w:pPr>
      <w:bookmarkStart w:id="18" w:name="_Toc77688198"/>
      <w:r w:rsidRPr="00C32887">
        <w:rPr>
          <w:rFonts w:ascii="Garamond" w:hAnsi="Garamond"/>
          <w:sz w:val="24"/>
          <w:szCs w:val="24"/>
        </w:rPr>
        <w:t>PUBLIC PROCUREMENT</w:t>
      </w:r>
      <w:bookmarkEnd w:id="18"/>
    </w:p>
    <w:p w:rsidR="004D1343" w:rsidRPr="00C32887" w:rsidRDefault="004D1343" w:rsidP="004D1343">
      <w:pPr>
        <w:rPr>
          <w:rFonts w:ascii="Garamond" w:hAnsi="Garamond"/>
          <w:sz w:val="24"/>
          <w:szCs w:val="24"/>
        </w:rPr>
      </w:pPr>
    </w:p>
    <w:p w:rsidR="004D1343" w:rsidRPr="00C32887" w:rsidRDefault="004D1343" w:rsidP="0013596A">
      <w:pPr>
        <w:jc w:val="both"/>
        <w:rPr>
          <w:rFonts w:ascii="Garamond" w:hAnsi="Garamond"/>
          <w:sz w:val="24"/>
          <w:szCs w:val="24"/>
        </w:rPr>
      </w:pPr>
      <w:r w:rsidRPr="00C32887">
        <w:rPr>
          <w:rFonts w:ascii="Garamond" w:hAnsi="Garamond"/>
          <w:sz w:val="24"/>
          <w:szCs w:val="24"/>
        </w:rPr>
        <w:t>In order to meet the obligations of the Negotiating Chapter 5 - Public Procurement related to the harmoni</w:t>
      </w:r>
      <w:r w:rsidR="00F254DD">
        <w:rPr>
          <w:rFonts w:ascii="Garamond" w:hAnsi="Garamond"/>
          <w:sz w:val="24"/>
          <w:szCs w:val="24"/>
        </w:rPr>
        <w:t>sation</w:t>
      </w:r>
      <w:r w:rsidRPr="00C32887">
        <w:rPr>
          <w:rFonts w:ascii="Garamond" w:hAnsi="Garamond"/>
          <w:sz w:val="24"/>
          <w:szCs w:val="24"/>
        </w:rPr>
        <w:t xml:space="preserve"> of legislation with relevant regulations and EU standards, activities aimed at adopting a new regulatory framework in public procurement, as well as public-private partnership, included: harmoni</w:t>
      </w:r>
      <w:r w:rsidR="00F254DD">
        <w:rPr>
          <w:rFonts w:ascii="Garamond" w:hAnsi="Garamond"/>
          <w:sz w:val="24"/>
          <w:szCs w:val="24"/>
        </w:rPr>
        <w:t>sation</w:t>
      </w:r>
      <w:r w:rsidRPr="00C32887">
        <w:rPr>
          <w:rFonts w:ascii="Garamond" w:hAnsi="Garamond"/>
          <w:sz w:val="24"/>
          <w:szCs w:val="24"/>
        </w:rPr>
        <w:t xml:space="preserve"> of the text with the European Commission; securing approval from the European Commission, the organi</w:t>
      </w:r>
      <w:r w:rsidR="00F254DD">
        <w:rPr>
          <w:rFonts w:ascii="Garamond" w:hAnsi="Garamond"/>
          <w:sz w:val="24"/>
          <w:szCs w:val="24"/>
        </w:rPr>
        <w:t>sation</w:t>
      </w:r>
      <w:r w:rsidRPr="00C32887">
        <w:rPr>
          <w:rFonts w:ascii="Garamond" w:hAnsi="Garamond"/>
          <w:sz w:val="24"/>
          <w:szCs w:val="24"/>
        </w:rPr>
        <w:t xml:space="preserve"> of public he</w:t>
      </w:r>
      <w:r w:rsidR="0081461C">
        <w:rPr>
          <w:rFonts w:ascii="Garamond" w:hAnsi="Garamond"/>
          <w:sz w:val="24"/>
          <w:szCs w:val="24"/>
        </w:rPr>
        <w:t>arings and public consultations</w:t>
      </w:r>
      <w:r w:rsidRPr="00C32887">
        <w:rPr>
          <w:rFonts w:ascii="Garamond" w:hAnsi="Garamond"/>
          <w:sz w:val="24"/>
          <w:szCs w:val="24"/>
        </w:rPr>
        <w:t xml:space="preserve">, </w:t>
      </w:r>
      <w:r w:rsidR="00370ECA">
        <w:rPr>
          <w:rFonts w:ascii="Garamond" w:hAnsi="Garamond"/>
          <w:sz w:val="24"/>
          <w:szCs w:val="24"/>
        </w:rPr>
        <w:t xml:space="preserve">the </w:t>
      </w:r>
      <w:r w:rsidR="00370ECA" w:rsidRPr="00C32887">
        <w:rPr>
          <w:rFonts w:ascii="Garamond" w:hAnsi="Garamond"/>
          <w:sz w:val="24"/>
          <w:szCs w:val="24"/>
        </w:rPr>
        <w:t>organi</w:t>
      </w:r>
      <w:r w:rsidR="00370ECA">
        <w:rPr>
          <w:rFonts w:ascii="Garamond" w:hAnsi="Garamond"/>
          <w:sz w:val="24"/>
          <w:szCs w:val="24"/>
        </w:rPr>
        <w:t>sation</w:t>
      </w:r>
      <w:r w:rsidR="00370ECA" w:rsidRPr="00C32887">
        <w:rPr>
          <w:rFonts w:ascii="Garamond" w:hAnsi="Garamond"/>
          <w:sz w:val="24"/>
          <w:szCs w:val="24"/>
        </w:rPr>
        <w:t xml:space="preserve"> </w:t>
      </w:r>
      <w:r w:rsidR="00370ECA">
        <w:rPr>
          <w:rFonts w:ascii="Garamond" w:hAnsi="Garamond"/>
          <w:sz w:val="24"/>
          <w:szCs w:val="24"/>
        </w:rPr>
        <w:t xml:space="preserve">of </w:t>
      </w:r>
      <w:r w:rsidRPr="00C32887">
        <w:rPr>
          <w:rFonts w:ascii="Garamond" w:hAnsi="Garamond"/>
          <w:sz w:val="24"/>
          <w:szCs w:val="24"/>
        </w:rPr>
        <w:t>consult</w:t>
      </w:r>
      <w:r w:rsidR="0081461C">
        <w:rPr>
          <w:rFonts w:ascii="Garamond" w:hAnsi="Garamond"/>
          <w:sz w:val="24"/>
          <w:szCs w:val="24"/>
        </w:rPr>
        <w:t xml:space="preserve">ative meetings with contracting authorities </w:t>
      </w:r>
      <w:r w:rsidR="00370ECA">
        <w:rPr>
          <w:rFonts w:ascii="Garamond" w:hAnsi="Garamond"/>
          <w:sz w:val="24"/>
          <w:szCs w:val="24"/>
        </w:rPr>
        <w:t>to screen the</w:t>
      </w:r>
      <w:r w:rsidRPr="00C32887">
        <w:rPr>
          <w:rFonts w:ascii="Garamond" w:hAnsi="Garamond"/>
          <w:sz w:val="24"/>
          <w:szCs w:val="24"/>
        </w:rPr>
        <w:t xml:space="preserve"> difficulty in the implementation of the Law on </w:t>
      </w:r>
      <w:r w:rsidR="0081461C" w:rsidRPr="00C32887">
        <w:rPr>
          <w:rFonts w:ascii="Garamond" w:hAnsi="Garamond"/>
          <w:sz w:val="24"/>
          <w:szCs w:val="24"/>
        </w:rPr>
        <w:t xml:space="preserve">Public </w:t>
      </w:r>
      <w:r w:rsidRPr="00C32887">
        <w:rPr>
          <w:rFonts w:ascii="Garamond" w:hAnsi="Garamond"/>
          <w:sz w:val="24"/>
          <w:szCs w:val="24"/>
        </w:rPr>
        <w:t xml:space="preserve">Procurement, </w:t>
      </w:r>
      <w:r w:rsidR="0081461C">
        <w:rPr>
          <w:rFonts w:ascii="Garamond" w:hAnsi="Garamond"/>
          <w:sz w:val="24"/>
          <w:szCs w:val="24"/>
        </w:rPr>
        <w:t>which</w:t>
      </w:r>
      <w:r w:rsidRPr="00C32887">
        <w:rPr>
          <w:rFonts w:ascii="Garamond" w:hAnsi="Garamond"/>
          <w:sz w:val="24"/>
          <w:szCs w:val="24"/>
        </w:rPr>
        <w:t xml:space="preserve"> all together resulted in the adoption of the new Law on </w:t>
      </w:r>
      <w:r w:rsidR="0081461C" w:rsidRPr="00C32887">
        <w:rPr>
          <w:rFonts w:ascii="Garamond" w:hAnsi="Garamond"/>
          <w:sz w:val="24"/>
          <w:szCs w:val="24"/>
        </w:rPr>
        <w:t xml:space="preserve">Public </w:t>
      </w:r>
      <w:r w:rsidRPr="00C32887">
        <w:rPr>
          <w:rFonts w:ascii="Garamond" w:hAnsi="Garamond"/>
          <w:sz w:val="24"/>
          <w:szCs w:val="24"/>
        </w:rPr>
        <w:t xml:space="preserve">Procurement and the </w:t>
      </w:r>
      <w:r w:rsidR="00C17951" w:rsidRPr="00C32887">
        <w:rPr>
          <w:rFonts w:ascii="Garamond" w:hAnsi="Garamond"/>
          <w:sz w:val="24"/>
          <w:szCs w:val="24"/>
        </w:rPr>
        <w:t xml:space="preserve">Public Private Partnership </w:t>
      </w:r>
      <w:r w:rsidR="00C17951">
        <w:rPr>
          <w:rFonts w:ascii="Garamond" w:hAnsi="Garamond"/>
          <w:sz w:val="24"/>
          <w:szCs w:val="24"/>
        </w:rPr>
        <w:t>Law</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C17951">
      <w:pPr>
        <w:jc w:val="both"/>
        <w:rPr>
          <w:rFonts w:ascii="Garamond" w:hAnsi="Garamond"/>
          <w:sz w:val="24"/>
          <w:szCs w:val="24"/>
        </w:rPr>
      </w:pPr>
      <w:r w:rsidRPr="00C32887">
        <w:rPr>
          <w:rFonts w:ascii="Garamond" w:hAnsi="Garamond"/>
          <w:sz w:val="24"/>
          <w:szCs w:val="24"/>
        </w:rPr>
        <w:t xml:space="preserve">The Law on Public Procurement started to be applied on July 7, 2020, with previously </w:t>
      </w:r>
      <w:r w:rsidR="00370ECA">
        <w:rPr>
          <w:rFonts w:ascii="Garamond" w:hAnsi="Garamond"/>
          <w:sz w:val="24"/>
          <w:szCs w:val="24"/>
        </w:rPr>
        <w:t>implemented</w:t>
      </w:r>
      <w:r w:rsidRPr="00C32887">
        <w:rPr>
          <w:rFonts w:ascii="Garamond" w:hAnsi="Garamond"/>
          <w:sz w:val="24"/>
          <w:szCs w:val="24"/>
        </w:rPr>
        <w:t xml:space="preserve"> professional training and educational process for contracting authorities and bidders in connection with the application of the new legal framework.</w:t>
      </w:r>
    </w:p>
    <w:p w:rsidR="004D1343" w:rsidRPr="00C32887" w:rsidRDefault="004D1343" w:rsidP="004D1343">
      <w:pPr>
        <w:rPr>
          <w:rFonts w:ascii="Garamond" w:hAnsi="Garamond"/>
          <w:sz w:val="24"/>
          <w:szCs w:val="24"/>
        </w:rPr>
      </w:pPr>
    </w:p>
    <w:p w:rsidR="004D1343" w:rsidRPr="00C32887" w:rsidRDefault="004D1343" w:rsidP="00C17951">
      <w:pPr>
        <w:jc w:val="both"/>
        <w:rPr>
          <w:rFonts w:ascii="Garamond" w:hAnsi="Garamond"/>
          <w:sz w:val="24"/>
          <w:szCs w:val="24"/>
        </w:rPr>
      </w:pPr>
      <w:r w:rsidRPr="00C32887">
        <w:rPr>
          <w:rFonts w:ascii="Garamond" w:hAnsi="Garamond"/>
          <w:sz w:val="24"/>
          <w:szCs w:val="24"/>
        </w:rPr>
        <w:t>Adoption of regulations was preceded by public consultations that the Ministry</w:t>
      </w:r>
      <w:r w:rsidR="00370ECA">
        <w:rPr>
          <w:rFonts w:ascii="Garamond" w:hAnsi="Garamond"/>
          <w:sz w:val="24"/>
          <w:szCs w:val="24"/>
        </w:rPr>
        <w:t xml:space="preserve"> of Finance and Social Welfare </w:t>
      </w:r>
      <w:r w:rsidRPr="00C32887">
        <w:rPr>
          <w:rFonts w:ascii="Garamond" w:hAnsi="Garamond"/>
          <w:sz w:val="24"/>
          <w:szCs w:val="24"/>
        </w:rPr>
        <w:t xml:space="preserve">conducted regarding the </w:t>
      </w:r>
      <w:r w:rsidR="00C17951">
        <w:rPr>
          <w:rFonts w:ascii="Garamond" w:hAnsi="Garamond"/>
          <w:sz w:val="24"/>
          <w:szCs w:val="24"/>
        </w:rPr>
        <w:t>text</w:t>
      </w:r>
      <w:r w:rsidRPr="00C32887">
        <w:rPr>
          <w:rFonts w:ascii="Garamond" w:hAnsi="Garamond"/>
          <w:sz w:val="24"/>
          <w:szCs w:val="24"/>
        </w:rPr>
        <w:t xml:space="preserve"> of the Draft Law on Public Procurement, </w:t>
      </w:r>
      <w:r w:rsidR="00370ECA">
        <w:rPr>
          <w:rFonts w:ascii="Garamond" w:hAnsi="Garamond"/>
          <w:sz w:val="24"/>
          <w:szCs w:val="24"/>
        </w:rPr>
        <w:t>revised</w:t>
      </w:r>
      <w:r w:rsidRPr="00C32887">
        <w:rPr>
          <w:rFonts w:ascii="Garamond" w:hAnsi="Garamond"/>
          <w:sz w:val="24"/>
          <w:szCs w:val="24"/>
        </w:rPr>
        <w:t xml:space="preserve"> </w:t>
      </w:r>
      <w:r w:rsidR="00C17951" w:rsidRPr="00C32887">
        <w:rPr>
          <w:rFonts w:ascii="Garamond" w:hAnsi="Garamond"/>
          <w:sz w:val="24"/>
          <w:szCs w:val="24"/>
        </w:rPr>
        <w:t xml:space="preserve">compared </w:t>
      </w:r>
      <w:r w:rsidR="00C17951">
        <w:rPr>
          <w:rFonts w:ascii="Garamond" w:hAnsi="Garamond"/>
          <w:sz w:val="24"/>
          <w:szCs w:val="24"/>
        </w:rPr>
        <w:t xml:space="preserve">to the </w:t>
      </w:r>
      <w:r w:rsidR="00370ECA" w:rsidRPr="00C32887">
        <w:rPr>
          <w:rFonts w:ascii="Garamond" w:hAnsi="Garamond"/>
          <w:sz w:val="24"/>
          <w:szCs w:val="24"/>
        </w:rPr>
        <w:t xml:space="preserve">version </w:t>
      </w:r>
      <w:r w:rsidR="00C17951">
        <w:rPr>
          <w:rFonts w:ascii="Garamond" w:hAnsi="Garamond"/>
          <w:sz w:val="24"/>
          <w:szCs w:val="24"/>
        </w:rPr>
        <w:t xml:space="preserve">submitted </w:t>
      </w:r>
      <w:r w:rsidR="00370ECA">
        <w:rPr>
          <w:rFonts w:ascii="Garamond" w:hAnsi="Garamond"/>
          <w:sz w:val="24"/>
          <w:szCs w:val="24"/>
        </w:rPr>
        <w:t>for</w:t>
      </w:r>
      <w:r w:rsidRPr="00C32887">
        <w:rPr>
          <w:rFonts w:ascii="Garamond" w:hAnsi="Garamond"/>
          <w:sz w:val="24"/>
          <w:szCs w:val="24"/>
        </w:rPr>
        <w:t xml:space="preserve"> public </w:t>
      </w:r>
      <w:r w:rsidR="00370ECA">
        <w:rPr>
          <w:rFonts w:ascii="Garamond" w:hAnsi="Garamond"/>
          <w:sz w:val="24"/>
          <w:szCs w:val="24"/>
        </w:rPr>
        <w:t>consultation</w:t>
      </w:r>
      <w:r w:rsidRPr="00C32887">
        <w:rPr>
          <w:rFonts w:ascii="Garamond" w:hAnsi="Garamond"/>
          <w:sz w:val="24"/>
          <w:szCs w:val="24"/>
        </w:rPr>
        <w:t xml:space="preserve"> in the period February - March 2018. The Ministry of Finance and Social Welfare has </w:t>
      </w:r>
      <w:r w:rsidR="00C17951">
        <w:rPr>
          <w:rFonts w:ascii="Garamond" w:hAnsi="Garamond"/>
          <w:sz w:val="24"/>
          <w:szCs w:val="24"/>
        </w:rPr>
        <w:t>revised</w:t>
      </w:r>
      <w:r w:rsidRPr="00C32887">
        <w:rPr>
          <w:rFonts w:ascii="Garamond" w:hAnsi="Garamond"/>
          <w:sz w:val="24"/>
          <w:szCs w:val="24"/>
        </w:rPr>
        <w:t xml:space="preserve"> all suggestions submitted at the </w:t>
      </w:r>
      <w:r w:rsidR="00370ECA" w:rsidRPr="00C32887">
        <w:rPr>
          <w:rFonts w:ascii="Garamond" w:hAnsi="Garamond"/>
          <w:sz w:val="24"/>
          <w:szCs w:val="24"/>
        </w:rPr>
        <w:t>2018</w:t>
      </w:r>
      <w:r w:rsidR="00C53358">
        <w:rPr>
          <w:rFonts w:ascii="Garamond" w:hAnsi="Garamond"/>
          <w:sz w:val="24"/>
          <w:szCs w:val="24"/>
        </w:rPr>
        <w:t xml:space="preserve"> </w:t>
      </w:r>
      <w:r w:rsidRPr="00C32887">
        <w:rPr>
          <w:rFonts w:ascii="Garamond" w:hAnsi="Garamond"/>
          <w:sz w:val="24"/>
          <w:szCs w:val="24"/>
        </w:rPr>
        <w:t xml:space="preserve">public </w:t>
      </w:r>
      <w:r w:rsidR="00C17951">
        <w:rPr>
          <w:rFonts w:ascii="Garamond" w:hAnsi="Garamond"/>
          <w:sz w:val="24"/>
          <w:szCs w:val="24"/>
        </w:rPr>
        <w:t>consultation</w:t>
      </w:r>
      <w:r w:rsidRPr="00C32887">
        <w:rPr>
          <w:rFonts w:ascii="Garamond" w:hAnsi="Garamond"/>
          <w:sz w:val="24"/>
          <w:szCs w:val="24"/>
        </w:rPr>
        <w:t xml:space="preserve">, prepared tables of </w:t>
      </w:r>
      <w:r w:rsidR="00370ECA">
        <w:rPr>
          <w:rFonts w:ascii="Garamond" w:hAnsi="Garamond"/>
          <w:sz w:val="24"/>
          <w:szCs w:val="24"/>
        </w:rPr>
        <w:t>concordance</w:t>
      </w:r>
      <w:r w:rsidR="00C17951">
        <w:rPr>
          <w:rFonts w:ascii="Garamond" w:hAnsi="Garamond"/>
          <w:sz w:val="24"/>
          <w:szCs w:val="24"/>
        </w:rPr>
        <w:t xml:space="preserve"> with Directive 2014/24/EU, Directive 2014/25/EU, Directive 2007/66/EC and Directive 2009/81/</w:t>
      </w:r>
      <w:r w:rsidRPr="00C32887">
        <w:rPr>
          <w:rFonts w:ascii="Garamond" w:hAnsi="Garamond"/>
          <w:sz w:val="24"/>
          <w:szCs w:val="24"/>
        </w:rPr>
        <w:t>EC and Regulatory Impact Assessment (RIA).</w:t>
      </w:r>
    </w:p>
    <w:p w:rsidR="004D1343" w:rsidRPr="00C32887" w:rsidRDefault="004D1343" w:rsidP="004D1343">
      <w:pPr>
        <w:rPr>
          <w:rFonts w:ascii="Garamond" w:hAnsi="Garamond"/>
          <w:sz w:val="24"/>
          <w:szCs w:val="24"/>
        </w:rPr>
      </w:pPr>
    </w:p>
    <w:p w:rsidR="004D1343" w:rsidRPr="00C32887" w:rsidRDefault="004D1343" w:rsidP="00C17951">
      <w:pPr>
        <w:jc w:val="both"/>
        <w:rPr>
          <w:rFonts w:ascii="Garamond" w:hAnsi="Garamond"/>
          <w:sz w:val="24"/>
          <w:szCs w:val="24"/>
        </w:rPr>
      </w:pPr>
      <w:r w:rsidRPr="00C32887">
        <w:rPr>
          <w:rFonts w:ascii="Garamond" w:hAnsi="Garamond"/>
          <w:sz w:val="24"/>
          <w:szCs w:val="24"/>
        </w:rPr>
        <w:t xml:space="preserve">The new regulatory framework, made with a view to achieving compliance with the regulations and </w:t>
      </w:r>
      <w:r w:rsidR="00370ECA">
        <w:rPr>
          <w:rFonts w:ascii="Garamond" w:hAnsi="Garamond"/>
          <w:sz w:val="24"/>
          <w:szCs w:val="24"/>
        </w:rPr>
        <w:t xml:space="preserve">standards of the European Union, has resulted in </w:t>
      </w:r>
      <w:r w:rsidRPr="00C32887">
        <w:rPr>
          <w:rFonts w:ascii="Garamond" w:hAnsi="Garamond"/>
          <w:sz w:val="24"/>
          <w:szCs w:val="24"/>
        </w:rPr>
        <w:t xml:space="preserve">new </w:t>
      </w:r>
      <w:r w:rsidR="00370ECA">
        <w:rPr>
          <w:rFonts w:ascii="Garamond" w:hAnsi="Garamond"/>
          <w:sz w:val="24"/>
          <w:szCs w:val="24"/>
        </w:rPr>
        <w:t>provisions</w:t>
      </w:r>
      <w:r w:rsidRPr="00C32887">
        <w:rPr>
          <w:rFonts w:ascii="Garamond" w:hAnsi="Garamond"/>
          <w:sz w:val="24"/>
          <w:szCs w:val="24"/>
        </w:rPr>
        <w:t xml:space="preserve"> relating to:</w:t>
      </w:r>
    </w:p>
    <w:p w:rsidR="004D1343" w:rsidRPr="00C32887" w:rsidRDefault="004D1343" w:rsidP="004D1343">
      <w:pPr>
        <w:rPr>
          <w:rFonts w:ascii="Garamond" w:hAnsi="Garamond"/>
          <w:sz w:val="24"/>
          <w:szCs w:val="24"/>
        </w:rPr>
      </w:pPr>
    </w:p>
    <w:p w:rsidR="004D1343" w:rsidRPr="00C17951" w:rsidRDefault="004D1343" w:rsidP="00C17951">
      <w:pPr>
        <w:pStyle w:val="ListParagraph"/>
        <w:numPr>
          <w:ilvl w:val="0"/>
          <w:numId w:val="4"/>
        </w:numPr>
        <w:jc w:val="both"/>
        <w:rPr>
          <w:rFonts w:ascii="Garamond" w:hAnsi="Garamond"/>
          <w:sz w:val="24"/>
          <w:szCs w:val="24"/>
        </w:rPr>
      </w:pPr>
      <w:r w:rsidRPr="00C17951">
        <w:rPr>
          <w:rFonts w:ascii="Garamond" w:hAnsi="Garamond"/>
          <w:sz w:val="24"/>
          <w:szCs w:val="24"/>
        </w:rPr>
        <w:t>introduction of electronic public procurement and establishment of the first electronic public procurem</w:t>
      </w:r>
      <w:r w:rsidR="00C17951">
        <w:rPr>
          <w:rFonts w:ascii="Garamond" w:hAnsi="Garamond"/>
          <w:sz w:val="24"/>
          <w:szCs w:val="24"/>
        </w:rPr>
        <w:t>ent system (ESJN) in Montenegro</w:t>
      </w:r>
      <w:r w:rsidRPr="00C17951">
        <w:rPr>
          <w:rFonts w:ascii="Garamond" w:hAnsi="Garamond"/>
          <w:sz w:val="24"/>
          <w:szCs w:val="24"/>
        </w:rPr>
        <w:t xml:space="preserve">, managed by the Directorate for Public Procurement Policies;         </w:t>
      </w:r>
    </w:p>
    <w:p w:rsidR="004D1343" w:rsidRPr="00C17951" w:rsidRDefault="004D1343" w:rsidP="00C17951">
      <w:pPr>
        <w:pStyle w:val="ListParagraph"/>
        <w:numPr>
          <w:ilvl w:val="0"/>
          <w:numId w:val="4"/>
        </w:numPr>
        <w:jc w:val="both"/>
        <w:rPr>
          <w:rFonts w:ascii="Garamond" w:hAnsi="Garamond"/>
          <w:sz w:val="24"/>
          <w:szCs w:val="24"/>
        </w:rPr>
      </w:pPr>
      <w:r w:rsidRPr="00C17951">
        <w:rPr>
          <w:rFonts w:ascii="Garamond" w:hAnsi="Garamond"/>
          <w:sz w:val="24"/>
          <w:szCs w:val="24"/>
        </w:rPr>
        <w:t>standardi</w:t>
      </w:r>
      <w:r w:rsidR="00F254DD">
        <w:rPr>
          <w:rFonts w:ascii="Garamond" w:hAnsi="Garamond"/>
          <w:sz w:val="24"/>
          <w:szCs w:val="24"/>
        </w:rPr>
        <w:t>sation</w:t>
      </w:r>
      <w:r w:rsidRPr="00C17951">
        <w:rPr>
          <w:rFonts w:ascii="Garamond" w:hAnsi="Garamond"/>
          <w:sz w:val="24"/>
          <w:szCs w:val="24"/>
        </w:rPr>
        <w:t xml:space="preserve"> of simple procurements and procurements that are </w:t>
      </w:r>
      <w:r w:rsidR="00BF6D97">
        <w:rPr>
          <w:rFonts w:ascii="Garamond" w:hAnsi="Garamond"/>
          <w:sz w:val="24"/>
          <w:szCs w:val="24"/>
        </w:rPr>
        <w:t>implemented</w:t>
      </w:r>
      <w:r w:rsidRPr="00C17951">
        <w:rPr>
          <w:rFonts w:ascii="Garamond" w:hAnsi="Garamond"/>
          <w:sz w:val="24"/>
          <w:szCs w:val="24"/>
        </w:rPr>
        <w:t xml:space="preserve"> in the defense and security sector in accordance with EU standards and recommendations of the European Commission;         </w:t>
      </w:r>
    </w:p>
    <w:p w:rsidR="004D1343" w:rsidRPr="00C17951" w:rsidRDefault="00370ECA" w:rsidP="00C17951">
      <w:pPr>
        <w:pStyle w:val="ListParagraph"/>
        <w:numPr>
          <w:ilvl w:val="0"/>
          <w:numId w:val="4"/>
        </w:numPr>
        <w:jc w:val="both"/>
        <w:rPr>
          <w:rFonts w:ascii="Garamond" w:hAnsi="Garamond"/>
          <w:sz w:val="24"/>
          <w:szCs w:val="24"/>
        </w:rPr>
      </w:pPr>
      <w:r w:rsidRPr="00C17951">
        <w:rPr>
          <w:rFonts w:ascii="Garamond" w:hAnsi="Garamond"/>
          <w:sz w:val="24"/>
          <w:szCs w:val="24"/>
        </w:rPr>
        <w:t>red</w:t>
      </w:r>
      <w:r>
        <w:rPr>
          <w:rFonts w:ascii="Garamond" w:hAnsi="Garamond"/>
          <w:sz w:val="24"/>
          <w:szCs w:val="24"/>
        </w:rPr>
        <w:t>u</w:t>
      </w:r>
      <w:r w:rsidRPr="00C17951">
        <w:rPr>
          <w:rFonts w:ascii="Garamond" w:hAnsi="Garamond"/>
          <w:sz w:val="24"/>
          <w:szCs w:val="24"/>
        </w:rPr>
        <w:t>ction</w:t>
      </w:r>
      <w:r w:rsidR="004D1343" w:rsidRPr="00C17951">
        <w:rPr>
          <w:rFonts w:ascii="Garamond" w:hAnsi="Garamond"/>
          <w:sz w:val="24"/>
          <w:szCs w:val="24"/>
        </w:rPr>
        <w:t xml:space="preserve"> of formalism, business barriers and the cost of preparation of bids - fulfillment of conditions for participation in the public procurement procedure is proven by the Statement of the</w:t>
      </w:r>
      <w:r w:rsidR="00C17951">
        <w:rPr>
          <w:rFonts w:ascii="Garamond" w:hAnsi="Garamond"/>
          <w:sz w:val="24"/>
          <w:szCs w:val="24"/>
        </w:rPr>
        <w:t xml:space="preserve"> economic entity</w:t>
      </w:r>
      <w:r w:rsidR="004D1343" w:rsidRPr="00C17951">
        <w:rPr>
          <w:rFonts w:ascii="Garamond" w:hAnsi="Garamond"/>
          <w:sz w:val="24"/>
          <w:szCs w:val="24"/>
        </w:rPr>
        <w:t xml:space="preserve">;         </w:t>
      </w:r>
    </w:p>
    <w:p w:rsidR="004D1343" w:rsidRPr="00C17951" w:rsidRDefault="004D1343" w:rsidP="00C17951">
      <w:pPr>
        <w:pStyle w:val="ListParagraph"/>
        <w:numPr>
          <w:ilvl w:val="0"/>
          <w:numId w:val="4"/>
        </w:numPr>
        <w:jc w:val="both"/>
        <w:rPr>
          <w:rFonts w:ascii="Garamond" w:hAnsi="Garamond"/>
          <w:sz w:val="24"/>
          <w:szCs w:val="24"/>
        </w:rPr>
      </w:pPr>
      <w:r w:rsidRPr="00C17951">
        <w:rPr>
          <w:rFonts w:ascii="Garamond" w:hAnsi="Garamond"/>
          <w:sz w:val="24"/>
          <w:szCs w:val="24"/>
        </w:rPr>
        <w:t>th</w:t>
      </w:r>
      <w:r w:rsidR="00370ECA">
        <w:rPr>
          <w:rFonts w:ascii="Garamond" w:hAnsi="Garamond"/>
          <w:sz w:val="24"/>
          <w:szCs w:val="24"/>
        </w:rPr>
        <w:t>e</w:t>
      </w:r>
      <w:r w:rsidRPr="00C17951">
        <w:rPr>
          <w:rFonts w:ascii="Garamond" w:hAnsi="Garamond"/>
          <w:sz w:val="24"/>
          <w:szCs w:val="24"/>
        </w:rPr>
        <w:t xml:space="preserve"> introduction of new principles </w:t>
      </w:r>
      <w:r w:rsidR="00BE7744">
        <w:rPr>
          <w:rFonts w:ascii="Garamond" w:hAnsi="Garamond"/>
          <w:sz w:val="24"/>
          <w:szCs w:val="24"/>
        </w:rPr>
        <w:t>in</w:t>
      </w:r>
      <w:r w:rsidRPr="00C17951">
        <w:rPr>
          <w:rFonts w:ascii="Garamond" w:hAnsi="Garamond"/>
          <w:sz w:val="24"/>
          <w:szCs w:val="24"/>
        </w:rPr>
        <w:t xml:space="preserve"> the criteria </w:t>
      </w:r>
      <w:r w:rsidR="00BE7744">
        <w:rPr>
          <w:rFonts w:ascii="Garamond" w:hAnsi="Garamond"/>
          <w:sz w:val="24"/>
          <w:szCs w:val="24"/>
        </w:rPr>
        <w:t>for the</w:t>
      </w:r>
      <w:r w:rsidRPr="00C17951">
        <w:rPr>
          <w:rFonts w:ascii="Garamond" w:hAnsi="Garamond"/>
          <w:sz w:val="24"/>
          <w:szCs w:val="24"/>
        </w:rPr>
        <w:t xml:space="preserve"> evaluation of </w:t>
      </w:r>
      <w:r w:rsidR="00021B30">
        <w:rPr>
          <w:rFonts w:ascii="Garamond" w:hAnsi="Garamond"/>
          <w:sz w:val="24"/>
          <w:szCs w:val="24"/>
        </w:rPr>
        <w:t>bids</w:t>
      </w:r>
      <w:r w:rsidRPr="00C17951">
        <w:rPr>
          <w:rFonts w:ascii="Garamond" w:hAnsi="Garamond"/>
          <w:sz w:val="24"/>
          <w:szCs w:val="24"/>
        </w:rPr>
        <w:t xml:space="preserve"> </w:t>
      </w:r>
      <w:r w:rsidR="00C17951">
        <w:rPr>
          <w:rFonts w:ascii="Garamond" w:hAnsi="Garamond"/>
          <w:sz w:val="24"/>
          <w:szCs w:val="24"/>
        </w:rPr>
        <w:t>–</w:t>
      </w:r>
      <w:r w:rsidRPr="00C17951">
        <w:rPr>
          <w:rFonts w:ascii="Garamond" w:hAnsi="Garamond"/>
          <w:sz w:val="24"/>
          <w:szCs w:val="24"/>
        </w:rPr>
        <w:t xml:space="preserve"> </w:t>
      </w:r>
      <w:r w:rsidR="00C17951">
        <w:rPr>
          <w:rFonts w:ascii="Garamond" w:hAnsi="Garamond"/>
          <w:sz w:val="24"/>
          <w:szCs w:val="24"/>
        </w:rPr>
        <w:t xml:space="preserve">economically the </w:t>
      </w:r>
      <w:r w:rsidRPr="00C17951">
        <w:rPr>
          <w:rFonts w:ascii="Garamond" w:hAnsi="Garamond"/>
          <w:sz w:val="24"/>
          <w:szCs w:val="24"/>
        </w:rPr>
        <w:t xml:space="preserve">most </w:t>
      </w:r>
      <w:r w:rsidR="00C17951">
        <w:rPr>
          <w:rFonts w:ascii="Garamond" w:hAnsi="Garamond"/>
          <w:sz w:val="24"/>
          <w:szCs w:val="24"/>
        </w:rPr>
        <w:t xml:space="preserve">advantageous bid  </w:t>
      </w:r>
      <w:r w:rsidRPr="00C17951">
        <w:rPr>
          <w:rFonts w:ascii="Garamond" w:hAnsi="Garamond"/>
          <w:sz w:val="24"/>
          <w:szCs w:val="24"/>
        </w:rPr>
        <w:t xml:space="preserve">becomes the only criterion for </w:t>
      </w:r>
      <w:r w:rsidR="00BE7744">
        <w:rPr>
          <w:rFonts w:ascii="Garamond" w:hAnsi="Garamond"/>
          <w:sz w:val="24"/>
          <w:szCs w:val="24"/>
        </w:rPr>
        <w:t xml:space="preserve">the </w:t>
      </w:r>
      <w:r w:rsidRPr="00C17951">
        <w:rPr>
          <w:rFonts w:ascii="Garamond" w:hAnsi="Garamond"/>
          <w:sz w:val="24"/>
          <w:szCs w:val="24"/>
        </w:rPr>
        <w:t xml:space="preserve">selection </w:t>
      </w:r>
      <w:r w:rsidR="00C17951">
        <w:rPr>
          <w:rFonts w:ascii="Garamond" w:hAnsi="Garamond"/>
          <w:sz w:val="24"/>
          <w:szCs w:val="24"/>
        </w:rPr>
        <w:t>of the most advantageous bid</w:t>
      </w:r>
      <w:r w:rsidRPr="00C17951">
        <w:rPr>
          <w:rFonts w:ascii="Garamond" w:hAnsi="Garamond"/>
          <w:sz w:val="24"/>
          <w:szCs w:val="24"/>
        </w:rPr>
        <w:t xml:space="preserve">;         </w:t>
      </w:r>
    </w:p>
    <w:p w:rsidR="004D1343" w:rsidRPr="00C17951" w:rsidRDefault="004D1343" w:rsidP="00C17951">
      <w:pPr>
        <w:pStyle w:val="ListParagraph"/>
        <w:numPr>
          <w:ilvl w:val="0"/>
          <w:numId w:val="4"/>
        </w:numPr>
        <w:jc w:val="both"/>
        <w:rPr>
          <w:rFonts w:ascii="Garamond" w:hAnsi="Garamond"/>
          <w:sz w:val="24"/>
          <w:szCs w:val="24"/>
        </w:rPr>
      </w:pPr>
      <w:r w:rsidRPr="00C17951">
        <w:rPr>
          <w:rFonts w:ascii="Garamond" w:hAnsi="Garamond"/>
          <w:sz w:val="24"/>
          <w:szCs w:val="24"/>
        </w:rPr>
        <w:t xml:space="preserve">termination of the public procurement contract, amendments to the public procurement contract and execution of the public procurement contract </w:t>
      </w:r>
      <w:r w:rsidR="00021B30">
        <w:rPr>
          <w:rFonts w:ascii="Garamond" w:hAnsi="Garamond"/>
          <w:sz w:val="24"/>
          <w:szCs w:val="24"/>
        </w:rPr>
        <w:t xml:space="preserve">have </w:t>
      </w:r>
      <w:r w:rsidRPr="00C17951">
        <w:rPr>
          <w:rFonts w:ascii="Garamond" w:hAnsi="Garamond"/>
          <w:sz w:val="24"/>
          <w:szCs w:val="24"/>
        </w:rPr>
        <w:t xml:space="preserve">for the first time </w:t>
      </w:r>
      <w:r w:rsidR="00021B30">
        <w:rPr>
          <w:rFonts w:ascii="Garamond" w:hAnsi="Garamond"/>
          <w:sz w:val="24"/>
          <w:szCs w:val="24"/>
        </w:rPr>
        <w:t>been standardis</w:t>
      </w:r>
      <w:r w:rsidRPr="00C17951">
        <w:rPr>
          <w:rFonts w:ascii="Garamond" w:hAnsi="Garamond"/>
          <w:sz w:val="24"/>
          <w:szCs w:val="24"/>
        </w:rPr>
        <w:t xml:space="preserve">ed </w:t>
      </w:r>
      <w:r w:rsidR="00021B30">
        <w:rPr>
          <w:rFonts w:ascii="Garamond" w:hAnsi="Garamond"/>
          <w:sz w:val="24"/>
          <w:szCs w:val="24"/>
        </w:rPr>
        <w:t>under</w:t>
      </w:r>
      <w:r w:rsidRPr="00C17951">
        <w:rPr>
          <w:rFonts w:ascii="Garamond" w:hAnsi="Garamond"/>
          <w:sz w:val="24"/>
          <w:szCs w:val="24"/>
        </w:rPr>
        <w:t xml:space="preserve"> the public procurement legislation;         </w:t>
      </w:r>
    </w:p>
    <w:p w:rsidR="004D1343" w:rsidRPr="00FB743F" w:rsidRDefault="00FB743F" w:rsidP="00FB743F">
      <w:pPr>
        <w:pStyle w:val="ListParagraph"/>
        <w:numPr>
          <w:ilvl w:val="0"/>
          <w:numId w:val="4"/>
        </w:numPr>
        <w:jc w:val="both"/>
        <w:rPr>
          <w:rFonts w:ascii="Garamond" w:hAnsi="Garamond"/>
          <w:sz w:val="24"/>
          <w:szCs w:val="24"/>
        </w:rPr>
      </w:pPr>
      <w:r>
        <w:rPr>
          <w:rFonts w:ascii="Garamond" w:hAnsi="Garamond"/>
          <w:sz w:val="24"/>
          <w:szCs w:val="24"/>
        </w:rPr>
        <w:t>contract management</w:t>
      </w:r>
      <w:r w:rsidR="004D1343" w:rsidRPr="00FB743F">
        <w:rPr>
          <w:rFonts w:ascii="Garamond" w:hAnsi="Garamond"/>
          <w:sz w:val="24"/>
          <w:szCs w:val="24"/>
        </w:rPr>
        <w:t>, for the first time</w:t>
      </w:r>
      <w:r>
        <w:rPr>
          <w:rFonts w:ascii="Garamond" w:hAnsi="Garamond"/>
          <w:sz w:val="24"/>
          <w:szCs w:val="24"/>
        </w:rPr>
        <w:t xml:space="preserve"> </w:t>
      </w:r>
      <w:r w:rsidR="00021B30">
        <w:rPr>
          <w:rFonts w:ascii="Garamond" w:hAnsi="Garamond"/>
          <w:sz w:val="24"/>
          <w:szCs w:val="24"/>
        </w:rPr>
        <w:t xml:space="preserve">to </w:t>
      </w:r>
      <w:r>
        <w:rPr>
          <w:rFonts w:ascii="Garamond" w:hAnsi="Garamond"/>
          <w:sz w:val="24"/>
          <w:szCs w:val="24"/>
        </w:rPr>
        <w:t>be</w:t>
      </w:r>
      <w:r w:rsidR="004D1343" w:rsidRPr="00FB743F">
        <w:rPr>
          <w:rFonts w:ascii="Garamond" w:hAnsi="Garamond"/>
          <w:sz w:val="24"/>
          <w:szCs w:val="24"/>
        </w:rPr>
        <w:t xml:space="preserve"> regulated through the introduction of obligations for contracting authorities to exercise control of execution of the</w:t>
      </w:r>
      <w:r>
        <w:rPr>
          <w:rFonts w:ascii="Garamond" w:hAnsi="Garamond"/>
          <w:sz w:val="24"/>
          <w:szCs w:val="24"/>
        </w:rPr>
        <w:t xml:space="preserve"> </w:t>
      </w:r>
      <w:r w:rsidR="00021B30">
        <w:rPr>
          <w:rFonts w:ascii="Garamond" w:hAnsi="Garamond"/>
          <w:sz w:val="24"/>
          <w:szCs w:val="24"/>
        </w:rPr>
        <w:t xml:space="preserve">public procurement </w:t>
      </w:r>
      <w:r>
        <w:rPr>
          <w:rFonts w:ascii="Garamond" w:hAnsi="Garamond"/>
          <w:sz w:val="24"/>
          <w:szCs w:val="24"/>
        </w:rPr>
        <w:t>contract</w:t>
      </w:r>
      <w:r w:rsidR="004D1343" w:rsidRPr="00FB743F">
        <w:rPr>
          <w:rFonts w:ascii="Garamond" w:hAnsi="Garamond"/>
          <w:sz w:val="24"/>
          <w:szCs w:val="24"/>
        </w:rPr>
        <w:t xml:space="preserve">, while achieving greater transparency in the </w:t>
      </w:r>
      <w:r w:rsidR="00021B30" w:rsidRPr="00FB743F">
        <w:rPr>
          <w:rFonts w:ascii="Garamond" w:hAnsi="Garamond"/>
          <w:sz w:val="24"/>
          <w:szCs w:val="24"/>
        </w:rPr>
        <w:t xml:space="preserve">execution </w:t>
      </w:r>
      <w:r w:rsidR="004D1343" w:rsidRPr="00FB743F">
        <w:rPr>
          <w:rFonts w:ascii="Garamond" w:hAnsi="Garamond"/>
          <w:sz w:val="24"/>
          <w:szCs w:val="24"/>
        </w:rPr>
        <w:t>of contracts</w:t>
      </w:r>
      <w:r w:rsidR="00021B30">
        <w:rPr>
          <w:rFonts w:ascii="Garamond" w:hAnsi="Garamond"/>
          <w:sz w:val="24"/>
          <w:szCs w:val="24"/>
        </w:rPr>
        <w:t xml:space="preserve">, by publishing </w:t>
      </w:r>
      <w:r w:rsidR="00021B30" w:rsidRPr="00FB743F">
        <w:rPr>
          <w:rFonts w:ascii="Garamond" w:hAnsi="Garamond"/>
          <w:sz w:val="24"/>
          <w:szCs w:val="24"/>
        </w:rPr>
        <w:t xml:space="preserve">execution </w:t>
      </w:r>
      <w:r w:rsidR="00021B30">
        <w:rPr>
          <w:rFonts w:ascii="Garamond" w:hAnsi="Garamond"/>
          <w:sz w:val="24"/>
          <w:szCs w:val="24"/>
        </w:rPr>
        <w:t>reports</w:t>
      </w:r>
      <w:r w:rsidR="004D1343" w:rsidRPr="00FB743F">
        <w:rPr>
          <w:rFonts w:ascii="Garamond" w:hAnsi="Garamond"/>
          <w:sz w:val="24"/>
          <w:szCs w:val="24"/>
        </w:rPr>
        <w:t xml:space="preserve">;         </w:t>
      </w:r>
    </w:p>
    <w:p w:rsidR="004D1343" w:rsidRPr="00FB743F" w:rsidRDefault="004D1343" w:rsidP="00FB743F">
      <w:pPr>
        <w:pStyle w:val="ListParagraph"/>
        <w:numPr>
          <w:ilvl w:val="0"/>
          <w:numId w:val="4"/>
        </w:numPr>
        <w:jc w:val="both"/>
        <w:rPr>
          <w:rFonts w:ascii="Garamond" w:hAnsi="Garamond"/>
          <w:sz w:val="24"/>
          <w:szCs w:val="24"/>
        </w:rPr>
      </w:pPr>
      <w:r w:rsidRPr="00FB743F">
        <w:rPr>
          <w:rFonts w:ascii="Garamond" w:hAnsi="Garamond"/>
          <w:sz w:val="24"/>
          <w:szCs w:val="24"/>
        </w:rPr>
        <w:t xml:space="preserve">exemptions from the application of the Law are more clearly defined in accordance with EU standards;        </w:t>
      </w:r>
      <w:r w:rsidR="00021B30">
        <w:rPr>
          <w:rFonts w:ascii="Garamond" w:hAnsi="Garamond"/>
          <w:sz w:val="24"/>
          <w:szCs w:val="24"/>
        </w:rPr>
        <w:t xml:space="preserve"> </w:t>
      </w:r>
      <w:r w:rsidRPr="00FB743F">
        <w:rPr>
          <w:rFonts w:ascii="Garamond" w:hAnsi="Garamond"/>
          <w:sz w:val="24"/>
          <w:szCs w:val="24"/>
        </w:rPr>
        <w:t xml:space="preserve"> </w:t>
      </w:r>
    </w:p>
    <w:p w:rsidR="004D1343" w:rsidRPr="00FB743F" w:rsidRDefault="004D1343" w:rsidP="00FB743F">
      <w:pPr>
        <w:pStyle w:val="ListParagraph"/>
        <w:numPr>
          <w:ilvl w:val="0"/>
          <w:numId w:val="4"/>
        </w:numPr>
        <w:jc w:val="both"/>
        <w:rPr>
          <w:rFonts w:ascii="Garamond" w:hAnsi="Garamond"/>
          <w:sz w:val="24"/>
          <w:szCs w:val="24"/>
        </w:rPr>
      </w:pPr>
      <w:r w:rsidRPr="00FB743F">
        <w:rPr>
          <w:rFonts w:ascii="Garamond" w:hAnsi="Garamond"/>
          <w:sz w:val="24"/>
          <w:szCs w:val="24"/>
        </w:rPr>
        <w:t xml:space="preserve">protection of rights </w:t>
      </w:r>
      <w:r w:rsidR="00021B30">
        <w:rPr>
          <w:rFonts w:ascii="Garamond" w:hAnsi="Garamond"/>
          <w:sz w:val="24"/>
          <w:szCs w:val="24"/>
        </w:rPr>
        <w:t>as</w:t>
      </w:r>
      <w:r w:rsidRPr="00FB743F">
        <w:rPr>
          <w:rFonts w:ascii="Garamond" w:hAnsi="Garamond"/>
          <w:sz w:val="24"/>
          <w:szCs w:val="24"/>
        </w:rPr>
        <w:t xml:space="preserve"> a corrective mechanism, not to be a barrier to investment development</w:t>
      </w:r>
      <w:r w:rsidR="00BE7744" w:rsidRPr="00BE7744">
        <w:rPr>
          <w:rFonts w:ascii="Garamond" w:hAnsi="Garamond"/>
          <w:sz w:val="24"/>
          <w:szCs w:val="24"/>
        </w:rPr>
        <w:t xml:space="preserve"> </w:t>
      </w:r>
      <w:r w:rsidR="00BE7744" w:rsidRPr="00FB743F">
        <w:rPr>
          <w:rFonts w:ascii="Garamond" w:hAnsi="Garamond"/>
          <w:sz w:val="24"/>
          <w:szCs w:val="24"/>
        </w:rPr>
        <w:t>due to abuse by bidders</w:t>
      </w:r>
      <w:r w:rsidR="00021B30">
        <w:rPr>
          <w:rFonts w:ascii="Garamond" w:hAnsi="Garamond"/>
          <w:sz w:val="24"/>
          <w:szCs w:val="24"/>
        </w:rPr>
        <w:t>,</w:t>
      </w:r>
      <w:r w:rsidRPr="00FB743F">
        <w:rPr>
          <w:rFonts w:ascii="Garamond" w:hAnsi="Garamond"/>
          <w:sz w:val="24"/>
          <w:szCs w:val="24"/>
        </w:rPr>
        <w:t xml:space="preserve"> </w:t>
      </w:r>
      <w:r w:rsidR="00021B30">
        <w:rPr>
          <w:rFonts w:ascii="Garamond" w:hAnsi="Garamond"/>
          <w:sz w:val="24"/>
          <w:szCs w:val="24"/>
        </w:rPr>
        <w:t>while</w:t>
      </w:r>
      <w:r w:rsidRPr="00FB743F">
        <w:rPr>
          <w:rFonts w:ascii="Garamond" w:hAnsi="Garamond"/>
          <w:sz w:val="24"/>
          <w:szCs w:val="24"/>
        </w:rPr>
        <w:t xml:space="preserve"> increasing transparency </w:t>
      </w:r>
      <w:r w:rsidR="00021B30">
        <w:rPr>
          <w:rFonts w:ascii="Garamond" w:hAnsi="Garamond"/>
          <w:sz w:val="24"/>
          <w:szCs w:val="24"/>
        </w:rPr>
        <w:t>through</w:t>
      </w:r>
      <w:r w:rsidRPr="00FB743F">
        <w:rPr>
          <w:rFonts w:ascii="Garamond" w:hAnsi="Garamond"/>
          <w:sz w:val="24"/>
          <w:szCs w:val="24"/>
        </w:rPr>
        <w:t xml:space="preserve"> the publication of decisions of the appellate body through the electronic public procurement system;      </w:t>
      </w:r>
      <w:r w:rsidR="00BE7744">
        <w:rPr>
          <w:rFonts w:ascii="Garamond" w:hAnsi="Garamond"/>
          <w:sz w:val="24"/>
          <w:szCs w:val="24"/>
        </w:rPr>
        <w:t xml:space="preserve"> </w:t>
      </w:r>
      <w:r w:rsidRPr="00FB743F">
        <w:rPr>
          <w:rFonts w:ascii="Garamond" w:hAnsi="Garamond"/>
          <w:sz w:val="24"/>
          <w:szCs w:val="24"/>
        </w:rPr>
        <w:t xml:space="preserve">   </w:t>
      </w:r>
    </w:p>
    <w:p w:rsidR="004D1343" w:rsidRPr="00FB743F" w:rsidRDefault="00021B30" w:rsidP="00FB743F">
      <w:pPr>
        <w:pStyle w:val="ListParagraph"/>
        <w:numPr>
          <w:ilvl w:val="0"/>
          <w:numId w:val="4"/>
        </w:numPr>
        <w:jc w:val="both"/>
        <w:rPr>
          <w:rFonts w:ascii="Garamond" w:hAnsi="Garamond"/>
          <w:sz w:val="24"/>
          <w:szCs w:val="24"/>
        </w:rPr>
      </w:pPr>
      <w:r>
        <w:rPr>
          <w:rFonts w:ascii="Garamond" w:hAnsi="Garamond"/>
          <w:sz w:val="24"/>
          <w:szCs w:val="24"/>
        </w:rPr>
        <w:t>as concerns</w:t>
      </w:r>
      <w:r w:rsidR="004D1343" w:rsidRPr="00FB743F">
        <w:rPr>
          <w:rFonts w:ascii="Garamond" w:hAnsi="Garamond"/>
          <w:sz w:val="24"/>
          <w:szCs w:val="24"/>
        </w:rPr>
        <w:t xml:space="preserve"> supervision, an additional mechanism for monitoring and increasing transparency is envisaged in terms of preparation of the Report for the Government by the Ministry of Finance and Social Welfare - Directorate for Public Procurement Policy, </w:t>
      </w:r>
      <w:r>
        <w:rPr>
          <w:rFonts w:ascii="Garamond" w:hAnsi="Garamond"/>
          <w:sz w:val="24"/>
          <w:szCs w:val="24"/>
        </w:rPr>
        <w:t>by</w:t>
      </w:r>
      <w:r w:rsidR="004D1343" w:rsidRPr="00FB743F">
        <w:rPr>
          <w:rFonts w:ascii="Garamond" w:hAnsi="Garamond"/>
          <w:sz w:val="24"/>
          <w:szCs w:val="24"/>
        </w:rPr>
        <w:t xml:space="preserve"> monitoring public procurement procedures semi-annually </w:t>
      </w:r>
      <w:r w:rsidR="00FB743F">
        <w:rPr>
          <w:rFonts w:ascii="Garamond" w:hAnsi="Garamond"/>
          <w:sz w:val="24"/>
          <w:szCs w:val="24"/>
        </w:rPr>
        <w:t>as well</w:t>
      </w:r>
      <w:r w:rsidR="004D1343" w:rsidRPr="00FB743F">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370ECA">
      <w:pPr>
        <w:jc w:val="both"/>
        <w:rPr>
          <w:rFonts w:ascii="Garamond" w:hAnsi="Garamond"/>
          <w:sz w:val="24"/>
          <w:szCs w:val="24"/>
        </w:rPr>
      </w:pPr>
      <w:r w:rsidRPr="00C32887">
        <w:rPr>
          <w:rFonts w:ascii="Garamond" w:hAnsi="Garamond"/>
          <w:sz w:val="24"/>
          <w:szCs w:val="24"/>
        </w:rPr>
        <w:t>The Law on Public Procurement in the legal sense has changed the way of public procurement</w:t>
      </w:r>
      <w:r w:rsidR="00FB743F">
        <w:rPr>
          <w:rFonts w:ascii="Garamond" w:hAnsi="Garamond"/>
          <w:sz w:val="24"/>
          <w:szCs w:val="24"/>
        </w:rPr>
        <w:t xml:space="preserve"> implementation</w:t>
      </w:r>
      <w:r w:rsidRPr="00C32887">
        <w:rPr>
          <w:rFonts w:ascii="Garamond" w:hAnsi="Garamond"/>
          <w:sz w:val="24"/>
          <w:szCs w:val="24"/>
        </w:rPr>
        <w:t xml:space="preserve">, </w:t>
      </w:r>
      <w:r w:rsidR="0068331E">
        <w:rPr>
          <w:rFonts w:ascii="Garamond" w:hAnsi="Garamond"/>
          <w:sz w:val="24"/>
          <w:szCs w:val="24"/>
        </w:rPr>
        <w:t>while</w:t>
      </w:r>
      <w:r w:rsidRPr="00C32887">
        <w:rPr>
          <w:rFonts w:ascii="Garamond" w:hAnsi="Garamond"/>
          <w:sz w:val="24"/>
          <w:szCs w:val="24"/>
        </w:rPr>
        <w:t xml:space="preserve"> the additional introduction of the electronic public procurement system has completely changed the concept of public procurement in Montenegro. During 2020, in-house testing of the electronic public procurement system was completed, and after the internal verification of the system, training of employees in the Directorate for Public Procurement Policy began</w:t>
      </w:r>
      <w:r w:rsidR="00BE7744">
        <w:rPr>
          <w:rFonts w:ascii="Garamond" w:hAnsi="Garamond"/>
          <w:sz w:val="24"/>
          <w:szCs w:val="24"/>
        </w:rPr>
        <w:t>,</w:t>
      </w:r>
      <w:r w:rsidRPr="00C32887">
        <w:rPr>
          <w:rFonts w:ascii="Garamond" w:hAnsi="Garamond"/>
          <w:sz w:val="24"/>
          <w:szCs w:val="24"/>
        </w:rPr>
        <w:t xml:space="preserve"> in order to prepare support for contracting authorities and bidders for more efficient ap</w:t>
      </w:r>
      <w:r w:rsidR="00BE7744">
        <w:rPr>
          <w:rFonts w:ascii="Garamond" w:hAnsi="Garamond"/>
          <w:sz w:val="24"/>
          <w:szCs w:val="24"/>
        </w:rPr>
        <w:t>plication and use of the new e-</w:t>
      </w:r>
      <w:r w:rsidRPr="00C32887">
        <w:rPr>
          <w:rFonts w:ascii="Garamond" w:hAnsi="Garamond"/>
          <w:sz w:val="24"/>
          <w:szCs w:val="24"/>
        </w:rPr>
        <w:t xml:space="preserve">system. </w:t>
      </w:r>
      <w:r w:rsidR="00B7449F">
        <w:rPr>
          <w:rFonts w:ascii="Garamond" w:hAnsi="Garamond"/>
          <w:sz w:val="24"/>
          <w:szCs w:val="24"/>
        </w:rPr>
        <w:t xml:space="preserve">The </w:t>
      </w:r>
      <w:r w:rsidRPr="00C32887">
        <w:rPr>
          <w:rFonts w:ascii="Garamond" w:hAnsi="Garamond"/>
          <w:sz w:val="24"/>
          <w:szCs w:val="24"/>
        </w:rPr>
        <w:t>ESJN, after intensive preparation during 2020, the training</w:t>
      </w:r>
      <w:r w:rsidR="00B7449F">
        <w:rPr>
          <w:rFonts w:ascii="Garamond" w:hAnsi="Garamond"/>
          <w:sz w:val="24"/>
          <w:szCs w:val="24"/>
        </w:rPr>
        <w:t>s</w:t>
      </w:r>
      <w:r w:rsidRPr="00C32887">
        <w:rPr>
          <w:rFonts w:ascii="Garamond" w:hAnsi="Garamond"/>
          <w:sz w:val="24"/>
          <w:szCs w:val="24"/>
        </w:rPr>
        <w:t xml:space="preserve"> that the Directorate for Public Procurement Policy </w:t>
      </w:r>
      <w:r w:rsidR="00B7449F">
        <w:rPr>
          <w:rFonts w:ascii="Garamond" w:hAnsi="Garamond"/>
          <w:sz w:val="24"/>
          <w:szCs w:val="24"/>
        </w:rPr>
        <w:t>delivered</w:t>
      </w:r>
      <w:r w:rsidRPr="00C32887">
        <w:rPr>
          <w:rFonts w:ascii="Garamond" w:hAnsi="Garamond"/>
          <w:sz w:val="24"/>
          <w:szCs w:val="24"/>
        </w:rPr>
        <w:t xml:space="preserve"> for contracting authorities and bidders, began to be applied </w:t>
      </w:r>
      <w:r w:rsidR="00FB743F">
        <w:rPr>
          <w:rFonts w:ascii="Garamond" w:hAnsi="Garamond"/>
          <w:sz w:val="24"/>
          <w:szCs w:val="24"/>
        </w:rPr>
        <w:t xml:space="preserve">on January 1, 2021. </w:t>
      </w:r>
      <w:r w:rsidR="00B7449F">
        <w:rPr>
          <w:rFonts w:ascii="Garamond" w:hAnsi="Garamond"/>
          <w:sz w:val="24"/>
          <w:szCs w:val="24"/>
        </w:rPr>
        <w:t xml:space="preserve">The </w:t>
      </w:r>
      <w:r w:rsidR="00FB743F">
        <w:rPr>
          <w:rFonts w:ascii="Garamond" w:hAnsi="Garamond"/>
          <w:sz w:val="24"/>
          <w:szCs w:val="24"/>
        </w:rPr>
        <w:t>ESJN</w:t>
      </w:r>
      <w:r w:rsidR="00E539D8">
        <w:rPr>
          <w:rFonts w:ascii="Garamond" w:hAnsi="Garamond"/>
          <w:sz w:val="24"/>
          <w:szCs w:val="24"/>
        </w:rPr>
        <w:t xml:space="preserve"> is the result of</w:t>
      </w:r>
      <w:r w:rsidR="00FB743F">
        <w:rPr>
          <w:rFonts w:ascii="Garamond" w:hAnsi="Garamond"/>
          <w:sz w:val="24"/>
          <w:szCs w:val="24"/>
        </w:rPr>
        <w:t xml:space="preserve"> the </w:t>
      </w:r>
      <w:r w:rsidR="00C13A74">
        <w:rPr>
          <w:rFonts w:ascii="Garamond" w:hAnsi="Garamond"/>
          <w:sz w:val="24"/>
          <w:szCs w:val="24"/>
        </w:rPr>
        <w:t>‘</w:t>
      </w:r>
      <w:r w:rsidRPr="00C32887">
        <w:rPr>
          <w:rFonts w:ascii="Garamond" w:hAnsi="Garamond"/>
          <w:sz w:val="24"/>
          <w:szCs w:val="24"/>
        </w:rPr>
        <w:t xml:space="preserve">Implementation of </w:t>
      </w:r>
      <w:r w:rsidR="00AF4CBE" w:rsidRPr="00C32887">
        <w:rPr>
          <w:rFonts w:ascii="Garamond" w:hAnsi="Garamond"/>
          <w:sz w:val="24"/>
          <w:szCs w:val="24"/>
        </w:rPr>
        <w:t xml:space="preserve">Electronic Public Procurement System </w:t>
      </w:r>
      <w:r w:rsidRPr="00C32887">
        <w:rPr>
          <w:rFonts w:ascii="Garamond" w:hAnsi="Garamond"/>
          <w:sz w:val="24"/>
          <w:szCs w:val="24"/>
        </w:rPr>
        <w:t>in Montenegro</w:t>
      </w:r>
      <w:r w:rsidR="00C13A74">
        <w:rPr>
          <w:rFonts w:ascii="Garamond" w:hAnsi="Garamond"/>
          <w:sz w:val="24"/>
          <w:szCs w:val="24"/>
        </w:rPr>
        <w:t>’</w:t>
      </w:r>
      <w:r w:rsidR="00AF4CBE">
        <w:rPr>
          <w:rFonts w:ascii="Garamond" w:hAnsi="Garamond"/>
          <w:sz w:val="24"/>
          <w:szCs w:val="24"/>
        </w:rPr>
        <w:t xml:space="preserve"> project</w:t>
      </w:r>
      <w:r w:rsidRPr="00C32887">
        <w:rPr>
          <w:rFonts w:ascii="Garamond" w:hAnsi="Garamond"/>
          <w:sz w:val="24"/>
          <w:szCs w:val="24"/>
        </w:rPr>
        <w:t xml:space="preserve">, financed under the IPA 2014 assistance of the European Union, started </w:t>
      </w:r>
      <w:r w:rsidR="00E539D8">
        <w:rPr>
          <w:rFonts w:ascii="Garamond" w:hAnsi="Garamond"/>
          <w:sz w:val="24"/>
          <w:szCs w:val="24"/>
        </w:rPr>
        <w:t>on 01 December 2018.</w:t>
      </w:r>
    </w:p>
    <w:p w:rsidR="004D1343" w:rsidRPr="00C32887" w:rsidRDefault="004D1343" w:rsidP="004D1343">
      <w:pPr>
        <w:rPr>
          <w:rFonts w:ascii="Garamond" w:hAnsi="Garamond"/>
          <w:sz w:val="24"/>
          <w:szCs w:val="24"/>
        </w:rPr>
      </w:pPr>
    </w:p>
    <w:p w:rsidR="004D1343" w:rsidRPr="00C32887" w:rsidRDefault="004D1343" w:rsidP="00E539D8">
      <w:pPr>
        <w:jc w:val="both"/>
        <w:rPr>
          <w:rFonts w:ascii="Garamond" w:hAnsi="Garamond"/>
          <w:sz w:val="24"/>
          <w:szCs w:val="24"/>
        </w:rPr>
      </w:pPr>
      <w:r w:rsidRPr="00C32887">
        <w:rPr>
          <w:rFonts w:ascii="Garamond" w:hAnsi="Garamond"/>
          <w:sz w:val="24"/>
          <w:szCs w:val="24"/>
        </w:rPr>
        <w:t xml:space="preserve">Bylaws accompanying the new Law (20 in total) were prepared and adopted in order for the new </w:t>
      </w:r>
      <w:r w:rsidR="00E539D8">
        <w:rPr>
          <w:rFonts w:ascii="Garamond" w:hAnsi="Garamond"/>
          <w:sz w:val="24"/>
          <w:szCs w:val="24"/>
        </w:rPr>
        <w:t>Law</w:t>
      </w:r>
      <w:r w:rsidRPr="00C32887">
        <w:rPr>
          <w:rFonts w:ascii="Garamond" w:hAnsi="Garamond"/>
          <w:sz w:val="24"/>
          <w:szCs w:val="24"/>
        </w:rPr>
        <w:t xml:space="preserve"> to come into force. The </w:t>
      </w:r>
      <w:r w:rsidR="00B7449F">
        <w:rPr>
          <w:rFonts w:ascii="Garamond" w:hAnsi="Garamond"/>
          <w:sz w:val="24"/>
          <w:szCs w:val="24"/>
        </w:rPr>
        <w:t>bylaws</w:t>
      </w:r>
      <w:r w:rsidRPr="00C32887">
        <w:rPr>
          <w:rFonts w:ascii="Garamond" w:hAnsi="Garamond"/>
          <w:sz w:val="24"/>
          <w:szCs w:val="24"/>
        </w:rPr>
        <w:t xml:space="preserve"> are a further step in transposing the standards of EU directives and improving the public procurement system and are available at the following link: </w:t>
      </w:r>
      <w:hyperlink r:id="rId18" w:history="1">
        <w:r w:rsidR="00E539D8" w:rsidRPr="00A76DDD">
          <w:rPr>
            <w:rStyle w:val="Hyperlink"/>
            <w:rFonts w:ascii="Garamond" w:hAnsi="Garamond"/>
            <w:sz w:val="24"/>
            <w:szCs w:val="24"/>
          </w:rPr>
          <w:t>http://www.ujn.gov.me/podzakonska-regulativa-zakona-o-javnim-nabavkama-sluzbeni-list-crne- above-br-074-19 /</w:t>
        </w:r>
      </w:hyperlink>
      <w:r w:rsidR="00E539D8">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B7449F" w:rsidP="004D1343">
      <w:pPr>
        <w:rPr>
          <w:rFonts w:ascii="Garamond" w:hAnsi="Garamond"/>
          <w:sz w:val="24"/>
          <w:szCs w:val="24"/>
        </w:rPr>
      </w:pPr>
      <w:r>
        <w:rPr>
          <w:rFonts w:ascii="Garamond" w:hAnsi="Garamond"/>
          <w:sz w:val="24"/>
          <w:szCs w:val="24"/>
        </w:rPr>
        <w:t>As regards</w:t>
      </w:r>
      <w:r w:rsidR="004D1343" w:rsidRPr="00C32887">
        <w:rPr>
          <w:rFonts w:ascii="Garamond" w:hAnsi="Garamond"/>
          <w:sz w:val="24"/>
          <w:szCs w:val="24"/>
        </w:rPr>
        <w:t xml:space="preserve"> bylaws, the following is </w:t>
      </w:r>
      <w:r>
        <w:rPr>
          <w:rFonts w:ascii="Garamond" w:hAnsi="Garamond"/>
          <w:sz w:val="24"/>
          <w:szCs w:val="24"/>
        </w:rPr>
        <w:t>noted</w:t>
      </w:r>
      <w:r w:rsidR="004D1343" w:rsidRPr="00C32887">
        <w:rPr>
          <w:rFonts w:ascii="Garamond" w:hAnsi="Garamond"/>
          <w:sz w:val="24"/>
          <w:szCs w:val="24"/>
        </w:rPr>
        <w:t xml:space="preserve"> in particular:</w:t>
      </w:r>
    </w:p>
    <w:p w:rsidR="004D1343" w:rsidRPr="00C32887" w:rsidRDefault="004D1343" w:rsidP="004D1343">
      <w:pPr>
        <w:rPr>
          <w:rFonts w:ascii="Garamond" w:hAnsi="Garamond"/>
          <w:sz w:val="24"/>
          <w:szCs w:val="24"/>
        </w:rPr>
      </w:pPr>
    </w:p>
    <w:p w:rsidR="004D1343" w:rsidRPr="00E539D8" w:rsidRDefault="004D1343" w:rsidP="00E539D8">
      <w:pPr>
        <w:pStyle w:val="ListParagraph"/>
        <w:numPr>
          <w:ilvl w:val="0"/>
          <w:numId w:val="4"/>
        </w:numPr>
        <w:jc w:val="both"/>
        <w:rPr>
          <w:rFonts w:ascii="Garamond" w:hAnsi="Garamond"/>
          <w:sz w:val="24"/>
          <w:szCs w:val="24"/>
        </w:rPr>
      </w:pPr>
      <w:r w:rsidRPr="00E539D8">
        <w:rPr>
          <w:rFonts w:ascii="Garamond" w:hAnsi="Garamond"/>
          <w:sz w:val="24"/>
          <w:szCs w:val="24"/>
        </w:rPr>
        <w:t xml:space="preserve">With the aim of regulating the manner of procurement in the field of defense and security, for the first time a bylaw </w:t>
      </w:r>
      <w:r w:rsidR="00E539D8">
        <w:rPr>
          <w:rFonts w:ascii="Garamond" w:hAnsi="Garamond"/>
          <w:sz w:val="24"/>
          <w:szCs w:val="24"/>
        </w:rPr>
        <w:t xml:space="preserve">was adopted </w:t>
      </w:r>
      <w:r w:rsidRPr="00E539D8">
        <w:rPr>
          <w:rFonts w:ascii="Garamond" w:hAnsi="Garamond"/>
          <w:sz w:val="24"/>
          <w:szCs w:val="24"/>
        </w:rPr>
        <w:t>called the Decree on the list of military equipment and products, procedure and manner of conducting public procurement in the</w:t>
      </w:r>
      <w:r w:rsidR="00E539D8">
        <w:rPr>
          <w:rFonts w:ascii="Garamond" w:hAnsi="Garamond"/>
          <w:sz w:val="24"/>
          <w:szCs w:val="24"/>
        </w:rPr>
        <w:t xml:space="preserve"> field of defense and security </w:t>
      </w:r>
      <w:r w:rsidR="00B7449F">
        <w:rPr>
          <w:rFonts w:ascii="Garamond" w:hAnsi="Garamond"/>
          <w:sz w:val="24"/>
          <w:szCs w:val="24"/>
        </w:rPr>
        <w:t>(</w:t>
      </w:r>
      <w:r w:rsidR="00E539D8">
        <w:rPr>
          <w:rFonts w:ascii="Garamond" w:hAnsi="Garamond"/>
          <w:sz w:val="24"/>
          <w:szCs w:val="24"/>
        </w:rPr>
        <w:t>Official Gazette of Montenegro</w:t>
      </w:r>
      <w:r w:rsidRPr="00E539D8">
        <w:rPr>
          <w:rFonts w:ascii="Garamond" w:hAnsi="Garamond"/>
          <w:sz w:val="24"/>
          <w:szCs w:val="24"/>
        </w:rPr>
        <w:t xml:space="preserve">, </w:t>
      </w:r>
      <w:r w:rsidR="00B7449F" w:rsidRPr="00E539D8">
        <w:rPr>
          <w:rFonts w:ascii="Garamond" w:hAnsi="Garamond"/>
          <w:sz w:val="24"/>
          <w:szCs w:val="24"/>
        </w:rPr>
        <w:t>No</w:t>
      </w:r>
      <w:r w:rsidRPr="00E539D8">
        <w:rPr>
          <w:rFonts w:ascii="Garamond" w:hAnsi="Garamond"/>
          <w:sz w:val="24"/>
          <w:szCs w:val="24"/>
        </w:rPr>
        <w:t xml:space="preserve">. 076/20), which systematically regulates procurement in the field of defense and security in accordance with the Directives of the European Union.         </w:t>
      </w:r>
    </w:p>
    <w:p w:rsidR="004D1343" w:rsidRPr="00E539D8" w:rsidRDefault="004D1343" w:rsidP="00E539D8">
      <w:pPr>
        <w:pStyle w:val="ListParagraph"/>
        <w:numPr>
          <w:ilvl w:val="0"/>
          <w:numId w:val="4"/>
        </w:numPr>
        <w:jc w:val="both"/>
        <w:rPr>
          <w:rFonts w:ascii="Garamond" w:hAnsi="Garamond"/>
          <w:sz w:val="24"/>
          <w:szCs w:val="24"/>
        </w:rPr>
      </w:pPr>
      <w:r w:rsidRPr="00E539D8">
        <w:rPr>
          <w:rFonts w:ascii="Garamond" w:hAnsi="Garamond"/>
          <w:sz w:val="24"/>
          <w:szCs w:val="24"/>
        </w:rPr>
        <w:t>A new act regulating simple procurements</w:t>
      </w:r>
      <w:r w:rsidR="00E539D8">
        <w:rPr>
          <w:rFonts w:ascii="Garamond" w:hAnsi="Garamond"/>
          <w:sz w:val="24"/>
          <w:szCs w:val="24"/>
        </w:rPr>
        <w:t xml:space="preserve"> </w:t>
      </w:r>
      <w:r w:rsidR="00AF4CBE">
        <w:rPr>
          <w:rFonts w:ascii="Garamond" w:hAnsi="Garamond"/>
          <w:sz w:val="24"/>
          <w:szCs w:val="24"/>
        </w:rPr>
        <w:t>has been</w:t>
      </w:r>
      <w:r w:rsidR="00E539D8">
        <w:rPr>
          <w:rFonts w:ascii="Garamond" w:hAnsi="Garamond"/>
          <w:sz w:val="24"/>
          <w:szCs w:val="24"/>
        </w:rPr>
        <w:t xml:space="preserve"> adopted</w:t>
      </w:r>
      <w:r w:rsidRPr="00E539D8">
        <w:rPr>
          <w:rFonts w:ascii="Garamond" w:hAnsi="Garamond"/>
          <w:sz w:val="24"/>
          <w:szCs w:val="24"/>
        </w:rPr>
        <w:t xml:space="preserve">, </w:t>
      </w:r>
      <w:r w:rsidR="00E539D8">
        <w:rPr>
          <w:rFonts w:ascii="Garamond" w:hAnsi="Garamond"/>
          <w:sz w:val="24"/>
          <w:szCs w:val="24"/>
        </w:rPr>
        <w:t>that is,</w:t>
      </w:r>
      <w:r w:rsidRPr="00E539D8">
        <w:rPr>
          <w:rFonts w:ascii="Garamond" w:hAnsi="Garamond"/>
          <w:sz w:val="24"/>
          <w:szCs w:val="24"/>
        </w:rPr>
        <w:t xml:space="preserve"> procurements whose value is below the thresholds prescribed by the Law - Rulebook on the manner of c</w:t>
      </w:r>
      <w:r w:rsidR="00E539D8">
        <w:rPr>
          <w:rFonts w:ascii="Garamond" w:hAnsi="Garamond"/>
          <w:sz w:val="24"/>
          <w:szCs w:val="24"/>
        </w:rPr>
        <w:t>onducting simple procurements (Official Gazette of Montenegro</w:t>
      </w:r>
      <w:r w:rsidRPr="00E539D8">
        <w:rPr>
          <w:rFonts w:ascii="Garamond" w:hAnsi="Garamond"/>
          <w:sz w:val="24"/>
          <w:szCs w:val="24"/>
        </w:rPr>
        <w:t xml:space="preserve">, No. 102/20), which repealed more than 650 individual acts of the contracting authorities. In accordance with the same act, simple procurements are regulated in a unique </w:t>
      </w:r>
      <w:proofErr w:type="gramStart"/>
      <w:r w:rsidRPr="00E539D8">
        <w:rPr>
          <w:rFonts w:ascii="Garamond" w:hAnsi="Garamond"/>
          <w:sz w:val="24"/>
          <w:szCs w:val="24"/>
        </w:rPr>
        <w:t>way,</w:t>
      </w:r>
      <w:proofErr w:type="gramEnd"/>
      <w:r w:rsidRPr="00E539D8">
        <w:rPr>
          <w:rFonts w:ascii="Garamond" w:hAnsi="Garamond"/>
          <w:sz w:val="24"/>
          <w:szCs w:val="24"/>
        </w:rPr>
        <w:t xml:space="preserve"> they are initiated exclusively by publication through the elect</w:t>
      </w:r>
      <w:r w:rsidR="006E55D3">
        <w:rPr>
          <w:rFonts w:ascii="Garamond" w:hAnsi="Garamond"/>
          <w:sz w:val="24"/>
          <w:szCs w:val="24"/>
        </w:rPr>
        <w:t>ronic public procurement system. C</w:t>
      </w:r>
      <w:r w:rsidRPr="00E539D8">
        <w:rPr>
          <w:rFonts w:ascii="Garamond" w:hAnsi="Garamond"/>
          <w:sz w:val="24"/>
          <w:szCs w:val="24"/>
        </w:rPr>
        <w:t xml:space="preserve">ontracting authorities are obliged to publish all acts related to this type of procurement, </w:t>
      </w:r>
      <w:r w:rsidR="006E55D3">
        <w:rPr>
          <w:rFonts w:ascii="Garamond" w:hAnsi="Garamond"/>
          <w:sz w:val="24"/>
          <w:szCs w:val="24"/>
        </w:rPr>
        <w:t xml:space="preserve">which significantly improved </w:t>
      </w:r>
      <w:r w:rsidRPr="00E539D8">
        <w:rPr>
          <w:rFonts w:ascii="Garamond" w:hAnsi="Garamond"/>
          <w:sz w:val="24"/>
          <w:szCs w:val="24"/>
        </w:rPr>
        <w:t xml:space="preserve">the scope of transparency </w:t>
      </w:r>
      <w:r w:rsidR="00E539D8">
        <w:rPr>
          <w:rFonts w:ascii="Garamond" w:hAnsi="Garamond"/>
          <w:sz w:val="24"/>
          <w:szCs w:val="24"/>
        </w:rPr>
        <w:t>and</w:t>
      </w:r>
      <w:r w:rsidRPr="00E539D8">
        <w:rPr>
          <w:rFonts w:ascii="Garamond" w:hAnsi="Garamond"/>
          <w:sz w:val="24"/>
          <w:szCs w:val="24"/>
        </w:rPr>
        <w:t xml:space="preserve"> participation of economic entities in simple procurements.         </w:t>
      </w:r>
    </w:p>
    <w:p w:rsidR="004D1343" w:rsidRPr="00E539D8" w:rsidRDefault="004D1343" w:rsidP="00E539D8">
      <w:pPr>
        <w:pStyle w:val="ListParagraph"/>
        <w:numPr>
          <w:ilvl w:val="0"/>
          <w:numId w:val="4"/>
        </w:numPr>
        <w:jc w:val="both"/>
        <w:rPr>
          <w:rFonts w:ascii="Garamond" w:hAnsi="Garamond"/>
          <w:sz w:val="24"/>
          <w:szCs w:val="24"/>
        </w:rPr>
      </w:pPr>
      <w:r w:rsidRPr="00E539D8">
        <w:rPr>
          <w:rFonts w:ascii="Garamond" w:hAnsi="Garamond"/>
          <w:sz w:val="24"/>
          <w:szCs w:val="24"/>
        </w:rPr>
        <w:t xml:space="preserve">Urgent procurements are conducted through a negotiated procedure without prior publication of a call for tenders in accordance with the Law, which also repealed about 650 individual acts of contracting authorities which regulated emergency procurements in the previous system. In this way, a unique principle and procedure for </w:t>
      </w:r>
      <w:r w:rsidR="006E55D3" w:rsidRPr="00E539D8">
        <w:rPr>
          <w:rFonts w:ascii="Garamond" w:hAnsi="Garamond"/>
          <w:sz w:val="24"/>
          <w:szCs w:val="24"/>
        </w:rPr>
        <w:t xml:space="preserve">urgency </w:t>
      </w:r>
      <w:r w:rsidRPr="00E539D8">
        <w:rPr>
          <w:rFonts w:ascii="Garamond" w:hAnsi="Garamond"/>
          <w:sz w:val="24"/>
          <w:szCs w:val="24"/>
        </w:rPr>
        <w:t xml:space="preserve">procurement </w:t>
      </w:r>
      <w:r w:rsidR="006E55D3">
        <w:rPr>
          <w:rFonts w:ascii="Garamond" w:hAnsi="Garamond"/>
          <w:sz w:val="24"/>
          <w:szCs w:val="24"/>
        </w:rPr>
        <w:t>has been established</w:t>
      </w:r>
      <w:r w:rsidRPr="00E539D8">
        <w:rPr>
          <w:rFonts w:ascii="Garamond" w:hAnsi="Garamond"/>
          <w:sz w:val="24"/>
          <w:szCs w:val="24"/>
        </w:rPr>
        <w:t xml:space="preserve">, in accordance with EU regulations.         </w:t>
      </w:r>
    </w:p>
    <w:p w:rsidR="004D1343" w:rsidRPr="00C32887" w:rsidRDefault="004D1343" w:rsidP="004D1343">
      <w:pPr>
        <w:rPr>
          <w:rFonts w:ascii="Garamond" w:hAnsi="Garamond"/>
          <w:sz w:val="24"/>
          <w:szCs w:val="24"/>
        </w:rPr>
      </w:pPr>
    </w:p>
    <w:p w:rsidR="004D1343" w:rsidRPr="00C32887" w:rsidRDefault="004D1343" w:rsidP="000257FD">
      <w:pPr>
        <w:jc w:val="both"/>
        <w:rPr>
          <w:rFonts w:ascii="Garamond" w:hAnsi="Garamond"/>
          <w:sz w:val="24"/>
          <w:szCs w:val="24"/>
        </w:rPr>
      </w:pPr>
      <w:r w:rsidRPr="00C32887">
        <w:rPr>
          <w:rFonts w:ascii="Garamond" w:hAnsi="Garamond"/>
          <w:sz w:val="24"/>
          <w:szCs w:val="24"/>
        </w:rPr>
        <w:t>After a number of years of harmoni</w:t>
      </w:r>
      <w:r w:rsidR="00F254DD">
        <w:rPr>
          <w:rFonts w:ascii="Garamond" w:hAnsi="Garamond"/>
          <w:sz w:val="24"/>
          <w:szCs w:val="24"/>
        </w:rPr>
        <w:t>sation</w:t>
      </w:r>
      <w:r w:rsidRPr="00C32887">
        <w:rPr>
          <w:rFonts w:ascii="Garamond" w:hAnsi="Garamond"/>
          <w:sz w:val="24"/>
          <w:szCs w:val="24"/>
        </w:rPr>
        <w:t xml:space="preserve"> of the legal framework in the field of concessions and public-private partnership, the </w:t>
      </w:r>
      <w:r w:rsidR="006E55D3" w:rsidRPr="00C32887">
        <w:rPr>
          <w:rFonts w:ascii="Garamond" w:hAnsi="Garamond"/>
          <w:sz w:val="24"/>
          <w:szCs w:val="24"/>
        </w:rPr>
        <w:t xml:space="preserve">Public-Private Partnership </w:t>
      </w:r>
      <w:r w:rsidRPr="00C32887">
        <w:rPr>
          <w:rFonts w:ascii="Garamond" w:hAnsi="Garamond"/>
          <w:sz w:val="24"/>
          <w:szCs w:val="24"/>
        </w:rPr>
        <w:t xml:space="preserve">Law (Official Gazette of Montenegro, No. 073/19, available on the website www.ujn.gov.me) was adopted. The law reflects the standards </w:t>
      </w:r>
      <w:r w:rsidR="000257FD">
        <w:rPr>
          <w:rFonts w:ascii="Garamond" w:hAnsi="Garamond"/>
          <w:sz w:val="24"/>
          <w:szCs w:val="24"/>
        </w:rPr>
        <w:t>of Directive 2014/23/</w:t>
      </w:r>
      <w:r w:rsidRPr="00C32887">
        <w:rPr>
          <w:rFonts w:ascii="Garamond" w:hAnsi="Garamond"/>
          <w:sz w:val="24"/>
          <w:szCs w:val="24"/>
        </w:rPr>
        <w:t xml:space="preserve">EU of the European Parliament and of the Council of 26 February 2014 on the award of concession contracts. By-laws in this area were adopted and published in the Official Gazette of Montenegro, and are available at the following link: </w:t>
      </w:r>
      <w:hyperlink r:id="rId19" w:history="1">
        <w:r w:rsidR="000257FD" w:rsidRPr="00A76DDD">
          <w:rPr>
            <w:rStyle w:val="Hyperlink"/>
            <w:rFonts w:ascii="Garamond" w:hAnsi="Garamond"/>
            <w:sz w:val="24"/>
            <w:szCs w:val="24"/>
          </w:rPr>
          <w:t>http://www.ujn.gov.me/podzakonska-regulativa-zakona-o-javno-privatnom-partnerstvu-sluzbeni- list-crne-gore-br-73-19 /</w:t>
        </w:r>
      </w:hyperlink>
      <w:r w:rsidR="000257FD">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0257FD">
      <w:pPr>
        <w:jc w:val="both"/>
        <w:rPr>
          <w:rFonts w:ascii="Garamond" w:hAnsi="Garamond"/>
          <w:sz w:val="24"/>
          <w:szCs w:val="24"/>
        </w:rPr>
      </w:pPr>
      <w:r w:rsidRPr="00C32887">
        <w:rPr>
          <w:rFonts w:ascii="Garamond" w:hAnsi="Garamond"/>
          <w:sz w:val="24"/>
          <w:szCs w:val="24"/>
        </w:rPr>
        <w:t xml:space="preserve">In the reporting period, in order to meet the final criteria from the negotiating Chapter 5 - Public Procurement, the development of the </w:t>
      </w:r>
      <w:r w:rsidR="000257FD" w:rsidRPr="000257FD">
        <w:rPr>
          <w:rFonts w:ascii="Garamond" w:hAnsi="Garamond"/>
          <w:b/>
          <w:sz w:val="24"/>
          <w:szCs w:val="24"/>
        </w:rPr>
        <w:t xml:space="preserve">2021-2025 </w:t>
      </w:r>
      <w:r w:rsidRPr="000257FD">
        <w:rPr>
          <w:rFonts w:ascii="Garamond" w:hAnsi="Garamond"/>
          <w:b/>
          <w:sz w:val="24"/>
          <w:szCs w:val="24"/>
        </w:rPr>
        <w:t xml:space="preserve">Strategy for Improving Public Procurement Policy and Public-Private Partnership </w:t>
      </w:r>
      <w:r w:rsidR="000257FD">
        <w:rPr>
          <w:rFonts w:ascii="Garamond" w:hAnsi="Garamond"/>
          <w:sz w:val="24"/>
          <w:szCs w:val="24"/>
        </w:rPr>
        <w:t>was started</w:t>
      </w:r>
      <w:r w:rsidRPr="00C32887">
        <w:rPr>
          <w:rFonts w:ascii="Garamond" w:hAnsi="Garamond"/>
          <w:sz w:val="24"/>
          <w:szCs w:val="24"/>
        </w:rPr>
        <w:t xml:space="preserve">, including the </w:t>
      </w:r>
      <w:r w:rsidR="00AF4CBE" w:rsidRPr="00C32887">
        <w:rPr>
          <w:rFonts w:ascii="Garamond" w:hAnsi="Garamond"/>
          <w:sz w:val="24"/>
          <w:szCs w:val="24"/>
        </w:rPr>
        <w:t xml:space="preserve">annual </w:t>
      </w:r>
      <w:r w:rsidRPr="00C32887">
        <w:rPr>
          <w:rFonts w:ascii="Garamond" w:hAnsi="Garamond"/>
          <w:sz w:val="24"/>
          <w:szCs w:val="24"/>
        </w:rPr>
        <w:t>Action Plan</w:t>
      </w:r>
      <w:r w:rsidR="00AF4CBE">
        <w:rPr>
          <w:rFonts w:ascii="Garamond" w:hAnsi="Garamond"/>
          <w:sz w:val="24"/>
          <w:szCs w:val="24"/>
        </w:rPr>
        <w:t>s</w:t>
      </w:r>
      <w:r w:rsidRPr="00C32887">
        <w:rPr>
          <w:rFonts w:ascii="Garamond" w:hAnsi="Garamond"/>
          <w:sz w:val="24"/>
          <w:szCs w:val="24"/>
        </w:rPr>
        <w:t xml:space="preserve"> during the period of</w:t>
      </w:r>
      <w:r w:rsidR="000257FD">
        <w:rPr>
          <w:rFonts w:ascii="Garamond" w:hAnsi="Garamond"/>
          <w:sz w:val="24"/>
          <w:szCs w:val="24"/>
        </w:rPr>
        <w:t xml:space="preserve"> implementation of the Strategy</w:t>
      </w:r>
      <w:r w:rsidRPr="00C32887">
        <w:rPr>
          <w:rFonts w:ascii="Garamond" w:hAnsi="Garamond"/>
          <w:sz w:val="24"/>
          <w:szCs w:val="24"/>
        </w:rPr>
        <w:t xml:space="preserve">, which after the public </w:t>
      </w:r>
      <w:r w:rsidR="000257FD">
        <w:rPr>
          <w:rFonts w:ascii="Garamond" w:hAnsi="Garamond"/>
          <w:sz w:val="24"/>
          <w:szCs w:val="24"/>
        </w:rPr>
        <w:t>consultation</w:t>
      </w:r>
      <w:r w:rsidRPr="00C32887">
        <w:rPr>
          <w:rFonts w:ascii="Garamond" w:hAnsi="Garamond"/>
          <w:sz w:val="24"/>
          <w:szCs w:val="24"/>
        </w:rPr>
        <w:t xml:space="preserve"> </w:t>
      </w:r>
      <w:r w:rsidR="00EC074F">
        <w:rPr>
          <w:rFonts w:ascii="Garamond" w:hAnsi="Garamond"/>
          <w:sz w:val="24"/>
          <w:szCs w:val="24"/>
        </w:rPr>
        <w:t xml:space="preserve">will </w:t>
      </w:r>
      <w:r w:rsidRPr="00C32887">
        <w:rPr>
          <w:rFonts w:ascii="Garamond" w:hAnsi="Garamond"/>
          <w:sz w:val="24"/>
          <w:szCs w:val="24"/>
        </w:rPr>
        <w:t>represent a new framework of action in the public procurement system</w:t>
      </w:r>
      <w:r w:rsidR="00AF4CBE">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0257FD">
      <w:pPr>
        <w:jc w:val="both"/>
        <w:rPr>
          <w:rFonts w:ascii="Garamond" w:hAnsi="Garamond"/>
          <w:sz w:val="24"/>
          <w:szCs w:val="24"/>
        </w:rPr>
      </w:pPr>
      <w:r w:rsidRPr="00C32887">
        <w:rPr>
          <w:rFonts w:ascii="Garamond" w:hAnsi="Garamond"/>
          <w:sz w:val="24"/>
          <w:szCs w:val="24"/>
        </w:rPr>
        <w:t>The goal of adopting the strategic document is to reform the public procurement system in order to achieve sustainability, moderni</w:t>
      </w:r>
      <w:r w:rsidR="00F254DD">
        <w:rPr>
          <w:rFonts w:ascii="Garamond" w:hAnsi="Garamond"/>
          <w:sz w:val="24"/>
          <w:szCs w:val="24"/>
        </w:rPr>
        <w:t>sation</w:t>
      </w:r>
      <w:r w:rsidRPr="00C32887">
        <w:rPr>
          <w:rFonts w:ascii="Garamond" w:hAnsi="Garamond"/>
          <w:sz w:val="24"/>
          <w:szCs w:val="24"/>
        </w:rPr>
        <w:t xml:space="preserve">, strengthen efficiency, functionality and strength of the foundations on which the public procurement system is based. The first </w:t>
      </w:r>
      <w:r w:rsidR="00AF4CBE" w:rsidRPr="00C32887">
        <w:rPr>
          <w:rFonts w:ascii="Garamond" w:hAnsi="Garamond"/>
          <w:sz w:val="24"/>
          <w:szCs w:val="24"/>
        </w:rPr>
        <w:t>performance indicator</w:t>
      </w:r>
      <w:r w:rsidRPr="00C32887">
        <w:rPr>
          <w:rFonts w:ascii="Garamond" w:hAnsi="Garamond"/>
          <w:sz w:val="24"/>
          <w:szCs w:val="24"/>
        </w:rPr>
        <w:t>, which refers to the harmoni</w:t>
      </w:r>
      <w:r w:rsidR="00F254DD">
        <w:rPr>
          <w:rFonts w:ascii="Garamond" w:hAnsi="Garamond"/>
          <w:sz w:val="24"/>
          <w:szCs w:val="24"/>
        </w:rPr>
        <w:t>sation</w:t>
      </w:r>
      <w:r w:rsidRPr="00C32887">
        <w:rPr>
          <w:rFonts w:ascii="Garamond" w:hAnsi="Garamond"/>
          <w:sz w:val="24"/>
          <w:szCs w:val="24"/>
        </w:rPr>
        <w:t xml:space="preserve"> and completion of the legislative framework in public procurement procedures with EU legislation, has been met by the adoption and implementation of the Law on Public Procurement.</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0257FD" w:rsidRDefault="000257FD">
      <w:pPr>
        <w:rPr>
          <w:rFonts w:ascii="Garamond" w:hAnsi="Garamond"/>
          <w:sz w:val="24"/>
          <w:szCs w:val="24"/>
        </w:rPr>
      </w:pPr>
      <w:r>
        <w:rPr>
          <w:rFonts w:ascii="Garamond" w:hAnsi="Garamond"/>
          <w:sz w:val="24"/>
          <w:szCs w:val="24"/>
        </w:rPr>
        <w:br w:type="page"/>
      </w:r>
    </w:p>
    <w:p w:rsidR="000257FD" w:rsidRDefault="000257FD" w:rsidP="004D1343">
      <w:pPr>
        <w:rPr>
          <w:rFonts w:ascii="Garamond" w:hAnsi="Garamond"/>
          <w:sz w:val="24"/>
          <w:szCs w:val="24"/>
        </w:rPr>
        <w:sectPr w:rsidR="000257FD" w:rsidSect="00F12354">
          <w:pgSz w:w="12240" w:h="15840"/>
          <w:pgMar w:top="1440" w:right="1440" w:bottom="1440" w:left="1440" w:header="720" w:footer="720" w:gutter="0"/>
          <w:cols w:space="720"/>
          <w:docGrid w:linePitch="360"/>
        </w:sectPr>
      </w:pPr>
    </w:p>
    <w:tbl>
      <w:tblPr>
        <w:tblW w:w="51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93"/>
        <w:gridCol w:w="1281"/>
        <w:gridCol w:w="1281"/>
        <w:gridCol w:w="1282"/>
        <w:gridCol w:w="1181"/>
        <w:gridCol w:w="1282"/>
        <w:gridCol w:w="1282"/>
        <w:gridCol w:w="1410"/>
        <w:gridCol w:w="1312"/>
        <w:gridCol w:w="1246"/>
        <w:gridCol w:w="685"/>
      </w:tblGrid>
      <w:tr w:rsidR="000257FD" w:rsidRPr="000257FD" w:rsidTr="000257FD">
        <w:trPr>
          <w:trHeight w:val="135"/>
        </w:trPr>
        <w:tc>
          <w:tcPr>
            <w:tcW w:w="516" w:type="pct"/>
            <w:vMerge w:val="restart"/>
            <w:vAlign w:val="center"/>
            <w:hideMark/>
          </w:tcPr>
          <w:p w:rsidR="000257FD" w:rsidRPr="000257FD" w:rsidRDefault="00481CF4" w:rsidP="000257FD">
            <w:pPr>
              <w:widowControl/>
              <w:autoSpaceDE/>
              <w:autoSpaceDN/>
              <w:jc w:val="both"/>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 xml:space="preserve">Performance Indicator </w:t>
            </w:r>
            <w:r w:rsidR="000257FD">
              <w:rPr>
                <w:rFonts w:ascii="Garamond" w:eastAsia="Times New Roman" w:hAnsi="Garamond"/>
                <w:b/>
                <w:bCs/>
                <w:sz w:val="18"/>
                <w:szCs w:val="18"/>
                <w:lang w:eastAsia="en-US" w:bidi="ar-SA"/>
              </w:rPr>
              <w:t xml:space="preserve"> </w:t>
            </w:r>
          </w:p>
        </w:tc>
        <w:tc>
          <w:tcPr>
            <w:tcW w:w="475" w:type="pct"/>
            <w:vMerge w:val="restart"/>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Planned</w:t>
            </w:r>
            <w:r w:rsidRPr="000257FD">
              <w:rPr>
                <w:rFonts w:ascii="Garamond" w:eastAsia="Times New Roman" w:hAnsi="Garamond"/>
                <w:b/>
                <w:bCs/>
                <w:sz w:val="18"/>
                <w:szCs w:val="18"/>
                <w:lang w:eastAsia="en-US" w:bidi="ar-SA"/>
              </w:rPr>
              <w:t xml:space="preserve"> 2014</w:t>
            </w:r>
          </w:p>
        </w:tc>
        <w:tc>
          <w:tcPr>
            <w:tcW w:w="950" w:type="pct"/>
            <w:gridSpan w:val="2"/>
            <w:noWrap/>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sidRPr="000257FD">
              <w:rPr>
                <w:rFonts w:ascii="Garamond" w:eastAsia="Times New Roman" w:hAnsi="Garamond"/>
                <w:b/>
                <w:bCs/>
                <w:sz w:val="18"/>
                <w:szCs w:val="18"/>
                <w:lang w:eastAsia="en-US" w:bidi="ar-SA"/>
              </w:rPr>
              <w:t>2017</w:t>
            </w:r>
          </w:p>
        </w:tc>
        <w:tc>
          <w:tcPr>
            <w:tcW w:w="913" w:type="pct"/>
            <w:gridSpan w:val="2"/>
            <w:noWrap/>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sidRPr="000257FD">
              <w:rPr>
                <w:rFonts w:ascii="Garamond" w:eastAsia="Times New Roman" w:hAnsi="Garamond"/>
                <w:b/>
                <w:bCs/>
                <w:sz w:val="18"/>
                <w:szCs w:val="18"/>
                <w:lang w:eastAsia="en-US" w:bidi="ar-SA"/>
              </w:rPr>
              <w:t>2018</w:t>
            </w:r>
          </w:p>
        </w:tc>
        <w:tc>
          <w:tcPr>
            <w:tcW w:w="997" w:type="pct"/>
            <w:gridSpan w:val="2"/>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sidRPr="000257FD">
              <w:rPr>
                <w:rFonts w:ascii="Garamond" w:eastAsia="Times New Roman" w:hAnsi="Garamond"/>
                <w:b/>
                <w:bCs/>
                <w:sz w:val="18"/>
                <w:szCs w:val="18"/>
                <w:lang w:eastAsia="en-US" w:bidi="ar-SA"/>
              </w:rPr>
              <w:t>2019</w:t>
            </w:r>
          </w:p>
        </w:tc>
        <w:tc>
          <w:tcPr>
            <w:tcW w:w="896" w:type="pct"/>
            <w:gridSpan w:val="2"/>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sidRPr="000257FD">
              <w:rPr>
                <w:rFonts w:ascii="Garamond" w:eastAsia="Times New Roman" w:hAnsi="Garamond"/>
                <w:b/>
                <w:bCs/>
                <w:sz w:val="18"/>
                <w:szCs w:val="18"/>
                <w:lang w:eastAsia="en-US" w:bidi="ar-SA"/>
              </w:rPr>
              <w:t>2020</w:t>
            </w:r>
          </w:p>
        </w:tc>
        <w:tc>
          <w:tcPr>
            <w:tcW w:w="251" w:type="pct"/>
            <w:vMerge w:val="restart"/>
            <w:vAlign w:val="center"/>
            <w:hideMark/>
          </w:tcPr>
          <w:p w:rsidR="000257FD" w:rsidRPr="000257FD" w:rsidRDefault="000257FD" w:rsidP="000257FD">
            <w:pPr>
              <w:widowControl/>
              <w:autoSpaceDE/>
              <w:autoSpaceDN/>
              <w:jc w:val="both"/>
              <w:rPr>
                <w:rFonts w:ascii="Garamond" w:eastAsia="Times New Roman" w:hAnsi="Garamond"/>
                <w:b/>
                <w:bCs/>
                <w:sz w:val="18"/>
                <w:szCs w:val="18"/>
                <w:lang w:eastAsia="en-US" w:bidi="ar-SA"/>
              </w:rPr>
            </w:pPr>
            <w:r w:rsidRPr="000257FD">
              <w:rPr>
                <w:rFonts w:ascii="Garamond" w:eastAsia="Times New Roman" w:hAnsi="Garamond"/>
                <w:b/>
                <w:bCs/>
                <w:sz w:val="18"/>
                <w:szCs w:val="18"/>
                <w:lang w:eastAsia="en-US" w:bidi="ar-SA"/>
              </w:rPr>
              <w:t>Trend</w:t>
            </w:r>
          </w:p>
        </w:tc>
      </w:tr>
      <w:tr w:rsidR="000257FD" w:rsidRPr="000257FD" w:rsidTr="000257FD">
        <w:trPr>
          <w:trHeight w:val="156"/>
        </w:trPr>
        <w:tc>
          <w:tcPr>
            <w:tcW w:w="516" w:type="pct"/>
            <w:vMerge/>
            <w:vAlign w:val="center"/>
            <w:hideMark/>
          </w:tcPr>
          <w:p w:rsidR="000257FD" w:rsidRPr="000257FD" w:rsidRDefault="000257FD" w:rsidP="000257FD">
            <w:pPr>
              <w:widowControl/>
              <w:autoSpaceDE/>
              <w:autoSpaceDN/>
              <w:jc w:val="both"/>
              <w:rPr>
                <w:rFonts w:ascii="Garamond" w:eastAsia="Times New Roman" w:hAnsi="Garamond"/>
                <w:b/>
                <w:bCs/>
                <w:sz w:val="18"/>
                <w:szCs w:val="18"/>
                <w:lang w:eastAsia="en-US" w:bidi="ar-SA"/>
              </w:rPr>
            </w:pPr>
          </w:p>
        </w:tc>
        <w:tc>
          <w:tcPr>
            <w:tcW w:w="475" w:type="pct"/>
            <w:vMerge/>
            <w:vAlign w:val="center"/>
            <w:hideMark/>
          </w:tcPr>
          <w:p w:rsidR="000257FD" w:rsidRPr="000257FD" w:rsidRDefault="000257FD" w:rsidP="000257FD">
            <w:pPr>
              <w:widowControl/>
              <w:autoSpaceDE/>
              <w:autoSpaceDN/>
              <w:jc w:val="both"/>
              <w:rPr>
                <w:rFonts w:ascii="Garamond" w:eastAsia="Times New Roman" w:hAnsi="Garamond"/>
                <w:b/>
                <w:bCs/>
                <w:sz w:val="18"/>
                <w:szCs w:val="18"/>
                <w:lang w:eastAsia="en-US" w:bidi="ar-SA"/>
              </w:rPr>
            </w:pPr>
          </w:p>
        </w:tc>
        <w:tc>
          <w:tcPr>
            <w:tcW w:w="475" w:type="pct"/>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Target value</w:t>
            </w:r>
          </w:p>
        </w:tc>
        <w:tc>
          <w:tcPr>
            <w:tcW w:w="475" w:type="pct"/>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 xml:space="preserve">Implemented </w:t>
            </w:r>
          </w:p>
        </w:tc>
        <w:tc>
          <w:tcPr>
            <w:tcW w:w="438" w:type="pct"/>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Target value</w:t>
            </w:r>
          </w:p>
        </w:tc>
        <w:tc>
          <w:tcPr>
            <w:tcW w:w="475" w:type="pct"/>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 xml:space="preserve">Implemented </w:t>
            </w:r>
          </w:p>
        </w:tc>
        <w:tc>
          <w:tcPr>
            <w:tcW w:w="475" w:type="pct"/>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Target value</w:t>
            </w:r>
          </w:p>
        </w:tc>
        <w:tc>
          <w:tcPr>
            <w:tcW w:w="522" w:type="pct"/>
            <w:vAlign w:val="center"/>
            <w:hideMark/>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 xml:space="preserve">Implemented </w:t>
            </w:r>
          </w:p>
        </w:tc>
        <w:tc>
          <w:tcPr>
            <w:tcW w:w="486" w:type="pct"/>
            <w:vAlign w:val="center"/>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Target value</w:t>
            </w:r>
          </w:p>
        </w:tc>
        <w:tc>
          <w:tcPr>
            <w:tcW w:w="410" w:type="pct"/>
            <w:vAlign w:val="center"/>
          </w:tcPr>
          <w:p w:rsidR="000257FD" w:rsidRPr="000257FD" w:rsidRDefault="000257FD" w:rsidP="000257FD">
            <w:pPr>
              <w:widowControl/>
              <w:autoSpaceDE/>
              <w:autoSpaceDN/>
              <w:jc w:val="center"/>
              <w:rPr>
                <w:rFonts w:ascii="Garamond" w:eastAsia="Times New Roman" w:hAnsi="Garamond"/>
                <w:b/>
                <w:bCs/>
                <w:sz w:val="18"/>
                <w:szCs w:val="18"/>
                <w:lang w:eastAsia="en-US" w:bidi="ar-SA"/>
              </w:rPr>
            </w:pPr>
            <w:r>
              <w:rPr>
                <w:rFonts w:ascii="Garamond" w:eastAsia="Times New Roman" w:hAnsi="Garamond"/>
                <w:b/>
                <w:bCs/>
                <w:sz w:val="18"/>
                <w:szCs w:val="18"/>
                <w:lang w:eastAsia="en-US" w:bidi="ar-SA"/>
              </w:rPr>
              <w:t xml:space="preserve">Implemented </w:t>
            </w:r>
          </w:p>
        </w:tc>
        <w:tc>
          <w:tcPr>
            <w:tcW w:w="251" w:type="pct"/>
            <w:vMerge/>
            <w:vAlign w:val="center"/>
            <w:hideMark/>
          </w:tcPr>
          <w:p w:rsidR="000257FD" w:rsidRPr="000257FD" w:rsidRDefault="000257FD" w:rsidP="000257FD">
            <w:pPr>
              <w:widowControl/>
              <w:autoSpaceDE/>
              <w:autoSpaceDN/>
              <w:jc w:val="both"/>
              <w:rPr>
                <w:rFonts w:ascii="Garamond" w:eastAsia="Times New Roman" w:hAnsi="Garamond"/>
                <w:b/>
                <w:bCs/>
                <w:sz w:val="18"/>
                <w:szCs w:val="18"/>
                <w:lang w:eastAsia="en-US" w:bidi="ar-SA"/>
              </w:rPr>
            </w:pPr>
          </w:p>
        </w:tc>
      </w:tr>
      <w:tr w:rsidR="000257FD" w:rsidRPr="000257FD" w:rsidTr="000257FD">
        <w:trPr>
          <w:trHeight w:val="95"/>
        </w:trPr>
        <w:tc>
          <w:tcPr>
            <w:tcW w:w="516" w:type="pct"/>
            <w:vAlign w:val="center"/>
            <w:hideMark/>
          </w:tcPr>
          <w:p w:rsidR="00E42B5F" w:rsidRPr="00E42B5F" w:rsidRDefault="00E42B5F" w:rsidP="00E42B5F">
            <w:pPr>
              <w:pStyle w:val="Default"/>
              <w:rPr>
                <w:rFonts w:ascii="Garamond" w:hAnsi="Garamond"/>
                <w:sz w:val="16"/>
                <w:szCs w:val="16"/>
              </w:rPr>
            </w:pPr>
            <w:r w:rsidRPr="00E42B5F">
              <w:rPr>
                <w:rFonts w:ascii="Garamond" w:hAnsi="Garamond"/>
                <w:sz w:val="16"/>
                <w:szCs w:val="16"/>
              </w:rPr>
              <w:t xml:space="preserve">Level of harmonisation and completeness of the procurement framework in line with the EU acquis </w:t>
            </w:r>
          </w:p>
          <w:p w:rsidR="000257FD" w:rsidRPr="00E42B5F" w:rsidRDefault="000257FD" w:rsidP="000257FD">
            <w:pPr>
              <w:rPr>
                <w:rFonts w:ascii="Garamond" w:eastAsia="Times New Roman" w:hAnsi="Garamond"/>
                <w:color w:val="000000"/>
                <w:sz w:val="16"/>
                <w:szCs w:val="16"/>
                <w:lang w:eastAsia="en-US" w:bidi="ar-SA"/>
              </w:rPr>
            </w:pPr>
          </w:p>
        </w:tc>
        <w:tc>
          <w:tcPr>
            <w:tcW w:w="475"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Open negotiations in the negotiating chapter 5</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Open negotiations in the negotiating chapter 5</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Open negotiations in the negotiating chapter 5</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38"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Further harmoni</w:t>
            </w:r>
            <w:r w:rsidR="00F254DD">
              <w:rPr>
                <w:rFonts w:ascii="Garamond" w:hAnsi="Garamond"/>
                <w:sz w:val="16"/>
                <w:szCs w:val="16"/>
              </w:rPr>
              <w:t>sation</w:t>
            </w:r>
            <w:r w:rsidRPr="000257FD">
              <w:rPr>
                <w:rFonts w:ascii="Garamond" w:hAnsi="Garamond"/>
                <w:sz w:val="16"/>
                <w:szCs w:val="16"/>
              </w:rPr>
              <w:t xml:space="preserve"> with the package of Directives from 2014 in this area</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Open negotiations in the negotiating chapter 5</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tcPr>
          <w:p w:rsidR="000257FD" w:rsidRPr="000257FD" w:rsidRDefault="000257FD" w:rsidP="000257FD">
            <w:pPr>
              <w:rPr>
                <w:rFonts w:ascii="Garamond" w:hAnsi="Garamond"/>
                <w:sz w:val="16"/>
                <w:szCs w:val="16"/>
              </w:rPr>
            </w:pPr>
            <w:r w:rsidRPr="000257FD">
              <w:rPr>
                <w:rFonts w:ascii="Garamond" w:hAnsi="Garamond"/>
                <w:sz w:val="16"/>
                <w:szCs w:val="16"/>
              </w:rPr>
              <w:t>Open negotiations in the negotiating chapter 5</w:t>
            </w:r>
          </w:p>
          <w:p w:rsidR="000257FD" w:rsidRPr="000257FD" w:rsidRDefault="000257FD" w:rsidP="000257FD">
            <w:pPr>
              <w:widowControl/>
              <w:autoSpaceDE/>
              <w:autoSpaceDN/>
              <w:jc w:val="center"/>
              <w:rPr>
                <w:rFonts w:ascii="Garamond" w:eastAsia="游明朝" w:hAnsi="Garamond"/>
                <w:noProof/>
                <w:sz w:val="16"/>
                <w:szCs w:val="16"/>
                <w:lang w:eastAsia="uz-Cyrl-UZ" w:bidi="ar-SA"/>
              </w:rPr>
            </w:pPr>
          </w:p>
        </w:tc>
        <w:tc>
          <w:tcPr>
            <w:tcW w:w="522" w:type="pct"/>
            <w:vAlign w:val="center"/>
          </w:tcPr>
          <w:p w:rsidR="000257FD" w:rsidRPr="000257FD" w:rsidRDefault="000257FD" w:rsidP="000257FD">
            <w:pPr>
              <w:rPr>
                <w:rFonts w:ascii="Garamond" w:hAnsi="Garamond"/>
                <w:sz w:val="16"/>
                <w:szCs w:val="16"/>
              </w:rPr>
            </w:pPr>
            <w:r w:rsidRPr="000257FD">
              <w:rPr>
                <w:rFonts w:ascii="Garamond" w:hAnsi="Garamond"/>
                <w:sz w:val="16"/>
                <w:szCs w:val="16"/>
              </w:rPr>
              <w:t xml:space="preserve">Adoption of </w:t>
            </w:r>
            <w:r w:rsidR="00E42B5F">
              <w:rPr>
                <w:rFonts w:ascii="Garamond" w:hAnsi="Garamond"/>
                <w:sz w:val="16"/>
                <w:szCs w:val="16"/>
              </w:rPr>
              <w:t xml:space="preserve">a new Law on Public Procurement </w:t>
            </w:r>
            <w:r w:rsidRPr="000257FD">
              <w:rPr>
                <w:rFonts w:ascii="Garamond" w:hAnsi="Garamond"/>
                <w:sz w:val="16"/>
                <w:szCs w:val="16"/>
              </w:rPr>
              <w:t>by implementing the provisions in accordance with the new directives</w:t>
            </w:r>
          </w:p>
          <w:p w:rsidR="000257FD" w:rsidRPr="000257FD" w:rsidRDefault="000257FD" w:rsidP="000257FD">
            <w:pPr>
              <w:widowControl/>
              <w:autoSpaceDE/>
              <w:autoSpaceDN/>
              <w:jc w:val="center"/>
              <w:rPr>
                <w:rFonts w:ascii="Garamond" w:eastAsia="游明朝" w:hAnsi="Garamond"/>
                <w:noProof/>
                <w:sz w:val="16"/>
                <w:szCs w:val="16"/>
                <w:lang w:eastAsia="uz-Cyrl-UZ" w:bidi="ar-SA"/>
              </w:rPr>
            </w:pPr>
          </w:p>
        </w:tc>
        <w:tc>
          <w:tcPr>
            <w:tcW w:w="486" w:type="pct"/>
            <w:vAlign w:val="center"/>
          </w:tcPr>
          <w:p w:rsidR="000257FD" w:rsidRPr="000257FD" w:rsidRDefault="000257FD" w:rsidP="000257FD">
            <w:pPr>
              <w:rPr>
                <w:rFonts w:ascii="Garamond" w:hAnsi="Garamond"/>
                <w:sz w:val="16"/>
                <w:szCs w:val="16"/>
              </w:rPr>
            </w:pPr>
            <w:r w:rsidRPr="000257FD">
              <w:rPr>
                <w:rFonts w:ascii="Garamond" w:hAnsi="Garamond"/>
                <w:sz w:val="16"/>
                <w:szCs w:val="16"/>
              </w:rPr>
              <w:t xml:space="preserve">Implemented planned activities </w:t>
            </w:r>
            <w:r w:rsidR="00E42B5F">
              <w:rPr>
                <w:rFonts w:ascii="Garamond" w:hAnsi="Garamond"/>
                <w:sz w:val="16"/>
                <w:szCs w:val="16"/>
              </w:rPr>
              <w:t>under</w:t>
            </w:r>
            <w:r w:rsidRPr="000257FD">
              <w:rPr>
                <w:rFonts w:ascii="Garamond" w:hAnsi="Garamond"/>
                <w:sz w:val="16"/>
                <w:szCs w:val="16"/>
              </w:rPr>
              <w:t xml:space="preserve"> the Accession Programme - Chapter 5.</w:t>
            </w:r>
          </w:p>
          <w:p w:rsidR="000257FD" w:rsidRPr="000257FD" w:rsidRDefault="000257FD" w:rsidP="000257FD">
            <w:pPr>
              <w:widowControl/>
              <w:autoSpaceDE/>
              <w:autoSpaceDN/>
              <w:jc w:val="center"/>
              <w:rPr>
                <w:rFonts w:ascii="Garamond" w:eastAsia="游明朝" w:hAnsi="Garamond"/>
                <w:noProof/>
                <w:sz w:val="16"/>
                <w:szCs w:val="16"/>
                <w:lang w:eastAsia="en-US" w:bidi="ar-SA"/>
              </w:rPr>
            </w:pPr>
          </w:p>
        </w:tc>
        <w:tc>
          <w:tcPr>
            <w:tcW w:w="410" w:type="pct"/>
            <w:vAlign w:val="center"/>
          </w:tcPr>
          <w:p w:rsidR="000257FD" w:rsidRPr="000257FD" w:rsidRDefault="00E42B5F" w:rsidP="000257FD">
            <w:pPr>
              <w:rPr>
                <w:rFonts w:ascii="Garamond" w:hAnsi="Garamond"/>
                <w:sz w:val="16"/>
                <w:szCs w:val="16"/>
              </w:rPr>
            </w:pPr>
            <w:r>
              <w:rPr>
                <w:rFonts w:ascii="Garamond" w:hAnsi="Garamond"/>
                <w:sz w:val="16"/>
                <w:szCs w:val="16"/>
              </w:rPr>
              <w:t>The new Law on Public Procurement</w:t>
            </w:r>
            <w:r w:rsidR="000257FD" w:rsidRPr="000257FD">
              <w:rPr>
                <w:rFonts w:ascii="Garamond" w:hAnsi="Garamond"/>
                <w:sz w:val="16"/>
                <w:szCs w:val="16"/>
              </w:rPr>
              <w:t xml:space="preserve"> was adopted, which came into force on July 7, 2020</w:t>
            </w:r>
          </w:p>
          <w:p w:rsidR="000257FD" w:rsidRPr="000257FD" w:rsidRDefault="000257FD" w:rsidP="000257FD">
            <w:pPr>
              <w:widowControl/>
              <w:autoSpaceDE/>
              <w:autoSpaceDN/>
              <w:jc w:val="center"/>
              <w:rPr>
                <w:rFonts w:ascii="Garamond" w:eastAsia="游明朝" w:hAnsi="Garamond"/>
                <w:noProof/>
                <w:sz w:val="16"/>
                <w:szCs w:val="16"/>
                <w:lang w:eastAsia="en-US" w:bidi="ar-SA"/>
              </w:rPr>
            </w:pPr>
          </w:p>
        </w:tc>
        <w:tc>
          <w:tcPr>
            <w:tcW w:w="251" w:type="pct"/>
            <w:vAlign w:val="center"/>
            <w:hideMark/>
          </w:tcPr>
          <w:p w:rsidR="000257FD" w:rsidRPr="000257FD" w:rsidRDefault="000257FD" w:rsidP="000257FD">
            <w:pPr>
              <w:widowControl/>
              <w:autoSpaceDE/>
              <w:autoSpaceDN/>
              <w:jc w:val="both"/>
              <w:rPr>
                <w:rFonts w:ascii="Garamond" w:eastAsia="Times New Roman" w:hAnsi="Garamond"/>
                <w:i/>
                <w:iCs/>
                <w:color w:val="00B050"/>
                <w:sz w:val="16"/>
                <w:szCs w:val="16"/>
                <w:lang w:eastAsia="en-US" w:bidi="ar-SA"/>
              </w:rPr>
            </w:pPr>
            <w:r w:rsidRPr="000257FD">
              <w:rPr>
                <w:rFonts w:ascii="Garamond" w:eastAsia="游明朝" w:hAnsi="Garamond"/>
                <w:noProof/>
                <w:sz w:val="16"/>
                <w:szCs w:val="16"/>
                <w:lang w:eastAsia="ja-JP" w:bidi="ar-SA"/>
              </w:rPr>
              <w:drawing>
                <wp:inline distT="0" distB="0" distL="0" distR="0">
                  <wp:extent cx="276225" cy="238125"/>
                  <wp:effectExtent l="0" t="0" r="9525" b="9525"/>
                  <wp:docPr id="42" name="Picture 10" descr="Description: Description: zel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zelena strelica - manja"/>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257FD" w:rsidRPr="000257FD" w:rsidTr="000257FD">
        <w:trPr>
          <w:trHeight w:val="88"/>
        </w:trPr>
        <w:tc>
          <w:tcPr>
            <w:tcW w:w="516" w:type="pct"/>
            <w:vAlign w:val="center"/>
            <w:hideMark/>
          </w:tcPr>
          <w:p w:rsidR="000257FD" w:rsidRPr="00E42B5F" w:rsidRDefault="000257FD" w:rsidP="000257FD">
            <w:pPr>
              <w:rPr>
                <w:rFonts w:ascii="Garamond" w:hAnsi="Garamond"/>
                <w:sz w:val="16"/>
                <w:szCs w:val="16"/>
              </w:rPr>
            </w:pPr>
            <w:r w:rsidRPr="00E42B5F">
              <w:rPr>
                <w:rFonts w:ascii="Garamond" w:hAnsi="Garamond"/>
                <w:sz w:val="16"/>
                <w:szCs w:val="16"/>
              </w:rPr>
              <w:t>Average number of bidders participating in public tenders</w:t>
            </w:r>
          </w:p>
        </w:tc>
        <w:tc>
          <w:tcPr>
            <w:tcW w:w="475" w:type="pct"/>
            <w:vAlign w:val="center"/>
            <w:hideMark/>
          </w:tcPr>
          <w:p w:rsidR="000257FD" w:rsidRPr="00E42B5F" w:rsidRDefault="000257FD" w:rsidP="000257FD">
            <w:pPr>
              <w:rPr>
                <w:rFonts w:ascii="Garamond" w:hAnsi="Garamond"/>
                <w:sz w:val="16"/>
                <w:szCs w:val="16"/>
              </w:rPr>
            </w:pPr>
            <w:r w:rsidRPr="00E42B5F">
              <w:rPr>
                <w:rFonts w:ascii="Garamond" w:hAnsi="Garamond"/>
                <w:sz w:val="16"/>
                <w:szCs w:val="16"/>
              </w:rPr>
              <w:t>3.1 bids per tender</w:t>
            </w:r>
          </w:p>
          <w:p w:rsidR="000257FD" w:rsidRPr="00E42B5F"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hideMark/>
          </w:tcPr>
          <w:p w:rsidR="000257FD" w:rsidRPr="000257FD" w:rsidRDefault="000257FD" w:rsidP="000257FD">
            <w:pPr>
              <w:widowControl/>
              <w:autoSpaceDE/>
              <w:autoSpaceDN/>
              <w:jc w:val="center"/>
              <w:rPr>
                <w:rFonts w:ascii="Garamond" w:eastAsia="Times New Roman" w:hAnsi="Garamond"/>
                <w:color w:val="000000"/>
                <w:sz w:val="18"/>
                <w:szCs w:val="18"/>
                <w:lang w:eastAsia="en-US" w:bidi="ar-SA"/>
              </w:rPr>
            </w:pPr>
            <w:r w:rsidRPr="000257FD">
              <w:rPr>
                <w:rFonts w:ascii="Garamond" w:eastAsia="游明朝" w:hAnsi="Garamond"/>
                <w:sz w:val="18"/>
                <w:szCs w:val="18"/>
                <w:lang w:eastAsia="en-US" w:bidi="ar-SA"/>
              </w:rPr>
              <w:t>3</w:t>
            </w:r>
            <w:r>
              <w:rPr>
                <w:rFonts w:ascii="Garamond" w:eastAsia="游明朝" w:hAnsi="Garamond"/>
                <w:sz w:val="18"/>
                <w:szCs w:val="18"/>
                <w:lang w:eastAsia="en-US" w:bidi="ar-SA"/>
              </w:rPr>
              <w:t>.</w:t>
            </w:r>
            <w:r w:rsidRPr="000257FD">
              <w:rPr>
                <w:rFonts w:ascii="Garamond" w:eastAsia="游明朝" w:hAnsi="Garamond"/>
                <w:sz w:val="18"/>
                <w:szCs w:val="18"/>
                <w:lang w:eastAsia="en-US" w:bidi="ar-SA"/>
              </w:rPr>
              <w:t>2</w:t>
            </w:r>
          </w:p>
        </w:tc>
        <w:tc>
          <w:tcPr>
            <w:tcW w:w="475" w:type="pct"/>
            <w:vAlign w:val="center"/>
            <w:hideMark/>
          </w:tcPr>
          <w:p w:rsidR="000257FD" w:rsidRPr="000257FD" w:rsidRDefault="000257FD" w:rsidP="000257FD">
            <w:pPr>
              <w:widowControl/>
              <w:autoSpaceDE/>
              <w:autoSpaceDN/>
              <w:jc w:val="center"/>
              <w:rPr>
                <w:rFonts w:ascii="Garamond" w:eastAsia="Times New Roman" w:hAnsi="Garamond"/>
                <w:color w:val="000000"/>
                <w:sz w:val="18"/>
                <w:szCs w:val="18"/>
                <w:lang w:eastAsia="en-US" w:bidi="ar-SA"/>
              </w:rPr>
            </w:pPr>
            <w:r w:rsidRPr="000257FD">
              <w:rPr>
                <w:rFonts w:ascii="Garamond" w:eastAsia="Times New Roman" w:hAnsi="Garamond"/>
                <w:color w:val="000000"/>
                <w:sz w:val="18"/>
                <w:szCs w:val="18"/>
                <w:lang w:eastAsia="en-US" w:bidi="ar-SA"/>
              </w:rPr>
              <w:t>2</w:t>
            </w:r>
            <w:r>
              <w:rPr>
                <w:rFonts w:ascii="Garamond" w:eastAsia="Times New Roman" w:hAnsi="Garamond"/>
                <w:color w:val="000000"/>
                <w:sz w:val="18"/>
                <w:szCs w:val="18"/>
                <w:lang w:eastAsia="en-US" w:bidi="ar-SA"/>
              </w:rPr>
              <w:t>.</w:t>
            </w:r>
            <w:r w:rsidRPr="000257FD">
              <w:rPr>
                <w:rFonts w:ascii="Garamond" w:eastAsia="Times New Roman" w:hAnsi="Garamond"/>
                <w:color w:val="000000"/>
                <w:sz w:val="18"/>
                <w:szCs w:val="18"/>
                <w:lang w:eastAsia="en-US" w:bidi="ar-SA"/>
              </w:rPr>
              <w:t>66</w:t>
            </w:r>
          </w:p>
        </w:tc>
        <w:tc>
          <w:tcPr>
            <w:tcW w:w="438" w:type="pct"/>
            <w:vAlign w:val="center"/>
            <w:hideMark/>
          </w:tcPr>
          <w:p w:rsidR="000257FD" w:rsidRPr="000257FD" w:rsidRDefault="000257FD" w:rsidP="000257FD">
            <w:pPr>
              <w:widowControl/>
              <w:autoSpaceDE/>
              <w:autoSpaceDN/>
              <w:jc w:val="center"/>
              <w:rPr>
                <w:rFonts w:ascii="Garamond" w:eastAsia="Times New Roman" w:hAnsi="Garamond"/>
                <w:color w:val="000000"/>
                <w:sz w:val="18"/>
                <w:szCs w:val="18"/>
                <w:lang w:eastAsia="en-US" w:bidi="ar-SA"/>
              </w:rPr>
            </w:pPr>
            <w:r w:rsidRPr="000257FD">
              <w:rPr>
                <w:rFonts w:ascii="Garamond" w:eastAsia="Times New Roman" w:hAnsi="Garamond"/>
                <w:color w:val="000000"/>
                <w:sz w:val="18"/>
                <w:szCs w:val="18"/>
                <w:lang w:eastAsia="en-US" w:bidi="ar-SA"/>
              </w:rPr>
              <w:t>3</w:t>
            </w:r>
            <w:r>
              <w:rPr>
                <w:rFonts w:ascii="Garamond" w:eastAsia="Times New Roman" w:hAnsi="Garamond"/>
                <w:color w:val="000000"/>
                <w:sz w:val="18"/>
                <w:szCs w:val="18"/>
                <w:lang w:eastAsia="en-US" w:bidi="ar-SA"/>
              </w:rPr>
              <w:t>.</w:t>
            </w:r>
            <w:r w:rsidRPr="000257FD">
              <w:rPr>
                <w:rFonts w:ascii="Garamond" w:eastAsia="Times New Roman" w:hAnsi="Garamond"/>
                <w:color w:val="000000"/>
                <w:sz w:val="18"/>
                <w:szCs w:val="18"/>
                <w:lang w:eastAsia="en-US" w:bidi="ar-SA"/>
              </w:rPr>
              <w:t>48</w:t>
            </w:r>
          </w:p>
        </w:tc>
        <w:tc>
          <w:tcPr>
            <w:tcW w:w="475" w:type="pct"/>
            <w:noWrap/>
            <w:vAlign w:val="center"/>
            <w:hideMark/>
          </w:tcPr>
          <w:p w:rsidR="000257FD" w:rsidRPr="000257FD" w:rsidRDefault="000257FD" w:rsidP="000257FD">
            <w:pPr>
              <w:widowControl/>
              <w:autoSpaceDE/>
              <w:autoSpaceDN/>
              <w:jc w:val="center"/>
              <w:rPr>
                <w:rFonts w:ascii="Garamond" w:eastAsia="Times New Roman" w:hAnsi="Garamond"/>
                <w:color w:val="000000"/>
                <w:sz w:val="18"/>
                <w:szCs w:val="18"/>
                <w:lang w:eastAsia="en-US" w:bidi="ar-SA"/>
              </w:rPr>
            </w:pPr>
            <w:r w:rsidRPr="000257FD">
              <w:rPr>
                <w:rFonts w:ascii="Garamond" w:eastAsia="Times New Roman" w:hAnsi="Garamond"/>
                <w:color w:val="000000"/>
                <w:sz w:val="18"/>
                <w:szCs w:val="18"/>
                <w:lang w:eastAsia="en-US" w:bidi="ar-SA"/>
              </w:rPr>
              <w:t>3</w:t>
            </w:r>
            <w:r>
              <w:rPr>
                <w:rFonts w:ascii="Garamond" w:eastAsia="Times New Roman" w:hAnsi="Garamond"/>
                <w:color w:val="000000"/>
                <w:sz w:val="18"/>
                <w:szCs w:val="18"/>
                <w:lang w:eastAsia="en-US" w:bidi="ar-SA"/>
              </w:rPr>
              <w:t>.</w:t>
            </w:r>
            <w:r w:rsidRPr="000257FD">
              <w:rPr>
                <w:rFonts w:ascii="Garamond" w:eastAsia="Times New Roman" w:hAnsi="Garamond"/>
                <w:color w:val="000000"/>
                <w:sz w:val="18"/>
                <w:szCs w:val="18"/>
                <w:lang w:eastAsia="en-US" w:bidi="ar-SA"/>
              </w:rPr>
              <w:t>14</w:t>
            </w:r>
          </w:p>
        </w:tc>
        <w:tc>
          <w:tcPr>
            <w:tcW w:w="475" w:type="pct"/>
            <w:vAlign w:val="center"/>
          </w:tcPr>
          <w:p w:rsidR="000257FD" w:rsidRPr="000257FD" w:rsidRDefault="000257FD" w:rsidP="000257FD">
            <w:pPr>
              <w:widowControl/>
              <w:autoSpaceDE/>
              <w:autoSpaceDN/>
              <w:jc w:val="center"/>
              <w:rPr>
                <w:rFonts w:ascii="Garamond" w:eastAsia="游明朝" w:hAnsi="Garamond"/>
                <w:noProof/>
                <w:sz w:val="18"/>
                <w:szCs w:val="18"/>
                <w:lang w:eastAsia="uz-Cyrl-UZ" w:bidi="ar-SA"/>
              </w:rPr>
            </w:pPr>
            <w:r w:rsidRPr="000257FD">
              <w:rPr>
                <w:rFonts w:ascii="Garamond" w:eastAsia="游明朝" w:hAnsi="Garamond"/>
                <w:sz w:val="18"/>
                <w:szCs w:val="18"/>
                <w:lang w:eastAsia="en-US" w:bidi="ar-SA"/>
              </w:rPr>
              <w:t>3</w:t>
            </w:r>
            <w:r>
              <w:rPr>
                <w:rFonts w:ascii="Garamond" w:eastAsia="游明朝" w:hAnsi="Garamond"/>
                <w:sz w:val="18"/>
                <w:szCs w:val="18"/>
                <w:lang w:eastAsia="en-US" w:bidi="ar-SA"/>
              </w:rPr>
              <w:t>.</w:t>
            </w:r>
            <w:r w:rsidRPr="000257FD">
              <w:rPr>
                <w:rFonts w:ascii="Garamond" w:eastAsia="游明朝" w:hAnsi="Garamond"/>
                <w:sz w:val="18"/>
                <w:szCs w:val="18"/>
                <w:lang w:eastAsia="en-US" w:bidi="ar-SA"/>
              </w:rPr>
              <w:t>58</w:t>
            </w:r>
          </w:p>
        </w:tc>
        <w:tc>
          <w:tcPr>
            <w:tcW w:w="522" w:type="pct"/>
            <w:vAlign w:val="center"/>
            <w:hideMark/>
          </w:tcPr>
          <w:p w:rsidR="000257FD" w:rsidRPr="000257FD" w:rsidRDefault="000257FD" w:rsidP="000257FD">
            <w:pPr>
              <w:widowControl/>
              <w:autoSpaceDE/>
              <w:autoSpaceDN/>
              <w:jc w:val="center"/>
              <w:rPr>
                <w:rFonts w:ascii="Garamond" w:eastAsia="游明朝" w:hAnsi="Garamond"/>
                <w:noProof/>
                <w:sz w:val="18"/>
                <w:szCs w:val="18"/>
                <w:lang w:eastAsia="uz-Cyrl-UZ" w:bidi="ar-SA"/>
              </w:rPr>
            </w:pPr>
            <w:r w:rsidRPr="000257FD">
              <w:rPr>
                <w:rFonts w:ascii="Garamond" w:eastAsia="游明朝" w:hAnsi="Garamond"/>
                <w:sz w:val="18"/>
                <w:szCs w:val="18"/>
                <w:lang w:eastAsia="en-US" w:bidi="ar-SA"/>
              </w:rPr>
              <w:t>2.01</w:t>
            </w:r>
          </w:p>
        </w:tc>
        <w:tc>
          <w:tcPr>
            <w:tcW w:w="486" w:type="pct"/>
            <w:vAlign w:val="center"/>
          </w:tcPr>
          <w:p w:rsidR="000257FD" w:rsidRPr="000257FD" w:rsidRDefault="000257FD" w:rsidP="000257FD">
            <w:pPr>
              <w:widowControl/>
              <w:autoSpaceDE/>
              <w:autoSpaceDN/>
              <w:jc w:val="center"/>
              <w:rPr>
                <w:rFonts w:ascii="Garamond" w:eastAsia="游明朝" w:hAnsi="Garamond"/>
                <w:noProof/>
                <w:sz w:val="18"/>
                <w:szCs w:val="18"/>
                <w:lang w:eastAsia="en-US" w:bidi="ar-SA"/>
              </w:rPr>
            </w:pPr>
            <w:r w:rsidRPr="000257FD">
              <w:rPr>
                <w:rFonts w:ascii="Garamond" w:eastAsia="游明朝" w:hAnsi="Garamond"/>
                <w:sz w:val="18"/>
                <w:szCs w:val="18"/>
                <w:lang w:eastAsia="en-US" w:bidi="ar-SA"/>
              </w:rPr>
              <w:t>3</w:t>
            </w:r>
            <w:r>
              <w:rPr>
                <w:rFonts w:ascii="Garamond" w:eastAsia="游明朝" w:hAnsi="Garamond"/>
                <w:sz w:val="18"/>
                <w:szCs w:val="18"/>
                <w:lang w:eastAsia="en-US" w:bidi="ar-SA"/>
              </w:rPr>
              <w:t>.</w:t>
            </w:r>
            <w:r w:rsidRPr="000257FD">
              <w:rPr>
                <w:rFonts w:ascii="Garamond" w:eastAsia="游明朝" w:hAnsi="Garamond"/>
                <w:sz w:val="18"/>
                <w:szCs w:val="18"/>
                <w:lang w:eastAsia="en-US" w:bidi="ar-SA"/>
              </w:rPr>
              <w:t>8</w:t>
            </w:r>
          </w:p>
        </w:tc>
        <w:tc>
          <w:tcPr>
            <w:tcW w:w="410" w:type="pct"/>
            <w:vAlign w:val="center"/>
          </w:tcPr>
          <w:p w:rsidR="000257FD" w:rsidRPr="000257FD" w:rsidRDefault="000257FD" w:rsidP="000257FD">
            <w:pPr>
              <w:widowControl/>
              <w:autoSpaceDE/>
              <w:autoSpaceDN/>
              <w:jc w:val="center"/>
              <w:rPr>
                <w:rFonts w:ascii="Garamond" w:eastAsia="游明朝" w:hAnsi="Garamond"/>
                <w:noProof/>
                <w:sz w:val="18"/>
                <w:szCs w:val="18"/>
                <w:lang w:eastAsia="en-US" w:bidi="ar-SA"/>
              </w:rPr>
            </w:pPr>
            <w:r w:rsidRPr="000257FD">
              <w:rPr>
                <w:rFonts w:ascii="Garamond" w:eastAsia="游明朝" w:hAnsi="Garamond"/>
                <w:sz w:val="18"/>
                <w:szCs w:val="18"/>
                <w:lang w:eastAsia="en-US" w:bidi="ar-SA"/>
              </w:rPr>
              <w:t>2</w:t>
            </w:r>
            <w:r>
              <w:rPr>
                <w:rFonts w:ascii="Garamond" w:eastAsia="游明朝" w:hAnsi="Garamond"/>
                <w:sz w:val="18"/>
                <w:szCs w:val="18"/>
                <w:lang w:eastAsia="en-US" w:bidi="ar-SA"/>
              </w:rPr>
              <w:t>.</w:t>
            </w:r>
            <w:r w:rsidRPr="000257FD">
              <w:rPr>
                <w:rFonts w:ascii="Garamond" w:eastAsia="游明朝" w:hAnsi="Garamond"/>
                <w:sz w:val="18"/>
                <w:szCs w:val="18"/>
                <w:lang w:eastAsia="en-US" w:bidi="ar-SA"/>
              </w:rPr>
              <w:t>27</w:t>
            </w:r>
            <w:r w:rsidRPr="000257FD">
              <w:rPr>
                <w:rFonts w:ascii="Garamond" w:eastAsia="游明朝" w:hAnsi="Garamond"/>
                <w:sz w:val="18"/>
                <w:vertAlign w:val="superscript"/>
                <w:lang w:eastAsia="en-US" w:bidi="ar-SA"/>
              </w:rPr>
              <w:footnoteReference w:id="20"/>
            </w:r>
          </w:p>
        </w:tc>
        <w:tc>
          <w:tcPr>
            <w:tcW w:w="251" w:type="pct"/>
            <w:vAlign w:val="center"/>
            <w:hideMark/>
          </w:tcPr>
          <w:p w:rsidR="000257FD" w:rsidRPr="000257FD" w:rsidRDefault="000257FD" w:rsidP="000257FD">
            <w:pPr>
              <w:widowControl/>
              <w:autoSpaceDE/>
              <w:autoSpaceDN/>
              <w:jc w:val="both"/>
              <w:rPr>
                <w:rFonts w:ascii="Garamond" w:eastAsia="Times New Roman" w:hAnsi="Garamond"/>
                <w:i/>
                <w:iCs/>
                <w:color w:val="FF0000"/>
                <w:sz w:val="18"/>
                <w:szCs w:val="18"/>
                <w:lang w:eastAsia="en-US" w:bidi="ar-SA"/>
              </w:rPr>
            </w:pPr>
            <w:r w:rsidRPr="000257FD">
              <w:rPr>
                <w:rFonts w:ascii="Garamond" w:eastAsia="游明朝" w:hAnsi="Garamond"/>
                <w:noProof/>
                <w:sz w:val="18"/>
                <w:szCs w:val="18"/>
                <w:lang w:eastAsia="ja-JP" w:bidi="ar-SA"/>
              </w:rPr>
              <w:drawing>
                <wp:inline distT="0" distB="0" distL="0" distR="0">
                  <wp:extent cx="276225" cy="238125"/>
                  <wp:effectExtent l="0" t="0" r="9525" b="9525"/>
                  <wp:docPr id="43" name="Picture 59" descr="Description: Description: zel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zelena strelica - manja"/>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257FD" w:rsidRPr="000257FD" w:rsidTr="000257FD">
        <w:trPr>
          <w:trHeight w:val="488"/>
        </w:trPr>
        <w:tc>
          <w:tcPr>
            <w:tcW w:w="516" w:type="pct"/>
            <w:vAlign w:val="center"/>
            <w:hideMark/>
          </w:tcPr>
          <w:p w:rsidR="000257FD" w:rsidRPr="000257FD" w:rsidRDefault="00E42B5F" w:rsidP="000257FD">
            <w:pPr>
              <w:widowControl/>
              <w:autoSpaceDE/>
              <w:autoSpaceDN/>
              <w:jc w:val="both"/>
              <w:rPr>
                <w:rFonts w:ascii="Garamond" w:eastAsia="Times New Roman" w:hAnsi="Garamond"/>
                <w:color w:val="000000"/>
                <w:sz w:val="16"/>
                <w:szCs w:val="16"/>
                <w:lang w:eastAsia="en-US" w:bidi="ar-SA"/>
              </w:rPr>
            </w:pPr>
            <w:r w:rsidRPr="00E42B5F">
              <w:rPr>
                <w:rFonts w:ascii="Garamond" w:hAnsi="Garamond"/>
                <w:sz w:val="16"/>
                <w:szCs w:val="16"/>
              </w:rPr>
              <w:t xml:space="preserve">Share of e-procurement of all procurement contracts awarded during the year. </w:t>
            </w:r>
          </w:p>
        </w:tc>
        <w:tc>
          <w:tcPr>
            <w:tcW w:w="475"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0% (There is no electronic public procurement system)</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0% (There is no electronic public procurement system)</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0% (There is no electronic public procurement system)</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38"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Selection of the most favorable bidder</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hideMark/>
          </w:tcPr>
          <w:p w:rsidR="000257FD" w:rsidRPr="000257FD" w:rsidRDefault="000257FD" w:rsidP="000257FD">
            <w:pPr>
              <w:rPr>
                <w:rFonts w:ascii="Garamond" w:hAnsi="Garamond"/>
                <w:sz w:val="16"/>
                <w:szCs w:val="16"/>
              </w:rPr>
            </w:pPr>
            <w:r w:rsidRPr="000257FD">
              <w:rPr>
                <w:rFonts w:ascii="Garamond" w:hAnsi="Garamond"/>
                <w:sz w:val="16"/>
                <w:szCs w:val="16"/>
              </w:rPr>
              <w:t>The project of creating an e-public procurement system has started</w:t>
            </w:r>
          </w:p>
          <w:p w:rsidR="000257FD" w:rsidRPr="000257FD" w:rsidRDefault="000257FD" w:rsidP="000257FD">
            <w:pPr>
              <w:widowControl/>
              <w:autoSpaceDE/>
              <w:autoSpaceDN/>
              <w:jc w:val="center"/>
              <w:rPr>
                <w:rFonts w:ascii="Garamond" w:eastAsia="Times New Roman" w:hAnsi="Garamond"/>
                <w:color w:val="000000"/>
                <w:sz w:val="16"/>
                <w:szCs w:val="16"/>
                <w:lang w:eastAsia="en-US" w:bidi="ar-SA"/>
              </w:rPr>
            </w:pPr>
          </w:p>
        </w:tc>
        <w:tc>
          <w:tcPr>
            <w:tcW w:w="475" w:type="pct"/>
            <w:vAlign w:val="center"/>
          </w:tcPr>
          <w:p w:rsidR="000257FD" w:rsidRPr="000257FD" w:rsidRDefault="000257FD" w:rsidP="000257FD">
            <w:pPr>
              <w:widowControl/>
              <w:autoSpaceDE/>
              <w:autoSpaceDN/>
              <w:jc w:val="center"/>
              <w:rPr>
                <w:rFonts w:ascii="Garamond" w:eastAsia="游明朝" w:hAnsi="Garamond"/>
                <w:noProof/>
                <w:sz w:val="16"/>
                <w:szCs w:val="16"/>
                <w:lang w:eastAsia="uz-Cyrl-UZ" w:bidi="ar-SA"/>
              </w:rPr>
            </w:pPr>
          </w:p>
          <w:p w:rsidR="000257FD" w:rsidRPr="000257FD" w:rsidRDefault="000257FD" w:rsidP="000257FD">
            <w:pPr>
              <w:widowControl/>
              <w:autoSpaceDE/>
              <w:autoSpaceDN/>
              <w:jc w:val="center"/>
              <w:rPr>
                <w:rFonts w:ascii="Garamond" w:eastAsia="游明朝" w:hAnsi="Garamond"/>
                <w:noProof/>
                <w:sz w:val="16"/>
                <w:szCs w:val="16"/>
                <w:lang w:eastAsia="uz-Cyrl-UZ" w:bidi="ar-SA"/>
              </w:rPr>
            </w:pPr>
          </w:p>
          <w:p w:rsidR="000257FD" w:rsidRPr="000257FD" w:rsidRDefault="000257FD" w:rsidP="000257FD">
            <w:pPr>
              <w:widowControl/>
              <w:autoSpaceDE/>
              <w:autoSpaceDN/>
              <w:jc w:val="center"/>
              <w:rPr>
                <w:rFonts w:ascii="Garamond" w:eastAsia="游明朝" w:hAnsi="Garamond"/>
                <w:sz w:val="16"/>
                <w:szCs w:val="16"/>
                <w:lang w:eastAsia="en-US" w:bidi="ar-SA"/>
              </w:rPr>
            </w:pPr>
            <w:r w:rsidRPr="000257FD">
              <w:rPr>
                <w:rFonts w:ascii="Garamond" w:eastAsia="游明朝" w:hAnsi="Garamond"/>
                <w:sz w:val="16"/>
                <w:szCs w:val="16"/>
                <w:lang w:eastAsia="en-US" w:bidi="ar-SA"/>
              </w:rPr>
              <w:t>30%</w:t>
            </w:r>
          </w:p>
          <w:p w:rsidR="000257FD" w:rsidRPr="000257FD" w:rsidRDefault="000257FD" w:rsidP="000257FD">
            <w:pPr>
              <w:widowControl/>
              <w:autoSpaceDE/>
              <w:autoSpaceDN/>
              <w:jc w:val="center"/>
              <w:rPr>
                <w:rFonts w:ascii="Garamond" w:eastAsia="游明朝" w:hAnsi="Garamond"/>
                <w:noProof/>
                <w:sz w:val="16"/>
                <w:szCs w:val="16"/>
                <w:lang w:eastAsia="uz-Cyrl-UZ" w:bidi="ar-SA"/>
              </w:rPr>
            </w:pPr>
          </w:p>
        </w:tc>
        <w:tc>
          <w:tcPr>
            <w:tcW w:w="522" w:type="pct"/>
            <w:vAlign w:val="center"/>
          </w:tcPr>
          <w:p w:rsidR="000257FD" w:rsidRPr="000257FD" w:rsidRDefault="000257FD" w:rsidP="000257FD">
            <w:pPr>
              <w:widowControl/>
              <w:autoSpaceDE/>
              <w:autoSpaceDN/>
              <w:jc w:val="center"/>
              <w:rPr>
                <w:rFonts w:ascii="Garamond" w:eastAsia="游明朝" w:hAnsi="Garamond"/>
                <w:noProof/>
                <w:sz w:val="16"/>
                <w:szCs w:val="16"/>
                <w:lang w:eastAsia="uz-Cyrl-UZ" w:bidi="ar-SA"/>
              </w:rPr>
            </w:pPr>
          </w:p>
          <w:p w:rsidR="000257FD" w:rsidRPr="000257FD" w:rsidRDefault="000257FD" w:rsidP="000257FD">
            <w:pPr>
              <w:widowControl/>
              <w:autoSpaceDE/>
              <w:autoSpaceDN/>
              <w:jc w:val="center"/>
              <w:rPr>
                <w:rFonts w:ascii="Garamond" w:eastAsia="游明朝" w:hAnsi="Garamond"/>
                <w:noProof/>
                <w:sz w:val="16"/>
                <w:szCs w:val="16"/>
                <w:lang w:eastAsia="uz-Cyrl-UZ" w:bidi="ar-SA"/>
              </w:rPr>
            </w:pPr>
          </w:p>
          <w:p w:rsidR="000257FD" w:rsidRPr="000257FD" w:rsidRDefault="000257FD" w:rsidP="000257FD">
            <w:pPr>
              <w:rPr>
                <w:rFonts w:ascii="Garamond" w:hAnsi="Garamond"/>
                <w:sz w:val="16"/>
                <w:szCs w:val="16"/>
              </w:rPr>
            </w:pPr>
            <w:r w:rsidRPr="000257FD">
              <w:rPr>
                <w:rFonts w:ascii="Garamond" w:hAnsi="Garamond"/>
                <w:sz w:val="16"/>
                <w:szCs w:val="16"/>
              </w:rPr>
              <w:t>Pilot phase of the e-system</w:t>
            </w:r>
          </w:p>
          <w:p w:rsidR="000257FD" w:rsidRPr="000257FD" w:rsidRDefault="000257FD" w:rsidP="000257FD">
            <w:pPr>
              <w:widowControl/>
              <w:autoSpaceDE/>
              <w:autoSpaceDN/>
              <w:jc w:val="center"/>
              <w:rPr>
                <w:rFonts w:ascii="Garamond" w:eastAsia="游明朝" w:hAnsi="Garamond"/>
                <w:noProof/>
                <w:sz w:val="16"/>
                <w:szCs w:val="16"/>
                <w:lang w:eastAsia="uz-Cyrl-UZ" w:bidi="ar-SA"/>
              </w:rPr>
            </w:pPr>
          </w:p>
        </w:tc>
        <w:tc>
          <w:tcPr>
            <w:tcW w:w="486" w:type="pct"/>
            <w:vAlign w:val="center"/>
          </w:tcPr>
          <w:p w:rsidR="000257FD" w:rsidRPr="000257FD" w:rsidRDefault="000257FD" w:rsidP="000257FD">
            <w:pPr>
              <w:widowControl/>
              <w:autoSpaceDE/>
              <w:autoSpaceDN/>
              <w:jc w:val="center"/>
              <w:rPr>
                <w:rFonts w:ascii="Garamond" w:eastAsia="游明朝" w:hAnsi="Garamond"/>
                <w:noProof/>
                <w:sz w:val="16"/>
                <w:szCs w:val="16"/>
                <w:lang w:eastAsia="en-US" w:bidi="ar-SA"/>
              </w:rPr>
            </w:pPr>
            <w:r w:rsidRPr="000257FD">
              <w:rPr>
                <w:rFonts w:ascii="Garamond" w:eastAsia="游明朝" w:hAnsi="Garamond"/>
                <w:sz w:val="16"/>
                <w:szCs w:val="16"/>
                <w:lang w:eastAsia="en-US" w:bidi="ar-SA"/>
              </w:rPr>
              <w:t>80%</w:t>
            </w:r>
          </w:p>
        </w:tc>
        <w:tc>
          <w:tcPr>
            <w:tcW w:w="410" w:type="pct"/>
            <w:vAlign w:val="center"/>
          </w:tcPr>
          <w:p w:rsidR="000257FD" w:rsidRPr="000257FD" w:rsidRDefault="000257FD" w:rsidP="000257FD">
            <w:pPr>
              <w:rPr>
                <w:rFonts w:ascii="Garamond" w:hAnsi="Garamond"/>
                <w:sz w:val="16"/>
                <w:szCs w:val="16"/>
              </w:rPr>
            </w:pPr>
            <w:r w:rsidRPr="000257FD">
              <w:rPr>
                <w:rFonts w:ascii="Garamond" w:hAnsi="Garamond"/>
                <w:sz w:val="16"/>
                <w:szCs w:val="16"/>
              </w:rPr>
              <w:t>System established, in-house testing completed and trainings for users of the electronic public procurement system started</w:t>
            </w:r>
          </w:p>
          <w:p w:rsidR="000257FD" w:rsidRPr="000257FD" w:rsidRDefault="000257FD" w:rsidP="000257FD">
            <w:pPr>
              <w:widowControl/>
              <w:autoSpaceDE/>
              <w:autoSpaceDN/>
              <w:jc w:val="center"/>
              <w:rPr>
                <w:rFonts w:ascii="Garamond" w:eastAsia="游明朝" w:hAnsi="Garamond"/>
                <w:noProof/>
                <w:sz w:val="16"/>
                <w:szCs w:val="16"/>
                <w:lang w:eastAsia="en-US" w:bidi="ar-SA"/>
              </w:rPr>
            </w:pPr>
          </w:p>
        </w:tc>
        <w:tc>
          <w:tcPr>
            <w:tcW w:w="251" w:type="pct"/>
            <w:vAlign w:val="center"/>
            <w:hideMark/>
          </w:tcPr>
          <w:p w:rsidR="000257FD" w:rsidRPr="000257FD" w:rsidRDefault="000257FD" w:rsidP="000257FD">
            <w:pPr>
              <w:widowControl/>
              <w:autoSpaceDE/>
              <w:autoSpaceDN/>
              <w:jc w:val="both"/>
              <w:rPr>
                <w:rFonts w:ascii="Garamond" w:eastAsia="Times New Roman" w:hAnsi="Garamond"/>
                <w:i/>
                <w:iCs/>
                <w:color w:val="00B050"/>
                <w:sz w:val="16"/>
                <w:szCs w:val="16"/>
                <w:lang w:eastAsia="en-US" w:bidi="ar-SA"/>
              </w:rPr>
            </w:pPr>
            <w:r w:rsidRPr="000257FD">
              <w:rPr>
                <w:rFonts w:ascii="Garamond" w:eastAsia="游明朝" w:hAnsi="Garamond"/>
                <w:noProof/>
                <w:sz w:val="16"/>
                <w:szCs w:val="16"/>
                <w:lang w:eastAsia="ja-JP" w:bidi="ar-SA"/>
              </w:rPr>
              <w:drawing>
                <wp:inline distT="0" distB="0" distL="0" distR="0">
                  <wp:extent cx="276225" cy="238125"/>
                  <wp:effectExtent l="0" t="0" r="9525" b="9525"/>
                  <wp:docPr id="44" name="Picture 9" descr="Description: Description: zel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zelena strelica - manja"/>
                          <pic:cNvPicPr>
                            <a:picLocks noChangeAspect="1" noChangeArrowheads="1"/>
                          </pic:cNvPicPr>
                        </pic:nvPicPr>
                        <pic:blipFill>
                          <a:blip r:embed="rId20"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8125"/>
                          </a:xfrm>
                          <a:prstGeom prst="rect">
                            <a:avLst/>
                          </a:prstGeom>
                          <a:noFill/>
                          <a:ln>
                            <a:noFill/>
                          </a:ln>
                        </pic:spPr>
                      </pic:pic>
                    </a:graphicData>
                  </a:graphic>
                </wp:inline>
              </w:drawing>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r w:rsidRPr="00C32887">
        <w:rPr>
          <w:rFonts w:ascii="Garamond" w:hAnsi="Garamond"/>
          <w:sz w:val="24"/>
          <w:szCs w:val="24"/>
        </w:rPr>
        <w:tab/>
      </w:r>
    </w:p>
    <w:p w:rsidR="000257FD" w:rsidRDefault="000257FD">
      <w:pPr>
        <w:rPr>
          <w:rFonts w:ascii="Garamond" w:hAnsi="Garamond"/>
          <w:sz w:val="24"/>
          <w:szCs w:val="24"/>
        </w:rPr>
      </w:pPr>
      <w:r>
        <w:rPr>
          <w:rFonts w:ascii="Garamond" w:hAnsi="Garamond"/>
          <w:sz w:val="24"/>
          <w:szCs w:val="24"/>
        </w:rPr>
        <w:br w:type="page"/>
      </w:r>
    </w:p>
    <w:p w:rsidR="000257FD" w:rsidRDefault="000257FD" w:rsidP="004D1343">
      <w:pPr>
        <w:rPr>
          <w:rFonts w:ascii="Garamond" w:hAnsi="Garamond"/>
          <w:sz w:val="24"/>
          <w:szCs w:val="24"/>
        </w:rPr>
        <w:sectPr w:rsidR="000257FD" w:rsidSect="000257FD">
          <w:pgSz w:w="15840" w:h="12240" w:orient="landscape"/>
          <w:pgMar w:top="1440" w:right="1440" w:bottom="1440" w:left="1440" w:header="720" w:footer="720" w:gutter="0"/>
          <w:cols w:space="720"/>
          <w:docGrid w:linePitch="360"/>
        </w:sectPr>
      </w:pPr>
    </w:p>
    <w:p w:rsidR="004D1343" w:rsidRPr="00C32887" w:rsidRDefault="000257FD" w:rsidP="000257FD">
      <w:pPr>
        <w:jc w:val="both"/>
        <w:rPr>
          <w:rFonts w:ascii="Garamond" w:hAnsi="Garamond"/>
          <w:sz w:val="24"/>
          <w:szCs w:val="24"/>
        </w:rPr>
      </w:pPr>
      <w:r w:rsidRPr="000257FD">
        <w:rPr>
          <w:rFonts w:ascii="Garamond" w:hAnsi="Garamond"/>
          <w:b/>
          <w:sz w:val="24"/>
          <w:szCs w:val="24"/>
        </w:rPr>
        <w:t xml:space="preserve">Performance </w:t>
      </w:r>
      <w:r w:rsidR="004D1343" w:rsidRPr="000257FD">
        <w:rPr>
          <w:rFonts w:ascii="Garamond" w:hAnsi="Garamond"/>
          <w:b/>
          <w:sz w:val="24"/>
          <w:szCs w:val="24"/>
        </w:rPr>
        <w:t xml:space="preserve">Indicator </w:t>
      </w:r>
      <w:r w:rsidR="00AF4CBE" w:rsidRPr="000257FD">
        <w:rPr>
          <w:rFonts w:ascii="Garamond" w:hAnsi="Garamond"/>
          <w:b/>
          <w:sz w:val="24"/>
          <w:szCs w:val="24"/>
        </w:rPr>
        <w:t xml:space="preserve">Average </w:t>
      </w:r>
      <w:r w:rsidR="004D1343" w:rsidRPr="000257FD">
        <w:rPr>
          <w:rFonts w:ascii="Garamond" w:hAnsi="Garamond"/>
          <w:b/>
          <w:sz w:val="24"/>
          <w:szCs w:val="24"/>
        </w:rPr>
        <w:t xml:space="preserve">number of submitted bids in public procurement procedures for 2019 </w:t>
      </w:r>
      <w:r w:rsidR="004D1343" w:rsidRPr="00C32887">
        <w:rPr>
          <w:rFonts w:ascii="Garamond" w:hAnsi="Garamond"/>
          <w:sz w:val="24"/>
          <w:szCs w:val="24"/>
        </w:rPr>
        <w:t xml:space="preserve">recorded a downward trend (2.01 </w:t>
      </w:r>
      <w:r>
        <w:rPr>
          <w:rFonts w:ascii="Garamond" w:hAnsi="Garamond"/>
          <w:sz w:val="24"/>
          <w:szCs w:val="24"/>
        </w:rPr>
        <w:t>bids per</w:t>
      </w:r>
      <w:r w:rsidR="004D1343" w:rsidRPr="00C32887">
        <w:rPr>
          <w:rFonts w:ascii="Garamond" w:hAnsi="Garamond"/>
          <w:sz w:val="24"/>
          <w:szCs w:val="24"/>
        </w:rPr>
        <w:t xml:space="preserve"> p</w:t>
      </w:r>
      <w:r>
        <w:rPr>
          <w:rFonts w:ascii="Garamond" w:hAnsi="Garamond"/>
          <w:sz w:val="24"/>
          <w:szCs w:val="24"/>
        </w:rPr>
        <w:t xml:space="preserve">ublic procurement procedure) compared to </w:t>
      </w:r>
      <w:r w:rsidR="004D1343" w:rsidRPr="00C32887">
        <w:rPr>
          <w:rFonts w:ascii="Garamond" w:hAnsi="Garamond"/>
          <w:sz w:val="24"/>
          <w:szCs w:val="24"/>
        </w:rPr>
        <w:t xml:space="preserve">2018. It is important to </w:t>
      </w:r>
      <w:r w:rsidR="00E42B5F">
        <w:rPr>
          <w:rFonts w:ascii="Garamond" w:hAnsi="Garamond"/>
          <w:sz w:val="24"/>
          <w:szCs w:val="24"/>
        </w:rPr>
        <w:t>note</w:t>
      </w:r>
      <w:r w:rsidR="004D1343" w:rsidRPr="00C32887">
        <w:rPr>
          <w:rFonts w:ascii="Garamond" w:hAnsi="Garamond"/>
          <w:sz w:val="24"/>
          <w:szCs w:val="24"/>
        </w:rPr>
        <w:t xml:space="preserve"> that the intensity of competition for the previous four years recorded certain variations, mostly due to the small market and the limited number of bidders for certain public procurement items.</w:t>
      </w:r>
    </w:p>
    <w:p w:rsidR="004D1343" w:rsidRPr="00C32887" w:rsidRDefault="004D1343" w:rsidP="004D1343">
      <w:pPr>
        <w:rPr>
          <w:rFonts w:ascii="Garamond" w:hAnsi="Garamond"/>
          <w:sz w:val="24"/>
          <w:szCs w:val="24"/>
        </w:rPr>
      </w:pPr>
    </w:p>
    <w:p w:rsidR="004D1343" w:rsidRPr="00C32887" w:rsidRDefault="004D1343" w:rsidP="00250E92">
      <w:pPr>
        <w:jc w:val="both"/>
        <w:rPr>
          <w:rFonts w:ascii="Garamond" w:hAnsi="Garamond"/>
          <w:sz w:val="24"/>
          <w:szCs w:val="24"/>
        </w:rPr>
      </w:pPr>
      <w:r w:rsidRPr="00C32887">
        <w:rPr>
          <w:rFonts w:ascii="Garamond" w:hAnsi="Garamond"/>
          <w:sz w:val="24"/>
          <w:szCs w:val="24"/>
        </w:rPr>
        <w:t xml:space="preserve">Regarding the statistics related to the level of competitiveness for 2020, the Public Procurement Report for 2020 shows that the average number of bids under the public procurement procedure in that year was 2.27. This indicates a growing degree of competition in the system, with increasing transparency in the implementation of procedures </w:t>
      </w:r>
      <w:r w:rsidR="00EE4295">
        <w:rPr>
          <w:rFonts w:ascii="Garamond" w:hAnsi="Garamond"/>
          <w:sz w:val="24"/>
          <w:szCs w:val="24"/>
        </w:rPr>
        <w:t>in accordance with the new legislation</w:t>
      </w:r>
      <w:r w:rsidRPr="00C32887">
        <w:rPr>
          <w:rFonts w:ascii="Garamond" w:hAnsi="Garamond"/>
          <w:sz w:val="24"/>
          <w:szCs w:val="24"/>
        </w:rPr>
        <w:t>. The successful</w:t>
      </w:r>
      <w:r w:rsidR="00250E92">
        <w:rPr>
          <w:rFonts w:ascii="Garamond" w:hAnsi="Garamond"/>
          <w:sz w:val="24"/>
          <w:szCs w:val="24"/>
        </w:rPr>
        <w:t xml:space="preserve"> implementation of the project </w:t>
      </w:r>
      <w:r w:rsidR="00C13A74">
        <w:rPr>
          <w:rFonts w:ascii="Garamond" w:hAnsi="Garamond"/>
          <w:sz w:val="24"/>
          <w:szCs w:val="24"/>
        </w:rPr>
        <w:t>‘</w:t>
      </w:r>
      <w:r w:rsidRPr="00C32887">
        <w:rPr>
          <w:rFonts w:ascii="Garamond" w:hAnsi="Garamond"/>
          <w:sz w:val="24"/>
          <w:szCs w:val="24"/>
        </w:rPr>
        <w:t xml:space="preserve">Implementation of the </w:t>
      </w:r>
      <w:r w:rsidR="00EE4295" w:rsidRPr="00C32887">
        <w:rPr>
          <w:rFonts w:ascii="Garamond" w:hAnsi="Garamond"/>
          <w:sz w:val="24"/>
          <w:szCs w:val="24"/>
        </w:rPr>
        <w:t>Electronic Public Procurement System</w:t>
      </w:r>
      <w:r w:rsidR="00EE4295">
        <w:rPr>
          <w:rFonts w:ascii="Garamond" w:hAnsi="Garamond"/>
          <w:sz w:val="24"/>
          <w:szCs w:val="24"/>
        </w:rPr>
        <w:t>’</w:t>
      </w:r>
      <w:r w:rsidR="00EE4295" w:rsidRPr="00C32887">
        <w:rPr>
          <w:rFonts w:ascii="Garamond" w:hAnsi="Garamond"/>
          <w:sz w:val="24"/>
          <w:szCs w:val="24"/>
        </w:rPr>
        <w:t xml:space="preserve"> </w:t>
      </w:r>
      <w:r w:rsidRPr="00C32887">
        <w:rPr>
          <w:rFonts w:ascii="Garamond" w:hAnsi="Garamond"/>
          <w:sz w:val="24"/>
          <w:szCs w:val="24"/>
        </w:rPr>
        <w:t>created a precondition for the introduction of a complete electronic public procurement system in Montenegro</w:t>
      </w:r>
      <w:r w:rsidR="00EE4295">
        <w:rPr>
          <w:rFonts w:ascii="Garamond" w:hAnsi="Garamond"/>
          <w:sz w:val="24"/>
          <w:szCs w:val="24"/>
        </w:rPr>
        <w:t>,</w:t>
      </w:r>
      <w:r w:rsidRPr="00C32887">
        <w:rPr>
          <w:rFonts w:ascii="Garamond" w:hAnsi="Garamond"/>
          <w:sz w:val="24"/>
          <w:szCs w:val="24"/>
        </w:rPr>
        <w:t xml:space="preserve"> thus </w:t>
      </w:r>
      <w:r w:rsidR="00EE4295">
        <w:rPr>
          <w:rFonts w:ascii="Garamond" w:hAnsi="Garamond"/>
          <w:sz w:val="24"/>
          <w:szCs w:val="24"/>
        </w:rPr>
        <w:t>fulfilling</w:t>
      </w:r>
      <w:r w:rsidRPr="00C32887">
        <w:rPr>
          <w:rFonts w:ascii="Garamond" w:hAnsi="Garamond"/>
          <w:sz w:val="24"/>
          <w:szCs w:val="24"/>
        </w:rPr>
        <w:t xml:space="preserve"> the indicator of the </w:t>
      </w:r>
      <w:r w:rsidR="00EE4295">
        <w:rPr>
          <w:rFonts w:ascii="Garamond" w:hAnsi="Garamond"/>
          <w:sz w:val="24"/>
          <w:szCs w:val="24"/>
        </w:rPr>
        <w:t>s</w:t>
      </w:r>
      <w:r w:rsidR="00EE4295" w:rsidRPr="00EE4295">
        <w:rPr>
          <w:rFonts w:ascii="Garamond" w:hAnsi="Garamond"/>
          <w:sz w:val="24"/>
          <w:szCs w:val="24"/>
        </w:rPr>
        <w:t xml:space="preserve">hare of e-procurement </w:t>
      </w:r>
      <w:r w:rsidR="005B77B1">
        <w:rPr>
          <w:rFonts w:ascii="Garamond" w:hAnsi="Garamond"/>
          <w:sz w:val="24"/>
          <w:szCs w:val="24"/>
        </w:rPr>
        <w:t>in</w:t>
      </w:r>
      <w:r w:rsidR="00EE4295" w:rsidRPr="00EE4295">
        <w:rPr>
          <w:rFonts w:ascii="Garamond" w:hAnsi="Garamond"/>
          <w:sz w:val="24"/>
          <w:szCs w:val="24"/>
        </w:rPr>
        <w:t xml:space="preserve"> all procurement co</w:t>
      </w:r>
      <w:r w:rsidR="00EE4295">
        <w:rPr>
          <w:rFonts w:ascii="Garamond" w:hAnsi="Garamond"/>
          <w:sz w:val="24"/>
          <w:szCs w:val="24"/>
        </w:rPr>
        <w:t xml:space="preserve">ntracts awarded </w:t>
      </w:r>
      <w:r w:rsidRPr="00C32887">
        <w:rPr>
          <w:rFonts w:ascii="Garamond" w:hAnsi="Garamond"/>
          <w:sz w:val="24"/>
          <w:szCs w:val="24"/>
        </w:rPr>
        <w:t xml:space="preserve">in Montenegro. Procurements, including simple procurements, are </w:t>
      </w:r>
      <w:r w:rsidR="005B77B1">
        <w:rPr>
          <w:rFonts w:ascii="Garamond" w:hAnsi="Garamond"/>
          <w:sz w:val="24"/>
          <w:szCs w:val="24"/>
        </w:rPr>
        <w:t>implemented</w:t>
      </w:r>
      <w:r w:rsidRPr="00C32887">
        <w:rPr>
          <w:rFonts w:ascii="Garamond" w:hAnsi="Garamond"/>
          <w:sz w:val="24"/>
          <w:szCs w:val="24"/>
        </w:rPr>
        <w:t xml:space="preserve"> from the day of introduction of th</w:t>
      </w:r>
      <w:r w:rsidR="00EE4295">
        <w:rPr>
          <w:rFonts w:ascii="Garamond" w:hAnsi="Garamond"/>
          <w:sz w:val="24"/>
          <w:szCs w:val="24"/>
        </w:rPr>
        <w:t>e ESJN exclusively through the s</w:t>
      </w:r>
      <w:r w:rsidRPr="00C32887">
        <w:rPr>
          <w:rFonts w:ascii="Garamond" w:hAnsi="Garamond"/>
          <w:sz w:val="24"/>
          <w:szCs w:val="24"/>
        </w:rPr>
        <w:t>ystem.</w:t>
      </w:r>
    </w:p>
    <w:p w:rsidR="004D1343" w:rsidRPr="00C32887" w:rsidRDefault="004D1343" w:rsidP="004D1343">
      <w:pPr>
        <w:rPr>
          <w:rFonts w:ascii="Garamond" w:hAnsi="Garamond"/>
          <w:sz w:val="24"/>
          <w:szCs w:val="24"/>
        </w:rPr>
      </w:pPr>
    </w:p>
    <w:p w:rsidR="004D1343" w:rsidRDefault="004D1343" w:rsidP="00250E92">
      <w:pPr>
        <w:jc w:val="both"/>
        <w:rPr>
          <w:rFonts w:ascii="Garamond" w:hAnsi="Garamond"/>
          <w:sz w:val="24"/>
          <w:szCs w:val="24"/>
        </w:rPr>
      </w:pPr>
      <w:r w:rsidRPr="00C32887">
        <w:rPr>
          <w:rFonts w:ascii="Garamond" w:hAnsi="Garamond"/>
          <w:sz w:val="24"/>
          <w:szCs w:val="24"/>
        </w:rPr>
        <w:t xml:space="preserve">The application of the new regulatory framework, as well as the new technical solutions of the electronic system, will achieve a significantly higher degree of transparency and thus lead to a reduction </w:t>
      </w:r>
      <w:r w:rsidR="00EE4295">
        <w:rPr>
          <w:rFonts w:ascii="Garamond" w:hAnsi="Garamond"/>
          <w:sz w:val="24"/>
          <w:szCs w:val="24"/>
        </w:rPr>
        <w:t>in</w:t>
      </w:r>
      <w:r w:rsidRPr="00C32887">
        <w:rPr>
          <w:rFonts w:ascii="Garamond" w:hAnsi="Garamond"/>
          <w:sz w:val="24"/>
          <w:szCs w:val="24"/>
        </w:rPr>
        <w:t xml:space="preserve"> irregularities </w:t>
      </w:r>
      <w:r w:rsidR="00EE4295">
        <w:rPr>
          <w:rFonts w:ascii="Garamond" w:hAnsi="Garamond"/>
          <w:sz w:val="24"/>
          <w:szCs w:val="24"/>
        </w:rPr>
        <w:t>of</w:t>
      </w:r>
      <w:r w:rsidRPr="00C32887">
        <w:rPr>
          <w:rFonts w:ascii="Garamond" w:hAnsi="Garamond"/>
          <w:sz w:val="24"/>
          <w:szCs w:val="24"/>
        </w:rPr>
        <w:t xml:space="preserve"> the public procurement system.</w:t>
      </w:r>
    </w:p>
    <w:p w:rsidR="00EE4295" w:rsidRPr="00C32887" w:rsidRDefault="00EE4295" w:rsidP="00250E92">
      <w:pPr>
        <w:jc w:val="both"/>
        <w:rPr>
          <w:rFonts w:ascii="Garamond" w:hAnsi="Garamond"/>
          <w:sz w:val="24"/>
          <w:szCs w:val="24"/>
        </w:rPr>
      </w:pPr>
    </w:p>
    <w:p w:rsidR="004D1343" w:rsidRPr="00C32887" w:rsidRDefault="00613C2B" w:rsidP="004D1343">
      <w:pPr>
        <w:rPr>
          <w:rFonts w:ascii="Garamond" w:hAnsi="Garamond"/>
          <w:sz w:val="24"/>
          <w:szCs w:val="24"/>
        </w:rPr>
      </w:pPr>
      <w:r w:rsidRPr="00613C2B">
        <w:rPr>
          <w:noProof/>
          <w:color w:val="000000"/>
          <w:lang w:val="en-GB" w:eastAsia="en-GB"/>
        </w:rPr>
      </w:r>
      <w:r w:rsidRPr="00613C2B">
        <w:rPr>
          <w:noProof/>
          <w:color w:val="000000"/>
          <w:lang w:val="en-GB" w:eastAsia="en-GB"/>
        </w:rPr>
        <w:pict>
          <v:roundrect id="Rounded Rectangle 60" o:spid="_x0000_s1033" style="width:499.8pt;height:158.4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" fillcolor="#622423 [1605]" strokecolor="#41719c" strokeweight="1pt">
            <v:stroke joinstyle="miter"/>
            <v:textbox>
              <w:txbxContent>
                <w:p w:rsidR="002C4371" w:rsidRPr="00250E92" w:rsidRDefault="002C4371" w:rsidP="00250E92">
                  <w:pPr>
                    <w:rPr>
                      <w:rFonts w:ascii="Garamond" w:hAnsi="Garamond"/>
                      <w:color w:val="FFFFFF" w:themeColor="background1"/>
                      <w:sz w:val="20"/>
                      <w:szCs w:val="20"/>
                    </w:rPr>
                  </w:pPr>
                  <w:r w:rsidRPr="00250E92">
                    <w:rPr>
                      <w:rFonts w:ascii="Garamond" w:hAnsi="Garamond"/>
                      <w:color w:val="FFFFFF" w:themeColor="background1"/>
                      <w:sz w:val="20"/>
                      <w:szCs w:val="20"/>
                    </w:rPr>
                    <w:t>Challenge:</w:t>
                  </w:r>
                </w:p>
                <w:p w:rsidR="002C4371" w:rsidRPr="00250E92" w:rsidRDefault="002C4371" w:rsidP="00EE4295">
                  <w:pPr>
                    <w:pStyle w:val="ListParagraph"/>
                    <w:numPr>
                      <w:ilvl w:val="0"/>
                      <w:numId w:val="20"/>
                    </w:numPr>
                    <w:jc w:val="both"/>
                    <w:rPr>
                      <w:rFonts w:ascii="Garamond" w:hAnsi="Garamond"/>
                      <w:color w:val="FFFFFF" w:themeColor="background1"/>
                      <w:sz w:val="20"/>
                      <w:szCs w:val="20"/>
                    </w:rPr>
                  </w:pPr>
                  <w:r w:rsidRPr="00250E92">
                    <w:rPr>
                      <w:rFonts w:ascii="Garamond" w:hAnsi="Garamond"/>
                      <w:color w:val="FFFFFF" w:themeColor="background1"/>
                      <w:sz w:val="20"/>
                      <w:szCs w:val="20"/>
                    </w:rPr>
                    <w:t>Introduction of continuous training and advanced training intended for public procurement officers and persons participating in public procurement procedures; The practical application of the Law on Public Procurement</w:t>
                  </w:r>
                  <w:r>
                    <w:rPr>
                      <w:rFonts w:ascii="Garamond" w:hAnsi="Garamond"/>
                      <w:color w:val="FFFFFF" w:themeColor="background1"/>
                      <w:sz w:val="20"/>
                      <w:szCs w:val="20"/>
                    </w:rPr>
                    <w:t xml:space="preserve"> </w:t>
                  </w:r>
                  <w:r w:rsidRPr="00250E92">
                    <w:rPr>
                      <w:rFonts w:ascii="Garamond" w:hAnsi="Garamond"/>
                      <w:color w:val="FFFFFF" w:themeColor="background1"/>
                      <w:sz w:val="20"/>
                      <w:szCs w:val="20"/>
                    </w:rPr>
                    <w:t>will be overcome through the planning of thematic trainings for contracting authorities, as well as further work on the systematic improvement of cooperation and education in accordance with the new standards of the Law.</w:t>
                  </w:r>
                </w:p>
                <w:p w:rsidR="002C4371" w:rsidRPr="00250E92" w:rsidRDefault="002C4371" w:rsidP="00EE4295">
                  <w:pPr>
                    <w:pStyle w:val="ListParagraph"/>
                    <w:numPr>
                      <w:ilvl w:val="0"/>
                      <w:numId w:val="20"/>
                    </w:numPr>
                    <w:jc w:val="both"/>
                    <w:rPr>
                      <w:rFonts w:ascii="Garamond" w:hAnsi="Garamond"/>
                      <w:color w:val="FFFFFF" w:themeColor="background1"/>
                      <w:sz w:val="20"/>
                      <w:szCs w:val="20"/>
                    </w:rPr>
                  </w:pPr>
                  <w:r w:rsidRPr="00250E92">
                    <w:rPr>
                      <w:rFonts w:ascii="Garamond" w:hAnsi="Garamond"/>
                      <w:color w:val="FFFFFF" w:themeColor="background1"/>
                      <w:sz w:val="20"/>
                      <w:szCs w:val="20"/>
                    </w:rPr>
                    <w:t xml:space="preserve">Comprehensive regulation and monitoring of procurement </w:t>
                  </w:r>
                  <w:r>
                    <w:rPr>
                      <w:rFonts w:ascii="Garamond" w:hAnsi="Garamond"/>
                      <w:color w:val="FFFFFF" w:themeColor="background1"/>
                      <w:sz w:val="20"/>
                      <w:szCs w:val="20"/>
                    </w:rPr>
                    <w:t>with</w:t>
                  </w:r>
                  <w:r w:rsidRPr="00250E92">
                    <w:rPr>
                      <w:rFonts w:ascii="Garamond" w:hAnsi="Garamond"/>
                      <w:color w:val="FFFFFF" w:themeColor="background1"/>
                      <w:sz w:val="20"/>
                      <w:szCs w:val="20"/>
                    </w:rPr>
                    <w:t xml:space="preserve"> value below the thresholds provided by law - simple procurement, will be </w:t>
                  </w:r>
                  <w:r>
                    <w:rPr>
                      <w:rFonts w:ascii="Garamond" w:hAnsi="Garamond"/>
                      <w:color w:val="FFFFFF" w:themeColor="background1"/>
                      <w:sz w:val="20"/>
                      <w:szCs w:val="20"/>
                    </w:rPr>
                    <w:t>achieved by standardis</w:t>
                  </w:r>
                  <w:r w:rsidRPr="00250E92">
                    <w:rPr>
                      <w:rFonts w:ascii="Garamond" w:hAnsi="Garamond"/>
                      <w:color w:val="FFFFFF" w:themeColor="background1"/>
                      <w:sz w:val="20"/>
                      <w:szCs w:val="20"/>
                    </w:rPr>
                    <w:t xml:space="preserve">ing single procurement as an exception to the application of the Law on Public Procurement, and </w:t>
                  </w:r>
                  <w:r>
                    <w:rPr>
                      <w:rFonts w:ascii="Garamond" w:hAnsi="Garamond"/>
                      <w:color w:val="FFFFFF" w:themeColor="background1"/>
                      <w:sz w:val="20"/>
                      <w:szCs w:val="20"/>
                    </w:rPr>
                    <w:t xml:space="preserve">by </w:t>
                  </w:r>
                  <w:r w:rsidRPr="00250E92">
                    <w:rPr>
                      <w:rFonts w:ascii="Garamond" w:hAnsi="Garamond"/>
                      <w:color w:val="FFFFFF" w:themeColor="background1"/>
                      <w:sz w:val="20"/>
                      <w:szCs w:val="20"/>
                    </w:rPr>
                    <w:t xml:space="preserve">prescribing a single act that will apply to all </w:t>
                  </w:r>
                  <w:r w:rsidR="005B77B1">
                    <w:rPr>
                      <w:rFonts w:ascii="Garamond" w:hAnsi="Garamond"/>
                      <w:color w:val="FFFFFF" w:themeColor="background1"/>
                      <w:sz w:val="20"/>
                      <w:szCs w:val="20"/>
                    </w:rPr>
                    <w:t>contracting authorities</w:t>
                  </w:r>
                  <w:r>
                    <w:rPr>
                      <w:rFonts w:ascii="Garamond" w:hAnsi="Garamond"/>
                      <w:color w:val="FFFFFF" w:themeColor="background1"/>
                      <w:sz w:val="20"/>
                      <w:szCs w:val="20"/>
                    </w:rPr>
                    <w:t>,</w:t>
                  </w:r>
                  <w:r w:rsidRPr="00250E92">
                    <w:rPr>
                      <w:rFonts w:ascii="Garamond" w:hAnsi="Garamond"/>
                      <w:color w:val="FFFFFF" w:themeColor="background1"/>
                      <w:sz w:val="20"/>
                      <w:szCs w:val="20"/>
                    </w:rPr>
                    <w:t xml:space="preserve"> the procedure </w:t>
                  </w:r>
                  <w:r w:rsidR="005B77B1">
                    <w:rPr>
                      <w:rFonts w:ascii="Garamond" w:hAnsi="Garamond"/>
                      <w:color w:val="FFFFFF" w:themeColor="background1"/>
                      <w:sz w:val="20"/>
                      <w:szCs w:val="20"/>
                    </w:rPr>
                    <w:t>concerning</w:t>
                  </w:r>
                  <w:r w:rsidRPr="00250E92">
                    <w:rPr>
                      <w:rFonts w:ascii="Garamond" w:hAnsi="Garamond"/>
                      <w:color w:val="FFFFFF" w:themeColor="background1"/>
                      <w:sz w:val="20"/>
                      <w:szCs w:val="20"/>
                    </w:rPr>
                    <w:t xml:space="preserve"> the</w:t>
                  </w:r>
                  <w:r>
                    <w:rPr>
                      <w:rFonts w:ascii="Garamond" w:hAnsi="Garamond"/>
                      <w:color w:val="FFFFFF" w:themeColor="background1"/>
                      <w:sz w:val="20"/>
                      <w:szCs w:val="20"/>
                    </w:rPr>
                    <w:t xml:space="preserve">se procurements </w:t>
                  </w:r>
                  <w:r w:rsidRPr="00250E92">
                    <w:rPr>
                      <w:rFonts w:ascii="Garamond" w:hAnsi="Garamond"/>
                      <w:color w:val="FFFFFF" w:themeColor="background1"/>
                      <w:sz w:val="20"/>
                      <w:szCs w:val="20"/>
                    </w:rPr>
                    <w:t>at the level of the entire system</w:t>
                  </w:r>
                  <w:r w:rsidRPr="00EE4295">
                    <w:rPr>
                      <w:rFonts w:ascii="Garamond" w:hAnsi="Garamond"/>
                      <w:color w:val="FFFFFF" w:themeColor="background1"/>
                      <w:sz w:val="20"/>
                      <w:szCs w:val="20"/>
                    </w:rPr>
                    <w:t xml:space="preserve"> </w:t>
                  </w:r>
                  <w:r>
                    <w:rPr>
                      <w:rFonts w:ascii="Garamond" w:hAnsi="Garamond"/>
                      <w:color w:val="FFFFFF" w:themeColor="background1"/>
                      <w:sz w:val="20"/>
                      <w:szCs w:val="20"/>
                    </w:rPr>
                    <w:t xml:space="preserve">will be </w:t>
                  </w:r>
                  <w:r w:rsidRPr="00250E92">
                    <w:rPr>
                      <w:rFonts w:ascii="Garamond" w:hAnsi="Garamond"/>
                      <w:color w:val="FFFFFF" w:themeColor="background1"/>
                      <w:sz w:val="20"/>
                      <w:szCs w:val="20"/>
                    </w:rPr>
                    <w:t>unif</w:t>
                  </w:r>
                  <w:r>
                    <w:rPr>
                      <w:rFonts w:ascii="Garamond" w:hAnsi="Garamond"/>
                      <w:color w:val="FFFFFF" w:themeColor="background1"/>
                      <w:sz w:val="20"/>
                      <w:szCs w:val="20"/>
                    </w:rPr>
                    <w:t>ied</w:t>
                  </w:r>
                  <w:r w:rsidRPr="00250E92">
                    <w:rPr>
                      <w:rFonts w:ascii="Garamond" w:hAnsi="Garamond"/>
                      <w:color w:val="FFFFFF" w:themeColor="background1"/>
                      <w:sz w:val="20"/>
                      <w:szCs w:val="20"/>
                    </w:rPr>
                    <w:t>.</w:t>
                  </w:r>
                </w:p>
                <w:p w:rsidR="002C4371" w:rsidRPr="00BF266D" w:rsidRDefault="002C4371" w:rsidP="00EE4295">
                  <w:pPr>
                    <w:pStyle w:val="ListParagraph"/>
                    <w:numPr>
                      <w:ilvl w:val="0"/>
                      <w:numId w:val="20"/>
                    </w:numPr>
                    <w:jc w:val="both"/>
                    <w:rPr>
                      <w:rFonts w:ascii="Garamond" w:hAnsi="Garamond"/>
                      <w:szCs w:val="20"/>
                    </w:rPr>
                  </w:pPr>
                  <w:r w:rsidRPr="00BF266D">
                    <w:rPr>
                      <w:rFonts w:ascii="Garamond" w:hAnsi="Garamond"/>
                      <w:color w:val="FFFFFF" w:themeColor="background1"/>
                      <w:sz w:val="20"/>
                      <w:szCs w:val="20"/>
                    </w:rPr>
                    <w:t xml:space="preserve">Further improvement of the Electronic Public Procurement System, which started to </w:t>
                  </w:r>
                  <w:proofErr w:type="gramStart"/>
                  <w:r w:rsidRPr="00BF266D">
                    <w:rPr>
                      <w:rFonts w:ascii="Garamond" w:hAnsi="Garamond"/>
                      <w:color w:val="FFFFFF" w:themeColor="background1"/>
                      <w:sz w:val="20"/>
                      <w:szCs w:val="20"/>
                    </w:rPr>
                    <w:t>be</w:t>
                  </w:r>
                  <w:proofErr w:type="gramEnd"/>
                  <w:r w:rsidRPr="00BF266D">
                    <w:rPr>
                      <w:rFonts w:ascii="Garamond" w:hAnsi="Garamond"/>
                      <w:color w:val="FFFFFF" w:themeColor="background1"/>
                      <w:sz w:val="20"/>
                      <w:szCs w:val="20"/>
                    </w:rPr>
                    <w:t xml:space="preserve"> implemented on January 1, 2021, continuous support to system users provided by employees of the Ministry.</w:t>
                  </w:r>
                </w:p>
              </w:txbxContent>
            </v:textbox>
            <w10:wrap type="none"/>
            <w10:anchorlock/>
          </v:roundrect>
        </w:pict>
      </w: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4D1343" w:rsidRPr="00C32887" w:rsidRDefault="00BF266D" w:rsidP="00BF266D">
      <w:pPr>
        <w:jc w:val="both"/>
        <w:rPr>
          <w:rFonts w:ascii="Garamond" w:hAnsi="Garamond"/>
          <w:sz w:val="24"/>
          <w:szCs w:val="24"/>
        </w:rPr>
      </w:pPr>
      <w:r>
        <w:rPr>
          <w:rFonts w:ascii="Garamond" w:hAnsi="Garamond"/>
          <w:sz w:val="24"/>
          <w:szCs w:val="24"/>
        </w:rPr>
        <w:t>Therefore</w:t>
      </w:r>
      <w:r w:rsidR="004D1343" w:rsidRPr="00C32887">
        <w:rPr>
          <w:rFonts w:ascii="Garamond" w:hAnsi="Garamond"/>
          <w:sz w:val="24"/>
          <w:szCs w:val="24"/>
        </w:rPr>
        <w:t xml:space="preserve"> we can conclude that two of the three indicators have been met, while the average number of bidders decreased significantly in 2019 and the target value has not been met. The target value for 2020 is not </w:t>
      </w:r>
      <w:r w:rsidR="00F020F8">
        <w:rPr>
          <w:rFonts w:ascii="Garamond" w:hAnsi="Garamond"/>
          <w:sz w:val="24"/>
          <w:szCs w:val="24"/>
        </w:rPr>
        <w:t>met</w:t>
      </w:r>
      <w:r w:rsidR="004D1343" w:rsidRPr="00C32887">
        <w:rPr>
          <w:rFonts w:ascii="Garamond" w:hAnsi="Garamond"/>
          <w:sz w:val="24"/>
          <w:szCs w:val="24"/>
        </w:rPr>
        <w:t>, but growth competitiveness index co</w:t>
      </w:r>
      <w:r>
        <w:rPr>
          <w:rFonts w:ascii="Garamond" w:hAnsi="Garamond"/>
          <w:sz w:val="24"/>
          <w:szCs w:val="24"/>
        </w:rPr>
        <w:t>mpared to the previous period was</w:t>
      </w:r>
      <w:r w:rsidRPr="00C32887">
        <w:rPr>
          <w:rFonts w:ascii="Garamond" w:hAnsi="Garamond"/>
          <w:sz w:val="24"/>
          <w:szCs w:val="24"/>
        </w:rPr>
        <w:t xml:space="preserve"> recorded </w:t>
      </w:r>
      <w:r>
        <w:rPr>
          <w:rFonts w:ascii="Garamond" w:hAnsi="Garamond"/>
          <w:sz w:val="24"/>
          <w:szCs w:val="24"/>
        </w:rPr>
        <w:t>(</w:t>
      </w:r>
      <w:r w:rsidR="004D1343" w:rsidRPr="00C32887">
        <w:rPr>
          <w:rFonts w:ascii="Garamond" w:hAnsi="Garamond"/>
          <w:sz w:val="24"/>
          <w:szCs w:val="24"/>
        </w:rPr>
        <w:t xml:space="preserve">number of </w:t>
      </w:r>
      <w:r>
        <w:rPr>
          <w:rFonts w:ascii="Garamond" w:hAnsi="Garamond"/>
          <w:sz w:val="24"/>
          <w:szCs w:val="24"/>
        </w:rPr>
        <w:t xml:space="preserve">bids per procedure in 2020 </w:t>
      </w:r>
      <w:r w:rsidR="004D1343" w:rsidRPr="00C32887">
        <w:rPr>
          <w:rFonts w:ascii="Garamond" w:hAnsi="Garamond"/>
          <w:sz w:val="24"/>
          <w:szCs w:val="24"/>
        </w:rPr>
        <w:t>rose to 2.27).</w:t>
      </w:r>
    </w:p>
    <w:p w:rsidR="004D1343" w:rsidRPr="00C32887" w:rsidRDefault="004D1343" w:rsidP="004D1343">
      <w:pPr>
        <w:rPr>
          <w:rFonts w:ascii="Garamond" w:hAnsi="Garamond"/>
          <w:sz w:val="24"/>
          <w:szCs w:val="24"/>
        </w:rPr>
      </w:pPr>
    </w:p>
    <w:p w:rsidR="004D1343" w:rsidRPr="00C32887" w:rsidRDefault="004D1343" w:rsidP="00BF266D">
      <w:pPr>
        <w:jc w:val="both"/>
        <w:rPr>
          <w:rFonts w:ascii="Garamond" w:hAnsi="Garamond"/>
          <w:sz w:val="24"/>
          <w:szCs w:val="24"/>
        </w:rPr>
      </w:pPr>
      <w:r w:rsidRPr="00C32887">
        <w:rPr>
          <w:rFonts w:ascii="Garamond" w:hAnsi="Garamond"/>
          <w:sz w:val="24"/>
          <w:szCs w:val="24"/>
        </w:rPr>
        <w:t xml:space="preserve">The above challenges are continuously addressed through the regular activities of the </w:t>
      </w:r>
      <w:r w:rsidR="00F020F8" w:rsidRPr="00C32887">
        <w:rPr>
          <w:rFonts w:ascii="Garamond" w:hAnsi="Garamond"/>
          <w:sz w:val="24"/>
          <w:szCs w:val="24"/>
        </w:rPr>
        <w:t xml:space="preserve">Directorate </w:t>
      </w:r>
      <w:r w:rsidR="00F020F8">
        <w:rPr>
          <w:rFonts w:ascii="Garamond" w:hAnsi="Garamond"/>
          <w:sz w:val="24"/>
          <w:szCs w:val="24"/>
        </w:rPr>
        <w:t xml:space="preserve">for </w:t>
      </w:r>
      <w:r w:rsidRPr="00C32887">
        <w:rPr>
          <w:rFonts w:ascii="Garamond" w:hAnsi="Garamond"/>
          <w:sz w:val="24"/>
          <w:szCs w:val="24"/>
        </w:rPr>
        <w:t>Public Procurement Policy, through:</w:t>
      </w:r>
    </w:p>
    <w:p w:rsidR="004D1343" w:rsidRPr="00BF266D" w:rsidRDefault="00F020F8" w:rsidP="00BF266D">
      <w:pPr>
        <w:pStyle w:val="ListParagraph"/>
        <w:numPr>
          <w:ilvl w:val="0"/>
          <w:numId w:val="4"/>
        </w:numPr>
        <w:jc w:val="both"/>
        <w:rPr>
          <w:rFonts w:ascii="Garamond" w:hAnsi="Garamond"/>
          <w:sz w:val="24"/>
          <w:szCs w:val="24"/>
        </w:rPr>
      </w:pPr>
      <w:r w:rsidRPr="00BF266D">
        <w:rPr>
          <w:rFonts w:ascii="Garamond" w:hAnsi="Garamond"/>
          <w:sz w:val="24"/>
          <w:szCs w:val="24"/>
        </w:rPr>
        <w:t xml:space="preserve">Trainings </w:t>
      </w:r>
      <w:r w:rsidR="004D1343" w:rsidRPr="00BF266D">
        <w:rPr>
          <w:rFonts w:ascii="Garamond" w:hAnsi="Garamond"/>
          <w:sz w:val="24"/>
          <w:szCs w:val="24"/>
        </w:rPr>
        <w:t xml:space="preserve">that the Directorate for Public Procurement Policy continuously conducts, both on the topic of the regulatory framework and the use of electronic procurement systems;         </w:t>
      </w:r>
    </w:p>
    <w:p w:rsidR="004D1343" w:rsidRPr="00BF266D" w:rsidRDefault="00F020F8" w:rsidP="00BF266D">
      <w:pPr>
        <w:pStyle w:val="ListParagraph"/>
        <w:numPr>
          <w:ilvl w:val="0"/>
          <w:numId w:val="4"/>
        </w:numPr>
        <w:jc w:val="both"/>
        <w:rPr>
          <w:rFonts w:ascii="Garamond" w:hAnsi="Garamond"/>
          <w:sz w:val="24"/>
          <w:szCs w:val="24"/>
        </w:rPr>
      </w:pPr>
      <w:r w:rsidRPr="00BF266D">
        <w:rPr>
          <w:rFonts w:ascii="Garamond" w:hAnsi="Garamond"/>
          <w:sz w:val="24"/>
          <w:szCs w:val="24"/>
        </w:rPr>
        <w:t xml:space="preserve">Strengthening </w:t>
      </w:r>
      <w:r w:rsidR="004D1343" w:rsidRPr="00BF266D">
        <w:rPr>
          <w:rFonts w:ascii="Garamond" w:hAnsi="Garamond"/>
          <w:sz w:val="24"/>
          <w:szCs w:val="24"/>
        </w:rPr>
        <w:t xml:space="preserve">monitoring through semi-annual reporting, as well as the implementation of monitoring for certain segments of public procurement;         </w:t>
      </w:r>
    </w:p>
    <w:p w:rsidR="004D1343" w:rsidRPr="00BF266D" w:rsidRDefault="004D1343" w:rsidP="00BF266D">
      <w:pPr>
        <w:pStyle w:val="ListParagraph"/>
        <w:numPr>
          <w:ilvl w:val="0"/>
          <w:numId w:val="4"/>
        </w:numPr>
        <w:jc w:val="both"/>
        <w:rPr>
          <w:rFonts w:ascii="Garamond" w:hAnsi="Garamond"/>
          <w:sz w:val="24"/>
          <w:szCs w:val="24"/>
        </w:rPr>
      </w:pPr>
      <w:r w:rsidRPr="00BF266D">
        <w:rPr>
          <w:rFonts w:ascii="Garamond" w:hAnsi="Garamond"/>
          <w:sz w:val="24"/>
          <w:szCs w:val="24"/>
        </w:rPr>
        <w:t>The electronic public procurement system has been operational since January 1, 2021, new functions are planned to be upgraded, and customer support is provided continuously, on a daily basis by employees in the Directorate (there are about 1</w:t>
      </w:r>
      <w:r w:rsidR="00F020F8">
        <w:rPr>
          <w:rFonts w:ascii="Garamond" w:hAnsi="Garamond"/>
          <w:sz w:val="24"/>
          <w:szCs w:val="24"/>
        </w:rPr>
        <w:t>,</w:t>
      </w:r>
      <w:r w:rsidRPr="00BF266D">
        <w:rPr>
          <w:rFonts w:ascii="Garamond" w:hAnsi="Garamond"/>
          <w:sz w:val="24"/>
          <w:szCs w:val="24"/>
        </w:rPr>
        <w:t>350 active bidders and 645 register</w:t>
      </w:r>
      <w:r w:rsidR="00BF266D">
        <w:rPr>
          <w:rFonts w:ascii="Garamond" w:hAnsi="Garamond"/>
          <w:sz w:val="24"/>
          <w:szCs w:val="24"/>
        </w:rPr>
        <w:t xml:space="preserve">ed contracting authorities). </w:t>
      </w:r>
      <w:r w:rsidRPr="00BF266D">
        <w:rPr>
          <w:rFonts w:ascii="Garamond" w:hAnsi="Garamond"/>
          <w:sz w:val="24"/>
          <w:szCs w:val="24"/>
        </w:rPr>
        <w:t xml:space="preserve">       </w:t>
      </w:r>
    </w:p>
    <w:p w:rsidR="004D1343" w:rsidRPr="00C32887" w:rsidRDefault="00BF266D" w:rsidP="00BF266D">
      <w:pPr>
        <w:pStyle w:val="Heading3"/>
        <w:rPr>
          <w:rFonts w:ascii="Garamond" w:hAnsi="Garamond"/>
          <w:sz w:val="24"/>
          <w:szCs w:val="24"/>
        </w:rPr>
      </w:pPr>
      <w:bookmarkStart w:id="19" w:name="_Toc77688199"/>
      <w:r w:rsidRPr="00C32887">
        <w:rPr>
          <w:rFonts w:ascii="Garamond" w:hAnsi="Garamond"/>
          <w:sz w:val="24"/>
          <w:szCs w:val="24"/>
        </w:rPr>
        <w:t>STATE AID</w:t>
      </w:r>
      <w:r w:rsidRPr="00BF266D">
        <w:rPr>
          <w:rFonts w:ascii="Garamond" w:hAnsi="Garamond"/>
          <w:sz w:val="24"/>
          <w:szCs w:val="24"/>
        </w:rPr>
        <w:t xml:space="preserve"> </w:t>
      </w:r>
      <w:r>
        <w:rPr>
          <w:rFonts w:ascii="Garamond" w:hAnsi="Garamond"/>
          <w:sz w:val="24"/>
          <w:szCs w:val="24"/>
        </w:rPr>
        <w:t>REFORM</w:t>
      </w:r>
      <w:bookmarkEnd w:id="19"/>
    </w:p>
    <w:p w:rsidR="004D1343" w:rsidRPr="00C32887" w:rsidRDefault="004D1343" w:rsidP="004D1343">
      <w:pPr>
        <w:rPr>
          <w:rFonts w:ascii="Garamond" w:hAnsi="Garamond"/>
          <w:sz w:val="24"/>
          <w:szCs w:val="24"/>
        </w:rPr>
      </w:pPr>
    </w:p>
    <w:p w:rsidR="004D1343" w:rsidRPr="00C32887" w:rsidRDefault="008C5C2E" w:rsidP="00BF266D">
      <w:pPr>
        <w:jc w:val="both"/>
        <w:rPr>
          <w:rFonts w:ascii="Garamond" w:hAnsi="Garamond"/>
          <w:sz w:val="24"/>
          <w:szCs w:val="24"/>
        </w:rPr>
      </w:pPr>
      <w:r>
        <w:rPr>
          <w:rFonts w:ascii="Garamond" w:hAnsi="Garamond"/>
          <w:sz w:val="24"/>
          <w:szCs w:val="24"/>
        </w:rPr>
        <w:t>Under</w:t>
      </w:r>
      <w:r w:rsidR="004D1343" w:rsidRPr="00C32887">
        <w:rPr>
          <w:rFonts w:ascii="Garamond" w:hAnsi="Garamond"/>
          <w:sz w:val="24"/>
          <w:szCs w:val="24"/>
        </w:rPr>
        <w:t xml:space="preserve"> this</w:t>
      </w:r>
      <w:r w:rsidR="00BF266D">
        <w:rPr>
          <w:rFonts w:ascii="Garamond" w:hAnsi="Garamond"/>
          <w:sz w:val="24"/>
          <w:szCs w:val="24"/>
        </w:rPr>
        <w:t xml:space="preserve"> sub-</w:t>
      </w:r>
      <w:r w:rsidR="00F020F8">
        <w:rPr>
          <w:rFonts w:ascii="Garamond" w:hAnsi="Garamond"/>
          <w:sz w:val="24"/>
          <w:szCs w:val="24"/>
        </w:rPr>
        <w:t>objective</w:t>
      </w:r>
      <w:r w:rsidR="00BF266D">
        <w:rPr>
          <w:rFonts w:ascii="Garamond" w:hAnsi="Garamond"/>
          <w:sz w:val="24"/>
          <w:szCs w:val="24"/>
        </w:rPr>
        <w:t>, on February 14, 2018</w:t>
      </w:r>
      <w:r w:rsidR="004D1343" w:rsidRPr="00C32887">
        <w:rPr>
          <w:rFonts w:ascii="Garamond" w:hAnsi="Garamond"/>
          <w:sz w:val="24"/>
          <w:szCs w:val="24"/>
        </w:rPr>
        <w:t>, the Parliament of Montenegro adopted a new Law on State Aid Control</w:t>
      </w:r>
      <w:r w:rsidR="00BF266D">
        <w:rPr>
          <w:rStyle w:val="FootnoteReference"/>
          <w:rFonts w:ascii="Garamond" w:hAnsi="Garamond"/>
          <w:sz w:val="24"/>
          <w:szCs w:val="24"/>
        </w:rPr>
        <w:footnoteReference w:id="21"/>
      </w:r>
      <w:r w:rsidR="004D1343" w:rsidRPr="00C32887">
        <w:rPr>
          <w:rFonts w:ascii="Garamond" w:hAnsi="Garamond"/>
          <w:sz w:val="24"/>
          <w:szCs w:val="24"/>
        </w:rPr>
        <w:t xml:space="preserve">. The adoption of the Law fulfilled the condition </w:t>
      </w:r>
      <w:r w:rsidR="00F020F8">
        <w:rPr>
          <w:rFonts w:ascii="Garamond" w:hAnsi="Garamond"/>
          <w:sz w:val="24"/>
          <w:szCs w:val="24"/>
        </w:rPr>
        <w:t>to open the</w:t>
      </w:r>
      <w:r w:rsidR="004D1343" w:rsidRPr="00C32887">
        <w:rPr>
          <w:rFonts w:ascii="Garamond" w:hAnsi="Garamond"/>
          <w:sz w:val="24"/>
          <w:szCs w:val="24"/>
        </w:rPr>
        <w:t xml:space="preserve"> Chapter </w:t>
      </w:r>
      <w:r w:rsidR="00BF266D">
        <w:rPr>
          <w:rFonts w:ascii="Garamond" w:hAnsi="Garamond"/>
          <w:sz w:val="24"/>
          <w:szCs w:val="24"/>
        </w:rPr>
        <w:t>Competition</w:t>
      </w:r>
      <w:r w:rsidR="004D1343" w:rsidRPr="00C32887">
        <w:rPr>
          <w:rFonts w:ascii="Garamond" w:hAnsi="Garamond"/>
          <w:sz w:val="24"/>
          <w:szCs w:val="24"/>
        </w:rPr>
        <w:t xml:space="preserve">, and </w:t>
      </w:r>
      <w:r w:rsidR="00BF266D" w:rsidRPr="00C32887">
        <w:rPr>
          <w:rFonts w:ascii="Garamond" w:hAnsi="Garamond"/>
          <w:sz w:val="24"/>
          <w:szCs w:val="24"/>
        </w:rPr>
        <w:t xml:space="preserve">thus </w:t>
      </w:r>
      <w:r w:rsidR="004D1343" w:rsidRPr="00C32887">
        <w:rPr>
          <w:rFonts w:ascii="Garamond" w:hAnsi="Garamond"/>
          <w:sz w:val="24"/>
          <w:szCs w:val="24"/>
        </w:rPr>
        <w:t>brought a new institutional framew</w:t>
      </w:r>
      <w:r w:rsidR="00BF266D">
        <w:rPr>
          <w:rFonts w:ascii="Garamond" w:hAnsi="Garamond"/>
          <w:sz w:val="24"/>
          <w:szCs w:val="24"/>
        </w:rPr>
        <w:t>ork</w:t>
      </w:r>
      <w:r w:rsidR="00F020F8">
        <w:rPr>
          <w:rFonts w:ascii="Garamond" w:hAnsi="Garamond"/>
          <w:sz w:val="24"/>
          <w:szCs w:val="24"/>
        </w:rPr>
        <w:t>. T</w:t>
      </w:r>
      <w:r w:rsidR="00B32B42">
        <w:rPr>
          <w:rFonts w:ascii="Garamond" w:hAnsi="Garamond"/>
          <w:sz w:val="24"/>
          <w:szCs w:val="24"/>
        </w:rPr>
        <w:t>he</w:t>
      </w:r>
      <w:r w:rsidR="004D1343" w:rsidRPr="00C32887">
        <w:rPr>
          <w:rFonts w:ascii="Garamond" w:hAnsi="Garamond"/>
          <w:sz w:val="24"/>
          <w:szCs w:val="24"/>
        </w:rPr>
        <w:t xml:space="preserve"> activities in the field of state aid, which until then had been the responsibility of the Ministry of Finance and Social Welfare of Montenegro and the Commission for </w:t>
      </w:r>
      <w:r w:rsidR="00F020F8" w:rsidRPr="00C32887">
        <w:rPr>
          <w:rFonts w:ascii="Garamond" w:hAnsi="Garamond"/>
          <w:sz w:val="24"/>
          <w:szCs w:val="24"/>
        </w:rPr>
        <w:t xml:space="preserve">State Aid Control, </w:t>
      </w:r>
      <w:r w:rsidR="004D1343" w:rsidRPr="00C32887">
        <w:rPr>
          <w:rFonts w:ascii="Garamond" w:hAnsi="Garamond"/>
          <w:sz w:val="24"/>
          <w:szCs w:val="24"/>
        </w:rPr>
        <w:t xml:space="preserve">transferred </w:t>
      </w:r>
      <w:r w:rsidR="00F020F8">
        <w:rPr>
          <w:rFonts w:ascii="Garamond" w:hAnsi="Garamond"/>
          <w:sz w:val="24"/>
          <w:szCs w:val="24"/>
        </w:rPr>
        <w:t>to</w:t>
      </w:r>
      <w:r w:rsidR="004D1343" w:rsidRPr="00C32887">
        <w:rPr>
          <w:rFonts w:ascii="Garamond" w:hAnsi="Garamond"/>
          <w:sz w:val="24"/>
          <w:szCs w:val="24"/>
        </w:rPr>
        <w:t xml:space="preserve"> the jurisdiction of the </w:t>
      </w:r>
      <w:r w:rsidR="00F020F8" w:rsidRPr="00C32887">
        <w:rPr>
          <w:rFonts w:ascii="Garamond" w:hAnsi="Garamond"/>
          <w:sz w:val="24"/>
          <w:szCs w:val="24"/>
        </w:rPr>
        <w:t xml:space="preserve">Competition </w:t>
      </w:r>
      <w:r w:rsidR="004D1343" w:rsidRPr="00C32887">
        <w:rPr>
          <w:rFonts w:ascii="Garamond" w:hAnsi="Garamond"/>
          <w:sz w:val="24"/>
          <w:szCs w:val="24"/>
        </w:rPr>
        <w:t xml:space="preserve">Protection </w:t>
      </w:r>
      <w:r w:rsidR="00F020F8" w:rsidRPr="00C32887">
        <w:rPr>
          <w:rFonts w:ascii="Garamond" w:hAnsi="Garamond"/>
          <w:sz w:val="24"/>
          <w:szCs w:val="24"/>
        </w:rPr>
        <w:t>Agency</w:t>
      </w:r>
      <w:r w:rsidR="004D1343" w:rsidRPr="00C32887">
        <w:rPr>
          <w:rFonts w:ascii="Garamond" w:hAnsi="Garamond"/>
          <w:sz w:val="24"/>
          <w:szCs w:val="24"/>
        </w:rPr>
        <w:t>. Chapter 8 - Competition was officially opened at the Intergovernmental Conference he</w:t>
      </w:r>
      <w:r w:rsidR="00B32B42">
        <w:rPr>
          <w:rFonts w:ascii="Garamond" w:hAnsi="Garamond"/>
          <w:sz w:val="24"/>
          <w:szCs w:val="24"/>
        </w:rPr>
        <w:t>ld on June 30, 2020 in Brussels</w:t>
      </w:r>
      <w:r w:rsidR="004D1343"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F020F8" w:rsidP="00B32B42">
      <w:pPr>
        <w:jc w:val="both"/>
        <w:rPr>
          <w:rFonts w:ascii="Garamond" w:hAnsi="Garamond"/>
          <w:sz w:val="24"/>
          <w:szCs w:val="24"/>
        </w:rPr>
      </w:pPr>
      <w:r w:rsidRPr="00C32887">
        <w:rPr>
          <w:rFonts w:ascii="Garamond" w:hAnsi="Garamond"/>
          <w:sz w:val="24"/>
          <w:szCs w:val="24"/>
        </w:rPr>
        <w:t xml:space="preserve">State Aid Control </w:t>
      </w:r>
      <w:r w:rsidR="008C5C2E">
        <w:rPr>
          <w:rFonts w:ascii="Garamond" w:hAnsi="Garamond"/>
          <w:sz w:val="24"/>
          <w:szCs w:val="24"/>
        </w:rPr>
        <w:t xml:space="preserve">Division </w:t>
      </w:r>
      <w:r w:rsidR="004D1343" w:rsidRPr="00C32887">
        <w:rPr>
          <w:rFonts w:ascii="Garamond" w:hAnsi="Garamond"/>
          <w:sz w:val="24"/>
          <w:szCs w:val="24"/>
        </w:rPr>
        <w:t xml:space="preserve">in the </w:t>
      </w:r>
      <w:r w:rsidR="00B32B42">
        <w:rPr>
          <w:rFonts w:ascii="Garamond" w:hAnsi="Garamond"/>
          <w:sz w:val="24"/>
          <w:szCs w:val="24"/>
        </w:rPr>
        <w:t>Competition</w:t>
      </w:r>
      <w:r w:rsidRPr="00F020F8">
        <w:rPr>
          <w:rFonts w:ascii="Garamond" w:hAnsi="Garamond"/>
          <w:sz w:val="24"/>
          <w:szCs w:val="24"/>
        </w:rPr>
        <w:t xml:space="preserve"> </w:t>
      </w:r>
      <w:r>
        <w:rPr>
          <w:rFonts w:ascii="Garamond" w:hAnsi="Garamond"/>
          <w:sz w:val="24"/>
          <w:szCs w:val="24"/>
        </w:rPr>
        <w:t xml:space="preserve">Protection </w:t>
      </w:r>
      <w:r w:rsidRPr="00C32887">
        <w:rPr>
          <w:rFonts w:ascii="Garamond" w:hAnsi="Garamond"/>
          <w:sz w:val="24"/>
          <w:szCs w:val="24"/>
        </w:rPr>
        <w:t>Agency</w:t>
      </w:r>
      <w:r w:rsidR="00B32B42">
        <w:rPr>
          <w:rStyle w:val="FootnoteReference"/>
          <w:rFonts w:ascii="Garamond" w:hAnsi="Garamond"/>
          <w:sz w:val="24"/>
          <w:szCs w:val="24"/>
        </w:rPr>
        <w:footnoteReference w:id="22"/>
      </w:r>
      <w:r w:rsidR="004D1343" w:rsidRPr="00C32887">
        <w:rPr>
          <w:rFonts w:ascii="Garamond" w:hAnsi="Garamond"/>
          <w:sz w:val="24"/>
          <w:szCs w:val="24"/>
        </w:rPr>
        <w:t xml:space="preserve"> carried out binding activities </w:t>
      </w:r>
      <w:r w:rsidR="008C5C2E">
        <w:rPr>
          <w:rFonts w:ascii="Garamond" w:hAnsi="Garamond"/>
          <w:sz w:val="24"/>
          <w:szCs w:val="24"/>
        </w:rPr>
        <w:t>under</w:t>
      </w:r>
      <w:r w:rsidR="00B32B42">
        <w:rPr>
          <w:rFonts w:ascii="Garamond" w:hAnsi="Garamond"/>
          <w:sz w:val="24"/>
          <w:szCs w:val="24"/>
        </w:rPr>
        <w:t xml:space="preserve"> the IPA project </w:t>
      </w:r>
      <w:r w:rsidR="00C13A74">
        <w:rPr>
          <w:rFonts w:ascii="Garamond" w:hAnsi="Garamond"/>
          <w:sz w:val="24"/>
          <w:szCs w:val="24"/>
        </w:rPr>
        <w:t>‘</w:t>
      </w:r>
      <w:r w:rsidR="004D1343" w:rsidRPr="00C32887">
        <w:rPr>
          <w:rFonts w:ascii="Garamond" w:hAnsi="Garamond"/>
          <w:sz w:val="24"/>
          <w:szCs w:val="24"/>
        </w:rPr>
        <w:t xml:space="preserve">Improvement and </w:t>
      </w:r>
      <w:r w:rsidR="008C5C2E" w:rsidRPr="00C32887">
        <w:rPr>
          <w:rFonts w:ascii="Garamond" w:hAnsi="Garamond"/>
          <w:sz w:val="24"/>
          <w:szCs w:val="24"/>
        </w:rPr>
        <w:t xml:space="preserve">Strengthening </w:t>
      </w:r>
      <w:r w:rsidR="004D1343" w:rsidRPr="00C32887">
        <w:rPr>
          <w:rFonts w:ascii="Garamond" w:hAnsi="Garamond"/>
          <w:sz w:val="24"/>
          <w:szCs w:val="24"/>
        </w:rPr>
        <w:t xml:space="preserve">of the </w:t>
      </w:r>
      <w:r w:rsidR="008C5C2E" w:rsidRPr="00C32887">
        <w:rPr>
          <w:rFonts w:ascii="Garamond" w:hAnsi="Garamond"/>
          <w:sz w:val="24"/>
          <w:szCs w:val="24"/>
        </w:rPr>
        <w:t xml:space="preserve">Institutional </w:t>
      </w:r>
      <w:r w:rsidR="004D1343" w:rsidRPr="00C32887">
        <w:rPr>
          <w:rFonts w:ascii="Garamond" w:hAnsi="Garamond"/>
          <w:sz w:val="24"/>
          <w:szCs w:val="24"/>
        </w:rPr>
        <w:t xml:space="preserve">and </w:t>
      </w:r>
      <w:r w:rsidR="008C5C2E" w:rsidRPr="00C32887">
        <w:rPr>
          <w:rFonts w:ascii="Garamond" w:hAnsi="Garamond"/>
          <w:sz w:val="24"/>
          <w:szCs w:val="24"/>
        </w:rPr>
        <w:t xml:space="preserve">Legal Framework </w:t>
      </w:r>
      <w:r w:rsidR="004D1343" w:rsidRPr="00C32887">
        <w:rPr>
          <w:rFonts w:ascii="Garamond" w:hAnsi="Garamond"/>
          <w:sz w:val="24"/>
          <w:szCs w:val="24"/>
        </w:rPr>
        <w:t xml:space="preserve">in the </w:t>
      </w:r>
      <w:r w:rsidR="008C5C2E" w:rsidRPr="00C32887">
        <w:rPr>
          <w:rFonts w:ascii="Garamond" w:hAnsi="Garamond"/>
          <w:sz w:val="24"/>
          <w:szCs w:val="24"/>
        </w:rPr>
        <w:t xml:space="preserve">Field </w:t>
      </w:r>
      <w:r w:rsidR="004D1343" w:rsidRPr="00C32887">
        <w:rPr>
          <w:rFonts w:ascii="Garamond" w:hAnsi="Garamond"/>
          <w:sz w:val="24"/>
          <w:szCs w:val="24"/>
        </w:rPr>
        <w:t xml:space="preserve">of </w:t>
      </w:r>
      <w:r w:rsidR="008C5C2E" w:rsidRPr="00C32887">
        <w:rPr>
          <w:rFonts w:ascii="Garamond" w:hAnsi="Garamond"/>
          <w:sz w:val="24"/>
          <w:szCs w:val="24"/>
        </w:rPr>
        <w:t xml:space="preserve">State </w:t>
      </w:r>
      <w:r w:rsidR="008C5C2E">
        <w:rPr>
          <w:rFonts w:ascii="Garamond" w:hAnsi="Garamond"/>
          <w:sz w:val="24"/>
          <w:szCs w:val="24"/>
        </w:rPr>
        <w:t xml:space="preserve">Aid </w:t>
      </w:r>
      <w:r w:rsidR="00B32B42">
        <w:rPr>
          <w:rFonts w:ascii="Garamond" w:hAnsi="Garamond"/>
          <w:sz w:val="24"/>
          <w:szCs w:val="24"/>
        </w:rPr>
        <w:t xml:space="preserve">and </w:t>
      </w:r>
      <w:r w:rsidR="008C5C2E">
        <w:rPr>
          <w:rFonts w:ascii="Garamond" w:hAnsi="Garamond"/>
          <w:sz w:val="24"/>
          <w:szCs w:val="24"/>
        </w:rPr>
        <w:t>Public Procurement</w:t>
      </w:r>
      <w:r w:rsidR="00B32B42">
        <w:rPr>
          <w:rStyle w:val="FootnoteReference"/>
          <w:rFonts w:ascii="Garamond" w:hAnsi="Garamond"/>
          <w:sz w:val="24"/>
          <w:szCs w:val="24"/>
        </w:rPr>
        <w:footnoteReference w:id="23"/>
      </w:r>
      <w:r w:rsidR="00B32B42">
        <w:rPr>
          <w:rFonts w:ascii="Garamond" w:hAnsi="Garamond"/>
          <w:sz w:val="24"/>
          <w:szCs w:val="24"/>
        </w:rPr>
        <w:t>, provided by</w:t>
      </w:r>
      <w:r w:rsidR="004D1343" w:rsidRPr="00C32887">
        <w:rPr>
          <w:rFonts w:ascii="Garamond" w:hAnsi="Garamond"/>
          <w:sz w:val="24"/>
          <w:szCs w:val="24"/>
        </w:rPr>
        <w:t xml:space="preserve"> CAP 2014 </w:t>
      </w:r>
      <w:r w:rsidR="00AB73F6" w:rsidRPr="00C32887">
        <w:rPr>
          <w:rFonts w:ascii="Garamond" w:hAnsi="Garamond"/>
          <w:sz w:val="24"/>
          <w:szCs w:val="24"/>
        </w:rPr>
        <w:t>Programme</w:t>
      </w:r>
      <w:r w:rsidR="004D1343" w:rsidRPr="00C32887">
        <w:rPr>
          <w:rFonts w:ascii="Garamond" w:hAnsi="Garamond"/>
          <w:sz w:val="24"/>
          <w:szCs w:val="24"/>
        </w:rPr>
        <w:t xml:space="preserve"> (started in September 2018). Since there was a change in the project manager, the completion of the project was originally scheduled for </w:t>
      </w:r>
      <w:r w:rsidR="00B32B42">
        <w:rPr>
          <w:rFonts w:ascii="Garamond" w:hAnsi="Garamond"/>
          <w:sz w:val="24"/>
          <w:szCs w:val="24"/>
        </w:rPr>
        <w:t>Q2 2019</w:t>
      </w:r>
      <w:r w:rsidR="004D1343" w:rsidRPr="00C32887">
        <w:rPr>
          <w:rFonts w:ascii="Garamond" w:hAnsi="Garamond"/>
          <w:sz w:val="24"/>
          <w:szCs w:val="24"/>
        </w:rPr>
        <w:t>, and was postponed to Se</w:t>
      </w:r>
      <w:r w:rsidR="008C5C2E">
        <w:rPr>
          <w:rFonts w:ascii="Garamond" w:hAnsi="Garamond"/>
          <w:sz w:val="24"/>
          <w:szCs w:val="24"/>
        </w:rPr>
        <w:t>ptember 2020 when it ended</w:t>
      </w:r>
      <w:r w:rsidR="004D1343" w:rsidRPr="00C32887">
        <w:rPr>
          <w:rFonts w:ascii="Garamond" w:hAnsi="Garamond"/>
          <w:sz w:val="24"/>
          <w:szCs w:val="24"/>
        </w:rPr>
        <w:t xml:space="preserve">. It is important to </w:t>
      </w:r>
      <w:r w:rsidR="00921C56">
        <w:rPr>
          <w:rFonts w:ascii="Garamond" w:hAnsi="Garamond"/>
          <w:sz w:val="24"/>
          <w:szCs w:val="24"/>
        </w:rPr>
        <w:t>note</w:t>
      </w:r>
      <w:r w:rsidR="004D1343" w:rsidRPr="00C32887">
        <w:rPr>
          <w:rFonts w:ascii="Garamond" w:hAnsi="Garamond"/>
          <w:sz w:val="24"/>
          <w:szCs w:val="24"/>
        </w:rPr>
        <w:t xml:space="preserve"> that </w:t>
      </w:r>
      <w:r w:rsidR="008B6487" w:rsidRPr="00C32887">
        <w:rPr>
          <w:rFonts w:ascii="Garamond" w:hAnsi="Garamond"/>
          <w:sz w:val="24"/>
          <w:szCs w:val="24"/>
        </w:rPr>
        <w:t xml:space="preserve">the project </w:t>
      </w:r>
      <w:r w:rsidR="00921C56">
        <w:rPr>
          <w:rFonts w:ascii="Garamond" w:hAnsi="Garamond"/>
          <w:sz w:val="24"/>
          <w:szCs w:val="24"/>
        </w:rPr>
        <w:t>is to be continued</w:t>
      </w:r>
      <w:r w:rsidR="008C5C2E">
        <w:rPr>
          <w:rFonts w:ascii="Garamond" w:hAnsi="Garamond"/>
          <w:sz w:val="24"/>
          <w:szCs w:val="24"/>
        </w:rPr>
        <w:t xml:space="preserve"> in order</w:t>
      </w:r>
      <w:r w:rsidR="00921C56">
        <w:rPr>
          <w:rFonts w:ascii="Garamond" w:hAnsi="Garamond"/>
          <w:sz w:val="24"/>
          <w:szCs w:val="24"/>
        </w:rPr>
        <w:t xml:space="preserve"> to spend</w:t>
      </w:r>
      <w:r w:rsidR="004D1343" w:rsidRPr="00C32887">
        <w:rPr>
          <w:rFonts w:ascii="Garamond" w:hAnsi="Garamond"/>
          <w:sz w:val="24"/>
          <w:szCs w:val="24"/>
        </w:rPr>
        <w:t xml:space="preserve"> the unused funds, </w:t>
      </w:r>
      <w:r w:rsidR="00921C56">
        <w:rPr>
          <w:rFonts w:ascii="Garamond" w:hAnsi="Garamond"/>
          <w:sz w:val="24"/>
          <w:szCs w:val="24"/>
        </w:rPr>
        <w:t>and</w:t>
      </w:r>
      <w:r w:rsidR="004D1343" w:rsidRPr="00C32887">
        <w:rPr>
          <w:rFonts w:ascii="Garamond" w:hAnsi="Garamond"/>
          <w:sz w:val="24"/>
          <w:szCs w:val="24"/>
        </w:rPr>
        <w:t xml:space="preserve"> implement relevant additional activities.</w:t>
      </w:r>
    </w:p>
    <w:p w:rsidR="004D1343" w:rsidRPr="00C32887" w:rsidRDefault="004D1343" w:rsidP="004D1343">
      <w:pPr>
        <w:rPr>
          <w:rFonts w:ascii="Garamond" w:hAnsi="Garamond"/>
          <w:sz w:val="24"/>
          <w:szCs w:val="24"/>
        </w:rPr>
      </w:pPr>
    </w:p>
    <w:p w:rsidR="004D1343" w:rsidRPr="00C32887" w:rsidRDefault="004D1343" w:rsidP="008B6487">
      <w:pPr>
        <w:jc w:val="both"/>
        <w:rPr>
          <w:rFonts w:ascii="Garamond" w:hAnsi="Garamond"/>
          <w:sz w:val="24"/>
          <w:szCs w:val="24"/>
        </w:rPr>
      </w:pPr>
      <w:r w:rsidRPr="00C32887">
        <w:rPr>
          <w:rFonts w:ascii="Garamond" w:hAnsi="Garamond"/>
          <w:sz w:val="24"/>
          <w:szCs w:val="24"/>
        </w:rPr>
        <w:t>As part of this project, in order to strengthen administrative capacity and raise public awareness of state aid, a semi</w:t>
      </w:r>
      <w:r w:rsidR="008B6487">
        <w:rPr>
          <w:rFonts w:ascii="Garamond" w:hAnsi="Garamond"/>
          <w:sz w:val="24"/>
          <w:szCs w:val="24"/>
        </w:rPr>
        <w:t xml:space="preserve">nar for judges and prosecutors </w:t>
      </w:r>
      <w:r w:rsidR="00C13A74">
        <w:rPr>
          <w:rFonts w:ascii="Garamond" w:hAnsi="Garamond"/>
          <w:sz w:val="24"/>
          <w:szCs w:val="24"/>
        </w:rPr>
        <w:t>‘</w:t>
      </w:r>
      <w:r w:rsidRPr="00C32887">
        <w:rPr>
          <w:rFonts w:ascii="Garamond" w:hAnsi="Garamond"/>
          <w:sz w:val="24"/>
          <w:szCs w:val="24"/>
        </w:rPr>
        <w:t>State Ai</w:t>
      </w:r>
      <w:r w:rsidR="008B6487">
        <w:rPr>
          <w:rFonts w:ascii="Garamond" w:hAnsi="Garamond"/>
          <w:sz w:val="24"/>
          <w:szCs w:val="24"/>
        </w:rPr>
        <w:t xml:space="preserve">d - </w:t>
      </w:r>
      <w:r w:rsidR="00921C56">
        <w:rPr>
          <w:rFonts w:ascii="Garamond" w:hAnsi="Garamond"/>
          <w:sz w:val="24"/>
          <w:szCs w:val="24"/>
        </w:rPr>
        <w:t xml:space="preserve">The Role </w:t>
      </w:r>
      <w:r w:rsidR="008B6487">
        <w:rPr>
          <w:rFonts w:ascii="Garamond" w:hAnsi="Garamond"/>
          <w:sz w:val="24"/>
          <w:szCs w:val="24"/>
        </w:rPr>
        <w:t xml:space="preserve">of </w:t>
      </w:r>
      <w:r w:rsidR="00921C56">
        <w:rPr>
          <w:rFonts w:ascii="Garamond" w:hAnsi="Garamond"/>
          <w:sz w:val="24"/>
          <w:szCs w:val="24"/>
        </w:rPr>
        <w:t xml:space="preserve">National Courts’ </w:t>
      </w:r>
      <w:r w:rsidR="008B6487">
        <w:rPr>
          <w:rFonts w:ascii="Garamond" w:hAnsi="Garamond"/>
          <w:sz w:val="24"/>
          <w:szCs w:val="24"/>
        </w:rPr>
        <w:t>was held in June 2019 (</w:t>
      </w:r>
      <w:r w:rsidRPr="00C32887">
        <w:rPr>
          <w:rFonts w:ascii="Garamond" w:hAnsi="Garamond"/>
          <w:sz w:val="24"/>
          <w:szCs w:val="24"/>
        </w:rPr>
        <w:t>12 judges</w:t>
      </w:r>
      <w:r w:rsidR="008B6487">
        <w:rPr>
          <w:rFonts w:ascii="Garamond" w:hAnsi="Garamond"/>
          <w:sz w:val="24"/>
          <w:szCs w:val="24"/>
        </w:rPr>
        <w:t xml:space="preserve"> and 3 prosecutors were trained</w:t>
      </w:r>
      <w:r w:rsidRPr="00C32887">
        <w:rPr>
          <w:rFonts w:ascii="Garamond" w:hAnsi="Garamond"/>
          <w:sz w:val="24"/>
          <w:szCs w:val="24"/>
        </w:rPr>
        <w:t>)</w:t>
      </w:r>
      <w:r w:rsidR="008B6487">
        <w:rPr>
          <w:rFonts w:ascii="Garamond" w:hAnsi="Garamond"/>
          <w:sz w:val="24"/>
          <w:szCs w:val="24"/>
        </w:rPr>
        <w:t xml:space="preserve">. Also, during 2019, </w:t>
      </w:r>
      <w:r w:rsidRPr="00C32887">
        <w:rPr>
          <w:rFonts w:ascii="Garamond" w:hAnsi="Garamond"/>
          <w:sz w:val="24"/>
          <w:szCs w:val="24"/>
        </w:rPr>
        <w:t xml:space="preserve">trainings were held </w:t>
      </w:r>
      <w:r w:rsidR="008B6487">
        <w:rPr>
          <w:rFonts w:ascii="Garamond" w:hAnsi="Garamond"/>
          <w:sz w:val="24"/>
          <w:szCs w:val="24"/>
        </w:rPr>
        <w:t xml:space="preserve">for </w:t>
      </w:r>
      <w:r w:rsidR="008B6487" w:rsidRPr="00C32887">
        <w:rPr>
          <w:rFonts w:ascii="Garamond" w:hAnsi="Garamond"/>
          <w:sz w:val="24"/>
          <w:szCs w:val="24"/>
        </w:rPr>
        <w:t xml:space="preserve">state aid providers </w:t>
      </w:r>
      <w:r w:rsidRPr="00C32887">
        <w:rPr>
          <w:rFonts w:ascii="Garamond" w:hAnsi="Garamond"/>
          <w:sz w:val="24"/>
          <w:szCs w:val="24"/>
        </w:rPr>
        <w:t>in the Ministry of Educati</w:t>
      </w:r>
      <w:r w:rsidR="008B6487">
        <w:rPr>
          <w:rFonts w:ascii="Garamond" w:hAnsi="Garamond"/>
          <w:sz w:val="24"/>
          <w:szCs w:val="24"/>
        </w:rPr>
        <w:t>on, Science, Culture and Sports</w:t>
      </w:r>
      <w:r w:rsidRPr="00C32887">
        <w:rPr>
          <w:rFonts w:ascii="Garamond" w:hAnsi="Garamond"/>
          <w:sz w:val="24"/>
          <w:szCs w:val="24"/>
        </w:rPr>
        <w:t xml:space="preserve">, the Employment </w:t>
      </w:r>
      <w:r w:rsidR="00921C56">
        <w:rPr>
          <w:rFonts w:ascii="Garamond" w:hAnsi="Garamond"/>
          <w:sz w:val="24"/>
          <w:szCs w:val="24"/>
        </w:rPr>
        <w:t>Agency</w:t>
      </w:r>
      <w:r w:rsidRPr="00C32887">
        <w:rPr>
          <w:rFonts w:ascii="Garamond" w:hAnsi="Garamond"/>
          <w:sz w:val="24"/>
          <w:szCs w:val="24"/>
        </w:rPr>
        <w:t xml:space="preserve"> of Montenegro and the Municipality of Bar (31 state prosecutors were trained). Also, </w:t>
      </w:r>
      <w:r w:rsidR="008C5C2E">
        <w:rPr>
          <w:rFonts w:ascii="Garamond" w:hAnsi="Garamond"/>
          <w:sz w:val="24"/>
          <w:szCs w:val="24"/>
        </w:rPr>
        <w:t>under</w:t>
      </w:r>
      <w:r w:rsidRPr="00C32887">
        <w:rPr>
          <w:rFonts w:ascii="Garamond" w:hAnsi="Garamond"/>
          <w:sz w:val="24"/>
          <w:szCs w:val="24"/>
        </w:rPr>
        <w:t xml:space="preserve"> the </w:t>
      </w:r>
      <w:r w:rsidR="00C13A74">
        <w:rPr>
          <w:rFonts w:ascii="Garamond" w:hAnsi="Garamond"/>
          <w:sz w:val="24"/>
          <w:szCs w:val="24"/>
        </w:rPr>
        <w:t>‘</w:t>
      </w:r>
      <w:r w:rsidRPr="00C32887">
        <w:rPr>
          <w:rFonts w:ascii="Garamond" w:hAnsi="Garamond"/>
          <w:sz w:val="24"/>
          <w:szCs w:val="24"/>
        </w:rPr>
        <w:t xml:space="preserve">Strengthening the </w:t>
      </w:r>
      <w:r w:rsidR="008C5C2E" w:rsidRPr="00C32887">
        <w:rPr>
          <w:rFonts w:ascii="Garamond" w:hAnsi="Garamond"/>
          <w:sz w:val="24"/>
          <w:szCs w:val="24"/>
        </w:rPr>
        <w:t xml:space="preserve">Capacity </w:t>
      </w:r>
      <w:r w:rsidRPr="00C32887">
        <w:rPr>
          <w:rFonts w:ascii="Garamond" w:hAnsi="Garamond"/>
          <w:sz w:val="24"/>
          <w:szCs w:val="24"/>
        </w:rPr>
        <w:t xml:space="preserve">to </w:t>
      </w:r>
      <w:r w:rsidR="008C5C2E" w:rsidRPr="00C32887">
        <w:rPr>
          <w:rFonts w:ascii="Garamond" w:hAnsi="Garamond"/>
          <w:sz w:val="24"/>
          <w:szCs w:val="24"/>
        </w:rPr>
        <w:t xml:space="preserve">Accelerate </w:t>
      </w:r>
      <w:r w:rsidRPr="00C32887">
        <w:rPr>
          <w:rFonts w:ascii="Garamond" w:hAnsi="Garamond"/>
          <w:sz w:val="24"/>
          <w:szCs w:val="24"/>
        </w:rPr>
        <w:t xml:space="preserve">the </w:t>
      </w:r>
      <w:r w:rsidR="00921C56" w:rsidRPr="00C32887">
        <w:rPr>
          <w:rFonts w:ascii="Garamond" w:hAnsi="Garamond"/>
          <w:sz w:val="24"/>
          <w:szCs w:val="24"/>
        </w:rPr>
        <w:t>EU</w:t>
      </w:r>
      <w:r w:rsidR="00921C56">
        <w:rPr>
          <w:rFonts w:ascii="Garamond" w:hAnsi="Garamond"/>
          <w:sz w:val="24"/>
          <w:szCs w:val="24"/>
        </w:rPr>
        <w:t xml:space="preserve"> </w:t>
      </w:r>
      <w:r w:rsidR="008C5C2E">
        <w:rPr>
          <w:rFonts w:ascii="Garamond" w:hAnsi="Garamond"/>
          <w:sz w:val="24"/>
          <w:szCs w:val="24"/>
        </w:rPr>
        <w:t>Accession</w:t>
      </w:r>
      <w:r w:rsidR="008C5C2E" w:rsidRPr="00C32887">
        <w:rPr>
          <w:rFonts w:ascii="Garamond" w:hAnsi="Garamond"/>
          <w:sz w:val="24"/>
          <w:szCs w:val="24"/>
        </w:rPr>
        <w:t xml:space="preserve"> Negotiations</w:t>
      </w:r>
      <w:r w:rsidR="008C5C2E">
        <w:rPr>
          <w:rFonts w:ascii="Garamond" w:hAnsi="Garamond"/>
          <w:sz w:val="24"/>
          <w:szCs w:val="24"/>
        </w:rPr>
        <w:t>’</w:t>
      </w:r>
      <w:r w:rsidR="008C5C2E" w:rsidRPr="00C32887">
        <w:rPr>
          <w:rFonts w:ascii="Garamond" w:hAnsi="Garamond"/>
          <w:sz w:val="24"/>
          <w:szCs w:val="24"/>
        </w:rPr>
        <w:t xml:space="preserve"> project</w:t>
      </w:r>
      <w:r w:rsidR="008C5C2E">
        <w:rPr>
          <w:rFonts w:ascii="Garamond" w:hAnsi="Garamond"/>
          <w:sz w:val="24"/>
          <w:szCs w:val="24"/>
        </w:rPr>
        <w:t>,</w:t>
      </w:r>
      <w:r w:rsidR="008C5C2E" w:rsidRPr="00C32887">
        <w:rPr>
          <w:rFonts w:ascii="Garamond" w:hAnsi="Garamond"/>
          <w:sz w:val="24"/>
          <w:szCs w:val="24"/>
        </w:rPr>
        <w:t xml:space="preserve"> </w:t>
      </w:r>
      <w:r w:rsidRPr="00C32887">
        <w:rPr>
          <w:rFonts w:ascii="Garamond" w:hAnsi="Garamond"/>
          <w:sz w:val="24"/>
          <w:szCs w:val="24"/>
        </w:rPr>
        <w:t xml:space="preserve">funded by the Norwegian Ministry of Foreign Affairs, and implemented by the United Nations Development </w:t>
      </w:r>
      <w:r w:rsidR="00AB73F6" w:rsidRPr="00C32887">
        <w:rPr>
          <w:rFonts w:ascii="Garamond" w:hAnsi="Garamond"/>
          <w:sz w:val="24"/>
          <w:szCs w:val="24"/>
        </w:rPr>
        <w:t>Programme</w:t>
      </w:r>
      <w:r w:rsidRPr="00C32887">
        <w:rPr>
          <w:rFonts w:ascii="Garamond" w:hAnsi="Garamond"/>
          <w:sz w:val="24"/>
          <w:szCs w:val="24"/>
        </w:rPr>
        <w:t xml:space="preserve"> (UNDP), on June 6, 2019,</w:t>
      </w:r>
      <w:r w:rsidR="008B6487">
        <w:rPr>
          <w:rFonts w:ascii="Garamond" w:hAnsi="Garamond"/>
          <w:sz w:val="24"/>
          <w:szCs w:val="24"/>
        </w:rPr>
        <w:t xml:space="preserve"> an expert seminar was held on </w:t>
      </w:r>
      <w:r w:rsidR="00C13A74">
        <w:rPr>
          <w:rFonts w:ascii="Garamond" w:hAnsi="Garamond"/>
          <w:sz w:val="24"/>
          <w:szCs w:val="24"/>
        </w:rPr>
        <w:t>‘</w:t>
      </w:r>
      <w:r w:rsidRPr="00C32887">
        <w:rPr>
          <w:rFonts w:ascii="Garamond" w:hAnsi="Garamond"/>
          <w:sz w:val="24"/>
          <w:szCs w:val="24"/>
        </w:rPr>
        <w:t xml:space="preserve">Training - </w:t>
      </w:r>
      <w:r w:rsidR="008C5C2E" w:rsidRPr="00C32887">
        <w:rPr>
          <w:rFonts w:ascii="Garamond" w:hAnsi="Garamond"/>
          <w:sz w:val="24"/>
          <w:szCs w:val="24"/>
        </w:rPr>
        <w:t xml:space="preserve">Implementation </w:t>
      </w:r>
      <w:r w:rsidR="008B6487">
        <w:rPr>
          <w:rFonts w:ascii="Garamond" w:hAnsi="Garamond"/>
          <w:sz w:val="24"/>
          <w:szCs w:val="24"/>
        </w:rPr>
        <w:t xml:space="preserve">of </w:t>
      </w:r>
      <w:r w:rsidR="008C5C2E" w:rsidRPr="00C32887">
        <w:rPr>
          <w:rFonts w:ascii="Garamond" w:hAnsi="Garamond"/>
          <w:sz w:val="24"/>
          <w:szCs w:val="24"/>
        </w:rPr>
        <w:t xml:space="preserve">Rules </w:t>
      </w:r>
      <w:r w:rsidRPr="00C32887">
        <w:rPr>
          <w:rFonts w:ascii="Garamond" w:hAnsi="Garamond"/>
          <w:sz w:val="24"/>
          <w:szCs w:val="24"/>
        </w:rPr>
        <w:t xml:space="preserve">on </w:t>
      </w:r>
      <w:r w:rsidR="008C5C2E" w:rsidRPr="00C32887">
        <w:rPr>
          <w:rFonts w:ascii="Garamond" w:hAnsi="Garamond"/>
          <w:sz w:val="24"/>
          <w:szCs w:val="24"/>
        </w:rPr>
        <w:t xml:space="preserve">State Aid </w:t>
      </w:r>
      <w:r w:rsidRPr="00C32887">
        <w:rPr>
          <w:rFonts w:ascii="Garamond" w:hAnsi="Garamond"/>
          <w:sz w:val="24"/>
          <w:szCs w:val="24"/>
        </w:rPr>
        <w:t xml:space="preserve">in the EU with an </w:t>
      </w:r>
      <w:r w:rsidR="008C5C2E" w:rsidRPr="00C32887">
        <w:rPr>
          <w:rFonts w:ascii="Garamond" w:hAnsi="Garamond"/>
          <w:sz w:val="24"/>
          <w:szCs w:val="24"/>
        </w:rPr>
        <w:t xml:space="preserve">Emphasis </w:t>
      </w:r>
      <w:r w:rsidRPr="00C32887">
        <w:rPr>
          <w:rFonts w:ascii="Garamond" w:hAnsi="Garamond"/>
          <w:sz w:val="24"/>
          <w:szCs w:val="24"/>
        </w:rPr>
        <w:t xml:space="preserve">on </w:t>
      </w:r>
      <w:r w:rsidR="008C5C2E">
        <w:rPr>
          <w:rFonts w:ascii="Garamond" w:hAnsi="Garamond"/>
          <w:sz w:val="24"/>
          <w:szCs w:val="24"/>
        </w:rPr>
        <w:t xml:space="preserve">Transport and Infrastructure </w:t>
      </w:r>
      <w:r w:rsidR="008C5C2E" w:rsidRPr="00C32887">
        <w:rPr>
          <w:rFonts w:ascii="Garamond" w:hAnsi="Garamond"/>
          <w:sz w:val="24"/>
          <w:szCs w:val="24"/>
        </w:rPr>
        <w:t>Aid</w:t>
      </w:r>
      <w:r w:rsidR="008C5C2E">
        <w:rPr>
          <w:rFonts w:ascii="Garamond" w:hAnsi="Garamond"/>
          <w:sz w:val="24"/>
          <w:szCs w:val="24"/>
        </w:rPr>
        <w:t>’</w:t>
      </w:r>
      <w:r w:rsidR="008C5C2E" w:rsidRPr="00C32887">
        <w:rPr>
          <w:rFonts w:ascii="Garamond" w:hAnsi="Garamond"/>
          <w:sz w:val="24"/>
          <w:szCs w:val="24"/>
        </w:rPr>
        <w:t xml:space="preserve"> </w:t>
      </w:r>
      <w:r w:rsidRPr="00C32887">
        <w:rPr>
          <w:rFonts w:ascii="Garamond" w:hAnsi="Garamond"/>
          <w:sz w:val="24"/>
          <w:szCs w:val="24"/>
        </w:rPr>
        <w:t xml:space="preserve">in order to educate state aid providers and employees of the Agency (a total of 10 officials). Within all 5 conducted trainings </w:t>
      </w:r>
      <w:r w:rsidR="008C5C2E">
        <w:rPr>
          <w:rFonts w:ascii="Garamond" w:hAnsi="Garamond"/>
          <w:sz w:val="24"/>
          <w:szCs w:val="24"/>
        </w:rPr>
        <w:t>in</w:t>
      </w:r>
      <w:r w:rsidRPr="00C32887">
        <w:rPr>
          <w:rFonts w:ascii="Garamond" w:hAnsi="Garamond"/>
          <w:sz w:val="24"/>
          <w:szCs w:val="24"/>
        </w:rPr>
        <w:t xml:space="preserve"> the reporting period</w:t>
      </w:r>
      <w:r w:rsidR="008C5C2E">
        <w:rPr>
          <w:rFonts w:ascii="Garamond" w:hAnsi="Garamond"/>
          <w:sz w:val="24"/>
          <w:szCs w:val="24"/>
        </w:rPr>
        <w:t>,</w:t>
      </w:r>
      <w:r w:rsidRPr="00C32887">
        <w:rPr>
          <w:rFonts w:ascii="Garamond" w:hAnsi="Garamond"/>
          <w:sz w:val="24"/>
          <w:szCs w:val="24"/>
        </w:rPr>
        <w:t xml:space="preserve"> 56 </w:t>
      </w:r>
      <w:r w:rsidR="008C5C2E">
        <w:rPr>
          <w:rFonts w:ascii="Garamond" w:hAnsi="Garamond"/>
          <w:sz w:val="24"/>
          <w:szCs w:val="24"/>
        </w:rPr>
        <w:t>employees were trained in</w:t>
      </w:r>
      <w:r w:rsidRPr="00C32887">
        <w:rPr>
          <w:rFonts w:ascii="Garamond" w:hAnsi="Garamond"/>
          <w:sz w:val="24"/>
          <w:szCs w:val="24"/>
        </w:rPr>
        <w:t xml:space="preserve"> 2019, while in 2020 administrative capacity </w:t>
      </w:r>
      <w:r w:rsidR="00921C56">
        <w:rPr>
          <w:rFonts w:ascii="Garamond" w:hAnsi="Garamond"/>
          <w:sz w:val="24"/>
          <w:szCs w:val="24"/>
        </w:rPr>
        <w:t xml:space="preserve">was additionally </w:t>
      </w:r>
      <w:r w:rsidR="00921C56" w:rsidRPr="00C32887">
        <w:rPr>
          <w:rFonts w:ascii="Garamond" w:hAnsi="Garamond"/>
          <w:sz w:val="24"/>
          <w:szCs w:val="24"/>
        </w:rPr>
        <w:t xml:space="preserve">strengthened </w:t>
      </w:r>
      <w:r w:rsidRPr="00C32887">
        <w:rPr>
          <w:rFonts w:ascii="Garamond" w:hAnsi="Garamond"/>
          <w:sz w:val="24"/>
          <w:szCs w:val="24"/>
        </w:rPr>
        <w:t xml:space="preserve">through the training of 124 officials, representatives of donors or the private sector, as well as </w:t>
      </w:r>
      <w:r w:rsidR="008B6487">
        <w:rPr>
          <w:rFonts w:ascii="Garamond" w:hAnsi="Garamond"/>
          <w:sz w:val="24"/>
          <w:szCs w:val="24"/>
        </w:rPr>
        <w:t>officials of the Ag</w:t>
      </w:r>
      <w:r w:rsidR="008C5C2E">
        <w:rPr>
          <w:rFonts w:ascii="Garamond" w:hAnsi="Garamond"/>
          <w:sz w:val="24"/>
          <w:szCs w:val="24"/>
        </w:rPr>
        <w:t>ency and</w:t>
      </w:r>
      <w:r w:rsidRPr="00C32887">
        <w:rPr>
          <w:rFonts w:ascii="Garamond" w:hAnsi="Garamond"/>
          <w:sz w:val="24"/>
          <w:szCs w:val="24"/>
        </w:rPr>
        <w:t xml:space="preserve"> members of the Agency Council.</w:t>
      </w:r>
    </w:p>
    <w:p w:rsidR="004D1343" w:rsidRPr="00C32887" w:rsidRDefault="004D1343" w:rsidP="004D1343">
      <w:pPr>
        <w:rPr>
          <w:rFonts w:ascii="Garamond" w:hAnsi="Garamond"/>
          <w:sz w:val="24"/>
          <w:szCs w:val="24"/>
        </w:rPr>
      </w:pPr>
    </w:p>
    <w:p w:rsidR="004D1343" w:rsidRPr="00C32887" w:rsidRDefault="004D1343" w:rsidP="008B6487">
      <w:pPr>
        <w:jc w:val="both"/>
        <w:rPr>
          <w:rFonts w:ascii="Garamond" w:hAnsi="Garamond"/>
          <w:sz w:val="24"/>
          <w:szCs w:val="24"/>
        </w:rPr>
      </w:pPr>
      <w:r w:rsidRPr="00C32887">
        <w:rPr>
          <w:rFonts w:ascii="Garamond" w:hAnsi="Garamond"/>
          <w:sz w:val="24"/>
          <w:szCs w:val="24"/>
        </w:rPr>
        <w:t xml:space="preserve">The set Performance Indicator for 2020, which refers to </w:t>
      </w:r>
      <w:r w:rsidR="008C5C2E">
        <w:rPr>
          <w:rFonts w:ascii="Garamond" w:hAnsi="Garamond"/>
          <w:sz w:val="24"/>
          <w:szCs w:val="24"/>
        </w:rPr>
        <w:t>grantors</w:t>
      </w:r>
      <w:r w:rsidRPr="00C32887">
        <w:rPr>
          <w:rFonts w:ascii="Garamond" w:hAnsi="Garamond"/>
          <w:sz w:val="24"/>
          <w:szCs w:val="24"/>
        </w:rPr>
        <w:t xml:space="preserve"> and beneficiaries of state aid, representatives of the private sector and judges who undergo seminars and training</w:t>
      </w:r>
      <w:r w:rsidR="008C5C2E">
        <w:rPr>
          <w:rFonts w:ascii="Garamond" w:hAnsi="Garamond"/>
          <w:sz w:val="24"/>
          <w:szCs w:val="24"/>
        </w:rPr>
        <w:t>s</w:t>
      </w:r>
      <w:r w:rsidRPr="00C32887">
        <w:rPr>
          <w:rFonts w:ascii="Garamond" w:hAnsi="Garamond"/>
          <w:sz w:val="24"/>
          <w:szCs w:val="24"/>
        </w:rPr>
        <w:t xml:space="preserve"> in the field of state aid, has fully reached and exceeded the target value. Namely, during 2020</w:t>
      </w:r>
      <w:r w:rsidR="00126B9E">
        <w:rPr>
          <w:rFonts w:ascii="Garamond" w:hAnsi="Garamond"/>
          <w:sz w:val="24"/>
          <w:szCs w:val="24"/>
        </w:rPr>
        <w:t>,</w:t>
      </w:r>
      <w:r w:rsidRPr="00C32887">
        <w:rPr>
          <w:rFonts w:ascii="Garamond" w:hAnsi="Garamond"/>
          <w:sz w:val="24"/>
          <w:szCs w:val="24"/>
        </w:rPr>
        <w:t xml:space="preserve"> training</w:t>
      </w:r>
      <w:r w:rsidR="008B6487">
        <w:rPr>
          <w:rFonts w:ascii="Garamond" w:hAnsi="Garamond"/>
          <w:sz w:val="24"/>
          <w:szCs w:val="24"/>
        </w:rPr>
        <w:t>s</w:t>
      </w:r>
      <w:r w:rsidRPr="00C32887">
        <w:rPr>
          <w:rFonts w:ascii="Garamond" w:hAnsi="Garamond"/>
          <w:sz w:val="24"/>
          <w:szCs w:val="24"/>
        </w:rPr>
        <w:t xml:space="preserve"> </w:t>
      </w:r>
      <w:r w:rsidR="008B6487" w:rsidRPr="00C32887">
        <w:rPr>
          <w:rFonts w:ascii="Garamond" w:hAnsi="Garamond"/>
          <w:sz w:val="24"/>
          <w:szCs w:val="24"/>
        </w:rPr>
        <w:t>were provided</w:t>
      </w:r>
      <w:r w:rsidR="008B6487">
        <w:rPr>
          <w:rFonts w:ascii="Garamond" w:hAnsi="Garamond"/>
          <w:sz w:val="24"/>
          <w:szCs w:val="24"/>
        </w:rPr>
        <w:t xml:space="preserve"> for </w:t>
      </w:r>
      <w:r w:rsidR="008B6487" w:rsidRPr="00C32887">
        <w:rPr>
          <w:rFonts w:ascii="Garamond" w:hAnsi="Garamond"/>
          <w:sz w:val="24"/>
          <w:szCs w:val="24"/>
        </w:rPr>
        <w:t>100</w:t>
      </w:r>
      <w:r w:rsidR="008D2378" w:rsidRPr="008D2378">
        <w:rPr>
          <w:rFonts w:ascii="Garamond" w:hAnsi="Garamond"/>
          <w:sz w:val="24"/>
          <w:szCs w:val="24"/>
        </w:rPr>
        <w:t xml:space="preserve"> </w:t>
      </w:r>
      <w:r w:rsidR="008D2378" w:rsidRPr="00C32887">
        <w:rPr>
          <w:rFonts w:ascii="Garamond" w:hAnsi="Garamond"/>
          <w:sz w:val="24"/>
          <w:szCs w:val="24"/>
        </w:rPr>
        <w:t>participants</w:t>
      </w:r>
      <w:r w:rsidRPr="00C32887">
        <w:rPr>
          <w:rFonts w:ascii="Garamond" w:hAnsi="Garamond"/>
          <w:sz w:val="24"/>
          <w:szCs w:val="24"/>
        </w:rPr>
        <w:t xml:space="preserve">, </w:t>
      </w:r>
      <w:r w:rsidR="008B6487">
        <w:rPr>
          <w:rFonts w:ascii="Garamond" w:hAnsi="Garamond"/>
          <w:sz w:val="24"/>
          <w:szCs w:val="24"/>
        </w:rPr>
        <w:t>but</w:t>
      </w:r>
      <w:r w:rsidRPr="00C32887">
        <w:rPr>
          <w:rFonts w:ascii="Garamond" w:hAnsi="Garamond"/>
          <w:sz w:val="24"/>
          <w:szCs w:val="24"/>
        </w:rPr>
        <w:t xml:space="preserve"> </w:t>
      </w:r>
      <w:r w:rsidR="008B6487" w:rsidRPr="00C32887">
        <w:rPr>
          <w:rFonts w:ascii="Garamond" w:hAnsi="Garamond"/>
          <w:sz w:val="24"/>
          <w:szCs w:val="24"/>
        </w:rPr>
        <w:t xml:space="preserve">124 participants </w:t>
      </w:r>
      <w:r w:rsidR="008B6487">
        <w:rPr>
          <w:rFonts w:ascii="Garamond" w:hAnsi="Garamond"/>
          <w:sz w:val="24"/>
          <w:szCs w:val="24"/>
        </w:rPr>
        <w:t xml:space="preserve">were </w:t>
      </w:r>
      <w:r w:rsidRPr="00C32887">
        <w:rPr>
          <w:rFonts w:ascii="Garamond" w:hAnsi="Garamond"/>
          <w:sz w:val="24"/>
          <w:szCs w:val="24"/>
        </w:rPr>
        <w:t xml:space="preserve">trained.  </w:t>
      </w:r>
    </w:p>
    <w:p w:rsidR="004D1343" w:rsidRPr="00C32887" w:rsidRDefault="004D1343" w:rsidP="004D1343">
      <w:pPr>
        <w:rPr>
          <w:rFonts w:ascii="Garamond" w:hAnsi="Garamond"/>
          <w:sz w:val="24"/>
          <w:szCs w:val="24"/>
        </w:rPr>
      </w:pPr>
    </w:p>
    <w:p w:rsidR="004D1343" w:rsidRPr="00C32887" w:rsidRDefault="004D1343" w:rsidP="008B6487">
      <w:pPr>
        <w:jc w:val="both"/>
        <w:rPr>
          <w:rFonts w:ascii="Garamond" w:hAnsi="Garamond"/>
          <w:sz w:val="24"/>
          <w:szCs w:val="24"/>
        </w:rPr>
      </w:pPr>
      <w:r w:rsidRPr="00C32887">
        <w:rPr>
          <w:rFonts w:ascii="Garamond" w:hAnsi="Garamond"/>
          <w:sz w:val="24"/>
          <w:szCs w:val="24"/>
        </w:rPr>
        <w:t>In order to streng</w:t>
      </w:r>
      <w:r w:rsidR="008D2378">
        <w:rPr>
          <w:rFonts w:ascii="Garamond" w:hAnsi="Garamond"/>
          <w:sz w:val="24"/>
          <w:szCs w:val="24"/>
        </w:rPr>
        <w:t>then the legal framework, reduce</w:t>
      </w:r>
      <w:r w:rsidRPr="00C32887">
        <w:rPr>
          <w:rFonts w:ascii="Garamond" w:hAnsi="Garamond"/>
          <w:sz w:val="24"/>
          <w:szCs w:val="24"/>
        </w:rPr>
        <w:t xml:space="preserve"> illegal state aid and implement</w:t>
      </w:r>
      <w:r w:rsidR="008D2378">
        <w:rPr>
          <w:rFonts w:ascii="Garamond" w:hAnsi="Garamond"/>
          <w:sz w:val="24"/>
          <w:szCs w:val="24"/>
        </w:rPr>
        <w:t xml:space="preserve"> ex-</w:t>
      </w:r>
      <w:r w:rsidRPr="00C32887">
        <w:rPr>
          <w:rFonts w:ascii="Garamond" w:hAnsi="Garamond"/>
          <w:sz w:val="24"/>
          <w:szCs w:val="24"/>
        </w:rPr>
        <w:t xml:space="preserve">post control </w:t>
      </w:r>
      <w:r w:rsidR="00126B9E">
        <w:rPr>
          <w:rFonts w:ascii="Garamond" w:hAnsi="Garamond"/>
          <w:sz w:val="24"/>
          <w:szCs w:val="24"/>
        </w:rPr>
        <w:t xml:space="preserve">a </w:t>
      </w:r>
      <w:r w:rsidR="000017C5">
        <w:rPr>
          <w:rFonts w:ascii="Garamond" w:hAnsi="Garamond"/>
          <w:sz w:val="24"/>
          <w:szCs w:val="24"/>
        </w:rPr>
        <w:t xml:space="preserve">Performance </w:t>
      </w:r>
      <w:r w:rsidRPr="00C32887">
        <w:rPr>
          <w:rFonts w:ascii="Garamond" w:hAnsi="Garamond"/>
          <w:sz w:val="24"/>
          <w:szCs w:val="24"/>
        </w:rPr>
        <w:t xml:space="preserve"> </w:t>
      </w:r>
      <w:r w:rsidR="008D2378" w:rsidRPr="00C32887">
        <w:rPr>
          <w:rFonts w:ascii="Garamond" w:hAnsi="Garamond"/>
          <w:sz w:val="24"/>
          <w:szCs w:val="24"/>
        </w:rPr>
        <w:t xml:space="preserve">Indicator </w:t>
      </w:r>
      <w:r w:rsidR="008D2378">
        <w:rPr>
          <w:rFonts w:ascii="Garamond" w:hAnsi="Garamond"/>
          <w:sz w:val="24"/>
          <w:szCs w:val="24"/>
        </w:rPr>
        <w:t xml:space="preserve">was set </w:t>
      </w:r>
      <w:r w:rsidRPr="00C32887">
        <w:rPr>
          <w:rFonts w:ascii="Garamond" w:hAnsi="Garamond"/>
          <w:sz w:val="24"/>
          <w:szCs w:val="24"/>
        </w:rPr>
        <w:t xml:space="preserve">- </w:t>
      </w:r>
      <w:r w:rsidR="008D2378" w:rsidRPr="008D2378">
        <w:rPr>
          <w:rFonts w:ascii="Garamond" w:hAnsi="Garamond"/>
          <w:sz w:val="24"/>
          <w:szCs w:val="24"/>
        </w:rPr>
        <w:t xml:space="preserve">The share of staff of the </w:t>
      </w:r>
      <w:r w:rsidR="008D2378">
        <w:rPr>
          <w:rFonts w:ascii="Garamond" w:hAnsi="Garamond"/>
          <w:sz w:val="24"/>
          <w:szCs w:val="24"/>
        </w:rPr>
        <w:t>Competition Protection</w:t>
      </w:r>
      <w:r w:rsidR="008D2378" w:rsidRPr="008D2378">
        <w:rPr>
          <w:rFonts w:ascii="Garamond" w:hAnsi="Garamond"/>
          <w:sz w:val="24"/>
          <w:szCs w:val="24"/>
        </w:rPr>
        <w:t xml:space="preserve"> </w:t>
      </w:r>
      <w:r w:rsidR="008D2378">
        <w:rPr>
          <w:rFonts w:ascii="Garamond" w:hAnsi="Garamond"/>
          <w:sz w:val="24"/>
          <w:szCs w:val="24"/>
        </w:rPr>
        <w:t>Agency</w:t>
      </w:r>
      <w:r w:rsidR="00E5013A">
        <w:rPr>
          <w:rFonts w:ascii="Garamond" w:hAnsi="Garamond"/>
          <w:sz w:val="24"/>
          <w:szCs w:val="24"/>
        </w:rPr>
        <w:t xml:space="preserve"> and members of the Agency Council </w:t>
      </w:r>
      <w:r w:rsidR="008D2378">
        <w:rPr>
          <w:rFonts w:ascii="Garamond" w:hAnsi="Garamond"/>
          <w:sz w:val="24"/>
          <w:szCs w:val="24"/>
        </w:rPr>
        <w:t xml:space="preserve">undergoing </w:t>
      </w:r>
      <w:r w:rsidRPr="00C32887">
        <w:rPr>
          <w:rFonts w:ascii="Garamond" w:hAnsi="Garamond"/>
          <w:sz w:val="24"/>
          <w:szCs w:val="24"/>
        </w:rPr>
        <w:t>seminars, trainin</w:t>
      </w:r>
      <w:r w:rsidR="00E5013A">
        <w:rPr>
          <w:rFonts w:ascii="Garamond" w:hAnsi="Garamond"/>
          <w:sz w:val="24"/>
          <w:szCs w:val="24"/>
        </w:rPr>
        <w:t xml:space="preserve">g and daily work with employees, </w:t>
      </w:r>
      <w:r w:rsidRPr="00C32887">
        <w:rPr>
          <w:rFonts w:ascii="Garamond" w:hAnsi="Garamond"/>
          <w:sz w:val="24"/>
          <w:szCs w:val="24"/>
        </w:rPr>
        <w:t>and</w:t>
      </w:r>
      <w:r w:rsidR="00E5013A">
        <w:rPr>
          <w:rFonts w:ascii="Garamond" w:hAnsi="Garamond"/>
          <w:sz w:val="24"/>
          <w:szCs w:val="24"/>
        </w:rPr>
        <w:t xml:space="preserve"> it</w:t>
      </w:r>
      <w:r w:rsidRPr="00C32887">
        <w:rPr>
          <w:rFonts w:ascii="Garamond" w:hAnsi="Garamond"/>
          <w:sz w:val="24"/>
          <w:szCs w:val="24"/>
        </w:rPr>
        <w:t xml:space="preserve"> can be concluded that the target </w:t>
      </w:r>
      <w:r w:rsidR="00E5013A">
        <w:rPr>
          <w:rFonts w:ascii="Garamond" w:hAnsi="Garamond"/>
          <w:sz w:val="24"/>
          <w:szCs w:val="24"/>
        </w:rPr>
        <w:t>value was achieved (80</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0017C5">
      <w:pPr>
        <w:jc w:val="both"/>
        <w:rPr>
          <w:rFonts w:ascii="Garamond" w:hAnsi="Garamond"/>
          <w:sz w:val="24"/>
          <w:szCs w:val="24"/>
        </w:rPr>
      </w:pPr>
      <w:r w:rsidRPr="00C32887">
        <w:rPr>
          <w:rFonts w:ascii="Garamond" w:hAnsi="Garamond"/>
          <w:sz w:val="24"/>
          <w:szCs w:val="24"/>
        </w:rPr>
        <w:t xml:space="preserve">However, within the </w:t>
      </w:r>
      <w:r w:rsidR="000017C5">
        <w:rPr>
          <w:rFonts w:ascii="Garamond" w:hAnsi="Garamond"/>
          <w:sz w:val="24"/>
          <w:szCs w:val="24"/>
        </w:rPr>
        <w:t xml:space="preserve">Performance </w:t>
      </w:r>
      <w:r w:rsidRPr="00C32887">
        <w:rPr>
          <w:rFonts w:ascii="Garamond" w:hAnsi="Garamond"/>
          <w:sz w:val="24"/>
          <w:szCs w:val="24"/>
        </w:rPr>
        <w:t>indicator that refers to the number of completed procedure</w:t>
      </w:r>
      <w:r w:rsidR="000017C5">
        <w:rPr>
          <w:rFonts w:ascii="Garamond" w:hAnsi="Garamond"/>
          <w:sz w:val="24"/>
          <w:szCs w:val="24"/>
        </w:rPr>
        <w:t>s</w:t>
      </w:r>
      <w:r w:rsidRPr="00C32887">
        <w:rPr>
          <w:rFonts w:ascii="Garamond" w:hAnsi="Garamond"/>
          <w:sz w:val="24"/>
          <w:szCs w:val="24"/>
        </w:rPr>
        <w:t xml:space="preserve"> </w:t>
      </w:r>
      <w:r w:rsidR="000017C5">
        <w:rPr>
          <w:rFonts w:ascii="Garamond" w:hAnsi="Garamond"/>
          <w:sz w:val="24"/>
          <w:szCs w:val="24"/>
        </w:rPr>
        <w:t>initiated ex officio</w:t>
      </w:r>
      <w:r w:rsidRPr="00C32887">
        <w:rPr>
          <w:rFonts w:ascii="Garamond" w:hAnsi="Garamond"/>
          <w:sz w:val="24"/>
          <w:szCs w:val="24"/>
        </w:rPr>
        <w:t>, a negative trend</w:t>
      </w:r>
      <w:r w:rsidR="000017C5" w:rsidRPr="000017C5">
        <w:rPr>
          <w:rFonts w:ascii="Garamond" w:hAnsi="Garamond"/>
          <w:sz w:val="24"/>
          <w:szCs w:val="24"/>
        </w:rPr>
        <w:t xml:space="preserve"> </w:t>
      </w:r>
      <w:r w:rsidR="000017C5" w:rsidRPr="00C32887">
        <w:rPr>
          <w:rFonts w:ascii="Garamond" w:hAnsi="Garamond"/>
          <w:sz w:val="24"/>
          <w:szCs w:val="24"/>
        </w:rPr>
        <w:t xml:space="preserve">was </w:t>
      </w:r>
      <w:r w:rsidR="000017C5">
        <w:rPr>
          <w:rFonts w:ascii="Garamond" w:hAnsi="Garamond"/>
          <w:sz w:val="24"/>
          <w:szCs w:val="24"/>
        </w:rPr>
        <w:t>noted</w:t>
      </w:r>
      <w:r w:rsidRPr="00C32887">
        <w:rPr>
          <w:rFonts w:ascii="Garamond" w:hAnsi="Garamond"/>
          <w:sz w:val="24"/>
          <w:szCs w:val="24"/>
        </w:rPr>
        <w:t xml:space="preserve">. Namely, in addition to 2 complex examination procedures opened in 2019, at the end of 2020, the Agency initiated 5 new examination procedures. Due to the complexity </w:t>
      </w:r>
      <w:r w:rsidR="000017C5">
        <w:rPr>
          <w:rFonts w:ascii="Garamond" w:hAnsi="Garamond"/>
          <w:sz w:val="24"/>
          <w:szCs w:val="24"/>
        </w:rPr>
        <w:t xml:space="preserve">of the </w:t>
      </w:r>
      <w:r w:rsidR="00E5013A">
        <w:rPr>
          <w:rFonts w:ascii="Garamond" w:hAnsi="Garamond"/>
          <w:sz w:val="24"/>
          <w:szCs w:val="24"/>
        </w:rPr>
        <w:t>cases</w:t>
      </w:r>
      <w:r w:rsidR="000017C5">
        <w:rPr>
          <w:rFonts w:ascii="Garamond" w:hAnsi="Garamond"/>
          <w:sz w:val="24"/>
          <w:szCs w:val="24"/>
        </w:rPr>
        <w:t>, the</w:t>
      </w:r>
      <w:r w:rsidRPr="00C32887">
        <w:rPr>
          <w:rFonts w:ascii="Garamond" w:hAnsi="Garamond"/>
          <w:sz w:val="24"/>
          <w:szCs w:val="24"/>
        </w:rPr>
        <w:t xml:space="preserve"> closing</w:t>
      </w:r>
      <w:r w:rsidR="000017C5">
        <w:rPr>
          <w:rFonts w:ascii="Garamond" w:hAnsi="Garamond"/>
          <w:sz w:val="24"/>
          <w:szCs w:val="24"/>
        </w:rPr>
        <w:t xml:space="preserve"> of</w:t>
      </w:r>
      <w:r w:rsidRPr="00C32887">
        <w:rPr>
          <w:rFonts w:ascii="Garamond" w:hAnsi="Garamond"/>
          <w:sz w:val="24"/>
          <w:szCs w:val="24"/>
        </w:rPr>
        <w:t xml:space="preserve"> procedures </w:t>
      </w:r>
      <w:r w:rsidR="000017C5">
        <w:rPr>
          <w:rFonts w:ascii="Garamond" w:hAnsi="Garamond"/>
          <w:sz w:val="24"/>
          <w:szCs w:val="24"/>
        </w:rPr>
        <w:t xml:space="preserve">is </w:t>
      </w:r>
      <w:r w:rsidRPr="00C32887">
        <w:rPr>
          <w:rFonts w:ascii="Garamond" w:hAnsi="Garamond"/>
          <w:sz w:val="24"/>
          <w:szCs w:val="24"/>
        </w:rPr>
        <w:t xml:space="preserve">planned in the coming period.  </w:t>
      </w:r>
    </w:p>
    <w:p w:rsidR="004D1343" w:rsidRPr="00C32887" w:rsidRDefault="004D1343" w:rsidP="004D1343">
      <w:pPr>
        <w:rPr>
          <w:rFonts w:ascii="Garamond" w:hAnsi="Garamond"/>
          <w:sz w:val="24"/>
          <w:szCs w:val="24"/>
        </w:rPr>
      </w:pPr>
    </w:p>
    <w:p w:rsidR="004D1343" w:rsidRPr="00C32887" w:rsidRDefault="000017C5" w:rsidP="000017C5">
      <w:pPr>
        <w:jc w:val="both"/>
        <w:rPr>
          <w:rFonts w:ascii="Garamond" w:hAnsi="Garamond"/>
          <w:sz w:val="24"/>
          <w:szCs w:val="24"/>
        </w:rPr>
      </w:pPr>
      <w:r>
        <w:rPr>
          <w:rFonts w:ascii="Garamond" w:hAnsi="Garamond"/>
          <w:sz w:val="24"/>
          <w:szCs w:val="24"/>
        </w:rPr>
        <w:t xml:space="preserve">The target value </w:t>
      </w:r>
      <w:r w:rsidR="00E5013A">
        <w:rPr>
          <w:rFonts w:ascii="Garamond" w:hAnsi="Garamond"/>
          <w:sz w:val="24"/>
          <w:szCs w:val="24"/>
        </w:rPr>
        <w:t>for</w:t>
      </w:r>
      <w:r>
        <w:rPr>
          <w:rFonts w:ascii="Garamond" w:hAnsi="Garamond"/>
          <w:sz w:val="24"/>
          <w:szCs w:val="24"/>
        </w:rPr>
        <w:t xml:space="preserve"> Performance Indicator </w:t>
      </w:r>
      <w:r w:rsidR="00E5013A">
        <w:rPr>
          <w:rFonts w:ascii="Garamond" w:hAnsi="Garamond"/>
          <w:sz w:val="24"/>
          <w:szCs w:val="24"/>
        </w:rPr>
        <w:t xml:space="preserve">- </w:t>
      </w:r>
      <w:r w:rsidR="00E5013A" w:rsidRPr="00E5013A">
        <w:rPr>
          <w:rFonts w:ascii="Garamond" w:hAnsi="Garamond"/>
          <w:sz w:val="24"/>
          <w:szCs w:val="24"/>
        </w:rPr>
        <w:t xml:space="preserve">Number of documents reviewed and assessed by the </w:t>
      </w:r>
      <w:r w:rsidR="004D1343" w:rsidRPr="00C32887">
        <w:rPr>
          <w:rFonts w:ascii="Garamond" w:hAnsi="Garamond"/>
          <w:sz w:val="24"/>
          <w:szCs w:val="24"/>
        </w:rPr>
        <w:t xml:space="preserve">Agency is achieved and exceeded </w:t>
      </w:r>
      <w:r>
        <w:rPr>
          <w:rFonts w:ascii="Garamond" w:hAnsi="Garamond"/>
          <w:sz w:val="24"/>
          <w:szCs w:val="24"/>
        </w:rPr>
        <w:t xml:space="preserve">in </w:t>
      </w:r>
      <w:r w:rsidR="004D1343" w:rsidRPr="00C32887">
        <w:rPr>
          <w:rFonts w:ascii="Garamond" w:hAnsi="Garamond"/>
          <w:sz w:val="24"/>
          <w:szCs w:val="24"/>
        </w:rPr>
        <w:t>the period anal</w:t>
      </w:r>
      <w:r w:rsidR="00126B9E">
        <w:rPr>
          <w:rFonts w:ascii="Garamond" w:hAnsi="Garamond"/>
          <w:sz w:val="24"/>
          <w:szCs w:val="24"/>
        </w:rPr>
        <w:t>ys</w:t>
      </w:r>
      <w:r w:rsidR="004D1343" w:rsidRPr="00C32887">
        <w:rPr>
          <w:rFonts w:ascii="Garamond" w:hAnsi="Garamond"/>
          <w:sz w:val="24"/>
          <w:szCs w:val="24"/>
        </w:rPr>
        <w:t xml:space="preserve">ed. Specifically, the plan </w:t>
      </w:r>
      <w:r w:rsidR="00E5013A">
        <w:rPr>
          <w:rFonts w:ascii="Garamond" w:hAnsi="Garamond"/>
          <w:sz w:val="24"/>
          <w:szCs w:val="24"/>
        </w:rPr>
        <w:t>was</w:t>
      </w:r>
      <w:r w:rsidR="004D1343" w:rsidRPr="00C32887">
        <w:rPr>
          <w:rFonts w:ascii="Garamond" w:hAnsi="Garamond"/>
          <w:sz w:val="24"/>
          <w:szCs w:val="24"/>
        </w:rPr>
        <w:t xml:space="preserve"> 25, while </w:t>
      </w:r>
      <w:r w:rsidRPr="00C32887">
        <w:rPr>
          <w:rFonts w:ascii="Garamond" w:hAnsi="Garamond"/>
          <w:sz w:val="24"/>
          <w:szCs w:val="24"/>
        </w:rPr>
        <w:t>41 case</w:t>
      </w:r>
      <w:r>
        <w:rPr>
          <w:rFonts w:ascii="Garamond" w:hAnsi="Garamond"/>
          <w:sz w:val="24"/>
          <w:szCs w:val="24"/>
        </w:rPr>
        <w:t>s</w:t>
      </w:r>
      <w:r w:rsidRPr="00C32887">
        <w:rPr>
          <w:rFonts w:ascii="Garamond" w:hAnsi="Garamond"/>
          <w:sz w:val="24"/>
          <w:szCs w:val="24"/>
        </w:rPr>
        <w:t xml:space="preserve"> </w:t>
      </w:r>
      <w:r>
        <w:rPr>
          <w:rFonts w:ascii="Garamond" w:hAnsi="Garamond"/>
          <w:sz w:val="24"/>
          <w:szCs w:val="24"/>
        </w:rPr>
        <w:t xml:space="preserve">were </w:t>
      </w:r>
      <w:r w:rsidR="00E5013A">
        <w:rPr>
          <w:rFonts w:ascii="Garamond" w:hAnsi="Garamond"/>
          <w:sz w:val="24"/>
          <w:szCs w:val="24"/>
        </w:rPr>
        <w:t>completed and analys</w:t>
      </w:r>
      <w:r w:rsidR="004D1343" w:rsidRPr="00C32887">
        <w:rPr>
          <w:rFonts w:ascii="Garamond" w:hAnsi="Garamond"/>
          <w:sz w:val="24"/>
          <w:szCs w:val="24"/>
        </w:rPr>
        <w:t xml:space="preserve">ed. </w:t>
      </w:r>
      <w:r w:rsidRPr="00C32887">
        <w:rPr>
          <w:rFonts w:ascii="Garamond" w:hAnsi="Garamond"/>
          <w:sz w:val="24"/>
          <w:szCs w:val="24"/>
        </w:rPr>
        <w:t xml:space="preserve">Bearing </w:t>
      </w:r>
      <w:r w:rsidR="004D1343" w:rsidRPr="00C32887">
        <w:rPr>
          <w:rFonts w:ascii="Garamond" w:hAnsi="Garamond"/>
          <w:sz w:val="24"/>
          <w:szCs w:val="24"/>
        </w:rPr>
        <w:t xml:space="preserve">in mind that the </w:t>
      </w:r>
      <w:r w:rsidR="00E5013A">
        <w:rPr>
          <w:rFonts w:ascii="Garamond" w:hAnsi="Garamond"/>
          <w:sz w:val="24"/>
          <w:szCs w:val="24"/>
        </w:rPr>
        <w:t>increase in the number of analys</w:t>
      </w:r>
      <w:r w:rsidR="004D1343" w:rsidRPr="00C32887">
        <w:rPr>
          <w:rFonts w:ascii="Garamond" w:hAnsi="Garamond"/>
          <w:sz w:val="24"/>
          <w:szCs w:val="24"/>
        </w:rPr>
        <w:t xml:space="preserve">ed applications is accompanied by an increase in the level of awareness of institutions on the obligation to report </w:t>
      </w:r>
      <w:r w:rsidR="00E5013A">
        <w:rPr>
          <w:rFonts w:ascii="Garamond" w:hAnsi="Garamond"/>
          <w:sz w:val="24"/>
          <w:szCs w:val="24"/>
        </w:rPr>
        <w:t xml:space="preserve">on </w:t>
      </w:r>
      <w:r w:rsidR="004D1343" w:rsidRPr="00C32887">
        <w:rPr>
          <w:rFonts w:ascii="Garamond" w:hAnsi="Garamond"/>
          <w:sz w:val="24"/>
          <w:szCs w:val="24"/>
        </w:rPr>
        <w:t xml:space="preserve">state aid, we can say that there has been an increase in public awareness </w:t>
      </w:r>
      <w:r w:rsidR="00E5013A">
        <w:rPr>
          <w:rFonts w:ascii="Garamond" w:hAnsi="Garamond"/>
          <w:sz w:val="24"/>
          <w:szCs w:val="24"/>
        </w:rPr>
        <w:t>on</w:t>
      </w:r>
      <w:r w:rsidR="004D1343" w:rsidRPr="00C32887">
        <w:rPr>
          <w:rFonts w:ascii="Garamond" w:hAnsi="Garamond"/>
          <w:sz w:val="24"/>
          <w:szCs w:val="24"/>
        </w:rPr>
        <w:t xml:space="preserve"> state aid issues.</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0017C5" w:rsidRDefault="000017C5">
      <w:pPr>
        <w:rPr>
          <w:rFonts w:ascii="Garamond" w:hAnsi="Garamond"/>
          <w:sz w:val="24"/>
          <w:szCs w:val="24"/>
        </w:rPr>
      </w:pPr>
      <w:r>
        <w:rPr>
          <w:rFonts w:ascii="Garamond" w:hAnsi="Garamond"/>
          <w:sz w:val="24"/>
          <w:szCs w:val="24"/>
        </w:rPr>
        <w:br w:type="page"/>
      </w:r>
    </w:p>
    <w:p w:rsidR="000017C5" w:rsidRDefault="000017C5" w:rsidP="004D1343">
      <w:pPr>
        <w:rPr>
          <w:rFonts w:ascii="Garamond" w:hAnsi="Garamond"/>
          <w:sz w:val="24"/>
          <w:szCs w:val="24"/>
        </w:rPr>
        <w:sectPr w:rsidR="000017C5" w:rsidSect="000257FD">
          <w:pgSz w:w="12240" w:h="15840"/>
          <w:pgMar w:top="1440" w:right="1440" w:bottom="1440" w:left="1440" w:header="720" w:footer="720" w:gutter="0"/>
          <w:cols w:space="720"/>
          <w:docGrid w:linePitch="360"/>
        </w:sect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tblPr>
      <w:tblGrid>
        <w:gridCol w:w="3173"/>
        <w:gridCol w:w="1183"/>
        <w:gridCol w:w="1207"/>
        <w:gridCol w:w="1436"/>
        <w:gridCol w:w="1231"/>
        <w:gridCol w:w="1275"/>
        <w:gridCol w:w="1297"/>
        <w:gridCol w:w="1275"/>
        <w:gridCol w:w="1099"/>
      </w:tblGrid>
      <w:tr w:rsidR="000017C5" w:rsidRPr="000017C5" w:rsidTr="000017C5">
        <w:trPr>
          <w:trHeight w:val="747"/>
          <w:jc w:val="center"/>
        </w:trPr>
        <w:tc>
          <w:tcPr>
            <w:tcW w:w="1204" w:type="pct"/>
            <w:vMerge w:val="restart"/>
            <w:tcBorders>
              <w:top w:val="single" w:sz="18" w:space="0" w:color="auto"/>
              <w:left w:val="single" w:sz="18" w:space="0" w:color="auto"/>
              <w:bottom w:val="single" w:sz="12" w:space="0" w:color="auto"/>
              <w:right w:val="single" w:sz="12" w:space="0" w:color="auto"/>
            </w:tcBorders>
            <w:vAlign w:val="center"/>
            <w:hideMark/>
          </w:tcPr>
          <w:p w:rsidR="000017C5" w:rsidRPr="000017C5" w:rsidRDefault="00481CF4" w:rsidP="000017C5">
            <w:pPr>
              <w:widowControl/>
              <w:autoSpaceDE/>
              <w:autoSpaceDN/>
              <w:jc w:val="center"/>
              <w:rPr>
                <w:rFonts w:ascii="Garamond" w:eastAsia="Times New Roman" w:hAnsi="Garamond" w:cs="Calibri Light"/>
                <w:b/>
                <w:bCs/>
                <w:sz w:val="18"/>
                <w:szCs w:val="18"/>
                <w:lang w:val="en-GB" w:eastAsia="en-US" w:bidi="ar-SA"/>
              </w:rPr>
            </w:pPr>
            <w:r>
              <w:rPr>
                <w:rFonts w:ascii="Garamond" w:eastAsia="Times New Roman" w:hAnsi="Garamond" w:cs="Calibri Light"/>
                <w:b/>
                <w:bCs/>
                <w:sz w:val="18"/>
                <w:szCs w:val="18"/>
                <w:lang w:val="en-GB" w:eastAsia="en-US" w:bidi="ar-SA"/>
              </w:rPr>
              <w:t xml:space="preserve">Performance Indicator </w:t>
            </w:r>
          </w:p>
        </w:tc>
        <w:tc>
          <w:tcPr>
            <w:tcW w:w="449" w:type="pct"/>
            <w:vMerge w:val="restart"/>
            <w:tcBorders>
              <w:top w:val="single" w:sz="18" w:space="0" w:color="auto"/>
              <w:left w:val="single" w:sz="12" w:space="0" w:color="auto"/>
              <w:bottom w:val="single" w:sz="12"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b/>
                <w:bCs/>
                <w:sz w:val="18"/>
                <w:szCs w:val="18"/>
                <w:lang w:eastAsia="en-US" w:bidi="ar-SA"/>
              </w:rPr>
            </w:pPr>
            <w:r>
              <w:rPr>
                <w:rFonts w:ascii="Garamond" w:eastAsia="Times New Roman" w:hAnsi="Garamond" w:cs="Calibri Light"/>
                <w:b/>
                <w:bCs/>
                <w:sz w:val="18"/>
                <w:szCs w:val="18"/>
                <w:lang w:val="en-GB" w:eastAsia="en-US" w:bidi="ar-SA"/>
              </w:rPr>
              <w:t>Planned</w:t>
            </w:r>
            <w:r w:rsidRPr="000017C5">
              <w:rPr>
                <w:rFonts w:ascii="Garamond" w:eastAsia="Times New Roman" w:hAnsi="Garamond" w:cs="Calibri Light"/>
                <w:b/>
                <w:bCs/>
                <w:sz w:val="18"/>
                <w:szCs w:val="18"/>
                <w:lang w:val="uz-Cyrl-UZ" w:eastAsia="en-US" w:bidi="ar-SA"/>
              </w:rPr>
              <w:t xml:space="preserve"> 2014</w:t>
            </w:r>
          </w:p>
        </w:tc>
        <w:tc>
          <w:tcPr>
            <w:tcW w:w="1003" w:type="pct"/>
            <w:gridSpan w:val="2"/>
            <w:tcBorders>
              <w:top w:val="single" w:sz="18" w:space="0" w:color="auto"/>
              <w:left w:val="single" w:sz="12" w:space="0" w:color="auto"/>
              <w:bottom w:val="single" w:sz="2" w:space="0" w:color="auto"/>
              <w:right w:val="single" w:sz="12" w:space="0" w:color="auto"/>
            </w:tcBorders>
            <w:noWrap/>
            <w:vAlign w:val="center"/>
            <w:hideMark/>
          </w:tcPr>
          <w:p w:rsidR="000017C5" w:rsidRPr="000017C5" w:rsidRDefault="000017C5" w:rsidP="000017C5">
            <w:pPr>
              <w:widowControl/>
              <w:autoSpaceDE/>
              <w:autoSpaceDN/>
              <w:jc w:val="center"/>
              <w:rPr>
                <w:rFonts w:ascii="Garamond" w:eastAsia="Times New Roman" w:hAnsi="Garamond" w:cs="Calibri Light"/>
                <w:b/>
                <w:bCs/>
                <w:sz w:val="18"/>
                <w:szCs w:val="18"/>
                <w:lang w:eastAsia="en-US" w:bidi="ar-SA"/>
              </w:rPr>
            </w:pPr>
            <w:r w:rsidRPr="000017C5">
              <w:rPr>
                <w:rFonts w:ascii="Garamond" w:eastAsia="Times New Roman" w:hAnsi="Garamond" w:cs="Calibri Light"/>
                <w:b/>
                <w:bCs/>
                <w:sz w:val="18"/>
                <w:szCs w:val="18"/>
                <w:lang w:eastAsia="en-US" w:bidi="ar-SA"/>
              </w:rPr>
              <w:t>2018</w:t>
            </w:r>
          </w:p>
        </w:tc>
        <w:tc>
          <w:tcPr>
            <w:tcW w:w="951" w:type="pct"/>
            <w:gridSpan w:val="2"/>
            <w:tcBorders>
              <w:top w:val="single" w:sz="18" w:space="0" w:color="auto"/>
              <w:left w:val="single" w:sz="12" w:space="0" w:color="auto"/>
              <w:bottom w:val="single" w:sz="12" w:space="0" w:color="auto"/>
              <w:right w:val="single" w:sz="12" w:space="0" w:color="auto"/>
            </w:tcBorders>
          </w:tcPr>
          <w:p w:rsidR="000017C5" w:rsidRPr="000017C5" w:rsidRDefault="000017C5" w:rsidP="000017C5">
            <w:pPr>
              <w:widowControl/>
              <w:autoSpaceDE/>
              <w:autoSpaceDN/>
              <w:jc w:val="center"/>
              <w:rPr>
                <w:rFonts w:ascii="Garamond" w:eastAsia="Times New Roman" w:hAnsi="Garamond" w:cs="Calibri Light"/>
                <w:b/>
                <w:bCs/>
                <w:sz w:val="18"/>
                <w:szCs w:val="18"/>
                <w:lang w:val="uz-Cyrl-UZ" w:eastAsia="en-US" w:bidi="ar-SA"/>
              </w:rPr>
            </w:pPr>
          </w:p>
          <w:p w:rsidR="000017C5" w:rsidRPr="000017C5" w:rsidRDefault="000017C5" w:rsidP="000017C5">
            <w:pPr>
              <w:widowControl/>
              <w:autoSpaceDE/>
              <w:autoSpaceDN/>
              <w:jc w:val="center"/>
              <w:rPr>
                <w:rFonts w:ascii="Garamond" w:eastAsia="Times New Roman" w:hAnsi="Garamond" w:cs="Calibri Light"/>
                <w:b/>
                <w:bCs/>
                <w:sz w:val="18"/>
                <w:szCs w:val="18"/>
                <w:lang w:val="uz-Cyrl-UZ" w:eastAsia="en-US" w:bidi="ar-SA"/>
              </w:rPr>
            </w:pPr>
            <w:r w:rsidRPr="000017C5">
              <w:rPr>
                <w:rFonts w:ascii="Garamond" w:eastAsia="Times New Roman" w:hAnsi="Garamond" w:cs="Calibri Light"/>
                <w:b/>
                <w:bCs/>
                <w:sz w:val="18"/>
                <w:szCs w:val="18"/>
                <w:lang w:val="uz-Cyrl-UZ" w:eastAsia="en-US" w:bidi="ar-SA"/>
              </w:rPr>
              <w:t>2019</w:t>
            </w:r>
          </w:p>
        </w:tc>
        <w:tc>
          <w:tcPr>
            <w:tcW w:w="976" w:type="pct"/>
            <w:gridSpan w:val="2"/>
            <w:tcBorders>
              <w:top w:val="single" w:sz="18" w:space="0" w:color="auto"/>
              <w:left w:val="single" w:sz="12" w:space="0" w:color="auto"/>
              <w:bottom w:val="single" w:sz="12" w:space="0" w:color="auto"/>
              <w:right w:val="single" w:sz="12" w:space="0" w:color="auto"/>
            </w:tcBorders>
          </w:tcPr>
          <w:p w:rsidR="000017C5" w:rsidRPr="000017C5" w:rsidRDefault="000017C5" w:rsidP="000017C5">
            <w:pPr>
              <w:widowControl/>
              <w:autoSpaceDE/>
              <w:autoSpaceDN/>
              <w:jc w:val="center"/>
              <w:rPr>
                <w:rFonts w:ascii="Garamond" w:eastAsia="Times New Roman" w:hAnsi="Garamond" w:cs="Calibri Light"/>
                <w:b/>
                <w:bCs/>
                <w:sz w:val="18"/>
                <w:szCs w:val="18"/>
                <w:lang w:val="hr-HR" w:eastAsia="en-US" w:bidi="ar-SA"/>
              </w:rPr>
            </w:pPr>
          </w:p>
          <w:p w:rsidR="000017C5" w:rsidRPr="000017C5" w:rsidRDefault="000017C5" w:rsidP="000017C5">
            <w:pPr>
              <w:widowControl/>
              <w:autoSpaceDE/>
              <w:autoSpaceDN/>
              <w:jc w:val="center"/>
              <w:rPr>
                <w:rFonts w:ascii="Garamond" w:eastAsia="Times New Roman" w:hAnsi="Garamond" w:cs="Calibri Light"/>
                <w:b/>
                <w:bCs/>
                <w:sz w:val="18"/>
                <w:szCs w:val="18"/>
                <w:lang w:val="hr-HR" w:eastAsia="en-US" w:bidi="ar-SA"/>
              </w:rPr>
            </w:pPr>
            <w:r w:rsidRPr="000017C5">
              <w:rPr>
                <w:rFonts w:ascii="Garamond" w:eastAsia="Times New Roman" w:hAnsi="Garamond" w:cs="Calibri Light"/>
                <w:b/>
                <w:bCs/>
                <w:sz w:val="18"/>
                <w:szCs w:val="18"/>
                <w:lang w:val="hr-HR" w:eastAsia="en-US" w:bidi="ar-SA"/>
              </w:rPr>
              <w:t>2020</w:t>
            </w:r>
          </w:p>
        </w:tc>
        <w:tc>
          <w:tcPr>
            <w:tcW w:w="417" w:type="pct"/>
            <w:vMerge w:val="restart"/>
            <w:tcBorders>
              <w:top w:val="single" w:sz="18" w:space="0" w:color="auto"/>
              <w:left w:val="single" w:sz="12" w:space="0" w:color="auto"/>
              <w:bottom w:val="single" w:sz="12" w:space="0" w:color="auto"/>
              <w:right w:val="single" w:sz="18"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b/>
                <w:bCs/>
                <w:sz w:val="18"/>
                <w:szCs w:val="18"/>
                <w:lang w:eastAsia="en-US" w:bidi="ar-SA"/>
              </w:rPr>
            </w:pPr>
            <w:r w:rsidRPr="000017C5">
              <w:rPr>
                <w:rFonts w:ascii="Garamond" w:eastAsia="Times New Roman" w:hAnsi="Garamond" w:cs="Calibri Light"/>
                <w:b/>
                <w:bCs/>
                <w:sz w:val="18"/>
                <w:szCs w:val="18"/>
                <w:lang w:val="uz-Cyrl-UZ" w:eastAsia="en-US" w:bidi="ar-SA"/>
              </w:rPr>
              <w:t>Trend</w:t>
            </w:r>
          </w:p>
        </w:tc>
      </w:tr>
      <w:tr w:rsidR="000017C5" w:rsidRPr="000017C5" w:rsidTr="00D90CB9">
        <w:trPr>
          <w:trHeight w:val="495"/>
          <w:jc w:val="center"/>
        </w:trPr>
        <w:tc>
          <w:tcPr>
            <w:tcW w:w="1204" w:type="pct"/>
            <w:vMerge/>
            <w:tcBorders>
              <w:top w:val="single" w:sz="18" w:space="0" w:color="auto"/>
              <w:left w:val="single" w:sz="18" w:space="0" w:color="auto"/>
              <w:bottom w:val="single" w:sz="12" w:space="0" w:color="auto"/>
              <w:right w:val="single" w:sz="12" w:space="0" w:color="auto"/>
            </w:tcBorders>
            <w:vAlign w:val="center"/>
            <w:hideMark/>
          </w:tcPr>
          <w:p w:rsidR="000017C5" w:rsidRPr="000017C5" w:rsidRDefault="000017C5" w:rsidP="000017C5">
            <w:pPr>
              <w:widowControl/>
              <w:autoSpaceDE/>
              <w:autoSpaceDN/>
              <w:jc w:val="both"/>
              <w:rPr>
                <w:rFonts w:ascii="Garamond" w:eastAsia="Times New Roman" w:hAnsi="Garamond" w:cs="Calibri Light"/>
                <w:b/>
                <w:bCs/>
                <w:sz w:val="18"/>
                <w:szCs w:val="18"/>
                <w:lang w:eastAsia="en-US" w:bidi="ar-SA"/>
              </w:rPr>
            </w:pPr>
          </w:p>
        </w:tc>
        <w:tc>
          <w:tcPr>
            <w:tcW w:w="449" w:type="pct"/>
            <w:vMerge/>
            <w:tcBorders>
              <w:top w:val="single" w:sz="18" w:space="0" w:color="auto"/>
              <w:left w:val="single" w:sz="12" w:space="0" w:color="auto"/>
              <w:bottom w:val="single" w:sz="12" w:space="0" w:color="auto"/>
              <w:right w:val="single" w:sz="12" w:space="0" w:color="auto"/>
            </w:tcBorders>
            <w:vAlign w:val="center"/>
            <w:hideMark/>
          </w:tcPr>
          <w:p w:rsidR="000017C5" w:rsidRPr="000017C5" w:rsidRDefault="000017C5" w:rsidP="000017C5">
            <w:pPr>
              <w:widowControl/>
              <w:autoSpaceDE/>
              <w:autoSpaceDN/>
              <w:jc w:val="both"/>
              <w:rPr>
                <w:rFonts w:ascii="Garamond" w:eastAsia="Times New Roman" w:hAnsi="Garamond" w:cs="Calibri Light"/>
                <w:b/>
                <w:bCs/>
                <w:sz w:val="18"/>
                <w:szCs w:val="18"/>
                <w:lang w:eastAsia="en-US" w:bidi="ar-SA"/>
              </w:rPr>
            </w:pPr>
          </w:p>
        </w:tc>
        <w:tc>
          <w:tcPr>
            <w:tcW w:w="458" w:type="pct"/>
            <w:tcBorders>
              <w:top w:val="single" w:sz="2" w:space="0" w:color="auto"/>
              <w:left w:val="single" w:sz="12" w:space="0" w:color="auto"/>
              <w:bottom w:val="single" w:sz="12" w:space="0" w:color="auto"/>
              <w:right w:val="single" w:sz="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b/>
                <w:bCs/>
                <w:sz w:val="18"/>
                <w:szCs w:val="18"/>
                <w:lang w:val="en-GB" w:eastAsia="en-US" w:bidi="ar-SA"/>
              </w:rPr>
            </w:pPr>
            <w:r>
              <w:rPr>
                <w:rFonts w:ascii="Garamond" w:eastAsia="Times New Roman" w:hAnsi="Garamond" w:cs="Calibri Light"/>
                <w:b/>
                <w:bCs/>
                <w:sz w:val="18"/>
                <w:szCs w:val="18"/>
                <w:lang w:val="en-GB" w:eastAsia="en-US" w:bidi="ar-SA"/>
              </w:rPr>
              <w:t>Target value</w:t>
            </w:r>
          </w:p>
        </w:tc>
        <w:tc>
          <w:tcPr>
            <w:tcW w:w="545" w:type="pct"/>
            <w:tcBorders>
              <w:top w:val="single" w:sz="2" w:space="0" w:color="auto"/>
              <w:left w:val="single" w:sz="2" w:space="0" w:color="auto"/>
              <w:bottom w:val="single" w:sz="12"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b/>
                <w:bCs/>
                <w:sz w:val="18"/>
                <w:szCs w:val="18"/>
                <w:lang w:val="en-GB" w:eastAsia="en-US" w:bidi="ar-SA"/>
              </w:rPr>
            </w:pPr>
            <w:r>
              <w:rPr>
                <w:rFonts w:ascii="Garamond" w:eastAsia="Times New Roman" w:hAnsi="Garamond" w:cs="Calibri Light"/>
                <w:b/>
                <w:bCs/>
                <w:sz w:val="18"/>
                <w:szCs w:val="18"/>
                <w:lang w:val="en-GB" w:eastAsia="en-US" w:bidi="ar-SA"/>
              </w:rPr>
              <w:t xml:space="preserve">Implemented </w:t>
            </w:r>
          </w:p>
        </w:tc>
        <w:tc>
          <w:tcPr>
            <w:tcW w:w="467" w:type="pct"/>
            <w:tcBorders>
              <w:top w:val="single" w:sz="18" w:space="0" w:color="auto"/>
              <w:left w:val="single" w:sz="12" w:space="0" w:color="auto"/>
              <w:bottom w:val="single" w:sz="12" w:space="0" w:color="auto"/>
              <w:right w:val="single" w:sz="12" w:space="0" w:color="auto"/>
            </w:tcBorders>
            <w:vAlign w:val="center"/>
          </w:tcPr>
          <w:p w:rsidR="000017C5" w:rsidRPr="000017C5" w:rsidRDefault="000017C5" w:rsidP="00D90CB9">
            <w:pPr>
              <w:widowControl/>
              <w:autoSpaceDE/>
              <w:autoSpaceDN/>
              <w:jc w:val="center"/>
              <w:rPr>
                <w:rFonts w:ascii="Garamond" w:eastAsia="Times New Roman" w:hAnsi="Garamond" w:cs="Calibri Light"/>
                <w:b/>
                <w:bCs/>
                <w:sz w:val="18"/>
                <w:szCs w:val="18"/>
                <w:lang w:val="en-GB" w:eastAsia="en-US" w:bidi="ar-SA"/>
              </w:rPr>
            </w:pPr>
            <w:r>
              <w:rPr>
                <w:rFonts w:ascii="Garamond" w:eastAsia="Times New Roman" w:hAnsi="Garamond" w:cs="Calibri Light"/>
                <w:b/>
                <w:bCs/>
                <w:sz w:val="18"/>
                <w:szCs w:val="18"/>
                <w:lang w:val="en-GB" w:eastAsia="en-US" w:bidi="ar-SA"/>
              </w:rPr>
              <w:t>Target value</w:t>
            </w:r>
          </w:p>
        </w:tc>
        <w:tc>
          <w:tcPr>
            <w:tcW w:w="484" w:type="pct"/>
            <w:tcBorders>
              <w:top w:val="single" w:sz="18" w:space="0" w:color="auto"/>
              <w:left w:val="single" w:sz="12" w:space="0" w:color="auto"/>
              <w:bottom w:val="single" w:sz="12" w:space="0" w:color="auto"/>
              <w:right w:val="single" w:sz="12" w:space="0" w:color="auto"/>
            </w:tcBorders>
            <w:vAlign w:val="center"/>
          </w:tcPr>
          <w:p w:rsidR="000017C5" w:rsidRPr="000017C5" w:rsidRDefault="000017C5" w:rsidP="00D90CB9">
            <w:pPr>
              <w:widowControl/>
              <w:autoSpaceDE/>
              <w:autoSpaceDN/>
              <w:jc w:val="center"/>
              <w:rPr>
                <w:rFonts w:ascii="Garamond" w:eastAsia="Times New Roman" w:hAnsi="Garamond" w:cs="Calibri Light"/>
                <w:b/>
                <w:bCs/>
                <w:sz w:val="18"/>
                <w:szCs w:val="18"/>
                <w:lang w:val="en-GB" w:eastAsia="en-US" w:bidi="ar-SA"/>
              </w:rPr>
            </w:pPr>
            <w:r>
              <w:rPr>
                <w:rFonts w:ascii="Garamond" w:eastAsia="Times New Roman" w:hAnsi="Garamond" w:cs="Calibri Light"/>
                <w:b/>
                <w:bCs/>
                <w:sz w:val="18"/>
                <w:szCs w:val="18"/>
                <w:lang w:val="en-GB" w:eastAsia="en-US" w:bidi="ar-SA"/>
              </w:rPr>
              <w:t xml:space="preserve">Implemented </w:t>
            </w:r>
          </w:p>
        </w:tc>
        <w:tc>
          <w:tcPr>
            <w:tcW w:w="492" w:type="pct"/>
            <w:tcBorders>
              <w:top w:val="single" w:sz="18" w:space="0" w:color="auto"/>
              <w:left w:val="single" w:sz="12" w:space="0" w:color="auto"/>
              <w:bottom w:val="single" w:sz="12" w:space="0" w:color="auto"/>
              <w:right w:val="single" w:sz="12" w:space="0" w:color="auto"/>
            </w:tcBorders>
            <w:vAlign w:val="center"/>
          </w:tcPr>
          <w:p w:rsidR="000017C5" w:rsidRPr="000017C5" w:rsidRDefault="000017C5" w:rsidP="00D90CB9">
            <w:pPr>
              <w:widowControl/>
              <w:autoSpaceDE/>
              <w:autoSpaceDN/>
              <w:jc w:val="center"/>
              <w:rPr>
                <w:rFonts w:ascii="Garamond" w:eastAsia="Times New Roman" w:hAnsi="Garamond" w:cs="Calibri Light"/>
                <w:b/>
                <w:bCs/>
                <w:sz w:val="18"/>
                <w:szCs w:val="18"/>
                <w:lang w:val="en-GB" w:eastAsia="en-US" w:bidi="ar-SA"/>
              </w:rPr>
            </w:pPr>
            <w:r>
              <w:rPr>
                <w:rFonts w:ascii="Garamond" w:eastAsia="Times New Roman" w:hAnsi="Garamond" w:cs="Calibri Light"/>
                <w:b/>
                <w:bCs/>
                <w:sz w:val="18"/>
                <w:szCs w:val="18"/>
                <w:lang w:val="en-GB" w:eastAsia="en-US" w:bidi="ar-SA"/>
              </w:rPr>
              <w:t>Target value</w:t>
            </w:r>
          </w:p>
        </w:tc>
        <w:tc>
          <w:tcPr>
            <w:tcW w:w="484" w:type="pct"/>
            <w:tcBorders>
              <w:top w:val="single" w:sz="18" w:space="0" w:color="auto"/>
              <w:left w:val="single" w:sz="12" w:space="0" w:color="auto"/>
              <w:bottom w:val="single" w:sz="12" w:space="0" w:color="auto"/>
              <w:right w:val="single" w:sz="12" w:space="0" w:color="auto"/>
            </w:tcBorders>
            <w:vAlign w:val="center"/>
          </w:tcPr>
          <w:p w:rsidR="000017C5" w:rsidRPr="000017C5" w:rsidRDefault="000017C5" w:rsidP="00D90CB9">
            <w:pPr>
              <w:widowControl/>
              <w:autoSpaceDE/>
              <w:autoSpaceDN/>
              <w:jc w:val="center"/>
              <w:rPr>
                <w:rFonts w:ascii="Garamond" w:eastAsia="Times New Roman" w:hAnsi="Garamond" w:cs="Calibri Light"/>
                <w:b/>
                <w:bCs/>
                <w:sz w:val="18"/>
                <w:szCs w:val="18"/>
                <w:lang w:val="en-GB" w:eastAsia="en-US" w:bidi="ar-SA"/>
              </w:rPr>
            </w:pPr>
            <w:r>
              <w:rPr>
                <w:rFonts w:ascii="Garamond" w:eastAsia="Times New Roman" w:hAnsi="Garamond" w:cs="Calibri Light"/>
                <w:b/>
                <w:bCs/>
                <w:sz w:val="18"/>
                <w:szCs w:val="18"/>
                <w:lang w:val="en-GB" w:eastAsia="en-US" w:bidi="ar-SA"/>
              </w:rPr>
              <w:t xml:space="preserve">Implemented </w:t>
            </w:r>
          </w:p>
        </w:tc>
        <w:tc>
          <w:tcPr>
            <w:tcW w:w="417" w:type="pct"/>
            <w:vMerge/>
            <w:tcBorders>
              <w:top w:val="single" w:sz="18" w:space="0" w:color="auto"/>
              <w:left w:val="single" w:sz="12" w:space="0" w:color="auto"/>
              <w:bottom w:val="single" w:sz="12" w:space="0" w:color="auto"/>
              <w:right w:val="single" w:sz="18" w:space="0" w:color="auto"/>
            </w:tcBorders>
            <w:vAlign w:val="center"/>
            <w:hideMark/>
          </w:tcPr>
          <w:p w:rsidR="000017C5" w:rsidRPr="000017C5" w:rsidRDefault="000017C5" w:rsidP="000017C5">
            <w:pPr>
              <w:widowControl/>
              <w:autoSpaceDE/>
              <w:autoSpaceDN/>
              <w:jc w:val="both"/>
              <w:rPr>
                <w:rFonts w:ascii="Garamond" w:eastAsia="Times New Roman" w:hAnsi="Garamond" w:cs="Calibri Light"/>
                <w:b/>
                <w:bCs/>
                <w:sz w:val="18"/>
                <w:szCs w:val="18"/>
                <w:lang w:eastAsia="en-US" w:bidi="ar-SA"/>
              </w:rPr>
            </w:pPr>
          </w:p>
        </w:tc>
      </w:tr>
      <w:tr w:rsidR="000017C5" w:rsidRPr="000017C5" w:rsidTr="000017C5">
        <w:trPr>
          <w:trHeight w:val="480"/>
          <w:jc w:val="center"/>
        </w:trPr>
        <w:tc>
          <w:tcPr>
            <w:tcW w:w="1204" w:type="pct"/>
            <w:tcBorders>
              <w:top w:val="single" w:sz="12" w:space="0" w:color="auto"/>
              <w:left w:val="single" w:sz="18" w:space="0" w:color="auto"/>
              <w:bottom w:val="single" w:sz="2" w:space="0" w:color="auto"/>
              <w:right w:val="single" w:sz="12" w:space="0" w:color="auto"/>
            </w:tcBorders>
            <w:vAlign w:val="center"/>
            <w:hideMark/>
          </w:tcPr>
          <w:p w:rsidR="00E5013A" w:rsidRPr="00E5013A" w:rsidRDefault="00E5013A" w:rsidP="00E5013A">
            <w:pPr>
              <w:pStyle w:val="Default"/>
              <w:jc w:val="both"/>
              <w:rPr>
                <w:rFonts w:ascii="Garamond" w:hAnsi="Garamond"/>
                <w:sz w:val="16"/>
                <w:szCs w:val="16"/>
              </w:rPr>
            </w:pPr>
            <w:r w:rsidRPr="00E5013A">
              <w:rPr>
                <w:rFonts w:ascii="Garamond" w:hAnsi="Garamond"/>
                <w:iCs/>
                <w:sz w:val="16"/>
                <w:szCs w:val="16"/>
              </w:rPr>
              <w:t>The number of state aid grantors and beneficiaries, private sector representatives and judges attending state aid seminars and training</w:t>
            </w:r>
            <w:r>
              <w:rPr>
                <w:rFonts w:ascii="Garamond" w:hAnsi="Garamond"/>
                <w:iCs/>
                <w:sz w:val="16"/>
                <w:szCs w:val="16"/>
              </w:rPr>
              <w:t>s</w:t>
            </w:r>
          </w:p>
          <w:p w:rsidR="000017C5" w:rsidRPr="00E5013A" w:rsidRDefault="000017C5" w:rsidP="000017C5">
            <w:pPr>
              <w:widowControl/>
              <w:autoSpaceDE/>
              <w:autoSpaceDN/>
              <w:jc w:val="both"/>
              <w:rPr>
                <w:rFonts w:ascii="Garamond" w:eastAsia="Times New Roman" w:hAnsi="Garamond" w:cs="Calibri Light"/>
                <w:color w:val="000000"/>
                <w:sz w:val="16"/>
                <w:szCs w:val="16"/>
                <w:lang w:eastAsia="en-US" w:bidi="ar-SA"/>
              </w:rPr>
            </w:pPr>
          </w:p>
        </w:tc>
        <w:tc>
          <w:tcPr>
            <w:tcW w:w="449" w:type="pct"/>
            <w:tcBorders>
              <w:top w:val="single" w:sz="12" w:space="0" w:color="auto"/>
              <w:left w:val="single" w:sz="12" w:space="0" w:color="auto"/>
              <w:bottom w:val="single" w:sz="2"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r w:rsidRPr="000017C5">
              <w:rPr>
                <w:rFonts w:ascii="Garamond" w:eastAsia="Times New Roman" w:hAnsi="Garamond" w:cs="Calibri Light"/>
                <w:color w:val="000000"/>
                <w:sz w:val="16"/>
                <w:szCs w:val="16"/>
                <w:lang w:val="uz-Cyrl-UZ" w:eastAsia="en-US" w:bidi="ar-SA"/>
              </w:rPr>
              <w:t>50</w:t>
            </w:r>
          </w:p>
        </w:tc>
        <w:tc>
          <w:tcPr>
            <w:tcW w:w="458" w:type="pct"/>
            <w:tcBorders>
              <w:top w:val="single" w:sz="12" w:space="0" w:color="auto"/>
              <w:left w:val="single" w:sz="12" w:space="0" w:color="auto"/>
              <w:bottom w:val="single" w:sz="2" w:space="0" w:color="auto"/>
              <w:right w:val="single" w:sz="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r w:rsidRPr="000017C5">
              <w:rPr>
                <w:rFonts w:ascii="Garamond" w:eastAsia="Times New Roman" w:hAnsi="Garamond" w:cs="Calibri Light"/>
                <w:color w:val="000000"/>
                <w:sz w:val="16"/>
                <w:szCs w:val="16"/>
                <w:lang w:val="uz-Cyrl-UZ" w:eastAsia="en-US" w:bidi="ar-SA"/>
              </w:rPr>
              <w:t>30</w:t>
            </w:r>
          </w:p>
        </w:tc>
        <w:tc>
          <w:tcPr>
            <w:tcW w:w="545" w:type="pct"/>
            <w:tcBorders>
              <w:top w:val="single" w:sz="12" w:space="0" w:color="auto"/>
              <w:left w:val="single" w:sz="2" w:space="0" w:color="auto"/>
              <w:bottom w:val="single" w:sz="2"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r w:rsidRPr="000017C5">
              <w:rPr>
                <w:rFonts w:ascii="Garamond" w:eastAsia="Times New Roman" w:hAnsi="Garamond" w:cs="Calibri Light"/>
                <w:color w:val="000000"/>
                <w:sz w:val="16"/>
                <w:szCs w:val="16"/>
                <w:lang w:val="uz-Cyrl-UZ" w:eastAsia="en-US" w:bidi="ar-SA"/>
              </w:rPr>
              <w:t>0</w:t>
            </w:r>
          </w:p>
        </w:tc>
        <w:tc>
          <w:tcPr>
            <w:tcW w:w="467" w:type="pct"/>
            <w:tcBorders>
              <w:top w:val="single" w:sz="1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US" w:bidi="ar-SA"/>
              </w:rPr>
            </w:pPr>
            <w:r w:rsidRPr="000017C5">
              <w:rPr>
                <w:rFonts w:ascii="Garamond" w:eastAsia="游明朝" w:hAnsi="Garamond" w:cs="Calibri Light"/>
                <w:noProof/>
                <w:sz w:val="16"/>
                <w:szCs w:val="16"/>
                <w:lang w:eastAsia="en-US" w:bidi="ar-SA"/>
              </w:rPr>
              <w:t>60</w:t>
            </w:r>
          </w:p>
        </w:tc>
        <w:tc>
          <w:tcPr>
            <w:tcW w:w="484" w:type="pct"/>
            <w:tcBorders>
              <w:top w:val="single" w:sz="1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US" w:bidi="ar-SA"/>
              </w:rPr>
            </w:pPr>
            <w:r w:rsidRPr="000017C5">
              <w:rPr>
                <w:rFonts w:ascii="Garamond" w:eastAsia="游明朝" w:hAnsi="Garamond" w:cs="Calibri Light"/>
                <w:noProof/>
                <w:sz w:val="16"/>
                <w:szCs w:val="16"/>
                <w:lang w:eastAsia="en-US" w:bidi="ar-SA"/>
              </w:rPr>
              <w:t>56</w:t>
            </w:r>
          </w:p>
        </w:tc>
        <w:tc>
          <w:tcPr>
            <w:tcW w:w="492" w:type="pct"/>
            <w:tcBorders>
              <w:top w:val="single" w:sz="1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GB" w:bidi="ar-SA"/>
              </w:rPr>
            </w:pPr>
            <w:r w:rsidRPr="000017C5">
              <w:rPr>
                <w:rFonts w:ascii="Garamond" w:eastAsia="游明朝" w:hAnsi="Garamond" w:cs="Calibri Light"/>
                <w:noProof/>
                <w:sz w:val="16"/>
                <w:szCs w:val="16"/>
                <w:lang w:eastAsia="en-GB" w:bidi="ar-SA"/>
              </w:rPr>
              <w:t>100</w:t>
            </w:r>
          </w:p>
        </w:tc>
        <w:tc>
          <w:tcPr>
            <w:tcW w:w="484" w:type="pct"/>
            <w:tcBorders>
              <w:top w:val="single" w:sz="1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GB" w:bidi="ar-SA"/>
              </w:rPr>
            </w:pPr>
            <w:r w:rsidRPr="000017C5">
              <w:rPr>
                <w:rFonts w:ascii="Garamond" w:eastAsia="游明朝" w:hAnsi="Garamond" w:cs="Calibri Light"/>
                <w:noProof/>
                <w:sz w:val="16"/>
                <w:szCs w:val="16"/>
                <w:lang w:eastAsia="en-GB" w:bidi="ar-SA"/>
              </w:rPr>
              <w:t>124</w:t>
            </w:r>
          </w:p>
        </w:tc>
        <w:tc>
          <w:tcPr>
            <w:tcW w:w="417" w:type="pct"/>
            <w:tcBorders>
              <w:top w:val="single" w:sz="12" w:space="0" w:color="auto"/>
              <w:left w:val="single" w:sz="12" w:space="0" w:color="auto"/>
              <w:bottom w:val="single" w:sz="2" w:space="0" w:color="auto"/>
              <w:right w:val="single" w:sz="18"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FF0000"/>
                <w:sz w:val="16"/>
                <w:szCs w:val="16"/>
                <w:lang w:eastAsia="en-US" w:bidi="ar-SA"/>
              </w:rPr>
            </w:pPr>
            <w:r w:rsidRPr="000017C5">
              <w:rPr>
                <w:rFonts w:ascii="Garamond" w:eastAsia="游明朝" w:hAnsi="Garamond" w:cs="Calibri Light"/>
                <w:noProof/>
                <w:sz w:val="16"/>
                <w:szCs w:val="16"/>
                <w:lang w:eastAsia="ja-JP" w:bidi="ar-SA"/>
              </w:rPr>
              <w:drawing>
                <wp:inline distT="0" distB="0" distL="0" distR="0">
                  <wp:extent cx="276225" cy="238125"/>
                  <wp:effectExtent l="0" t="0" r="9525" b="9525"/>
                  <wp:docPr id="49" name="Picture 7" descr="zel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zelena strelica - manja"/>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17C5" w:rsidRPr="000017C5" w:rsidTr="000017C5">
        <w:trPr>
          <w:trHeight w:val="1215"/>
          <w:jc w:val="center"/>
        </w:trPr>
        <w:tc>
          <w:tcPr>
            <w:tcW w:w="1204" w:type="pct"/>
            <w:tcBorders>
              <w:top w:val="single" w:sz="2" w:space="0" w:color="auto"/>
              <w:left w:val="single" w:sz="18" w:space="0" w:color="auto"/>
              <w:bottom w:val="single" w:sz="2" w:space="0" w:color="auto"/>
              <w:right w:val="single" w:sz="12" w:space="0" w:color="auto"/>
            </w:tcBorders>
            <w:vAlign w:val="center"/>
            <w:hideMark/>
          </w:tcPr>
          <w:p w:rsidR="00E5013A" w:rsidRPr="00E5013A" w:rsidRDefault="00E5013A" w:rsidP="000017C5">
            <w:pPr>
              <w:rPr>
                <w:rFonts w:ascii="Garamond" w:hAnsi="Garamond"/>
                <w:sz w:val="16"/>
                <w:szCs w:val="16"/>
              </w:rPr>
            </w:pPr>
            <w:r w:rsidRPr="00E5013A">
              <w:rPr>
                <w:rFonts w:ascii="Garamond" w:hAnsi="Garamond"/>
                <w:sz w:val="16"/>
                <w:szCs w:val="16"/>
              </w:rPr>
              <w:t>Share</w:t>
            </w:r>
            <w:r w:rsidR="000017C5" w:rsidRPr="00E5013A">
              <w:rPr>
                <w:rFonts w:ascii="Garamond" w:hAnsi="Garamond"/>
                <w:sz w:val="16"/>
                <w:szCs w:val="16"/>
              </w:rPr>
              <w:t xml:space="preserve"> of employees of the </w:t>
            </w:r>
            <w:r w:rsidRPr="00E5013A">
              <w:rPr>
                <w:rFonts w:ascii="Garamond" w:hAnsi="Garamond"/>
                <w:sz w:val="16"/>
                <w:szCs w:val="16"/>
              </w:rPr>
              <w:t xml:space="preserve">Competition </w:t>
            </w:r>
            <w:r w:rsidR="000017C5" w:rsidRPr="00E5013A">
              <w:rPr>
                <w:rFonts w:ascii="Garamond" w:hAnsi="Garamond"/>
                <w:sz w:val="16"/>
                <w:szCs w:val="16"/>
              </w:rPr>
              <w:t xml:space="preserve">Protection </w:t>
            </w:r>
            <w:r w:rsidRPr="00E5013A">
              <w:rPr>
                <w:rFonts w:ascii="Garamond" w:hAnsi="Garamond"/>
                <w:sz w:val="16"/>
                <w:szCs w:val="16"/>
              </w:rPr>
              <w:t xml:space="preserve">Agency </w:t>
            </w:r>
            <w:r w:rsidR="000017C5" w:rsidRPr="00E5013A">
              <w:rPr>
                <w:rFonts w:ascii="Garamond" w:hAnsi="Garamond"/>
                <w:sz w:val="16"/>
                <w:szCs w:val="16"/>
              </w:rPr>
              <w:t xml:space="preserve"> and members of the Council who </w:t>
            </w:r>
            <w:r w:rsidRPr="00E5013A">
              <w:rPr>
                <w:rFonts w:ascii="Garamond" w:hAnsi="Garamond"/>
                <w:sz w:val="16"/>
                <w:szCs w:val="16"/>
              </w:rPr>
              <w:t>under</w:t>
            </w:r>
            <w:r w:rsidR="000017C5" w:rsidRPr="00E5013A">
              <w:rPr>
                <w:rFonts w:ascii="Garamond" w:hAnsi="Garamond"/>
                <w:sz w:val="16"/>
                <w:szCs w:val="16"/>
              </w:rPr>
              <w:t xml:space="preserve">go professional seminars in </w:t>
            </w:r>
          </w:p>
          <w:p w:rsidR="00E5013A" w:rsidRPr="00E5013A" w:rsidRDefault="00E5013A" w:rsidP="00E5013A">
            <w:pPr>
              <w:pStyle w:val="Default"/>
              <w:jc w:val="both"/>
              <w:rPr>
                <w:rFonts w:ascii="Garamond" w:hAnsi="Garamond"/>
                <w:sz w:val="16"/>
                <w:szCs w:val="16"/>
              </w:rPr>
            </w:pPr>
            <w:r w:rsidRPr="00E5013A">
              <w:rPr>
                <w:rFonts w:ascii="Garamond" w:hAnsi="Garamond"/>
                <w:iCs/>
                <w:sz w:val="16"/>
                <w:szCs w:val="16"/>
              </w:rPr>
              <w:t xml:space="preserve">with a view </w:t>
            </w:r>
            <w:r>
              <w:rPr>
                <w:rFonts w:ascii="Garamond" w:hAnsi="Garamond"/>
                <w:iCs/>
                <w:sz w:val="16"/>
                <w:szCs w:val="16"/>
              </w:rPr>
              <w:t>to</w:t>
            </w:r>
            <w:r w:rsidRPr="00E5013A">
              <w:rPr>
                <w:rFonts w:ascii="Garamond" w:hAnsi="Garamond"/>
                <w:iCs/>
                <w:sz w:val="16"/>
                <w:szCs w:val="16"/>
              </w:rPr>
              <w:t xml:space="preserve"> strengthening the legal framework, reducing the level of illegal state aid and conducting ex-post controls </w:t>
            </w:r>
          </w:p>
          <w:p w:rsidR="000017C5" w:rsidRPr="00E5013A" w:rsidRDefault="000017C5" w:rsidP="000017C5">
            <w:pPr>
              <w:widowControl/>
              <w:autoSpaceDE/>
              <w:autoSpaceDN/>
              <w:jc w:val="both"/>
              <w:rPr>
                <w:rFonts w:ascii="Garamond" w:eastAsia="Times New Roman" w:hAnsi="Garamond" w:cs="Calibri Light"/>
                <w:color w:val="000000"/>
                <w:sz w:val="16"/>
                <w:szCs w:val="16"/>
                <w:lang w:eastAsia="en-US" w:bidi="ar-SA"/>
              </w:rPr>
            </w:pPr>
          </w:p>
        </w:tc>
        <w:tc>
          <w:tcPr>
            <w:tcW w:w="449" w:type="pct"/>
            <w:tcBorders>
              <w:top w:val="single" w:sz="2" w:space="0" w:color="auto"/>
              <w:left w:val="single" w:sz="12" w:space="0" w:color="auto"/>
              <w:bottom w:val="single" w:sz="2"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r w:rsidRPr="000017C5">
              <w:rPr>
                <w:rFonts w:ascii="Garamond" w:eastAsia="Times New Roman" w:hAnsi="Garamond" w:cs="Calibri Light"/>
                <w:color w:val="000000"/>
                <w:sz w:val="16"/>
                <w:szCs w:val="16"/>
                <w:lang w:val="uz-Cyrl-UZ" w:eastAsia="en-US" w:bidi="ar-SA"/>
              </w:rPr>
              <w:t>30%</w:t>
            </w:r>
          </w:p>
        </w:tc>
        <w:tc>
          <w:tcPr>
            <w:tcW w:w="458" w:type="pct"/>
            <w:tcBorders>
              <w:top w:val="single" w:sz="2" w:space="0" w:color="auto"/>
              <w:left w:val="single" w:sz="12" w:space="0" w:color="auto"/>
              <w:bottom w:val="single" w:sz="2" w:space="0" w:color="auto"/>
              <w:right w:val="single" w:sz="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r w:rsidRPr="000017C5">
              <w:rPr>
                <w:rFonts w:ascii="Garamond" w:eastAsia="Times New Roman" w:hAnsi="Garamond" w:cs="Calibri Light"/>
                <w:color w:val="000000"/>
                <w:sz w:val="16"/>
                <w:szCs w:val="16"/>
                <w:lang w:val="uz-Cyrl-UZ" w:eastAsia="en-US" w:bidi="ar-SA"/>
              </w:rPr>
              <w:t>50%</w:t>
            </w:r>
          </w:p>
        </w:tc>
        <w:tc>
          <w:tcPr>
            <w:tcW w:w="545" w:type="pct"/>
            <w:tcBorders>
              <w:top w:val="single" w:sz="2" w:space="0" w:color="auto"/>
              <w:left w:val="single" w:sz="2" w:space="0" w:color="auto"/>
              <w:bottom w:val="single" w:sz="2"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r w:rsidRPr="000017C5">
              <w:rPr>
                <w:rFonts w:ascii="Garamond" w:eastAsia="Times New Roman" w:hAnsi="Garamond" w:cs="Calibri Light"/>
                <w:color w:val="000000"/>
                <w:sz w:val="16"/>
                <w:szCs w:val="16"/>
                <w:lang w:val="uz-Cyrl-UZ" w:eastAsia="en-US" w:bidi="ar-SA"/>
              </w:rPr>
              <w:t>0%</w:t>
            </w:r>
          </w:p>
        </w:tc>
        <w:tc>
          <w:tcPr>
            <w:tcW w:w="467" w:type="pct"/>
            <w:tcBorders>
              <w:top w:val="single" w:sz="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US" w:bidi="ar-SA"/>
              </w:rPr>
            </w:pPr>
            <w:r w:rsidRPr="000017C5">
              <w:rPr>
                <w:rFonts w:ascii="Garamond" w:eastAsia="游明朝" w:hAnsi="Garamond" w:cs="Calibri Light"/>
                <w:noProof/>
                <w:sz w:val="16"/>
                <w:szCs w:val="16"/>
                <w:lang w:eastAsia="en-US" w:bidi="ar-SA"/>
              </w:rPr>
              <w:t>70%</w:t>
            </w:r>
          </w:p>
        </w:tc>
        <w:tc>
          <w:tcPr>
            <w:tcW w:w="484" w:type="pct"/>
            <w:tcBorders>
              <w:top w:val="single" w:sz="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US" w:bidi="ar-SA"/>
              </w:rPr>
            </w:pPr>
            <w:r w:rsidRPr="000017C5">
              <w:rPr>
                <w:rFonts w:ascii="Garamond" w:eastAsia="游明朝" w:hAnsi="Garamond" w:cs="Calibri Light"/>
                <w:noProof/>
                <w:sz w:val="16"/>
                <w:szCs w:val="16"/>
                <w:lang w:eastAsia="en-US" w:bidi="ar-SA"/>
              </w:rPr>
              <w:t>70%</w:t>
            </w:r>
          </w:p>
        </w:tc>
        <w:tc>
          <w:tcPr>
            <w:tcW w:w="492" w:type="pct"/>
            <w:tcBorders>
              <w:top w:val="single" w:sz="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GB" w:bidi="ar-SA"/>
              </w:rPr>
            </w:pPr>
            <w:r w:rsidRPr="000017C5">
              <w:rPr>
                <w:rFonts w:ascii="Garamond" w:eastAsia="游明朝" w:hAnsi="Garamond" w:cs="Calibri Light"/>
                <w:noProof/>
                <w:sz w:val="16"/>
                <w:szCs w:val="16"/>
                <w:lang w:eastAsia="en-GB" w:bidi="ar-SA"/>
              </w:rPr>
              <w:t>80%</w:t>
            </w:r>
          </w:p>
        </w:tc>
        <w:tc>
          <w:tcPr>
            <w:tcW w:w="484" w:type="pct"/>
            <w:tcBorders>
              <w:top w:val="single" w:sz="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GB" w:bidi="ar-SA"/>
              </w:rPr>
            </w:pPr>
            <w:r w:rsidRPr="000017C5">
              <w:rPr>
                <w:rFonts w:ascii="Garamond" w:eastAsia="游明朝" w:hAnsi="Garamond" w:cs="Calibri Light"/>
                <w:noProof/>
                <w:sz w:val="16"/>
                <w:szCs w:val="16"/>
                <w:lang w:eastAsia="en-GB" w:bidi="ar-SA"/>
              </w:rPr>
              <w:t>80%</w:t>
            </w:r>
          </w:p>
        </w:tc>
        <w:tc>
          <w:tcPr>
            <w:tcW w:w="417" w:type="pct"/>
            <w:tcBorders>
              <w:top w:val="single" w:sz="2" w:space="0" w:color="auto"/>
              <w:left w:val="single" w:sz="12" w:space="0" w:color="auto"/>
              <w:bottom w:val="single" w:sz="2" w:space="0" w:color="auto"/>
              <w:right w:val="single" w:sz="18"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FF0000"/>
                <w:sz w:val="16"/>
                <w:szCs w:val="16"/>
                <w:lang w:eastAsia="en-US" w:bidi="ar-SA"/>
              </w:rPr>
            </w:pPr>
            <w:r w:rsidRPr="000017C5">
              <w:rPr>
                <w:rFonts w:ascii="Garamond" w:eastAsia="游明朝" w:hAnsi="Garamond" w:cs="Calibri Light"/>
                <w:noProof/>
                <w:sz w:val="16"/>
                <w:szCs w:val="16"/>
                <w:lang w:eastAsia="ja-JP" w:bidi="ar-SA"/>
              </w:rPr>
              <w:drawing>
                <wp:inline distT="0" distB="0" distL="0" distR="0">
                  <wp:extent cx="276225" cy="238125"/>
                  <wp:effectExtent l="0" t="0" r="9525" b="9525"/>
                  <wp:docPr id="50" name="Picture 4" descr="zel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zelena strelica - manja"/>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0017C5" w:rsidRPr="000017C5" w:rsidTr="000017C5">
        <w:trPr>
          <w:trHeight w:val="1455"/>
          <w:jc w:val="center"/>
        </w:trPr>
        <w:tc>
          <w:tcPr>
            <w:tcW w:w="1204" w:type="pct"/>
            <w:tcBorders>
              <w:top w:val="single" w:sz="2" w:space="0" w:color="auto"/>
              <w:left w:val="single" w:sz="18" w:space="0" w:color="auto"/>
              <w:bottom w:val="single" w:sz="2" w:space="0" w:color="auto"/>
              <w:right w:val="single" w:sz="12" w:space="0" w:color="auto"/>
            </w:tcBorders>
            <w:vAlign w:val="center"/>
            <w:hideMark/>
          </w:tcPr>
          <w:p w:rsidR="000017C5" w:rsidRPr="000017C5" w:rsidRDefault="000017C5" w:rsidP="000017C5">
            <w:pPr>
              <w:rPr>
                <w:rFonts w:ascii="Garamond" w:hAnsi="Garamond"/>
                <w:sz w:val="16"/>
                <w:szCs w:val="16"/>
              </w:rPr>
            </w:pPr>
            <w:r w:rsidRPr="000017C5">
              <w:rPr>
                <w:rFonts w:ascii="Garamond" w:hAnsi="Garamond"/>
                <w:sz w:val="16"/>
                <w:szCs w:val="16"/>
              </w:rPr>
              <w:t>Number of completed ex-officio cases</w:t>
            </w:r>
          </w:p>
          <w:p w:rsidR="000017C5" w:rsidRPr="000017C5" w:rsidRDefault="000017C5" w:rsidP="000017C5">
            <w:pPr>
              <w:widowControl/>
              <w:autoSpaceDE/>
              <w:autoSpaceDN/>
              <w:jc w:val="both"/>
              <w:rPr>
                <w:rFonts w:ascii="Garamond" w:eastAsia="Times New Roman" w:hAnsi="Garamond" w:cs="Calibri Light"/>
                <w:color w:val="000000"/>
                <w:sz w:val="16"/>
                <w:szCs w:val="16"/>
                <w:lang w:eastAsia="en-US" w:bidi="ar-SA"/>
              </w:rPr>
            </w:pPr>
          </w:p>
        </w:tc>
        <w:tc>
          <w:tcPr>
            <w:tcW w:w="449" w:type="pct"/>
            <w:tcBorders>
              <w:top w:val="single" w:sz="2" w:space="0" w:color="auto"/>
              <w:left w:val="single" w:sz="12" w:space="0" w:color="auto"/>
              <w:bottom w:val="single" w:sz="2"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r w:rsidRPr="000017C5">
              <w:rPr>
                <w:rFonts w:ascii="Garamond" w:eastAsia="Times New Roman" w:hAnsi="Garamond" w:cs="Calibri Light"/>
                <w:color w:val="000000"/>
                <w:sz w:val="16"/>
                <w:szCs w:val="16"/>
                <w:lang w:val="uz-Cyrl-UZ" w:eastAsia="en-US" w:bidi="ar-SA"/>
              </w:rPr>
              <w:t>5</w:t>
            </w:r>
          </w:p>
        </w:tc>
        <w:tc>
          <w:tcPr>
            <w:tcW w:w="458" w:type="pct"/>
            <w:tcBorders>
              <w:top w:val="single" w:sz="2" w:space="0" w:color="auto"/>
              <w:left w:val="single" w:sz="12" w:space="0" w:color="auto"/>
              <w:bottom w:val="single" w:sz="2" w:space="0" w:color="auto"/>
              <w:right w:val="single" w:sz="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r>
              <w:rPr>
                <w:rFonts w:ascii="Garamond" w:eastAsia="Times New Roman" w:hAnsi="Garamond" w:cs="Calibri Light"/>
                <w:color w:val="000000"/>
                <w:sz w:val="16"/>
                <w:szCs w:val="16"/>
                <w:lang w:val="en-GB" w:eastAsia="en-US" w:bidi="ar-SA"/>
              </w:rPr>
              <w:t>Up to</w:t>
            </w:r>
            <w:r w:rsidRPr="000017C5">
              <w:rPr>
                <w:rFonts w:ascii="Garamond" w:eastAsia="Times New Roman" w:hAnsi="Garamond" w:cs="Calibri Light"/>
                <w:color w:val="000000"/>
                <w:sz w:val="16"/>
                <w:szCs w:val="16"/>
                <w:lang w:val="uz-Cyrl-UZ" w:eastAsia="en-US" w:bidi="ar-SA"/>
              </w:rPr>
              <w:t xml:space="preserve"> 2</w:t>
            </w:r>
          </w:p>
        </w:tc>
        <w:tc>
          <w:tcPr>
            <w:tcW w:w="545" w:type="pct"/>
            <w:tcBorders>
              <w:top w:val="single" w:sz="2" w:space="0" w:color="auto"/>
              <w:left w:val="single" w:sz="2" w:space="0" w:color="auto"/>
              <w:bottom w:val="single" w:sz="2" w:space="0" w:color="auto"/>
              <w:right w:val="single" w:sz="12" w:space="0" w:color="auto"/>
            </w:tcBorders>
            <w:vAlign w:val="center"/>
          </w:tcPr>
          <w:p w:rsidR="000017C5" w:rsidRPr="000017C5" w:rsidRDefault="000017C5" w:rsidP="000017C5">
            <w:pPr>
              <w:rPr>
                <w:rFonts w:ascii="Garamond" w:hAnsi="Garamond"/>
                <w:sz w:val="16"/>
                <w:szCs w:val="16"/>
              </w:rPr>
            </w:pPr>
          </w:p>
          <w:p w:rsidR="000017C5" w:rsidRPr="000017C5" w:rsidRDefault="000017C5" w:rsidP="000017C5">
            <w:pPr>
              <w:rPr>
                <w:rFonts w:ascii="Garamond" w:hAnsi="Garamond"/>
                <w:sz w:val="16"/>
                <w:szCs w:val="16"/>
              </w:rPr>
            </w:pPr>
            <w:r w:rsidRPr="000017C5">
              <w:rPr>
                <w:rFonts w:ascii="Garamond" w:hAnsi="Garamond"/>
                <w:sz w:val="16"/>
                <w:szCs w:val="16"/>
              </w:rPr>
              <w:t>0</w:t>
            </w:r>
          </w:p>
          <w:p w:rsidR="000017C5" w:rsidRPr="000017C5" w:rsidRDefault="00E5013A" w:rsidP="000017C5">
            <w:pPr>
              <w:rPr>
                <w:rFonts w:ascii="Garamond" w:hAnsi="Garamond"/>
                <w:sz w:val="16"/>
                <w:szCs w:val="16"/>
              </w:rPr>
            </w:pPr>
            <w:r>
              <w:rPr>
                <w:rFonts w:ascii="Garamond" w:hAnsi="Garamond"/>
                <w:sz w:val="16"/>
                <w:szCs w:val="16"/>
              </w:rPr>
              <w:t>In 2018, no e</w:t>
            </w:r>
            <w:r w:rsidR="000017C5" w:rsidRPr="000017C5">
              <w:rPr>
                <w:rFonts w:ascii="Garamond" w:hAnsi="Garamond"/>
                <w:sz w:val="16"/>
                <w:szCs w:val="16"/>
              </w:rPr>
              <w:t>x-officio case was initiated</w:t>
            </w:r>
          </w:p>
          <w:p w:rsidR="000017C5" w:rsidRPr="000017C5" w:rsidRDefault="000017C5" w:rsidP="000017C5">
            <w:pPr>
              <w:widowControl/>
              <w:autoSpaceDE/>
              <w:autoSpaceDN/>
              <w:jc w:val="center"/>
              <w:rPr>
                <w:rFonts w:ascii="Garamond" w:eastAsia="Times New Roman" w:hAnsi="Garamond" w:cs="Calibri Light"/>
                <w:color w:val="000000"/>
                <w:sz w:val="16"/>
                <w:szCs w:val="16"/>
                <w:lang w:eastAsia="en-US" w:bidi="ar-SA"/>
              </w:rPr>
            </w:pPr>
          </w:p>
        </w:tc>
        <w:tc>
          <w:tcPr>
            <w:tcW w:w="467" w:type="pct"/>
            <w:tcBorders>
              <w:top w:val="single" w:sz="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US" w:bidi="ar-SA"/>
              </w:rPr>
            </w:pPr>
            <w:r w:rsidRPr="000017C5">
              <w:rPr>
                <w:rFonts w:ascii="Garamond" w:eastAsia="游明朝" w:hAnsi="Garamond" w:cs="Calibri Light"/>
                <w:noProof/>
                <w:sz w:val="16"/>
                <w:szCs w:val="16"/>
                <w:lang w:eastAsia="en-US" w:bidi="ar-SA"/>
              </w:rPr>
              <w:t>2</w:t>
            </w:r>
          </w:p>
        </w:tc>
        <w:tc>
          <w:tcPr>
            <w:tcW w:w="484" w:type="pct"/>
            <w:tcBorders>
              <w:top w:val="single" w:sz="2" w:space="0" w:color="auto"/>
              <w:left w:val="single" w:sz="12" w:space="0" w:color="auto"/>
              <w:bottom w:val="single" w:sz="2" w:space="0" w:color="auto"/>
              <w:right w:val="single" w:sz="12" w:space="0" w:color="auto"/>
            </w:tcBorders>
            <w:vAlign w:val="center"/>
          </w:tcPr>
          <w:p w:rsidR="000017C5" w:rsidRPr="000017C5" w:rsidRDefault="000017C5" w:rsidP="000017C5">
            <w:pPr>
              <w:rPr>
                <w:rFonts w:ascii="Garamond" w:hAnsi="Garamond"/>
                <w:sz w:val="16"/>
                <w:szCs w:val="16"/>
              </w:rPr>
            </w:pPr>
            <w:r w:rsidRPr="000017C5">
              <w:rPr>
                <w:rFonts w:ascii="Garamond" w:hAnsi="Garamond"/>
                <w:sz w:val="16"/>
                <w:szCs w:val="16"/>
              </w:rPr>
              <w:t>(2 ex-officio cases opened, closure expected in the coming period)</w:t>
            </w:r>
          </w:p>
          <w:p w:rsidR="000017C5" w:rsidRPr="000017C5" w:rsidRDefault="000017C5" w:rsidP="000017C5">
            <w:pPr>
              <w:widowControl/>
              <w:autoSpaceDE/>
              <w:autoSpaceDN/>
              <w:jc w:val="center"/>
              <w:rPr>
                <w:rFonts w:ascii="Garamond" w:eastAsia="游明朝" w:hAnsi="Garamond" w:cs="Calibri Light"/>
                <w:noProof/>
                <w:sz w:val="16"/>
                <w:szCs w:val="16"/>
                <w:lang w:eastAsia="en-US" w:bidi="ar-SA"/>
              </w:rPr>
            </w:pPr>
          </w:p>
        </w:tc>
        <w:tc>
          <w:tcPr>
            <w:tcW w:w="492" w:type="pct"/>
            <w:tcBorders>
              <w:top w:val="single" w:sz="2" w:space="0" w:color="auto"/>
              <w:left w:val="single" w:sz="12" w:space="0" w:color="auto"/>
              <w:bottom w:val="single" w:sz="2"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6"/>
                <w:szCs w:val="16"/>
                <w:lang w:eastAsia="en-GB" w:bidi="ar-SA"/>
              </w:rPr>
            </w:pPr>
            <w:r w:rsidRPr="000017C5">
              <w:rPr>
                <w:rFonts w:ascii="Garamond" w:eastAsia="游明朝" w:hAnsi="Garamond" w:cs="Calibri Light"/>
                <w:noProof/>
                <w:sz w:val="16"/>
                <w:szCs w:val="16"/>
                <w:lang w:eastAsia="en-GB" w:bidi="ar-SA"/>
              </w:rPr>
              <w:t>1</w:t>
            </w:r>
          </w:p>
        </w:tc>
        <w:tc>
          <w:tcPr>
            <w:tcW w:w="484" w:type="pct"/>
            <w:tcBorders>
              <w:top w:val="single" w:sz="2" w:space="0" w:color="auto"/>
              <w:left w:val="single" w:sz="12" w:space="0" w:color="auto"/>
              <w:bottom w:val="single" w:sz="2" w:space="0" w:color="auto"/>
              <w:right w:val="single" w:sz="12" w:space="0" w:color="auto"/>
            </w:tcBorders>
            <w:vAlign w:val="center"/>
          </w:tcPr>
          <w:p w:rsidR="000017C5" w:rsidRPr="000017C5" w:rsidRDefault="000017C5" w:rsidP="000017C5">
            <w:pPr>
              <w:rPr>
                <w:rFonts w:ascii="Garamond" w:hAnsi="Garamond"/>
                <w:sz w:val="16"/>
                <w:szCs w:val="16"/>
              </w:rPr>
            </w:pPr>
            <w:r w:rsidRPr="000017C5">
              <w:rPr>
                <w:rFonts w:ascii="Garamond" w:hAnsi="Garamond"/>
                <w:sz w:val="16"/>
                <w:szCs w:val="16"/>
              </w:rPr>
              <w:t>(5 ex- officio cases opened , closure expected in the coming period )</w:t>
            </w:r>
          </w:p>
          <w:p w:rsidR="000017C5" w:rsidRPr="000017C5" w:rsidRDefault="000017C5" w:rsidP="000017C5">
            <w:pPr>
              <w:widowControl/>
              <w:autoSpaceDE/>
              <w:autoSpaceDN/>
              <w:jc w:val="center"/>
              <w:rPr>
                <w:rFonts w:ascii="Garamond" w:eastAsia="游明朝" w:hAnsi="Garamond" w:cs="Calibri Light"/>
                <w:noProof/>
                <w:sz w:val="16"/>
                <w:szCs w:val="16"/>
                <w:lang w:eastAsia="en-GB" w:bidi="ar-SA"/>
              </w:rPr>
            </w:pPr>
          </w:p>
        </w:tc>
        <w:tc>
          <w:tcPr>
            <w:tcW w:w="417" w:type="pct"/>
            <w:tcBorders>
              <w:top w:val="single" w:sz="2" w:space="0" w:color="auto"/>
              <w:left w:val="single" w:sz="12" w:space="0" w:color="auto"/>
              <w:bottom w:val="single" w:sz="2" w:space="0" w:color="auto"/>
              <w:right w:val="single" w:sz="18"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FF0000"/>
                <w:sz w:val="16"/>
                <w:szCs w:val="16"/>
                <w:lang w:eastAsia="en-US" w:bidi="ar-SA"/>
              </w:rPr>
            </w:pPr>
            <w:r w:rsidRPr="000017C5">
              <w:rPr>
                <w:rFonts w:ascii="Garamond" w:eastAsia="游明朝" w:hAnsi="Garamond" w:cs="Calibri Light"/>
                <w:noProof/>
                <w:sz w:val="16"/>
                <w:szCs w:val="16"/>
                <w:lang w:eastAsia="ja-JP" w:bidi="ar-SA"/>
              </w:rPr>
              <w:drawing>
                <wp:inline distT="0" distB="0" distL="0" distR="0">
                  <wp:extent cx="257175" cy="238125"/>
                  <wp:effectExtent l="0" t="0" r="9525" b="9525"/>
                  <wp:docPr id="51" name="Picture 2" descr="crv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rvena strelica - manja"/>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0017C5" w:rsidRPr="000017C5" w:rsidTr="000017C5">
        <w:trPr>
          <w:trHeight w:val="742"/>
          <w:jc w:val="center"/>
        </w:trPr>
        <w:tc>
          <w:tcPr>
            <w:tcW w:w="1204" w:type="pct"/>
            <w:tcBorders>
              <w:top w:val="single" w:sz="2" w:space="0" w:color="auto"/>
              <w:left w:val="single" w:sz="18" w:space="0" w:color="auto"/>
              <w:bottom w:val="single" w:sz="18" w:space="0" w:color="auto"/>
              <w:right w:val="single" w:sz="12" w:space="0" w:color="auto"/>
            </w:tcBorders>
            <w:vAlign w:val="center"/>
            <w:hideMark/>
          </w:tcPr>
          <w:p w:rsidR="000017C5" w:rsidRPr="00E5013A" w:rsidRDefault="00E5013A" w:rsidP="00E5013A">
            <w:pPr>
              <w:pStyle w:val="Default"/>
              <w:rPr>
                <w:rFonts w:ascii="Garamond" w:hAnsi="Garamond"/>
                <w:sz w:val="16"/>
                <w:szCs w:val="16"/>
              </w:rPr>
            </w:pPr>
            <w:r w:rsidRPr="00E5013A">
              <w:rPr>
                <w:rFonts w:ascii="Garamond" w:hAnsi="Garamond"/>
                <w:iCs/>
                <w:sz w:val="16"/>
                <w:szCs w:val="16"/>
              </w:rPr>
              <w:t>Number of documen</w:t>
            </w:r>
            <w:r>
              <w:rPr>
                <w:rFonts w:ascii="Garamond" w:hAnsi="Garamond"/>
                <w:iCs/>
                <w:sz w:val="16"/>
                <w:szCs w:val="16"/>
              </w:rPr>
              <w:t>ts reviewed and assessed by t</w:t>
            </w:r>
            <w:r w:rsidR="000017C5" w:rsidRPr="00E5013A">
              <w:rPr>
                <w:rFonts w:ascii="Garamond" w:hAnsi="Garamond"/>
                <w:sz w:val="16"/>
                <w:szCs w:val="16"/>
              </w:rPr>
              <w:t>he Agency</w:t>
            </w:r>
          </w:p>
          <w:p w:rsidR="000017C5" w:rsidRPr="00E5013A" w:rsidRDefault="000017C5" w:rsidP="000017C5">
            <w:pPr>
              <w:widowControl/>
              <w:autoSpaceDE/>
              <w:autoSpaceDN/>
              <w:jc w:val="both"/>
              <w:rPr>
                <w:rFonts w:ascii="Garamond" w:eastAsia="Times New Roman" w:hAnsi="Garamond" w:cs="Calibri Light"/>
                <w:color w:val="000000"/>
                <w:sz w:val="16"/>
                <w:szCs w:val="16"/>
                <w:lang w:eastAsia="en-US" w:bidi="ar-SA"/>
              </w:rPr>
            </w:pPr>
          </w:p>
        </w:tc>
        <w:tc>
          <w:tcPr>
            <w:tcW w:w="449" w:type="pct"/>
            <w:tcBorders>
              <w:top w:val="single" w:sz="2" w:space="0" w:color="auto"/>
              <w:left w:val="single" w:sz="12" w:space="0" w:color="auto"/>
              <w:bottom w:val="single" w:sz="18"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8"/>
                <w:szCs w:val="18"/>
                <w:lang w:eastAsia="en-US" w:bidi="ar-SA"/>
              </w:rPr>
            </w:pPr>
            <w:r w:rsidRPr="000017C5">
              <w:rPr>
                <w:rFonts w:ascii="Garamond" w:eastAsia="Times New Roman" w:hAnsi="Garamond" w:cs="Calibri Light"/>
                <w:color w:val="000000"/>
                <w:sz w:val="18"/>
                <w:szCs w:val="18"/>
                <w:lang w:val="uz-Cyrl-UZ" w:eastAsia="en-US" w:bidi="ar-SA"/>
              </w:rPr>
              <w:t>11</w:t>
            </w:r>
          </w:p>
        </w:tc>
        <w:tc>
          <w:tcPr>
            <w:tcW w:w="458" w:type="pct"/>
            <w:tcBorders>
              <w:top w:val="single" w:sz="2" w:space="0" w:color="auto"/>
              <w:left w:val="single" w:sz="12" w:space="0" w:color="auto"/>
              <w:bottom w:val="single" w:sz="18" w:space="0" w:color="auto"/>
              <w:right w:val="single" w:sz="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8"/>
                <w:szCs w:val="18"/>
                <w:lang w:eastAsia="en-US" w:bidi="ar-SA"/>
              </w:rPr>
            </w:pPr>
            <w:r>
              <w:rPr>
                <w:rFonts w:ascii="Garamond" w:eastAsia="Times New Roman" w:hAnsi="Garamond" w:cs="Calibri Light"/>
                <w:color w:val="000000"/>
                <w:sz w:val="18"/>
                <w:szCs w:val="18"/>
                <w:lang w:val="en-GB" w:eastAsia="en-US" w:bidi="ar-SA"/>
              </w:rPr>
              <w:t>Up to</w:t>
            </w:r>
            <w:r w:rsidRPr="000017C5">
              <w:rPr>
                <w:rFonts w:ascii="Garamond" w:eastAsia="Times New Roman" w:hAnsi="Garamond" w:cs="Calibri Light"/>
                <w:color w:val="000000"/>
                <w:sz w:val="18"/>
                <w:szCs w:val="18"/>
                <w:lang w:val="uz-Cyrl-UZ" w:eastAsia="en-US" w:bidi="ar-SA"/>
              </w:rPr>
              <w:t xml:space="preserve"> 20</w:t>
            </w:r>
          </w:p>
        </w:tc>
        <w:tc>
          <w:tcPr>
            <w:tcW w:w="545" w:type="pct"/>
            <w:tcBorders>
              <w:top w:val="single" w:sz="2" w:space="0" w:color="auto"/>
              <w:left w:val="single" w:sz="2" w:space="0" w:color="auto"/>
              <w:bottom w:val="single" w:sz="18" w:space="0" w:color="auto"/>
              <w:right w:val="single" w:sz="12"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color w:val="000000"/>
                <w:sz w:val="18"/>
                <w:szCs w:val="18"/>
                <w:lang w:eastAsia="en-US" w:bidi="ar-SA"/>
              </w:rPr>
            </w:pPr>
            <w:r w:rsidRPr="000017C5">
              <w:rPr>
                <w:rFonts w:ascii="Garamond" w:eastAsia="Times New Roman" w:hAnsi="Garamond" w:cs="Calibri Light"/>
                <w:color w:val="000000"/>
                <w:sz w:val="18"/>
                <w:szCs w:val="18"/>
                <w:lang w:val="uz-Cyrl-UZ" w:eastAsia="en-US" w:bidi="ar-SA"/>
              </w:rPr>
              <w:t>22</w:t>
            </w:r>
          </w:p>
        </w:tc>
        <w:tc>
          <w:tcPr>
            <w:tcW w:w="467" w:type="pct"/>
            <w:tcBorders>
              <w:top w:val="single" w:sz="2" w:space="0" w:color="auto"/>
              <w:left w:val="single" w:sz="12" w:space="0" w:color="auto"/>
              <w:bottom w:val="single" w:sz="18"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8"/>
                <w:szCs w:val="18"/>
                <w:lang w:eastAsia="en-US" w:bidi="ar-SA"/>
              </w:rPr>
            </w:pPr>
            <w:r w:rsidRPr="000017C5">
              <w:rPr>
                <w:rFonts w:ascii="Garamond" w:eastAsia="游明朝" w:hAnsi="Garamond" w:cs="Calibri Light"/>
                <w:noProof/>
                <w:sz w:val="18"/>
                <w:szCs w:val="18"/>
                <w:lang w:eastAsia="en-US" w:bidi="ar-SA"/>
              </w:rPr>
              <w:t>23</w:t>
            </w:r>
          </w:p>
        </w:tc>
        <w:tc>
          <w:tcPr>
            <w:tcW w:w="484" w:type="pct"/>
            <w:tcBorders>
              <w:top w:val="single" w:sz="2" w:space="0" w:color="auto"/>
              <w:left w:val="single" w:sz="12" w:space="0" w:color="auto"/>
              <w:bottom w:val="single" w:sz="18"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8"/>
                <w:szCs w:val="18"/>
                <w:lang w:eastAsia="en-US" w:bidi="ar-SA"/>
              </w:rPr>
            </w:pPr>
            <w:r w:rsidRPr="000017C5">
              <w:rPr>
                <w:rFonts w:ascii="Garamond" w:eastAsia="游明朝" w:hAnsi="Garamond" w:cs="Calibri Light"/>
                <w:noProof/>
                <w:sz w:val="18"/>
                <w:szCs w:val="18"/>
                <w:lang w:eastAsia="en-US" w:bidi="ar-SA"/>
              </w:rPr>
              <w:t>35</w:t>
            </w:r>
          </w:p>
        </w:tc>
        <w:tc>
          <w:tcPr>
            <w:tcW w:w="492" w:type="pct"/>
            <w:tcBorders>
              <w:top w:val="single" w:sz="2" w:space="0" w:color="auto"/>
              <w:left w:val="single" w:sz="12" w:space="0" w:color="auto"/>
              <w:bottom w:val="single" w:sz="18"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8"/>
                <w:szCs w:val="18"/>
                <w:lang w:eastAsia="en-GB" w:bidi="ar-SA"/>
              </w:rPr>
            </w:pPr>
            <w:r w:rsidRPr="000017C5">
              <w:rPr>
                <w:rFonts w:ascii="Garamond" w:eastAsia="游明朝" w:hAnsi="Garamond" w:cs="Calibri Light"/>
                <w:noProof/>
                <w:sz w:val="18"/>
                <w:szCs w:val="18"/>
                <w:lang w:eastAsia="en-GB" w:bidi="ar-SA"/>
              </w:rPr>
              <w:t>25</w:t>
            </w:r>
          </w:p>
        </w:tc>
        <w:tc>
          <w:tcPr>
            <w:tcW w:w="484" w:type="pct"/>
            <w:tcBorders>
              <w:top w:val="single" w:sz="2" w:space="0" w:color="auto"/>
              <w:left w:val="single" w:sz="12" w:space="0" w:color="auto"/>
              <w:bottom w:val="single" w:sz="18" w:space="0" w:color="auto"/>
              <w:right w:val="single" w:sz="12" w:space="0" w:color="auto"/>
            </w:tcBorders>
            <w:vAlign w:val="center"/>
          </w:tcPr>
          <w:p w:rsidR="000017C5" w:rsidRPr="000017C5" w:rsidRDefault="000017C5" w:rsidP="000017C5">
            <w:pPr>
              <w:widowControl/>
              <w:autoSpaceDE/>
              <w:autoSpaceDN/>
              <w:jc w:val="center"/>
              <w:rPr>
                <w:rFonts w:ascii="Garamond" w:eastAsia="游明朝" w:hAnsi="Garamond" w:cs="Calibri Light"/>
                <w:noProof/>
                <w:sz w:val="18"/>
                <w:szCs w:val="18"/>
                <w:lang w:eastAsia="en-GB" w:bidi="ar-SA"/>
              </w:rPr>
            </w:pPr>
            <w:r w:rsidRPr="000017C5">
              <w:rPr>
                <w:rFonts w:ascii="Garamond" w:eastAsia="游明朝" w:hAnsi="Garamond" w:cs="Calibri Light"/>
                <w:noProof/>
                <w:sz w:val="18"/>
                <w:szCs w:val="18"/>
                <w:lang w:eastAsia="en-GB" w:bidi="ar-SA"/>
              </w:rPr>
              <w:t>41</w:t>
            </w:r>
          </w:p>
        </w:tc>
        <w:tc>
          <w:tcPr>
            <w:tcW w:w="417" w:type="pct"/>
            <w:tcBorders>
              <w:top w:val="single" w:sz="2" w:space="0" w:color="auto"/>
              <w:left w:val="single" w:sz="12" w:space="0" w:color="auto"/>
              <w:bottom w:val="single" w:sz="18" w:space="0" w:color="auto"/>
              <w:right w:val="single" w:sz="18" w:space="0" w:color="auto"/>
            </w:tcBorders>
            <w:vAlign w:val="center"/>
            <w:hideMark/>
          </w:tcPr>
          <w:p w:rsidR="000017C5" w:rsidRPr="000017C5" w:rsidRDefault="000017C5" w:rsidP="000017C5">
            <w:pPr>
              <w:widowControl/>
              <w:autoSpaceDE/>
              <w:autoSpaceDN/>
              <w:jc w:val="center"/>
              <w:rPr>
                <w:rFonts w:ascii="Garamond" w:eastAsia="Times New Roman" w:hAnsi="Garamond" w:cs="Calibri Light"/>
                <w:i/>
                <w:iCs/>
                <w:color w:val="00B050"/>
                <w:sz w:val="18"/>
                <w:szCs w:val="18"/>
                <w:lang w:eastAsia="en-US" w:bidi="ar-SA"/>
              </w:rPr>
            </w:pPr>
            <w:r w:rsidRPr="000017C5">
              <w:rPr>
                <w:rFonts w:ascii="Garamond" w:eastAsia="游明朝" w:hAnsi="Garamond" w:cs="Calibri Light"/>
                <w:noProof/>
                <w:sz w:val="18"/>
                <w:szCs w:val="18"/>
                <w:lang w:eastAsia="ja-JP" w:bidi="ar-SA"/>
              </w:rPr>
              <w:drawing>
                <wp:inline distT="0" distB="0" distL="0" distR="0">
                  <wp:extent cx="276225" cy="238125"/>
                  <wp:effectExtent l="0" t="0" r="9525" b="9525"/>
                  <wp:docPr id="52" name="Picture 8" descr="zelena strelica - man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zelena strelica - manja"/>
                          <pic:cNvPicPr>
                            <a:picLocks noChangeAspect="1" noChangeArrowheads="1"/>
                          </pic:cNvPicPr>
                        </pic:nvPicPr>
                        <pic:blipFill>
                          <a:blip r:embed="rId21"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8125"/>
                          </a:xfrm>
                          <a:prstGeom prst="rect">
                            <a:avLst/>
                          </a:prstGeom>
                          <a:noFill/>
                          <a:ln>
                            <a:noFill/>
                          </a:ln>
                        </pic:spPr>
                      </pic:pic>
                    </a:graphicData>
                  </a:graphic>
                </wp:inline>
              </w:drawing>
            </w:r>
          </w:p>
        </w:tc>
      </w:tr>
    </w:tbl>
    <w:p w:rsidR="000017C5" w:rsidRDefault="000017C5"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0017C5" w:rsidRDefault="000017C5">
      <w:pPr>
        <w:rPr>
          <w:rFonts w:ascii="Garamond" w:hAnsi="Garamond"/>
          <w:sz w:val="24"/>
          <w:szCs w:val="24"/>
        </w:rPr>
      </w:pPr>
      <w:r>
        <w:rPr>
          <w:rFonts w:ascii="Garamond" w:hAnsi="Garamond"/>
          <w:sz w:val="24"/>
          <w:szCs w:val="24"/>
        </w:rPr>
        <w:br w:type="page"/>
      </w:r>
    </w:p>
    <w:p w:rsidR="000017C5" w:rsidRDefault="000017C5" w:rsidP="004D1343">
      <w:pPr>
        <w:rPr>
          <w:rFonts w:ascii="Garamond" w:hAnsi="Garamond"/>
          <w:sz w:val="24"/>
          <w:szCs w:val="24"/>
        </w:rPr>
        <w:sectPr w:rsidR="000017C5" w:rsidSect="000017C5">
          <w:pgSz w:w="15840" w:h="12240" w:orient="landscape"/>
          <w:pgMar w:top="1440" w:right="1440" w:bottom="1440" w:left="1440" w:header="720" w:footer="720" w:gutter="0"/>
          <w:cols w:space="720"/>
          <w:docGrid w:linePitch="360"/>
        </w:sectPr>
      </w:pPr>
    </w:p>
    <w:p w:rsidR="004D1343" w:rsidRPr="00C32887" w:rsidRDefault="004D1343" w:rsidP="000017C5">
      <w:pPr>
        <w:jc w:val="both"/>
        <w:rPr>
          <w:rFonts w:ascii="Garamond" w:hAnsi="Garamond"/>
          <w:sz w:val="24"/>
          <w:szCs w:val="24"/>
        </w:rPr>
      </w:pPr>
      <w:r w:rsidRPr="00C32887">
        <w:rPr>
          <w:rFonts w:ascii="Garamond" w:hAnsi="Garamond"/>
          <w:sz w:val="24"/>
          <w:szCs w:val="24"/>
        </w:rPr>
        <w:t xml:space="preserve">In addition, the institutional </w:t>
      </w:r>
      <w:r w:rsidR="00126B9E">
        <w:rPr>
          <w:rFonts w:ascii="Garamond" w:hAnsi="Garamond"/>
          <w:sz w:val="24"/>
          <w:szCs w:val="24"/>
        </w:rPr>
        <w:t>framework</w:t>
      </w:r>
      <w:r w:rsidRPr="00C32887">
        <w:rPr>
          <w:rFonts w:ascii="Garamond" w:hAnsi="Garamond"/>
          <w:sz w:val="24"/>
          <w:szCs w:val="24"/>
        </w:rPr>
        <w:t xml:space="preserve"> </w:t>
      </w:r>
      <w:r w:rsidR="000017C5">
        <w:rPr>
          <w:rFonts w:ascii="Garamond" w:hAnsi="Garamond"/>
          <w:sz w:val="24"/>
          <w:szCs w:val="24"/>
        </w:rPr>
        <w:t xml:space="preserve">was </w:t>
      </w:r>
      <w:r w:rsidR="000017C5" w:rsidRPr="00C32887">
        <w:rPr>
          <w:rFonts w:ascii="Garamond" w:hAnsi="Garamond"/>
          <w:sz w:val="24"/>
          <w:szCs w:val="24"/>
        </w:rPr>
        <w:t xml:space="preserve">strengthened </w:t>
      </w:r>
      <w:r w:rsidR="00126B9E">
        <w:rPr>
          <w:rFonts w:ascii="Garamond" w:hAnsi="Garamond"/>
          <w:sz w:val="24"/>
          <w:szCs w:val="24"/>
        </w:rPr>
        <w:t>as well as</w:t>
      </w:r>
      <w:r w:rsidRPr="00C32887">
        <w:rPr>
          <w:rFonts w:ascii="Garamond" w:hAnsi="Garamond"/>
          <w:sz w:val="24"/>
          <w:szCs w:val="24"/>
        </w:rPr>
        <w:t xml:space="preserve"> the national legal system related to the implementation of the rules and procedures of state aid</w:t>
      </w:r>
      <w:r w:rsidR="00126B9E">
        <w:rPr>
          <w:rFonts w:ascii="Garamond" w:hAnsi="Garamond"/>
          <w:sz w:val="24"/>
          <w:szCs w:val="24"/>
        </w:rPr>
        <w:t>,</w:t>
      </w:r>
      <w:r w:rsidRPr="00C32887">
        <w:rPr>
          <w:rFonts w:ascii="Garamond" w:hAnsi="Garamond"/>
          <w:sz w:val="24"/>
          <w:szCs w:val="24"/>
        </w:rPr>
        <w:t xml:space="preserve"> through </w:t>
      </w:r>
      <w:r w:rsidR="000017C5">
        <w:rPr>
          <w:rFonts w:ascii="Garamond" w:hAnsi="Garamond"/>
          <w:sz w:val="24"/>
          <w:szCs w:val="24"/>
        </w:rPr>
        <w:t>draft</w:t>
      </w:r>
      <w:r w:rsidRPr="00C32887">
        <w:rPr>
          <w:rFonts w:ascii="Garamond" w:hAnsi="Garamond"/>
          <w:sz w:val="24"/>
          <w:szCs w:val="24"/>
        </w:rPr>
        <w:t xml:space="preserve"> bylaws issued by the Ministry of Finance and Social Welfare of Montenegro:</w:t>
      </w:r>
    </w:p>
    <w:p w:rsidR="004D1343" w:rsidRPr="000017C5" w:rsidRDefault="004D1343" w:rsidP="004B0FE3">
      <w:pPr>
        <w:pStyle w:val="ListParagraph"/>
        <w:numPr>
          <w:ilvl w:val="0"/>
          <w:numId w:val="4"/>
        </w:numPr>
        <w:jc w:val="both"/>
        <w:rPr>
          <w:rFonts w:ascii="Garamond" w:hAnsi="Garamond"/>
          <w:sz w:val="24"/>
          <w:szCs w:val="24"/>
        </w:rPr>
      </w:pPr>
      <w:r w:rsidRPr="000017C5">
        <w:rPr>
          <w:rFonts w:ascii="Garamond" w:hAnsi="Garamond"/>
          <w:sz w:val="24"/>
          <w:szCs w:val="24"/>
        </w:rPr>
        <w:t>Communication from the Commission (EU) on the application of State aid rules from 1 August 2013 to support measures in favor of banks in the context of the financial crisis (</w:t>
      </w:r>
      <w:r w:rsidR="00C13A74">
        <w:rPr>
          <w:rFonts w:ascii="Garamond" w:hAnsi="Garamond"/>
          <w:sz w:val="24"/>
          <w:szCs w:val="24"/>
        </w:rPr>
        <w:t>‘</w:t>
      </w:r>
      <w:r w:rsidR="003E1ACD">
        <w:rPr>
          <w:rFonts w:ascii="Garamond" w:hAnsi="Garamond"/>
          <w:sz w:val="24"/>
          <w:szCs w:val="24"/>
        </w:rPr>
        <w:t>Banking Communication</w:t>
      </w:r>
      <w:r w:rsidR="00C13A74">
        <w:rPr>
          <w:rFonts w:ascii="Garamond" w:hAnsi="Garamond"/>
          <w:sz w:val="24"/>
          <w:szCs w:val="24"/>
        </w:rPr>
        <w:t>’</w:t>
      </w:r>
      <w:r w:rsidR="003E1ACD">
        <w:rPr>
          <w:rFonts w:ascii="Garamond" w:hAnsi="Garamond"/>
          <w:sz w:val="24"/>
          <w:szCs w:val="24"/>
        </w:rPr>
        <w:t>) ( 2013/</w:t>
      </w:r>
      <w:r w:rsidRPr="000017C5">
        <w:rPr>
          <w:rFonts w:ascii="Garamond" w:hAnsi="Garamond"/>
          <w:sz w:val="24"/>
          <w:szCs w:val="24"/>
        </w:rPr>
        <w:t xml:space="preserve">C 216/01);         </w:t>
      </w:r>
    </w:p>
    <w:p w:rsidR="004D1343" w:rsidRPr="003E1ACD" w:rsidRDefault="004D1343" w:rsidP="004B0FE3">
      <w:pPr>
        <w:pStyle w:val="ListParagraph"/>
        <w:numPr>
          <w:ilvl w:val="0"/>
          <w:numId w:val="4"/>
        </w:numPr>
        <w:jc w:val="both"/>
        <w:rPr>
          <w:rFonts w:ascii="Garamond" w:hAnsi="Garamond"/>
          <w:sz w:val="24"/>
          <w:szCs w:val="24"/>
        </w:rPr>
      </w:pPr>
      <w:r w:rsidRPr="003E1ACD">
        <w:rPr>
          <w:rFonts w:ascii="Garamond" w:hAnsi="Garamond"/>
          <w:sz w:val="24"/>
          <w:szCs w:val="24"/>
        </w:rPr>
        <w:t xml:space="preserve">Commission Notice (EU) on the </w:t>
      </w:r>
      <w:r w:rsidR="002B62CC">
        <w:rPr>
          <w:rFonts w:ascii="Garamond" w:hAnsi="Garamond"/>
          <w:sz w:val="24"/>
          <w:szCs w:val="24"/>
        </w:rPr>
        <w:t>notion</w:t>
      </w:r>
      <w:r w:rsidRPr="003E1ACD">
        <w:rPr>
          <w:rFonts w:ascii="Garamond" w:hAnsi="Garamond"/>
          <w:sz w:val="24"/>
          <w:szCs w:val="24"/>
        </w:rPr>
        <w:t xml:space="preserve"> of State aid </w:t>
      </w:r>
      <w:r w:rsidR="002B62CC">
        <w:rPr>
          <w:rFonts w:ascii="Garamond" w:hAnsi="Garamond"/>
          <w:sz w:val="24"/>
          <w:szCs w:val="24"/>
        </w:rPr>
        <w:t>as referred to in</w:t>
      </w:r>
      <w:r w:rsidRPr="003E1ACD">
        <w:rPr>
          <w:rFonts w:ascii="Garamond" w:hAnsi="Garamond"/>
          <w:sz w:val="24"/>
          <w:szCs w:val="24"/>
        </w:rPr>
        <w:t xml:space="preserve"> Article 107 (1) of the Treaty on the Function</w:t>
      </w:r>
      <w:r w:rsidR="003E1ACD">
        <w:rPr>
          <w:rFonts w:ascii="Garamond" w:hAnsi="Garamond"/>
          <w:sz w:val="24"/>
          <w:szCs w:val="24"/>
        </w:rPr>
        <w:t>ing of the European Union (2016</w:t>
      </w:r>
      <w:r w:rsidRPr="003E1ACD">
        <w:rPr>
          <w:rFonts w:ascii="Garamond" w:hAnsi="Garamond"/>
          <w:sz w:val="24"/>
          <w:szCs w:val="24"/>
        </w:rPr>
        <w:t>/</w:t>
      </w:r>
      <w:r w:rsidR="003E1ACD">
        <w:rPr>
          <w:rFonts w:ascii="Garamond" w:hAnsi="Garamond"/>
          <w:sz w:val="24"/>
          <w:szCs w:val="24"/>
        </w:rPr>
        <w:t xml:space="preserve">C 262/01); </w:t>
      </w:r>
      <w:r w:rsidRPr="003E1ACD">
        <w:rPr>
          <w:rFonts w:ascii="Garamond" w:hAnsi="Garamond"/>
          <w:sz w:val="24"/>
          <w:szCs w:val="24"/>
        </w:rPr>
        <w:t xml:space="preserve">        </w:t>
      </w:r>
    </w:p>
    <w:p w:rsidR="004D1343" w:rsidRPr="003E1ACD" w:rsidRDefault="004D1343" w:rsidP="004B0FE3">
      <w:pPr>
        <w:pStyle w:val="ListParagraph"/>
        <w:numPr>
          <w:ilvl w:val="0"/>
          <w:numId w:val="4"/>
        </w:numPr>
        <w:jc w:val="both"/>
        <w:rPr>
          <w:rFonts w:ascii="Garamond" w:hAnsi="Garamond"/>
          <w:sz w:val="24"/>
          <w:szCs w:val="24"/>
        </w:rPr>
      </w:pPr>
      <w:r w:rsidRPr="003E1ACD">
        <w:rPr>
          <w:rFonts w:ascii="Garamond" w:hAnsi="Garamond"/>
          <w:sz w:val="24"/>
          <w:szCs w:val="24"/>
        </w:rPr>
        <w:t>Temporary framework for state aid measures to support t</w:t>
      </w:r>
      <w:r w:rsidR="003E1ACD">
        <w:rPr>
          <w:rFonts w:ascii="Garamond" w:hAnsi="Garamond"/>
          <w:sz w:val="24"/>
          <w:szCs w:val="24"/>
        </w:rPr>
        <w:t>he economy in the current COVID</w:t>
      </w:r>
      <w:r w:rsidRPr="003E1ACD">
        <w:rPr>
          <w:rFonts w:ascii="Garamond" w:hAnsi="Garamond"/>
          <w:sz w:val="24"/>
          <w:szCs w:val="24"/>
        </w:rPr>
        <w:t>-19</w:t>
      </w:r>
      <w:r w:rsidR="003E1ACD">
        <w:rPr>
          <w:rFonts w:ascii="Garamond" w:hAnsi="Garamond"/>
          <w:sz w:val="24"/>
          <w:szCs w:val="24"/>
        </w:rPr>
        <w:t xml:space="preserve"> </w:t>
      </w:r>
      <w:r w:rsidR="002B62CC">
        <w:rPr>
          <w:rFonts w:ascii="Garamond" w:hAnsi="Garamond"/>
          <w:sz w:val="24"/>
          <w:szCs w:val="24"/>
        </w:rPr>
        <w:t>outbreak</w:t>
      </w:r>
      <w:r w:rsidR="003E1ACD">
        <w:rPr>
          <w:rFonts w:ascii="Garamond" w:hAnsi="Garamond"/>
          <w:sz w:val="24"/>
          <w:szCs w:val="24"/>
        </w:rPr>
        <w:t xml:space="preserve"> (2020/C 1863)</w:t>
      </w:r>
      <w:r w:rsidRPr="003E1ACD">
        <w:rPr>
          <w:rFonts w:ascii="Garamond" w:hAnsi="Garamond"/>
          <w:sz w:val="24"/>
          <w:szCs w:val="24"/>
        </w:rPr>
        <w:t xml:space="preserve">.           </w:t>
      </w:r>
    </w:p>
    <w:p w:rsidR="003E1ACD" w:rsidRDefault="004D1343" w:rsidP="004B0FE3">
      <w:pPr>
        <w:pStyle w:val="ListParagraph"/>
        <w:numPr>
          <w:ilvl w:val="0"/>
          <w:numId w:val="4"/>
        </w:numPr>
        <w:jc w:val="both"/>
        <w:rPr>
          <w:rFonts w:ascii="Garamond" w:hAnsi="Garamond"/>
          <w:sz w:val="24"/>
          <w:szCs w:val="24"/>
        </w:rPr>
      </w:pPr>
      <w:r w:rsidRPr="003E1ACD">
        <w:rPr>
          <w:rFonts w:ascii="Garamond" w:hAnsi="Garamond"/>
          <w:sz w:val="24"/>
          <w:szCs w:val="24"/>
        </w:rPr>
        <w:t xml:space="preserve">Within 2020, through technical support </w:t>
      </w:r>
      <w:r w:rsidR="003E1ACD">
        <w:rPr>
          <w:rFonts w:ascii="Garamond" w:hAnsi="Garamond"/>
          <w:sz w:val="24"/>
          <w:szCs w:val="24"/>
        </w:rPr>
        <w:t xml:space="preserve">for the software </w:t>
      </w:r>
      <w:r w:rsidR="00C13A74">
        <w:rPr>
          <w:rFonts w:ascii="Garamond" w:hAnsi="Garamond"/>
          <w:sz w:val="24"/>
          <w:szCs w:val="24"/>
        </w:rPr>
        <w:t>‘</w:t>
      </w:r>
      <w:r w:rsidRPr="003E1ACD">
        <w:rPr>
          <w:rFonts w:ascii="Garamond" w:hAnsi="Garamond"/>
          <w:sz w:val="24"/>
          <w:szCs w:val="24"/>
        </w:rPr>
        <w:t>Information sy</w:t>
      </w:r>
      <w:r w:rsidR="003E1ACD">
        <w:rPr>
          <w:rFonts w:ascii="Garamond" w:hAnsi="Garamond"/>
          <w:sz w:val="24"/>
          <w:szCs w:val="24"/>
        </w:rPr>
        <w:t>stem of state aid in Montenegro</w:t>
      </w:r>
      <w:r w:rsidR="00C13A74">
        <w:rPr>
          <w:rFonts w:ascii="Garamond" w:hAnsi="Garamond"/>
          <w:sz w:val="24"/>
          <w:szCs w:val="24"/>
        </w:rPr>
        <w:t>’</w:t>
      </w:r>
      <w:r w:rsidRPr="003E1ACD">
        <w:rPr>
          <w:rFonts w:ascii="Garamond" w:hAnsi="Garamond"/>
          <w:sz w:val="24"/>
          <w:szCs w:val="24"/>
        </w:rPr>
        <w:t>, a re</w:t>
      </w:r>
      <w:r w:rsidR="003E1ACD">
        <w:rPr>
          <w:rFonts w:ascii="Garamond" w:hAnsi="Garamond"/>
          <w:sz w:val="24"/>
          <w:szCs w:val="24"/>
        </w:rPr>
        <w:t>gister of de minimis aid and COVID-</w:t>
      </w:r>
      <w:r w:rsidRPr="003E1ACD">
        <w:rPr>
          <w:rFonts w:ascii="Garamond" w:hAnsi="Garamond"/>
          <w:sz w:val="24"/>
          <w:szCs w:val="24"/>
        </w:rPr>
        <w:t xml:space="preserve">19 </w:t>
      </w:r>
      <w:r w:rsidR="003E1ACD">
        <w:rPr>
          <w:rFonts w:ascii="Garamond" w:hAnsi="Garamond"/>
          <w:sz w:val="24"/>
          <w:szCs w:val="24"/>
        </w:rPr>
        <w:t>aid was</w:t>
      </w:r>
      <w:r w:rsidR="003E1ACD" w:rsidRPr="003E1ACD">
        <w:rPr>
          <w:rFonts w:ascii="Garamond" w:hAnsi="Garamond"/>
          <w:sz w:val="24"/>
          <w:szCs w:val="24"/>
        </w:rPr>
        <w:t xml:space="preserve"> established</w:t>
      </w:r>
      <w:r w:rsidRPr="003E1ACD">
        <w:rPr>
          <w:rFonts w:ascii="Garamond" w:hAnsi="Garamond"/>
          <w:sz w:val="24"/>
          <w:szCs w:val="24"/>
        </w:rPr>
        <w:t xml:space="preserve">. In future </w:t>
      </w:r>
      <w:r w:rsidR="003E1ACD">
        <w:rPr>
          <w:rFonts w:ascii="Garamond" w:hAnsi="Garamond"/>
          <w:sz w:val="24"/>
          <w:szCs w:val="24"/>
        </w:rPr>
        <w:t xml:space="preserve">period, production of </w:t>
      </w:r>
      <w:r w:rsidR="00C13A74">
        <w:rPr>
          <w:rFonts w:ascii="Garamond" w:hAnsi="Garamond"/>
          <w:sz w:val="24"/>
          <w:szCs w:val="24"/>
        </w:rPr>
        <w:t>‘</w:t>
      </w:r>
      <w:r w:rsidR="003E1ACD">
        <w:rPr>
          <w:rFonts w:ascii="Garamond" w:hAnsi="Garamond"/>
          <w:sz w:val="24"/>
          <w:szCs w:val="24"/>
        </w:rPr>
        <w:t>regular</w:t>
      </w:r>
      <w:r w:rsidR="00C13A74">
        <w:rPr>
          <w:rFonts w:ascii="Garamond" w:hAnsi="Garamond"/>
          <w:sz w:val="24"/>
          <w:szCs w:val="24"/>
        </w:rPr>
        <w:t>’</w:t>
      </w:r>
      <w:r w:rsidR="003E1ACD">
        <w:rPr>
          <w:rFonts w:ascii="Garamond" w:hAnsi="Garamond"/>
          <w:sz w:val="24"/>
          <w:szCs w:val="24"/>
        </w:rPr>
        <w:t xml:space="preserve"> </w:t>
      </w:r>
      <w:r w:rsidRPr="003E1ACD">
        <w:rPr>
          <w:rFonts w:ascii="Garamond" w:hAnsi="Garamond"/>
          <w:sz w:val="24"/>
          <w:szCs w:val="24"/>
        </w:rPr>
        <w:t>register of state aid</w:t>
      </w:r>
      <w:r w:rsidR="003E1ACD" w:rsidRPr="003E1ACD">
        <w:rPr>
          <w:rFonts w:ascii="Garamond" w:hAnsi="Garamond"/>
          <w:sz w:val="24"/>
          <w:szCs w:val="24"/>
        </w:rPr>
        <w:t xml:space="preserve"> </w:t>
      </w:r>
      <w:r w:rsidR="003E1ACD">
        <w:rPr>
          <w:rFonts w:ascii="Garamond" w:hAnsi="Garamond"/>
          <w:sz w:val="24"/>
          <w:szCs w:val="24"/>
        </w:rPr>
        <w:t xml:space="preserve">was </w:t>
      </w:r>
      <w:r w:rsidR="003E1ACD" w:rsidRPr="003E1ACD">
        <w:rPr>
          <w:rFonts w:ascii="Garamond" w:hAnsi="Garamond"/>
          <w:sz w:val="24"/>
          <w:szCs w:val="24"/>
        </w:rPr>
        <w:t>planned</w:t>
      </w:r>
      <w:r w:rsidRPr="003E1ACD">
        <w:rPr>
          <w:rFonts w:ascii="Garamond" w:hAnsi="Garamond"/>
          <w:sz w:val="24"/>
          <w:szCs w:val="24"/>
        </w:rPr>
        <w:t xml:space="preserve">.    </w:t>
      </w:r>
    </w:p>
    <w:p w:rsidR="004D1343" w:rsidRPr="003E1ACD" w:rsidRDefault="004D1343" w:rsidP="004B0FE3">
      <w:pPr>
        <w:pStyle w:val="ListParagraph"/>
        <w:ind w:left="720"/>
        <w:jc w:val="both"/>
        <w:rPr>
          <w:rFonts w:ascii="Garamond" w:hAnsi="Garamond"/>
          <w:sz w:val="24"/>
          <w:szCs w:val="24"/>
        </w:rPr>
      </w:pPr>
      <w:r w:rsidRPr="003E1ACD">
        <w:rPr>
          <w:rFonts w:ascii="Garamond" w:hAnsi="Garamond"/>
          <w:sz w:val="24"/>
          <w:szCs w:val="24"/>
        </w:rPr>
        <w:t xml:space="preserve">     </w:t>
      </w:r>
    </w:p>
    <w:p w:rsidR="004D1343" w:rsidRPr="00C32887" w:rsidRDefault="002B62CC" w:rsidP="003E1ACD">
      <w:pPr>
        <w:pStyle w:val="Heading3"/>
        <w:rPr>
          <w:rFonts w:ascii="Garamond" w:hAnsi="Garamond"/>
          <w:sz w:val="24"/>
          <w:szCs w:val="24"/>
        </w:rPr>
      </w:pPr>
      <w:bookmarkStart w:id="20" w:name="_Toc77688200"/>
      <w:r>
        <w:rPr>
          <w:rFonts w:ascii="Garamond" w:hAnsi="Garamond"/>
          <w:sz w:val="24"/>
          <w:szCs w:val="24"/>
        </w:rPr>
        <w:t xml:space="preserve">PUBLIC </w:t>
      </w:r>
      <w:r w:rsidR="00DF2E7D" w:rsidRPr="00C32887">
        <w:rPr>
          <w:rFonts w:ascii="Garamond" w:hAnsi="Garamond"/>
          <w:sz w:val="24"/>
          <w:szCs w:val="24"/>
        </w:rPr>
        <w:t xml:space="preserve">DEBT </w:t>
      </w:r>
      <w:r w:rsidR="003E1ACD" w:rsidRPr="00C32887">
        <w:rPr>
          <w:rFonts w:ascii="Garamond" w:hAnsi="Garamond"/>
          <w:sz w:val="24"/>
          <w:szCs w:val="24"/>
        </w:rPr>
        <w:t xml:space="preserve">MANAGEMENT, DEBT ANALYSIS, CASH MANAGEMENT AND FOREIGN </w:t>
      </w:r>
      <w:r w:rsidR="00DF2E7D">
        <w:rPr>
          <w:rFonts w:ascii="Garamond" w:hAnsi="Garamond"/>
          <w:sz w:val="24"/>
          <w:szCs w:val="24"/>
        </w:rPr>
        <w:t>RELATIONS DEPARTMENT</w:t>
      </w:r>
      <w:r w:rsidR="00DF2E7D" w:rsidRPr="00DF2E7D">
        <w:rPr>
          <w:rFonts w:ascii="Garamond" w:hAnsi="Garamond"/>
          <w:sz w:val="24"/>
          <w:szCs w:val="24"/>
        </w:rPr>
        <w:t xml:space="preserve"> </w:t>
      </w:r>
      <w:r w:rsidR="00DF2E7D" w:rsidRPr="00C32887">
        <w:rPr>
          <w:rFonts w:ascii="Garamond" w:hAnsi="Garamond"/>
          <w:sz w:val="24"/>
          <w:szCs w:val="24"/>
        </w:rPr>
        <w:t>REFORM</w:t>
      </w:r>
      <w:bookmarkEnd w:id="20"/>
    </w:p>
    <w:p w:rsidR="004D1343" w:rsidRPr="00C32887" w:rsidRDefault="004D1343" w:rsidP="004D1343">
      <w:pPr>
        <w:rPr>
          <w:rFonts w:ascii="Garamond" w:hAnsi="Garamond"/>
          <w:sz w:val="24"/>
          <w:szCs w:val="24"/>
        </w:rPr>
      </w:pPr>
    </w:p>
    <w:p w:rsidR="004D1343" w:rsidRPr="00C32887" w:rsidRDefault="004D1343" w:rsidP="003E1ACD">
      <w:pPr>
        <w:jc w:val="both"/>
        <w:rPr>
          <w:rFonts w:ascii="Garamond" w:hAnsi="Garamond"/>
          <w:sz w:val="24"/>
          <w:szCs w:val="24"/>
        </w:rPr>
      </w:pPr>
      <w:r w:rsidRPr="00C32887">
        <w:rPr>
          <w:rFonts w:ascii="Garamond" w:hAnsi="Garamond"/>
          <w:sz w:val="24"/>
          <w:szCs w:val="24"/>
        </w:rPr>
        <w:t xml:space="preserve">Based on the recommendations of the expert teams of the International Monetary Fund and the World Bank, the Ministry of Finance and Social Welfare has </w:t>
      </w:r>
      <w:r w:rsidR="00B25E9E">
        <w:rPr>
          <w:rFonts w:ascii="Garamond" w:hAnsi="Garamond"/>
          <w:sz w:val="24"/>
          <w:szCs w:val="24"/>
        </w:rPr>
        <w:t>started</w:t>
      </w:r>
      <w:r w:rsidRPr="00C32887">
        <w:rPr>
          <w:rFonts w:ascii="Garamond" w:hAnsi="Garamond"/>
          <w:sz w:val="24"/>
          <w:szCs w:val="24"/>
        </w:rPr>
        <w:t xml:space="preserve"> the reform of the Public Debt Management, Debt Analysis, Cash Management and Foreign </w:t>
      </w:r>
      <w:r w:rsidR="002B62CC">
        <w:rPr>
          <w:rFonts w:ascii="Garamond" w:hAnsi="Garamond"/>
          <w:sz w:val="24"/>
          <w:szCs w:val="24"/>
        </w:rPr>
        <w:t>Relations</w:t>
      </w:r>
      <w:r w:rsidR="002B62CC" w:rsidRPr="002B62CC">
        <w:rPr>
          <w:rFonts w:ascii="Garamond" w:hAnsi="Garamond"/>
          <w:sz w:val="24"/>
          <w:szCs w:val="24"/>
        </w:rPr>
        <w:t xml:space="preserve"> </w:t>
      </w:r>
      <w:r w:rsidR="002B62CC" w:rsidRPr="00C32887">
        <w:rPr>
          <w:rFonts w:ascii="Garamond" w:hAnsi="Garamond"/>
          <w:sz w:val="24"/>
          <w:szCs w:val="24"/>
        </w:rPr>
        <w:t>Department</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842227" w:rsidP="00B25E9E">
      <w:pPr>
        <w:jc w:val="both"/>
        <w:rPr>
          <w:rFonts w:ascii="Garamond" w:hAnsi="Garamond"/>
          <w:sz w:val="24"/>
          <w:szCs w:val="24"/>
        </w:rPr>
      </w:pPr>
      <w:r>
        <w:rPr>
          <w:rFonts w:ascii="Garamond" w:hAnsi="Garamond"/>
          <w:sz w:val="24"/>
          <w:szCs w:val="24"/>
        </w:rPr>
        <w:t>The</w:t>
      </w:r>
      <w:r w:rsidR="004D1343" w:rsidRPr="00C32887">
        <w:rPr>
          <w:rFonts w:ascii="Garamond" w:hAnsi="Garamond"/>
          <w:sz w:val="24"/>
          <w:szCs w:val="24"/>
        </w:rPr>
        <w:t xml:space="preserve"> </w:t>
      </w:r>
      <w:r w:rsidRPr="00C32887">
        <w:rPr>
          <w:rFonts w:ascii="Garamond" w:hAnsi="Garamond"/>
          <w:sz w:val="24"/>
          <w:szCs w:val="24"/>
        </w:rPr>
        <w:t xml:space="preserve">Department </w:t>
      </w:r>
      <w:r w:rsidR="004D1343" w:rsidRPr="00C32887">
        <w:rPr>
          <w:rFonts w:ascii="Garamond" w:hAnsi="Garamond"/>
          <w:sz w:val="24"/>
          <w:szCs w:val="24"/>
        </w:rPr>
        <w:t xml:space="preserve">is divided into two directorates: the Directorate for Debt Management, Debt Analysis and Foreign Relations (front office) and the Directorate for Cash Management, Debt Servicing, </w:t>
      </w:r>
      <w:r w:rsidR="007F4DC9">
        <w:rPr>
          <w:rFonts w:ascii="Garamond" w:hAnsi="Garamond"/>
          <w:sz w:val="24"/>
          <w:szCs w:val="24"/>
        </w:rPr>
        <w:t>Government</w:t>
      </w:r>
      <w:r w:rsidR="004D1343" w:rsidRPr="00C32887">
        <w:rPr>
          <w:rFonts w:ascii="Garamond" w:hAnsi="Garamond"/>
          <w:sz w:val="24"/>
          <w:szCs w:val="24"/>
        </w:rPr>
        <w:t xml:space="preserve"> and Public Debt Records (back office). This reorgani</w:t>
      </w:r>
      <w:r w:rsidR="00F254DD">
        <w:rPr>
          <w:rFonts w:ascii="Garamond" w:hAnsi="Garamond"/>
          <w:sz w:val="24"/>
          <w:szCs w:val="24"/>
        </w:rPr>
        <w:t>sation</w:t>
      </w:r>
      <w:r w:rsidR="004D1343" w:rsidRPr="00C32887">
        <w:rPr>
          <w:rFonts w:ascii="Garamond" w:hAnsi="Garamond"/>
          <w:sz w:val="24"/>
          <w:szCs w:val="24"/>
        </w:rPr>
        <w:t xml:space="preserve"> was formali</w:t>
      </w:r>
      <w:r w:rsidR="00371F6C">
        <w:rPr>
          <w:rFonts w:ascii="Garamond" w:hAnsi="Garamond"/>
          <w:sz w:val="24"/>
          <w:szCs w:val="24"/>
        </w:rPr>
        <w:t>sed</w:t>
      </w:r>
      <w:r w:rsidR="004D1343" w:rsidRPr="00C32887">
        <w:rPr>
          <w:rFonts w:ascii="Garamond" w:hAnsi="Garamond"/>
          <w:sz w:val="24"/>
          <w:szCs w:val="24"/>
        </w:rPr>
        <w:t xml:space="preserve"> </w:t>
      </w:r>
      <w:r>
        <w:rPr>
          <w:rFonts w:ascii="Garamond" w:hAnsi="Garamond"/>
          <w:sz w:val="24"/>
          <w:szCs w:val="24"/>
        </w:rPr>
        <w:t>under</w:t>
      </w:r>
      <w:r w:rsidR="004D1343" w:rsidRPr="00C32887">
        <w:rPr>
          <w:rFonts w:ascii="Garamond" w:hAnsi="Garamond"/>
          <w:sz w:val="24"/>
          <w:szCs w:val="24"/>
        </w:rPr>
        <w:t xml:space="preserve"> the Rulebook on Internal Organi</w:t>
      </w:r>
      <w:r w:rsidR="00F254DD">
        <w:rPr>
          <w:rFonts w:ascii="Garamond" w:hAnsi="Garamond"/>
          <w:sz w:val="24"/>
          <w:szCs w:val="24"/>
        </w:rPr>
        <w:t>sation</w:t>
      </w:r>
      <w:r w:rsidR="004D1343" w:rsidRPr="00C32887">
        <w:rPr>
          <w:rFonts w:ascii="Garamond" w:hAnsi="Garamond"/>
          <w:sz w:val="24"/>
          <w:szCs w:val="24"/>
        </w:rPr>
        <w:t xml:space="preserve"> and Systemati</w:t>
      </w:r>
      <w:r w:rsidR="00F254DD">
        <w:rPr>
          <w:rFonts w:ascii="Garamond" w:hAnsi="Garamond"/>
          <w:sz w:val="24"/>
          <w:szCs w:val="24"/>
        </w:rPr>
        <w:t>sation</w:t>
      </w:r>
      <w:r w:rsidR="004D1343" w:rsidRPr="00C32887">
        <w:rPr>
          <w:rFonts w:ascii="Garamond" w:hAnsi="Garamond"/>
          <w:sz w:val="24"/>
          <w:szCs w:val="24"/>
        </w:rPr>
        <w:t xml:space="preserve"> of the Ministry of Finance, which was adopted by the Government </w:t>
      </w:r>
      <w:r w:rsidR="00EA233F">
        <w:rPr>
          <w:rFonts w:ascii="Garamond" w:hAnsi="Garamond"/>
          <w:sz w:val="24"/>
          <w:szCs w:val="24"/>
        </w:rPr>
        <w:t>of Montenegro in November 2017</w:t>
      </w:r>
      <w:r w:rsidR="00EA233F">
        <w:rPr>
          <w:rStyle w:val="FootnoteReference"/>
          <w:rFonts w:ascii="Garamond" w:hAnsi="Garamond"/>
          <w:sz w:val="24"/>
          <w:szCs w:val="24"/>
        </w:rPr>
        <w:footnoteReference w:id="24"/>
      </w:r>
      <w:r w:rsidR="004D1343"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EA233F">
      <w:pPr>
        <w:jc w:val="both"/>
        <w:rPr>
          <w:rFonts w:ascii="Garamond" w:hAnsi="Garamond"/>
          <w:sz w:val="24"/>
          <w:szCs w:val="24"/>
        </w:rPr>
      </w:pPr>
      <w:r w:rsidRPr="00C32887">
        <w:rPr>
          <w:rFonts w:ascii="Garamond" w:hAnsi="Garamond"/>
          <w:sz w:val="24"/>
          <w:szCs w:val="24"/>
        </w:rPr>
        <w:t>This organi</w:t>
      </w:r>
      <w:r w:rsidR="00F254DD">
        <w:rPr>
          <w:rFonts w:ascii="Garamond" w:hAnsi="Garamond"/>
          <w:sz w:val="24"/>
          <w:szCs w:val="24"/>
        </w:rPr>
        <w:t>sation</w:t>
      </w:r>
      <w:r w:rsidRPr="00C32887">
        <w:rPr>
          <w:rFonts w:ascii="Garamond" w:hAnsi="Garamond"/>
          <w:sz w:val="24"/>
          <w:szCs w:val="24"/>
        </w:rPr>
        <w:t xml:space="preserve">al change has led to a gradual separation of business processes in a way that reflects the standards of functioning of the front office and back office in the financial sector. The separation of business processes is still ongoing, along with the training of new staff. Namely, both </w:t>
      </w:r>
      <w:r w:rsidR="00842227" w:rsidRPr="00C32887">
        <w:rPr>
          <w:rFonts w:ascii="Garamond" w:hAnsi="Garamond"/>
          <w:sz w:val="24"/>
          <w:szCs w:val="24"/>
        </w:rPr>
        <w:t xml:space="preserve">Directorates </w:t>
      </w:r>
      <w:r w:rsidRPr="00C32887">
        <w:rPr>
          <w:rFonts w:ascii="Garamond" w:hAnsi="Garamond"/>
          <w:sz w:val="24"/>
          <w:szCs w:val="24"/>
        </w:rPr>
        <w:t>face a significant outflow of staff, which requires continuous repetition of on-the-job training, both by employees in the Directorates and by external experts.</w:t>
      </w:r>
    </w:p>
    <w:p w:rsidR="004D1343" w:rsidRPr="00C32887" w:rsidRDefault="004D1343" w:rsidP="004D1343">
      <w:pPr>
        <w:rPr>
          <w:rFonts w:ascii="Garamond" w:hAnsi="Garamond"/>
          <w:sz w:val="24"/>
          <w:szCs w:val="24"/>
        </w:rPr>
      </w:pPr>
    </w:p>
    <w:p w:rsidR="004D1343" w:rsidRPr="00C32887" w:rsidRDefault="00EA233F" w:rsidP="00EA233F">
      <w:pPr>
        <w:jc w:val="both"/>
        <w:rPr>
          <w:rFonts w:ascii="Garamond" w:hAnsi="Garamond"/>
          <w:sz w:val="24"/>
          <w:szCs w:val="24"/>
        </w:rPr>
      </w:pPr>
      <w:r>
        <w:rPr>
          <w:rFonts w:ascii="Garamond" w:hAnsi="Garamond"/>
          <w:sz w:val="24"/>
          <w:szCs w:val="24"/>
        </w:rPr>
        <w:t>Accordingly, employees in the front office</w:t>
      </w:r>
      <w:r w:rsidR="004D1343" w:rsidRPr="00C32887">
        <w:rPr>
          <w:rFonts w:ascii="Garamond" w:hAnsi="Garamond"/>
          <w:sz w:val="24"/>
          <w:szCs w:val="24"/>
        </w:rPr>
        <w:t xml:space="preserve"> </w:t>
      </w:r>
      <w:r>
        <w:rPr>
          <w:rFonts w:ascii="Garamond" w:hAnsi="Garamond"/>
          <w:sz w:val="24"/>
          <w:szCs w:val="24"/>
        </w:rPr>
        <w:t>during the period 2016-2020</w:t>
      </w:r>
      <w:r w:rsidR="004D1343" w:rsidRPr="00C32887">
        <w:rPr>
          <w:rFonts w:ascii="Garamond" w:hAnsi="Garamond"/>
          <w:sz w:val="24"/>
          <w:szCs w:val="24"/>
        </w:rPr>
        <w:t xml:space="preserve"> attended trainings related to the development of the Medium-Term Debt Management Strategy, training for the preparation and implementation of bond issues on the international market, as well as training related to financial derivatives and hedging. These trainings were conducted within the regular cooperation between Montenegro and the IMF, as well as using the services of independent experts (2019). In 2020, no training was conducted by external exper</w:t>
      </w:r>
      <w:r w:rsidR="007F4DC9">
        <w:rPr>
          <w:rFonts w:ascii="Garamond" w:hAnsi="Garamond"/>
          <w:sz w:val="24"/>
          <w:szCs w:val="24"/>
        </w:rPr>
        <w:t>ts due to the COVID-</w:t>
      </w:r>
      <w:r w:rsidR="004D1343" w:rsidRPr="00C32887">
        <w:rPr>
          <w:rFonts w:ascii="Garamond" w:hAnsi="Garamond"/>
          <w:sz w:val="24"/>
          <w:szCs w:val="24"/>
        </w:rPr>
        <w:t xml:space="preserve">19 pandemic, but training was provided to new employees by </w:t>
      </w:r>
      <w:r w:rsidR="007F4DC9">
        <w:rPr>
          <w:rFonts w:ascii="Garamond" w:hAnsi="Garamond"/>
          <w:sz w:val="24"/>
          <w:szCs w:val="24"/>
        </w:rPr>
        <w:t>colleagues who work</w:t>
      </w:r>
      <w:r w:rsidR="004D1343" w:rsidRPr="00C32887">
        <w:rPr>
          <w:rFonts w:ascii="Garamond" w:hAnsi="Garamond"/>
          <w:sz w:val="24"/>
          <w:szCs w:val="24"/>
        </w:rPr>
        <w:t xml:space="preserve"> in the </w:t>
      </w:r>
      <w:r w:rsidR="007F4DC9" w:rsidRPr="00C32887">
        <w:rPr>
          <w:rFonts w:ascii="Garamond" w:hAnsi="Garamond"/>
          <w:sz w:val="24"/>
          <w:szCs w:val="24"/>
        </w:rPr>
        <w:t>Directorate</w:t>
      </w:r>
      <w:r w:rsidR="004D1343"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Default="004D1343" w:rsidP="00B059BC">
      <w:pPr>
        <w:jc w:val="both"/>
        <w:rPr>
          <w:rFonts w:ascii="Garamond" w:hAnsi="Garamond"/>
          <w:sz w:val="24"/>
          <w:szCs w:val="24"/>
        </w:rPr>
      </w:pPr>
      <w:r w:rsidRPr="00C32887">
        <w:rPr>
          <w:rFonts w:ascii="Garamond" w:hAnsi="Garamond"/>
          <w:sz w:val="24"/>
          <w:szCs w:val="24"/>
        </w:rPr>
        <w:t xml:space="preserve">In 2018, Montenegro adopted the </w:t>
      </w:r>
      <w:r w:rsidR="007F4DC9" w:rsidRPr="00C32887">
        <w:rPr>
          <w:rFonts w:ascii="Garamond" w:hAnsi="Garamond"/>
          <w:sz w:val="24"/>
          <w:szCs w:val="24"/>
        </w:rPr>
        <w:t xml:space="preserve">2018-2020 </w:t>
      </w:r>
      <w:r w:rsidRPr="00C32887">
        <w:rPr>
          <w:rFonts w:ascii="Garamond" w:hAnsi="Garamond"/>
          <w:sz w:val="24"/>
          <w:szCs w:val="24"/>
        </w:rPr>
        <w:t>Debt Management Strategy</w:t>
      </w:r>
      <w:r w:rsidR="007F4DC9">
        <w:rPr>
          <w:rFonts w:ascii="Garamond" w:hAnsi="Garamond"/>
          <w:sz w:val="24"/>
          <w:szCs w:val="24"/>
        </w:rPr>
        <w:t>,</w:t>
      </w:r>
      <w:r w:rsidRPr="00C32887">
        <w:rPr>
          <w:rFonts w:ascii="Garamond" w:hAnsi="Garamond"/>
          <w:sz w:val="24"/>
          <w:szCs w:val="24"/>
        </w:rPr>
        <w:t xml:space="preserve"> which, as a guideline, defined the equali</w:t>
      </w:r>
      <w:r w:rsidR="00F254DD">
        <w:rPr>
          <w:rFonts w:ascii="Garamond" w:hAnsi="Garamond"/>
          <w:sz w:val="24"/>
          <w:szCs w:val="24"/>
        </w:rPr>
        <w:t>sation</w:t>
      </w:r>
      <w:r w:rsidRPr="00C32887">
        <w:rPr>
          <w:rFonts w:ascii="Garamond" w:hAnsi="Garamond"/>
          <w:sz w:val="24"/>
          <w:szCs w:val="24"/>
        </w:rPr>
        <w:t xml:space="preserve"> of debt repayment through the improvement of indicators of average debt maturity. In addition to the above, one of the guidelines for debt management is the reduction of borrowing costs, which is reflected in the indicator of the average weighted interest rate. In addition to the </w:t>
      </w:r>
      <w:r w:rsidR="00B059BC">
        <w:rPr>
          <w:rFonts w:ascii="Garamond" w:hAnsi="Garamond"/>
          <w:sz w:val="24"/>
          <w:szCs w:val="24"/>
        </w:rPr>
        <w:t xml:space="preserve">above </w:t>
      </w:r>
      <w:r w:rsidRPr="00C32887">
        <w:rPr>
          <w:rFonts w:ascii="Garamond" w:hAnsi="Garamond"/>
          <w:sz w:val="24"/>
          <w:szCs w:val="24"/>
        </w:rPr>
        <w:t>mentioned, one of the guidelines is the development of the domestic mar</w:t>
      </w:r>
      <w:r w:rsidR="00B059BC">
        <w:rPr>
          <w:rFonts w:ascii="Garamond" w:hAnsi="Garamond"/>
          <w:sz w:val="24"/>
          <w:szCs w:val="24"/>
        </w:rPr>
        <w:t>ket of government securities, that is,</w:t>
      </w:r>
      <w:r w:rsidR="009328BD">
        <w:rPr>
          <w:rFonts w:ascii="Garamond" w:hAnsi="Garamond"/>
          <w:sz w:val="24"/>
          <w:szCs w:val="24"/>
        </w:rPr>
        <w:t xml:space="preserve"> bond market</w:t>
      </w:r>
      <w:r w:rsidRPr="00C32887">
        <w:rPr>
          <w:rFonts w:ascii="Garamond" w:hAnsi="Garamond"/>
          <w:sz w:val="24"/>
          <w:szCs w:val="24"/>
        </w:rPr>
        <w:t xml:space="preserve">, but also reducing currency risk. In 2019, the development of the updated </w:t>
      </w:r>
      <w:r w:rsidR="007F4DC9" w:rsidRPr="00C32887">
        <w:rPr>
          <w:rFonts w:ascii="Garamond" w:hAnsi="Garamond"/>
          <w:sz w:val="24"/>
          <w:szCs w:val="24"/>
        </w:rPr>
        <w:t>Public Debt Management</w:t>
      </w:r>
      <w:r w:rsidR="007F4DC9">
        <w:rPr>
          <w:rFonts w:ascii="Garamond" w:hAnsi="Garamond"/>
          <w:sz w:val="24"/>
          <w:szCs w:val="24"/>
        </w:rPr>
        <w:t xml:space="preserve"> </w:t>
      </w:r>
      <w:r w:rsidRPr="00C32887">
        <w:rPr>
          <w:rFonts w:ascii="Garamond" w:hAnsi="Garamond"/>
          <w:sz w:val="24"/>
          <w:szCs w:val="24"/>
        </w:rPr>
        <w:t xml:space="preserve">Strategy </w:t>
      </w:r>
      <w:r w:rsidR="00D90CB9">
        <w:rPr>
          <w:rFonts w:ascii="Garamond" w:hAnsi="Garamond"/>
          <w:sz w:val="24"/>
          <w:szCs w:val="24"/>
        </w:rPr>
        <w:t>has been planned</w:t>
      </w:r>
      <w:r w:rsidRPr="00C32887">
        <w:rPr>
          <w:rFonts w:ascii="Garamond" w:hAnsi="Garamond"/>
          <w:sz w:val="24"/>
          <w:szCs w:val="24"/>
        </w:rPr>
        <w:t xml:space="preserve">, however, certain </w:t>
      </w:r>
      <w:r w:rsidR="007F4DC9">
        <w:rPr>
          <w:rFonts w:ascii="Garamond" w:hAnsi="Garamond"/>
          <w:sz w:val="24"/>
          <w:szCs w:val="24"/>
        </w:rPr>
        <w:t>borrowing</w:t>
      </w:r>
      <w:r w:rsidR="00D90CB9" w:rsidRPr="00C32887">
        <w:rPr>
          <w:rFonts w:ascii="Garamond" w:hAnsi="Garamond"/>
          <w:sz w:val="24"/>
          <w:szCs w:val="24"/>
        </w:rPr>
        <w:t xml:space="preserve"> </w:t>
      </w:r>
      <w:r w:rsidRPr="00C32887">
        <w:rPr>
          <w:rFonts w:ascii="Garamond" w:hAnsi="Garamond"/>
          <w:sz w:val="24"/>
          <w:szCs w:val="24"/>
        </w:rPr>
        <w:t xml:space="preserve">transactions were carried out before the </w:t>
      </w:r>
      <w:r w:rsidR="007F4DC9" w:rsidRPr="00C32887">
        <w:rPr>
          <w:rFonts w:ascii="Garamond" w:hAnsi="Garamond"/>
          <w:sz w:val="24"/>
          <w:szCs w:val="24"/>
        </w:rPr>
        <w:t xml:space="preserve">Updated Strategy </w:t>
      </w:r>
      <w:r w:rsidRPr="00C32887">
        <w:rPr>
          <w:rFonts w:ascii="Garamond" w:hAnsi="Garamond"/>
          <w:sz w:val="24"/>
          <w:szCs w:val="24"/>
        </w:rPr>
        <w:t xml:space="preserve">was prepared, and </w:t>
      </w:r>
      <w:r w:rsidR="00D90CB9" w:rsidRPr="00C32887">
        <w:rPr>
          <w:rFonts w:ascii="Garamond" w:hAnsi="Garamond"/>
          <w:sz w:val="24"/>
          <w:szCs w:val="24"/>
        </w:rPr>
        <w:t xml:space="preserve">guidelines for activities that have already been implemented </w:t>
      </w:r>
      <w:r w:rsidR="00D90CB9">
        <w:rPr>
          <w:rFonts w:ascii="Garamond" w:hAnsi="Garamond"/>
          <w:sz w:val="24"/>
          <w:szCs w:val="24"/>
        </w:rPr>
        <w:t>were</w:t>
      </w:r>
      <w:r w:rsidRPr="00C32887">
        <w:rPr>
          <w:rFonts w:ascii="Garamond" w:hAnsi="Garamond"/>
          <w:sz w:val="24"/>
          <w:szCs w:val="24"/>
        </w:rPr>
        <w:t xml:space="preserve"> not </w:t>
      </w:r>
      <w:r w:rsidR="007F4DC9" w:rsidRPr="00C32887">
        <w:rPr>
          <w:rFonts w:ascii="Garamond" w:hAnsi="Garamond"/>
          <w:sz w:val="24"/>
          <w:szCs w:val="24"/>
        </w:rPr>
        <w:t xml:space="preserve">retroactively </w:t>
      </w:r>
      <w:r w:rsidRPr="00C32887">
        <w:rPr>
          <w:rFonts w:ascii="Garamond" w:hAnsi="Garamond"/>
          <w:sz w:val="24"/>
          <w:szCs w:val="24"/>
        </w:rPr>
        <w:t>publish</w:t>
      </w:r>
      <w:r w:rsidR="00D90CB9">
        <w:rPr>
          <w:rFonts w:ascii="Garamond" w:hAnsi="Garamond"/>
          <w:sz w:val="24"/>
          <w:szCs w:val="24"/>
        </w:rPr>
        <w:t>ed</w:t>
      </w:r>
      <w:r w:rsidRPr="00C32887">
        <w:rPr>
          <w:rFonts w:ascii="Garamond" w:hAnsi="Garamond"/>
          <w:sz w:val="24"/>
          <w:szCs w:val="24"/>
        </w:rPr>
        <w:t xml:space="preserve">. As for 2020, no update of the </w:t>
      </w:r>
      <w:r w:rsidR="007F4DC9" w:rsidRPr="00C32887">
        <w:rPr>
          <w:rFonts w:ascii="Garamond" w:hAnsi="Garamond"/>
          <w:sz w:val="24"/>
          <w:szCs w:val="24"/>
        </w:rPr>
        <w:t xml:space="preserve">Strategy </w:t>
      </w:r>
      <w:r w:rsidRPr="00C32887">
        <w:rPr>
          <w:rFonts w:ascii="Garamond" w:hAnsi="Garamond"/>
          <w:sz w:val="24"/>
          <w:szCs w:val="24"/>
        </w:rPr>
        <w:t>w</w:t>
      </w:r>
      <w:r w:rsidR="00D90CB9">
        <w:rPr>
          <w:rFonts w:ascii="Garamond" w:hAnsi="Garamond"/>
          <w:sz w:val="24"/>
          <w:szCs w:val="24"/>
        </w:rPr>
        <w:t>as carried out due to the COVID-</w:t>
      </w:r>
      <w:r w:rsidRPr="00C32887">
        <w:rPr>
          <w:rFonts w:ascii="Garamond" w:hAnsi="Garamond"/>
          <w:sz w:val="24"/>
          <w:szCs w:val="24"/>
        </w:rPr>
        <w:t>19 crisis, which required the urgent implementation of borrowing procedures. What is important to emphas</w:t>
      </w:r>
      <w:r w:rsidR="00A113DA">
        <w:rPr>
          <w:rFonts w:ascii="Garamond" w:hAnsi="Garamond"/>
          <w:sz w:val="24"/>
          <w:szCs w:val="24"/>
        </w:rPr>
        <w:t>ise</w:t>
      </w:r>
      <w:r w:rsidRPr="00C32887">
        <w:rPr>
          <w:rFonts w:ascii="Garamond" w:hAnsi="Garamond"/>
          <w:sz w:val="24"/>
          <w:szCs w:val="24"/>
        </w:rPr>
        <w:t xml:space="preserve"> is the fact that borrowing in 2019, as well as in 2020, was carried out in accordance with the initial strategy in terms of borrowing </w:t>
      </w:r>
      <w:r w:rsidR="009328BD">
        <w:rPr>
          <w:rFonts w:ascii="Garamond" w:hAnsi="Garamond"/>
          <w:sz w:val="24"/>
          <w:szCs w:val="24"/>
        </w:rPr>
        <w:t xml:space="preserve">based </w:t>
      </w:r>
      <w:r w:rsidRPr="00C32887">
        <w:rPr>
          <w:rFonts w:ascii="Garamond" w:hAnsi="Garamond"/>
          <w:sz w:val="24"/>
          <w:szCs w:val="24"/>
        </w:rPr>
        <w:t>on the principle of the longest possible maturity and the lowest possible interest rates. This extended the averag</w:t>
      </w:r>
      <w:r w:rsidR="00463F4C">
        <w:rPr>
          <w:rFonts w:ascii="Garamond" w:hAnsi="Garamond"/>
          <w:sz w:val="24"/>
          <w:szCs w:val="24"/>
        </w:rPr>
        <w:t xml:space="preserve">e debt maturity from 5.2 years </w:t>
      </w:r>
      <w:r w:rsidRPr="00C32887">
        <w:rPr>
          <w:rFonts w:ascii="Garamond" w:hAnsi="Garamond"/>
          <w:sz w:val="24"/>
          <w:szCs w:val="24"/>
        </w:rPr>
        <w:t>a</w:t>
      </w:r>
      <w:r w:rsidR="00463F4C">
        <w:rPr>
          <w:rFonts w:ascii="Garamond" w:hAnsi="Garamond"/>
          <w:sz w:val="24"/>
          <w:szCs w:val="24"/>
        </w:rPr>
        <w:t xml:space="preserve">t the end of 2018 to 5.9 years </w:t>
      </w:r>
      <w:r w:rsidRPr="00C32887">
        <w:rPr>
          <w:rFonts w:ascii="Garamond" w:hAnsi="Garamond"/>
          <w:sz w:val="24"/>
          <w:szCs w:val="24"/>
        </w:rPr>
        <w:t xml:space="preserve">at the end of 2019, and further to 6.9 years, at the end of 2020. The structure of government debt at the end of 2020 has a real weighted average interest rate of 2.7%, which means that the cost of borrowing decreased by 0.1% compared to the end of </w:t>
      </w:r>
      <w:r w:rsidR="00D90CB9">
        <w:rPr>
          <w:rFonts w:ascii="Garamond" w:hAnsi="Garamond"/>
          <w:sz w:val="24"/>
          <w:szCs w:val="24"/>
        </w:rPr>
        <w:t>2019, and 0.3% compared to 2018</w:t>
      </w:r>
      <w:r w:rsidRPr="00C32887">
        <w:rPr>
          <w:rFonts w:ascii="Garamond" w:hAnsi="Garamond"/>
          <w:sz w:val="24"/>
          <w:szCs w:val="24"/>
        </w:rPr>
        <w:t xml:space="preserve">. Debt </w:t>
      </w:r>
      <w:r w:rsidR="00D90CB9">
        <w:rPr>
          <w:rFonts w:ascii="Garamond" w:hAnsi="Garamond"/>
          <w:sz w:val="24"/>
          <w:szCs w:val="24"/>
        </w:rPr>
        <w:t xml:space="preserve">trends in the period 2016-2020 </w:t>
      </w:r>
      <w:r w:rsidRPr="00C32887">
        <w:rPr>
          <w:rFonts w:ascii="Garamond" w:hAnsi="Garamond"/>
          <w:sz w:val="24"/>
          <w:szCs w:val="24"/>
        </w:rPr>
        <w:t>can be displayed as follows:</w:t>
      </w:r>
    </w:p>
    <w:tbl>
      <w:tblPr>
        <w:tblStyle w:val="GridTable6ColorfulAccent1"/>
        <w:tblW w:w="5000" w:type="pct"/>
        <w:tblLook w:val="04A0"/>
      </w:tblPr>
      <w:tblGrid>
        <w:gridCol w:w="638"/>
        <w:gridCol w:w="839"/>
        <w:gridCol w:w="1080"/>
        <w:gridCol w:w="751"/>
        <w:gridCol w:w="1080"/>
        <w:gridCol w:w="785"/>
        <w:gridCol w:w="1080"/>
        <w:gridCol w:w="831"/>
        <w:gridCol w:w="1082"/>
        <w:gridCol w:w="1410"/>
      </w:tblGrid>
      <w:tr w:rsidR="00D90CB9" w:rsidRPr="00D90CB9" w:rsidTr="00125E71">
        <w:trPr>
          <w:cnfStyle w:val="100000000000"/>
          <w:trHeight w:val="330"/>
        </w:trPr>
        <w:tc>
          <w:tcPr>
            <w:cnfStyle w:val="001000000000"/>
            <w:tcW w:w="333" w:type="pct"/>
            <w:vMerge w:val="restart"/>
            <w:noWrap/>
            <w:vAlign w:val="center"/>
            <w:hideMark/>
          </w:tcPr>
          <w:p w:rsidR="00D90CB9" w:rsidRPr="00D90CB9" w:rsidRDefault="00D90CB9" w:rsidP="00D90CB9">
            <w:pPr>
              <w:jc w:val="both"/>
              <w:rPr>
                <w:rFonts w:ascii="Garamond" w:eastAsia="Times New Roman" w:hAnsi="Garamond" w:cs="Times New Roman"/>
                <w:sz w:val="18"/>
                <w:szCs w:val="18"/>
                <w:lang w:eastAsia="en-GB" w:bidi="ar-SA"/>
              </w:rPr>
            </w:pPr>
            <w:r>
              <w:rPr>
                <w:rFonts w:ascii="Garamond" w:eastAsia="Times New Roman" w:hAnsi="Garamond" w:cs="Times New Roman"/>
                <w:sz w:val="18"/>
                <w:szCs w:val="18"/>
                <w:lang w:eastAsia="en-GB" w:bidi="ar-SA"/>
              </w:rPr>
              <w:t xml:space="preserve">Year </w:t>
            </w:r>
          </w:p>
        </w:tc>
        <w:tc>
          <w:tcPr>
            <w:tcW w:w="438" w:type="pct"/>
            <w:vMerge w:val="restart"/>
            <w:vAlign w:val="center"/>
            <w:hideMark/>
          </w:tcPr>
          <w:p w:rsidR="00D90CB9" w:rsidRPr="00D90CB9" w:rsidRDefault="00D90CB9" w:rsidP="00D90CB9">
            <w:pPr>
              <w:jc w:val="center"/>
              <w:cnfStyle w:val="100000000000"/>
              <w:rPr>
                <w:rFonts w:ascii="Garamond" w:eastAsia="Times New Roman" w:hAnsi="Garamond" w:cs="Calibri"/>
                <w:color w:val="000000"/>
                <w:sz w:val="18"/>
                <w:szCs w:val="18"/>
                <w:lang w:eastAsia="en-GB" w:bidi="ar-SA"/>
              </w:rPr>
            </w:pPr>
            <w:r>
              <w:rPr>
                <w:rFonts w:ascii="Garamond" w:eastAsia="Times New Roman" w:hAnsi="Garamond" w:cs="Calibri"/>
                <w:color w:val="000000"/>
                <w:sz w:val="18"/>
                <w:szCs w:val="18"/>
                <w:lang w:eastAsia="en-GB" w:bidi="ar-SA"/>
              </w:rPr>
              <w:t>GDP</w:t>
            </w:r>
          </w:p>
        </w:tc>
        <w:tc>
          <w:tcPr>
            <w:tcW w:w="956" w:type="pct"/>
            <w:gridSpan w:val="2"/>
            <w:noWrap/>
            <w:vAlign w:val="center"/>
            <w:hideMark/>
          </w:tcPr>
          <w:p w:rsidR="00D90CB9" w:rsidRPr="00D90CB9" w:rsidRDefault="00D90CB9" w:rsidP="00D90CB9">
            <w:pPr>
              <w:jc w:val="center"/>
              <w:cnfStyle w:val="100000000000"/>
              <w:rPr>
                <w:rFonts w:ascii="Garamond" w:eastAsia="Times New Roman" w:hAnsi="Garamond" w:cs="Calibri"/>
                <w:color w:val="000000"/>
                <w:sz w:val="18"/>
                <w:szCs w:val="18"/>
                <w:lang w:eastAsia="en-GB" w:bidi="ar-SA"/>
              </w:rPr>
            </w:pPr>
            <w:r>
              <w:rPr>
                <w:rFonts w:ascii="Garamond" w:eastAsia="Times New Roman" w:hAnsi="Garamond" w:cs="Calibri"/>
                <w:color w:val="000000"/>
                <w:sz w:val="18"/>
                <w:szCs w:val="18"/>
                <w:lang w:eastAsia="en-GB" w:bidi="ar-SA"/>
              </w:rPr>
              <w:t>Domestic debt</w:t>
            </w:r>
          </w:p>
        </w:tc>
        <w:tc>
          <w:tcPr>
            <w:tcW w:w="974" w:type="pct"/>
            <w:gridSpan w:val="2"/>
            <w:noWrap/>
            <w:vAlign w:val="center"/>
            <w:hideMark/>
          </w:tcPr>
          <w:p w:rsidR="00D90CB9" w:rsidRPr="00D90CB9" w:rsidRDefault="00D90CB9" w:rsidP="00D90CB9">
            <w:pPr>
              <w:jc w:val="center"/>
              <w:cnfStyle w:val="100000000000"/>
              <w:rPr>
                <w:rFonts w:ascii="Garamond" w:eastAsia="Times New Roman" w:hAnsi="Garamond" w:cs="Calibri"/>
                <w:color w:val="000000"/>
                <w:sz w:val="18"/>
                <w:szCs w:val="18"/>
                <w:lang w:eastAsia="en-GB" w:bidi="ar-SA"/>
              </w:rPr>
            </w:pPr>
            <w:r>
              <w:rPr>
                <w:rFonts w:ascii="Garamond" w:eastAsia="Times New Roman" w:hAnsi="Garamond" w:cs="Calibri"/>
                <w:color w:val="000000"/>
                <w:sz w:val="18"/>
                <w:szCs w:val="18"/>
                <w:lang w:eastAsia="en-GB" w:bidi="ar-SA"/>
              </w:rPr>
              <w:t>Foreign debt</w:t>
            </w:r>
          </w:p>
        </w:tc>
        <w:tc>
          <w:tcPr>
            <w:tcW w:w="998" w:type="pct"/>
            <w:gridSpan w:val="2"/>
            <w:noWrap/>
            <w:vAlign w:val="center"/>
            <w:hideMark/>
          </w:tcPr>
          <w:p w:rsidR="00D90CB9" w:rsidRPr="00D90CB9" w:rsidRDefault="00D90CB9" w:rsidP="00D90CB9">
            <w:pPr>
              <w:jc w:val="center"/>
              <w:cnfStyle w:val="100000000000"/>
              <w:rPr>
                <w:rFonts w:ascii="Garamond" w:eastAsia="Times New Roman" w:hAnsi="Garamond" w:cs="Calibri"/>
                <w:color w:val="000000"/>
                <w:sz w:val="18"/>
                <w:szCs w:val="18"/>
                <w:lang w:eastAsia="en-GB" w:bidi="ar-SA"/>
              </w:rPr>
            </w:pPr>
            <w:r>
              <w:rPr>
                <w:rFonts w:ascii="Garamond" w:eastAsia="Times New Roman" w:hAnsi="Garamond" w:cs="Calibri"/>
                <w:color w:val="000000"/>
                <w:sz w:val="18"/>
                <w:szCs w:val="18"/>
                <w:lang w:eastAsia="en-GB" w:bidi="ar-SA"/>
              </w:rPr>
              <w:t xml:space="preserve">Government debt </w:t>
            </w:r>
          </w:p>
        </w:tc>
        <w:tc>
          <w:tcPr>
            <w:tcW w:w="1301" w:type="pct"/>
            <w:gridSpan w:val="2"/>
            <w:noWrap/>
            <w:vAlign w:val="center"/>
            <w:hideMark/>
          </w:tcPr>
          <w:p w:rsidR="00D90CB9" w:rsidRPr="00D90CB9" w:rsidRDefault="00D90CB9" w:rsidP="00D90CB9">
            <w:pPr>
              <w:jc w:val="center"/>
              <w:cnfStyle w:val="100000000000"/>
              <w:rPr>
                <w:rFonts w:ascii="Garamond" w:eastAsia="Times New Roman" w:hAnsi="Garamond" w:cs="Calibri"/>
                <w:color w:val="000000"/>
                <w:sz w:val="18"/>
                <w:szCs w:val="18"/>
                <w:lang w:eastAsia="en-GB" w:bidi="ar-SA"/>
              </w:rPr>
            </w:pPr>
            <w:r>
              <w:rPr>
                <w:rFonts w:ascii="Garamond" w:eastAsia="Times New Roman" w:hAnsi="Garamond" w:cs="Calibri"/>
                <w:color w:val="000000"/>
                <w:sz w:val="18"/>
                <w:szCs w:val="18"/>
                <w:lang w:eastAsia="en-GB" w:bidi="ar-SA"/>
              </w:rPr>
              <w:t xml:space="preserve">Public debt </w:t>
            </w:r>
          </w:p>
        </w:tc>
      </w:tr>
      <w:tr w:rsidR="00D90CB9" w:rsidRPr="00D90CB9" w:rsidTr="00125E71">
        <w:trPr>
          <w:cnfStyle w:val="000000100000"/>
          <w:trHeight w:val="330"/>
        </w:trPr>
        <w:tc>
          <w:tcPr>
            <w:cnfStyle w:val="001000000000"/>
            <w:tcW w:w="333" w:type="pct"/>
            <w:vMerge/>
            <w:noWrap/>
            <w:vAlign w:val="center"/>
            <w:hideMark/>
          </w:tcPr>
          <w:p w:rsidR="00D90CB9" w:rsidRPr="00D90CB9" w:rsidRDefault="00D90CB9" w:rsidP="00D90CB9">
            <w:pPr>
              <w:jc w:val="center"/>
              <w:rPr>
                <w:rFonts w:ascii="Garamond" w:eastAsia="Times New Roman" w:hAnsi="Garamond" w:cs="Calibri"/>
                <w:color w:val="000000"/>
                <w:sz w:val="18"/>
                <w:szCs w:val="18"/>
                <w:lang w:eastAsia="en-GB" w:bidi="ar-SA"/>
              </w:rPr>
            </w:pPr>
          </w:p>
        </w:tc>
        <w:tc>
          <w:tcPr>
            <w:tcW w:w="438" w:type="pct"/>
            <w:vMerge/>
            <w:vAlign w:val="center"/>
            <w:hideMark/>
          </w:tcPr>
          <w:p w:rsidR="00D90CB9" w:rsidRPr="00D90CB9" w:rsidRDefault="00D90CB9" w:rsidP="00D90CB9">
            <w:pPr>
              <w:jc w:val="both"/>
              <w:cnfStyle w:val="000000100000"/>
              <w:rPr>
                <w:rFonts w:ascii="Garamond" w:eastAsia="Times New Roman" w:hAnsi="Garamond" w:cs="Calibri"/>
                <w:b/>
                <w:bCs/>
                <w:color w:val="000000"/>
                <w:sz w:val="18"/>
                <w:szCs w:val="18"/>
                <w:lang w:eastAsia="en-GB" w:bidi="ar-SA"/>
              </w:rPr>
            </w:pP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b/>
                <w:bCs/>
                <w:color w:val="000000"/>
                <w:sz w:val="18"/>
                <w:szCs w:val="18"/>
                <w:lang w:eastAsia="en-GB" w:bidi="ar-SA"/>
              </w:rPr>
            </w:pPr>
            <w:r>
              <w:rPr>
                <w:rFonts w:ascii="Garamond" w:eastAsia="Times New Roman" w:hAnsi="Garamond" w:cs="Calibri"/>
                <w:b/>
                <w:bCs/>
                <w:color w:val="000000"/>
                <w:sz w:val="18"/>
                <w:szCs w:val="18"/>
                <w:lang w:eastAsia="en-GB" w:bidi="ar-SA"/>
              </w:rPr>
              <w:t>In € mill.</w:t>
            </w:r>
          </w:p>
        </w:tc>
        <w:tc>
          <w:tcPr>
            <w:tcW w:w="392" w:type="pct"/>
            <w:noWrap/>
            <w:vAlign w:val="center"/>
            <w:hideMark/>
          </w:tcPr>
          <w:p w:rsidR="00D90CB9" w:rsidRPr="00D90CB9" w:rsidRDefault="00D90CB9" w:rsidP="00D90CB9">
            <w:pPr>
              <w:jc w:val="center"/>
              <w:cnfStyle w:val="000000100000"/>
              <w:rPr>
                <w:rFonts w:ascii="Garamond" w:eastAsia="Times New Roman" w:hAnsi="Garamond" w:cs="Calibri"/>
                <w:b/>
                <w:bCs/>
                <w:color w:val="000000"/>
                <w:sz w:val="18"/>
                <w:szCs w:val="18"/>
                <w:lang w:eastAsia="en-GB" w:bidi="ar-SA"/>
              </w:rPr>
            </w:pPr>
            <w:r w:rsidRPr="00D90CB9">
              <w:rPr>
                <w:rFonts w:ascii="Garamond" w:eastAsia="Times New Roman" w:hAnsi="Garamond" w:cs="Calibri"/>
                <w:b/>
                <w:bCs/>
                <w:color w:val="000000"/>
                <w:sz w:val="18"/>
                <w:szCs w:val="18"/>
                <w:lang w:eastAsia="en-GB" w:bidi="ar-SA"/>
              </w:rPr>
              <w:t>%</w:t>
            </w:r>
            <w:r>
              <w:rPr>
                <w:rFonts w:ascii="Garamond" w:eastAsia="Times New Roman" w:hAnsi="Garamond" w:cs="Calibri"/>
                <w:b/>
                <w:bCs/>
                <w:color w:val="000000"/>
                <w:sz w:val="18"/>
                <w:szCs w:val="18"/>
                <w:lang w:eastAsia="en-GB" w:bidi="ar-SA"/>
              </w:rPr>
              <w:t>GDP</w:t>
            </w: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b/>
                <w:bCs/>
                <w:color w:val="000000"/>
                <w:sz w:val="18"/>
                <w:szCs w:val="18"/>
                <w:lang w:eastAsia="en-GB" w:bidi="ar-SA"/>
              </w:rPr>
            </w:pPr>
            <w:r>
              <w:rPr>
                <w:rFonts w:ascii="Garamond" w:eastAsia="Times New Roman" w:hAnsi="Garamond" w:cs="Calibri"/>
                <w:b/>
                <w:bCs/>
                <w:color w:val="000000"/>
                <w:sz w:val="18"/>
                <w:szCs w:val="18"/>
                <w:lang w:eastAsia="en-GB" w:bidi="ar-SA"/>
              </w:rPr>
              <w:t>In € mill.</w:t>
            </w:r>
          </w:p>
        </w:tc>
        <w:tc>
          <w:tcPr>
            <w:tcW w:w="410" w:type="pct"/>
            <w:noWrap/>
            <w:vAlign w:val="center"/>
            <w:hideMark/>
          </w:tcPr>
          <w:p w:rsidR="00D90CB9" w:rsidRPr="00D90CB9" w:rsidRDefault="00D90CB9" w:rsidP="00D90CB9">
            <w:pPr>
              <w:jc w:val="center"/>
              <w:cnfStyle w:val="000000100000"/>
              <w:rPr>
                <w:rFonts w:ascii="Garamond" w:eastAsia="Times New Roman" w:hAnsi="Garamond" w:cs="Calibri"/>
                <w:b/>
                <w:bCs/>
                <w:color w:val="000000"/>
                <w:sz w:val="18"/>
                <w:szCs w:val="18"/>
                <w:lang w:eastAsia="en-GB" w:bidi="ar-SA"/>
              </w:rPr>
            </w:pPr>
            <w:r w:rsidRPr="00D90CB9">
              <w:rPr>
                <w:rFonts w:ascii="Garamond" w:eastAsia="Times New Roman" w:hAnsi="Garamond" w:cs="Calibri"/>
                <w:b/>
                <w:bCs/>
                <w:color w:val="000000"/>
                <w:sz w:val="18"/>
                <w:szCs w:val="18"/>
                <w:lang w:eastAsia="en-GB" w:bidi="ar-SA"/>
              </w:rPr>
              <w:t>%</w:t>
            </w:r>
            <w:r>
              <w:rPr>
                <w:rFonts w:ascii="Garamond" w:eastAsia="Times New Roman" w:hAnsi="Garamond" w:cs="Calibri"/>
                <w:b/>
                <w:bCs/>
                <w:color w:val="000000"/>
                <w:sz w:val="18"/>
                <w:szCs w:val="18"/>
                <w:lang w:eastAsia="en-GB" w:bidi="ar-SA"/>
              </w:rPr>
              <w:t>GDP</w:t>
            </w: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b/>
                <w:bCs/>
                <w:color w:val="000000"/>
                <w:sz w:val="18"/>
                <w:szCs w:val="18"/>
                <w:lang w:eastAsia="en-GB" w:bidi="ar-SA"/>
              </w:rPr>
            </w:pPr>
            <w:r>
              <w:rPr>
                <w:rFonts w:ascii="Garamond" w:eastAsia="Times New Roman" w:hAnsi="Garamond" w:cs="Calibri"/>
                <w:b/>
                <w:bCs/>
                <w:color w:val="000000"/>
                <w:sz w:val="18"/>
                <w:szCs w:val="18"/>
                <w:lang w:eastAsia="en-GB" w:bidi="ar-SA"/>
              </w:rPr>
              <w:t>In € mill.</w:t>
            </w:r>
          </w:p>
        </w:tc>
        <w:tc>
          <w:tcPr>
            <w:tcW w:w="434" w:type="pct"/>
            <w:noWrap/>
            <w:vAlign w:val="center"/>
            <w:hideMark/>
          </w:tcPr>
          <w:p w:rsidR="00D90CB9" w:rsidRPr="00D90CB9" w:rsidRDefault="00D90CB9" w:rsidP="00D90CB9">
            <w:pPr>
              <w:jc w:val="center"/>
              <w:cnfStyle w:val="000000100000"/>
              <w:rPr>
                <w:rFonts w:ascii="Garamond" w:eastAsia="Times New Roman" w:hAnsi="Garamond" w:cs="Calibri"/>
                <w:b/>
                <w:bCs/>
                <w:color w:val="000000"/>
                <w:sz w:val="18"/>
                <w:szCs w:val="18"/>
                <w:lang w:eastAsia="en-GB" w:bidi="ar-SA"/>
              </w:rPr>
            </w:pPr>
            <w:r w:rsidRPr="00D90CB9">
              <w:rPr>
                <w:rFonts w:ascii="Garamond" w:eastAsia="Times New Roman" w:hAnsi="Garamond" w:cs="Calibri"/>
                <w:b/>
                <w:bCs/>
                <w:color w:val="000000"/>
                <w:sz w:val="18"/>
                <w:szCs w:val="18"/>
                <w:lang w:eastAsia="en-GB" w:bidi="ar-SA"/>
              </w:rPr>
              <w:t>%</w:t>
            </w:r>
            <w:r>
              <w:rPr>
                <w:rFonts w:ascii="Garamond" w:eastAsia="Times New Roman" w:hAnsi="Garamond" w:cs="Calibri"/>
                <w:b/>
                <w:bCs/>
                <w:color w:val="000000"/>
                <w:sz w:val="18"/>
                <w:szCs w:val="18"/>
                <w:lang w:eastAsia="en-GB" w:bidi="ar-SA"/>
              </w:rPr>
              <w:t>GDP</w:t>
            </w:r>
          </w:p>
        </w:tc>
        <w:tc>
          <w:tcPr>
            <w:tcW w:w="565" w:type="pct"/>
            <w:noWrap/>
            <w:vAlign w:val="center"/>
            <w:hideMark/>
          </w:tcPr>
          <w:p w:rsidR="00D90CB9" w:rsidRPr="00D90CB9" w:rsidRDefault="00D90CB9" w:rsidP="00D90CB9">
            <w:pPr>
              <w:jc w:val="center"/>
              <w:cnfStyle w:val="000000100000"/>
              <w:rPr>
                <w:rFonts w:ascii="Garamond" w:eastAsia="Times New Roman" w:hAnsi="Garamond" w:cs="Calibri"/>
                <w:b/>
                <w:bCs/>
                <w:color w:val="000000"/>
                <w:sz w:val="18"/>
                <w:szCs w:val="18"/>
                <w:lang w:eastAsia="en-GB" w:bidi="ar-SA"/>
              </w:rPr>
            </w:pPr>
            <w:r>
              <w:rPr>
                <w:rFonts w:ascii="Garamond" w:eastAsia="Times New Roman" w:hAnsi="Garamond" w:cs="Calibri"/>
                <w:b/>
                <w:bCs/>
                <w:color w:val="000000"/>
                <w:sz w:val="18"/>
                <w:szCs w:val="18"/>
                <w:lang w:eastAsia="en-GB" w:bidi="ar-SA"/>
              </w:rPr>
              <w:t>In € mill.</w:t>
            </w:r>
          </w:p>
        </w:tc>
        <w:tc>
          <w:tcPr>
            <w:tcW w:w="736" w:type="pct"/>
            <w:noWrap/>
            <w:vAlign w:val="center"/>
            <w:hideMark/>
          </w:tcPr>
          <w:p w:rsidR="00D90CB9" w:rsidRPr="00D90CB9" w:rsidRDefault="00D90CB9" w:rsidP="00D90CB9">
            <w:pPr>
              <w:jc w:val="center"/>
              <w:cnfStyle w:val="000000100000"/>
              <w:rPr>
                <w:rFonts w:ascii="Garamond" w:eastAsia="Times New Roman" w:hAnsi="Garamond" w:cs="Calibri"/>
                <w:b/>
                <w:bCs/>
                <w:color w:val="000000"/>
                <w:sz w:val="18"/>
                <w:szCs w:val="18"/>
                <w:lang w:eastAsia="en-GB" w:bidi="ar-SA"/>
              </w:rPr>
            </w:pPr>
            <w:r w:rsidRPr="00D90CB9">
              <w:rPr>
                <w:rFonts w:ascii="Garamond" w:eastAsia="Times New Roman" w:hAnsi="Garamond" w:cs="Calibri"/>
                <w:b/>
                <w:bCs/>
                <w:color w:val="000000"/>
                <w:sz w:val="18"/>
                <w:szCs w:val="18"/>
                <w:lang w:eastAsia="en-GB" w:bidi="ar-SA"/>
              </w:rPr>
              <w:t>%</w:t>
            </w:r>
            <w:r>
              <w:rPr>
                <w:rFonts w:ascii="Garamond" w:eastAsia="Times New Roman" w:hAnsi="Garamond" w:cs="Calibri"/>
                <w:b/>
                <w:bCs/>
                <w:color w:val="000000"/>
                <w:sz w:val="18"/>
                <w:szCs w:val="18"/>
                <w:lang w:eastAsia="en-GB" w:bidi="ar-SA"/>
              </w:rPr>
              <w:t>GDP</w:t>
            </w:r>
          </w:p>
        </w:tc>
      </w:tr>
      <w:tr w:rsidR="00D90CB9" w:rsidRPr="00D90CB9" w:rsidTr="00125E71">
        <w:trPr>
          <w:trHeight w:val="495"/>
        </w:trPr>
        <w:tc>
          <w:tcPr>
            <w:cnfStyle w:val="001000000000"/>
            <w:tcW w:w="333" w:type="pct"/>
            <w:noWrap/>
            <w:vAlign w:val="center"/>
            <w:hideMark/>
          </w:tcPr>
          <w:p w:rsidR="00D90CB9" w:rsidRPr="00D90CB9" w:rsidRDefault="00D90CB9" w:rsidP="00D90CB9">
            <w:pPr>
              <w:jc w:val="center"/>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2016</w:t>
            </w:r>
          </w:p>
        </w:tc>
        <w:tc>
          <w:tcPr>
            <w:tcW w:w="438"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3,954.0</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400.2</w:t>
            </w:r>
          </w:p>
        </w:tc>
        <w:tc>
          <w:tcPr>
            <w:tcW w:w="392"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10.1%</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2,002.8</w:t>
            </w:r>
          </w:p>
        </w:tc>
        <w:tc>
          <w:tcPr>
            <w:tcW w:w="410"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50.7%</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2,403.0</w:t>
            </w:r>
          </w:p>
        </w:tc>
        <w:tc>
          <w:tcPr>
            <w:tcW w:w="43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60.8%</w:t>
            </w:r>
          </w:p>
        </w:tc>
        <w:tc>
          <w:tcPr>
            <w:tcW w:w="565"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2,546.1</w:t>
            </w:r>
          </w:p>
        </w:tc>
        <w:tc>
          <w:tcPr>
            <w:tcW w:w="736"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64.4%</w:t>
            </w:r>
          </w:p>
        </w:tc>
      </w:tr>
      <w:tr w:rsidR="00D90CB9" w:rsidRPr="00D90CB9" w:rsidTr="00125E71">
        <w:trPr>
          <w:cnfStyle w:val="000000100000"/>
          <w:trHeight w:val="450"/>
        </w:trPr>
        <w:tc>
          <w:tcPr>
            <w:cnfStyle w:val="001000000000"/>
            <w:tcW w:w="333" w:type="pct"/>
            <w:noWrap/>
            <w:vAlign w:val="center"/>
            <w:hideMark/>
          </w:tcPr>
          <w:p w:rsidR="00D90CB9" w:rsidRPr="00D90CB9" w:rsidRDefault="00D90CB9" w:rsidP="00D90CB9">
            <w:pPr>
              <w:jc w:val="center"/>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2017</w:t>
            </w:r>
          </w:p>
        </w:tc>
        <w:tc>
          <w:tcPr>
            <w:tcW w:w="438"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4,299.0</w:t>
            </w: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413.9</w:t>
            </w:r>
          </w:p>
        </w:tc>
        <w:tc>
          <w:tcPr>
            <w:tcW w:w="392"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9.6%</w:t>
            </w: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2,214.0</w:t>
            </w:r>
          </w:p>
        </w:tc>
        <w:tc>
          <w:tcPr>
            <w:tcW w:w="410"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51.5%</w:t>
            </w: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2,627.9</w:t>
            </w:r>
          </w:p>
        </w:tc>
        <w:tc>
          <w:tcPr>
            <w:tcW w:w="434"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61.1%</w:t>
            </w:r>
          </w:p>
        </w:tc>
        <w:tc>
          <w:tcPr>
            <w:tcW w:w="565"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2,758.8</w:t>
            </w:r>
          </w:p>
        </w:tc>
        <w:tc>
          <w:tcPr>
            <w:tcW w:w="736"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64.2%</w:t>
            </w:r>
          </w:p>
        </w:tc>
      </w:tr>
      <w:tr w:rsidR="00D90CB9" w:rsidRPr="00D90CB9" w:rsidTr="00125E71">
        <w:trPr>
          <w:trHeight w:val="450"/>
        </w:trPr>
        <w:tc>
          <w:tcPr>
            <w:cnfStyle w:val="001000000000"/>
            <w:tcW w:w="333" w:type="pct"/>
            <w:noWrap/>
            <w:vAlign w:val="center"/>
            <w:hideMark/>
          </w:tcPr>
          <w:p w:rsidR="00D90CB9" w:rsidRPr="00D90CB9" w:rsidRDefault="00D90CB9" w:rsidP="00D90CB9">
            <w:pPr>
              <w:jc w:val="center"/>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2018</w:t>
            </w:r>
          </w:p>
        </w:tc>
        <w:tc>
          <w:tcPr>
            <w:tcW w:w="438"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4,663.0</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392.98</w:t>
            </w:r>
          </w:p>
        </w:tc>
        <w:tc>
          <w:tcPr>
            <w:tcW w:w="392"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8.4%</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2,760.0</w:t>
            </w:r>
          </w:p>
        </w:tc>
        <w:tc>
          <w:tcPr>
            <w:tcW w:w="410"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59.2%</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3,153.0</w:t>
            </w:r>
          </w:p>
        </w:tc>
        <w:tc>
          <w:tcPr>
            <w:tcW w:w="43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67.6%</w:t>
            </w:r>
          </w:p>
        </w:tc>
        <w:tc>
          <w:tcPr>
            <w:tcW w:w="565"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3,268.2</w:t>
            </w:r>
          </w:p>
        </w:tc>
        <w:tc>
          <w:tcPr>
            <w:tcW w:w="736"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70.1%</w:t>
            </w:r>
          </w:p>
        </w:tc>
      </w:tr>
      <w:tr w:rsidR="00D90CB9" w:rsidRPr="00D90CB9" w:rsidTr="00125E71">
        <w:trPr>
          <w:cnfStyle w:val="000000100000"/>
          <w:trHeight w:val="450"/>
        </w:trPr>
        <w:tc>
          <w:tcPr>
            <w:cnfStyle w:val="001000000000"/>
            <w:tcW w:w="333" w:type="pct"/>
            <w:noWrap/>
            <w:vAlign w:val="center"/>
            <w:hideMark/>
          </w:tcPr>
          <w:p w:rsidR="00D90CB9" w:rsidRPr="00D90CB9" w:rsidRDefault="00D90CB9" w:rsidP="00D90CB9">
            <w:pPr>
              <w:jc w:val="center"/>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2019</w:t>
            </w:r>
          </w:p>
        </w:tc>
        <w:tc>
          <w:tcPr>
            <w:tcW w:w="438"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4,951.0</w:t>
            </w: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579.96</w:t>
            </w:r>
          </w:p>
        </w:tc>
        <w:tc>
          <w:tcPr>
            <w:tcW w:w="392"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11.7%</w:t>
            </w: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3,128.7</w:t>
            </w:r>
          </w:p>
        </w:tc>
        <w:tc>
          <w:tcPr>
            <w:tcW w:w="410"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63.2%</w:t>
            </w:r>
          </w:p>
        </w:tc>
        <w:tc>
          <w:tcPr>
            <w:tcW w:w="564"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3,708.7</w:t>
            </w:r>
          </w:p>
        </w:tc>
        <w:tc>
          <w:tcPr>
            <w:tcW w:w="434"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74.9%</w:t>
            </w:r>
          </w:p>
        </w:tc>
        <w:tc>
          <w:tcPr>
            <w:tcW w:w="565"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3,789.3</w:t>
            </w:r>
          </w:p>
        </w:tc>
        <w:tc>
          <w:tcPr>
            <w:tcW w:w="736" w:type="pct"/>
            <w:noWrap/>
            <w:vAlign w:val="center"/>
            <w:hideMark/>
          </w:tcPr>
          <w:p w:rsidR="00D90CB9" w:rsidRPr="00D90CB9" w:rsidRDefault="00D90CB9" w:rsidP="00D90CB9">
            <w:pPr>
              <w:jc w:val="center"/>
              <w:cnfStyle w:val="0000001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76.5%</w:t>
            </w:r>
          </w:p>
        </w:tc>
      </w:tr>
      <w:tr w:rsidR="00D90CB9" w:rsidRPr="00D90CB9" w:rsidTr="00125E71">
        <w:trPr>
          <w:trHeight w:val="480"/>
        </w:trPr>
        <w:tc>
          <w:tcPr>
            <w:cnfStyle w:val="001000000000"/>
            <w:tcW w:w="333" w:type="pct"/>
            <w:noWrap/>
            <w:vAlign w:val="center"/>
            <w:hideMark/>
          </w:tcPr>
          <w:p w:rsidR="00D90CB9" w:rsidRPr="00D90CB9" w:rsidRDefault="00D90CB9" w:rsidP="00D90CB9">
            <w:pPr>
              <w:jc w:val="center"/>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2020</w:t>
            </w:r>
          </w:p>
        </w:tc>
        <w:tc>
          <w:tcPr>
            <w:tcW w:w="438"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4,193.2</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495.56</w:t>
            </w:r>
          </w:p>
        </w:tc>
        <w:tc>
          <w:tcPr>
            <w:tcW w:w="392"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11.8%</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3,835.3</w:t>
            </w:r>
          </w:p>
        </w:tc>
        <w:tc>
          <w:tcPr>
            <w:tcW w:w="410"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91.5%</w:t>
            </w:r>
          </w:p>
        </w:tc>
        <w:tc>
          <w:tcPr>
            <w:tcW w:w="56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4,330.8</w:t>
            </w:r>
          </w:p>
        </w:tc>
        <w:tc>
          <w:tcPr>
            <w:tcW w:w="434"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103.3%</w:t>
            </w:r>
          </w:p>
        </w:tc>
        <w:tc>
          <w:tcPr>
            <w:tcW w:w="565"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4,409.0</w:t>
            </w:r>
          </w:p>
        </w:tc>
        <w:tc>
          <w:tcPr>
            <w:tcW w:w="736" w:type="pct"/>
            <w:noWrap/>
            <w:vAlign w:val="center"/>
            <w:hideMark/>
          </w:tcPr>
          <w:p w:rsidR="00D90CB9" w:rsidRPr="00D90CB9" w:rsidRDefault="00D90CB9" w:rsidP="00D90CB9">
            <w:pPr>
              <w:jc w:val="center"/>
              <w:cnfStyle w:val="000000000000"/>
              <w:rPr>
                <w:rFonts w:ascii="Garamond" w:eastAsia="Times New Roman" w:hAnsi="Garamond" w:cs="Calibri"/>
                <w:color w:val="000000"/>
                <w:sz w:val="18"/>
                <w:szCs w:val="18"/>
                <w:lang w:eastAsia="en-GB" w:bidi="ar-SA"/>
              </w:rPr>
            </w:pPr>
            <w:r w:rsidRPr="00D90CB9">
              <w:rPr>
                <w:rFonts w:ascii="Garamond" w:eastAsia="Times New Roman" w:hAnsi="Garamond" w:cs="Calibri"/>
                <w:color w:val="000000"/>
                <w:sz w:val="18"/>
                <w:szCs w:val="18"/>
                <w:lang w:eastAsia="en-GB" w:bidi="ar-SA"/>
              </w:rPr>
              <w:t>105.15%</w:t>
            </w:r>
          </w:p>
        </w:tc>
      </w:tr>
    </w:tbl>
    <w:p w:rsidR="004D1343" w:rsidRPr="00C32887" w:rsidRDefault="004D1343" w:rsidP="00D90CB9">
      <w:pPr>
        <w:jc w:val="both"/>
        <w:rPr>
          <w:rFonts w:ascii="Garamond" w:hAnsi="Garamond"/>
          <w:sz w:val="24"/>
          <w:szCs w:val="24"/>
        </w:rPr>
      </w:pPr>
      <w:r w:rsidRPr="00C32887">
        <w:rPr>
          <w:rFonts w:ascii="Garamond" w:hAnsi="Garamond"/>
          <w:sz w:val="24"/>
          <w:szCs w:val="24"/>
        </w:rPr>
        <w:t>In addition, the</w:t>
      </w:r>
      <w:r w:rsidR="009328BD">
        <w:rPr>
          <w:rFonts w:ascii="Garamond" w:hAnsi="Garamond"/>
          <w:sz w:val="24"/>
          <w:szCs w:val="24"/>
        </w:rPr>
        <w:t xml:space="preserve">re was </w:t>
      </w:r>
      <w:r w:rsidR="00D90CB9">
        <w:rPr>
          <w:rFonts w:ascii="Garamond" w:hAnsi="Garamond"/>
          <w:sz w:val="24"/>
          <w:szCs w:val="24"/>
        </w:rPr>
        <w:t>continuous work</w:t>
      </w:r>
      <w:r w:rsidRPr="00C32887">
        <w:rPr>
          <w:rFonts w:ascii="Garamond" w:hAnsi="Garamond"/>
          <w:sz w:val="24"/>
          <w:szCs w:val="24"/>
        </w:rPr>
        <w:t xml:space="preserve"> on improving </w:t>
      </w:r>
      <w:r w:rsidR="00D90CB9">
        <w:rPr>
          <w:rFonts w:ascii="Garamond" w:hAnsi="Garamond"/>
          <w:sz w:val="24"/>
          <w:szCs w:val="24"/>
        </w:rPr>
        <w:t>the</w:t>
      </w:r>
      <w:r w:rsidRPr="00C32887">
        <w:rPr>
          <w:rFonts w:ascii="Garamond" w:hAnsi="Garamond"/>
          <w:sz w:val="24"/>
          <w:szCs w:val="24"/>
        </w:rPr>
        <w:t xml:space="preserve"> efficiency in public debt management by unifying the records of public debt through a single database implementation o</w:t>
      </w:r>
      <w:r w:rsidR="009328BD">
        <w:rPr>
          <w:rFonts w:ascii="Garamond" w:hAnsi="Garamond"/>
          <w:sz w:val="24"/>
          <w:szCs w:val="24"/>
        </w:rPr>
        <w:t>f the new SAP software solution</w:t>
      </w:r>
      <w:r w:rsidRPr="00C32887">
        <w:rPr>
          <w:rFonts w:ascii="Garamond" w:hAnsi="Garamond"/>
          <w:sz w:val="24"/>
          <w:szCs w:val="24"/>
        </w:rPr>
        <w:t xml:space="preserve"> for public debt management. However, existing SAP module does not meet all the needs </w:t>
      </w:r>
      <w:r w:rsidR="00AC5567">
        <w:rPr>
          <w:rFonts w:ascii="Garamond" w:hAnsi="Garamond"/>
          <w:sz w:val="24"/>
          <w:szCs w:val="24"/>
        </w:rPr>
        <w:t>of</w:t>
      </w:r>
      <w:r w:rsidRPr="00C32887">
        <w:rPr>
          <w:rFonts w:ascii="Garamond" w:hAnsi="Garamond"/>
          <w:sz w:val="24"/>
          <w:szCs w:val="24"/>
        </w:rPr>
        <w:t xml:space="preserve"> debt</w:t>
      </w:r>
      <w:r w:rsidR="00AC5567">
        <w:rPr>
          <w:rFonts w:ascii="Garamond" w:hAnsi="Garamond"/>
          <w:sz w:val="24"/>
          <w:szCs w:val="24"/>
        </w:rPr>
        <w:t xml:space="preserve"> management</w:t>
      </w:r>
      <w:r w:rsidRPr="00C32887">
        <w:rPr>
          <w:rFonts w:ascii="Garamond" w:hAnsi="Garamond"/>
          <w:sz w:val="24"/>
          <w:szCs w:val="24"/>
        </w:rPr>
        <w:t xml:space="preserve">, especially from the point of reporting, </w:t>
      </w:r>
      <w:r w:rsidR="00AC5567">
        <w:rPr>
          <w:rFonts w:ascii="Garamond" w:hAnsi="Garamond"/>
          <w:sz w:val="24"/>
          <w:szCs w:val="24"/>
        </w:rPr>
        <w:t>so</w:t>
      </w:r>
      <w:r w:rsidRPr="00C32887">
        <w:rPr>
          <w:rFonts w:ascii="Garamond" w:hAnsi="Garamond"/>
          <w:sz w:val="24"/>
          <w:szCs w:val="24"/>
        </w:rPr>
        <w:t xml:space="preserve"> the Directorate </w:t>
      </w:r>
      <w:r w:rsidR="00AC5567">
        <w:rPr>
          <w:rFonts w:ascii="Garamond" w:hAnsi="Garamond"/>
          <w:sz w:val="24"/>
          <w:szCs w:val="24"/>
        </w:rPr>
        <w:t>of State Treasury</w:t>
      </w:r>
      <w:r w:rsidRPr="00C32887">
        <w:rPr>
          <w:rFonts w:ascii="Garamond" w:hAnsi="Garamond"/>
          <w:sz w:val="24"/>
          <w:szCs w:val="24"/>
        </w:rPr>
        <w:t xml:space="preserve"> initiated the development of so</w:t>
      </w:r>
      <w:r w:rsidR="00AC5567">
        <w:rPr>
          <w:rFonts w:ascii="Garamond" w:hAnsi="Garamond"/>
          <w:sz w:val="24"/>
          <w:szCs w:val="24"/>
        </w:rPr>
        <w:t xml:space="preserve">ftware through the IPA project </w:t>
      </w:r>
      <w:r w:rsidR="00C13A74">
        <w:rPr>
          <w:rFonts w:ascii="Garamond" w:hAnsi="Garamond"/>
          <w:sz w:val="24"/>
          <w:szCs w:val="24"/>
        </w:rPr>
        <w:t>‘</w:t>
      </w:r>
      <w:r w:rsidRPr="00C32887">
        <w:rPr>
          <w:rFonts w:ascii="Garamond" w:hAnsi="Garamond"/>
          <w:sz w:val="24"/>
          <w:szCs w:val="24"/>
        </w:rPr>
        <w:t xml:space="preserve">Improvement of the </w:t>
      </w:r>
      <w:r w:rsidR="00463F4C" w:rsidRPr="00C32887">
        <w:rPr>
          <w:rFonts w:ascii="Garamond" w:hAnsi="Garamond"/>
          <w:sz w:val="24"/>
          <w:szCs w:val="24"/>
        </w:rPr>
        <w:t xml:space="preserve">budgeting </w:t>
      </w:r>
      <w:r w:rsidRPr="00C32887">
        <w:rPr>
          <w:rFonts w:ascii="Garamond" w:hAnsi="Garamond"/>
          <w:sz w:val="24"/>
          <w:szCs w:val="24"/>
        </w:rPr>
        <w:t>system, multi-</w:t>
      </w:r>
      <w:r w:rsidR="00463F4C">
        <w:rPr>
          <w:rFonts w:ascii="Garamond" w:hAnsi="Garamond"/>
          <w:sz w:val="24"/>
          <w:szCs w:val="24"/>
        </w:rPr>
        <w:t xml:space="preserve">annual budget </w:t>
      </w:r>
      <w:r w:rsidRPr="00C32887">
        <w:rPr>
          <w:rFonts w:ascii="Garamond" w:hAnsi="Garamond"/>
          <w:sz w:val="24"/>
          <w:szCs w:val="24"/>
        </w:rPr>
        <w:t xml:space="preserve">framework, and </w:t>
      </w:r>
      <w:r w:rsidR="00463F4C">
        <w:rPr>
          <w:rFonts w:ascii="Garamond" w:hAnsi="Garamond"/>
          <w:sz w:val="24"/>
          <w:szCs w:val="24"/>
        </w:rPr>
        <w:t>public</w:t>
      </w:r>
      <w:r w:rsidR="00AC5567">
        <w:rPr>
          <w:rFonts w:ascii="Garamond" w:hAnsi="Garamond"/>
          <w:sz w:val="24"/>
          <w:szCs w:val="24"/>
        </w:rPr>
        <w:t xml:space="preserve"> internal financial control</w:t>
      </w:r>
      <w:r w:rsidR="00463F4C">
        <w:rPr>
          <w:rFonts w:ascii="Garamond" w:hAnsi="Garamond"/>
          <w:sz w:val="24"/>
          <w:szCs w:val="24"/>
        </w:rPr>
        <w:t xml:space="preserve"> system</w:t>
      </w:r>
      <w:r w:rsidR="00AC5567">
        <w:rPr>
          <w:rFonts w:ascii="Garamond" w:hAnsi="Garamond"/>
          <w:sz w:val="24"/>
          <w:szCs w:val="24"/>
        </w:rPr>
        <w:t>.</w:t>
      </w:r>
      <w:r w:rsidR="00C13A74">
        <w:rPr>
          <w:rFonts w:ascii="Garamond" w:hAnsi="Garamond"/>
          <w:sz w:val="24"/>
          <w:szCs w:val="24"/>
        </w:rPr>
        <w:t>’</w:t>
      </w:r>
      <w:r w:rsidRPr="00C32887">
        <w:rPr>
          <w:rFonts w:ascii="Garamond" w:hAnsi="Garamond"/>
          <w:sz w:val="24"/>
          <w:szCs w:val="24"/>
        </w:rPr>
        <w:t xml:space="preserve"> Development of the new software is expecte</w:t>
      </w:r>
      <w:r w:rsidR="00AC5567">
        <w:rPr>
          <w:rFonts w:ascii="Garamond" w:hAnsi="Garamond"/>
          <w:sz w:val="24"/>
          <w:szCs w:val="24"/>
        </w:rPr>
        <w:t>d to begin in the coming period</w:t>
      </w:r>
      <w:r w:rsidRPr="00C32887">
        <w:rPr>
          <w:rFonts w:ascii="Garamond" w:hAnsi="Garamond"/>
          <w:sz w:val="24"/>
          <w:szCs w:val="24"/>
        </w:rPr>
        <w:t>.</w:t>
      </w:r>
    </w:p>
    <w:tbl>
      <w:tblPr>
        <w:tblpPr w:leftFromText="180" w:rightFromText="180" w:vertAnchor="text" w:horzAnchor="margin" w:tblpX="-72" w:tblpY="191"/>
        <w:tblW w:w="5038"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1391"/>
        <w:gridCol w:w="773"/>
        <w:gridCol w:w="670"/>
        <w:gridCol w:w="1132"/>
        <w:gridCol w:w="670"/>
        <w:gridCol w:w="1132"/>
        <w:gridCol w:w="670"/>
        <w:gridCol w:w="1132"/>
        <w:gridCol w:w="670"/>
        <w:gridCol w:w="1132"/>
        <w:gridCol w:w="666"/>
      </w:tblGrid>
      <w:tr w:rsidR="00AC5567" w:rsidRPr="00AC5567" w:rsidTr="00125E71">
        <w:trPr>
          <w:trHeight w:val="255"/>
        </w:trPr>
        <w:tc>
          <w:tcPr>
            <w:tcW w:w="721" w:type="pct"/>
            <w:vMerge w:val="restart"/>
            <w:tcBorders>
              <w:top w:val="single" w:sz="18" w:space="0" w:color="auto"/>
              <w:bottom w:val="single" w:sz="12" w:space="0" w:color="auto"/>
              <w:right w:val="single" w:sz="12" w:space="0" w:color="auto"/>
            </w:tcBorders>
            <w:shd w:val="clear" w:color="auto" w:fill="auto"/>
            <w:vAlign w:val="center"/>
            <w:hideMark/>
          </w:tcPr>
          <w:p w:rsidR="00AC5567" w:rsidRPr="00AC5567" w:rsidRDefault="00481CF4" w:rsidP="00125E71">
            <w:pPr>
              <w:widowControl/>
              <w:autoSpaceDE/>
              <w:autoSpaceDN/>
              <w:ind w:right="309"/>
              <w:jc w:val="both"/>
              <w:rPr>
                <w:rFonts w:ascii="Garamond" w:eastAsia="Times New Roman" w:hAnsi="Garamond" w:cs="Calibri Light"/>
                <w:b/>
                <w:bCs/>
                <w:sz w:val="16"/>
                <w:szCs w:val="16"/>
                <w:lang w:eastAsia="en-US" w:bidi="ar-SA"/>
              </w:rPr>
            </w:pPr>
            <w:r>
              <w:rPr>
                <w:rFonts w:ascii="Garamond" w:eastAsia="Times New Roman" w:hAnsi="Garamond" w:cs="Calibri Light"/>
                <w:b/>
                <w:bCs/>
                <w:sz w:val="16"/>
                <w:szCs w:val="16"/>
                <w:lang w:eastAsia="en-US" w:bidi="ar-SA"/>
              </w:rPr>
              <w:t xml:space="preserve">Performance Indicator </w:t>
            </w:r>
          </w:p>
        </w:tc>
        <w:tc>
          <w:tcPr>
            <w:tcW w:w="382" w:type="pct"/>
            <w:vMerge w:val="restart"/>
            <w:tcBorders>
              <w:top w:val="single" w:sz="18" w:space="0" w:color="auto"/>
              <w:left w:val="single" w:sz="12" w:space="0" w:color="auto"/>
              <w:bottom w:val="single" w:sz="12" w:space="0" w:color="auto"/>
              <w:right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Planned 2014</w:t>
            </w:r>
          </w:p>
        </w:tc>
        <w:tc>
          <w:tcPr>
            <w:tcW w:w="891" w:type="pct"/>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2017</w:t>
            </w:r>
          </w:p>
        </w:tc>
        <w:tc>
          <w:tcPr>
            <w:tcW w:w="891" w:type="pct"/>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2018</w:t>
            </w:r>
          </w:p>
        </w:tc>
        <w:tc>
          <w:tcPr>
            <w:tcW w:w="891" w:type="pct"/>
            <w:gridSpan w:val="2"/>
            <w:tcBorders>
              <w:top w:val="single" w:sz="18" w:space="0" w:color="auto"/>
              <w:left w:val="single" w:sz="12" w:space="0" w:color="auto"/>
              <w:bottom w:val="single" w:sz="12" w:space="0" w:color="auto"/>
              <w:right w:val="single" w:sz="12" w:space="0" w:color="auto"/>
            </w:tcBorders>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2019</w:t>
            </w:r>
          </w:p>
        </w:tc>
        <w:tc>
          <w:tcPr>
            <w:tcW w:w="891" w:type="pct"/>
            <w:gridSpan w:val="2"/>
            <w:tcBorders>
              <w:top w:val="single" w:sz="18" w:space="0" w:color="auto"/>
              <w:left w:val="single" w:sz="12" w:space="0" w:color="auto"/>
              <w:bottom w:val="single" w:sz="12" w:space="0" w:color="auto"/>
              <w:right w:val="single" w:sz="12" w:space="0" w:color="auto"/>
            </w:tcBorders>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2020</w:t>
            </w:r>
          </w:p>
        </w:tc>
        <w:tc>
          <w:tcPr>
            <w:tcW w:w="331" w:type="pct"/>
            <w:tcBorders>
              <w:top w:val="single" w:sz="18" w:space="0" w:color="auto"/>
              <w:left w:val="single" w:sz="12" w:space="0" w:color="auto"/>
              <w:bottom w:val="single" w:sz="12" w:space="0" w:color="auto"/>
            </w:tcBorders>
            <w:shd w:val="clear" w:color="auto" w:fill="auto"/>
            <w:vAlign w:val="center"/>
            <w:hideMark/>
          </w:tcPr>
          <w:p w:rsidR="00AC5567" w:rsidRPr="00AC5567" w:rsidRDefault="00AC5567" w:rsidP="00125E71">
            <w:pPr>
              <w:widowControl/>
              <w:autoSpaceDE/>
              <w:autoSpaceDN/>
              <w:jc w:val="both"/>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Trend</w:t>
            </w:r>
          </w:p>
        </w:tc>
      </w:tr>
      <w:tr w:rsidR="00AC5567" w:rsidRPr="00AC5567" w:rsidTr="00125E71">
        <w:trPr>
          <w:trHeight w:val="495"/>
        </w:trPr>
        <w:tc>
          <w:tcPr>
            <w:tcW w:w="721" w:type="pct"/>
            <w:vMerge/>
            <w:tcBorders>
              <w:top w:val="single" w:sz="12" w:space="0" w:color="auto"/>
              <w:bottom w:val="single" w:sz="12" w:space="0" w:color="auto"/>
              <w:right w:val="single" w:sz="12" w:space="0" w:color="auto"/>
            </w:tcBorders>
            <w:vAlign w:val="center"/>
            <w:hideMark/>
          </w:tcPr>
          <w:p w:rsidR="00AC5567" w:rsidRPr="00AC5567" w:rsidRDefault="00AC5567" w:rsidP="00125E71">
            <w:pPr>
              <w:widowControl/>
              <w:autoSpaceDE/>
              <w:autoSpaceDN/>
              <w:jc w:val="both"/>
              <w:rPr>
                <w:rFonts w:ascii="Garamond" w:eastAsia="Times New Roman" w:hAnsi="Garamond" w:cs="Calibri Light"/>
                <w:b/>
                <w:bCs/>
                <w:sz w:val="16"/>
                <w:szCs w:val="16"/>
                <w:lang w:eastAsia="en-US" w:bidi="ar-SA"/>
              </w:rPr>
            </w:pPr>
          </w:p>
        </w:tc>
        <w:tc>
          <w:tcPr>
            <w:tcW w:w="382" w:type="pct"/>
            <w:vMerge/>
            <w:tcBorders>
              <w:top w:val="single" w:sz="12" w:space="0" w:color="auto"/>
              <w:left w:val="single" w:sz="12" w:space="0" w:color="auto"/>
              <w:bottom w:val="single" w:sz="12" w:space="0" w:color="auto"/>
              <w:right w:val="single" w:sz="12" w:space="0" w:color="auto"/>
            </w:tcBorders>
            <w:vAlign w:val="center"/>
            <w:hideMark/>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p>
        </w:tc>
        <w:tc>
          <w:tcPr>
            <w:tcW w:w="333" w:type="pct"/>
            <w:tcBorders>
              <w:top w:val="single" w:sz="6" w:space="0" w:color="auto"/>
              <w:left w:val="single" w:sz="12" w:space="0" w:color="auto"/>
              <w:bottom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Target value</w:t>
            </w:r>
          </w:p>
        </w:tc>
        <w:tc>
          <w:tcPr>
            <w:tcW w:w="558" w:type="pct"/>
            <w:tcBorders>
              <w:top w:val="single" w:sz="6" w:space="0" w:color="auto"/>
              <w:bottom w:val="single" w:sz="12" w:space="0" w:color="auto"/>
              <w:right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 xml:space="preserve">Implemented </w:t>
            </w:r>
          </w:p>
        </w:tc>
        <w:tc>
          <w:tcPr>
            <w:tcW w:w="333" w:type="pct"/>
            <w:tcBorders>
              <w:top w:val="single" w:sz="6" w:space="0" w:color="auto"/>
              <w:left w:val="single" w:sz="12" w:space="0" w:color="auto"/>
              <w:bottom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Target value</w:t>
            </w:r>
          </w:p>
        </w:tc>
        <w:tc>
          <w:tcPr>
            <w:tcW w:w="558" w:type="pct"/>
            <w:tcBorders>
              <w:top w:val="single" w:sz="6" w:space="0" w:color="auto"/>
              <w:bottom w:val="single" w:sz="12" w:space="0" w:color="auto"/>
              <w:right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 xml:space="preserve">Implemented </w:t>
            </w:r>
          </w:p>
        </w:tc>
        <w:tc>
          <w:tcPr>
            <w:tcW w:w="333" w:type="pct"/>
            <w:tcBorders>
              <w:top w:val="single" w:sz="12" w:space="0" w:color="auto"/>
              <w:bottom w:val="single" w:sz="18" w:space="0" w:color="auto"/>
              <w:right w:val="single" w:sz="2" w:space="0" w:color="auto"/>
            </w:tcBorders>
            <w:vAlign w:val="center"/>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Target value</w:t>
            </w:r>
          </w:p>
        </w:tc>
        <w:tc>
          <w:tcPr>
            <w:tcW w:w="558" w:type="pct"/>
            <w:tcBorders>
              <w:top w:val="single" w:sz="12" w:space="0" w:color="auto"/>
              <w:left w:val="single" w:sz="2" w:space="0" w:color="auto"/>
              <w:bottom w:val="single" w:sz="18" w:space="0" w:color="auto"/>
              <w:right w:val="single" w:sz="12" w:space="0" w:color="auto"/>
            </w:tcBorders>
            <w:vAlign w:val="center"/>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 xml:space="preserve">Implemented </w:t>
            </w:r>
          </w:p>
        </w:tc>
        <w:tc>
          <w:tcPr>
            <w:tcW w:w="333" w:type="pct"/>
            <w:tcBorders>
              <w:top w:val="single" w:sz="6" w:space="0" w:color="auto"/>
              <w:left w:val="single" w:sz="12" w:space="0" w:color="auto"/>
              <w:bottom w:val="single" w:sz="12" w:space="0" w:color="auto"/>
              <w:right w:val="single" w:sz="12" w:space="0" w:color="auto"/>
            </w:tcBorders>
            <w:vAlign w:val="center"/>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Target value</w:t>
            </w:r>
          </w:p>
        </w:tc>
        <w:tc>
          <w:tcPr>
            <w:tcW w:w="558" w:type="pct"/>
            <w:tcBorders>
              <w:top w:val="single" w:sz="6" w:space="0" w:color="auto"/>
              <w:left w:val="single" w:sz="12" w:space="0" w:color="auto"/>
              <w:bottom w:val="single" w:sz="12" w:space="0" w:color="auto"/>
              <w:right w:val="single" w:sz="12" w:space="0" w:color="auto"/>
            </w:tcBorders>
            <w:vAlign w:val="center"/>
          </w:tcPr>
          <w:p w:rsidR="00AC5567" w:rsidRPr="00AC5567" w:rsidRDefault="00AC5567" w:rsidP="00125E71">
            <w:pPr>
              <w:widowControl/>
              <w:autoSpaceDE/>
              <w:autoSpaceDN/>
              <w:jc w:val="center"/>
              <w:rPr>
                <w:rFonts w:ascii="Garamond" w:eastAsia="Times New Roman" w:hAnsi="Garamond" w:cs="Calibri Light"/>
                <w:b/>
                <w:bCs/>
                <w:sz w:val="16"/>
                <w:szCs w:val="16"/>
                <w:lang w:eastAsia="en-US" w:bidi="ar-SA"/>
              </w:rPr>
            </w:pPr>
            <w:r w:rsidRPr="00AC5567">
              <w:rPr>
                <w:rFonts w:ascii="Garamond" w:eastAsia="Times New Roman" w:hAnsi="Garamond" w:cs="Calibri Light"/>
                <w:b/>
                <w:bCs/>
                <w:sz w:val="16"/>
                <w:szCs w:val="16"/>
                <w:lang w:eastAsia="en-US" w:bidi="ar-SA"/>
              </w:rPr>
              <w:t xml:space="preserve">Implemented </w:t>
            </w:r>
          </w:p>
        </w:tc>
        <w:tc>
          <w:tcPr>
            <w:tcW w:w="331" w:type="pct"/>
            <w:tcBorders>
              <w:top w:val="single" w:sz="6" w:space="0" w:color="auto"/>
              <w:left w:val="single" w:sz="12" w:space="0" w:color="auto"/>
              <w:bottom w:val="single" w:sz="12" w:space="0" w:color="auto"/>
            </w:tcBorders>
            <w:vAlign w:val="center"/>
            <w:hideMark/>
          </w:tcPr>
          <w:p w:rsidR="00AC5567" w:rsidRPr="00AC5567" w:rsidRDefault="00AC5567" w:rsidP="00125E71">
            <w:pPr>
              <w:widowControl/>
              <w:autoSpaceDE/>
              <w:autoSpaceDN/>
              <w:jc w:val="both"/>
              <w:rPr>
                <w:rFonts w:ascii="Garamond" w:eastAsia="Times New Roman" w:hAnsi="Garamond" w:cs="Calibri Light"/>
                <w:b/>
                <w:bCs/>
                <w:sz w:val="16"/>
                <w:szCs w:val="16"/>
                <w:lang w:eastAsia="en-US" w:bidi="ar-SA"/>
              </w:rPr>
            </w:pPr>
          </w:p>
        </w:tc>
      </w:tr>
      <w:tr w:rsidR="00AC5567" w:rsidRPr="00AC5567" w:rsidTr="00125E71">
        <w:trPr>
          <w:trHeight w:val="589"/>
        </w:trPr>
        <w:tc>
          <w:tcPr>
            <w:tcW w:w="721" w:type="pct"/>
            <w:tcBorders>
              <w:top w:val="single" w:sz="12" w:space="0" w:color="auto"/>
              <w:right w:val="single" w:sz="12" w:space="0" w:color="auto"/>
            </w:tcBorders>
            <w:shd w:val="clear" w:color="auto" w:fill="auto"/>
            <w:vAlign w:val="center"/>
            <w:hideMark/>
          </w:tcPr>
          <w:p w:rsidR="00AC5567" w:rsidRPr="00AC5567" w:rsidRDefault="00AC5567" w:rsidP="00125E71">
            <w:pPr>
              <w:rPr>
                <w:rFonts w:ascii="Garamond" w:eastAsia="Times New Roman" w:hAnsi="Garamond" w:cs="Calibri Light"/>
                <w:sz w:val="16"/>
                <w:szCs w:val="16"/>
                <w:lang w:eastAsia="en-US" w:bidi="ar-SA"/>
              </w:rPr>
            </w:pPr>
            <w:r w:rsidRPr="00AC5567">
              <w:rPr>
                <w:rFonts w:ascii="Garamond" w:hAnsi="Garamond"/>
                <w:sz w:val="16"/>
                <w:szCs w:val="16"/>
              </w:rPr>
              <w:t>Public debt servic</w:t>
            </w:r>
            <w:r w:rsidR="00463F4C">
              <w:rPr>
                <w:rFonts w:ascii="Garamond" w:hAnsi="Garamond"/>
                <w:sz w:val="16"/>
                <w:szCs w:val="16"/>
              </w:rPr>
              <w:t>ing</w:t>
            </w:r>
            <w:r w:rsidRPr="00AC5567">
              <w:rPr>
                <w:rFonts w:ascii="Garamond" w:hAnsi="Garamond"/>
                <w:sz w:val="16"/>
                <w:szCs w:val="16"/>
              </w:rPr>
              <w:t xml:space="preserve"> costs as a share of GDP</w:t>
            </w:r>
          </w:p>
        </w:tc>
        <w:tc>
          <w:tcPr>
            <w:tcW w:w="382" w:type="pct"/>
            <w:tcBorders>
              <w:top w:val="single" w:sz="12" w:space="0" w:color="auto"/>
              <w:left w:val="single" w:sz="12" w:space="0" w:color="auto"/>
              <w:bottom w:val="single" w:sz="6" w:space="0" w:color="auto"/>
              <w:right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sz w:val="16"/>
                <w:szCs w:val="16"/>
                <w:lang w:eastAsia="en-US" w:bidi="ar-SA"/>
              </w:rPr>
              <w:t>2.20%</w:t>
            </w:r>
          </w:p>
        </w:tc>
        <w:tc>
          <w:tcPr>
            <w:tcW w:w="333" w:type="pct"/>
            <w:tcBorders>
              <w:top w:val="single" w:sz="12" w:space="0" w:color="auto"/>
              <w:left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sz w:val="16"/>
                <w:szCs w:val="16"/>
                <w:lang w:eastAsia="en-US" w:bidi="ar-SA"/>
              </w:rPr>
              <w:t>2.50%</w:t>
            </w:r>
          </w:p>
        </w:tc>
        <w:tc>
          <w:tcPr>
            <w:tcW w:w="558" w:type="pct"/>
            <w:tcBorders>
              <w:top w:val="single" w:sz="12" w:space="0" w:color="auto"/>
              <w:right w:val="single" w:sz="12" w:space="0" w:color="auto"/>
            </w:tcBorders>
            <w:shd w:val="clear" w:color="auto" w:fill="auto"/>
            <w:noWrap/>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bCs/>
                <w:sz w:val="16"/>
                <w:szCs w:val="16"/>
                <w:lang w:eastAsia="en-US" w:bidi="ar-SA"/>
              </w:rPr>
              <w:t>2.3 %</w:t>
            </w:r>
          </w:p>
        </w:tc>
        <w:tc>
          <w:tcPr>
            <w:tcW w:w="333" w:type="pct"/>
            <w:tcBorders>
              <w:top w:val="single" w:sz="18" w:space="0" w:color="auto"/>
              <w:left w:val="single" w:sz="12" w:space="0" w:color="auto"/>
              <w:bottom w:val="single" w:sz="6"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sz w:val="16"/>
                <w:szCs w:val="16"/>
                <w:lang w:eastAsia="en-US" w:bidi="ar-SA"/>
              </w:rPr>
              <w:t>1.9 %</w:t>
            </w:r>
          </w:p>
        </w:tc>
        <w:tc>
          <w:tcPr>
            <w:tcW w:w="558" w:type="pct"/>
            <w:tcBorders>
              <w:top w:val="single" w:sz="18" w:space="0" w:color="auto"/>
              <w:bottom w:val="single" w:sz="6" w:space="0" w:color="auto"/>
              <w:right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sz w:val="16"/>
                <w:szCs w:val="16"/>
                <w:lang w:eastAsia="en-US" w:bidi="ar-SA"/>
              </w:rPr>
              <w:t>2.1%</w:t>
            </w:r>
          </w:p>
        </w:tc>
        <w:tc>
          <w:tcPr>
            <w:tcW w:w="333" w:type="pct"/>
            <w:tcBorders>
              <w:top w:val="single" w:sz="18" w:space="0" w:color="auto"/>
              <w:bottom w:val="single" w:sz="2" w:space="0" w:color="auto"/>
              <w:right w:val="single" w:sz="2" w:space="0" w:color="auto"/>
            </w:tcBorders>
            <w:vAlign w:val="center"/>
          </w:tcPr>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r w:rsidRPr="00AC5567">
              <w:rPr>
                <w:rFonts w:ascii="Garamond" w:eastAsia="游明朝" w:hAnsi="Garamond" w:cs="Calibri Light"/>
                <w:noProof/>
                <w:sz w:val="16"/>
                <w:szCs w:val="16"/>
                <w:lang w:eastAsia="en-GB" w:bidi="ar-SA"/>
              </w:rPr>
              <w:t>2.0%</w:t>
            </w:r>
          </w:p>
        </w:tc>
        <w:tc>
          <w:tcPr>
            <w:tcW w:w="558" w:type="pct"/>
            <w:tcBorders>
              <w:top w:val="single" w:sz="18" w:space="0" w:color="auto"/>
              <w:left w:val="single" w:sz="2" w:space="0" w:color="auto"/>
              <w:bottom w:val="single" w:sz="2" w:space="0" w:color="auto"/>
              <w:right w:val="single" w:sz="12" w:space="0" w:color="auto"/>
            </w:tcBorders>
            <w:vAlign w:val="center"/>
          </w:tcPr>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p>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r w:rsidRPr="00AC5567">
              <w:rPr>
                <w:rFonts w:ascii="Garamond" w:eastAsia="游明朝" w:hAnsi="Garamond" w:cs="Calibri Light"/>
                <w:noProof/>
                <w:sz w:val="16"/>
                <w:szCs w:val="16"/>
                <w:lang w:eastAsia="en-GB" w:bidi="ar-SA"/>
              </w:rPr>
              <w:t>2.2%</w:t>
            </w:r>
          </w:p>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p>
        </w:tc>
        <w:tc>
          <w:tcPr>
            <w:tcW w:w="333" w:type="pct"/>
            <w:tcBorders>
              <w:top w:val="single" w:sz="12" w:space="0" w:color="auto"/>
              <w:left w:val="single" w:sz="12" w:space="0" w:color="auto"/>
              <w:right w:val="single" w:sz="12" w:space="0" w:color="auto"/>
            </w:tcBorders>
            <w:vAlign w:val="center"/>
          </w:tcPr>
          <w:p w:rsidR="00AC5567" w:rsidRPr="00AC5567" w:rsidRDefault="00AC5567" w:rsidP="00125E71">
            <w:pPr>
              <w:widowControl/>
              <w:autoSpaceDE/>
              <w:autoSpaceDN/>
              <w:spacing w:after="120"/>
              <w:jc w:val="center"/>
              <w:rPr>
                <w:rFonts w:ascii="Garamond" w:eastAsia="游明朝" w:hAnsi="Garamond" w:cs="Calibri Light"/>
                <w:sz w:val="16"/>
                <w:szCs w:val="16"/>
                <w:lang w:eastAsia="en-GB" w:bidi="ar-SA"/>
              </w:rPr>
            </w:pPr>
          </w:p>
          <w:p w:rsidR="00AC5567" w:rsidRPr="00AC5567" w:rsidRDefault="00AC5567" w:rsidP="00125E71">
            <w:pPr>
              <w:widowControl/>
              <w:autoSpaceDE/>
              <w:autoSpaceDN/>
              <w:spacing w:after="120"/>
              <w:jc w:val="center"/>
              <w:rPr>
                <w:rFonts w:ascii="Garamond" w:eastAsia="游明朝" w:hAnsi="Garamond" w:cs="Calibri Light"/>
                <w:sz w:val="16"/>
                <w:szCs w:val="16"/>
                <w:lang w:eastAsia="en-GB" w:bidi="ar-SA"/>
              </w:rPr>
            </w:pPr>
            <w:r w:rsidRPr="00AC5567">
              <w:rPr>
                <w:rFonts w:ascii="Garamond" w:eastAsia="游明朝" w:hAnsi="Garamond" w:cs="Calibri Light"/>
                <w:sz w:val="16"/>
                <w:szCs w:val="16"/>
                <w:lang w:eastAsia="en-GB" w:bidi="ar-SA"/>
              </w:rPr>
              <w:t>2.3</w:t>
            </w:r>
          </w:p>
        </w:tc>
        <w:tc>
          <w:tcPr>
            <w:tcW w:w="558" w:type="pct"/>
            <w:tcBorders>
              <w:top w:val="single" w:sz="12" w:space="0" w:color="auto"/>
              <w:left w:val="single" w:sz="12" w:space="0" w:color="auto"/>
              <w:right w:val="single" w:sz="12" w:space="0" w:color="auto"/>
            </w:tcBorders>
            <w:vAlign w:val="center"/>
          </w:tcPr>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p>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r w:rsidRPr="00AC5567">
              <w:rPr>
                <w:rFonts w:ascii="Garamond" w:eastAsia="游明朝" w:hAnsi="Garamond" w:cs="Calibri Light"/>
                <w:noProof/>
                <w:sz w:val="16"/>
                <w:szCs w:val="16"/>
                <w:lang w:eastAsia="en-GB" w:bidi="ar-SA"/>
              </w:rPr>
              <w:t>2.64</w:t>
            </w:r>
          </w:p>
        </w:tc>
        <w:tc>
          <w:tcPr>
            <w:tcW w:w="331" w:type="pct"/>
            <w:tcBorders>
              <w:top w:val="single" w:sz="12" w:space="0" w:color="auto"/>
              <w:left w:val="single" w:sz="12" w:space="0" w:color="auto"/>
            </w:tcBorders>
            <w:shd w:val="clear" w:color="auto" w:fill="auto"/>
            <w:vAlign w:val="center"/>
            <w:hideMark/>
          </w:tcPr>
          <w:p w:rsidR="00AC5567" w:rsidRPr="00AC5567" w:rsidRDefault="00AC5567" w:rsidP="00125E71">
            <w:pPr>
              <w:widowControl/>
              <w:autoSpaceDE/>
              <w:autoSpaceDN/>
              <w:jc w:val="both"/>
              <w:rPr>
                <w:rFonts w:ascii="Garamond" w:eastAsia="Times New Roman" w:hAnsi="Garamond" w:cs="Calibri Light"/>
                <w:b/>
                <w:bCs/>
                <w:sz w:val="16"/>
                <w:szCs w:val="16"/>
                <w:lang w:eastAsia="en-US" w:bidi="ar-SA"/>
              </w:rPr>
            </w:pPr>
            <w:r w:rsidRPr="00AC5567">
              <w:rPr>
                <w:rFonts w:ascii="Garamond" w:eastAsia="游明朝" w:hAnsi="Garamond" w:cs="Calibri Light"/>
                <w:noProof/>
                <w:sz w:val="16"/>
                <w:szCs w:val="16"/>
                <w:lang w:eastAsia="ja-JP" w:bidi="ar-SA"/>
              </w:rPr>
              <w:drawing>
                <wp:inline distT="0" distB="0" distL="0" distR="0">
                  <wp:extent cx="257175" cy="238125"/>
                  <wp:effectExtent l="0" t="0" r="9525" b="9525"/>
                  <wp:docPr id="53" name="Picture 6" descr="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owner\Desktop\crvena strelica - manja.png"/>
                          <pic:cNvPicPr>
                            <a:picLocks noChangeAspect="1" noChangeArrowheads="1"/>
                          </pic:cNvPicPr>
                        </pic:nvPicPr>
                        <pic:blipFill>
                          <a:blip r:embed="rId1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AC5567" w:rsidRPr="00AC5567" w:rsidTr="00125E71">
        <w:trPr>
          <w:trHeight w:val="259"/>
        </w:trPr>
        <w:tc>
          <w:tcPr>
            <w:tcW w:w="721" w:type="pct"/>
            <w:tcBorders>
              <w:bottom w:val="single" w:sz="18" w:space="0" w:color="auto"/>
              <w:right w:val="single" w:sz="12" w:space="0" w:color="auto"/>
            </w:tcBorders>
            <w:shd w:val="clear" w:color="auto" w:fill="auto"/>
            <w:vAlign w:val="center"/>
            <w:hideMark/>
          </w:tcPr>
          <w:p w:rsidR="00AC5567" w:rsidRPr="00AC5567" w:rsidRDefault="00AC5567" w:rsidP="00125E71">
            <w:pPr>
              <w:rPr>
                <w:rFonts w:ascii="Garamond" w:eastAsia="Times New Roman" w:hAnsi="Garamond" w:cs="Calibri Light"/>
                <w:sz w:val="16"/>
                <w:szCs w:val="16"/>
                <w:lang w:eastAsia="en-US" w:bidi="ar-SA"/>
              </w:rPr>
            </w:pPr>
            <w:r w:rsidRPr="00AC5567">
              <w:rPr>
                <w:rFonts w:ascii="Garamond" w:hAnsi="Garamond"/>
                <w:sz w:val="16"/>
                <w:szCs w:val="16"/>
              </w:rPr>
              <w:t xml:space="preserve">The difference between the planned and </w:t>
            </w:r>
            <w:r w:rsidR="00125E71">
              <w:rPr>
                <w:rFonts w:ascii="Garamond" w:hAnsi="Garamond"/>
                <w:sz w:val="16"/>
                <w:szCs w:val="16"/>
              </w:rPr>
              <w:t>achieved</w:t>
            </w:r>
            <w:r w:rsidRPr="00AC5567">
              <w:rPr>
                <w:rFonts w:ascii="Garamond" w:hAnsi="Garamond"/>
                <w:sz w:val="16"/>
                <w:szCs w:val="16"/>
              </w:rPr>
              <w:t xml:space="preserve"> level of public debt</w:t>
            </w:r>
          </w:p>
        </w:tc>
        <w:tc>
          <w:tcPr>
            <w:tcW w:w="382" w:type="pct"/>
            <w:tcBorders>
              <w:top w:val="single" w:sz="6" w:space="0" w:color="auto"/>
              <w:left w:val="single" w:sz="12" w:space="0" w:color="auto"/>
              <w:bottom w:val="single" w:sz="18" w:space="0" w:color="auto"/>
              <w:right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sz w:val="16"/>
                <w:szCs w:val="16"/>
                <w:lang w:eastAsia="en-US" w:bidi="ar-SA"/>
              </w:rPr>
              <w:t>1.5%</w:t>
            </w:r>
          </w:p>
        </w:tc>
        <w:tc>
          <w:tcPr>
            <w:tcW w:w="333" w:type="pct"/>
            <w:tcBorders>
              <w:left w:val="single" w:sz="12" w:space="0" w:color="auto"/>
              <w:bottom w:val="single" w:sz="18"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sz w:val="16"/>
                <w:szCs w:val="16"/>
                <w:lang w:eastAsia="en-US" w:bidi="ar-SA"/>
              </w:rPr>
              <w:t>1.5%</w:t>
            </w:r>
          </w:p>
        </w:tc>
        <w:tc>
          <w:tcPr>
            <w:tcW w:w="558" w:type="pct"/>
            <w:tcBorders>
              <w:bottom w:val="single" w:sz="18" w:space="0" w:color="auto"/>
              <w:right w:val="single" w:sz="12" w:space="0" w:color="auto"/>
            </w:tcBorders>
            <w:shd w:val="clear" w:color="auto" w:fill="auto"/>
            <w:vAlign w:val="center"/>
            <w:hideMark/>
          </w:tcPr>
          <w:p w:rsidR="00AC5567" w:rsidRPr="00AC5567" w:rsidRDefault="00AC5567" w:rsidP="00125E71">
            <w:pPr>
              <w:rPr>
                <w:rFonts w:ascii="Garamond" w:hAnsi="Garamond"/>
                <w:sz w:val="16"/>
                <w:szCs w:val="16"/>
              </w:rPr>
            </w:pPr>
            <w:r w:rsidRPr="00AC5567">
              <w:rPr>
                <w:rFonts w:ascii="Garamond" w:hAnsi="Garamond"/>
                <w:sz w:val="16"/>
                <w:szCs w:val="16"/>
              </w:rPr>
              <w:t>Public debt is 3.2% lower than planned</w:t>
            </w:r>
          </w:p>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p>
        </w:tc>
        <w:tc>
          <w:tcPr>
            <w:tcW w:w="333" w:type="pct"/>
            <w:tcBorders>
              <w:top w:val="single" w:sz="6" w:space="0" w:color="auto"/>
              <w:left w:val="single" w:sz="12" w:space="0" w:color="auto"/>
              <w:bottom w:val="single" w:sz="18"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sz w:val="16"/>
                <w:szCs w:val="16"/>
                <w:lang w:eastAsia="en-US" w:bidi="ar-SA"/>
              </w:rPr>
              <w:t>1.5%</w:t>
            </w:r>
          </w:p>
        </w:tc>
        <w:tc>
          <w:tcPr>
            <w:tcW w:w="558" w:type="pct"/>
            <w:tcBorders>
              <w:top w:val="single" w:sz="6" w:space="0" w:color="auto"/>
              <w:bottom w:val="single" w:sz="18" w:space="0" w:color="auto"/>
              <w:right w:val="single" w:sz="12" w:space="0" w:color="auto"/>
            </w:tcBorders>
            <w:shd w:val="clear" w:color="auto" w:fill="auto"/>
            <w:vAlign w:val="center"/>
            <w:hideMark/>
          </w:tcPr>
          <w:p w:rsidR="00AC5567" w:rsidRPr="00AC5567" w:rsidRDefault="00AC5567" w:rsidP="00125E71">
            <w:pPr>
              <w:widowControl/>
              <w:autoSpaceDE/>
              <w:autoSpaceDN/>
              <w:jc w:val="center"/>
              <w:rPr>
                <w:rFonts w:ascii="Garamond" w:eastAsia="Times New Roman" w:hAnsi="Garamond" w:cs="Calibri Light"/>
                <w:sz w:val="16"/>
                <w:szCs w:val="16"/>
                <w:lang w:eastAsia="en-US" w:bidi="ar-SA"/>
              </w:rPr>
            </w:pPr>
            <w:r w:rsidRPr="00AC5567">
              <w:rPr>
                <w:rFonts w:ascii="Garamond" w:eastAsia="Times New Roman" w:hAnsi="Garamond" w:cs="Calibri Light"/>
                <w:sz w:val="16"/>
                <w:szCs w:val="16"/>
                <w:lang w:eastAsia="en-US" w:bidi="ar-SA"/>
              </w:rPr>
              <w:t>3.07%</w:t>
            </w:r>
            <w:r w:rsidRPr="00AC5567">
              <w:rPr>
                <w:rFonts w:ascii="Garamond" w:hAnsi="Garamond"/>
                <w:sz w:val="16"/>
                <w:szCs w:val="16"/>
              </w:rPr>
              <w:t xml:space="preserve"> Growth</w:t>
            </w:r>
          </w:p>
        </w:tc>
        <w:tc>
          <w:tcPr>
            <w:tcW w:w="333" w:type="pct"/>
            <w:tcBorders>
              <w:top w:val="single" w:sz="2" w:space="0" w:color="auto"/>
              <w:bottom w:val="single" w:sz="18" w:space="0" w:color="auto"/>
              <w:right w:val="single" w:sz="2" w:space="0" w:color="auto"/>
            </w:tcBorders>
            <w:vAlign w:val="center"/>
          </w:tcPr>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r w:rsidRPr="00AC5567">
              <w:rPr>
                <w:rFonts w:ascii="Garamond" w:eastAsia="Times New Roman" w:hAnsi="Garamond" w:cs="Calibri Light"/>
                <w:sz w:val="16"/>
                <w:szCs w:val="16"/>
                <w:lang w:eastAsia="en-US" w:bidi="ar-SA"/>
              </w:rPr>
              <w:t>1.5%</w:t>
            </w:r>
          </w:p>
        </w:tc>
        <w:tc>
          <w:tcPr>
            <w:tcW w:w="558" w:type="pct"/>
            <w:tcBorders>
              <w:top w:val="single" w:sz="2" w:space="0" w:color="auto"/>
              <w:left w:val="single" w:sz="2" w:space="0" w:color="auto"/>
              <w:bottom w:val="single" w:sz="18" w:space="0" w:color="auto"/>
              <w:right w:val="single" w:sz="12" w:space="0" w:color="auto"/>
            </w:tcBorders>
            <w:vAlign w:val="center"/>
          </w:tcPr>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r w:rsidRPr="00AC5567">
              <w:rPr>
                <w:rFonts w:ascii="Garamond" w:eastAsia="游明朝" w:hAnsi="Garamond" w:cs="Calibri Light"/>
                <w:noProof/>
                <w:sz w:val="16"/>
                <w:szCs w:val="16"/>
                <w:lang w:eastAsia="en-GB" w:bidi="ar-SA"/>
              </w:rPr>
              <w:t>16.6%</w:t>
            </w:r>
            <w:r w:rsidRPr="00AC5567">
              <w:rPr>
                <w:rFonts w:ascii="Garamond" w:eastAsia="游明朝" w:hAnsi="Garamond" w:cs="Calibri Light"/>
                <w:noProof/>
                <w:sz w:val="16"/>
                <w:szCs w:val="16"/>
                <w:vertAlign w:val="superscript"/>
                <w:lang w:eastAsia="en-GB" w:bidi="ar-SA"/>
              </w:rPr>
              <w:footnoteReference w:id="25"/>
            </w:r>
            <w:r w:rsidRPr="00AC5567">
              <w:rPr>
                <w:rFonts w:ascii="Garamond" w:hAnsi="Garamond"/>
                <w:sz w:val="16"/>
                <w:szCs w:val="16"/>
              </w:rPr>
              <w:t xml:space="preserve"> Growth</w:t>
            </w:r>
          </w:p>
        </w:tc>
        <w:tc>
          <w:tcPr>
            <w:tcW w:w="333" w:type="pct"/>
            <w:tcBorders>
              <w:left w:val="single" w:sz="12" w:space="0" w:color="auto"/>
              <w:bottom w:val="single" w:sz="18" w:space="0" w:color="auto"/>
              <w:right w:val="single" w:sz="12" w:space="0" w:color="auto"/>
            </w:tcBorders>
            <w:vAlign w:val="center"/>
          </w:tcPr>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p>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r w:rsidRPr="00AC5567">
              <w:rPr>
                <w:rFonts w:ascii="Garamond" w:eastAsia="游明朝" w:hAnsi="Garamond" w:cs="Calibri Light"/>
                <w:noProof/>
                <w:sz w:val="16"/>
                <w:szCs w:val="16"/>
                <w:lang w:eastAsia="en-GB" w:bidi="ar-SA"/>
              </w:rPr>
              <w:t>1.5</w:t>
            </w:r>
          </w:p>
        </w:tc>
        <w:tc>
          <w:tcPr>
            <w:tcW w:w="558" w:type="pct"/>
            <w:tcBorders>
              <w:left w:val="single" w:sz="12" w:space="0" w:color="auto"/>
              <w:bottom w:val="single" w:sz="18" w:space="0" w:color="auto"/>
              <w:right w:val="single" w:sz="12" w:space="0" w:color="auto"/>
            </w:tcBorders>
            <w:vAlign w:val="center"/>
          </w:tcPr>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p>
          <w:p w:rsidR="00AC5567" w:rsidRPr="00AC5567" w:rsidRDefault="00AC5567" w:rsidP="00125E71">
            <w:pPr>
              <w:widowControl/>
              <w:autoSpaceDE/>
              <w:autoSpaceDN/>
              <w:jc w:val="center"/>
              <w:rPr>
                <w:rFonts w:ascii="Garamond" w:eastAsia="游明朝" w:hAnsi="Garamond" w:cs="Calibri Light"/>
                <w:noProof/>
                <w:sz w:val="16"/>
                <w:szCs w:val="16"/>
                <w:lang w:eastAsia="en-GB" w:bidi="ar-SA"/>
              </w:rPr>
            </w:pPr>
            <w:r w:rsidRPr="00AC5567">
              <w:rPr>
                <w:rFonts w:ascii="Garamond" w:eastAsia="游明朝" w:hAnsi="Garamond" w:cs="Calibri Light"/>
                <w:noProof/>
                <w:sz w:val="16"/>
                <w:szCs w:val="16"/>
                <w:lang w:eastAsia="en-GB" w:bidi="ar-SA"/>
              </w:rPr>
              <w:t>16%</w:t>
            </w:r>
            <w:r w:rsidRPr="00AC5567">
              <w:rPr>
                <w:rFonts w:ascii="Garamond" w:eastAsia="游明朝" w:hAnsi="Garamond" w:cs="Calibri Light"/>
                <w:noProof/>
                <w:sz w:val="16"/>
                <w:szCs w:val="16"/>
                <w:vertAlign w:val="superscript"/>
                <w:lang w:eastAsia="en-GB" w:bidi="ar-SA"/>
              </w:rPr>
              <w:footnoteReference w:id="26"/>
            </w:r>
          </w:p>
        </w:tc>
        <w:tc>
          <w:tcPr>
            <w:tcW w:w="331" w:type="pct"/>
            <w:tcBorders>
              <w:left w:val="single" w:sz="12" w:space="0" w:color="auto"/>
              <w:bottom w:val="single" w:sz="18" w:space="0" w:color="auto"/>
            </w:tcBorders>
            <w:shd w:val="clear" w:color="auto" w:fill="auto"/>
            <w:vAlign w:val="center"/>
            <w:hideMark/>
          </w:tcPr>
          <w:p w:rsidR="00AC5567" w:rsidRPr="00AC5567" w:rsidRDefault="00AC5567" w:rsidP="00125E71">
            <w:pPr>
              <w:widowControl/>
              <w:autoSpaceDE/>
              <w:autoSpaceDN/>
              <w:jc w:val="both"/>
              <w:rPr>
                <w:rFonts w:ascii="Garamond" w:eastAsia="Times New Roman" w:hAnsi="Garamond" w:cs="Calibri Light"/>
                <w:b/>
                <w:bCs/>
                <w:sz w:val="16"/>
                <w:szCs w:val="16"/>
                <w:lang w:eastAsia="en-US" w:bidi="ar-SA"/>
              </w:rPr>
            </w:pPr>
            <w:r w:rsidRPr="00AC5567">
              <w:rPr>
                <w:rFonts w:ascii="Garamond" w:eastAsia="游明朝" w:hAnsi="Garamond" w:cs="Calibri Light"/>
                <w:noProof/>
                <w:sz w:val="16"/>
                <w:szCs w:val="16"/>
                <w:lang w:eastAsia="ja-JP" w:bidi="ar-SA"/>
              </w:rPr>
              <w:drawing>
                <wp:inline distT="0" distB="0" distL="0" distR="0">
                  <wp:extent cx="276225" cy="238125"/>
                  <wp:effectExtent l="0" t="0" r="9525" b="9525"/>
                  <wp:docPr id="54" name="Picture 77"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Description: C:\Users\owner\Desktop\zelena strelica - manja.png"/>
                          <pic:cNvPicPr>
                            <a:picLocks noChangeAspect="1" noChangeArrowheads="1"/>
                          </pic:cNvPicPr>
                        </pic:nvPicPr>
                        <pic:blipFill>
                          <a:blip r:embed="rId13"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276225" cy="238125"/>
                          </a:xfrm>
                          <a:prstGeom prst="rect">
                            <a:avLst/>
                          </a:prstGeom>
                          <a:noFill/>
                          <a:ln>
                            <a:noFill/>
                          </a:ln>
                        </pic:spPr>
                      </pic:pic>
                    </a:graphicData>
                  </a:graphic>
                </wp:inline>
              </w:drawing>
            </w:r>
          </w:p>
        </w:tc>
      </w:tr>
    </w:tbl>
    <w:p w:rsidR="004D1343" w:rsidRPr="00C32887" w:rsidRDefault="00AC5567" w:rsidP="00AC5567">
      <w:pPr>
        <w:pStyle w:val="Heading2"/>
        <w:rPr>
          <w:rFonts w:ascii="Garamond" w:hAnsi="Garamond"/>
          <w:sz w:val="24"/>
          <w:szCs w:val="24"/>
        </w:rPr>
      </w:pPr>
      <w:bookmarkStart w:id="21" w:name="_Toc77688201"/>
      <w:proofErr w:type="gramStart"/>
      <w:r>
        <w:rPr>
          <w:rFonts w:ascii="Garamond" w:hAnsi="Garamond"/>
          <w:sz w:val="24"/>
          <w:szCs w:val="24"/>
        </w:rPr>
        <w:t>OBJECTIVE 3</w:t>
      </w:r>
      <w:r w:rsidRPr="00C32887">
        <w:rPr>
          <w:rFonts w:ascii="Garamond" w:hAnsi="Garamond"/>
          <w:sz w:val="24"/>
          <w:szCs w:val="24"/>
        </w:rPr>
        <w:t>.</w:t>
      </w:r>
      <w:proofErr w:type="gramEnd"/>
      <w:r w:rsidRPr="00C32887">
        <w:rPr>
          <w:rFonts w:ascii="Garamond" w:hAnsi="Garamond"/>
          <w:sz w:val="24"/>
          <w:szCs w:val="24"/>
        </w:rPr>
        <w:t xml:space="preserve"> </w:t>
      </w:r>
      <w:r w:rsidR="00AD44FE">
        <w:rPr>
          <w:rFonts w:ascii="Garamond" w:hAnsi="Garamond"/>
          <w:sz w:val="24"/>
          <w:szCs w:val="24"/>
        </w:rPr>
        <w:t>PUBLIC</w:t>
      </w:r>
      <w:r w:rsidR="00AD44FE" w:rsidRPr="00C32887">
        <w:rPr>
          <w:rFonts w:ascii="Garamond" w:hAnsi="Garamond"/>
          <w:sz w:val="24"/>
          <w:szCs w:val="24"/>
        </w:rPr>
        <w:t xml:space="preserve"> </w:t>
      </w:r>
      <w:r w:rsidRPr="00C32887">
        <w:rPr>
          <w:rFonts w:ascii="Garamond" w:hAnsi="Garamond"/>
          <w:sz w:val="24"/>
          <w:szCs w:val="24"/>
        </w:rPr>
        <w:t xml:space="preserve">INTERNAL FINANCIAL CONTROL </w:t>
      </w:r>
      <w:r w:rsidR="00AD44FE">
        <w:rPr>
          <w:rFonts w:ascii="Garamond" w:hAnsi="Garamond"/>
          <w:sz w:val="24"/>
          <w:szCs w:val="24"/>
        </w:rPr>
        <w:t>DEVELOPMENT</w:t>
      </w:r>
      <w:bookmarkEnd w:id="21"/>
    </w:p>
    <w:p w:rsidR="004D1343" w:rsidRPr="00C32887" w:rsidRDefault="004D1343" w:rsidP="004D1343">
      <w:pPr>
        <w:rPr>
          <w:rFonts w:ascii="Garamond" w:hAnsi="Garamond"/>
          <w:sz w:val="24"/>
          <w:szCs w:val="24"/>
        </w:rPr>
      </w:pPr>
    </w:p>
    <w:p w:rsidR="004D1343" w:rsidRPr="00C32887" w:rsidRDefault="004D1343" w:rsidP="00AC5567">
      <w:pPr>
        <w:jc w:val="both"/>
        <w:rPr>
          <w:rFonts w:ascii="Garamond" w:hAnsi="Garamond"/>
          <w:sz w:val="24"/>
          <w:szCs w:val="24"/>
        </w:rPr>
      </w:pPr>
      <w:r w:rsidRPr="00C32887">
        <w:rPr>
          <w:rFonts w:ascii="Garamond" w:hAnsi="Garamond"/>
          <w:sz w:val="24"/>
          <w:szCs w:val="24"/>
        </w:rPr>
        <w:t xml:space="preserve">The Ministry of Finance and Social Welfare has implemented all activities defined </w:t>
      </w:r>
      <w:r w:rsidR="009328BD">
        <w:rPr>
          <w:rFonts w:ascii="Garamond" w:hAnsi="Garamond"/>
          <w:sz w:val="24"/>
          <w:szCs w:val="24"/>
        </w:rPr>
        <w:t>under</w:t>
      </w:r>
      <w:r w:rsidRPr="00C32887">
        <w:rPr>
          <w:rFonts w:ascii="Garamond" w:hAnsi="Garamond"/>
          <w:sz w:val="24"/>
          <w:szCs w:val="24"/>
        </w:rPr>
        <w:t xml:space="preserve"> the Action Plan for the implementation of the </w:t>
      </w:r>
      <w:r w:rsidR="00C41E97" w:rsidRPr="00C32887">
        <w:rPr>
          <w:rFonts w:ascii="Garamond" w:hAnsi="Garamond"/>
          <w:sz w:val="24"/>
          <w:szCs w:val="24"/>
        </w:rPr>
        <w:t>2016-2020</w:t>
      </w:r>
      <w:r w:rsidR="00C41E97">
        <w:rPr>
          <w:rFonts w:ascii="Garamond" w:hAnsi="Garamond"/>
          <w:sz w:val="24"/>
          <w:szCs w:val="24"/>
        </w:rPr>
        <w:t xml:space="preserve"> Public Finance </w:t>
      </w:r>
      <w:r w:rsidRPr="00C32887">
        <w:rPr>
          <w:rFonts w:ascii="Garamond" w:hAnsi="Garamond"/>
          <w:sz w:val="24"/>
          <w:szCs w:val="24"/>
        </w:rPr>
        <w:t xml:space="preserve">Management Reform </w:t>
      </w:r>
      <w:r w:rsidR="00AB73F6" w:rsidRPr="00C32887">
        <w:rPr>
          <w:rFonts w:ascii="Garamond" w:hAnsi="Garamond"/>
          <w:sz w:val="24"/>
          <w:szCs w:val="24"/>
        </w:rPr>
        <w:t>Programme</w:t>
      </w:r>
      <w:r w:rsidRPr="00C32887">
        <w:rPr>
          <w:rFonts w:ascii="Garamond" w:hAnsi="Garamond"/>
          <w:sz w:val="24"/>
          <w:szCs w:val="24"/>
        </w:rPr>
        <w:t xml:space="preserve">. The most significant progress has been made in the area of </w:t>
      </w:r>
      <w:r w:rsidRPr="00C32887">
        <w:rPr>
          <w:sz w:val="24"/>
          <w:szCs w:val="24"/>
        </w:rPr>
        <w:t>​​</w:t>
      </w:r>
      <w:r w:rsidRPr="00C32887">
        <w:rPr>
          <w:rFonts w:ascii="Garamond" w:hAnsi="Garamond"/>
          <w:sz w:val="24"/>
          <w:szCs w:val="24"/>
        </w:rPr>
        <w:t>internal audit in terms of strengthening the capacity of internal auditors through training and certification.</w:t>
      </w:r>
    </w:p>
    <w:p w:rsidR="004D1343" w:rsidRPr="00C32887" w:rsidRDefault="004D1343" w:rsidP="004D1343">
      <w:pPr>
        <w:rPr>
          <w:rFonts w:ascii="Garamond" w:hAnsi="Garamond"/>
          <w:sz w:val="24"/>
          <w:szCs w:val="24"/>
        </w:rPr>
      </w:pPr>
    </w:p>
    <w:p w:rsidR="004D1343" w:rsidRPr="00C32887" w:rsidRDefault="004D1343" w:rsidP="00AD44FE">
      <w:pPr>
        <w:jc w:val="both"/>
        <w:rPr>
          <w:rFonts w:ascii="Garamond" w:hAnsi="Garamond"/>
          <w:sz w:val="24"/>
          <w:szCs w:val="24"/>
        </w:rPr>
      </w:pPr>
      <w:r w:rsidRPr="00C32887">
        <w:rPr>
          <w:rFonts w:ascii="Garamond" w:hAnsi="Garamond"/>
          <w:sz w:val="24"/>
          <w:szCs w:val="24"/>
        </w:rPr>
        <w:t xml:space="preserve">The percentage of certified internal auditors each year is above the target values </w:t>
      </w:r>
      <w:r w:rsidRPr="00C32887">
        <w:rPr>
          <w:sz w:val="24"/>
          <w:szCs w:val="24"/>
        </w:rPr>
        <w:t>​​</w:t>
      </w:r>
      <w:r w:rsidRPr="00C32887">
        <w:rPr>
          <w:rFonts w:ascii="Garamond" w:hAnsi="Garamond"/>
          <w:sz w:val="24"/>
          <w:szCs w:val="24"/>
        </w:rPr>
        <w:t xml:space="preserve">by year. In accordance with the Rulebook on the training </w:t>
      </w:r>
      <w:r w:rsidR="00C41E97">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 and the manner of taking the exam for obtaining the certificate of </w:t>
      </w:r>
      <w:r w:rsidR="002438B2">
        <w:rPr>
          <w:rFonts w:ascii="Garamond" w:hAnsi="Garamond"/>
          <w:sz w:val="24"/>
          <w:szCs w:val="24"/>
        </w:rPr>
        <w:t xml:space="preserve">public sector internal </w:t>
      </w:r>
      <w:r w:rsidR="00C41E97">
        <w:rPr>
          <w:rFonts w:ascii="Garamond" w:hAnsi="Garamond"/>
          <w:sz w:val="24"/>
          <w:szCs w:val="24"/>
        </w:rPr>
        <w:t>auditor</w:t>
      </w:r>
      <w:r w:rsidR="00C41E97">
        <w:rPr>
          <w:rStyle w:val="FootnoteReference"/>
          <w:rFonts w:ascii="Garamond" w:hAnsi="Garamond"/>
          <w:sz w:val="24"/>
          <w:szCs w:val="24"/>
        </w:rPr>
        <w:footnoteReference w:id="27"/>
      </w:r>
      <w:r w:rsidR="00125E71">
        <w:rPr>
          <w:rFonts w:ascii="Garamond" w:hAnsi="Garamond"/>
          <w:sz w:val="24"/>
          <w:szCs w:val="24"/>
        </w:rPr>
        <w:t>, in</w:t>
      </w:r>
      <w:r w:rsidRPr="00C32887">
        <w:rPr>
          <w:rFonts w:ascii="Garamond" w:hAnsi="Garamond"/>
          <w:sz w:val="24"/>
          <w:szCs w:val="24"/>
        </w:rPr>
        <w:t xml:space="preserve"> February 2020, the </w:t>
      </w:r>
      <w:r w:rsidR="00F978C5" w:rsidRPr="00C32887">
        <w:rPr>
          <w:rFonts w:ascii="Garamond" w:hAnsi="Garamond"/>
          <w:sz w:val="24"/>
          <w:szCs w:val="24"/>
        </w:rPr>
        <w:t>training programme for the public sector internal auditor</w:t>
      </w:r>
      <w:r w:rsidR="00F978C5">
        <w:rPr>
          <w:rFonts w:ascii="Garamond" w:hAnsi="Garamond"/>
          <w:sz w:val="24"/>
          <w:szCs w:val="24"/>
        </w:rPr>
        <w:t>s</w:t>
      </w:r>
      <w:r w:rsidRPr="00C32887">
        <w:rPr>
          <w:rFonts w:ascii="Garamond" w:hAnsi="Garamond"/>
          <w:sz w:val="24"/>
          <w:szCs w:val="24"/>
        </w:rPr>
        <w:t xml:space="preserve"> for 25 candidates began. Despite the problems caused by the COVID </w:t>
      </w:r>
      <w:r w:rsidR="00F978C5">
        <w:rPr>
          <w:rFonts w:ascii="Garamond" w:hAnsi="Garamond"/>
          <w:sz w:val="24"/>
          <w:szCs w:val="24"/>
        </w:rPr>
        <w:t>outbreak</w:t>
      </w:r>
      <w:r w:rsidRPr="00C32887">
        <w:rPr>
          <w:rFonts w:ascii="Garamond" w:hAnsi="Garamond"/>
          <w:sz w:val="24"/>
          <w:szCs w:val="24"/>
        </w:rPr>
        <w:t xml:space="preserve"> by the end of 2020, lectures were held </w:t>
      </w:r>
      <w:r w:rsidR="00F978C5">
        <w:rPr>
          <w:rFonts w:ascii="Garamond" w:hAnsi="Garamond"/>
          <w:sz w:val="24"/>
          <w:szCs w:val="24"/>
        </w:rPr>
        <w:t>for</w:t>
      </w:r>
      <w:r w:rsidRPr="00C32887">
        <w:rPr>
          <w:rFonts w:ascii="Garamond" w:hAnsi="Garamond"/>
          <w:sz w:val="24"/>
          <w:szCs w:val="24"/>
        </w:rPr>
        <w:t xml:space="preserve"> all four subjects and knowledge tests for three subjects, while the last test</w:t>
      </w:r>
      <w:r w:rsidR="002438B2">
        <w:rPr>
          <w:rFonts w:ascii="Garamond" w:hAnsi="Garamond"/>
          <w:sz w:val="24"/>
          <w:szCs w:val="24"/>
        </w:rPr>
        <w:t>ing</w:t>
      </w:r>
      <w:r w:rsidRPr="00C32887">
        <w:rPr>
          <w:rFonts w:ascii="Garamond" w:hAnsi="Garamond"/>
          <w:sz w:val="24"/>
          <w:szCs w:val="24"/>
        </w:rPr>
        <w:t xml:space="preserve"> was postponed until the end of January 2021 due to epidemiological measures.</w:t>
      </w:r>
    </w:p>
    <w:p w:rsidR="004D1343" w:rsidRPr="00C32887" w:rsidRDefault="004D1343" w:rsidP="004D1343">
      <w:pPr>
        <w:rPr>
          <w:rFonts w:ascii="Garamond" w:hAnsi="Garamond"/>
          <w:sz w:val="24"/>
          <w:szCs w:val="24"/>
        </w:rPr>
      </w:pPr>
    </w:p>
    <w:p w:rsidR="004D1343" w:rsidRPr="00C32887" w:rsidRDefault="004D1343" w:rsidP="00AD44FE">
      <w:pPr>
        <w:jc w:val="both"/>
        <w:rPr>
          <w:rFonts w:ascii="Garamond" w:hAnsi="Garamond"/>
          <w:sz w:val="24"/>
          <w:szCs w:val="24"/>
        </w:rPr>
      </w:pPr>
      <w:r w:rsidRPr="00C32887">
        <w:rPr>
          <w:rFonts w:ascii="Garamond" w:hAnsi="Garamond"/>
          <w:sz w:val="24"/>
          <w:szCs w:val="24"/>
        </w:rPr>
        <w:t xml:space="preserve">In addition, in order to maintain and further develop the competencies and skills of </w:t>
      </w:r>
      <w:r w:rsidR="00F978C5">
        <w:rPr>
          <w:rFonts w:ascii="Garamond" w:hAnsi="Garamond"/>
          <w:sz w:val="24"/>
          <w:szCs w:val="24"/>
        </w:rPr>
        <w:t>appointed</w:t>
      </w:r>
      <w:r w:rsidRPr="00C32887">
        <w:rPr>
          <w:rFonts w:ascii="Garamond" w:hAnsi="Garamond"/>
          <w:sz w:val="24"/>
          <w:szCs w:val="24"/>
        </w:rPr>
        <w:t xml:space="preserve"> internal auditors, the </w:t>
      </w:r>
      <w:r w:rsidR="00AB73F6" w:rsidRPr="00C32887">
        <w:rPr>
          <w:rFonts w:ascii="Garamond" w:hAnsi="Garamond"/>
          <w:sz w:val="24"/>
          <w:szCs w:val="24"/>
        </w:rPr>
        <w:t>Programme</w:t>
      </w:r>
      <w:r w:rsidRPr="00C32887">
        <w:rPr>
          <w:rFonts w:ascii="Garamond" w:hAnsi="Garamond"/>
          <w:sz w:val="24"/>
          <w:szCs w:val="24"/>
        </w:rPr>
        <w:t xml:space="preserve"> of Continuing Professional Development of Internal Auditors in the Public Sector is adopted each year, and in cooperation with the Human Resources Administration, 21 trainings </w:t>
      </w:r>
      <w:r w:rsidR="00F243A7">
        <w:rPr>
          <w:rFonts w:ascii="Garamond" w:hAnsi="Garamond"/>
          <w:sz w:val="24"/>
          <w:szCs w:val="24"/>
        </w:rPr>
        <w:t>were</w:t>
      </w:r>
      <w:r w:rsidRPr="00C32887">
        <w:rPr>
          <w:rFonts w:ascii="Garamond" w:hAnsi="Garamond"/>
          <w:sz w:val="24"/>
          <w:szCs w:val="24"/>
        </w:rPr>
        <w:t xml:space="preserve"> held </w:t>
      </w:r>
      <w:r w:rsidR="00F243A7">
        <w:rPr>
          <w:rFonts w:ascii="Garamond" w:hAnsi="Garamond"/>
          <w:sz w:val="24"/>
          <w:szCs w:val="24"/>
        </w:rPr>
        <w:t xml:space="preserve">in 2021 on the following topics: </w:t>
      </w:r>
      <w:r w:rsidRPr="00C32887">
        <w:rPr>
          <w:rFonts w:ascii="Garamond" w:hAnsi="Garamond"/>
          <w:sz w:val="24"/>
          <w:szCs w:val="24"/>
        </w:rPr>
        <w:t>New methodology of internal aud</w:t>
      </w:r>
      <w:r w:rsidR="00F978C5">
        <w:rPr>
          <w:rFonts w:ascii="Garamond" w:hAnsi="Garamond"/>
          <w:sz w:val="24"/>
          <w:szCs w:val="24"/>
        </w:rPr>
        <w:t>it work in the public sector;</w:t>
      </w:r>
      <w:r w:rsidR="00F243A7">
        <w:rPr>
          <w:rFonts w:ascii="Garamond" w:hAnsi="Garamond"/>
          <w:sz w:val="24"/>
          <w:szCs w:val="24"/>
        </w:rPr>
        <w:t xml:space="preserve"> </w:t>
      </w:r>
      <w:r w:rsidRPr="00C32887">
        <w:rPr>
          <w:rFonts w:ascii="Garamond" w:hAnsi="Garamond"/>
          <w:sz w:val="24"/>
          <w:szCs w:val="24"/>
        </w:rPr>
        <w:t>Update of internal audit plans caused by the COVID virus pandemi</w:t>
      </w:r>
      <w:r w:rsidR="00F978C5">
        <w:rPr>
          <w:rFonts w:ascii="Garamond" w:hAnsi="Garamond"/>
          <w:sz w:val="24"/>
          <w:szCs w:val="24"/>
        </w:rPr>
        <w:t>c and practical instructions;</w:t>
      </w:r>
      <w:r w:rsidR="00F243A7">
        <w:rPr>
          <w:rFonts w:ascii="Garamond" w:hAnsi="Garamond"/>
          <w:sz w:val="24"/>
          <w:szCs w:val="24"/>
        </w:rPr>
        <w:t xml:space="preserve"> </w:t>
      </w:r>
      <w:r w:rsidRPr="00C32887">
        <w:rPr>
          <w:rFonts w:ascii="Garamond" w:hAnsi="Garamond"/>
          <w:sz w:val="24"/>
          <w:szCs w:val="24"/>
        </w:rPr>
        <w:t>Introduction to internal audit and application of metho</w:t>
      </w:r>
      <w:r w:rsidR="00F978C5">
        <w:rPr>
          <w:rFonts w:ascii="Garamond" w:hAnsi="Garamond"/>
          <w:sz w:val="24"/>
          <w:szCs w:val="24"/>
        </w:rPr>
        <w:t>dology for internal auditors;</w:t>
      </w:r>
      <w:r w:rsidR="00F243A7">
        <w:rPr>
          <w:rFonts w:ascii="Garamond" w:hAnsi="Garamond"/>
          <w:sz w:val="24"/>
          <w:szCs w:val="24"/>
        </w:rPr>
        <w:t xml:space="preserve"> </w:t>
      </w:r>
      <w:r w:rsidRPr="00C32887">
        <w:rPr>
          <w:rFonts w:ascii="Garamond" w:hAnsi="Garamond"/>
          <w:sz w:val="24"/>
          <w:szCs w:val="24"/>
        </w:rPr>
        <w:t>Strategic internal audit planning and development of stra</w:t>
      </w:r>
      <w:r w:rsidR="002438B2">
        <w:rPr>
          <w:rFonts w:ascii="Garamond" w:hAnsi="Garamond"/>
          <w:sz w:val="24"/>
          <w:szCs w:val="24"/>
        </w:rPr>
        <w:t>tegic plans in accordance with the new methodology of internal audit</w:t>
      </w:r>
      <w:r w:rsidR="002438B2" w:rsidRPr="002438B2">
        <w:rPr>
          <w:rFonts w:ascii="Garamond" w:hAnsi="Garamond"/>
          <w:sz w:val="24"/>
          <w:szCs w:val="24"/>
        </w:rPr>
        <w:t xml:space="preserve"> </w:t>
      </w:r>
      <w:r w:rsidR="002438B2">
        <w:rPr>
          <w:rFonts w:ascii="Garamond" w:hAnsi="Garamond"/>
          <w:sz w:val="24"/>
          <w:szCs w:val="24"/>
        </w:rPr>
        <w:t>work</w:t>
      </w:r>
      <w:r w:rsidR="00F978C5">
        <w:rPr>
          <w:rFonts w:ascii="Garamond" w:hAnsi="Garamond"/>
          <w:sz w:val="24"/>
          <w:szCs w:val="24"/>
        </w:rPr>
        <w:t>;</w:t>
      </w:r>
      <w:r w:rsidR="00F243A7">
        <w:rPr>
          <w:rFonts w:ascii="Garamond" w:hAnsi="Garamond"/>
          <w:sz w:val="24"/>
          <w:szCs w:val="24"/>
        </w:rPr>
        <w:t xml:space="preserve"> </w:t>
      </w:r>
      <w:r w:rsidRPr="00C32887">
        <w:rPr>
          <w:rFonts w:ascii="Garamond" w:hAnsi="Garamond"/>
          <w:sz w:val="24"/>
          <w:szCs w:val="24"/>
        </w:rPr>
        <w:t>Development of an annual internal audit plan and practical applicat</w:t>
      </w:r>
      <w:r w:rsidR="00F978C5">
        <w:rPr>
          <w:rFonts w:ascii="Garamond" w:hAnsi="Garamond"/>
          <w:sz w:val="24"/>
          <w:szCs w:val="24"/>
        </w:rPr>
        <w:t xml:space="preserve">ion of the Standard 2100 group; </w:t>
      </w:r>
      <w:r w:rsidR="00F243A7">
        <w:rPr>
          <w:rFonts w:ascii="Garamond" w:hAnsi="Garamond"/>
          <w:sz w:val="24"/>
          <w:szCs w:val="24"/>
        </w:rPr>
        <w:t>and</w:t>
      </w:r>
      <w:r w:rsidRPr="00C32887">
        <w:rPr>
          <w:rFonts w:ascii="Garamond" w:hAnsi="Garamond"/>
          <w:sz w:val="24"/>
          <w:szCs w:val="24"/>
        </w:rPr>
        <w:t xml:space="preserve"> Risk management and th</w:t>
      </w:r>
      <w:r w:rsidR="00F243A7">
        <w:rPr>
          <w:rFonts w:ascii="Garamond" w:hAnsi="Garamond"/>
          <w:sz w:val="24"/>
          <w:szCs w:val="24"/>
        </w:rPr>
        <w:t>e role of the internal auditor</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F243A7">
      <w:pPr>
        <w:jc w:val="both"/>
        <w:rPr>
          <w:rFonts w:ascii="Garamond" w:hAnsi="Garamond"/>
          <w:sz w:val="24"/>
          <w:szCs w:val="24"/>
        </w:rPr>
      </w:pPr>
      <w:r w:rsidRPr="00C32887">
        <w:rPr>
          <w:rFonts w:ascii="Garamond" w:hAnsi="Garamond"/>
          <w:sz w:val="24"/>
          <w:szCs w:val="24"/>
        </w:rPr>
        <w:t>In addition to these activities,</w:t>
      </w:r>
      <w:r w:rsidR="00F243A7">
        <w:rPr>
          <w:rFonts w:ascii="Garamond" w:hAnsi="Garamond"/>
          <w:sz w:val="24"/>
          <w:szCs w:val="24"/>
        </w:rPr>
        <w:t xml:space="preserve"> through the implementation of the IPA </w:t>
      </w:r>
      <w:r w:rsidR="00C13A74">
        <w:rPr>
          <w:rFonts w:ascii="Garamond" w:hAnsi="Garamond"/>
          <w:sz w:val="24"/>
          <w:szCs w:val="24"/>
        </w:rPr>
        <w:t>‘</w:t>
      </w:r>
      <w:r w:rsidRPr="00C32887">
        <w:rPr>
          <w:rFonts w:ascii="Garamond" w:hAnsi="Garamond"/>
          <w:sz w:val="24"/>
          <w:szCs w:val="24"/>
        </w:rPr>
        <w:t xml:space="preserve">Improving budgeting system, </w:t>
      </w:r>
      <w:r w:rsidR="00F243A7">
        <w:rPr>
          <w:rFonts w:ascii="Garamond" w:hAnsi="Garamond"/>
          <w:sz w:val="24"/>
          <w:szCs w:val="24"/>
        </w:rPr>
        <w:t>multiyear</w:t>
      </w:r>
      <w:r w:rsidRPr="00C32887">
        <w:rPr>
          <w:rFonts w:ascii="Garamond" w:hAnsi="Garamond"/>
          <w:sz w:val="24"/>
          <w:szCs w:val="24"/>
        </w:rPr>
        <w:t xml:space="preserve"> BFP, the </w:t>
      </w:r>
      <w:r w:rsidR="002438B2">
        <w:rPr>
          <w:rFonts w:ascii="Garamond" w:hAnsi="Garamond"/>
          <w:sz w:val="24"/>
          <w:szCs w:val="24"/>
        </w:rPr>
        <w:t xml:space="preserve">public </w:t>
      </w:r>
      <w:r w:rsidRPr="00C32887">
        <w:rPr>
          <w:rFonts w:ascii="Garamond" w:hAnsi="Garamond"/>
          <w:sz w:val="24"/>
          <w:szCs w:val="24"/>
        </w:rPr>
        <w:t>internal fin</w:t>
      </w:r>
      <w:r w:rsidR="002438B2">
        <w:rPr>
          <w:rFonts w:ascii="Garamond" w:hAnsi="Garamond"/>
          <w:sz w:val="24"/>
          <w:szCs w:val="24"/>
        </w:rPr>
        <w:t xml:space="preserve">ancial control system’ </w:t>
      </w:r>
      <w:r w:rsidR="00F243A7">
        <w:rPr>
          <w:rFonts w:ascii="Garamond" w:hAnsi="Garamond"/>
          <w:sz w:val="24"/>
          <w:szCs w:val="24"/>
        </w:rPr>
        <w:t xml:space="preserve">project, </w:t>
      </w:r>
      <w:r w:rsidRPr="00C32887">
        <w:rPr>
          <w:rFonts w:ascii="Garamond" w:hAnsi="Garamond"/>
          <w:sz w:val="24"/>
          <w:szCs w:val="24"/>
        </w:rPr>
        <w:t>in cooperation with project experts</w:t>
      </w:r>
      <w:r w:rsidR="00F243A7">
        <w:rPr>
          <w:rFonts w:ascii="Garamond" w:hAnsi="Garamond"/>
          <w:sz w:val="24"/>
          <w:szCs w:val="24"/>
        </w:rPr>
        <w:t>,</w:t>
      </w:r>
      <w:r w:rsidRPr="00C32887">
        <w:rPr>
          <w:rFonts w:ascii="Garamond" w:hAnsi="Garamond"/>
          <w:sz w:val="24"/>
          <w:szCs w:val="24"/>
        </w:rPr>
        <w:t xml:space="preserve"> the following activities</w:t>
      </w:r>
      <w:r w:rsidR="00F243A7">
        <w:rPr>
          <w:rFonts w:ascii="Garamond" w:hAnsi="Garamond"/>
          <w:sz w:val="24"/>
          <w:szCs w:val="24"/>
        </w:rPr>
        <w:t xml:space="preserve"> were</w:t>
      </w:r>
      <w:r w:rsidR="00F243A7" w:rsidRPr="00F243A7">
        <w:rPr>
          <w:rFonts w:ascii="Garamond" w:hAnsi="Garamond"/>
          <w:sz w:val="24"/>
          <w:szCs w:val="24"/>
        </w:rPr>
        <w:t xml:space="preserve"> </w:t>
      </w:r>
      <w:r w:rsidR="00F243A7" w:rsidRPr="00C32887">
        <w:rPr>
          <w:rFonts w:ascii="Garamond" w:hAnsi="Garamond"/>
          <w:sz w:val="24"/>
          <w:szCs w:val="24"/>
        </w:rPr>
        <w:t>conducted</w:t>
      </w:r>
      <w:r w:rsidRPr="00C32887">
        <w:rPr>
          <w:rFonts w:ascii="Garamond" w:hAnsi="Garamond"/>
          <w:sz w:val="24"/>
          <w:szCs w:val="24"/>
        </w:rPr>
        <w:t>:</w:t>
      </w:r>
    </w:p>
    <w:p w:rsidR="004D1343" w:rsidRPr="00F243A7" w:rsidRDefault="004D1343" w:rsidP="002438B2">
      <w:pPr>
        <w:pStyle w:val="ListParagraph"/>
        <w:numPr>
          <w:ilvl w:val="0"/>
          <w:numId w:val="4"/>
        </w:numPr>
        <w:jc w:val="both"/>
        <w:rPr>
          <w:rFonts w:ascii="Garamond" w:hAnsi="Garamond"/>
          <w:sz w:val="24"/>
          <w:szCs w:val="24"/>
        </w:rPr>
      </w:pPr>
      <w:r w:rsidRPr="00F243A7">
        <w:rPr>
          <w:rFonts w:ascii="Garamond" w:hAnsi="Garamond"/>
          <w:sz w:val="24"/>
          <w:szCs w:val="24"/>
        </w:rPr>
        <w:t xml:space="preserve">pilot management audits in four pilot institutions involving 20 internal auditors from central and local level;         </w:t>
      </w:r>
    </w:p>
    <w:p w:rsidR="004D1343" w:rsidRPr="00F243A7" w:rsidRDefault="004D1343" w:rsidP="00F243A7">
      <w:pPr>
        <w:pStyle w:val="ListParagraph"/>
        <w:numPr>
          <w:ilvl w:val="0"/>
          <w:numId w:val="4"/>
        </w:numPr>
        <w:jc w:val="both"/>
        <w:rPr>
          <w:rFonts w:ascii="Garamond" w:hAnsi="Garamond"/>
          <w:sz w:val="24"/>
          <w:szCs w:val="24"/>
        </w:rPr>
      </w:pPr>
      <w:proofErr w:type="gramStart"/>
      <w:r w:rsidRPr="00F243A7">
        <w:rPr>
          <w:rFonts w:ascii="Garamond" w:hAnsi="Garamond"/>
          <w:sz w:val="24"/>
          <w:szCs w:val="24"/>
        </w:rPr>
        <w:t>two</w:t>
      </w:r>
      <w:proofErr w:type="gramEnd"/>
      <w:r w:rsidRPr="00F243A7">
        <w:rPr>
          <w:rFonts w:ascii="Garamond" w:hAnsi="Garamond"/>
          <w:sz w:val="24"/>
          <w:szCs w:val="24"/>
        </w:rPr>
        <w:t xml:space="preserve"> online workshops for </w:t>
      </w:r>
      <w:r w:rsidR="00F243A7">
        <w:rPr>
          <w:rFonts w:ascii="Garamond" w:hAnsi="Garamond"/>
          <w:sz w:val="24"/>
          <w:szCs w:val="24"/>
        </w:rPr>
        <w:t xml:space="preserve">internal auditors on the topic </w:t>
      </w:r>
      <w:r w:rsidR="00C13A74">
        <w:rPr>
          <w:rFonts w:ascii="Garamond" w:hAnsi="Garamond"/>
          <w:sz w:val="24"/>
          <w:szCs w:val="24"/>
        </w:rPr>
        <w:t>‘</w:t>
      </w:r>
      <w:r w:rsidRPr="00F243A7">
        <w:rPr>
          <w:rFonts w:ascii="Garamond" w:hAnsi="Garamond"/>
          <w:sz w:val="24"/>
          <w:szCs w:val="24"/>
        </w:rPr>
        <w:t>Perf</w:t>
      </w:r>
      <w:r w:rsidR="00F243A7">
        <w:rPr>
          <w:rFonts w:ascii="Garamond" w:hAnsi="Garamond"/>
          <w:sz w:val="24"/>
          <w:szCs w:val="24"/>
        </w:rPr>
        <w:t>orming periodic self-assessment</w:t>
      </w:r>
      <w:r w:rsidR="00C13A74">
        <w:rPr>
          <w:rFonts w:ascii="Garamond" w:hAnsi="Garamond"/>
          <w:sz w:val="24"/>
          <w:szCs w:val="24"/>
        </w:rPr>
        <w:t>’</w:t>
      </w:r>
      <w:r w:rsidRPr="00F243A7">
        <w:rPr>
          <w:rFonts w:ascii="Garamond" w:hAnsi="Garamond"/>
          <w:sz w:val="24"/>
          <w:szCs w:val="24"/>
        </w:rPr>
        <w:t xml:space="preserve">.         </w:t>
      </w:r>
    </w:p>
    <w:p w:rsidR="002438B2" w:rsidRDefault="002438B2" w:rsidP="00F243A7">
      <w:pPr>
        <w:jc w:val="both"/>
        <w:rPr>
          <w:rFonts w:ascii="Garamond" w:hAnsi="Garamond"/>
          <w:sz w:val="24"/>
          <w:szCs w:val="24"/>
        </w:rPr>
      </w:pPr>
    </w:p>
    <w:p w:rsidR="004D1343" w:rsidRPr="00C32887" w:rsidRDefault="004D1343" w:rsidP="00F243A7">
      <w:pPr>
        <w:jc w:val="both"/>
        <w:rPr>
          <w:rFonts w:ascii="Garamond" w:hAnsi="Garamond"/>
          <w:sz w:val="24"/>
          <w:szCs w:val="24"/>
        </w:rPr>
      </w:pPr>
      <w:r w:rsidRPr="00C32887">
        <w:rPr>
          <w:rFonts w:ascii="Garamond" w:hAnsi="Garamond"/>
          <w:sz w:val="24"/>
          <w:szCs w:val="24"/>
        </w:rPr>
        <w:t xml:space="preserve">Although the indicators related to the delegation of responsibilities and authorities do not indicate progress, the Ministry of Finance and Social Welfare undertook activities during the reporting period to strengthen managerial accountability, as a key component for good governance in public administration. During the reporting period, the Analysis of Obstacles to </w:t>
      </w:r>
      <w:r w:rsidR="00F243A7" w:rsidRPr="00C32887">
        <w:rPr>
          <w:rFonts w:ascii="Garamond" w:hAnsi="Garamond"/>
          <w:sz w:val="24"/>
          <w:szCs w:val="24"/>
        </w:rPr>
        <w:t xml:space="preserve">Managerial Accountability </w:t>
      </w:r>
      <w:r w:rsidRPr="00C32887">
        <w:rPr>
          <w:rFonts w:ascii="Garamond" w:hAnsi="Garamond"/>
          <w:sz w:val="24"/>
          <w:szCs w:val="24"/>
        </w:rPr>
        <w:t xml:space="preserve">was prepared, which pointed out the importance of delegating authority to successfully achieve goals and strengthen accountability in the public sector, as well as the obstacles to the implementation of this concept. In 2020, the Government of Montenegro adopted the </w:t>
      </w:r>
      <w:r w:rsidRPr="005163E6">
        <w:rPr>
          <w:rFonts w:ascii="Garamond" w:hAnsi="Garamond"/>
          <w:b/>
          <w:sz w:val="24"/>
          <w:szCs w:val="24"/>
        </w:rPr>
        <w:t xml:space="preserve">Decree on the transfer of </w:t>
      </w:r>
      <w:r w:rsidR="005163E6">
        <w:rPr>
          <w:rFonts w:ascii="Garamond" w:hAnsi="Garamond"/>
          <w:b/>
          <w:sz w:val="24"/>
          <w:szCs w:val="24"/>
        </w:rPr>
        <w:t>jobs</w:t>
      </w:r>
      <w:r w:rsidRPr="005163E6">
        <w:rPr>
          <w:rFonts w:ascii="Garamond" w:hAnsi="Garamond"/>
          <w:b/>
          <w:sz w:val="24"/>
          <w:szCs w:val="24"/>
        </w:rPr>
        <w:t xml:space="preserve"> and tasks of financial management and internal controls in the public sector</w:t>
      </w:r>
      <w:r w:rsidRPr="00C32887">
        <w:rPr>
          <w:rFonts w:ascii="Garamond" w:hAnsi="Garamond"/>
          <w:sz w:val="24"/>
          <w:szCs w:val="24"/>
        </w:rPr>
        <w:t xml:space="preserve"> (</w:t>
      </w:r>
      <w:r w:rsidR="00C13A74">
        <w:rPr>
          <w:rFonts w:ascii="Garamond" w:hAnsi="Garamond"/>
          <w:sz w:val="24"/>
          <w:szCs w:val="24"/>
        </w:rPr>
        <w:t>‘</w:t>
      </w:r>
      <w:r w:rsidRPr="00C32887">
        <w:rPr>
          <w:rFonts w:ascii="Garamond" w:hAnsi="Garamond"/>
          <w:sz w:val="24"/>
          <w:szCs w:val="24"/>
        </w:rPr>
        <w:t>Official Gazette of Montenegro</w:t>
      </w:r>
      <w:r w:rsidR="00C13A74">
        <w:rPr>
          <w:rFonts w:ascii="Garamond" w:hAnsi="Garamond"/>
          <w:sz w:val="24"/>
          <w:szCs w:val="24"/>
        </w:rPr>
        <w:t>’</w:t>
      </w:r>
      <w:r w:rsidRPr="00C32887">
        <w:rPr>
          <w:rFonts w:ascii="Garamond" w:hAnsi="Garamond"/>
          <w:sz w:val="24"/>
          <w:szCs w:val="24"/>
        </w:rPr>
        <w:t>, No. 07</w:t>
      </w:r>
      <w:r w:rsidR="005163E6">
        <w:rPr>
          <w:rFonts w:ascii="Garamond" w:hAnsi="Garamond"/>
          <w:sz w:val="24"/>
          <w:szCs w:val="24"/>
        </w:rPr>
        <w:t xml:space="preserve">9/20 of 02 August </w:t>
      </w:r>
      <w:r w:rsidRPr="00C32887">
        <w:rPr>
          <w:rFonts w:ascii="Garamond" w:hAnsi="Garamond"/>
          <w:sz w:val="24"/>
          <w:szCs w:val="24"/>
        </w:rPr>
        <w:t>2020) which prescribes the tasks that the head of the entity may transfer to the heads of organi</w:t>
      </w:r>
      <w:r w:rsidR="00F254DD">
        <w:rPr>
          <w:rFonts w:ascii="Garamond" w:hAnsi="Garamond"/>
          <w:sz w:val="24"/>
          <w:szCs w:val="24"/>
        </w:rPr>
        <w:t>sation</w:t>
      </w:r>
      <w:r w:rsidRPr="00C32887">
        <w:rPr>
          <w:rFonts w:ascii="Garamond" w:hAnsi="Garamond"/>
          <w:sz w:val="24"/>
          <w:szCs w:val="24"/>
        </w:rPr>
        <w:t xml:space="preserve">al units or other employees in bodies, institutions and legal entities. In order to support the bodies in managing funds, the Ministry of Finance and Social Welfare has prepared a </w:t>
      </w:r>
      <w:r w:rsidRPr="005163E6">
        <w:rPr>
          <w:rFonts w:ascii="Garamond" w:hAnsi="Garamond"/>
          <w:b/>
          <w:sz w:val="24"/>
          <w:szCs w:val="24"/>
        </w:rPr>
        <w:t xml:space="preserve">Methodology for the transfer of </w:t>
      </w:r>
      <w:r w:rsidR="005163E6">
        <w:rPr>
          <w:rFonts w:ascii="Garamond" w:hAnsi="Garamond"/>
          <w:b/>
          <w:sz w:val="24"/>
          <w:szCs w:val="24"/>
        </w:rPr>
        <w:t>jobs</w:t>
      </w:r>
      <w:r w:rsidRPr="005163E6">
        <w:rPr>
          <w:rFonts w:ascii="Garamond" w:hAnsi="Garamond"/>
          <w:b/>
          <w:sz w:val="24"/>
          <w:szCs w:val="24"/>
        </w:rPr>
        <w:t xml:space="preserve"> and tasks of financial management and internal controls in the public sector</w:t>
      </w:r>
      <w:r w:rsidRPr="00C32887">
        <w:rPr>
          <w:rFonts w:ascii="Garamond" w:hAnsi="Garamond"/>
          <w:sz w:val="24"/>
          <w:szCs w:val="24"/>
        </w:rPr>
        <w:t xml:space="preserve">, which is the starting point for establishing a system of accountability in the public sector. In order to better implement the legislative framework </w:t>
      </w:r>
      <w:r w:rsidR="00F978C5" w:rsidRPr="00C32887">
        <w:rPr>
          <w:rFonts w:ascii="Garamond" w:hAnsi="Garamond"/>
          <w:sz w:val="24"/>
          <w:szCs w:val="24"/>
        </w:rPr>
        <w:t xml:space="preserve">trainings were held for managers and employees at the central and local level on the topic: </w:t>
      </w:r>
      <w:r w:rsidR="00F978C5">
        <w:rPr>
          <w:rFonts w:ascii="Garamond" w:hAnsi="Garamond"/>
          <w:sz w:val="24"/>
          <w:szCs w:val="24"/>
        </w:rPr>
        <w:t>‘</w:t>
      </w:r>
      <w:r w:rsidR="00F978C5" w:rsidRPr="00C32887">
        <w:rPr>
          <w:rFonts w:ascii="Garamond" w:hAnsi="Garamond"/>
          <w:sz w:val="24"/>
          <w:szCs w:val="24"/>
        </w:rPr>
        <w:t>Manage</w:t>
      </w:r>
      <w:r w:rsidR="00F978C5">
        <w:rPr>
          <w:rFonts w:ascii="Garamond" w:hAnsi="Garamond"/>
          <w:sz w:val="24"/>
          <w:szCs w:val="24"/>
        </w:rPr>
        <w:t xml:space="preserve">rial </w:t>
      </w:r>
      <w:r w:rsidR="00F978C5" w:rsidRPr="00C32887">
        <w:rPr>
          <w:rFonts w:ascii="Garamond" w:hAnsi="Garamond"/>
          <w:sz w:val="24"/>
          <w:szCs w:val="24"/>
        </w:rPr>
        <w:t>accountability</w:t>
      </w:r>
      <w:r w:rsidR="00F978C5">
        <w:rPr>
          <w:rFonts w:ascii="Garamond" w:hAnsi="Garamond"/>
          <w:sz w:val="24"/>
          <w:szCs w:val="24"/>
        </w:rPr>
        <w:t xml:space="preserve">’, </w:t>
      </w:r>
      <w:r w:rsidRPr="00C32887">
        <w:rPr>
          <w:rFonts w:ascii="Garamond" w:hAnsi="Garamond"/>
          <w:sz w:val="24"/>
          <w:szCs w:val="24"/>
        </w:rPr>
        <w:t>in cooperation with the</w:t>
      </w:r>
      <w:r w:rsidR="00F978C5">
        <w:rPr>
          <w:rFonts w:ascii="Garamond" w:hAnsi="Garamond"/>
          <w:sz w:val="24"/>
          <w:szCs w:val="24"/>
        </w:rPr>
        <w:t xml:space="preserve"> Human Resources Administration</w:t>
      </w:r>
      <w:r w:rsidR="005163E6">
        <w:rPr>
          <w:rFonts w:ascii="Garamond" w:hAnsi="Garamond"/>
          <w:sz w:val="24"/>
          <w:szCs w:val="24"/>
        </w:rPr>
        <w:t xml:space="preserve">. Also, under the IPA </w:t>
      </w:r>
      <w:r w:rsidR="00C13A74">
        <w:rPr>
          <w:rFonts w:ascii="Garamond" w:hAnsi="Garamond"/>
          <w:sz w:val="24"/>
          <w:szCs w:val="24"/>
        </w:rPr>
        <w:t>‘</w:t>
      </w:r>
      <w:r w:rsidRPr="00C32887">
        <w:rPr>
          <w:rFonts w:ascii="Garamond" w:hAnsi="Garamond"/>
          <w:sz w:val="24"/>
          <w:szCs w:val="24"/>
        </w:rPr>
        <w:t>Improvement of the budget</w:t>
      </w:r>
      <w:r w:rsidR="00567DF2">
        <w:rPr>
          <w:rFonts w:ascii="Garamond" w:hAnsi="Garamond"/>
          <w:sz w:val="24"/>
          <w:szCs w:val="24"/>
        </w:rPr>
        <w:t>ing</w:t>
      </w:r>
      <w:r w:rsidRPr="00C32887">
        <w:rPr>
          <w:rFonts w:ascii="Garamond" w:hAnsi="Garamond"/>
          <w:sz w:val="24"/>
          <w:szCs w:val="24"/>
        </w:rPr>
        <w:t xml:space="preserve"> system, multi-annual </w:t>
      </w:r>
      <w:r w:rsidR="005163E6">
        <w:rPr>
          <w:rFonts w:ascii="Garamond" w:hAnsi="Garamond"/>
          <w:sz w:val="24"/>
          <w:szCs w:val="24"/>
        </w:rPr>
        <w:t xml:space="preserve">BFP </w:t>
      </w:r>
      <w:r w:rsidRPr="00C32887">
        <w:rPr>
          <w:rFonts w:ascii="Garamond" w:hAnsi="Garamond"/>
          <w:sz w:val="24"/>
          <w:szCs w:val="24"/>
        </w:rPr>
        <w:t>and the public financial internal contr</w:t>
      </w:r>
      <w:r w:rsidR="005163E6">
        <w:rPr>
          <w:rFonts w:ascii="Garamond" w:hAnsi="Garamond"/>
          <w:sz w:val="24"/>
          <w:szCs w:val="24"/>
        </w:rPr>
        <w:t>ol</w:t>
      </w:r>
      <w:r w:rsidRPr="00C32887">
        <w:rPr>
          <w:rFonts w:ascii="Garamond" w:hAnsi="Garamond"/>
          <w:sz w:val="24"/>
          <w:szCs w:val="24"/>
        </w:rPr>
        <w:t xml:space="preserve"> </w:t>
      </w:r>
      <w:r w:rsidR="00567DF2" w:rsidRPr="00C32887">
        <w:rPr>
          <w:rFonts w:ascii="Garamond" w:hAnsi="Garamond"/>
          <w:sz w:val="24"/>
          <w:szCs w:val="24"/>
        </w:rPr>
        <w:t>system</w:t>
      </w:r>
      <w:r w:rsidR="00567DF2">
        <w:rPr>
          <w:rFonts w:ascii="Garamond" w:hAnsi="Garamond"/>
          <w:sz w:val="24"/>
          <w:szCs w:val="24"/>
        </w:rPr>
        <w:t>’</w:t>
      </w:r>
      <w:r w:rsidR="00567DF2" w:rsidRPr="00C32887">
        <w:rPr>
          <w:rFonts w:ascii="Garamond" w:hAnsi="Garamond"/>
          <w:sz w:val="24"/>
          <w:szCs w:val="24"/>
        </w:rPr>
        <w:t xml:space="preserve"> </w:t>
      </w:r>
      <w:r w:rsidR="00F978C5">
        <w:rPr>
          <w:rFonts w:ascii="Garamond" w:hAnsi="Garamond"/>
          <w:sz w:val="24"/>
          <w:szCs w:val="24"/>
        </w:rPr>
        <w:t xml:space="preserve">project, </w:t>
      </w:r>
      <w:r w:rsidRPr="00C32887">
        <w:rPr>
          <w:rFonts w:ascii="Garamond" w:hAnsi="Garamond"/>
          <w:sz w:val="24"/>
          <w:szCs w:val="24"/>
        </w:rPr>
        <w:t xml:space="preserve">activities are planned to improve </w:t>
      </w:r>
      <w:r w:rsidR="005163E6" w:rsidRPr="00C32887">
        <w:rPr>
          <w:rFonts w:ascii="Garamond" w:hAnsi="Garamond"/>
          <w:sz w:val="24"/>
          <w:szCs w:val="24"/>
        </w:rPr>
        <w:t xml:space="preserve">managerial accountability </w:t>
      </w:r>
      <w:r w:rsidRPr="00C32887">
        <w:rPr>
          <w:rFonts w:ascii="Garamond" w:hAnsi="Garamond"/>
          <w:sz w:val="24"/>
          <w:szCs w:val="24"/>
        </w:rPr>
        <w:t xml:space="preserve">in the public sector, namely: the Conference on the </w:t>
      </w:r>
      <w:r w:rsidR="005163E6">
        <w:rPr>
          <w:rFonts w:ascii="Garamond" w:hAnsi="Garamond"/>
          <w:sz w:val="24"/>
          <w:szCs w:val="24"/>
        </w:rPr>
        <w:t>topic Managerial Accountability</w:t>
      </w:r>
      <w:r w:rsidRPr="00C32887">
        <w:rPr>
          <w:rFonts w:ascii="Garamond" w:hAnsi="Garamond"/>
          <w:sz w:val="24"/>
          <w:szCs w:val="24"/>
        </w:rPr>
        <w:t xml:space="preserve"> for </w:t>
      </w:r>
      <w:r w:rsidR="00567DF2" w:rsidRPr="00C32887">
        <w:rPr>
          <w:rFonts w:ascii="Garamond" w:hAnsi="Garamond"/>
          <w:sz w:val="24"/>
          <w:szCs w:val="24"/>
        </w:rPr>
        <w:t xml:space="preserve">Heads </w:t>
      </w:r>
      <w:r w:rsidRPr="00C32887">
        <w:rPr>
          <w:rFonts w:ascii="Garamond" w:hAnsi="Garamond"/>
          <w:sz w:val="24"/>
          <w:szCs w:val="24"/>
        </w:rPr>
        <w:t xml:space="preserve">of </w:t>
      </w:r>
      <w:r w:rsidR="00567DF2" w:rsidRPr="00C32887">
        <w:rPr>
          <w:rFonts w:ascii="Garamond" w:hAnsi="Garamond"/>
          <w:sz w:val="24"/>
          <w:szCs w:val="24"/>
        </w:rPr>
        <w:t>Institutions</w:t>
      </w:r>
      <w:r w:rsidRPr="00C32887">
        <w:rPr>
          <w:rFonts w:ascii="Garamond" w:hAnsi="Garamond"/>
          <w:sz w:val="24"/>
          <w:szCs w:val="24"/>
        </w:rPr>
        <w:t xml:space="preserve">, as </w:t>
      </w:r>
      <w:r w:rsidR="005163E6">
        <w:rPr>
          <w:rFonts w:ascii="Garamond" w:hAnsi="Garamond"/>
          <w:sz w:val="24"/>
          <w:szCs w:val="24"/>
        </w:rPr>
        <w:t>well as</w:t>
      </w:r>
      <w:r w:rsidRPr="00C32887">
        <w:rPr>
          <w:rFonts w:ascii="Garamond" w:hAnsi="Garamond"/>
          <w:sz w:val="24"/>
          <w:szCs w:val="24"/>
        </w:rPr>
        <w:t xml:space="preserve"> technical support to pilot institutions in devolution. Given the situation caused by the COVID - 19, most activities have been postponed to 2021. </w:t>
      </w:r>
    </w:p>
    <w:p w:rsidR="004D1343" w:rsidRPr="00C32887" w:rsidRDefault="004D1343" w:rsidP="004D1343">
      <w:pPr>
        <w:rPr>
          <w:rFonts w:ascii="Garamond" w:hAnsi="Garamond"/>
          <w:sz w:val="24"/>
          <w:szCs w:val="24"/>
        </w:rPr>
      </w:pPr>
    </w:p>
    <w:p w:rsidR="004D1343" w:rsidRPr="00C32887" w:rsidRDefault="004D1343" w:rsidP="005163E6">
      <w:pPr>
        <w:jc w:val="both"/>
        <w:rPr>
          <w:rFonts w:ascii="Garamond" w:hAnsi="Garamond"/>
          <w:sz w:val="24"/>
          <w:szCs w:val="24"/>
        </w:rPr>
      </w:pPr>
      <w:r w:rsidRPr="00C32887">
        <w:rPr>
          <w:rFonts w:ascii="Garamond" w:hAnsi="Garamond"/>
          <w:sz w:val="24"/>
          <w:szCs w:val="24"/>
        </w:rPr>
        <w:t xml:space="preserve">In order to improve implementation of risk management, the Ministry of Finance and Social Welfare is continuously improving </w:t>
      </w:r>
      <w:r w:rsidR="005163E6">
        <w:rPr>
          <w:rFonts w:ascii="Garamond" w:hAnsi="Garamond"/>
          <w:sz w:val="24"/>
          <w:szCs w:val="24"/>
        </w:rPr>
        <w:t>methodological</w:t>
      </w:r>
      <w:r w:rsidRPr="00C32887">
        <w:rPr>
          <w:rFonts w:ascii="Garamond" w:hAnsi="Garamond"/>
          <w:sz w:val="24"/>
          <w:szCs w:val="24"/>
        </w:rPr>
        <w:t xml:space="preserve"> guidelines and </w:t>
      </w:r>
      <w:r w:rsidR="00567DF2">
        <w:rPr>
          <w:rFonts w:ascii="Garamond" w:hAnsi="Garamond"/>
          <w:sz w:val="24"/>
          <w:szCs w:val="24"/>
        </w:rPr>
        <w:t>delivering</w:t>
      </w:r>
      <w:r w:rsidRPr="00C32887">
        <w:rPr>
          <w:rFonts w:ascii="Garamond" w:hAnsi="Garamond"/>
          <w:sz w:val="24"/>
          <w:szCs w:val="24"/>
        </w:rPr>
        <w:t xml:space="preserve"> training</w:t>
      </w:r>
      <w:r w:rsidR="00567DF2">
        <w:rPr>
          <w:rFonts w:ascii="Garamond" w:hAnsi="Garamond"/>
          <w:sz w:val="24"/>
          <w:szCs w:val="24"/>
        </w:rPr>
        <w:t>s</w:t>
      </w:r>
      <w:r w:rsidRPr="00C32887">
        <w:rPr>
          <w:rFonts w:ascii="Garamond" w:hAnsi="Garamond"/>
          <w:sz w:val="24"/>
          <w:szCs w:val="24"/>
        </w:rPr>
        <w:t xml:space="preserve"> for employees at central and local level. During 2019 and 2020, through the imp</w:t>
      </w:r>
      <w:r w:rsidR="005163E6">
        <w:rPr>
          <w:rFonts w:ascii="Garamond" w:hAnsi="Garamond"/>
          <w:sz w:val="24"/>
          <w:szCs w:val="24"/>
        </w:rPr>
        <w:t xml:space="preserve">lementation of the IPA project </w:t>
      </w:r>
      <w:r w:rsidR="00C13A74">
        <w:rPr>
          <w:rFonts w:ascii="Garamond" w:hAnsi="Garamond"/>
          <w:sz w:val="24"/>
          <w:szCs w:val="24"/>
        </w:rPr>
        <w:t>‘</w:t>
      </w:r>
      <w:r w:rsidRPr="00C32887">
        <w:rPr>
          <w:rFonts w:ascii="Garamond" w:hAnsi="Garamond"/>
          <w:sz w:val="24"/>
          <w:szCs w:val="24"/>
        </w:rPr>
        <w:t>Improvement of budgeting</w:t>
      </w:r>
      <w:r w:rsidR="005163E6" w:rsidRPr="005163E6">
        <w:rPr>
          <w:rFonts w:ascii="Garamond" w:hAnsi="Garamond"/>
          <w:sz w:val="24"/>
          <w:szCs w:val="24"/>
        </w:rPr>
        <w:t xml:space="preserve"> </w:t>
      </w:r>
      <w:r w:rsidR="005163E6" w:rsidRPr="00C32887">
        <w:rPr>
          <w:rFonts w:ascii="Garamond" w:hAnsi="Garamond"/>
          <w:sz w:val="24"/>
          <w:szCs w:val="24"/>
        </w:rPr>
        <w:t>system</w:t>
      </w:r>
      <w:r w:rsidRPr="00C32887">
        <w:rPr>
          <w:rFonts w:ascii="Garamond" w:hAnsi="Garamond"/>
          <w:sz w:val="24"/>
          <w:szCs w:val="24"/>
        </w:rPr>
        <w:t xml:space="preserve">, multi-year </w:t>
      </w:r>
      <w:r w:rsidR="005163E6">
        <w:rPr>
          <w:rFonts w:ascii="Garamond" w:hAnsi="Garamond"/>
          <w:sz w:val="24"/>
          <w:szCs w:val="24"/>
        </w:rPr>
        <w:t>BFP</w:t>
      </w:r>
      <w:r w:rsidRPr="00C32887">
        <w:rPr>
          <w:rFonts w:ascii="Garamond" w:hAnsi="Garamond"/>
          <w:sz w:val="24"/>
          <w:szCs w:val="24"/>
        </w:rPr>
        <w:t xml:space="preserve"> and</w:t>
      </w:r>
      <w:r w:rsidR="00567DF2">
        <w:rPr>
          <w:rFonts w:ascii="Garamond" w:hAnsi="Garamond"/>
          <w:sz w:val="24"/>
          <w:szCs w:val="24"/>
        </w:rPr>
        <w:t xml:space="preserve"> the public</w:t>
      </w:r>
      <w:r w:rsidRPr="00C32887">
        <w:rPr>
          <w:rFonts w:ascii="Garamond" w:hAnsi="Garamond"/>
          <w:sz w:val="24"/>
          <w:szCs w:val="24"/>
        </w:rPr>
        <w:t xml:space="preserve"> internal financial control system</w:t>
      </w:r>
      <w:r w:rsidR="00567DF2">
        <w:rPr>
          <w:rFonts w:ascii="Garamond" w:hAnsi="Garamond"/>
          <w:sz w:val="24"/>
          <w:szCs w:val="24"/>
        </w:rPr>
        <w:t>’</w:t>
      </w:r>
      <w:r w:rsidRPr="00C32887">
        <w:rPr>
          <w:rFonts w:ascii="Garamond" w:hAnsi="Garamond"/>
          <w:sz w:val="24"/>
          <w:szCs w:val="24"/>
        </w:rPr>
        <w:t xml:space="preserve">, the quality of the process in the pilot institutions </w:t>
      </w:r>
      <w:r w:rsidR="00D42C6B">
        <w:rPr>
          <w:rFonts w:ascii="Garamond" w:hAnsi="Garamond"/>
          <w:sz w:val="24"/>
          <w:szCs w:val="24"/>
        </w:rPr>
        <w:t xml:space="preserve">was assessed </w:t>
      </w:r>
      <w:r w:rsidRPr="00C32887">
        <w:rPr>
          <w:rFonts w:ascii="Garamond" w:hAnsi="Garamond"/>
          <w:sz w:val="24"/>
          <w:szCs w:val="24"/>
        </w:rPr>
        <w:t xml:space="preserve">and </w:t>
      </w:r>
      <w:r w:rsidR="00567DF2">
        <w:rPr>
          <w:rFonts w:ascii="Garamond" w:hAnsi="Garamond"/>
          <w:sz w:val="24"/>
          <w:szCs w:val="24"/>
        </w:rPr>
        <w:t>organised</w:t>
      </w:r>
      <w:r w:rsidRPr="00C32887">
        <w:rPr>
          <w:rFonts w:ascii="Garamond" w:hAnsi="Garamond"/>
          <w:sz w:val="24"/>
          <w:szCs w:val="24"/>
        </w:rPr>
        <w:t xml:space="preserve"> </w:t>
      </w:r>
      <w:r w:rsidR="00D42C6B">
        <w:rPr>
          <w:rFonts w:ascii="Garamond" w:hAnsi="Garamond"/>
          <w:sz w:val="24"/>
          <w:szCs w:val="24"/>
        </w:rPr>
        <w:t xml:space="preserve">trainings </w:t>
      </w:r>
      <w:r w:rsidRPr="00C32887">
        <w:rPr>
          <w:rFonts w:ascii="Garamond" w:hAnsi="Garamond"/>
          <w:sz w:val="24"/>
          <w:szCs w:val="24"/>
        </w:rPr>
        <w:t>on</w:t>
      </w:r>
      <w:r w:rsidR="00D42C6B">
        <w:rPr>
          <w:rFonts w:ascii="Garamond" w:hAnsi="Garamond"/>
          <w:sz w:val="24"/>
          <w:szCs w:val="24"/>
        </w:rPr>
        <w:t xml:space="preserve"> the theme Risk Management,</w:t>
      </w:r>
      <w:r w:rsidRPr="00C32887">
        <w:rPr>
          <w:rFonts w:ascii="Garamond" w:hAnsi="Garamond"/>
          <w:sz w:val="24"/>
          <w:szCs w:val="24"/>
        </w:rPr>
        <w:t xml:space="preserve"> and then provided technical suppo</w:t>
      </w:r>
      <w:r w:rsidR="00567DF2">
        <w:rPr>
          <w:rFonts w:ascii="Garamond" w:hAnsi="Garamond"/>
          <w:sz w:val="24"/>
          <w:szCs w:val="24"/>
        </w:rPr>
        <w:t>rt in establishing the</w:t>
      </w:r>
      <w:r w:rsidRPr="00C32887">
        <w:rPr>
          <w:rFonts w:ascii="Garamond" w:hAnsi="Garamond"/>
          <w:sz w:val="24"/>
          <w:szCs w:val="24"/>
        </w:rPr>
        <w:t xml:space="preserve"> risk management system.</w:t>
      </w:r>
    </w:p>
    <w:p w:rsidR="004D1343" w:rsidRPr="00C32887" w:rsidRDefault="004D1343" w:rsidP="004D1343">
      <w:pPr>
        <w:rPr>
          <w:rFonts w:ascii="Garamond" w:hAnsi="Garamond"/>
          <w:sz w:val="24"/>
          <w:szCs w:val="24"/>
        </w:rPr>
      </w:pPr>
    </w:p>
    <w:p w:rsidR="004D1343" w:rsidRPr="00C32887" w:rsidRDefault="004D1343" w:rsidP="00D42C6B">
      <w:pPr>
        <w:jc w:val="both"/>
        <w:rPr>
          <w:rFonts w:ascii="Garamond" w:hAnsi="Garamond"/>
          <w:sz w:val="24"/>
          <w:szCs w:val="24"/>
        </w:rPr>
      </w:pPr>
      <w:r w:rsidRPr="00C32887">
        <w:rPr>
          <w:rFonts w:ascii="Garamond" w:hAnsi="Garamond"/>
          <w:sz w:val="24"/>
          <w:szCs w:val="24"/>
        </w:rPr>
        <w:t xml:space="preserve">In order to provide more comprehensive annual reporting on management and internal controls, </w:t>
      </w:r>
      <w:r w:rsidR="00057B44">
        <w:rPr>
          <w:rFonts w:ascii="Garamond" w:hAnsi="Garamond"/>
          <w:sz w:val="24"/>
          <w:szCs w:val="24"/>
        </w:rPr>
        <w:t xml:space="preserve">a </w:t>
      </w:r>
      <w:r w:rsidRPr="00C32887">
        <w:rPr>
          <w:rFonts w:ascii="Garamond" w:hAnsi="Garamond"/>
          <w:sz w:val="24"/>
          <w:szCs w:val="24"/>
        </w:rPr>
        <w:t>system for detecting and acting on notifications of sus</w:t>
      </w:r>
      <w:r w:rsidR="00567DF2">
        <w:rPr>
          <w:rFonts w:ascii="Garamond" w:hAnsi="Garamond"/>
          <w:sz w:val="24"/>
          <w:szCs w:val="24"/>
        </w:rPr>
        <w:t>pected irregularities and fraud</w:t>
      </w:r>
      <w:r w:rsidRPr="00C32887">
        <w:rPr>
          <w:rFonts w:ascii="Garamond" w:hAnsi="Garamond"/>
          <w:sz w:val="24"/>
          <w:szCs w:val="24"/>
        </w:rPr>
        <w:t xml:space="preserve">, risk management, self-assessment of internal controls and </w:t>
      </w:r>
      <w:r w:rsidR="00D42C6B" w:rsidRPr="00C32887">
        <w:rPr>
          <w:rFonts w:ascii="Garamond" w:hAnsi="Garamond"/>
          <w:sz w:val="24"/>
          <w:szCs w:val="24"/>
        </w:rPr>
        <w:t>managerial accountability</w:t>
      </w:r>
      <w:r w:rsidRPr="00C32887">
        <w:rPr>
          <w:rFonts w:ascii="Garamond" w:hAnsi="Garamond"/>
          <w:sz w:val="24"/>
          <w:szCs w:val="24"/>
        </w:rPr>
        <w:t xml:space="preserve">, </w:t>
      </w:r>
      <w:r w:rsidR="00C2654B">
        <w:rPr>
          <w:rFonts w:ascii="Garamond" w:hAnsi="Garamond"/>
          <w:sz w:val="24"/>
          <w:szCs w:val="24"/>
        </w:rPr>
        <w:t xml:space="preserve">the </w:t>
      </w:r>
      <w:r w:rsidRPr="00C32887">
        <w:rPr>
          <w:rFonts w:ascii="Garamond" w:hAnsi="Garamond"/>
          <w:sz w:val="24"/>
          <w:szCs w:val="24"/>
        </w:rPr>
        <w:t xml:space="preserve">trainings for managers and employees </w:t>
      </w:r>
      <w:r w:rsidR="00057B44">
        <w:rPr>
          <w:rFonts w:ascii="Garamond" w:hAnsi="Garamond"/>
          <w:sz w:val="24"/>
          <w:szCs w:val="24"/>
        </w:rPr>
        <w:t>were</w:t>
      </w:r>
      <w:r w:rsidRPr="00C32887">
        <w:rPr>
          <w:rFonts w:ascii="Garamond" w:hAnsi="Garamond"/>
          <w:sz w:val="24"/>
          <w:szCs w:val="24"/>
        </w:rPr>
        <w:t xml:space="preserve"> held in cooperation with the Human Resources </w:t>
      </w:r>
      <w:r w:rsidR="00D42C6B">
        <w:rPr>
          <w:rFonts w:ascii="Garamond" w:hAnsi="Garamond"/>
          <w:sz w:val="24"/>
          <w:szCs w:val="24"/>
        </w:rPr>
        <w:t>Administration at</w:t>
      </w:r>
      <w:r w:rsidRPr="00C32887">
        <w:rPr>
          <w:rFonts w:ascii="Garamond" w:hAnsi="Garamond"/>
          <w:sz w:val="24"/>
          <w:szCs w:val="24"/>
        </w:rPr>
        <w:t xml:space="preserve"> central and local level (14 in 2020), which has resulted in more and more institutions submitting annual reports on management and internal controls. As part of the mentioned IPA project, a step forward was made and an electronic questionnaire was prepared in order to facilitate the processing of collected data and the best possible preparation of the Consolidated Report on Management and Internal Control, which is submitted to the Government for adoption every year.</w:t>
      </w:r>
    </w:p>
    <w:p w:rsidR="004D1343" w:rsidRPr="00C32887" w:rsidRDefault="004D1343" w:rsidP="004D1343">
      <w:pPr>
        <w:rPr>
          <w:rFonts w:ascii="Garamond" w:hAnsi="Garamond"/>
          <w:sz w:val="24"/>
          <w:szCs w:val="24"/>
        </w:rPr>
      </w:pPr>
    </w:p>
    <w:p w:rsidR="004D1343" w:rsidRPr="00C32887" w:rsidRDefault="004D1343" w:rsidP="00D42C6B">
      <w:pPr>
        <w:jc w:val="both"/>
        <w:rPr>
          <w:rFonts w:ascii="Garamond" w:hAnsi="Garamond"/>
          <w:sz w:val="24"/>
          <w:szCs w:val="24"/>
        </w:rPr>
      </w:pPr>
      <w:r w:rsidRPr="00C32887">
        <w:rPr>
          <w:rFonts w:ascii="Garamond" w:hAnsi="Garamond"/>
          <w:sz w:val="24"/>
          <w:szCs w:val="24"/>
        </w:rPr>
        <w:t>Strengthening the capacity of the Directorate for Central Harmoni</w:t>
      </w:r>
      <w:r w:rsidR="00F254DD">
        <w:rPr>
          <w:rFonts w:ascii="Garamond" w:hAnsi="Garamond"/>
          <w:sz w:val="24"/>
          <w:szCs w:val="24"/>
        </w:rPr>
        <w:t>sation</w:t>
      </w:r>
      <w:r w:rsidRPr="00C32887">
        <w:rPr>
          <w:rFonts w:ascii="Garamond" w:hAnsi="Garamond"/>
          <w:sz w:val="24"/>
          <w:szCs w:val="24"/>
        </w:rPr>
        <w:t xml:space="preserve"> to assess the quality of management and internal controls has been carried out continuously during the previous period. In the reporting period, the methodology of work </w:t>
      </w:r>
      <w:r w:rsidR="00D42C6B">
        <w:rPr>
          <w:rFonts w:ascii="Garamond" w:hAnsi="Garamond"/>
          <w:sz w:val="24"/>
          <w:szCs w:val="24"/>
        </w:rPr>
        <w:t xml:space="preserve">was improved </w:t>
      </w:r>
      <w:r w:rsidRPr="00C32887">
        <w:rPr>
          <w:rFonts w:ascii="Garamond" w:hAnsi="Garamond"/>
          <w:sz w:val="24"/>
          <w:szCs w:val="24"/>
        </w:rPr>
        <w:t xml:space="preserve">and developed reference models for the COSO components, as </w:t>
      </w:r>
      <w:r w:rsidR="00D42C6B">
        <w:rPr>
          <w:rFonts w:ascii="Garamond" w:hAnsi="Garamond"/>
          <w:sz w:val="24"/>
          <w:szCs w:val="24"/>
        </w:rPr>
        <w:t>well as</w:t>
      </w:r>
      <w:r w:rsidRPr="00C32887">
        <w:rPr>
          <w:rFonts w:ascii="Garamond" w:hAnsi="Garamond"/>
          <w:sz w:val="24"/>
          <w:szCs w:val="24"/>
        </w:rPr>
        <w:t xml:space="preserve"> aid in the assessment of the quality of management and internal control. The review of the quality of internal audit work during 2020 was not conducted by direct verification, due to the situation caused by COVID. The Directorate for Central Harmoni</w:t>
      </w:r>
      <w:r w:rsidR="00F254DD">
        <w:rPr>
          <w:rFonts w:ascii="Garamond" w:hAnsi="Garamond"/>
          <w:sz w:val="24"/>
          <w:szCs w:val="24"/>
        </w:rPr>
        <w:t>sation</w:t>
      </w:r>
      <w:r w:rsidRPr="00C32887">
        <w:rPr>
          <w:rFonts w:ascii="Garamond" w:hAnsi="Garamond"/>
          <w:sz w:val="24"/>
          <w:szCs w:val="24"/>
        </w:rPr>
        <w:t xml:space="preserve"> will implement this activity by reviewing the final audit reports and audit documentation and perform</w:t>
      </w:r>
      <w:r w:rsidR="00D42C6B">
        <w:rPr>
          <w:rFonts w:ascii="Garamond" w:hAnsi="Garamond"/>
          <w:sz w:val="24"/>
          <w:szCs w:val="24"/>
        </w:rPr>
        <w:t>ing</w:t>
      </w:r>
      <w:r w:rsidRPr="00C32887">
        <w:rPr>
          <w:rFonts w:ascii="Garamond" w:hAnsi="Garamond"/>
          <w:sz w:val="24"/>
          <w:szCs w:val="24"/>
        </w:rPr>
        <w:t xml:space="preserve"> an analysis and assessment of the level of understanding and level of application of the methodology by internal auditors.</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Default="004D1343" w:rsidP="004D1343">
      <w:pPr>
        <w:rPr>
          <w:rFonts w:ascii="Garamond" w:hAnsi="Garamond"/>
          <w:sz w:val="24"/>
          <w:szCs w:val="24"/>
        </w:rPr>
      </w:pPr>
      <w:r w:rsidRPr="00C32887">
        <w:rPr>
          <w:rFonts w:ascii="Garamond" w:hAnsi="Garamond"/>
          <w:sz w:val="24"/>
          <w:szCs w:val="24"/>
        </w:rPr>
        <w:t xml:space="preserve"> </w:t>
      </w:r>
    </w:p>
    <w:p w:rsidR="00D42C6B" w:rsidRDefault="00D42C6B" w:rsidP="004D1343">
      <w:pPr>
        <w:rPr>
          <w:rFonts w:ascii="Garamond" w:hAnsi="Garamond"/>
          <w:sz w:val="24"/>
          <w:szCs w:val="24"/>
        </w:rPr>
      </w:pPr>
    </w:p>
    <w:p w:rsidR="00D42C6B" w:rsidRPr="00C32887" w:rsidRDefault="00D42C6B"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D42C6B" w:rsidRDefault="00D42C6B" w:rsidP="004D1343">
      <w:pPr>
        <w:rPr>
          <w:rFonts w:ascii="Garamond" w:hAnsi="Garamond"/>
          <w:sz w:val="24"/>
          <w:szCs w:val="24"/>
        </w:rPr>
        <w:sectPr w:rsidR="00D42C6B" w:rsidSect="000017C5">
          <w:pgSz w:w="12240" w:h="15840"/>
          <w:pgMar w:top="1440" w:right="1440" w:bottom="1440" w:left="1440" w:header="720" w:footer="720" w:gutter="0"/>
          <w:cols w:space="720"/>
          <w:docGrid w:linePitch="360"/>
        </w:sectPr>
      </w:pPr>
    </w:p>
    <w:p w:rsidR="00D42C6B" w:rsidRDefault="00D42C6B">
      <w:pPr>
        <w:rPr>
          <w:rFonts w:ascii="Garamond" w:hAnsi="Garamond"/>
          <w:sz w:val="24"/>
          <w:szCs w:val="24"/>
        </w:r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tblPr>
      <w:tblGrid>
        <w:gridCol w:w="2463"/>
        <w:gridCol w:w="830"/>
        <w:gridCol w:w="1062"/>
        <w:gridCol w:w="1233"/>
        <w:gridCol w:w="1141"/>
        <w:gridCol w:w="1233"/>
        <w:gridCol w:w="1062"/>
        <w:gridCol w:w="1233"/>
        <w:gridCol w:w="1012"/>
        <w:gridCol w:w="1132"/>
        <w:gridCol w:w="775"/>
      </w:tblGrid>
      <w:tr w:rsidR="00D42C6B" w:rsidRPr="00D42C6B" w:rsidTr="00D42C6B">
        <w:trPr>
          <w:trHeight w:val="255"/>
          <w:jc w:val="center"/>
        </w:trPr>
        <w:tc>
          <w:tcPr>
            <w:tcW w:w="940" w:type="pct"/>
            <w:vMerge w:val="restart"/>
            <w:tcBorders>
              <w:top w:val="single" w:sz="18" w:space="0" w:color="auto"/>
              <w:bottom w:val="single" w:sz="6" w:space="0" w:color="auto"/>
              <w:right w:val="single" w:sz="12" w:space="0" w:color="auto"/>
            </w:tcBorders>
            <w:shd w:val="clear" w:color="auto" w:fill="auto"/>
            <w:vAlign w:val="center"/>
            <w:hideMark/>
          </w:tcPr>
          <w:p w:rsidR="00D42C6B" w:rsidRPr="00D42C6B" w:rsidRDefault="00481CF4" w:rsidP="00D42C6B">
            <w:pPr>
              <w:widowControl/>
              <w:autoSpaceDE/>
              <w:autoSpaceDN/>
              <w:jc w:val="center"/>
              <w:rPr>
                <w:rFonts w:ascii="Garamond" w:eastAsia="Times New Roman" w:hAnsi="Garamond" w:cs="Calibri Light"/>
                <w:b/>
                <w:bCs/>
                <w:sz w:val="16"/>
                <w:szCs w:val="16"/>
                <w:lang w:eastAsia="en-US" w:bidi="ar-SA"/>
              </w:rPr>
            </w:pPr>
            <w:r>
              <w:rPr>
                <w:rFonts w:ascii="Garamond" w:eastAsia="Times New Roman" w:hAnsi="Garamond" w:cs="Calibri Light"/>
                <w:b/>
                <w:bCs/>
                <w:sz w:val="16"/>
                <w:szCs w:val="16"/>
                <w:lang w:eastAsia="en-US" w:bidi="ar-SA"/>
              </w:rPr>
              <w:t xml:space="preserve">Performance Indicator </w:t>
            </w:r>
          </w:p>
        </w:tc>
        <w:tc>
          <w:tcPr>
            <w:tcW w:w="320" w:type="pct"/>
            <w:vMerge w:val="restart"/>
            <w:tcBorders>
              <w:top w:val="single" w:sz="18" w:space="0" w:color="auto"/>
              <w:left w:val="single" w:sz="12" w:space="0" w:color="auto"/>
              <w:bottom w:val="single" w:sz="6"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Planned 2014</w:t>
            </w:r>
          </w:p>
        </w:tc>
        <w:tc>
          <w:tcPr>
            <w:tcW w:w="881" w:type="pct"/>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2017</w:t>
            </w:r>
          </w:p>
        </w:tc>
        <w:tc>
          <w:tcPr>
            <w:tcW w:w="911" w:type="pct"/>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2018</w:t>
            </w:r>
          </w:p>
        </w:tc>
        <w:tc>
          <w:tcPr>
            <w:tcW w:w="881" w:type="pct"/>
            <w:gridSpan w:val="2"/>
            <w:tcBorders>
              <w:top w:val="single" w:sz="18" w:space="0" w:color="auto"/>
              <w:left w:val="single" w:sz="12" w:space="0" w:color="auto"/>
              <w:bottom w:val="single" w:sz="6" w:space="0" w:color="auto"/>
              <w:right w:val="single" w:sz="12" w:space="0" w:color="auto"/>
            </w:tcBorders>
            <w:vAlign w:val="center"/>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2019</w:t>
            </w:r>
          </w:p>
        </w:tc>
        <w:tc>
          <w:tcPr>
            <w:tcW w:w="767" w:type="pct"/>
            <w:gridSpan w:val="2"/>
            <w:tcBorders>
              <w:top w:val="single" w:sz="18" w:space="0" w:color="auto"/>
              <w:left w:val="single" w:sz="12" w:space="0" w:color="auto"/>
              <w:bottom w:val="single" w:sz="12" w:space="0" w:color="auto"/>
              <w:right w:val="single" w:sz="12" w:space="0" w:color="auto"/>
            </w:tcBorders>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2020</w:t>
            </w:r>
          </w:p>
        </w:tc>
        <w:tc>
          <w:tcPr>
            <w:tcW w:w="299" w:type="pct"/>
            <w:vMerge w:val="restart"/>
            <w:tcBorders>
              <w:top w:val="single" w:sz="18" w:space="0" w:color="auto"/>
              <w:left w:val="single" w:sz="12" w:space="0" w:color="auto"/>
              <w:bottom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Trend</w:t>
            </w:r>
          </w:p>
        </w:tc>
      </w:tr>
      <w:tr w:rsidR="00D42C6B" w:rsidRPr="00D42C6B" w:rsidTr="00D42C6B">
        <w:trPr>
          <w:trHeight w:val="495"/>
          <w:jc w:val="center"/>
        </w:trPr>
        <w:tc>
          <w:tcPr>
            <w:tcW w:w="940" w:type="pct"/>
            <w:vMerge/>
            <w:tcBorders>
              <w:top w:val="single" w:sz="6" w:space="0" w:color="auto"/>
              <w:bottom w:val="single" w:sz="12" w:space="0" w:color="auto"/>
              <w:right w:val="single" w:sz="12" w:space="0" w:color="auto"/>
            </w:tcBorders>
            <w:vAlign w:val="center"/>
            <w:hideMark/>
          </w:tcPr>
          <w:p w:rsidR="00D42C6B" w:rsidRPr="00D42C6B" w:rsidRDefault="00D42C6B" w:rsidP="00D42C6B">
            <w:pPr>
              <w:widowControl/>
              <w:autoSpaceDE/>
              <w:autoSpaceDN/>
              <w:jc w:val="both"/>
              <w:rPr>
                <w:rFonts w:ascii="Garamond" w:eastAsia="Times New Roman" w:hAnsi="Garamond" w:cs="Calibri Light"/>
                <w:b/>
                <w:bCs/>
                <w:sz w:val="16"/>
                <w:szCs w:val="16"/>
                <w:lang w:eastAsia="en-US" w:bidi="ar-SA"/>
              </w:rPr>
            </w:pPr>
          </w:p>
        </w:tc>
        <w:tc>
          <w:tcPr>
            <w:tcW w:w="320" w:type="pct"/>
            <w:vMerge/>
            <w:tcBorders>
              <w:top w:val="single" w:sz="6" w:space="0" w:color="auto"/>
              <w:left w:val="single" w:sz="12" w:space="0" w:color="auto"/>
              <w:bottom w:val="single" w:sz="12" w:space="0" w:color="auto"/>
              <w:right w:val="single" w:sz="12" w:space="0" w:color="auto"/>
            </w:tcBorders>
            <w:vAlign w:val="center"/>
            <w:hideMark/>
          </w:tcPr>
          <w:p w:rsidR="00D42C6B" w:rsidRPr="00D42C6B" w:rsidRDefault="00D42C6B" w:rsidP="00D42C6B">
            <w:pPr>
              <w:widowControl/>
              <w:autoSpaceDE/>
              <w:autoSpaceDN/>
              <w:jc w:val="both"/>
              <w:rPr>
                <w:rFonts w:ascii="Garamond" w:eastAsia="Times New Roman" w:hAnsi="Garamond" w:cs="Calibri Light"/>
                <w:b/>
                <w:bCs/>
                <w:sz w:val="16"/>
                <w:szCs w:val="16"/>
                <w:lang w:eastAsia="en-US" w:bidi="ar-SA"/>
              </w:rPr>
            </w:pPr>
          </w:p>
        </w:tc>
        <w:tc>
          <w:tcPr>
            <w:tcW w:w="408" w:type="pct"/>
            <w:tcBorders>
              <w:top w:val="single" w:sz="6" w:space="0" w:color="auto"/>
              <w:left w:val="single" w:sz="12" w:space="0" w:color="auto"/>
              <w:bottom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Target value</w:t>
            </w:r>
          </w:p>
        </w:tc>
        <w:tc>
          <w:tcPr>
            <w:tcW w:w="473" w:type="pct"/>
            <w:tcBorders>
              <w:top w:val="single" w:sz="6" w:space="0" w:color="auto"/>
              <w:bottom w:val="single" w:sz="12"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 xml:space="preserve">Implemented </w:t>
            </w:r>
          </w:p>
        </w:tc>
        <w:tc>
          <w:tcPr>
            <w:tcW w:w="438" w:type="pct"/>
            <w:tcBorders>
              <w:top w:val="single" w:sz="6" w:space="0" w:color="auto"/>
              <w:left w:val="single" w:sz="12" w:space="0" w:color="auto"/>
              <w:bottom w:val="single" w:sz="12" w:space="0" w:color="auto"/>
            </w:tcBorders>
            <w:shd w:val="clear" w:color="auto" w:fill="auto"/>
            <w:vAlign w:val="center"/>
            <w:hideMark/>
          </w:tcPr>
          <w:p w:rsidR="00D42C6B" w:rsidRPr="00D42C6B" w:rsidRDefault="00D42C6B" w:rsidP="005E0130">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Target value</w:t>
            </w:r>
          </w:p>
        </w:tc>
        <w:tc>
          <w:tcPr>
            <w:tcW w:w="473" w:type="pct"/>
            <w:tcBorders>
              <w:top w:val="single" w:sz="6" w:space="0" w:color="auto"/>
              <w:bottom w:val="single" w:sz="12" w:space="0" w:color="auto"/>
              <w:right w:val="single" w:sz="12" w:space="0" w:color="auto"/>
            </w:tcBorders>
            <w:shd w:val="clear" w:color="auto" w:fill="auto"/>
            <w:vAlign w:val="center"/>
            <w:hideMark/>
          </w:tcPr>
          <w:p w:rsidR="00D42C6B" w:rsidRPr="00D42C6B" w:rsidRDefault="00D42C6B" w:rsidP="005E0130">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 xml:space="preserve">Implemented </w:t>
            </w:r>
          </w:p>
        </w:tc>
        <w:tc>
          <w:tcPr>
            <w:tcW w:w="408" w:type="pct"/>
            <w:tcBorders>
              <w:top w:val="single" w:sz="6" w:space="0" w:color="auto"/>
              <w:bottom w:val="single" w:sz="12" w:space="0" w:color="auto"/>
              <w:right w:val="single" w:sz="2" w:space="0" w:color="auto"/>
            </w:tcBorders>
            <w:vAlign w:val="center"/>
          </w:tcPr>
          <w:p w:rsidR="00D42C6B" w:rsidRPr="00D42C6B" w:rsidRDefault="00D42C6B" w:rsidP="005E0130">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Target value</w:t>
            </w:r>
          </w:p>
        </w:tc>
        <w:tc>
          <w:tcPr>
            <w:tcW w:w="473" w:type="pct"/>
            <w:tcBorders>
              <w:top w:val="single" w:sz="6" w:space="0" w:color="auto"/>
              <w:left w:val="single" w:sz="2" w:space="0" w:color="auto"/>
              <w:bottom w:val="single" w:sz="12" w:space="0" w:color="auto"/>
              <w:right w:val="single" w:sz="12" w:space="0" w:color="auto"/>
            </w:tcBorders>
            <w:vAlign w:val="center"/>
          </w:tcPr>
          <w:p w:rsidR="00D42C6B" w:rsidRPr="00D42C6B" w:rsidRDefault="00D42C6B" w:rsidP="005E0130">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 xml:space="preserve">Implemented </w:t>
            </w:r>
          </w:p>
        </w:tc>
        <w:tc>
          <w:tcPr>
            <w:tcW w:w="389" w:type="pct"/>
            <w:tcBorders>
              <w:top w:val="single" w:sz="6" w:space="0" w:color="auto"/>
              <w:left w:val="single" w:sz="12" w:space="0" w:color="auto"/>
              <w:bottom w:val="single" w:sz="12" w:space="0" w:color="auto"/>
              <w:right w:val="single" w:sz="4" w:space="0" w:color="000000"/>
            </w:tcBorders>
            <w:vAlign w:val="center"/>
          </w:tcPr>
          <w:p w:rsidR="00D42C6B" w:rsidRPr="00D42C6B" w:rsidRDefault="00D42C6B" w:rsidP="005E0130">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Target value</w:t>
            </w:r>
          </w:p>
        </w:tc>
        <w:tc>
          <w:tcPr>
            <w:tcW w:w="379" w:type="pct"/>
            <w:tcBorders>
              <w:top w:val="single" w:sz="6" w:space="0" w:color="auto"/>
              <w:left w:val="single" w:sz="4" w:space="0" w:color="000000"/>
              <w:bottom w:val="single" w:sz="12" w:space="0" w:color="auto"/>
              <w:right w:val="single" w:sz="12" w:space="0" w:color="auto"/>
            </w:tcBorders>
            <w:vAlign w:val="center"/>
          </w:tcPr>
          <w:p w:rsidR="00D42C6B" w:rsidRPr="00D42C6B" w:rsidRDefault="00D42C6B" w:rsidP="005E0130">
            <w:pPr>
              <w:widowControl/>
              <w:autoSpaceDE/>
              <w:autoSpaceDN/>
              <w:jc w:val="center"/>
              <w:rPr>
                <w:rFonts w:ascii="Garamond" w:eastAsia="Times New Roman" w:hAnsi="Garamond" w:cs="Calibri Light"/>
                <w:b/>
                <w:bCs/>
                <w:sz w:val="16"/>
                <w:szCs w:val="16"/>
                <w:lang w:eastAsia="en-US" w:bidi="ar-SA"/>
              </w:rPr>
            </w:pPr>
            <w:r w:rsidRPr="00D42C6B">
              <w:rPr>
                <w:rFonts w:ascii="Garamond" w:eastAsia="Times New Roman" w:hAnsi="Garamond" w:cs="Calibri Light"/>
                <w:b/>
                <w:bCs/>
                <w:sz w:val="16"/>
                <w:szCs w:val="16"/>
                <w:lang w:eastAsia="en-US" w:bidi="ar-SA"/>
              </w:rPr>
              <w:t xml:space="preserve">Implemented </w:t>
            </w:r>
          </w:p>
        </w:tc>
        <w:tc>
          <w:tcPr>
            <w:tcW w:w="299" w:type="pct"/>
            <w:vMerge/>
            <w:tcBorders>
              <w:top w:val="single" w:sz="6" w:space="0" w:color="auto"/>
              <w:left w:val="single" w:sz="12" w:space="0" w:color="auto"/>
              <w:bottom w:val="single" w:sz="12" w:space="0" w:color="auto"/>
            </w:tcBorders>
            <w:vAlign w:val="center"/>
            <w:hideMark/>
          </w:tcPr>
          <w:p w:rsidR="00D42C6B" w:rsidRPr="00D42C6B" w:rsidRDefault="00D42C6B" w:rsidP="00D42C6B">
            <w:pPr>
              <w:widowControl/>
              <w:autoSpaceDE/>
              <w:autoSpaceDN/>
              <w:jc w:val="center"/>
              <w:rPr>
                <w:rFonts w:ascii="Garamond" w:eastAsia="Times New Roman" w:hAnsi="Garamond" w:cs="Calibri Light"/>
                <w:b/>
                <w:bCs/>
                <w:sz w:val="16"/>
                <w:szCs w:val="16"/>
                <w:lang w:eastAsia="en-US" w:bidi="ar-SA"/>
              </w:rPr>
            </w:pPr>
          </w:p>
        </w:tc>
      </w:tr>
      <w:tr w:rsidR="00D42C6B" w:rsidRPr="00D42C6B" w:rsidTr="00D42C6B">
        <w:trPr>
          <w:trHeight w:val="990"/>
          <w:jc w:val="center"/>
        </w:trPr>
        <w:tc>
          <w:tcPr>
            <w:tcW w:w="940" w:type="pct"/>
            <w:tcBorders>
              <w:top w:val="single" w:sz="12" w:space="0" w:color="auto"/>
              <w:right w:val="single" w:sz="12" w:space="0" w:color="auto"/>
            </w:tcBorders>
            <w:shd w:val="clear" w:color="auto" w:fill="auto"/>
            <w:vAlign w:val="center"/>
            <w:hideMark/>
          </w:tcPr>
          <w:p w:rsidR="00D42C6B" w:rsidRPr="00D42C6B" w:rsidRDefault="00D42C6B" w:rsidP="00D42C6B">
            <w:pPr>
              <w:pStyle w:val="Default"/>
              <w:rPr>
                <w:rFonts w:ascii="Garamond" w:hAnsi="Garamond"/>
                <w:sz w:val="16"/>
                <w:szCs w:val="16"/>
              </w:rPr>
            </w:pPr>
            <w:r w:rsidRPr="00D42C6B">
              <w:rPr>
                <w:rFonts w:ascii="Garamond" w:hAnsi="Garamond"/>
                <w:sz w:val="16"/>
                <w:szCs w:val="16"/>
              </w:rPr>
              <w:t xml:space="preserve">The percentage of ministries that formally delegated decision-making responsibilities and authorities to the line managers </w:t>
            </w:r>
          </w:p>
          <w:p w:rsidR="00D42C6B" w:rsidRPr="00D42C6B" w:rsidRDefault="00D42C6B" w:rsidP="00D42C6B">
            <w:pPr>
              <w:rPr>
                <w:rFonts w:ascii="Garamond" w:eastAsia="Times New Roman" w:hAnsi="Garamond" w:cs="Calibri Light"/>
                <w:color w:val="000000"/>
                <w:sz w:val="16"/>
                <w:szCs w:val="16"/>
                <w:lang w:eastAsia="en-US" w:bidi="ar-SA"/>
              </w:rPr>
            </w:pPr>
            <w:r w:rsidRPr="00D42C6B">
              <w:rPr>
                <w:rFonts w:ascii="Garamond" w:hAnsi="Garamond"/>
                <w:sz w:val="16"/>
                <w:szCs w:val="16"/>
              </w:rPr>
              <w:t>which enhances managerial accountability</w:t>
            </w:r>
          </w:p>
        </w:tc>
        <w:tc>
          <w:tcPr>
            <w:tcW w:w="320" w:type="pct"/>
            <w:tcBorders>
              <w:top w:val="single" w:sz="12" w:space="0" w:color="auto"/>
              <w:left w:val="single" w:sz="12"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6</w:t>
            </w:r>
            <w:r>
              <w:rPr>
                <w:rFonts w:ascii="Garamond" w:eastAsia="Times New Roman" w:hAnsi="Garamond" w:cs="Calibri Light"/>
                <w:color w:val="000000"/>
                <w:sz w:val="16"/>
                <w:szCs w:val="16"/>
                <w:lang w:eastAsia="en-US" w:bidi="ar-SA"/>
              </w:rPr>
              <w:t>.</w:t>
            </w:r>
            <w:r w:rsidRPr="00D42C6B">
              <w:rPr>
                <w:rFonts w:ascii="Garamond" w:eastAsia="Times New Roman" w:hAnsi="Garamond" w:cs="Calibri Light"/>
                <w:color w:val="000000"/>
                <w:sz w:val="16"/>
                <w:szCs w:val="16"/>
                <w:lang w:eastAsia="en-US" w:bidi="ar-SA"/>
              </w:rPr>
              <w:t>25%</w:t>
            </w:r>
          </w:p>
        </w:tc>
        <w:tc>
          <w:tcPr>
            <w:tcW w:w="408" w:type="pct"/>
            <w:tcBorders>
              <w:top w:val="single" w:sz="12" w:space="0" w:color="auto"/>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30%</w:t>
            </w:r>
          </w:p>
        </w:tc>
        <w:tc>
          <w:tcPr>
            <w:tcW w:w="473" w:type="pct"/>
            <w:tcBorders>
              <w:top w:val="single" w:sz="12" w:space="0" w:color="auto"/>
              <w:right w:val="single" w:sz="12" w:space="0" w:color="auto"/>
            </w:tcBorders>
            <w:shd w:val="clear" w:color="auto" w:fill="auto"/>
            <w:noWrap/>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11.11%</w:t>
            </w:r>
          </w:p>
        </w:tc>
        <w:tc>
          <w:tcPr>
            <w:tcW w:w="438" w:type="pct"/>
            <w:tcBorders>
              <w:top w:val="single" w:sz="12" w:space="0" w:color="auto"/>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16%</w:t>
            </w:r>
          </w:p>
        </w:tc>
        <w:tc>
          <w:tcPr>
            <w:tcW w:w="473" w:type="pct"/>
            <w:tcBorders>
              <w:top w:val="single" w:sz="12"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18%</w:t>
            </w:r>
          </w:p>
        </w:tc>
        <w:tc>
          <w:tcPr>
            <w:tcW w:w="408" w:type="pct"/>
            <w:tcBorders>
              <w:top w:val="single" w:sz="12" w:space="0" w:color="auto"/>
              <w:right w:val="single" w:sz="2" w:space="0" w:color="auto"/>
            </w:tcBorders>
            <w:vAlign w:val="center"/>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50%</w:t>
            </w:r>
          </w:p>
        </w:tc>
        <w:tc>
          <w:tcPr>
            <w:tcW w:w="473" w:type="pct"/>
            <w:tcBorders>
              <w:top w:val="single" w:sz="12" w:space="0" w:color="auto"/>
              <w:left w:val="single" w:sz="2" w:space="0" w:color="auto"/>
              <w:right w:val="single" w:sz="12" w:space="0" w:color="auto"/>
            </w:tcBorders>
            <w:vAlign w:val="center"/>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12%</w:t>
            </w:r>
          </w:p>
        </w:tc>
        <w:tc>
          <w:tcPr>
            <w:tcW w:w="389" w:type="pct"/>
            <w:tcBorders>
              <w:top w:val="single" w:sz="12" w:space="0" w:color="auto"/>
              <w:left w:val="single" w:sz="12" w:space="0" w:color="auto"/>
              <w:right w:val="single" w:sz="4" w:space="0" w:color="000000"/>
            </w:tcBorders>
            <w:vAlign w:val="center"/>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90%</w:t>
            </w:r>
          </w:p>
        </w:tc>
        <w:tc>
          <w:tcPr>
            <w:tcW w:w="379" w:type="pct"/>
            <w:tcBorders>
              <w:top w:val="single" w:sz="12" w:space="0" w:color="auto"/>
              <w:left w:val="single" w:sz="4" w:space="0" w:color="000000"/>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游明朝" w:hAnsi="Garamond" w:cs="Calibri Light"/>
                <w:noProof/>
                <w:sz w:val="16"/>
                <w:szCs w:val="16"/>
                <w:lang w:eastAsia="en-GB" w:bidi="ar-SA"/>
              </w:rPr>
              <w:t>8</w:t>
            </w:r>
            <w:r>
              <w:rPr>
                <w:rFonts w:ascii="Garamond" w:eastAsia="游明朝" w:hAnsi="Garamond" w:cs="Calibri Light"/>
                <w:noProof/>
                <w:sz w:val="16"/>
                <w:szCs w:val="16"/>
                <w:lang w:eastAsia="en-GB" w:bidi="ar-SA"/>
              </w:rPr>
              <w:t>.</w:t>
            </w:r>
            <w:r w:rsidRPr="00D42C6B">
              <w:rPr>
                <w:rFonts w:ascii="Garamond" w:eastAsia="游明朝" w:hAnsi="Garamond" w:cs="Calibri Light"/>
                <w:noProof/>
                <w:sz w:val="16"/>
                <w:szCs w:val="16"/>
                <w:lang w:eastAsia="en-GB" w:bidi="ar-SA"/>
              </w:rPr>
              <w:t>3%</w:t>
            </w:r>
          </w:p>
        </w:tc>
        <w:tc>
          <w:tcPr>
            <w:tcW w:w="299" w:type="pct"/>
            <w:tcBorders>
              <w:top w:val="single" w:sz="12" w:space="0" w:color="auto"/>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B050"/>
                <w:sz w:val="16"/>
                <w:szCs w:val="16"/>
                <w:lang w:eastAsia="en-US" w:bidi="ar-SA"/>
              </w:rPr>
            </w:pPr>
            <w:r w:rsidRPr="00D42C6B">
              <w:rPr>
                <w:rFonts w:ascii="Garamond" w:eastAsia="游明朝" w:hAnsi="Garamond" w:cs="Calibri Light"/>
                <w:noProof/>
                <w:sz w:val="16"/>
                <w:szCs w:val="16"/>
                <w:lang w:eastAsia="ja-JP" w:bidi="ar-SA"/>
              </w:rPr>
              <w:drawing>
                <wp:inline distT="0" distB="0" distL="0" distR="0">
                  <wp:extent cx="257175" cy="238125"/>
                  <wp:effectExtent l="0" t="0" r="9525" b="9525"/>
                  <wp:docPr id="5" name="Picture 57" descr="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owner\Desktop\crvena strelica - manja.png"/>
                          <pic:cNvPicPr>
                            <a:picLocks noChangeAspect="1" noChangeArrowheads="1"/>
                          </pic:cNvPicPr>
                        </pic:nvPicPr>
                        <pic:blipFill>
                          <a:blip r:embed="rId1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D42C6B" w:rsidRPr="00D42C6B" w:rsidTr="00D42C6B">
        <w:trPr>
          <w:trHeight w:val="735"/>
          <w:jc w:val="center"/>
        </w:trPr>
        <w:tc>
          <w:tcPr>
            <w:tcW w:w="940" w:type="pct"/>
            <w:tcBorders>
              <w:right w:val="single" w:sz="12" w:space="0" w:color="auto"/>
            </w:tcBorders>
            <w:shd w:val="clear" w:color="auto" w:fill="auto"/>
            <w:vAlign w:val="center"/>
            <w:hideMark/>
          </w:tcPr>
          <w:p w:rsidR="00D42C6B" w:rsidRPr="00D42C6B" w:rsidRDefault="00D42C6B" w:rsidP="00D42C6B">
            <w:pPr>
              <w:pStyle w:val="Default"/>
              <w:jc w:val="both"/>
              <w:rPr>
                <w:rFonts w:ascii="Garamond" w:eastAsia="Times New Roman" w:hAnsi="Garamond" w:cs="Calibri Light"/>
                <w:sz w:val="16"/>
                <w:szCs w:val="16"/>
                <w:lang w:eastAsia="en-US"/>
              </w:rPr>
            </w:pPr>
            <w:r w:rsidRPr="00D42C6B">
              <w:rPr>
                <w:rFonts w:ascii="Garamond" w:hAnsi="Garamond"/>
                <w:sz w:val="16"/>
                <w:szCs w:val="16"/>
              </w:rPr>
              <w:t xml:space="preserve">Percentage of the budget users on central and local level submitting annual FMC reports </w:t>
            </w:r>
          </w:p>
        </w:tc>
        <w:tc>
          <w:tcPr>
            <w:tcW w:w="320" w:type="pct"/>
            <w:tcBorders>
              <w:left w:val="single" w:sz="12"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69%</w:t>
            </w:r>
          </w:p>
        </w:tc>
        <w:tc>
          <w:tcPr>
            <w:tcW w:w="40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75%</w:t>
            </w:r>
          </w:p>
        </w:tc>
        <w:tc>
          <w:tcPr>
            <w:tcW w:w="473" w:type="pct"/>
            <w:tcBorders>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80%</w:t>
            </w:r>
          </w:p>
        </w:tc>
        <w:tc>
          <w:tcPr>
            <w:tcW w:w="43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80%</w:t>
            </w:r>
          </w:p>
        </w:tc>
        <w:tc>
          <w:tcPr>
            <w:tcW w:w="473" w:type="pct"/>
            <w:tcBorders>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90%</w:t>
            </w:r>
          </w:p>
        </w:tc>
        <w:tc>
          <w:tcPr>
            <w:tcW w:w="408" w:type="pct"/>
            <w:tcBorders>
              <w:right w:val="single" w:sz="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90%</w:t>
            </w:r>
          </w:p>
        </w:tc>
        <w:tc>
          <w:tcPr>
            <w:tcW w:w="473" w:type="pct"/>
            <w:tcBorders>
              <w:left w:val="single" w:sz="2" w:space="0" w:color="auto"/>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游明朝" w:hAnsi="Garamond" w:cs="Calibri Light"/>
                <w:noProof/>
                <w:sz w:val="16"/>
                <w:szCs w:val="16"/>
                <w:lang w:eastAsia="en-GB" w:bidi="ar-SA"/>
              </w:rPr>
              <w:t>94%</w:t>
            </w:r>
          </w:p>
        </w:tc>
        <w:tc>
          <w:tcPr>
            <w:tcW w:w="389" w:type="pct"/>
            <w:tcBorders>
              <w:left w:val="single" w:sz="12" w:space="0" w:color="auto"/>
              <w:right w:val="single" w:sz="4" w:space="0" w:color="000000"/>
            </w:tcBorders>
            <w:vAlign w:val="center"/>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95%</w:t>
            </w:r>
          </w:p>
        </w:tc>
        <w:tc>
          <w:tcPr>
            <w:tcW w:w="379" w:type="pct"/>
            <w:tcBorders>
              <w:left w:val="single" w:sz="4" w:space="0" w:color="000000"/>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游明朝" w:hAnsi="Garamond" w:cs="Calibri Light"/>
                <w:noProof/>
                <w:sz w:val="16"/>
                <w:szCs w:val="16"/>
                <w:lang w:eastAsia="en-GB" w:bidi="ar-SA"/>
              </w:rPr>
              <w:t>93%</w:t>
            </w:r>
          </w:p>
        </w:tc>
        <w:tc>
          <w:tcPr>
            <w:tcW w:w="299"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B050"/>
                <w:sz w:val="16"/>
                <w:szCs w:val="16"/>
                <w:lang w:eastAsia="en-US" w:bidi="ar-SA"/>
              </w:rPr>
            </w:pPr>
            <w:r w:rsidRPr="00D42C6B">
              <w:rPr>
                <w:rFonts w:ascii="Garamond" w:eastAsia="游明朝" w:hAnsi="Garamond" w:cs="Calibri Light"/>
                <w:noProof/>
                <w:sz w:val="16"/>
                <w:szCs w:val="16"/>
                <w:lang w:eastAsia="ja-JP" w:bidi="ar-SA"/>
              </w:rPr>
              <w:drawing>
                <wp:inline distT="0" distB="0" distL="0" distR="0">
                  <wp:extent cx="257175" cy="238125"/>
                  <wp:effectExtent l="0" t="0" r="9525" b="9525"/>
                  <wp:docPr id="6" name="Picture 61" descr="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owner\Desktop\crvena strelica - manja.png"/>
                          <pic:cNvPicPr>
                            <a:picLocks noChangeAspect="1" noChangeArrowheads="1"/>
                          </pic:cNvPicPr>
                        </pic:nvPicPr>
                        <pic:blipFill>
                          <a:blip r:embed="rId1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D42C6B" w:rsidRPr="00D42C6B" w:rsidTr="00D42C6B">
        <w:trPr>
          <w:trHeight w:val="495"/>
          <w:jc w:val="center"/>
        </w:trPr>
        <w:tc>
          <w:tcPr>
            <w:tcW w:w="940" w:type="pct"/>
            <w:tcBorders>
              <w:right w:val="single" w:sz="12" w:space="0" w:color="auto"/>
            </w:tcBorders>
            <w:shd w:val="clear" w:color="auto" w:fill="auto"/>
            <w:vAlign w:val="center"/>
            <w:hideMark/>
          </w:tcPr>
          <w:p w:rsidR="00D42C6B" w:rsidRPr="00D42C6B" w:rsidRDefault="00D42C6B" w:rsidP="00D42C6B">
            <w:pPr>
              <w:pStyle w:val="Default"/>
              <w:jc w:val="both"/>
              <w:rPr>
                <w:rFonts w:ascii="Garamond" w:eastAsia="Times New Roman" w:hAnsi="Garamond" w:cs="Calibri Light"/>
                <w:sz w:val="16"/>
                <w:szCs w:val="16"/>
                <w:lang w:eastAsia="en-US"/>
              </w:rPr>
            </w:pPr>
            <w:r w:rsidRPr="00D42C6B">
              <w:rPr>
                <w:rFonts w:ascii="Garamond" w:hAnsi="Garamond"/>
                <w:sz w:val="16"/>
                <w:szCs w:val="16"/>
              </w:rPr>
              <w:t xml:space="preserve">Average number of internal auditors per unit </w:t>
            </w:r>
          </w:p>
        </w:tc>
        <w:tc>
          <w:tcPr>
            <w:tcW w:w="320" w:type="pct"/>
            <w:tcBorders>
              <w:left w:val="single" w:sz="12"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1</w:t>
            </w:r>
            <w:r>
              <w:rPr>
                <w:rFonts w:ascii="Garamond" w:eastAsia="Times New Roman" w:hAnsi="Garamond" w:cs="Calibri Light"/>
                <w:color w:val="000000"/>
                <w:sz w:val="16"/>
                <w:szCs w:val="16"/>
                <w:lang w:eastAsia="en-US" w:bidi="ar-SA"/>
              </w:rPr>
              <w:t>.</w:t>
            </w:r>
            <w:r w:rsidRPr="00D42C6B">
              <w:rPr>
                <w:rFonts w:ascii="Garamond" w:eastAsia="Times New Roman" w:hAnsi="Garamond" w:cs="Calibri Light"/>
                <w:color w:val="000000"/>
                <w:sz w:val="16"/>
                <w:szCs w:val="16"/>
                <w:lang w:eastAsia="en-US" w:bidi="ar-SA"/>
              </w:rPr>
              <w:t>76</w:t>
            </w:r>
          </w:p>
        </w:tc>
        <w:tc>
          <w:tcPr>
            <w:tcW w:w="40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2</w:t>
            </w:r>
          </w:p>
        </w:tc>
        <w:tc>
          <w:tcPr>
            <w:tcW w:w="473" w:type="pct"/>
            <w:tcBorders>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≈2</w:t>
            </w:r>
          </w:p>
        </w:tc>
        <w:tc>
          <w:tcPr>
            <w:tcW w:w="43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2.3</w:t>
            </w:r>
          </w:p>
        </w:tc>
        <w:tc>
          <w:tcPr>
            <w:tcW w:w="473" w:type="pct"/>
            <w:tcBorders>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2.21</w:t>
            </w:r>
          </w:p>
        </w:tc>
        <w:tc>
          <w:tcPr>
            <w:tcW w:w="408" w:type="pct"/>
            <w:tcBorders>
              <w:right w:val="single" w:sz="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2.5</w:t>
            </w:r>
          </w:p>
        </w:tc>
        <w:tc>
          <w:tcPr>
            <w:tcW w:w="473" w:type="pct"/>
            <w:tcBorders>
              <w:left w:val="single" w:sz="2" w:space="0" w:color="auto"/>
              <w:right w:val="single" w:sz="12" w:space="0" w:color="auto"/>
            </w:tcBorders>
            <w:shd w:val="clear" w:color="auto" w:fill="auto"/>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2.1</w:t>
            </w:r>
          </w:p>
        </w:tc>
        <w:tc>
          <w:tcPr>
            <w:tcW w:w="389" w:type="pct"/>
            <w:tcBorders>
              <w:left w:val="single" w:sz="12" w:space="0" w:color="auto"/>
              <w:right w:val="single" w:sz="4" w:space="0" w:color="000000"/>
            </w:tcBorders>
            <w:shd w:val="clear" w:color="auto" w:fill="auto"/>
            <w:vAlign w:val="center"/>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2.7</w:t>
            </w:r>
          </w:p>
        </w:tc>
        <w:tc>
          <w:tcPr>
            <w:tcW w:w="379" w:type="pct"/>
            <w:tcBorders>
              <w:left w:val="single" w:sz="4" w:space="0" w:color="000000"/>
              <w:right w:val="single" w:sz="12" w:space="0" w:color="auto"/>
            </w:tcBorders>
            <w:shd w:val="clear" w:color="auto" w:fill="auto"/>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游明朝" w:hAnsi="Garamond" w:cs="Calibri Light"/>
                <w:noProof/>
                <w:sz w:val="16"/>
                <w:szCs w:val="16"/>
                <w:lang w:eastAsia="en-GB" w:bidi="ar-SA"/>
              </w:rPr>
              <w:t>2.1</w:t>
            </w:r>
          </w:p>
        </w:tc>
        <w:tc>
          <w:tcPr>
            <w:tcW w:w="299"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B050"/>
                <w:sz w:val="16"/>
                <w:szCs w:val="16"/>
                <w:lang w:eastAsia="en-US" w:bidi="ar-SA"/>
              </w:rPr>
            </w:pPr>
            <w:r w:rsidRPr="00D42C6B">
              <w:rPr>
                <w:rFonts w:ascii="Garamond" w:eastAsia="游明朝" w:hAnsi="Garamond" w:cs="Calibri Light"/>
                <w:noProof/>
                <w:sz w:val="16"/>
                <w:szCs w:val="16"/>
                <w:lang w:eastAsia="ja-JP" w:bidi="ar-SA"/>
              </w:rPr>
              <w:drawing>
                <wp:inline distT="0" distB="0" distL="0" distR="0">
                  <wp:extent cx="276225" cy="238125"/>
                  <wp:effectExtent l="0" t="0" r="9525" b="9525"/>
                  <wp:docPr id="7" name="Picture 72"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Description: Description: 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8125"/>
                          </a:xfrm>
                          <a:prstGeom prst="rect">
                            <a:avLst/>
                          </a:prstGeom>
                          <a:noFill/>
                          <a:ln>
                            <a:noFill/>
                          </a:ln>
                        </pic:spPr>
                      </pic:pic>
                    </a:graphicData>
                  </a:graphic>
                </wp:inline>
              </w:drawing>
            </w:r>
          </w:p>
        </w:tc>
      </w:tr>
      <w:tr w:rsidR="00D42C6B" w:rsidRPr="00D42C6B" w:rsidTr="00D42C6B">
        <w:trPr>
          <w:trHeight w:val="495"/>
          <w:jc w:val="center"/>
        </w:trPr>
        <w:tc>
          <w:tcPr>
            <w:tcW w:w="940" w:type="pct"/>
            <w:tcBorders>
              <w:right w:val="single" w:sz="12" w:space="0" w:color="auto"/>
            </w:tcBorders>
            <w:shd w:val="clear" w:color="auto" w:fill="auto"/>
            <w:vAlign w:val="center"/>
            <w:hideMark/>
          </w:tcPr>
          <w:p w:rsidR="00D42C6B" w:rsidRPr="00D42C6B" w:rsidRDefault="00D42C6B" w:rsidP="00D42C6B">
            <w:pPr>
              <w:pStyle w:val="Default"/>
              <w:jc w:val="both"/>
              <w:rPr>
                <w:rFonts w:ascii="Garamond" w:eastAsia="Times New Roman" w:hAnsi="Garamond" w:cs="Calibri Light"/>
                <w:sz w:val="16"/>
                <w:szCs w:val="16"/>
                <w:lang w:eastAsia="en-US"/>
              </w:rPr>
            </w:pPr>
            <w:r w:rsidRPr="00D42C6B">
              <w:rPr>
                <w:rFonts w:ascii="Garamond" w:hAnsi="Garamond"/>
                <w:sz w:val="16"/>
                <w:szCs w:val="16"/>
              </w:rPr>
              <w:t xml:space="preserve">Percentage of appointed certified internal auditors </w:t>
            </w:r>
          </w:p>
        </w:tc>
        <w:tc>
          <w:tcPr>
            <w:tcW w:w="320" w:type="pct"/>
            <w:tcBorders>
              <w:left w:val="single" w:sz="12"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60%</w:t>
            </w:r>
          </w:p>
        </w:tc>
        <w:tc>
          <w:tcPr>
            <w:tcW w:w="40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75%</w:t>
            </w:r>
          </w:p>
        </w:tc>
        <w:tc>
          <w:tcPr>
            <w:tcW w:w="473" w:type="pct"/>
            <w:tcBorders>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90</w:t>
            </w:r>
            <w:r>
              <w:rPr>
                <w:rFonts w:ascii="Garamond" w:eastAsia="Times New Roman" w:hAnsi="Garamond" w:cs="Calibri Light"/>
                <w:color w:val="000000"/>
                <w:sz w:val="16"/>
                <w:szCs w:val="16"/>
                <w:lang w:eastAsia="en-US" w:bidi="ar-SA"/>
              </w:rPr>
              <w:t>.</w:t>
            </w:r>
            <w:r w:rsidRPr="00D42C6B">
              <w:rPr>
                <w:rFonts w:ascii="Garamond" w:eastAsia="Times New Roman" w:hAnsi="Garamond" w:cs="Calibri Light"/>
                <w:color w:val="000000"/>
                <w:sz w:val="16"/>
                <w:szCs w:val="16"/>
                <w:lang w:eastAsia="en-US" w:bidi="ar-SA"/>
              </w:rPr>
              <w:t>90%</w:t>
            </w:r>
          </w:p>
        </w:tc>
        <w:tc>
          <w:tcPr>
            <w:tcW w:w="43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80%</w:t>
            </w:r>
          </w:p>
        </w:tc>
        <w:tc>
          <w:tcPr>
            <w:tcW w:w="473" w:type="pct"/>
            <w:tcBorders>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94.05%</w:t>
            </w:r>
          </w:p>
        </w:tc>
        <w:tc>
          <w:tcPr>
            <w:tcW w:w="408" w:type="pct"/>
            <w:tcBorders>
              <w:right w:val="single" w:sz="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85%</w:t>
            </w:r>
          </w:p>
        </w:tc>
        <w:tc>
          <w:tcPr>
            <w:tcW w:w="473" w:type="pct"/>
            <w:tcBorders>
              <w:left w:val="single" w:sz="2" w:space="0" w:color="auto"/>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100.00%</w:t>
            </w:r>
          </w:p>
        </w:tc>
        <w:tc>
          <w:tcPr>
            <w:tcW w:w="389" w:type="pct"/>
            <w:tcBorders>
              <w:left w:val="single" w:sz="12" w:space="0" w:color="auto"/>
              <w:right w:val="single" w:sz="4" w:space="0" w:color="000000"/>
            </w:tcBorders>
            <w:vAlign w:val="center"/>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90%</w:t>
            </w:r>
          </w:p>
        </w:tc>
        <w:tc>
          <w:tcPr>
            <w:tcW w:w="379" w:type="pct"/>
            <w:tcBorders>
              <w:left w:val="single" w:sz="4" w:space="0" w:color="000000"/>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游明朝" w:hAnsi="Garamond" w:cs="Calibri Light"/>
                <w:noProof/>
                <w:sz w:val="16"/>
                <w:szCs w:val="16"/>
                <w:lang w:eastAsia="en-GB" w:bidi="ar-SA"/>
              </w:rPr>
              <w:t>93.1%</w:t>
            </w:r>
          </w:p>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p>
        </w:tc>
        <w:tc>
          <w:tcPr>
            <w:tcW w:w="299"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B050"/>
                <w:sz w:val="16"/>
                <w:szCs w:val="16"/>
                <w:lang w:eastAsia="en-US" w:bidi="ar-SA"/>
              </w:rPr>
            </w:pPr>
            <w:r w:rsidRPr="00D42C6B">
              <w:rPr>
                <w:rFonts w:ascii="Garamond" w:eastAsia="游明朝" w:hAnsi="Garamond" w:cs="Calibri Light"/>
                <w:noProof/>
                <w:sz w:val="16"/>
                <w:szCs w:val="16"/>
                <w:lang w:eastAsia="ja-JP" w:bidi="ar-SA"/>
              </w:rPr>
              <w:drawing>
                <wp:inline distT="0" distB="0" distL="0" distR="0">
                  <wp:extent cx="257175" cy="238125"/>
                  <wp:effectExtent l="0" t="0" r="9525" b="9525"/>
                  <wp:docPr id="9" name="Picture 74" descr="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owner\Desktop\crvena strelica - manja.png"/>
                          <pic:cNvPicPr>
                            <a:picLocks noChangeAspect="1" noChangeArrowheads="1"/>
                          </pic:cNvPicPr>
                        </pic:nvPicPr>
                        <pic:blipFill>
                          <a:blip r:embed="rId1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D42C6B" w:rsidRPr="00D42C6B" w:rsidTr="00D42C6B">
        <w:trPr>
          <w:trHeight w:val="495"/>
          <w:jc w:val="center"/>
        </w:trPr>
        <w:tc>
          <w:tcPr>
            <w:tcW w:w="940" w:type="pct"/>
            <w:tcBorders>
              <w:right w:val="single" w:sz="12" w:space="0" w:color="auto"/>
            </w:tcBorders>
            <w:shd w:val="clear" w:color="auto" w:fill="auto"/>
            <w:vAlign w:val="center"/>
            <w:hideMark/>
          </w:tcPr>
          <w:p w:rsidR="00D42C6B" w:rsidRPr="00D42C6B" w:rsidRDefault="00D42C6B" w:rsidP="00D42C6B">
            <w:pPr>
              <w:pStyle w:val="Default"/>
              <w:jc w:val="both"/>
              <w:rPr>
                <w:rFonts w:ascii="Garamond" w:hAnsi="Garamond"/>
                <w:sz w:val="16"/>
                <w:szCs w:val="16"/>
              </w:rPr>
            </w:pPr>
            <w:r w:rsidRPr="00D42C6B">
              <w:rPr>
                <w:rFonts w:ascii="Garamond" w:hAnsi="Garamond"/>
                <w:sz w:val="16"/>
                <w:szCs w:val="16"/>
              </w:rPr>
              <w:t xml:space="preserve">Percentage of appointed certified internal auditors who undergo CPD </w:t>
            </w:r>
          </w:p>
          <w:p w:rsidR="00D42C6B" w:rsidRPr="00D42C6B" w:rsidRDefault="00D42C6B" w:rsidP="00D42C6B">
            <w:pPr>
              <w:widowControl/>
              <w:autoSpaceDE/>
              <w:autoSpaceDN/>
              <w:jc w:val="both"/>
              <w:rPr>
                <w:rFonts w:ascii="Garamond" w:eastAsia="Times New Roman" w:hAnsi="Garamond" w:cs="Calibri Light"/>
                <w:color w:val="000000"/>
                <w:sz w:val="16"/>
                <w:szCs w:val="16"/>
                <w:lang w:eastAsia="en-US" w:bidi="ar-SA"/>
              </w:rPr>
            </w:pPr>
          </w:p>
        </w:tc>
        <w:tc>
          <w:tcPr>
            <w:tcW w:w="320" w:type="pct"/>
            <w:tcBorders>
              <w:left w:val="single" w:sz="12"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0%</w:t>
            </w:r>
          </w:p>
        </w:tc>
        <w:tc>
          <w:tcPr>
            <w:tcW w:w="40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70%</w:t>
            </w:r>
          </w:p>
        </w:tc>
        <w:tc>
          <w:tcPr>
            <w:tcW w:w="473" w:type="pct"/>
            <w:tcBorders>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72</w:t>
            </w:r>
            <w:r>
              <w:rPr>
                <w:rFonts w:ascii="Garamond" w:eastAsia="Times New Roman" w:hAnsi="Garamond" w:cs="Calibri Light"/>
                <w:color w:val="000000"/>
                <w:sz w:val="16"/>
                <w:szCs w:val="16"/>
                <w:lang w:eastAsia="en-US" w:bidi="ar-SA"/>
              </w:rPr>
              <w:t>.</w:t>
            </w:r>
            <w:r w:rsidRPr="00D42C6B">
              <w:rPr>
                <w:rFonts w:ascii="Garamond" w:eastAsia="Times New Roman" w:hAnsi="Garamond" w:cs="Calibri Light"/>
                <w:color w:val="000000"/>
                <w:sz w:val="16"/>
                <w:szCs w:val="16"/>
                <w:lang w:eastAsia="en-US" w:bidi="ar-SA"/>
              </w:rPr>
              <w:t>86%</w:t>
            </w:r>
          </w:p>
        </w:tc>
        <w:tc>
          <w:tcPr>
            <w:tcW w:w="43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75%</w:t>
            </w:r>
          </w:p>
        </w:tc>
        <w:tc>
          <w:tcPr>
            <w:tcW w:w="473" w:type="pct"/>
            <w:tcBorders>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83.64%</w:t>
            </w:r>
          </w:p>
        </w:tc>
        <w:tc>
          <w:tcPr>
            <w:tcW w:w="408" w:type="pct"/>
            <w:tcBorders>
              <w:right w:val="single" w:sz="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80%</w:t>
            </w:r>
          </w:p>
        </w:tc>
        <w:tc>
          <w:tcPr>
            <w:tcW w:w="473" w:type="pct"/>
            <w:tcBorders>
              <w:left w:val="single" w:sz="2" w:space="0" w:color="auto"/>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81</w:t>
            </w:r>
            <w:r>
              <w:rPr>
                <w:rFonts w:ascii="Garamond" w:eastAsia="Times New Roman" w:hAnsi="Garamond" w:cs="Calibri Light"/>
                <w:color w:val="000000"/>
                <w:sz w:val="16"/>
                <w:szCs w:val="16"/>
                <w:lang w:eastAsia="en-US" w:bidi="ar-SA"/>
              </w:rPr>
              <w:t>.</w:t>
            </w:r>
            <w:r w:rsidRPr="00D42C6B">
              <w:rPr>
                <w:rFonts w:ascii="Garamond" w:eastAsia="Times New Roman" w:hAnsi="Garamond" w:cs="Calibri Light"/>
                <w:color w:val="000000"/>
                <w:sz w:val="16"/>
                <w:szCs w:val="16"/>
                <w:lang w:eastAsia="en-US" w:bidi="ar-SA"/>
              </w:rPr>
              <w:t>36</w:t>
            </w:r>
            <w:r w:rsidRPr="00D42C6B">
              <w:rPr>
                <w:rFonts w:ascii="Garamond" w:eastAsia="游明朝" w:hAnsi="Garamond" w:cs="Calibri Light"/>
                <w:sz w:val="16"/>
                <w:szCs w:val="16"/>
                <w:lang w:eastAsia="en-US" w:bidi="ar-SA"/>
              </w:rPr>
              <w:t>%</w:t>
            </w:r>
          </w:p>
        </w:tc>
        <w:tc>
          <w:tcPr>
            <w:tcW w:w="389" w:type="pct"/>
            <w:tcBorders>
              <w:left w:val="single" w:sz="12" w:space="0" w:color="auto"/>
              <w:right w:val="single" w:sz="4" w:space="0" w:color="000000"/>
            </w:tcBorders>
            <w:vAlign w:val="center"/>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90%</w:t>
            </w:r>
          </w:p>
        </w:tc>
        <w:tc>
          <w:tcPr>
            <w:tcW w:w="379" w:type="pct"/>
            <w:tcBorders>
              <w:left w:val="single" w:sz="4" w:space="0" w:color="000000"/>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游明朝" w:hAnsi="Garamond" w:cs="Calibri Light"/>
                <w:noProof/>
                <w:sz w:val="16"/>
                <w:szCs w:val="16"/>
                <w:lang w:eastAsia="en-GB" w:bidi="ar-SA"/>
              </w:rPr>
              <w:t>80</w:t>
            </w:r>
            <w:r>
              <w:rPr>
                <w:rFonts w:ascii="Garamond" w:eastAsia="游明朝" w:hAnsi="Garamond" w:cs="Calibri Light"/>
                <w:noProof/>
                <w:sz w:val="16"/>
                <w:szCs w:val="16"/>
                <w:lang w:eastAsia="en-GB" w:bidi="ar-SA"/>
              </w:rPr>
              <w:t>.</w:t>
            </w:r>
            <w:r w:rsidRPr="00D42C6B">
              <w:rPr>
                <w:rFonts w:ascii="Garamond" w:eastAsia="游明朝" w:hAnsi="Garamond" w:cs="Calibri Light"/>
                <w:noProof/>
                <w:sz w:val="16"/>
                <w:szCs w:val="16"/>
                <w:lang w:eastAsia="en-GB" w:bidi="ar-SA"/>
              </w:rPr>
              <w:t>0%</w:t>
            </w:r>
          </w:p>
        </w:tc>
        <w:tc>
          <w:tcPr>
            <w:tcW w:w="299"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B050"/>
                <w:sz w:val="16"/>
                <w:szCs w:val="16"/>
                <w:lang w:eastAsia="en-US" w:bidi="ar-SA"/>
              </w:rPr>
            </w:pPr>
            <w:r w:rsidRPr="00D42C6B">
              <w:rPr>
                <w:rFonts w:ascii="Garamond" w:eastAsia="游明朝" w:hAnsi="Garamond" w:cs="Calibri Light"/>
                <w:noProof/>
                <w:sz w:val="16"/>
                <w:szCs w:val="16"/>
                <w:lang w:eastAsia="ja-JP" w:bidi="ar-SA"/>
              </w:rPr>
              <w:drawing>
                <wp:inline distT="0" distB="0" distL="0" distR="0">
                  <wp:extent cx="257175" cy="238125"/>
                  <wp:effectExtent l="0" t="0" r="9525" b="9525"/>
                  <wp:docPr id="11" name="Picture 68" descr="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owner\Desktop\crvena strelica - manja.png"/>
                          <pic:cNvPicPr>
                            <a:picLocks noChangeAspect="1" noChangeArrowheads="1"/>
                          </pic:cNvPicPr>
                        </pic:nvPicPr>
                        <pic:blipFill>
                          <a:blip r:embed="rId1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D42C6B" w:rsidRPr="00D42C6B" w:rsidTr="00D42C6B">
        <w:trPr>
          <w:trHeight w:val="975"/>
          <w:jc w:val="center"/>
        </w:trPr>
        <w:tc>
          <w:tcPr>
            <w:tcW w:w="940" w:type="pct"/>
            <w:tcBorders>
              <w:right w:val="single" w:sz="12" w:space="0" w:color="auto"/>
            </w:tcBorders>
            <w:shd w:val="clear" w:color="auto" w:fill="auto"/>
            <w:vAlign w:val="center"/>
            <w:hideMark/>
          </w:tcPr>
          <w:p w:rsidR="00D42C6B" w:rsidRPr="00D42C6B" w:rsidRDefault="00D42C6B" w:rsidP="00D42C6B">
            <w:pPr>
              <w:pStyle w:val="Default"/>
              <w:jc w:val="both"/>
              <w:rPr>
                <w:rFonts w:ascii="Garamond" w:eastAsia="Times New Roman" w:hAnsi="Garamond" w:cs="Calibri Light"/>
                <w:sz w:val="16"/>
                <w:szCs w:val="16"/>
                <w:lang w:eastAsia="en-US"/>
              </w:rPr>
            </w:pPr>
            <w:r w:rsidRPr="00D42C6B">
              <w:rPr>
                <w:rFonts w:ascii="Garamond" w:hAnsi="Garamond"/>
                <w:sz w:val="16"/>
                <w:szCs w:val="16"/>
              </w:rPr>
              <w:t xml:space="preserve">Percentage of implemented and partially implemented recommendations given by internal auditors in the previous year that were implemented by the end of the current year </w:t>
            </w:r>
          </w:p>
        </w:tc>
        <w:tc>
          <w:tcPr>
            <w:tcW w:w="320" w:type="pct"/>
            <w:tcBorders>
              <w:left w:val="single" w:sz="12" w:space="0" w:color="auto"/>
              <w:bottom w:val="single" w:sz="18" w:space="0" w:color="auto"/>
              <w:righ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48%</w:t>
            </w:r>
          </w:p>
        </w:tc>
        <w:tc>
          <w:tcPr>
            <w:tcW w:w="408"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55%</w:t>
            </w:r>
          </w:p>
        </w:tc>
        <w:tc>
          <w:tcPr>
            <w:tcW w:w="473" w:type="pct"/>
            <w:tcBorders>
              <w:right w:val="single" w:sz="12" w:space="0" w:color="auto"/>
            </w:tcBorders>
            <w:shd w:val="clear" w:color="auto" w:fill="auto"/>
            <w:noWrap/>
            <w:vAlign w:val="center"/>
            <w:hideMark/>
          </w:tcPr>
          <w:p w:rsidR="00D42C6B" w:rsidRPr="00D42C6B" w:rsidRDefault="00D42C6B" w:rsidP="00D42C6B">
            <w:pPr>
              <w:widowControl/>
              <w:autoSpaceDE/>
              <w:autoSpaceDN/>
              <w:jc w:val="both"/>
              <w:rPr>
                <w:rFonts w:ascii="Garamond" w:eastAsia="Times New Roman" w:hAnsi="Garamond" w:cs="Calibri Light"/>
                <w:sz w:val="16"/>
                <w:szCs w:val="16"/>
                <w:lang w:eastAsia="en-US" w:bidi="ar-SA"/>
              </w:rPr>
            </w:pPr>
            <w:r w:rsidRPr="00D42C6B">
              <w:rPr>
                <w:rFonts w:ascii="Garamond" w:eastAsia="游明朝" w:hAnsi="Garamond" w:cs="Calibri Light"/>
                <w:sz w:val="16"/>
                <w:szCs w:val="16"/>
                <w:lang w:eastAsia="en-US" w:bidi="ar-SA"/>
              </w:rPr>
              <w:t>73</w:t>
            </w:r>
            <w:r>
              <w:rPr>
                <w:rFonts w:ascii="Garamond" w:eastAsia="游明朝" w:hAnsi="Garamond" w:cs="Calibri Light"/>
                <w:sz w:val="16"/>
                <w:szCs w:val="16"/>
                <w:lang w:eastAsia="en-US" w:bidi="ar-SA"/>
              </w:rPr>
              <w:t>.</w:t>
            </w:r>
            <w:r w:rsidRPr="00D42C6B">
              <w:rPr>
                <w:rFonts w:ascii="Garamond" w:eastAsia="游明朝" w:hAnsi="Garamond" w:cs="Calibri Light"/>
                <w:sz w:val="16"/>
                <w:szCs w:val="16"/>
                <w:lang w:eastAsia="en-US" w:bidi="ar-SA"/>
              </w:rPr>
              <w:t>5%</w:t>
            </w:r>
            <w:r w:rsidRPr="00D42C6B">
              <w:rPr>
                <w:rFonts w:ascii="Garamond" w:eastAsia="游明朝" w:hAnsi="Garamond" w:cs="Calibri Light"/>
                <w:sz w:val="16"/>
                <w:szCs w:val="16"/>
                <w:vertAlign w:val="superscript"/>
                <w:lang w:eastAsia="en-US" w:bidi="ar-SA"/>
              </w:rPr>
              <w:footnoteReference w:id="28"/>
            </w:r>
          </w:p>
        </w:tc>
        <w:tc>
          <w:tcPr>
            <w:tcW w:w="438" w:type="pct"/>
            <w:tcBorders>
              <w:left w:val="single" w:sz="12" w:space="0" w:color="auto"/>
              <w:bottom w:val="single" w:sz="18"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sz w:val="16"/>
                <w:szCs w:val="16"/>
                <w:lang w:eastAsia="en-US" w:bidi="ar-SA"/>
              </w:rPr>
            </w:pPr>
            <w:r w:rsidRPr="00D42C6B">
              <w:rPr>
                <w:rFonts w:ascii="Garamond" w:eastAsia="Times New Roman" w:hAnsi="Garamond" w:cs="Calibri Light"/>
                <w:sz w:val="16"/>
                <w:szCs w:val="16"/>
                <w:lang w:eastAsia="en-US" w:bidi="ar-SA"/>
              </w:rPr>
              <w:t>60%</w:t>
            </w:r>
          </w:p>
        </w:tc>
        <w:tc>
          <w:tcPr>
            <w:tcW w:w="473" w:type="pct"/>
            <w:tcBorders>
              <w:bottom w:val="single" w:sz="18" w:space="0" w:color="auto"/>
              <w:right w:val="single" w:sz="12" w:space="0" w:color="auto"/>
            </w:tcBorders>
            <w:shd w:val="clear" w:color="auto" w:fill="auto"/>
            <w:noWrap/>
            <w:vAlign w:val="center"/>
            <w:hideMark/>
          </w:tcPr>
          <w:p w:rsidR="00D42C6B" w:rsidRPr="00D42C6B" w:rsidRDefault="00D42C6B" w:rsidP="00D42C6B">
            <w:pPr>
              <w:widowControl/>
              <w:autoSpaceDE/>
              <w:autoSpaceDN/>
              <w:jc w:val="center"/>
              <w:rPr>
                <w:rFonts w:ascii="Garamond" w:eastAsia="Times New Roman" w:hAnsi="Garamond" w:cs="Calibri Light"/>
                <w:sz w:val="16"/>
                <w:szCs w:val="16"/>
                <w:lang w:eastAsia="en-US" w:bidi="ar-SA"/>
              </w:rPr>
            </w:pPr>
            <w:r w:rsidRPr="00D42C6B">
              <w:rPr>
                <w:rFonts w:ascii="Garamond" w:eastAsia="游明朝" w:hAnsi="Garamond" w:cs="Calibri Light"/>
                <w:sz w:val="16"/>
                <w:szCs w:val="16"/>
                <w:lang w:eastAsia="en-US" w:bidi="ar-SA"/>
              </w:rPr>
              <w:t>79</w:t>
            </w:r>
            <w:r>
              <w:rPr>
                <w:rFonts w:ascii="Garamond" w:eastAsia="游明朝" w:hAnsi="Garamond" w:cs="Calibri Light"/>
                <w:sz w:val="16"/>
                <w:szCs w:val="16"/>
                <w:lang w:eastAsia="en-US" w:bidi="ar-SA"/>
              </w:rPr>
              <w:t>.</w:t>
            </w:r>
            <w:r w:rsidRPr="00D42C6B">
              <w:rPr>
                <w:rFonts w:ascii="Garamond" w:eastAsia="游明朝" w:hAnsi="Garamond" w:cs="Calibri Light"/>
                <w:sz w:val="16"/>
                <w:szCs w:val="16"/>
                <w:lang w:eastAsia="en-US" w:bidi="ar-SA"/>
              </w:rPr>
              <w:t>16%</w:t>
            </w:r>
          </w:p>
        </w:tc>
        <w:tc>
          <w:tcPr>
            <w:tcW w:w="408" w:type="pct"/>
            <w:tcBorders>
              <w:bottom w:val="single" w:sz="18" w:space="0" w:color="auto"/>
              <w:right w:val="single" w:sz="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65%</w:t>
            </w:r>
          </w:p>
        </w:tc>
        <w:tc>
          <w:tcPr>
            <w:tcW w:w="473" w:type="pct"/>
            <w:tcBorders>
              <w:left w:val="single" w:sz="2" w:space="0" w:color="auto"/>
              <w:bottom w:val="single" w:sz="18" w:space="0" w:color="auto"/>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Times New Roman" w:hAnsi="Garamond" w:cs="Calibri Light"/>
                <w:color w:val="000000"/>
                <w:sz w:val="16"/>
                <w:szCs w:val="16"/>
                <w:lang w:eastAsia="en-US" w:bidi="ar-SA"/>
              </w:rPr>
              <w:t>84</w:t>
            </w:r>
            <w:r>
              <w:rPr>
                <w:rFonts w:ascii="Garamond" w:eastAsia="Times New Roman" w:hAnsi="Garamond" w:cs="Calibri Light"/>
                <w:color w:val="000000"/>
                <w:sz w:val="16"/>
                <w:szCs w:val="16"/>
                <w:lang w:eastAsia="en-US" w:bidi="ar-SA"/>
              </w:rPr>
              <w:t>.</w:t>
            </w:r>
            <w:r w:rsidRPr="00D42C6B">
              <w:rPr>
                <w:rFonts w:ascii="Garamond" w:eastAsia="Times New Roman" w:hAnsi="Garamond" w:cs="Calibri Light"/>
                <w:color w:val="000000"/>
                <w:sz w:val="16"/>
                <w:szCs w:val="16"/>
                <w:lang w:eastAsia="en-US" w:bidi="ar-SA"/>
              </w:rPr>
              <w:t>11</w:t>
            </w:r>
            <w:r w:rsidRPr="00D42C6B">
              <w:rPr>
                <w:rFonts w:ascii="Garamond" w:eastAsia="游明朝" w:hAnsi="Garamond" w:cs="Calibri Light"/>
                <w:sz w:val="16"/>
                <w:szCs w:val="16"/>
                <w:lang w:eastAsia="en-US" w:bidi="ar-SA"/>
              </w:rPr>
              <w:t>%</w:t>
            </w:r>
          </w:p>
        </w:tc>
        <w:tc>
          <w:tcPr>
            <w:tcW w:w="389" w:type="pct"/>
            <w:tcBorders>
              <w:left w:val="single" w:sz="12" w:space="0" w:color="auto"/>
              <w:right w:val="single" w:sz="4" w:space="0" w:color="000000"/>
            </w:tcBorders>
            <w:vAlign w:val="center"/>
          </w:tcPr>
          <w:p w:rsidR="00D42C6B" w:rsidRPr="00D42C6B" w:rsidRDefault="00D42C6B" w:rsidP="00D42C6B">
            <w:pPr>
              <w:widowControl/>
              <w:autoSpaceDE/>
              <w:autoSpaceDN/>
              <w:jc w:val="center"/>
              <w:rPr>
                <w:rFonts w:ascii="Garamond" w:eastAsia="Times New Roman" w:hAnsi="Garamond" w:cs="Calibri Light"/>
                <w:color w:val="000000"/>
                <w:sz w:val="16"/>
                <w:szCs w:val="16"/>
                <w:lang w:eastAsia="en-US" w:bidi="ar-SA"/>
              </w:rPr>
            </w:pPr>
            <w:r w:rsidRPr="00D42C6B">
              <w:rPr>
                <w:rFonts w:ascii="Garamond" w:eastAsia="Times New Roman" w:hAnsi="Garamond" w:cs="Calibri Light"/>
                <w:color w:val="000000"/>
                <w:sz w:val="16"/>
                <w:szCs w:val="16"/>
                <w:lang w:eastAsia="en-US" w:bidi="ar-SA"/>
              </w:rPr>
              <w:t>70%</w:t>
            </w:r>
          </w:p>
        </w:tc>
        <w:tc>
          <w:tcPr>
            <w:tcW w:w="379" w:type="pct"/>
            <w:tcBorders>
              <w:left w:val="single" w:sz="4" w:space="0" w:color="000000"/>
              <w:right w:val="single" w:sz="12" w:space="0" w:color="auto"/>
            </w:tcBorders>
            <w:vAlign w:val="center"/>
          </w:tcPr>
          <w:p w:rsidR="00D42C6B" w:rsidRPr="00D42C6B" w:rsidRDefault="00D42C6B" w:rsidP="00D42C6B">
            <w:pPr>
              <w:widowControl/>
              <w:autoSpaceDE/>
              <w:autoSpaceDN/>
              <w:jc w:val="center"/>
              <w:rPr>
                <w:rFonts w:ascii="Garamond" w:eastAsia="游明朝" w:hAnsi="Garamond" w:cs="Calibri Light"/>
                <w:noProof/>
                <w:sz w:val="16"/>
                <w:szCs w:val="16"/>
                <w:lang w:eastAsia="en-GB" w:bidi="ar-SA"/>
              </w:rPr>
            </w:pPr>
            <w:r w:rsidRPr="00D42C6B">
              <w:rPr>
                <w:rFonts w:ascii="Garamond" w:eastAsia="游明朝" w:hAnsi="Garamond" w:cs="Calibri Light"/>
                <w:noProof/>
                <w:sz w:val="16"/>
                <w:szCs w:val="16"/>
                <w:lang w:eastAsia="en-GB" w:bidi="ar-SA"/>
              </w:rPr>
              <w:t>79</w:t>
            </w:r>
            <w:r>
              <w:rPr>
                <w:rFonts w:ascii="Garamond" w:eastAsia="游明朝" w:hAnsi="Garamond" w:cs="Calibri Light"/>
                <w:noProof/>
                <w:sz w:val="16"/>
                <w:szCs w:val="16"/>
                <w:lang w:eastAsia="en-GB" w:bidi="ar-SA"/>
              </w:rPr>
              <w:t>.</w:t>
            </w:r>
            <w:r w:rsidRPr="00D42C6B">
              <w:rPr>
                <w:rFonts w:ascii="Garamond" w:eastAsia="游明朝" w:hAnsi="Garamond" w:cs="Calibri Light"/>
                <w:noProof/>
                <w:sz w:val="16"/>
                <w:szCs w:val="16"/>
                <w:lang w:eastAsia="en-GB" w:bidi="ar-SA"/>
              </w:rPr>
              <w:t>4%</w:t>
            </w:r>
          </w:p>
        </w:tc>
        <w:tc>
          <w:tcPr>
            <w:tcW w:w="299" w:type="pct"/>
            <w:tcBorders>
              <w:left w:val="single" w:sz="12" w:space="0" w:color="auto"/>
            </w:tcBorders>
            <w:shd w:val="clear" w:color="auto" w:fill="auto"/>
            <w:vAlign w:val="center"/>
            <w:hideMark/>
          </w:tcPr>
          <w:p w:rsidR="00D42C6B" w:rsidRPr="00D42C6B" w:rsidRDefault="00D42C6B" w:rsidP="00D42C6B">
            <w:pPr>
              <w:widowControl/>
              <w:autoSpaceDE/>
              <w:autoSpaceDN/>
              <w:jc w:val="center"/>
              <w:rPr>
                <w:rFonts w:ascii="Garamond" w:eastAsia="Times New Roman" w:hAnsi="Garamond" w:cs="Calibri Light"/>
                <w:color w:val="00B050"/>
                <w:sz w:val="16"/>
                <w:szCs w:val="16"/>
                <w:lang w:eastAsia="en-US" w:bidi="ar-SA"/>
              </w:rPr>
            </w:pPr>
            <w:r w:rsidRPr="00D42C6B">
              <w:rPr>
                <w:rFonts w:ascii="Garamond" w:eastAsia="游明朝" w:hAnsi="Garamond" w:cs="Calibri Light"/>
                <w:noProof/>
                <w:sz w:val="16"/>
                <w:szCs w:val="16"/>
                <w:lang w:eastAsia="ja-JP" w:bidi="ar-SA"/>
              </w:rPr>
              <w:drawing>
                <wp:inline distT="0" distB="0" distL="0" distR="0">
                  <wp:extent cx="257175" cy="238125"/>
                  <wp:effectExtent l="0" t="0" r="9525" b="9525"/>
                  <wp:docPr id="12" name="Picture 75" descr="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Description: Description: C:\Users\owner\Desktop\crvena strelica - manja.png"/>
                          <pic:cNvPicPr>
                            <a:picLocks noChangeAspect="1" noChangeArrowheads="1"/>
                          </pic:cNvPicPr>
                        </pic:nvPicPr>
                        <pic:blipFill>
                          <a:blip r:embed="rId16"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175" cy="238125"/>
                          </a:xfrm>
                          <a:prstGeom prst="rect">
                            <a:avLst/>
                          </a:prstGeom>
                          <a:noFill/>
                          <a:ln>
                            <a:noFill/>
                          </a:ln>
                        </pic:spPr>
                      </pic:pic>
                    </a:graphicData>
                  </a:graphic>
                </wp:inline>
              </w:drawing>
            </w:r>
          </w:p>
        </w:tc>
      </w:tr>
    </w:tbl>
    <w:p w:rsidR="004D1343" w:rsidRPr="00C32887" w:rsidRDefault="004D1343" w:rsidP="004D1343">
      <w:pPr>
        <w:rPr>
          <w:rFonts w:ascii="Garamond" w:hAnsi="Garamond"/>
          <w:sz w:val="24"/>
          <w:szCs w:val="24"/>
        </w:rPr>
      </w:pPr>
    </w:p>
    <w:p w:rsidR="00D42C6B" w:rsidRDefault="00D42C6B">
      <w:pPr>
        <w:rPr>
          <w:rFonts w:ascii="Garamond" w:hAnsi="Garamond"/>
          <w:sz w:val="24"/>
          <w:szCs w:val="24"/>
        </w:rPr>
      </w:pPr>
    </w:p>
    <w:p w:rsidR="00D42C6B" w:rsidRDefault="00613C2B">
      <w:pPr>
        <w:rPr>
          <w:rFonts w:ascii="Garamond" w:hAnsi="Garamond"/>
          <w:sz w:val="24"/>
          <w:szCs w:val="24"/>
        </w:rPr>
      </w:pPr>
      <w:r w:rsidRPr="00613C2B">
        <w:rPr>
          <w:rFonts w:cstheme="majorHAnsi"/>
          <w:i/>
          <w:noProof/>
          <w:color w:val="000000"/>
          <w:szCs w:val="24"/>
          <w:lang w:val="en-GB" w:eastAsia="en-GB"/>
        </w:rPr>
      </w:r>
      <w:r w:rsidRPr="00613C2B">
        <w:rPr>
          <w:rFonts w:cstheme="majorHAnsi"/>
          <w:i/>
          <w:noProof/>
          <w:color w:val="000000"/>
          <w:szCs w:val="24"/>
          <w:lang w:val="en-GB" w:eastAsia="en-GB"/>
        </w:rPr>
        <w:pict>
          <v:roundrect id="Rounded Rectangle 18" o:spid="_x0000_s1032" style="width:677.4pt;height:63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" fillcolor="#243f60 [1604]" strokecolor="#243f60 [1604]" strokeweight="1pt">
            <v:stroke joinstyle="miter"/>
            <v:textbox>
              <w:txbxContent>
                <w:p w:rsidR="002C4371" w:rsidRPr="00D42C6B" w:rsidRDefault="002C4371" w:rsidP="00D42C6B">
                  <w:pPr>
                    <w:rPr>
                      <w:sz w:val="20"/>
                      <w:szCs w:val="20"/>
                    </w:rPr>
                  </w:pPr>
                  <w:r w:rsidRPr="00D42C6B">
                    <w:rPr>
                      <w:sz w:val="20"/>
                      <w:szCs w:val="20"/>
                    </w:rPr>
                    <w:t>Challenge:</w:t>
                  </w:r>
                </w:p>
                <w:p w:rsidR="002C4371" w:rsidRPr="00D42C6B" w:rsidRDefault="002C4371" w:rsidP="00D42C6B">
                  <w:pPr>
                    <w:rPr>
                      <w:sz w:val="20"/>
                      <w:szCs w:val="20"/>
                    </w:rPr>
                  </w:pPr>
                </w:p>
                <w:p w:rsidR="002C4371" w:rsidRPr="00D42C6B" w:rsidRDefault="002C4371" w:rsidP="00D42C6B">
                  <w:pPr>
                    <w:rPr>
                      <w:szCs w:val="20"/>
                    </w:rPr>
                  </w:pPr>
                  <w:r w:rsidRPr="00D42C6B">
                    <w:rPr>
                      <w:sz w:val="20"/>
                      <w:szCs w:val="20"/>
                    </w:rPr>
                    <w:t>In the forthcoming period, special attention should be paid to the establishment of a system of delegation of responsibilities as well as further strengthening of the capacity of internal auditors.</w:t>
                  </w:r>
                </w:p>
              </w:txbxContent>
            </v:textbox>
            <w10:wrap type="none"/>
            <w10:anchorlock/>
          </v:roundrect>
        </w:pict>
      </w:r>
    </w:p>
    <w:p w:rsidR="00D42C6B" w:rsidRDefault="00D42C6B">
      <w:pPr>
        <w:rPr>
          <w:rFonts w:ascii="Garamond" w:hAnsi="Garamond"/>
          <w:sz w:val="24"/>
          <w:szCs w:val="24"/>
        </w:rPr>
      </w:pPr>
    </w:p>
    <w:p w:rsidR="00D42C6B" w:rsidRDefault="00D42C6B">
      <w:pPr>
        <w:rPr>
          <w:rFonts w:ascii="Garamond" w:hAnsi="Garamond"/>
          <w:sz w:val="24"/>
          <w:szCs w:val="24"/>
        </w:rPr>
      </w:pPr>
    </w:p>
    <w:p w:rsidR="00D42C6B" w:rsidRDefault="00D42C6B">
      <w:pPr>
        <w:rPr>
          <w:rFonts w:ascii="Garamond" w:hAnsi="Garamond"/>
          <w:sz w:val="24"/>
          <w:szCs w:val="24"/>
        </w:rPr>
      </w:pPr>
    </w:p>
    <w:p w:rsidR="00D42C6B" w:rsidRDefault="00D42C6B">
      <w:pPr>
        <w:rPr>
          <w:rFonts w:ascii="Garamond" w:hAnsi="Garamond"/>
          <w:sz w:val="24"/>
          <w:szCs w:val="24"/>
        </w:rPr>
      </w:pPr>
    </w:p>
    <w:p w:rsidR="00D42C6B" w:rsidRDefault="00D42C6B">
      <w:pPr>
        <w:rPr>
          <w:rFonts w:ascii="Garamond" w:hAnsi="Garamond"/>
          <w:sz w:val="24"/>
          <w:szCs w:val="24"/>
        </w:rPr>
      </w:pPr>
    </w:p>
    <w:p w:rsidR="00D42C6B" w:rsidRDefault="00D42C6B">
      <w:pPr>
        <w:rPr>
          <w:rFonts w:ascii="Garamond" w:hAnsi="Garamond"/>
          <w:sz w:val="24"/>
          <w:szCs w:val="24"/>
        </w:rPr>
        <w:sectPr w:rsidR="00D42C6B" w:rsidSect="00D42C6B">
          <w:pgSz w:w="15840" w:h="12240" w:orient="landscape"/>
          <w:pgMar w:top="1440" w:right="1440" w:bottom="1440" w:left="1440" w:header="720" w:footer="720" w:gutter="0"/>
          <w:cols w:space="720"/>
          <w:docGrid w:linePitch="360"/>
        </w:sectPr>
      </w:pPr>
    </w:p>
    <w:p w:rsidR="004D1343" w:rsidRPr="00C32887" w:rsidRDefault="006973E9" w:rsidP="006973E9">
      <w:pPr>
        <w:pStyle w:val="Heading2"/>
        <w:rPr>
          <w:rFonts w:ascii="Garamond" w:hAnsi="Garamond"/>
          <w:sz w:val="24"/>
          <w:szCs w:val="24"/>
        </w:rPr>
      </w:pPr>
      <w:bookmarkStart w:id="22" w:name="_Toc77688202"/>
      <w:r w:rsidRPr="00C32887">
        <w:rPr>
          <w:rFonts w:ascii="Garamond" w:hAnsi="Garamond"/>
          <w:sz w:val="24"/>
          <w:szCs w:val="24"/>
        </w:rPr>
        <w:t>OBJECTIVE 4 TRANSPARENT FINANCIAL REPORTING AND ACCOUNTING</w:t>
      </w:r>
      <w:bookmarkEnd w:id="22"/>
    </w:p>
    <w:p w:rsidR="004D1343" w:rsidRPr="00C32887" w:rsidRDefault="004D1343" w:rsidP="004D1343">
      <w:pPr>
        <w:rPr>
          <w:rFonts w:ascii="Garamond" w:hAnsi="Garamond"/>
          <w:sz w:val="24"/>
          <w:szCs w:val="24"/>
        </w:rPr>
      </w:pPr>
    </w:p>
    <w:p w:rsidR="004D1343" w:rsidRPr="00C32887" w:rsidRDefault="004D1343" w:rsidP="006973E9">
      <w:pPr>
        <w:jc w:val="both"/>
        <w:rPr>
          <w:rFonts w:ascii="Garamond" w:hAnsi="Garamond"/>
          <w:sz w:val="24"/>
          <w:szCs w:val="24"/>
        </w:rPr>
      </w:pPr>
      <w:r w:rsidRPr="00C32887">
        <w:rPr>
          <w:rFonts w:ascii="Garamond" w:hAnsi="Garamond"/>
          <w:sz w:val="24"/>
          <w:szCs w:val="24"/>
        </w:rPr>
        <w:t xml:space="preserve">The </w:t>
      </w:r>
      <w:r w:rsidR="009860A3" w:rsidRPr="00C32887">
        <w:rPr>
          <w:rFonts w:ascii="Garamond" w:hAnsi="Garamond"/>
          <w:sz w:val="24"/>
          <w:szCs w:val="24"/>
        </w:rPr>
        <w:t xml:space="preserve">Strategy </w:t>
      </w:r>
      <w:r w:rsidRPr="00C32887">
        <w:rPr>
          <w:rFonts w:ascii="Garamond" w:hAnsi="Garamond"/>
          <w:sz w:val="24"/>
          <w:szCs w:val="24"/>
        </w:rPr>
        <w:t>for the transition of the public sector to accrual acc</w:t>
      </w:r>
      <w:r w:rsidR="00C2654B">
        <w:rPr>
          <w:rFonts w:ascii="Garamond" w:hAnsi="Garamond"/>
          <w:sz w:val="24"/>
          <w:szCs w:val="24"/>
        </w:rPr>
        <w:t>ounting adopted in 2015 recognis</w:t>
      </w:r>
      <w:r w:rsidRPr="00C32887">
        <w:rPr>
          <w:rFonts w:ascii="Garamond" w:hAnsi="Garamond"/>
          <w:sz w:val="24"/>
          <w:szCs w:val="24"/>
        </w:rPr>
        <w:t xml:space="preserve">ed the need for </w:t>
      </w:r>
      <w:r w:rsidR="00057B44">
        <w:rPr>
          <w:rFonts w:ascii="Garamond" w:hAnsi="Garamond"/>
          <w:sz w:val="24"/>
          <w:szCs w:val="24"/>
        </w:rPr>
        <w:t xml:space="preserve">the </w:t>
      </w:r>
      <w:r w:rsidRPr="00C32887">
        <w:rPr>
          <w:rFonts w:ascii="Garamond" w:hAnsi="Garamond"/>
          <w:sz w:val="24"/>
          <w:szCs w:val="24"/>
        </w:rPr>
        <w:t xml:space="preserve">training of public sector accountants in accordance with the principles of accrual accounting, </w:t>
      </w:r>
      <w:r w:rsidR="00057B44">
        <w:rPr>
          <w:rFonts w:ascii="Garamond" w:hAnsi="Garamond"/>
          <w:sz w:val="24"/>
          <w:szCs w:val="24"/>
        </w:rPr>
        <w:t xml:space="preserve">the </w:t>
      </w:r>
      <w:r w:rsidRPr="00C32887">
        <w:rPr>
          <w:rFonts w:ascii="Garamond" w:hAnsi="Garamond"/>
          <w:sz w:val="24"/>
          <w:szCs w:val="24"/>
        </w:rPr>
        <w:t xml:space="preserve">drafting </w:t>
      </w:r>
      <w:r w:rsidR="00057B44">
        <w:rPr>
          <w:rFonts w:ascii="Garamond" w:hAnsi="Garamond"/>
          <w:sz w:val="24"/>
          <w:szCs w:val="24"/>
        </w:rPr>
        <w:t xml:space="preserve">of </w:t>
      </w:r>
      <w:r w:rsidRPr="00C32887">
        <w:rPr>
          <w:rFonts w:ascii="Garamond" w:hAnsi="Garamond"/>
          <w:sz w:val="24"/>
          <w:szCs w:val="24"/>
        </w:rPr>
        <w:t>regulations in the field of accrual accounting and harmoni</w:t>
      </w:r>
      <w:r w:rsidR="00F254DD">
        <w:rPr>
          <w:rFonts w:ascii="Garamond" w:hAnsi="Garamond"/>
          <w:sz w:val="24"/>
          <w:szCs w:val="24"/>
        </w:rPr>
        <w:t>sation</w:t>
      </w:r>
      <w:r w:rsidRPr="00C32887">
        <w:rPr>
          <w:rFonts w:ascii="Garamond" w:hAnsi="Garamond"/>
          <w:sz w:val="24"/>
          <w:szCs w:val="24"/>
        </w:rPr>
        <w:t xml:space="preserve"> of accounting information system in accordance with new accounting policies. In this period, the importance of improving human resources in this area was recogni</w:t>
      </w:r>
      <w:r w:rsidR="00C2654B">
        <w:rPr>
          <w:rFonts w:ascii="Garamond" w:hAnsi="Garamond"/>
          <w:sz w:val="24"/>
          <w:szCs w:val="24"/>
        </w:rPr>
        <w:t>s</w:t>
      </w:r>
      <w:r w:rsidRPr="00C32887">
        <w:rPr>
          <w:rFonts w:ascii="Garamond" w:hAnsi="Garamond"/>
          <w:sz w:val="24"/>
          <w:szCs w:val="24"/>
        </w:rPr>
        <w:t xml:space="preserve">ed as one of the key goals of the reform. In this regard, in 2016, a project for the training of public sector accountants was launched, which was </w:t>
      </w:r>
      <w:r w:rsidR="00D2080A">
        <w:rPr>
          <w:rFonts w:ascii="Garamond" w:hAnsi="Garamond"/>
          <w:sz w:val="24"/>
          <w:szCs w:val="24"/>
        </w:rPr>
        <w:t>organised</w:t>
      </w:r>
      <w:r w:rsidRPr="00C32887">
        <w:rPr>
          <w:rFonts w:ascii="Garamond" w:hAnsi="Garamond"/>
          <w:sz w:val="24"/>
          <w:szCs w:val="24"/>
        </w:rPr>
        <w:t xml:space="preserve"> in cooperation with the Center for Excellence in Finance from Ljubljana, according to the methodology and concept developed by the CIPFA Institute from Great Britain.</w:t>
      </w:r>
    </w:p>
    <w:p w:rsidR="004D1343" w:rsidRPr="00C32887" w:rsidRDefault="004D1343" w:rsidP="004D1343">
      <w:pPr>
        <w:rPr>
          <w:rFonts w:ascii="Garamond" w:hAnsi="Garamond"/>
          <w:sz w:val="24"/>
          <w:szCs w:val="24"/>
        </w:rPr>
      </w:pPr>
    </w:p>
    <w:p w:rsidR="004D1343" w:rsidRPr="00C32887" w:rsidRDefault="004D1343" w:rsidP="006973E9">
      <w:pPr>
        <w:jc w:val="both"/>
        <w:rPr>
          <w:rFonts w:ascii="Garamond" w:hAnsi="Garamond"/>
          <w:sz w:val="24"/>
          <w:szCs w:val="24"/>
        </w:rPr>
      </w:pPr>
      <w:r w:rsidRPr="00C32887">
        <w:rPr>
          <w:rFonts w:ascii="Garamond" w:hAnsi="Garamond"/>
          <w:sz w:val="24"/>
          <w:szCs w:val="24"/>
        </w:rPr>
        <w:t xml:space="preserve">The project was completed in 2020, which, in addition to three generations and a total of 120 trained accountants from budget spending units and local self-government units, included other activities related to the education of accountants in the public sector. In this regard, in the previous period, an International Conference on </w:t>
      </w:r>
      <w:r w:rsidR="00B6561E">
        <w:rPr>
          <w:rFonts w:ascii="Garamond" w:hAnsi="Garamond"/>
          <w:sz w:val="24"/>
          <w:szCs w:val="24"/>
        </w:rPr>
        <w:t xml:space="preserve">Accrual </w:t>
      </w:r>
      <w:r w:rsidRPr="00C32887">
        <w:rPr>
          <w:rFonts w:ascii="Garamond" w:hAnsi="Garamond"/>
          <w:sz w:val="24"/>
          <w:szCs w:val="24"/>
        </w:rPr>
        <w:t xml:space="preserve">Accounting in the Public Sector and a series of workshops for accountants </w:t>
      </w:r>
      <w:r w:rsidR="00B6561E">
        <w:rPr>
          <w:rFonts w:ascii="Garamond" w:hAnsi="Garamond"/>
          <w:sz w:val="24"/>
          <w:szCs w:val="24"/>
        </w:rPr>
        <w:t>were</w:t>
      </w:r>
      <w:r w:rsidR="00C2654B">
        <w:rPr>
          <w:rFonts w:ascii="Garamond" w:hAnsi="Garamond"/>
          <w:sz w:val="24"/>
          <w:szCs w:val="24"/>
        </w:rPr>
        <w:t xml:space="preserve"> organis</w:t>
      </w:r>
      <w:r w:rsidRPr="00C32887">
        <w:rPr>
          <w:rFonts w:ascii="Garamond" w:hAnsi="Garamond"/>
          <w:sz w:val="24"/>
          <w:szCs w:val="24"/>
        </w:rPr>
        <w:t xml:space="preserve">ed. In 2020, a workshop on </w:t>
      </w:r>
      <w:r w:rsidR="00C13A74">
        <w:rPr>
          <w:rFonts w:ascii="Garamond" w:hAnsi="Garamond"/>
          <w:sz w:val="24"/>
          <w:szCs w:val="24"/>
        </w:rPr>
        <w:t>‘</w:t>
      </w:r>
      <w:r w:rsidRPr="00C32887">
        <w:rPr>
          <w:rFonts w:ascii="Garamond" w:hAnsi="Garamond"/>
          <w:sz w:val="24"/>
          <w:szCs w:val="24"/>
        </w:rPr>
        <w:t>International Accounting Standards for the Public Sector</w:t>
      </w:r>
      <w:r w:rsidR="00C13A74">
        <w:rPr>
          <w:rFonts w:ascii="Garamond" w:hAnsi="Garamond"/>
          <w:sz w:val="24"/>
          <w:szCs w:val="24"/>
        </w:rPr>
        <w:t>’</w:t>
      </w:r>
      <w:r w:rsidRPr="00C32887">
        <w:rPr>
          <w:rFonts w:ascii="Garamond" w:hAnsi="Garamond"/>
          <w:sz w:val="24"/>
          <w:szCs w:val="24"/>
        </w:rPr>
        <w:t xml:space="preserve"> was held, which was attended by renowned international and domestic experts in the field of accounting. In cooperation with the Center for Excellence in Finance and the Human Resources Administration, a final report on the project was prepared and submitted to the institutions involved in the project implementation. </w:t>
      </w:r>
    </w:p>
    <w:p w:rsidR="004D1343" w:rsidRPr="00C32887" w:rsidRDefault="004D1343" w:rsidP="004D1343">
      <w:pPr>
        <w:rPr>
          <w:rFonts w:ascii="Garamond" w:hAnsi="Garamond"/>
          <w:sz w:val="24"/>
          <w:szCs w:val="24"/>
        </w:rPr>
      </w:pPr>
    </w:p>
    <w:p w:rsidR="004D1343" w:rsidRPr="00C32887" w:rsidRDefault="004D1343" w:rsidP="00B6561E">
      <w:pPr>
        <w:jc w:val="both"/>
        <w:rPr>
          <w:rFonts w:ascii="Garamond" w:hAnsi="Garamond"/>
          <w:sz w:val="24"/>
          <w:szCs w:val="24"/>
        </w:rPr>
      </w:pPr>
      <w:r w:rsidRPr="00C32887">
        <w:rPr>
          <w:rFonts w:ascii="Garamond" w:hAnsi="Garamond"/>
          <w:sz w:val="24"/>
          <w:szCs w:val="24"/>
        </w:rPr>
        <w:t xml:space="preserve">As part of risk management, the risk of </w:t>
      </w:r>
      <w:r w:rsidR="00C2654B">
        <w:rPr>
          <w:rFonts w:ascii="Garamond" w:hAnsi="Garamond"/>
          <w:sz w:val="24"/>
          <w:szCs w:val="24"/>
        </w:rPr>
        <w:t>outflow of</w:t>
      </w:r>
      <w:r w:rsidRPr="00C32887">
        <w:rPr>
          <w:rFonts w:ascii="Garamond" w:hAnsi="Garamond"/>
          <w:sz w:val="24"/>
          <w:szCs w:val="24"/>
        </w:rPr>
        <w:t xml:space="preserve"> the staff of trained ac</w:t>
      </w:r>
      <w:r w:rsidR="00B6561E">
        <w:rPr>
          <w:rFonts w:ascii="Garamond" w:hAnsi="Garamond"/>
          <w:sz w:val="24"/>
          <w:szCs w:val="24"/>
        </w:rPr>
        <w:t>countants has been identified</w:t>
      </w:r>
      <w:r w:rsidR="00B6561E">
        <w:rPr>
          <w:rStyle w:val="FootnoteReference"/>
          <w:rFonts w:ascii="Garamond" w:hAnsi="Garamond"/>
          <w:sz w:val="24"/>
          <w:szCs w:val="24"/>
        </w:rPr>
        <w:footnoteReference w:id="29"/>
      </w:r>
      <w:r w:rsidRPr="00C32887">
        <w:rPr>
          <w:rFonts w:ascii="Garamond" w:hAnsi="Garamond"/>
          <w:sz w:val="24"/>
          <w:szCs w:val="24"/>
        </w:rPr>
        <w:t xml:space="preserve">. In this regard, </w:t>
      </w:r>
      <w:r w:rsidR="009860A3">
        <w:rPr>
          <w:rFonts w:ascii="Garamond" w:hAnsi="Garamond"/>
          <w:sz w:val="24"/>
          <w:szCs w:val="24"/>
        </w:rPr>
        <w:t>under</w:t>
      </w:r>
      <w:r w:rsidRPr="00C32887">
        <w:rPr>
          <w:rFonts w:ascii="Garamond" w:hAnsi="Garamond"/>
          <w:sz w:val="24"/>
          <w:szCs w:val="24"/>
        </w:rPr>
        <w:t xml:space="preserve"> the contract</w:t>
      </w:r>
      <w:r w:rsidR="009860A3">
        <w:rPr>
          <w:rFonts w:ascii="Garamond" w:hAnsi="Garamond"/>
          <w:sz w:val="24"/>
          <w:szCs w:val="24"/>
        </w:rPr>
        <w:t>s</w:t>
      </w:r>
      <w:r w:rsidRPr="00C32887">
        <w:rPr>
          <w:rFonts w:ascii="Garamond" w:hAnsi="Garamond"/>
          <w:sz w:val="24"/>
          <w:szCs w:val="24"/>
        </w:rPr>
        <w:t xml:space="preserve"> concluded with each of the participants, the Ministry of Finance and Social Welfare obliged the participants to stay in the public sector for at least three years </w:t>
      </w:r>
      <w:r w:rsidR="009860A3">
        <w:rPr>
          <w:rFonts w:ascii="Garamond" w:hAnsi="Garamond"/>
          <w:sz w:val="24"/>
          <w:szCs w:val="24"/>
        </w:rPr>
        <w:t>after</w:t>
      </w:r>
      <w:r w:rsidRPr="00C32887">
        <w:rPr>
          <w:rFonts w:ascii="Garamond" w:hAnsi="Garamond"/>
          <w:sz w:val="24"/>
          <w:szCs w:val="24"/>
        </w:rPr>
        <w:t xml:space="preserve"> obtaining the certificate, which reduced the risk of </w:t>
      </w:r>
      <w:r w:rsidR="00C2654B">
        <w:rPr>
          <w:rFonts w:ascii="Garamond" w:hAnsi="Garamond"/>
          <w:sz w:val="24"/>
          <w:szCs w:val="24"/>
        </w:rPr>
        <w:t>outflow of</w:t>
      </w:r>
      <w:r w:rsidRPr="00C32887">
        <w:rPr>
          <w:rFonts w:ascii="Garamond" w:hAnsi="Garamond"/>
          <w:sz w:val="24"/>
          <w:szCs w:val="24"/>
        </w:rPr>
        <w:t xml:space="preserve"> trained and professional staff. Also, one of the risks</w:t>
      </w:r>
      <w:r w:rsidR="009860A3">
        <w:rPr>
          <w:rFonts w:ascii="Garamond" w:hAnsi="Garamond"/>
          <w:sz w:val="24"/>
          <w:szCs w:val="24"/>
        </w:rPr>
        <w:t xml:space="preserve"> was the continuation of localis</w:t>
      </w:r>
      <w:r w:rsidRPr="00C32887">
        <w:rPr>
          <w:rFonts w:ascii="Garamond" w:hAnsi="Garamond"/>
          <w:sz w:val="24"/>
          <w:szCs w:val="24"/>
        </w:rPr>
        <w:t>ed training. In this regard, the Ministry of Finance and Social Welfare in 2015 established a working group for the locali</w:t>
      </w:r>
      <w:r w:rsidR="00F254DD">
        <w:rPr>
          <w:rFonts w:ascii="Garamond" w:hAnsi="Garamond"/>
          <w:sz w:val="24"/>
          <w:szCs w:val="24"/>
        </w:rPr>
        <w:t>sation</w:t>
      </w:r>
      <w:r w:rsidRPr="00C32887">
        <w:rPr>
          <w:rFonts w:ascii="Garamond" w:hAnsi="Garamond"/>
          <w:sz w:val="24"/>
          <w:szCs w:val="24"/>
        </w:rPr>
        <w:t xml:space="preserve"> of the project, which is in charge to prepare </w:t>
      </w:r>
      <w:r w:rsidR="003063D5">
        <w:rPr>
          <w:rFonts w:ascii="Garamond" w:hAnsi="Garamond"/>
          <w:sz w:val="24"/>
          <w:szCs w:val="24"/>
        </w:rPr>
        <w:t xml:space="preserve">draft </w:t>
      </w:r>
      <w:r w:rsidRPr="00C32887">
        <w:rPr>
          <w:rFonts w:ascii="Garamond" w:hAnsi="Garamond"/>
          <w:sz w:val="24"/>
          <w:szCs w:val="24"/>
        </w:rPr>
        <w:t>acts that will formulate competence</w:t>
      </w:r>
      <w:r w:rsidR="009860A3">
        <w:rPr>
          <w:rFonts w:ascii="Garamond" w:hAnsi="Garamond"/>
          <w:sz w:val="24"/>
          <w:szCs w:val="24"/>
        </w:rPr>
        <w:t>s</w:t>
      </w:r>
      <w:r w:rsidR="003063D5">
        <w:rPr>
          <w:rFonts w:ascii="Garamond" w:hAnsi="Garamond"/>
          <w:sz w:val="24"/>
          <w:szCs w:val="24"/>
        </w:rPr>
        <w:t xml:space="preserve"> in the process of locali</w:t>
      </w:r>
      <w:r w:rsidR="00F254DD">
        <w:rPr>
          <w:rFonts w:ascii="Garamond" w:hAnsi="Garamond"/>
          <w:sz w:val="24"/>
          <w:szCs w:val="24"/>
        </w:rPr>
        <w:t>sation</w:t>
      </w:r>
      <w:r w:rsidRPr="00C32887">
        <w:rPr>
          <w:rFonts w:ascii="Garamond" w:hAnsi="Garamond"/>
          <w:sz w:val="24"/>
          <w:szCs w:val="24"/>
        </w:rPr>
        <w:t xml:space="preserve">. This risk has been reduced by preparing a bylaw defining the training </w:t>
      </w:r>
      <w:r w:rsidR="003063D5">
        <w:rPr>
          <w:rFonts w:ascii="Garamond" w:hAnsi="Garamond"/>
          <w:sz w:val="24"/>
          <w:szCs w:val="24"/>
        </w:rPr>
        <w:t>p</w:t>
      </w:r>
      <w:r w:rsidR="00AB73F6" w:rsidRPr="00C32887">
        <w:rPr>
          <w:rFonts w:ascii="Garamond" w:hAnsi="Garamond"/>
          <w:sz w:val="24"/>
          <w:szCs w:val="24"/>
        </w:rPr>
        <w:t>rogramme</w:t>
      </w:r>
      <w:r w:rsidRPr="00C32887">
        <w:rPr>
          <w:rFonts w:ascii="Garamond" w:hAnsi="Garamond"/>
          <w:sz w:val="24"/>
          <w:szCs w:val="24"/>
        </w:rPr>
        <w:t xml:space="preserve"> and the manner </w:t>
      </w:r>
      <w:r w:rsidR="00553AFE" w:rsidRPr="00C32887">
        <w:rPr>
          <w:rFonts w:ascii="Garamond" w:hAnsi="Garamond"/>
          <w:sz w:val="24"/>
          <w:szCs w:val="24"/>
        </w:rPr>
        <w:t xml:space="preserve">of taking examinations for certification </w:t>
      </w:r>
      <w:r w:rsidRPr="00C32887">
        <w:rPr>
          <w:rFonts w:ascii="Garamond" w:hAnsi="Garamond"/>
          <w:sz w:val="24"/>
          <w:szCs w:val="24"/>
        </w:rPr>
        <w:t xml:space="preserve">of public sector accountant, as well as an appropriate manual that fully defines the roles and activities of trainers </w:t>
      </w:r>
      <w:r w:rsidR="003063D5">
        <w:rPr>
          <w:rFonts w:ascii="Garamond" w:hAnsi="Garamond"/>
          <w:sz w:val="24"/>
          <w:szCs w:val="24"/>
        </w:rPr>
        <w:t>of public sector accountants, so that training</w:t>
      </w:r>
      <w:r w:rsidR="009860A3">
        <w:rPr>
          <w:rFonts w:ascii="Garamond" w:hAnsi="Garamond"/>
          <w:sz w:val="24"/>
          <w:szCs w:val="24"/>
        </w:rPr>
        <w:t>s</w:t>
      </w:r>
      <w:r w:rsidRPr="00C32887">
        <w:rPr>
          <w:rFonts w:ascii="Garamond" w:hAnsi="Garamond"/>
          <w:sz w:val="24"/>
          <w:szCs w:val="24"/>
        </w:rPr>
        <w:t xml:space="preserve"> at the local level could function smoothly. </w:t>
      </w:r>
      <w:r w:rsidR="003063D5">
        <w:rPr>
          <w:rFonts w:ascii="Garamond" w:hAnsi="Garamond"/>
          <w:sz w:val="24"/>
          <w:szCs w:val="24"/>
        </w:rPr>
        <w:t>Trainings of</w:t>
      </w:r>
      <w:r w:rsidRPr="00C32887">
        <w:rPr>
          <w:rFonts w:ascii="Garamond" w:hAnsi="Garamond"/>
          <w:sz w:val="24"/>
          <w:szCs w:val="24"/>
        </w:rPr>
        <w:t xml:space="preserve"> accountants </w:t>
      </w:r>
      <w:r w:rsidR="003063D5">
        <w:rPr>
          <w:rFonts w:ascii="Garamond" w:hAnsi="Garamond"/>
          <w:sz w:val="24"/>
          <w:szCs w:val="24"/>
        </w:rPr>
        <w:t>were</w:t>
      </w:r>
      <w:r w:rsidRPr="00C32887">
        <w:rPr>
          <w:rFonts w:ascii="Garamond" w:hAnsi="Garamond"/>
          <w:sz w:val="24"/>
          <w:szCs w:val="24"/>
        </w:rPr>
        <w:t xml:space="preserve"> carried by the Human Resources </w:t>
      </w:r>
      <w:r w:rsidR="003063D5">
        <w:rPr>
          <w:rFonts w:ascii="Garamond" w:hAnsi="Garamond"/>
          <w:sz w:val="24"/>
          <w:szCs w:val="24"/>
        </w:rPr>
        <w:t>Administration</w:t>
      </w: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3063D5">
      <w:pPr>
        <w:jc w:val="both"/>
        <w:rPr>
          <w:rFonts w:ascii="Garamond" w:hAnsi="Garamond"/>
          <w:sz w:val="24"/>
          <w:szCs w:val="24"/>
        </w:rPr>
      </w:pPr>
      <w:r w:rsidRPr="00C32887">
        <w:rPr>
          <w:rFonts w:ascii="Garamond" w:hAnsi="Garamond"/>
          <w:sz w:val="24"/>
          <w:szCs w:val="24"/>
        </w:rPr>
        <w:t xml:space="preserve">Action Plan for implementation of the Strategy for the transition of the public sector to accrual accounting, </w:t>
      </w:r>
      <w:r w:rsidR="009860A3" w:rsidRPr="00C32887">
        <w:rPr>
          <w:rFonts w:ascii="Garamond" w:hAnsi="Garamond"/>
          <w:sz w:val="24"/>
          <w:szCs w:val="24"/>
        </w:rPr>
        <w:t>recogni</w:t>
      </w:r>
      <w:r w:rsidR="00371F6C">
        <w:rPr>
          <w:rFonts w:ascii="Garamond" w:hAnsi="Garamond"/>
          <w:sz w:val="24"/>
          <w:szCs w:val="24"/>
        </w:rPr>
        <w:t>sed</w:t>
      </w:r>
      <w:r w:rsidR="009860A3" w:rsidRPr="00C32887">
        <w:rPr>
          <w:rFonts w:ascii="Garamond" w:hAnsi="Garamond"/>
          <w:sz w:val="24"/>
          <w:szCs w:val="24"/>
        </w:rPr>
        <w:t xml:space="preserve"> </w:t>
      </w:r>
      <w:r w:rsidRPr="00C32887">
        <w:rPr>
          <w:rFonts w:ascii="Garamond" w:hAnsi="Garamond"/>
          <w:sz w:val="24"/>
          <w:szCs w:val="24"/>
        </w:rPr>
        <w:t xml:space="preserve">as one of the key activities the </w:t>
      </w:r>
      <w:r w:rsidR="007929EF">
        <w:rPr>
          <w:rFonts w:ascii="Garamond" w:hAnsi="Garamond"/>
          <w:sz w:val="24"/>
          <w:szCs w:val="24"/>
        </w:rPr>
        <w:t>drafting</w:t>
      </w:r>
      <w:r w:rsidRPr="00C32887">
        <w:rPr>
          <w:rFonts w:ascii="Garamond" w:hAnsi="Garamond"/>
          <w:sz w:val="24"/>
          <w:szCs w:val="24"/>
        </w:rPr>
        <w:t xml:space="preserve"> of the </w:t>
      </w:r>
      <w:r w:rsidR="007929EF" w:rsidRPr="00C32887">
        <w:rPr>
          <w:rFonts w:ascii="Garamond" w:hAnsi="Garamond"/>
          <w:sz w:val="24"/>
          <w:szCs w:val="24"/>
        </w:rPr>
        <w:t xml:space="preserve">Public Sector </w:t>
      </w:r>
      <w:r w:rsidRPr="00C32887">
        <w:rPr>
          <w:rFonts w:ascii="Garamond" w:hAnsi="Garamond"/>
          <w:sz w:val="24"/>
          <w:szCs w:val="24"/>
        </w:rPr>
        <w:t>Accounting</w:t>
      </w:r>
      <w:r w:rsidR="007929EF">
        <w:rPr>
          <w:rFonts w:ascii="Garamond" w:hAnsi="Garamond"/>
          <w:sz w:val="24"/>
          <w:szCs w:val="24"/>
        </w:rPr>
        <w:t xml:space="preserve"> Law</w:t>
      </w:r>
      <w:r w:rsidRPr="00C32887">
        <w:rPr>
          <w:rFonts w:ascii="Garamond" w:hAnsi="Garamond"/>
          <w:sz w:val="24"/>
          <w:szCs w:val="24"/>
        </w:rPr>
        <w:t xml:space="preserve">, which will cover all the basic accounting principles in one place and will first introduce the principles of </w:t>
      </w:r>
      <w:r w:rsidR="00330A30">
        <w:rPr>
          <w:rFonts w:ascii="Garamond" w:hAnsi="Garamond"/>
          <w:sz w:val="24"/>
          <w:szCs w:val="24"/>
        </w:rPr>
        <w:t xml:space="preserve">accrual </w:t>
      </w:r>
      <w:r w:rsidRPr="00C32887">
        <w:rPr>
          <w:rFonts w:ascii="Garamond" w:hAnsi="Garamond"/>
          <w:sz w:val="24"/>
          <w:szCs w:val="24"/>
        </w:rPr>
        <w:t>accou</w:t>
      </w:r>
      <w:r w:rsidR="007929EF">
        <w:rPr>
          <w:rFonts w:ascii="Garamond" w:hAnsi="Garamond"/>
          <w:sz w:val="24"/>
          <w:szCs w:val="24"/>
        </w:rPr>
        <w:t>nting</w:t>
      </w:r>
      <w:r w:rsidR="00330A30">
        <w:rPr>
          <w:rFonts w:ascii="Garamond" w:hAnsi="Garamond"/>
          <w:sz w:val="24"/>
          <w:szCs w:val="24"/>
        </w:rPr>
        <w:t>,</w:t>
      </w:r>
      <w:r w:rsidR="007929EF">
        <w:rPr>
          <w:rFonts w:ascii="Garamond" w:hAnsi="Garamond"/>
          <w:sz w:val="24"/>
          <w:szCs w:val="24"/>
        </w:rPr>
        <w:t xml:space="preserve"> </w:t>
      </w:r>
      <w:r w:rsidR="00330A30" w:rsidRPr="00C32887">
        <w:rPr>
          <w:rFonts w:ascii="Garamond" w:hAnsi="Garamond"/>
          <w:sz w:val="24"/>
          <w:szCs w:val="24"/>
        </w:rPr>
        <w:t xml:space="preserve">public sector </w:t>
      </w:r>
      <w:r w:rsidR="00330A30">
        <w:rPr>
          <w:rFonts w:ascii="Garamond" w:hAnsi="Garamond"/>
          <w:sz w:val="24"/>
          <w:szCs w:val="24"/>
        </w:rPr>
        <w:t>accountant,</w:t>
      </w:r>
      <w:r w:rsidRPr="00C32887">
        <w:rPr>
          <w:rFonts w:ascii="Garamond" w:hAnsi="Garamond"/>
          <w:sz w:val="24"/>
          <w:szCs w:val="24"/>
        </w:rPr>
        <w:t xml:space="preserve"> define the conditions for acquiring the title and introduce the concept of public sector register.</w:t>
      </w:r>
    </w:p>
    <w:p w:rsidR="004D1343" w:rsidRPr="00C32887" w:rsidRDefault="009860A3" w:rsidP="004D1343">
      <w:pPr>
        <w:rPr>
          <w:rFonts w:ascii="Garamond" w:hAnsi="Garamond"/>
          <w:sz w:val="24"/>
          <w:szCs w:val="24"/>
        </w:rPr>
      </w:pPr>
      <w:r>
        <w:rPr>
          <w:rFonts w:ascii="Garamond" w:hAnsi="Garamond"/>
          <w:sz w:val="24"/>
          <w:szCs w:val="24"/>
        </w:rPr>
        <w:t xml:space="preserve"> </w:t>
      </w:r>
    </w:p>
    <w:p w:rsidR="004D1343" w:rsidRPr="00C32887" w:rsidRDefault="004D1343" w:rsidP="00330A30">
      <w:pPr>
        <w:jc w:val="both"/>
        <w:rPr>
          <w:rFonts w:ascii="Garamond" w:hAnsi="Garamond"/>
          <w:sz w:val="24"/>
          <w:szCs w:val="24"/>
        </w:rPr>
      </w:pPr>
      <w:r w:rsidRPr="00C32887">
        <w:rPr>
          <w:rFonts w:ascii="Garamond" w:hAnsi="Garamond"/>
          <w:sz w:val="24"/>
          <w:szCs w:val="24"/>
        </w:rPr>
        <w:t xml:space="preserve">As part of the new accounting policies in 2019, the </w:t>
      </w:r>
      <w:r w:rsidR="009860A3" w:rsidRPr="00C32887">
        <w:rPr>
          <w:rFonts w:ascii="Garamond" w:hAnsi="Garamond"/>
          <w:sz w:val="24"/>
          <w:szCs w:val="24"/>
        </w:rPr>
        <w:t>Public S</w:t>
      </w:r>
      <w:r w:rsidR="009860A3">
        <w:rPr>
          <w:rFonts w:ascii="Garamond" w:hAnsi="Garamond"/>
          <w:sz w:val="24"/>
          <w:szCs w:val="24"/>
        </w:rPr>
        <w:t xml:space="preserve">ector Accounting </w:t>
      </w:r>
      <w:r w:rsidRPr="00C32887">
        <w:rPr>
          <w:rFonts w:ascii="Garamond" w:hAnsi="Garamond"/>
          <w:sz w:val="24"/>
          <w:szCs w:val="24"/>
        </w:rPr>
        <w:t xml:space="preserve">Law </w:t>
      </w:r>
      <w:r w:rsidR="00330A30">
        <w:rPr>
          <w:rFonts w:ascii="Garamond" w:hAnsi="Garamond"/>
          <w:sz w:val="24"/>
          <w:szCs w:val="24"/>
        </w:rPr>
        <w:t>was adopted</w:t>
      </w:r>
      <w:r w:rsidR="00330A30">
        <w:rPr>
          <w:rStyle w:val="FootnoteReference"/>
          <w:rFonts w:ascii="Garamond" w:hAnsi="Garamond"/>
          <w:sz w:val="24"/>
          <w:szCs w:val="24"/>
        </w:rPr>
        <w:footnoteReference w:id="30"/>
      </w:r>
      <w:r w:rsidRPr="00C32887">
        <w:rPr>
          <w:rFonts w:ascii="Garamond" w:hAnsi="Garamond"/>
          <w:sz w:val="24"/>
          <w:szCs w:val="24"/>
        </w:rPr>
        <w:t xml:space="preserve">, which </w:t>
      </w:r>
      <w:r w:rsidR="000316DA">
        <w:rPr>
          <w:rFonts w:ascii="Garamond" w:hAnsi="Garamond"/>
          <w:sz w:val="24"/>
          <w:szCs w:val="24"/>
        </w:rPr>
        <w:t>stipulates</w:t>
      </w:r>
      <w:r w:rsidRPr="00C32887">
        <w:rPr>
          <w:rFonts w:ascii="Garamond" w:hAnsi="Garamond"/>
          <w:sz w:val="24"/>
          <w:szCs w:val="24"/>
        </w:rPr>
        <w:t xml:space="preserve"> the transition from cash</w:t>
      </w:r>
      <w:r w:rsidR="00075DEB">
        <w:rPr>
          <w:rFonts w:ascii="Garamond" w:hAnsi="Garamond"/>
          <w:sz w:val="24"/>
          <w:szCs w:val="24"/>
        </w:rPr>
        <w:t>-based</w:t>
      </w:r>
      <w:r w:rsidR="009860A3">
        <w:rPr>
          <w:rFonts w:ascii="Garamond" w:hAnsi="Garamond"/>
          <w:sz w:val="24"/>
          <w:szCs w:val="24"/>
        </w:rPr>
        <w:t xml:space="preserve"> to accrual accounting</w:t>
      </w:r>
      <w:r w:rsidRPr="00C32887">
        <w:rPr>
          <w:rFonts w:ascii="Garamond" w:hAnsi="Garamond"/>
          <w:sz w:val="24"/>
          <w:szCs w:val="24"/>
        </w:rPr>
        <w:t xml:space="preserve">, with deferred application. The </w:t>
      </w:r>
      <w:r w:rsidR="009860A3" w:rsidRPr="00C32887">
        <w:rPr>
          <w:rFonts w:ascii="Garamond" w:hAnsi="Garamond"/>
          <w:sz w:val="24"/>
          <w:szCs w:val="24"/>
        </w:rPr>
        <w:t xml:space="preserve">Law </w:t>
      </w:r>
      <w:r w:rsidRPr="00C32887">
        <w:rPr>
          <w:rFonts w:ascii="Garamond" w:hAnsi="Garamond"/>
          <w:sz w:val="24"/>
          <w:szCs w:val="24"/>
        </w:rPr>
        <w:t xml:space="preserve">will contribute to achieving the goal of </w:t>
      </w:r>
      <w:r w:rsidR="00C13A74">
        <w:rPr>
          <w:rFonts w:ascii="Garamond" w:hAnsi="Garamond"/>
          <w:sz w:val="24"/>
          <w:szCs w:val="24"/>
        </w:rPr>
        <w:t>‘</w:t>
      </w:r>
      <w:r w:rsidRPr="00C32887">
        <w:rPr>
          <w:rFonts w:ascii="Garamond" w:hAnsi="Garamond"/>
          <w:sz w:val="24"/>
          <w:szCs w:val="24"/>
        </w:rPr>
        <w:t>Transparent Financial Reporting and Accounting</w:t>
      </w:r>
      <w:r w:rsidR="00C13A74">
        <w:rPr>
          <w:rFonts w:ascii="Garamond" w:hAnsi="Garamond"/>
          <w:sz w:val="24"/>
          <w:szCs w:val="24"/>
        </w:rPr>
        <w:t>’</w:t>
      </w:r>
      <w:r w:rsidRPr="00C32887">
        <w:rPr>
          <w:rFonts w:ascii="Garamond" w:hAnsi="Garamond"/>
          <w:sz w:val="24"/>
          <w:szCs w:val="24"/>
        </w:rPr>
        <w:t xml:space="preserve">. The </w:t>
      </w:r>
      <w:r w:rsidR="009860A3" w:rsidRPr="00C32887">
        <w:rPr>
          <w:rFonts w:ascii="Garamond" w:hAnsi="Garamond"/>
          <w:sz w:val="24"/>
          <w:szCs w:val="24"/>
        </w:rPr>
        <w:t xml:space="preserve">Law </w:t>
      </w:r>
      <w:r w:rsidRPr="00C32887">
        <w:rPr>
          <w:rFonts w:ascii="Garamond" w:hAnsi="Garamond"/>
          <w:sz w:val="24"/>
          <w:szCs w:val="24"/>
        </w:rPr>
        <w:t>recogni</w:t>
      </w:r>
      <w:r w:rsidR="00371F6C">
        <w:rPr>
          <w:rFonts w:ascii="Garamond" w:hAnsi="Garamond"/>
          <w:sz w:val="24"/>
          <w:szCs w:val="24"/>
        </w:rPr>
        <w:t>sed</w:t>
      </w:r>
      <w:r w:rsidRPr="00C32887">
        <w:rPr>
          <w:rFonts w:ascii="Garamond" w:hAnsi="Garamond"/>
          <w:sz w:val="24"/>
          <w:szCs w:val="24"/>
        </w:rPr>
        <w:t xml:space="preserve"> a number of bylaws</w:t>
      </w:r>
      <w:r w:rsidR="00075DEB">
        <w:rPr>
          <w:rStyle w:val="FootnoteReference"/>
          <w:rFonts w:ascii="Garamond" w:hAnsi="Garamond"/>
          <w:sz w:val="24"/>
          <w:szCs w:val="24"/>
        </w:rPr>
        <w:footnoteReference w:id="31"/>
      </w:r>
      <w:r w:rsidRPr="00C32887">
        <w:rPr>
          <w:rFonts w:ascii="Garamond" w:hAnsi="Garamond"/>
          <w:sz w:val="24"/>
          <w:szCs w:val="24"/>
        </w:rPr>
        <w:t xml:space="preserve"> which need to be drafted to enable the application of the </w:t>
      </w:r>
      <w:r w:rsidR="00075DEB">
        <w:rPr>
          <w:rFonts w:ascii="Garamond" w:hAnsi="Garamond"/>
          <w:sz w:val="24"/>
          <w:szCs w:val="24"/>
        </w:rPr>
        <w:t>Law</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075DEB">
      <w:pPr>
        <w:jc w:val="both"/>
        <w:rPr>
          <w:rFonts w:ascii="Garamond" w:hAnsi="Garamond"/>
          <w:sz w:val="24"/>
          <w:szCs w:val="24"/>
        </w:rPr>
      </w:pPr>
      <w:r w:rsidRPr="00C32887">
        <w:rPr>
          <w:rFonts w:ascii="Garamond" w:hAnsi="Garamond"/>
          <w:sz w:val="24"/>
          <w:szCs w:val="24"/>
        </w:rPr>
        <w:t xml:space="preserve">During 2020, five rulebooks and one manual were </w:t>
      </w:r>
      <w:r w:rsidR="009860A3">
        <w:rPr>
          <w:rFonts w:ascii="Garamond" w:hAnsi="Garamond"/>
          <w:sz w:val="24"/>
          <w:szCs w:val="24"/>
        </w:rPr>
        <w:t>prepared</w:t>
      </w:r>
      <w:r w:rsidRPr="00C32887">
        <w:rPr>
          <w:rFonts w:ascii="Garamond" w:hAnsi="Garamond"/>
          <w:sz w:val="24"/>
          <w:szCs w:val="24"/>
        </w:rPr>
        <w:t xml:space="preserve">. In this regard, </w:t>
      </w:r>
      <w:r w:rsidR="009860A3">
        <w:rPr>
          <w:rFonts w:ascii="Garamond" w:hAnsi="Garamond"/>
          <w:sz w:val="24"/>
          <w:szCs w:val="24"/>
        </w:rPr>
        <w:t xml:space="preserve">the following </w:t>
      </w:r>
      <w:r w:rsidRPr="00C32887">
        <w:rPr>
          <w:rFonts w:ascii="Garamond" w:hAnsi="Garamond"/>
          <w:sz w:val="24"/>
          <w:szCs w:val="24"/>
        </w:rPr>
        <w:t xml:space="preserve">drafts were prepared: Rulebook on Chart of Accounts, Rulebook on Accounting Methodology, Rulebook on Central and Municipal Public Sector Registry, Rulebook on Financial Reporting, Rulebook on Training </w:t>
      </w:r>
      <w:r w:rsidR="00AB73F6" w:rsidRPr="00C32887">
        <w:rPr>
          <w:rFonts w:ascii="Garamond" w:hAnsi="Garamond"/>
          <w:sz w:val="24"/>
          <w:szCs w:val="24"/>
        </w:rPr>
        <w:t>Programme</w:t>
      </w:r>
      <w:r w:rsidRPr="00C32887">
        <w:rPr>
          <w:rFonts w:ascii="Garamond" w:hAnsi="Garamond"/>
          <w:sz w:val="24"/>
          <w:szCs w:val="24"/>
        </w:rPr>
        <w:t xml:space="preserve"> and Manner of Taking Examinations for Certification of Public Sector Accountants, Manual on </w:t>
      </w:r>
      <w:r w:rsidR="00075DEB" w:rsidRPr="00C32887">
        <w:rPr>
          <w:rFonts w:ascii="Garamond" w:hAnsi="Garamond"/>
          <w:sz w:val="24"/>
          <w:szCs w:val="24"/>
        </w:rPr>
        <w:t xml:space="preserve">Training </w:t>
      </w:r>
      <w:r w:rsidRPr="00C32887">
        <w:rPr>
          <w:rFonts w:ascii="Garamond" w:hAnsi="Garamond"/>
          <w:sz w:val="24"/>
          <w:szCs w:val="24"/>
        </w:rPr>
        <w:t xml:space="preserve">and </w:t>
      </w:r>
      <w:r w:rsidR="00075DEB" w:rsidRPr="00C32887">
        <w:rPr>
          <w:rFonts w:ascii="Garamond" w:hAnsi="Garamond"/>
          <w:sz w:val="24"/>
          <w:szCs w:val="24"/>
        </w:rPr>
        <w:t xml:space="preserve">Certification </w:t>
      </w:r>
      <w:r w:rsidR="00AB73F6" w:rsidRPr="00C32887">
        <w:rPr>
          <w:rFonts w:ascii="Garamond" w:hAnsi="Garamond"/>
          <w:sz w:val="24"/>
          <w:szCs w:val="24"/>
        </w:rPr>
        <w:t>Programme</w:t>
      </w:r>
      <w:r w:rsidRPr="00C32887">
        <w:rPr>
          <w:rFonts w:ascii="Garamond" w:hAnsi="Garamond"/>
          <w:sz w:val="24"/>
          <w:szCs w:val="24"/>
        </w:rPr>
        <w:t xml:space="preserve"> for </w:t>
      </w:r>
      <w:r w:rsidR="00075DEB" w:rsidRPr="00C32887">
        <w:rPr>
          <w:rFonts w:ascii="Garamond" w:hAnsi="Garamond"/>
          <w:sz w:val="24"/>
          <w:szCs w:val="24"/>
        </w:rPr>
        <w:t>Public Sector Accountants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Default="004D1343" w:rsidP="00075DEB">
      <w:pPr>
        <w:jc w:val="both"/>
        <w:rPr>
          <w:rFonts w:ascii="Garamond" w:hAnsi="Garamond"/>
          <w:sz w:val="24"/>
          <w:szCs w:val="24"/>
        </w:rPr>
      </w:pPr>
      <w:r w:rsidRPr="00C32887">
        <w:rPr>
          <w:rFonts w:ascii="Garamond" w:hAnsi="Garamond"/>
          <w:sz w:val="24"/>
          <w:szCs w:val="24"/>
        </w:rPr>
        <w:t xml:space="preserve">In the following period, work is planned on upgrading the accounting information system, as well as work on manuals for the application of accounting methodology, which will give more detailed instructions to users of the methodology. </w:t>
      </w: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sectPr w:rsidR="00075DEB" w:rsidSect="00D42C6B">
          <w:pgSz w:w="12240" w:h="15840"/>
          <w:pgMar w:top="1440" w:right="1440" w:bottom="1440" w:left="1440" w:header="720" w:footer="720" w:gutter="0"/>
          <w:cols w:space="720"/>
          <w:docGrid w:linePitch="360"/>
        </w:sectPr>
      </w:pP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662"/>
        <w:gridCol w:w="1162"/>
        <w:gridCol w:w="1162"/>
        <w:gridCol w:w="1268"/>
        <w:gridCol w:w="1162"/>
        <w:gridCol w:w="1210"/>
        <w:gridCol w:w="1220"/>
        <w:gridCol w:w="1162"/>
        <w:gridCol w:w="1057"/>
        <w:gridCol w:w="1162"/>
        <w:gridCol w:w="949"/>
      </w:tblGrid>
      <w:tr w:rsidR="00075DEB" w:rsidRPr="00075DEB" w:rsidTr="00075DEB">
        <w:trPr>
          <w:trHeight w:val="236"/>
          <w:jc w:val="center"/>
        </w:trPr>
        <w:tc>
          <w:tcPr>
            <w:tcW w:w="631" w:type="pct"/>
            <w:vMerge w:val="restart"/>
            <w:tcBorders>
              <w:top w:val="single" w:sz="18" w:space="0" w:color="auto"/>
              <w:bottom w:val="single" w:sz="12" w:space="0" w:color="auto"/>
              <w:right w:val="single" w:sz="12" w:space="0" w:color="auto"/>
            </w:tcBorders>
            <w:shd w:val="clear" w:color="auto" w:fill="auto"/>
            <w:vAlign w:val="center"/>
            <w:hideMark/>
          </w:tcPr>
          <w:p w:rsidR="00075DEB" w:rsidRPr="00075DEB" w:rsidRDefault="00481CF4" w:rsidP="00075DEB">
            <w:pPr>
              <w:widowControl/>
              <w:autoSpaceDE/>
              <w:autoSpaceDN/>
              <w:jc w:val="center"/>
              <w:rPr>
                <w:rFonts w:ascii="Garamond" w:eastAsia="Times New Roman" w:hAnsi="Garamond" w:cs="Calibri Light"/>
                <w:b/>
                <w:bCs/>
                <w:sz w:val="16"/>
                <w:szCs w:val="16"/>
                <w:lang w:eastAsia="en-US" w:bidi="ar-SA"/>
              </w:rPr>
            </w:pPr>
            <w:r>
              <w:rPr>
                <w:rFonts w:ascii="Garamond" w:eastAsia="Times New Roman" w:hAnsi="Garamond" w:cs="Calibri Light"/>
                <w:b/>
                <w:bCs/>
                <w:sz w:val="16"/>
                <w:szCs w:val="16"/>
                <w:lang w:eastAsia="en-US" w:bidi="ar-SA"/>
              </w:rPr>
              <w:t xml:space="preserve">Performance Indicator </w:t>
            </w:r>
          </w:p>
        </w:tc>
        <w:tc>
          <w:tcPr>
            <w:tcW w:w="441" w:type="pct"/>
            <w:vMerge w:val="restart"/>
            <w:tcBorders>
              <w:top w:val="single" w:sz="18" w:space="0" w:color="auto"/>
              <w:left w:val="single" w:sz="12" w:space="0" w:color="auto"/>
              <w:bottom w:val="single" w:sz="12" w:space="0" w:color="auto"/>
              <w:righ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Planned</w:t>
            </w:r>
            <w:r w:rsidRPr="00075DEB">
              <w:rPr>
                <w:rFonts w:ascii="Garamond" w:eastAsia="Times New Roman" w:hAnsi="Garamond" w:cs="Calibri Light"/>
                <w:b/>
                <w:bCs/>
                <w:sz w:val="16"/>
                <w:szCs w:val="16"/>
                <w:lang w:eastAsia="en-US" w:bidi="ar-SA"/>
              </w:rPr>
              <w:t xml:space="preserve"> 2014</w:t>
            </w:r>
          </w:p>
        </w:tc>
        <w:tc>
          <w:tcPr>
            <w:tcW w:w="922" w:type="pct"/>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rsidR="00075DEB" w:rsidRPr="00075DEB" w:rsidRDefault="00075DEB" w:rsidP="00075DEB">
            <w:pPr>
              <w:widowControl/>
              <w:autoSpaceDE/>
              <w:autoSpaceDN/>
              <w:jc w:val="center"/>
              <w:rPr>
                <w:rFonts w:ascii="Garamond" w:eastAsia="Times New Roman" w:hAnsi="Garamond" w:cs="Calibri Light"/>
                <w:b/>
                <w:bCs/>
                <w:sz w:val="16"/>
                <w:szCs w:val="16"/>
                <w:lang w:eastAsia="en-US" w:bidi="ar-SA"/>
              </w:rPr>
            </w:pPr>
            <w:r w:rsidRPr="00075DEB">
              <w:rPr>
                <w:rFonts w:ascii="Garamond" w:eastAsia="Times New Roman" w:hAnsi="Garamond" w:cs="Calibri Light"/>
                <w:b/>
                <w:bCs/>
                <w:sz w:val="16"/>
                <w:szCs w:val="16"/>
                <w:lang w:eastAsia="en-US" w:bidi="ar-SA"/>
              </w:rPr>
              <w:t>2017</w:t>
            </w:r>
          </w:p>
        </w:tc>
        <w:tc>
          <w:tcPr>
            <w:tcW w:w="900" w:type="pct"/>
            <w:gridSpan w:val="2"/>
            <w:tcBorders>
              <w:top w:val="single" w:sz="18" w:space="0" w:color="auto"/>
              <w:left w:val="single" w:sz="12" w:space="0" w:color="auto"/>
              <w:bottom w:val="single" w:sz="6" w:space="0" w:color="auto"/>
              <w:right w:val="single" w:sz="12" w:space="0" w:color="auto"/>
            </w:tcBorders>
            <w:shd w:val="clear" w:color="auto" w:fill="auto"/>
            <w:noWrap/>
            <w:vAlign w:val="center"/>
            <w:hideMark/>
          </w:tcPr>
          <w:p w:rsidR="00075DEB" w:rsidRPr="00075DEB" w:rsidRDefault="00075DEB" w:rsidP="00075DEB">
            <w:pPr>
              <w:widowControl/>
              <w:autoSpaceDE/>
              <w:autoSpaceDN/>
              <w:jc w:val="center"/>
              <w:rPr>
                <w:rFonts w:ascii="Garamond" w:eastAsia="Times New Roman" w:hAnsi="Garamond" w:cs="Calibri Light"/>
                <w:b/>
                <w:bCs/>
                <w:sz w:val="16"/>
                <w:szCs w:val="16"/>
                <w:lang w:eastAsia="en-US" w:bidi="ar-SA"/>
              </w:rPr>
            </w:pPr>
            <w:r w:rsidRPr="00075DEB">
              <w:rPr>
                <w:rFonts w:ascii="Garamond" w:eastAsia="Times New Roman" w:hAnsi="Garamond" w:cs="Calibri Light"/>
                <w:b/>
                <w:bCs/>
                <w:sz w:val="16"/>
                <w:szCs w:val="16"/>
                <w:lang w:eastAsia="en-US" w:bidi="ar-SA"/>
              </w:rPr>
              <w:t>2018</w:t>
            </w:r>
          </w:p>
        </w:tc>
        <w:tc>
          <w:tcPr>
            <w:tcW w:w="904" w:type="pct"/>
            <w:gridSpan w:val="2"/>
            <w:tcBorders>
              <w:left w:val="single" w:sz="12" w:space="0" w:color="auto"/>
              <w:bottom w:val="single" w:sz="6" w:space="0" w:color="auto"/>
              <w:right w:val="single" w:sz="12" w:space="0" w:color="auto"/>
            </w:tcBorders>
            <w:vAlign w:val="center"/>
          </w:tcPr>
          <w:p w:rsidR="00075DEB" w:rsidRPr="00075DEB" w:rsidRDefault="00075DEB" w:rsidP="00075DEB">
            <w:pPr>
              <w:widowControl/>
              <w:autoSpaceDE/>
              <w:autoSpaceDN/>
              <w:jc w:val="center"/>
              <w:rPr>
                <w:rFonts w:ascii="Garamond" w:eastAsia="Times New Roman" w:hAnsi="Garamond" w:cs="Calibri Light"/>
                <w:b/>
                <w:bCs/>
                <w:sz w:val="16"/>
                <w:szCs w:val="16"/>
                <w:lang w:eastAsia="en-US" w:bidi="ar-SA"/>
              </w:rPr>
            </w:pPr>
            <w:r w:rsidRPr="00075DEB">
              <w:rPr>
                <w:rFonts w:ascii="Garamond" w:eastAsia="Times New Roman" w:hAnsi="Garamond" w:cs="Calibri Light"/>
                <w:b/>
                <w:bCs/>
                <w:sz w:val="16"/>
                <w:szCs w:val="16"/>
                <w:lang w:eastAsia="en-US" w:bidi="ar-SA"/>
              </w:rPr>
              <w:t>2019</w:t>
            </w:r>
          </w:p>
        </w:tc>
        <w:tc>
          <w:tcPr>
            <w:tcW w:w="842" w:type="pct"/>
            <w:gridSpan w:val="2"/>
            <w:tcBorders>
              <w:left w:val="single" w:sz="12" w:space="0" w:color="auto"/>
            </w:tcBorders>
          </w:tcPr>
          <w:p w:rsidR="00075DEB" w:rsidRPr="00075DEB" w:rsidRDefault="00075DEB" w:rsidP="00075DEB">
            <w:pPr>
              <w:widowControl/>
              <w:autoSpaceDE/>
              <w:autoSpaceDN/>
              <w:jc w:val="center"/>
              <w:rPr>
                <w:rFonts w:ascii="Garamond" w:eastAsia="Times New Roman" w:hAnsi="Garamond" w:cs="Calibri Light"/>
                <w:b/>
                <w:bCs/>
                <w:sz w:val="16"/>
                <w:szCs w:val="16"/>
                <w:lang w:eastAsia="en-US" w:bidi="ar-SA"/>
              </w:rPr>
            </w:pPr>
            <w:r w:rsidRPr="00075DEB">
              <w:rPr>
                <w:rFonts w:ascii="Garamond" w:eastAsia="Times New Roman" w:hAnsi="Garamond" w:cs="Calibri Light"/>
                <w:b/>
                <w:bCs/>
                <w:sz w:val="16"/>
                <w:szCs w:val="16"/>
                <w:lang w:eastAsia="en-US" w:bidi="ar-SA"/>
              </w:rPr>
              <w:t>2020</w:t>
            </w:r>
          </w:p>
        </w:tc>
        <w:tc>
          <w:tcPr>
            <w:tcW w:w="360" w:type="pct"/>
            <w:vMerge w:val="restart"/>
            <w:tcBorders>
              <w:lef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b/>
                <w:bCs/>
                <w:sz w:val="16"/>
                <w:szCs w:val="16"/>
                <w:lang w:eastAsia="en-US" w:bidi="ar-SA"/>
              </w:rPr>
            </w:pPr>
            <w:r w:rsidRPr="00075DEB">
              <w:rPr>
                <w:rFonts w:ascii="Garamond" w:eastAsia="Times New Roman" w:hAnsi="Garamond" w:cs="Calibri Light"/>
                <w:b/>
                <w:bCs/>
                <w:sz w:val="16"/>
                <w:szCs w:val="16"/>
                <w:lang w:eastAsia="en-US" w:bidi="ar-SA"/>
              </w:rPr>
              <w:t>Trend</w:t>
            </w:r>
          </w:p>
        </w:tc>
      </w:tr>
      <w:tr w:rsidR="00075DEB" w:rsidRPr="00075DEB" w:rsidTr="00075DEB">
        <w:trPr>
          <w:trHeight w:val="462"/>
          <w:jc w:val="center"/>
        </w:trPr>
        <w:tc>
          <w:tcPr>
            <w:tcW w:w="631" w:type="pct"/>
            <w:vMerge/>
            <w:tcBorders>
              <w:top w:val="single" w:sz="12" w:space="0" w:color="auto"/>
              <w:bottom w:val="single" w:sz="12" w:space="0" w:color="auto"/>
              <w:right w:val="single" w:sz="12" w:space="0" w:color="auto"/>
            </w:tcBorders>
            <w:vAlign w:val="center"/>
            <w:hideMark/>
          </w:tcPr>
          <w:p w:rsidR="00075DEB" w:rsidRPr="00075DEB" w:rsidRDefault="00075DEB" w:rsidP="00075DEB">
            <w:pPr>
              <w:widowControl/>
              <w:autoSpaceDE/>
              <w:autoSpaceDN/>
              <w:jc w:val="both"/>
              <w:rPr>
                <w:rFonts w:ascii="Garamond" w:eastAsia="Times New Roman" w:hAnsi="Garamond" w:cs="Calibri Light"/>
                <w:b/>
                <w:bCs/>
                <w:sz w:val="16"/>
                <w:szCs w:val="16"/>
                <w:lang w:eastAsia="en-US" w:bidi="ar-SA"/>
              </w:rPr>
            </w:pPr>
          </w:p>
        </w:tc>
        <w:tc>
          <w:tcPr>
            <w:tcW w:w="441" w:type="pct"/>
            <w:vMerge/>
            <w:tcBorders>
              <w:top w:val="single" w:sz="12" w:space="0" w:color="auto"/>
              <w:left w:val="single" w:sz="12" w:space="0" w:color="auto"/>
              <w:bottom w:val="single" w:sz="12" w:space="0" w:color="auto"/>
              <w:right w:val="single" w:sz="12" w:space="0" w:color="auto"/>
            </w:tcBorders>
            <w:vAlign w:val="center"/>
            <w:hideMark/>
          </w:tcPr>
          <w:p w:rsidR="00075DEB" w:rsidRPr="00075DEB" w:rsidRDefault="00075DEB" w:rsidP="00075DEB">
            <w:pPr>
              <w:widowControl/>
              <w:autoSpaceDE/>
              <w:autoSpaceDN/>
              <w:jc w:val="both"/>
              <w:rPr>
                <w:rFonts w:ascii="Garamond" w:eastAsia="Times New Roman" w:hAnsi="Garamond" w:cs="Calibri Light"/>
                <w:b/>
                <w:bCs/>
                <w:sz w:val="16"/>
                <w:szCs w:val="16"/>
                <w:lang w:eastAsia="en-US" w:bidi="ar-SA"/>
              </w:rPr>
            </w:pPr>
          </w:p>
        </w:tc>
        <w:tc>
          <w:tcPr>
            <w:tcW w:w="441" w:type="pct"/>
            <w:tcBorders>
              <w:top w:val="single" w:sz="6" w:space="0" w:color="auto"/>
              <w:left w:val="single" w:sz="12" w:space="0" w:color="auto"/>
              <w:bottom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Target value</w:t>
            </w:r>
          </w:p>
        </w:tc>
        <w:tc>
          <w:tcPr>
            <w:tcW w:w="481" w:type="pct"/>
            <w:tcBorders>
              <w:top w:val="single" w:sz="6" w:space="0" w:color="auto"/>
              <w:bottom w:val="single" w:sz="12" w:space="0" w:color="auto"/>
              <w:righ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 xml:space="preserve">Implemented </w:t>
            </w:r>
          </w:p>
        </w:tc>
        <w:tc>
          <w:tcPr>
            <w:tcW w:w="441" w:type="pct"/>
            <w:tcBorders>
              <w:top w:val="single" w:sz="6" w:space="0" w:color="auto"/>
              <w:left w:val="single" w:sz="12" w:space="0" w:color="auto"/>
              <w:bottom w:val="single" w:sz="12" w:space="0" w:color="auto"/>
            </w:tcBorders>
            <w:shd w:val="clear" w:color="auto" w:fill="auto"/>
            <w:vAlign w:val="center"/>
            <w:hideMark/>
          </w:tcPr>
          <w:p w:rsidR="00075DEB" w:rsidRPr="00075DEB" w:rsidRDefault="00075DEB" w:rsidP="005E0130">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Target value</w:t>
            </w:r>
          </w:p>
        </w:tc>
        <w:tc>
          <w:tcPr>
            <w:tcW w:w="459" w:type="pct"/>
            <w:tcBorders>
              <w:top w:val="single" w:sz="6" w:space="0" w:color="auto"/>
              <w:bottom w:val="single" w:sz="12" w:space="0" w:color="auto"/>
              <w:right w:val="single" w:sz="12" w:space="0" w:color="auto"/>
            </w:tcBorders>
            <w:shd w:val="clear" w:color="auto" w:fill="auto"/>
            <w:vAlign w:val="center"/>
            <w:hideMark/>
          </w:tcPr>
          <w:p w:rsidR="00075DEB" w:rsidRPr="00075DEB" w:rsidRDefault="00075DEB" w:rsidP="005E0130">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 xml:space="preserve">Implemented </w:t>
            </w:r>
          </w:p>
        </w:tc>
        <w:tc>
          <w:tcPr>
            <w:tcW w:w="463" w:type="pct"/>
            <w:tcBorders>
              <w:top w:val="single" w:sz="6" w:space="0" w:color="auto"/>
              <w:bottom w:val="single" w:sz="12" w:space="0" w:color="auto"/>
              <w:right w:val="single" w:sz="2" w:space="0" w:color="auto"/>
            </w:tcBorders>
            <w:vAlign w:val="center"/>
          </w:tcPr>
          <w:p w:rsidR="00075DEB" w:rsidRPr="00075DEB" w:rsidRDefault="00075DEB" w:rsidP="005E0130">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Target value</w:t>
            </w:r>
          </w:p>
        </w:tc>
        <w:tc>
          <w:tcPr>
            <w:tcW w:w="441" w:type="pct"/>
            <w:tcBorders>
              <w:top w:val="single" w:sz="6" w:space="0" w:color="auto"/>
              <w:left w:val="single" w:sz="2" w:space="0" w:color="auto"/>
              <w:bottom w:val="single" w:sz="12" w:space="0" w:color="auto"/>
              <w:right w:val="single" w:sz="12" w:space="0" w:color="auto"/>
            </w:tcBorders>
            <w:vAlign w:val="center"/>
          </w:tcPr>
          <w:p w:rsidR="00075DEB" w:rsidRPr="00075DEB" w:rsidRDefault="00075DEB" w:rsidP="005E0130">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 xml:space="preserve">Implemented </w:t>
            </w:r>
          </w:p>
        </w:tc>
        <w:tc>
          <w:tcPr>
            <w:tcW w:w="401" w:type="pct"/>
            <w:tcBorders>
              <w:left w:val="single" w:sz="12" w:space="0" w:color="auto"/>
              <w:right w:val="single" w:sz="12" w:space="0" w:color="auto"/>
            </w:tcBorders>
            <w:vAlign w:val="center"/>
          </w:tcPr>
          <w:p w:rsidR="00075DEB" w:rsidRPr="00075DEB" w:rsidRDefault="00075DEB" w:rsidP="005E0130">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Target value</w:t>
            </w:r>
          </w:p>
        </w:tc>
        <w:tc>
          <w:tcPr>
            <w:tcW w:w="441" w:type="pct"/>
            <w:tcBorders>
              <w:left w:val="single" w:sz="12" w:space="0" w:color="auto"/>
            </w:tcBorders>
            <w:vAlign w:val="center"/>
          </w:tcPr>
          <w:p w:rsidR="00075DEB" w:rsidRPr="00075DEB" w:rsidRDefault="00075DEB" w:rsidP="005E0130">
            <w:pPr>
              <w:widowControl/>
              <w:autoSpaceDE/>
              <w:autoSpaceDN/>
              <w:jc w:val="center"/>
              <w:rPr>
                <w:rFonts w:ascii="Garamond" w:eastAsia="Times New Roman" w:hAnsi="Garamond" w:cs="Calibri Light"/>
                <w:b/>
                <w:bCs/>
                <w:sz w:val="16"/>
                <w:szCs w:val="16"/>
                <w:lang w:eastAsia="en-US" w:bidi="ar-SA"/>
              </w:rPr>
            </w:pPr>
            <w:r w:rsidRPr="00F47279">
              <w:rPr>
                <w:rFonts w:ascii="Garamond" w:eastAsia="Times New Roman" w:hAnsi="Garamond" w:cs="Calibri Light"/>
                <w:b/>
                <w:bCs/>
                <w:sz w:val="16"/>
                <w:szCs w:val="16"/>
                <w:lang w:eastAsia="en-US" w:bidi="ar-SA"/>
              </w:rPr>
              <w:t xml:space="preserve">Implemented </w:t>
            </w:r>
          </w:p>
        </w:tc>
        <w:tc>
          <w:tcPr>
            <w:tcW w:w="360" w:type="pct"/>
            <w:vMerge/>
            <w:tcBorders>
              <w:left w:val="single" w:sz="12" w:space="0" w:color="auto"/>
            </w:tcBorders>
            <w:vAlign w:val="center"/>
            <w:hideMark/>
          </w:tcPr>
          <w:p w:rsidR="00075DEB" w:rsidRPr="00075DEB" w:rsidRDefault="00075DEB" w:rsidP="00075DEB">
            <w:pPr>
              <w:widowControl/>
              <w:autoSpaceDE/>
              <w:autoSpaceDN/>
              <w:jc w:val="both"/>
              <w:rPr>
                <w:rFonts w:ascii="Garamond" w:eastAsia="Times New Roman" w:hAnsi="Garamond" w:cs="Calibri Light"/>
                <w:b/>
                <w:bCs/>
                <w:sz w:val="16"/>
                <w:szCs w:val="16"/>
                <w:lang w:eastAsia="en-US" w:bidi="ar-SA"/>
              </w:rPr>
            </w:pPr>
          </w:p>
        </w:tc>
      </w:tr>
      <w:tr w:rsidR="00075DEB" w:rsidRPr="00075DEB" w:rsidTr="00075DEB">
        <w:trPr>
          <w:trHeight w:val="448"/>
          <w:jc w:val="center"/>
        </w:trPr>
        <w:tc>
          <w:tcPr>
            <w:tcW w:w="631" w:type="pct"/>
            <w:tcBorders>
              <w:top w:val="single" w:sz="12" w:space="0" w:color="auto"/>
              <w:right w:val="single" w:sz="12" w:space="0" w:color="auto"/>
            </w:tcBorders>
            <w:shd w:val="clear" w:color="auto" w:fill="auto"/>
            <w:vAlign w:val="center"/>
            <w:hideMark/>
          </w:tcPr>
          <w:p w:rsidR="00F47279" w:rsidRPr="00F47279" w:rsidRDefault="00F47279" w:rsidP="00F47279">
            <w:pPr>
              <w:pStyle w:val="Default"/>
              <w:jc w:val="both"/>
              <w:rPr>
                <w:rFonts w:ascii="Garamond" w:hAnsi="Garamond"/>
                <w:sz w:val="16"/>
                <w:szCs w:val="16"/>
              </w:rPr>
            </w:pPr>
            <w:r w:rsidRPr="00F47279">
              <w:rPr>
                <w:rFonts w:ascii="Garamond" w:hAnsi="Garamond"/>
                <w:sz w:val="16"/>
                <w:szCs w:val="16"/>
              </w:rPr>
              <w:t xml:space="preserve">Public sector accountants trained for accrual accounting (based on the CIPFA methodology) </w:t>
            </w:r>
          </w:p>
          <w:p w:rsidR="00075DEB" w:rsidRPr="00075DEB" w:rsidRDefault="00075DEB" w:rsidP="00075DEB">
            <w:pPr>
              <w:widowControl/>
              <w:autoSpaceDE/>
              <w:autoSpaceDN/>
              <w:jc w:val="both"/>
              <w:rPr>
                <w:rFonts w:ascii="Garamond" w:eastAsia="Times New Roman" w:hAnsi="Garamond" w:cs="Calibri Light"/>
                <w:sz w:val="16"/>
                <w:szCs w:val="16"/>
                <w:lang w:eastAsia="en-US" w:bidi="ar-SA"/>
              </w:rPr>
            </w:pPr>
          </w:p>
        </w:tc>
        <w:tc>
          <w:tcPr>
            <w:tcW w:w="441" w:type="pct"/>
            <w:tcBorders>
              <w:top w:val="single" w:sz="12" w:space="0" w:color="auto"/>
              <w:left w:val="single" w:sz="12" w:space="0" w:color="auto"/>
              <w:bottom w:val="single" w:sz="6" w:space="0" w:color="auto"/>
              <w:righ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r w:rsidRPr="00075DEB">
              <w:rPr>
                <w:rFonts w:ascii="Garamond" w:eastAsia="Times New Roman" w:hAnsi="Garamond" w:cs="Calibri Light"/>
                <w:sz w:val="16"/>
                <w:szCs w:val="16"/>
                <w:lang w:eastAsia="en-US" w:bidi="ar-SA"/>
              </w:rPr>
              <w:t>0</w:t>
            </w:r>
          </w:p>
        </w:tc>
        <w:tc>
          <w:tcPr>
            <w:tcW w:w="441" w:type="pct"/>
            <w:tcBorders>
              <w:top w:val="single" w:sz="12" w:space="0" w:color="auto"/>
              <w:lef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r w:rsidRPr="00075DEB">
              <w:rPr>
                <w:rFonts w:ascii="Garamond" w:eastAsia="Times New Roman" w:hAnsi="Garamond" w:cs="Calibri Light"/>
                <w:sz w:val="16"/>
                <w:szCs w:val="16"/>
                <w:lang w:eastAsia="en-US" w:bidi="ar-SA"/>
              </w:rPr>
              <w:t>40</w:t>
            </w:r>
          </w:p>
        </w:tc>
        <w:tc>
          <w:tcPr>
            <w:tcW w:w="481" w:type="pct"/>
            <w:tcBorders>
              <w:top w:val="single" w:sz="12" w:space="0" w:color="auto"/>
              <w:right w:val="single" w:sz="12" w:space="0" w:color="auto"/>
            </w:tcBorders>
            <w:shd w:val="clear" w:color="auto" w:fill="auto"/>
            <w:vAlign w:val="center"/>
            <w:hideMark/>
          </w:tcPr>
          <w:p w:rsidR="00075DEB" w:rsidRPr="00075DEB" w:rsidRDefault="000643AA" w:rsidP="000643AA">
            <w:pPr>
              <w:widowControl/>
              <w:autoSpaceDE/>
              <w:autoSpaceDN/>
              <w:jc w:val="center"/>
              <w:rPr>
                <w:rFonts w:ascii="Garamond" w:eastAsia="Times New Roman" w:hAnsi="Garamond" w:cs="Calibri Light"/>
                <w:sz w:val="16"/>
                <w:szCs w:val="16"/>
                <w:lang w:eastAsia="en-US" w:bidi="ar-SA"/>
              </w:rPr>
            </w:pPr>
            <w:r>
              <w:rPr>
                <w:rFonts w:ascii="Garamond" w:eastAsia="Times New Roman" w:hAnsi="Garamond" w:cs="Calibri Light"/>
                <w:sz w:val="16"/>
                <w:szCs w:val="16"/>
                <w:lang w:eastAsia="en-US" w:bidi="ar-SA"/>
              </w:rPr>
              <w:t>40 in</w:t>
            </w:r>
            <w:r w:rsidR="00075DEB" w:rsidRPr="00075DEB">
              <w:rPr>
                <w:rFonts w:ascii="Garamond" w:eastAsia="Times New Roman" w:hAnsi="Garamond" w:cs="Calibri Light"/>
                <w:sz w:val="16"/>
                <w:szCs w:val="16"/>
                <w:lang w:eastAsia="en-US" w:bidi="ar-SA"/>
              </w:rPr>
              <w:t xml:space="preserve"> 2016. </w:t>
            </w:r>
          </w:p>
        </w:tc>
        <w:tc>
          <w:tcPr>
            <w:tcW w:w="441" w:type="pct"/>
            <w:tcBorders>
              <w:top w:val="single" w:sz="12" w:space="0" w:color="auto"/>
              <w:left w:val="single" w:sz="12" w:space="0" w:color="auto"/>
              <w:bottom w:val="single" w:sz="6"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r w:rsidRPr="00075DEB">
              <w:rPr>
                <w:rFonts w:ascii="Garamond" w:eastAsia="Times New Roman" w:hAnsi="Garamond" w:cs="Calibri Light"/>
                <w:sz w:val="16"/>
                <w:szCs w:val="16"/>
                <w:lang w:eastAsia="en-US" w:bidi="ar-SA"/>
              </w:rPr>
              <w:t>40</w:t>
            </w:r>
          </w:p>
        </w:tc>
        <w:tc>
          <w:tcPr>
            <w:tcW w:w="459" w:type="pct"/>
            <w:tcBorders>
              <w:top w:val="single" w:sz="12" w:space="0" w:color="auto"/>
              <w:bottom w:val="single" w:sz="6" w:space="0" w:color="auto"/>
              <w:righ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r w:rsidRPr="00075DEB">
              <w:rPr>
                <w:rFonts w:ascii="Garamond" w:eastAsia="Times New Roman" w:hAnsi="Garamond" w:cs="Calibri Light"/>
                <w:sz w:val="16"/>
                <w:szCs w:val="16"/>
                <w:lang w:eastAsia="en-US" w:bidi="ar-SA"/>
              </w:rPr>
              <w:t>80</w:t>
            </w:r>
          </w:p>
        </w:tc>
        <w:tc>
          <w:tcPr>
            <w:tcW w:w="463" w:type="pct"/>
            <w:tcBorders>
              <w:top w:val="single" w:sz="12" w:space="0" w:color="auto"/>
              <w:bottom w:val="single" w:sz="6" w:space="0" w:color="auto"/>
              <w:right w:val="single" w:sz="2" w:space="0" w:color="auto"/>
            </w:tcBorders>
            <w:vAlign w:val="center"/>
          </w:tcPr>
          <w:p w:rsidR="00075DEB" w:rsidRPr="00075DEB" w:rsidRDefault="00075DEB" w:rsidP="00075DEB">
            <w:pPr>
              <w:widowControl/>
              <w:autoSpaceDE/>
              <w:autoSpaceDN/>
              <w:jc w:val="center"/>
              <w:rPr>
                <w:rFonts w:ascii="Garamond" w:eastAsia="游明朝" w:hAnsi="Garamond" w:cs="Calibri Light"/>
                <w:noProof/>
                <w:sz w:val="16"/>
                <w:szCs w:val="16"/>
                <w:highlight w:val="cyan"/>
                <w:lang w:eastAsia="en-US" w:bidi="ar-SA"/>
              </w:rPr>
            </w:pPr>
            <w:r w:rsidRPr="00075DEB">
              <w:rPr>
                <w:rFonts w:ascii="Garamond" w:eastAsia="游明朝" w:hAnsi="Garamond" w:cs="Calibri Light"/>
                <w:noProof/>
                <w:sz w:val="16"/>
                <w:szCs w:val="16"/>
                <w:lang w:eastAsia="en-US" w:bidi="ar-SA"/>
              </w:rPr>
              <w:t>20</w:t>
            </w:r>
          </w:p>
        </w:tc>
        <w:tc>
          <w:tcPr>
            <w:tcW w:w="441" w:type="pct"/>
            <w:tcBorders>
              <w:top w:val="single" w:sz="12" w:space="0" w:color="auto"/>
              <w:left w:val="single" w:sz="2" w:space="0" w:color="auto"/>
              <w:bottom w:val="single" w:sz="6" w:space="0" w:color="auto"/>
              <w:right w:val="single" w:sz="12" w:space="0" w:color="auto"/>
            </w:tcBorders>
            <w:vAlign w:val="center"/>
          </w:tcPr>
          <w:p w:rsidR="00075DEB" w:rsidRPr="00075DEB" w:rsidRDefault="00075DEB" w:rsidP="00075DEB">
            <w:pPr>
              <w:widowControl/>
              <w:autoSpaceDE/>
              <w:autoSpaceDN/>
              <w:jc w:val="center"/>
              <w:rPr>
                <w:rFonts w:ascii="Garamond" w:eastAsia="游明朝" w:hAnsi="Garamond" w:cs="Calibri Light"/>
                <w:noProof/>
                <w:sz w:val="16"/>
                <w:szCs w:val="16"/>
                <w:highlight w:val="cyan"/>
                <w:lang w:eastAsia="en-US" w:bidi="ar-SA"/>
              </w:rPr>
            </w:pPr>
            <w:r w:rsidRPr="00075DEB">
              <w:rPr>
                <w:rFonts w:ascii="Garamond" w:eastAsia="游明朝" w:hAnsi="Garamond" w:cs="Calibri Light"/>
                <w:sz w:val="16"/>
                <w:szCs w:val="16"/>
                <w:lang w:eastAsia="en-US" w:bidi="ar-SA"/>
              </w:rPr>
              <w:t>40</w:t>
            </w:r>
            <w:r w:rsidRPr="00F47279">
              <w:rPr>
                <w:rFonts w:ascii="Garamond" w:eastAsia="游明朝" w:hAnsi="Garamond" w:cs="Calibri Light"/>
                <w:sz w:val="16"/>
                <w:szCs w:val="16"/>
                <w:vertAlign w:val="superscript"/>
                <w:lang w:eastAsia="en-US" w:bidi="ar-SA"/>
              </w:rPr>
              <w:footnoteReference w:id="32"/>
            </w:r>
          </w:p>
        </w:tc>
        <w:tc>
          <w:tcPr>
            <w:tcW w:w="401" w:type="pct"/>
            <w:tcBorders>
              <w:left w:val="single" w:sz="12" w:space="0" w:color="auto"/>
              <w:right w:val="single" w:sz="12" w:space="0" w:color="auto"/>
            </w:tcBorders>
            <w:vAlign w:val="center"/>
          </w:tcPr>
          <w:p w:rsidR="00075DEB" w:rsidRPr="00075DEB" w:rsidRDefault="00075DEB" w:rsidP="00075DEB">
            <w:pPr>
              <w:widowControl/>
              <w:autoSpaceDE/>
              <w:autoSpaceDN/>
              <w:jc w:val="center"/>
              <w:rPr>
                <w:rFonts w:ascii="Garamond" w:eastAsia="游明朝" w:hAnsi="Garamond" w:cs="Calibri Light"/>
                <w:noProof/>
                <w:sz w:val="16"/>
                <w:szCs w:val="16"/>
                <w:lang w:eastAsia="en-US" w:bidi="ar-SA"/>
              </w:rPr>
            </w:pPr>
            <w:r w:rsidRPr="00075DEB">
              <w:rPr>
                <w:rFonts w:ascii="Garamond" w:eastAsia="Times New Roman" w:hAnsi="Garamond" w:cs="Calibri Light"/>
                <w:bCs/>
                <w:sz w:val="16"/>
                <w:szCs w:val="16"/>
                <w:lang w:eastAsia="en-US" w:bidi="ar-SA"/>
              </w:rPr>
              <w:t>100</w:t>
            </w:r>
          </w:p>
        </w:tc>
        <w:tc>
          <w:tcPr>
            <w:tcW w:w="441" w:type="pct"/>
            <w:tcBorders>
              <w:left w:val="single" w:sz="12" w:space="0" w:color="auto"/>
            </w:tcBorders>
            <w:vAlign w:val="center"/>
          </w:tcPr>
          <w:p w:rsidR="00075DEB" w:rsidRPr="00075DEB" w:rsidRDefault="00075DEB" w:rsidP="00075DEB">
            <w:pPr>
              <w:widowControl/>
              <w:autoSpaceDE/>
              <w:autoSpaceDN/>
              <w:jc w:val="center"/>
              <w:rPr>
                <w:rFonts w:ascii="Garamond" w:eastAsia="游明朝" w:hAnsi="Garamond" w:cs="Calibri Light"/>
                <w:noProof/>
                <w:sz w:val="16"/>
                <w:szCs w:val="16"/>
                <w:lang w:eastAsia="en-US" w:bidi="ar-SA"/>
              </w:rPr>
            </w:pPr>
            <w:r w:rsidRPr="00075DEB">
              <w:rPr>
                <w:rFonts w:ascii="Garamond" w:eastAsia="游明朝" w:hAnsi="Garamond" w:cs="Calibri Light"/>
                <w:noProof/>
                <w:sz w:val="16"/>
                <w:szCs w:val="16"/>
                <w:lang w:eastAsia="en-US" w:bidi="ar-SA"/>
              </w:rPr>
              <w:t>120</w:t>
            </w:r>
          </w:p>
        </w:tc>
        <w:tc>
          <w:tcPr>
            <w:tcW w:w="360" w:type="pct"/>
            <w:tcBorders>
              <w:lef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sz w:val="16"/>
                <w:szCs w:val="16"/>
                <w:highlight w:val="yellow"/>
                <w:lang w:eastAsia="en-US" w:bidi="ar-SA"/>
              </w:rPr>
            </w:pPr>
            <w:r w:rsidRPr="00075DEB">
              <w:rPr>
                <w:rFonts w:ascii="Garamond" w:eastAsia="游明朝" w:hAnsi="Garamond" w:cs="Calibri Light"/>
                <w:noProof/>
                <w:sz w:val="16"/>
                <w:szCs w:val="16"/>
                <w:lang w:eastAsia="ja-JP" w:bidi="ar-SA"/>
              </w:rPr>
              <w:drawing>
                <wp:inline distT="0" distB="0" distL="0" distR="0">
                  <wp:extent cx="276225" cy="233680"/>
                  <wp:effectExtent l="0" t="0" r="9525" b="0"/>
                  <wp:docPr id="15" name="Picture 40"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Description: 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075DEB" w:rsidRPr="00075DEB" w:rsidTr="00075DEB">
        <w:trPr>
          <w:trHeight w:val="432"/>
          <w:jc w:val="center"/>
        </w:trPr>
        <w:tc>
          <w:tcPr>
            <w:tcW w:w="631" w:type="pct"/>
            <w:tcBorders>
              <w:right w:val="single" w:sz="12" w:space="0" w:color="auto"/>
            </w:tcBorders>
            <w:shd w:val="clear" w:color="auto" w:fill="auto"/>
            <w:vAlign w:val="center"/>
            <w:hideMark/>
          </w:tcPr>
          <w:p w:rsidR="00F47279" w:rsidRPr="00F47279" w:rsidRDefault="00F47279" w:rsidP="00F47279">
            <w:pPr>
              <w:pStyle w:val="Default"/>
              <w:jc w:val="both"/>
              <w:rPr>
                <w:rFonts w:ascii="Garamond" w:hAnsi="Garamond"/>
                <w:sz w:val="16"/>
                <w:szCs w:val="16"/>
              </w:rPr>
            </w:pPr>
            <w:r w:rsidRPr="00F47279">
              <w:rPr>
                <w:rFonts w:ascii="Garamond" w:hAnsi="Garamond"/>
                <w:sz w:val="16"/>
                <w:szCs w:val="16"/>
              </w:rPr>
              <w:t xml:space="preserve">Property register and double entry book-keeping system for the property implemented </w:t>
            </w:r>
          </w:p>
          <w:p w:rsidR="00075DEB" w:rsidRPr="00075DEB" w:rsidRDefault="00075DEB" w:rsidP="00075DEB">
            <w:pPr>
              <w:widowControl/>
              <w:autoSpaceDE/>
              <w:autoSpaceDN/>
              <w:jc w:val="both"/>
              <w:rPr>
                <w:rFonts w:ascii="Garamond" w:eastAsia="Times New Roman" w:hAnsi="Garamond" w:cs="Calibri Light"/>
                <w:sz w:val="16"/>
                <w:szCs w:val="16"/>
                <w:lang w:eastAsia="en-US" w:bidi="ar-SA"/>
              </w:rPr>
            </w:pPr>
          </w:p>
        </w:tc>
        <w:tc>
          <w:tcPr>
            <w:tcW w:w="441" w:type="pct"/>
            <w:tcBorders>
              <w:top w:val="single" w:sz="6" w:space="0" w:color="auto"/>
              <w:left w:val="single" w:sz="12" w:space="0" w:color="auto"/>
              <w:bottom w:val="single" w:sz="18" w:space="0" w:color="auto"/>
              <w:right w:val="single" w:sz="12" w:space="0" w:color="auto"/>
            </w:tcBorders>
            <w:shd w:val="clear" w:color="auto" w:fill="auto"/>
            <w:vAlign w:val="center"/>
            <w:hideMark/>
          </w:tcPr>
          <w:p w:rsidR="00F47279" w:rsidRPr="00F47279" w:rsidRDefault="00F47279" w:rsidP="00F47279">
            <w:pPr>
              <w:pStyle w:val="Default"/>
              <w:jc w:val="center"/>
              <w:rPr>
                <w:rFonts w:ascii="Garamond" w:hAnsi="Garamond"/>
                <w:sz w:val="16"/>
                <w:szCs w:val="16"/>
              </w:rPr>
            </w:pPr>
            <w:r w:rsidRPr="00F47279">
              <w:rPr>
                <w:rFonts w:ascii="Garamond" w:hAnsi="Garamond"/>
                <w:sz w:val="16"/>
                <w:szCs w:val="16"/>
              </w:rPr>
              <w:t xml:space="preserve">Beginning of the development of the property register </w:t>
            </w:r>
          </w:p>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p>
        </w:tc>
        <w:tc>
          <w:tcPr>
            <w:tcW w:w="441" w:type="pct"/>
            <w:tcBorders>
              <w:left w:val="single" w:sz="12" w:space="0" w:color="auto"/>
              <w:bottom w:val="single" w:sz="18" w:space="0" w:color="auto"/>
            </w:tcBorders>
            <w:shd w:val="clear" w:color="auto" w:fill="auto"/>
            <w:vAlign w:val="center"/>
            <w:hideMark/>
          </w:tcPr>
          <w:p w:rsidR="00F47279" w:rsidRPr="00F47279" w:rsidRDefault="00F47279" w:rsidP="00F47279">
            <w:pPr>
              <w:pStyle w:val="Default"/>
              <w:jc w:val="center"/>
              <w:rPr>
                <w:rFonts w:ascii="Garamond" w:hAnsi="Garamond"/>
                <w:sz w:val="16"/>
                <w:szCs w:val="16"/>
              </w:rPr>
            </w:pPr>
            <w:r w:rsidRPr="00F47279">
              <w:rPr>
                <w:rFonts w:ascii="Garamond" w:hAnsi="Garamond"/>
                <w:sz w:val="16"/>
                <w:szCs w:val="16"/>
              </w:rPr>
              <w:t xml:space="preserve">Property data entered into the register </w:t>
            </w:r>
          </w:p>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p>
        </w:tc>
        <w:tc>
          <w:tcPr>
            <w:tcW w:w="481" w:type="pct"/>
            <w:tcBorders>
              <w:bottom w:val="single" w:sz="18" w:space="0" w:color="auto"/>
              <w:righ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r w:rsidRPr="00075DEB">
              <w:rPr>
                <w:rFonts w:ascii="Garamond" w:eastAsia="Times New Roman" w:hAnsi="Garamond" w:cs="Calibri Light"/>
                <w:sz w:val="16"/>
                <w:szCs w:val="16"/>
                <w:lang w:eastAsia="en-US" w:bidi="ar-SA"/>
              </w:rPr>
              <w:t>0</w:t>
            </w:r>
          </w:p>
        </w:tc>
        <w:tc>
          <w:tcPr>
            <w:tcW w:w="441" w:type="pct"/>
            <w:tcBorders>
              <w:top w:val="single" w:sz="6" w:space="0" w:color="auto"/>
              <w:left w:val="single" w:sz="12" w:space="0" w:color="auto"/>
              <w:bottom w:val="single" w:sz="18" w:space="0" w:color="auto"/>
            </w:tcBorders>
            <w:shd w:val="clear" w:color="auto" w:fill="auto"/>
            <w:vAlign w:val="center"/>
            <w:hideMark/>
          </w:tcPr>
          <w:p w:rsidR="00F47279" w:rsidRPr="00F47279" w:rsidRDefault="00F47279" w:rsidP="00F47279">
            <w:pPr>
              <w:pStyle w:val="Default"/>
              <w:jc w:val="center"/>
              <w:rPr>
                <w:rFonts w:ascii="Garamond" w:hAnsi="Garamond"/>
                <w:sz w:val="16"/>
                <w:szCs w:val="16"/>
              </w:rPr>
            </w:pPr>
            <w:r w:rsidRPr="00F47279">
              <w:rPr>
                <w:rFonts w:ascii="Garamond" w:hAnsi="Garamond"/>
                <w:sz w:val="16"/>
                <w:szCs w:val="16"/>
              </w:rPr>
              <w:t xml:space="preserve">Property data entered into the register </w:t>
            </w:r>
          </w:p>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p>
        </w:tc>
        <w:tc>
          <w:tcPr>
            <w:tcW w:w="459" w:type="pct"/>
            <w:tcBorders>
              <w:top w:val="single" w:sz="6" w:space="0" w:color="auto"/>
              <w:bottom w:val="single" w:sz="18" w:space="0" w:color="auto"/>
              <w:righ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sz w:val="16"/>
                <w:szCs w:val="16"/>
                <w:lang w:eastAsia="en-US" w:bidi="ar-SA"/>
              </w:rPr>
            </w:pPr>
            <w:r w:rsidRPr="00075DEB">
              <w:rPr>
                <w:rFonts w:ascii="Garamond" w:eastAsia="Times New Roman" w:hAnsi="Garamond" w:cs="Calibri Light"/>
                <w:sz w:val="16"/>
                <w:szCs w:val="16"/>
                <w:lang w:eastAsia="en-US" w:bidi="ar-SA"/>
              </w:rPr>
              <w:t>0</w:t>
            </w:r>
          </w:p>
        </w:tc>
        <w:tc>
          <w:tcPr>
            <w:tcW w:w="463" w:type="pct"/>
            <w:tcBorders>
              <w:top w:val="single" w:sz="6" w:space="0" w:color="auto"/>
              <w:bottom w:val="single" w:sz="18" w:space="0" w:color="auto"/>
              <w:right w:val="single" w:sz="2" w:space="0" w:color="auto"/>
            </w:tcBorders>
            <w:vAlign w:val="center"/>
          </w:tcPr>
          <w:p w:rsidR="00F47279" w:rsidRPr="00F47279" w:rsidRDefault="00F47279" w:rsidP="00F47279">
            <w:pPr>
              <w:widowControl/>
              <w:autoSpaceDE/>
              <w:autoSpaceDN/>
              <w:spacing w:after="120"/>
              <w:jc w:val="center"/>
              <w:rPr>
                <w:rFonts w:ascii="Garamond" w:eastAsia="游明朝" w:hAnsi="Garamond" w:cs="Calibri Light"/>
                <w:sz w:val="16"/>
                <w:szCs w:val="16"/>
                <w:lang w:eastAsia="en-US" w:bidi="ar-SA"/>
              </w:rPr>
            </w:pPr>
            <w:r w:rsidRPr="00F47279">
              <w:rPr>
                <w:rFonts w:ascii="Garamond" w:eastAsia="游明朝" w:hAnsi="Garamond" w:cs="Calibri Light"/>
                <w:sz w:val="16"/>
                <w:szCs w:val="16"/>
                <w:lang w:eastAsia="en-US" w:bidi="ar-SA"/>
              </w:rPr>
              <w:t>Training</w:t>
            </w:r>
          </w:p>
          <w:p w:rsidR="00F47279" w:rsidRPr="00F47279" w:rsidRDefault="00F47279" w:rsidP="00F47279">
            <w:pPr>
              <w:widowControl/>
              <w:autoSpaceDE/>
              <w:autoSpaceDN/>
              <w:spacing w:after="120"/>
              <w:jc w:val="center"/>
              <w:rPr>
                <w:rFonts w:ascii="Garamond" w:eastAsia="游明朝" w:hAnsi="Garamond" w:cs="Calibri Light"/>
                <w:sz w:val="16"/>
                <w:szCs w:val="16"/>
                <w:lang w:eastAsia="en-US" w:bidi="ar-SA"/>
              </w:rPr>
            </w:pPr>
            <w:r w:rsidRPr="00F47279">
              <w:rPr>
                <w:rFonts w:ascii="Garamond" w:eastAsia="游明朝" w:hAnsi="Garamond" w:cs="Calibri Light"/>
                <w:sz w:val="16"/>
                <w:szCs w:val="16"/>
                <w:lang w:eastAsia="en-US" w:bidi="ar-SA"/>
              </w:rPr>
              <w:t>(direct budget users) and</w:t>
            </w:r>
          </w:p>
          <w:p w:rsidR="00075DEB" w:rsidRPr="00075DEB" w:rsidRDefault="00F47279" w:rsidP="00F47279">
            <w:pPr>
              <w:widowControl/>
              <w:autoSpaceDE/>
              <w:autoSpaceDN/>
              <w:jc w:val="center"/>
              <w:rPr>
                <w:rFonts w:ascii="Garamond" w:eastAsia="游明朝" w:hAnsi="Garamond" w:cs="Calibri Light"/>
                <w:noProof/>
                <w:sz w:val="16"/>
                <w:szCs w:val="16"/>
                <w:lang w:eastAsia="en-US" w:bidi="ar-SA"/>
              </w:rPr>
            </w:pPr>
            <w:r w:rsidRPr="00F47279">
              <w:rPr>
                <w:rFonts w:ascii="Garamond" w:eastAsia="游明朝" w:hAnsi="Garamond" w:cs="Calibri Light"/>
                <w:sz w:val="16"/>
                <w:szCs w:val="16"/>
                <w:lang w:eastAsia="en-US" w:bidi="ar-SA"/>
              </w:rPr>
              <w:t>migration of funds to ARS and commissioning of records</w:t>
            </w:r>
          </w:p>
        </w:tc>
        <w:tc>
          <w:tcPr>
            <w:tcW w:w="441" w:type="pct"/>
            <w:tcBorders>
              <w:top w:val="single" w:sz="6" w:space="0" w:color="auto"/>
              <w:left w:val="single" w:sz="2" w:space="0" w:color="auto"/>
              <w:bottom w:val="single" w:sz="18" w:space="0" w:color="auto"/>
              <w:right w:val="single" w:sz="12" w:space="0" w:color="auto"/>
            </w:tcBorders>
            <w:vAlign w:val="center"/>
          </w:tcPr>
          <w:p w:rsidR="00075DEB" w:rsidRPr="00075DEB" w:rsidRDefault="00075DEB" w:rsidP="00075DEB">
            <w:pPr>
              <w:widowControl/>
              <w:autoSpaceDE/>
              <w:autoSpaceDN/>
              <w:jc w:val="center"/>
              <w:rPr>
                <w:rFonts w:ascii="Garamond" w:eastAsia="游明朝" w:hAnsi="Garamond" w:cs="Calibri Light"/>
                <w:noProof/>
                <w:sz w:val="16"/>
                <w:szCs w:val="16"/>
                <w:lang w:eastAsia="en-US" w:bidi="ar-SA"/>
              </w:rPr>
            </w:pPr>
            <w:r w:rsidRPr="00075DEB">
              <w:rPr>
                <w:rFonts w:ascii="Garamond" w:eastAsia="游明朝" w:hAnsi="Garamond" w:cs="Calibri Light"/>
                <w:noProof/>
                <w:sz w:val="16"/>
                <w:szCs w:val="16"/>
                <w:lang w:eastAsia="en-US" w:bidi="ar-SA"/>
              </w:rPr>
              <w:t>9 grupa</w:t>
            </w:r>
          </w:p>
          <w:p w:rsidR="00075DEB" w:rsidRPr="00075DEB" w:rsidRDefault="00075DEB" w:rsidP="00075DEB">
            <w:pPr>
              <w:widowControl/>
              <w:autoSpaceDE/>
              <w:autoSpaceDN/>
              <w:jc w:val="center"/>
              <w:rPr>
                <w:rFonts w:ascii="Garamond" w:eastAsia="游明朝" w:hAnsi="Garamond" w:cs="Calibri Light"/>
                <w:noProof/>
                <w:sz w:val="16"/>
                <w:szCs w:val="16"/>
                <w:lang w:eastAsia="en-US" w:bidi="ar-SA"/>
              </w:rPr>
            </w:pPr>
          </w:p>
          <w:p w:rsidR="00075DEB" w:rsidRPr="00075DEB" w:rsidRDefault="00075DEB" w:rsidP="00075DEB">
            <w:pPr>
              <w:widowControl/>
              <w:autoSpaceDE/>
              <w:autoSpaceDN/>
              <w:jc w:val="center"/>
              <w:rPr>
                <w:rFonts w:ascii="Garamond" w:eastAsia="游明朝" w:hAnsi="Garamond" w:cs="Calibri Light"/>
                <w:noProof/>
                <w:sz w:val="16"/>
                <w:szCs w:val="16"/>
                <w:lang w:eastAsia="en-US" w:bidi="ar-SA"/>
              </w:rPr>
            </w:pPr>
            <w:r w:rsidRPr="00075DEB">
              <w:rPr>
                <w:rFonts w:ascii="Garamond" w:eastAsia="游明朝" w:hAnsi="Garamond" w:cs="Calibri Light"/>
                <w:noProof/>
                <w:sz w:val="16"/>
                <w:szCs w:val="16"/>
                <w:lang w:eastAsia="en-US" w:bidi="ar-SA"/>
              </w:rPr>
              <w:t>100</w:t>
            </w:r>
          </w:p>
          <w:p w:rsidR="00075DEB" w:rsidRPr="00075DEB" w:rsidRDefault="00075DEB" w:rsidP="00075DEB">
            <w:pPr>
              <w:widowControl/>
              <w:autoSpaceDE/>
              <w:autoSpaceDN/>
              <w:spacing w:after="120"/>
              <w:jc w:val="center"/>
              <w:rPr>
                <w:rFonts w:ascii="Garamond" w:eastAsia="游明朝" w:hAnsi="Garamond" w:cs="Calibri Light"/>
                <w:sz w:val="16"/>
                <w:szCs w:val="16"/>
                <w:lang w:eastAsia="en-US" w:bidi="ar-SA"/>
              </w:rPr>
            </w:pPr>
          </w:p>
          <w:p w:rsidR="00075DEB" w:rsidRPr="00075DEB" w:rsidRDefault="00075DEB" w:rsidP="00075DEB">
            <w:pPr>
              <w:widowControl/>
              <w:autoSpaceDE/>
              <w:autoSpaceDN/>
              <w:spacing w:after="120"/>
              <w:jc w:val="center"/>
              <w:rPr>
                <w:rFonts w:ascii="Garamond" w:eastAsia="游明朝" w:hAnsi="Garamond" w:cs="Calibri Light"/>
                <w:sz w:val="16"/>
                <w:szCs w:val="16"/>
                <w:lang w:eastAsia="en-US" w:bidi="ar-SA"/>
              </w:rPr>
            </w:pPr>
          </w:p>
          <w:p w:rsidR="00075DEB" w:rsidRPr="00075DEB" w:rsidRDefault="00075DEB" w:rsidP="00075DEB">
            <w:pPr>
              <w:widowControl/>
              <w:autoSpaceDE/>
              <w:autoSpaceDN/>
              <w:spacing w:after="120"/>
              <w:jc w:val="center"/>
              <w:rPr>
                <w:rFonts w:ascii="Garamond" w:eastAsia="游明朝" w:hAnsi="Garamond" w:cs="Calibri Light"/>
                <w:sz w:val="16"/>
                <w:szCs w:val="16"/>
                <w:lang w:eastAsia="en-US" w:bidi="ar-SA"/>
              </w:rPr>
            </w:pPr>
          </w:p>
          <w:p w:rsidR="00075DEB" w:rsidRPr="00075DEB" w:rsidRDefault="00075DEB" w:rsidP="00075DEB">
            <w:pPr>
              <w:widowControl/>
              <w:autoSpaceDE/>
              <w:autoSpaceDN/>
              <w:spacing w:after="120"/>
              <w:jc w:val="center"/>
              <w:rPr>
                <w:rFonts w:ascii="Garamond" w:eastAsia="游明朝" w:hAnsi="Garamond" w:cs="Calibri Light"/>
                <w:sz w:val="16"/>
                <w:szCs w:val="16"/>
                <w:lang w:eastAsia="en-US" w:bidi="ar-SA"/>
              </w:rPr>
            </w:pPr>
            <w:r w:rsidRPr="00075DEB">
              <w:rPr>
                <w:rFonts w:ascii="Garamond" w:eastAsia="游明朝" w:hAnsi="Garamond" w:cs="Calibri Light"/>
                <w:sz w:val="16"/>
                <w:szCs w:val="16"/>
                <w:lang w:eastAsia="en-US" w:bidi="ar-SA"/>
              </w:rPr>
              <w:t>0</w:t>
            </w:r>
          </w:p>
        </w:tc>
        <w:tc>
          <w:tcPr>
            <w:tcW w:w="401" w:type="pct"/>
            <w:tcBorders>
              <w:left w:val="single" w:sz="12" w:space="0" w:color="auto"/>
              <w:right w:val="single" w:sz="12" w:space="0" w:color="auto"/>
            </w:tcBorders>
          </w:tcPr>
          <w:p w:rsidR="00F47279" w:rsidRPr="00F47279" w:rsidRDefault="00F47279" w:rsidP="00F47279">
            <w:pPr>
              <w:pStyle w:val="Default"/>
              <w:jc w:val="center"/>
              <w:rPr>
                <w:rFonts w:ascii="Garamond" w:hAnsi="Garamond"/>
                <w:sz w:val="16"/>
                <w:szCs w:val="16"/>
              </w:rPr>
            </w:pPr>
            <w:r w:rsidRPr="00F47279">
              <w:rPr>
                <w:rFonts w:ascii="Garamond" w:hAnsi="Garamond"/>
                <w:sz w:val="16"/>
                <w:szCs w:val="16"/>
              </w:rPr>
              <w:t xml:space="preserve">Property register and double entry book-keeping system for the property implemented </w:t>
            </w:r>
          </w:p>
          <w:p w:rsidR="00075DEB" w:rsidRPr="00075DEB" w:rsidRDefault="00075DEB" w:rsidP="00075DEB">
            <w:pPr>
              <w:widowControl/>
              <w:autoSpaceDE/>
              <w:autoSpaceDN/>
              <w:jc w:val="center"/>
              <w:rPr>
                <w:rFonts w:ascii="Garamond" w:eastAsia="游明朝" w:hAnsi="Garamond" w:cs="Calibri Light"/>
                <w:noProof/>
                <w:sz w:val="16"/>
                <w:szCs w:val="16"/>
                <w:lang w:eastAsia="en-US" w:bidi="ar-SA"/>
              </w:rPr>
            </w:pPr>
          </w:p>
        </w:tc>
        <w:tc>
          <w:tcPr>
            <w:tcW w:w="441" w:type="pct"/>
            <w:tcBorders>
              <w:left w:val="single" w:sz="12" w:space="0" w:color="auto"/>
            </w:tcBorders>
          </w:tcPr>
          <w:p w:rsidR="00F47279" w:rsidRPr="00F47279" w:rsidRDefault="00F47279" w:rsidP="00F47279">
            <w:pPr>
              <w:autoSpaceDE/>
              <w:autoSpaceDN/>
              <w:jc w:val="center"/>
              <w:rPr>
                <w:rFonts w:ascii="Garamond" w:eastAsia="Calibri" w:hAnsi="Garamond" w:cs="Calibri Light"/>
                <w:sz w:val="16"/>
                <w:szCs w:val="16"/>
                <w:lang w:eastAsia="en-US" w:bidi="ar-SA"/>
              </w:rPr>
            </w:pPr>
            <w:r w:rsidRPr="00F47279">
              <w:rPr>
                <w:rFonts w:ascii="Garamond" w:eastAsia="Calibri" w:hAnsi="Garamond" w:cs="Calibri Light"/>
                <w:sz w:val="16"/>
                <w:szCs w:val="16"/>
                <w:lang w:eastAsia="en-US" w:bidi="ar-SA"/>
              </w:rPr>
              <w:t>Public authorities (99) Public services (322) DKP (39)</w:t>
            </w:r>
          </w:p>
          <w:p w:rsidR="00F47279" w:rsidRPr="00F47279" w:rsidRDefault="00F47279" w:rsidP="00F47279">
            <w:pPr>
              <w:autoSpaceDE/>
              <w:autoSpaceDN/>
              <w:jc w:val="center"/>
              <w:rPr>
                <w:rFonts w:ascii="Garamond" w:eastAsia="Calibri" w:hAnsi="Garamond" w:cs="Calibri Light"/>
                <w:sz w:val="16"/>
                <w:szCs w:val="16"/>
                <w:lang w:eastAsia="en-US" w:bidi="ar-SA"/>
              </w:rPr>
            </w:pPr>
            <w:r w:rsidRPr="00F47279">
              <w:rPr>
                <w:rFonts w:ascii="Garamond" w:eastAsia="Calibri" w:hAnsi="Garamond" w:cs="Calibri Light"/>
                <w:sz w:val="16"/>
                <w:szCs w:val="16"/>
                <w:lang w:eastAsia="en-US" w:bidi="ar-SA"/>
              </w:rPr>
              <w:t>Local government (24)</w:t>
            </w:r>
          </w:p>
          <w:p w:rsidR="00F47279" w:rsidRPr="00F47279" w:rsidRDefault="00F47279" w:rsidP="00F47279">
            <w:pPr>
              <w:autoSpaceDE/>
              <w:autoSpaceDN/>
              <w:jc w:val="center"/>
              <w:rPr>
                <w:rFonts w:ascii="Garamond" w:eastAsia="Calibri" w:hAnsi="Garamond" w:cs="Calibri Light"/>
                <w:sz w:val="16"/>
                <w:szCs w:val="16"/>
                <w:lang w:eastAsia="en-US" w:bidi="ar-SA"/>
              </w:rPr>
            </w:pPr>
            <w:r w:rsidRPr="00F47279">
              <w:rPr>
                <w:rFonts w:ascii="Garamond" w:eastAsia="Calibri" w:hAnsi="Garamond" w:cs="Calibri Light"/>
                <w:sz w:val="16"/>
                <w:szCs w:val="16"/>
                <w:lang w:eastAsia="en-US" w:bidi="ar-SA"/>
              </w:rPr>
              <w:t>Municipal authorities (196)</w:t>
            </w:r>
          </w:p>
          <w:p w:rsidR="00F47279" w:rsidRPr="00F47279" w:rsidRDefault="00F47279" w:rsidP="00F47279">
            <w:pPr>
              <w:autoSpaceDE/>
              <w:autoSpaceDN/>
              <w:jc w:val="center"/>
              <w:rPr>
                <w:rFonts w:ascii="Garamond" w:eastAsia="Calibri" w:hAnsi="Garamond" w:cs="Calibri Light"/>
                <w:sz w:val="16"/>
                <w:szCs w:val="16"/>
                <w:lang w:eastAsia="en-US" w:bidi="ar-SA"/>
              </w:rPr>
            </w:pPr>
          </w:p>
          <w:p w:rsidR="00075DEB" w:rsidRPr="00075DEB" w:rsidRDefault="00F47279" w:rsidP="00F47279">
            <w:pPr>
              <w:widowControl/>
              <w:autoSpaceDE/>
              <w:autoSpaceDN/>
              <w:spacing w:after="120"/>
              <w:jc w:val="center"/>
              <w:rPr>
                <w:rFonts w:ascii="Garamond" w:eastAsia="游明朝" w:hAnsi="Garamond" w:cs="Calibri Light"/>
                <w:sz w:val="16"/>
                <w:szCs w:val="16"/>
                <w:lang w:eastAsia="en-US" w:bidi="ar-SA"/>
              </w:rPr>
            </w:pPr>
            <w:r w:rsidRPr="00F47279">
              <w:rPr>
                <w:rFonts w:ascii="Garamond" w:eastAsia="Calibri" w:hAnsi="Garamond" w:cs="Calibri Light"/>
                <w:sz w:val="16"/>
                <w:szCs w:val="16"/>
                <w:lang w:eastAsia="en-US" w:bidi="ar-SA"/>
              </w:rPr>
              <w:t>0 migration</w:t>
            </w:r>
            <w:r>
              <w:rPr>
                <w:rFonts w:ascii="Garamond" w:eastAsia="Calibri" w:hAnsi="Garamond" w:cs="Calibri Light"/>
                <w:sz w:val="16"/>
                <w:szCs w:val="16"/>
                <w:lang w:eastAsia="en-US" w:bidi="ar-SA"/>
              </w:rPr>
              <w:t>s</w:t>
            </w:r>
            <w:r>
              <w:rPr>
                <w:rStyle w:val="FootnoteReference"/>
                <w:rFonts w:ascii="Garamond" w:eastAsia="Calibri" w:hAnsi="Garamond" w:cs="Calibri Light"/>
                <w:sz w:val="16"/>
                <w:szCs w:val="16"/>
                <w:lang w:eastAsia="en-US" w:bidi="ar-SA"/>
              </w:rPr>
              <w:footnoteReference w:id="33"/>
            </w:r>
          </w:p>
        </w:tc>
        <w:tc>
          <w:tcPr>
            <w:tcW w:w="360" w:type="pct"/>
            <w:tcBorders>
              <w:left w:val="single" w:sz="12" w:space="0" w:color="auto"/>
            </w:tcBorders>
            <w:shd w:val="clear" w:color="auto" w:fill="auto"/>
            <w:vAlign w:val="center"/>
            <w:hideMark/>
          </w:tcPr>
          <w:p w:rsidR="00075DEB" w:rsidRPr="00075DEB" w:rsidRDefault="00075DEB" w:rsidP="00075DEB">
            <w:pPr>
              <w:widowControl/>
              <w:autoSpaceDE/>
              <w:autoSpaceDN/>
              <w:jc w:val="center"/>
              <w:rPr>
                <w:rFonts w:ascii="Garamond" w:eastAsia="Times New Roman" w:hAnsi="Garamond" w:cs="Calibri Light"/>
                <w:sz w:val="16"/>
                <w:szCs w:val="16"/>
                <w:highlight w:val="yellow"/>
                <w:lang w:eastAsia="en-US" w:bidi="ar-SA"/>
              </w:rPr>
            </w:pPr>
            <w:r w:rsidRPr="00075DEB">
              <w:rPr>
                <w:rFonts w:ascii="Garamond" w:eastAsia="游明朝" w:hAnsi="Garamond" w:cs="Calibri Light"/>
                <w:noProof/>
                <w:sz w:val="16"/>
                <w:szCs w:val="16"/>
                <w:lang w:eastAsia="ja-JP" w:bidi="ar-SA"/>
              </w:rPr>
              <w:drawing>
                <wp:inline distT="0" distB="0" distL="0" distR="0">
                  <wp:extent cx="276225" cy="233680"/>
                  <wp:effectExtent l="0" t="0" r="9525" b="0"/>
                  <wp:docPr id="16" name="Picture 76"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Description: Description: 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bl>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075DEB" w:rsidRDefault="00075DEB" w:rsidP="00075DEB">
      <w:pPr>
        <w:jc w:val="both"/>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F47279" w:rsidRDefault="004D1343" w:rsidP="004D1343">
      <w:pPr>
        <w:rPr>
          <w:rFonts w:ascii="Garamond" w:hAnsi="Garamond"/>
          <w:sz w:val="24"/>
          <w:szCs w:val="24"/>
        </w:rPr>
        <w:sectPr w:rsidR="00F47279" w:rsidSect="00075DEB">
          <w:pgSz w:w="15840" w:h="12240" w:orient="landscape"/>
          <w:pgMar w:top="1440" w:right="1440" w:bottom="1440" w:left="1440" w:header="720" w:footer="720" w:gutter="0"/>
          <w:cols w:space="720"/>
          <w:docGrid w:linePitch="360"/>
        </w:sectPr>
      </w:pPr>
      <w:r w:rsidRPr="00C32887">
        <w:rPr>
          <w:rFonts w:ascii="Garamond" w:hAnsi="Garamond"/>
          <w:sz w:val="24"/>
          <w:szCs w:val="24"/>
        </w:rPr>
        <w:t xml:space="preserve"> </w:t>
      </w:r>
    </w:p>
    <w:p w:rsidR="004D1343" w:rsidRPr="00F47279" w:rsidRDefault="00F47279" w:rsidP="004D1343">
      <w:pPr>
        <w:rPr>
          <w:rFonts w:ascii="Garamond" w:hAnsi="Garamond"/>
          <w:b/>
          <w:sz w:val="24"/>
          <w:szCs w:val="24"/>
        </w:rPr>
      </w:pPr>
      <w:r w:rsidRPr="00F47279">
        <w:rPr>
          <w:rFonts w:ascii="Garamond" w:hAnsi="Garamond"/>
          <w:b/>
          <w:sz w:val="24"/>
          <w:szCs w:val="24"/>
        </w:rPr>
        <w:t>CADASTRE AND STATE PROPERTY ADMINISTRATION</w:t>
      </w:r>
    </w:p>
    <w:p w:rsidR="004D1343" w:rsidRPr="00C32887" w:rsidRDefault="004D1343" w:rsidP="004D1343">
      <w:pPr>
        <w:rPr>
          <w:rFonts w:ascii="Garamond" w:hAnsi="Garamond"/>
          <w:sz w:val="24"/>
          <w:szCs w:val="24"/>
        </w:rPr>
      </w:pPr>
    </w:p>
    <w:p w:rsidR="004D1343" w:rsidRPr="00C32887" w:rsidRDefault="004D1343" w:rsidP="00366C25">
      <w:pPr>
        <w:jc w:val="both"/>
        <w:rPr>
          <w:rFonts w:ascii="Garamond" w:hAnsi="Garamond"/>
          <w:sz w:val="24"/>
          <w:szCs w:val="24"/>
        </w:rPr>
      </w:pPr>
      <w:r w:rsidRPr="00C32887">
        <w:rPr>
          <w:rFonts w:ascii="Garamond" w:hAnsi="Garamond"/>
          <w:sz w:val="24"/>
          <w:szCs w:val="24"/>
        </w:rPr>
        <w:t xml:space="preserve">The establishment </w:t>
      </w:r>
      <w:r w:rsidR="00C27F02">
        <w:rPr>
          <w:rFonts w:ascii="Garamond" w:hAnsi="Garamond"/>
          <w:sz w:val="24"/>
          <w:szCs w:val="24"/>
        </w:rPr>
        <w:t>of</w:t>
      </w:r>
      <w:r w:rsidRPr="00C32887">
        <w:rPr>
          <w:rFonts w:ascii="Garamond" w:hAnsi="Garamond"/>
          <w:sz w:val="24"/>
          <w:szCs w:val="24"/>
        </w:rPr>
        <w:t xml:space="preserve"> the </w:t>
      </w:r>
      <w:r w:rsidR="00C27F02">
        <w:rPr>
          <w:rFonts w:ascii="Garamond" w:hAnsi="Garamond"/>
          <w:sz w:val="24"/>
          <w:szCs w:val="24"/>
        </w:rPr>
        <w:t>single</w:t>
      </w:r>
      <w:r w:rsidRPr="00C32887">
        <w:rPr>
          <w:rFonts w:ascii="Garamond" w:hAnsi="Garamond"/>
          <w:sz w:val="24"/>
          <w:szCs w:val="24"/>
        </w:rPr>
        <w:t xml:space="preserve"> record of state property</w:t>
      </w:r>
      <w:r w:rsidR="00C27F02">
        <w:rPr>
          <w:rFonts w:ascii="Garamond" w:hAnsi="Garamond"/>
          <w:sz w:val="24"/>
          <w:szCs w:val="24"/>
        </w:rPr>
        <w:t xml:space="preserve"> system is not only a legal obligation</w:t>
      </w:r>
      <w:r w:rsidR="00C27F02">
        <w:rPr>
          <w:rStyle w:val="FootnoteReference"/>
          <w:rFonts w:ascii="Garamond" w:hAnsi="Garamond"/>
          <w:sz w:val="24"/>
          <w:szCs w:val="24"/>
        </w:rPr>
        <w:footnoteReference w:id="34"/>
      </w:r>
      <w:r w:rsidRPr="00C32887">
        <w:rPr>
          <w:rFonts w:ascii="Garamond" w:hAnsi="Garamond"/>
          <w:sz w:val="24"/>
          <w:szCs w:val="24"/>
        </w:rPr>
        <w:t xml:space="preserve"> but a</w:t>
      </w:r>
      <w:r w:rsidR="00C27F02">
        <w:rPr>
          <w:rFonts w:ascii="Garamond" w:hAnsi="Garamond"/>
          <w:sz w:val="24"/>
          <w:szCs w:val="24"/>
        </w:rPr>
        <w:t>lso an obligation to the public</w:t>
      </w:r>
      <w:r w:rsidRPr="00C32887">
        <w:rPr>
          <w:rFonts w:ascii="Garamond" w:hAnsi="Garamond"/>
          <w:sz w:val="24"/>
          <w:szCs w:val="24"/>
        </w:rPr>
        <w:t xml:space="preserve">, bearing in mind the importance of this topic. In this regard, a number of activities were undertaken during the reporting period. The system of records of state property means </w:t>
      </w:r>
      <w:r w:rsidR="00DA59C5">
        <w:rPr>
          <w:rFonts w:ascii="Garamond" w:hAnsi="Garamond"/>
          <w:sz w:val="24"/>
          <w:szCs w:val="24"/>
        </w:rPr>
        <w:t xml:space="preserve">independent </w:t>
      </w:r>
      <w:r w:rsidRPr="00C32887">
        <w:rPr>
          <w:rFonts w:ascii="Garamond" w:hAnsi="Garamond"/>
          <w:sz w:val="24"/>
          <w:szCs w:val="24"/>
        </w:rPr>
        <w:t xml:space="preserve">data entry </w:t>
      </w:r>
      <w:r w:rsidR="00DA59C5">
        <w:rPr>
          <w:rFonts w:ascii="Garamond" w:hAnsi="Garamond"/>
          <w:sz w:val="24"/>
          <w:szCs w:val="24"/>
        </w:rPr>
        <w:t>by public</w:t>
      </w:r>
      <w:r w:rsidRPr="00C32887">
        <w:rPr>
          <w:rFonts w:ascii="Garamond" w:hAnsi="Garamond"/>
          <w:sz w:val="24"/>
          <w:szCs w:val="24"/>
        </w:rPr>
        <w:t xml:space="preserve"> and municipal bodies and companies through a special web application called ARS (Asset Registry System). Therefore, the Cadastre and State Property Administration (forme</w:t>
      </w:r>
      <w:r w:rsidR="00DA59C5">
        <w:rPr>
          <w:rFonts w:ascii="Garamond" w:hAnsi="Garamond"/>
          <w:sz w:val="24"/>
          <w:szCs w:val="24"/>
        </w:rPr>
        <w:t>rly the Property Administration</w:t>
      </w:r>
      <w:r w:rsidRPr="00C32887">
        <w:rPr>
          <w:rFonts w:ascii="Garamond" w:hAnsi="Garamond"/>
          <w:sz w:val="24"/>
          <w:szCs w:val="24"/>
        </w:rPr>
        <w:t xml:space="preserve">) </w:t>
      </w:r>
      <w:r w:rsidR="00DA59C5">
        <w:rPr>
          <w:rFonts w:ascii="Garamond" w:hAnsi="Garamond"/>
          <w:sz w:val="24"/>
          <w:szCs w:val="24"/>
        </w:rPr>
        <w:t xml:space="preserve">is </w:t>
      </w:r>
      <w:r w:rsidRPr="00C32887">
        <w:rPr>
          <w:rFonts w:ascii="Garamond" w:hAnsi="Garamond"/>
          <w:sz w:val="24"/>
          <w:szCs w:val="24"/>
        </w:rPr>
        <w:t xml:space="preserve">implementing the project </w:t>
      </w:r>
      <w:r w:rsidR="00C13A74">
        <w:rPr>
          <w:rFonts w:ascii="Garamond" w:hAnsi="Garamond"/>
          <w:sz w:val="24"/>
          <w:szCs w:val="24"/>
        </w:rPr>
        <w:t>‘</w:t>
      </w:r>
      <w:r w:rsidRPr="00C32887">
        <w:rPr>
          <w:rFonts w:ascii="Garamond" w:hAnsi="Garamond"/>
          <w:sz w:val="24"/>
          <w:szCs w:val="24"/>
        </w:rPr>
        <w:t>Expansion of the SAP system - implementation of SAP FI - AA module and external applicat</w:t>
      </w:r>
      <w:r w:rsidR="00DA59C5">
        <w:rPr>
          <w:rFonts w:ascii="Garamond" w:hAnsi="Garamond"/>
          <w:sz w:val="24"/>
          <w:szCs w:val="24"/>
        </w:rPr>
        <w:t>ions for state property records</w:t>
      </w:r>
      <w:r w:rsidR="00C13A74">
        <w:rPr>
          <w:rFonts w:ascii="Garamond" w:hAnsi="Garamond"/>
          <w:sz w:val="24"/>
          <w:szCs w:val="24"/>
        </w:rPr>
        <w:t>’</w:t>
      </w:r>
      <w:r w:rsidRPr="00C32887">
        <w:rPr>
          <w:rFonts w:ascii="Garamond" w:hAnsi="Garamond"/>
          <w:sz w:val="24"/>
          <w:szCs w:val="24"/>
        </w:rPr>
        <w:t xml:space="preserve"> </w:t>
      </w:r>
      <w:r w:rsidR="000316DA">
        <w:rPr>
          <w:rFonts w:ascii="Garamond" w:hAnsi="Garamond"/>
          <w:sz w:val="24"/>
          <w:szCs w:val="24"/>
        </w:rPr>
        <w:t>since</w:t>
      </w:r>
      <w:r w:rsidRPr="00C32887">
        <w:rPr>
          <w:rFonts w:ascii="Garamond" w:hAnsi="Garamond"/>
          <w:sz w:val="24"/>
          <w:szCs w:val="24"/>
        </w:rPr>
        <w:t xml:space="preserve"> 2015, which provides a complete insight into each movable and immovable </w:t>
      </w:r>
      <w:r w:rsidR="000316DA">
        <w:rPr>
          <w:rFonts w:ascii="Garamond" w:hAnsi="Garamond"/>
          <w:sz w:val="24"/>
          <w:szCs w:val="24"/>
        </w:rPr>
        <w:t>property</w:t>
      </w:r>
      <w:r w:rsidRPr="00C32887">
        <w:rPr>
          <w:rFonts w:ascii="Garamond" w:hAnsi="Garamond"/>
          <w:sz w:val="24"/>
          <w:szCs w:val="24"/>
        </w:rPr>
        <w:t xml:space="preserve"> </w:t>
      </w:r>
      <w:r w:rsidR="000316DA">
        <w:rPr>
          <w:rFonts w:ascii="Garamond" w:hAnsi="Garamond"/>
          <w:sz w:val="24"/>
          <w:szCs w:val="24"/>
        </w:rPr>
        <w:t>of</w:t>
      </w:r>
      <w:r w:rsidRPr="00C32887">
        <w:rPr>
          <w:rFonts w:ascii="Garamond" w:hAnsi="Garamond"/>
          <w:sz w:val="24"/>
          <w:szCs w:val="24"/>
        </w:rPr>
        <w:t xml:space="preserve"> the state, as well as the possibility of reviewing the total property and reporting on the same. The first phase of the project includes training of direct budget users and migration of their data. The second phase includes training of indirect budget users and migration</w:t>
      </w:r>
      <w:r w:rsidR="000316DA" w:rsidRPr="000316DA">
        <w:rPr>
          <w:rFonts w:ascii="Garamond" w:hAnsi="Garamond"/>
          <w:sz w:val="24"/>
          <w:szCs w:val="24"/>
        </w:rPr>
        <w:t xml:space="preserve"> </w:t>
      </w:r>
      <w:r w:rsidR="000316DA">
        <w:rPr>
          <w:rFonts w:ascii="Garamond" w:hAnsi="Garamond"/>
          <w:sz w:val="24"/>
          <w:szCs w:val="24"/>
        </w:rPr>
        <w:t xml:space="preserve">of </w:t>
      </w:r>
      <w:r w:rsidR="000316DA" w:rsidRPr="00C32887">
        <w:rPr>
          <w:rFonts w:ascii="Garamond" w:hAnsi="Garamond"/>
          <w:sz w:val="24"/>
          <w:szCs w:val="24"/>
        </w:rPr>
        <w:t>their</w:t>
      </w:r>
      <w:r w:rsidR="000316DA">
        <w:rPr>
          <w:rFonts w:ascii="Garamond" w:hAnsi="Garamond"/>
          <w:sz w:val="24"/>
          <w:szCs w:val="24"/>
        </w:rPr>
        <w:t xml:space="preserve"> data</w:t>
      </w:r>
      <w:r w:rsidRPr="00C32887">
        <w:rPr>
          <w:rFonts w:ascii="Garamond" w:hAnsi="Garamond"/>
          <w:sz w:val="24"/>
          <w:szCs w:val="24"/>
        </w:rPr>
        <w:t>, while the third phase refers to local governments (municipalities).</w:t>
      </w:r>
    </w:p>
    <w:p w:rsidR="004D1343" w:rsidRPr="00C32887" w:rsidRDefault="004D1343" w:rsidP="004D1343">
      <w:pPr>
        <w:rPr>
          <w:rFonts w:ascii="Garamond" w:hAnsi="Garamond"/>
          <w:sz w:val="24"/>
          <w:szCs w:val="24"/>
        </w:rPr>
      </w:pPr>
    </w:p>
    <w:p w:rsidR="004D1343" w:rsidRPr="00C32887" w:rsidRDefault="004D1343" w:rsidP="00DA59C5">
      <w:pPr>
        <w:jc w:val="both"/>
        <w:rPr>
          <w:rFonts w:ascii="Garamond" w:hAnsi="Garamond"/>
          <w:sz w:val="24"/>
          <w:szCs w:val="24"/>
        </w:rPr>
      </w:pPr>
      <w:r w:rsidRPr="00C32887">
        <w:rPr>
          <w:rFonts w:ascii="Garamond" w:hAnsi="Garamond"/>
          <w:sz w:val="24"/>
          <w:szCs w:val="24"/>
        </w:rPr>
        <w:t>During 2019, testing of ARS functions was performed, which determined that the adopted Conceptual Design from 2014 does not correspond to all functions supported by the ARS application, which led to additional needs for i</w:t>
      </w:r>
      <w:r w:rsidR="00DA59C5">
        <w:rPr>
          <w:rFonts w:ascii="Garamond" w:hAnsi="Garamond"/>
          <w:sz w:val="24"/>
          <w:szCs w:val="24"/>
        </w:rPr>
        <w:t xml:space="preserve">mprovement. The project </w:t>
      </w:r>
      <w:r w:rsidR="00C13A74">
        <w:rPr>
          <w:rFonts w:ascii="Garamond" w:hAnsi="Garamond"/>
          <w:sz w:val="24"/>
          <w:szCs w:val="24"/>
        </w:rPr>
        <w:t>‘</w:t>
      </w:r>
      <w:r w:rsidRPr="00C32887">
        <w:rPr>
          <w:rFonts w:ascii="Garamond" w:hAnsi="Garamond"/>
          <w:sz w:val="24"/>
          <w:szCs w:val="24"/>
        </w:rPr>
        <w:t>Expansion of the SAP system - Implementation of SAP FI - AA modules and external application</w:t>
      </w:r>
      <w:r w:rsidR="00DA59C5">
        <w:rPr>
          <w:rFonts w:ascii="Garamond" w:hAnsi="Garamond"/>
          <w:sz w:val="24"/>
          <w:szCs w:val="24"/>
        </w:rPr>
        <w:t>s for records of state property</w:t>
      </w:r>
      <w:r w:rsidR="00C13A74">
        <w:rPr>
          <w:rFonts w:ascii="Garamond" w:hAnsi="Garamond"/>
          <w:sz w:val="24"/>
          <w:szCs w:val="24"/>
        </w:rPr>
        <w:t>’</w:t>
      </w:r>
      <w:r w:rsidRPr="00C32887">
        <w:rPr>
          <w:rFonts w:ascii="Garamond" w:hAnsi="Garamond"/>
          <w:sz w:val="24"/>
          <w:szCs w:val="24"/>
        </w:rPr>
        <w:t xml:space="preserve"> solve</w:t>
      </w:r>
      <w:r w:rsidR="00DA59C5">
        <w:rPr>
          <w:rFonts w:ascii="Garamond" w:hAnsi="Garamond"/>
          <w:sz w:val="24"/>
          <w:szCs w:val="24"/>
        </w:rPr>
        <w:t>d the problem when logging in ARS</w:t>
      </w:r>
      <w:r w:rsidRPr="00C32887">
        <w:rPr>
          <w:rFonts w:ascii="Garamond" w:hAnsi="Garamond"/>
          <w:sz w:val="24"/>
          <w:szCs w:val="24"/>
        </w:rPr>
        <w:t xml:space="preserve">, </w:t>
      </w:r>
      <w:r w:rsidR="00DA59C5">
        <w:rPr>
          <w:rFonts w:ascii="Garamond" w:hAnsi="Garamond"/>
          <w:sz w:val="24"/>
          <w:szCs w:val="24"/>
        </w:rPr>
        <w:t>that is,</w:t>
      </w:r>
      <w:r w:rsidRPr="00C32887">
        <w:rPr>
          <w:rFonts w:ascii="Garamond" w:hAnsi="Garamond"/>
          <w:sz w:val="24"/>
          <w:szCs w:val="24"/>
        </w:rPr>
        <w:t xml:space="preserve"> removed the existing certificates </w:t>
      </w:r>
      <w:r w:rsidR="000316DA">
        <w:rPr>
          <w:rFonts w:ascii="Garamond" w:hAnsi="Garamond"/>
          <w:sz w:val="24"/>
          <w:szCs w:val="24"/>
        </w:rPr>
        <w:t>that</w:t>
      </w:r>
      <w:r w:rsidR="00DA59C5">
        <w:rPr>
          <w:rFonts w:ascii="Garamond" w:hAnsi="Garamond"/>
          <w:sz w:val="24"/>
          <w:szCs w:val="24"/>
        </w:rPr>
        <w:t xml:space="preserve"> hindered the</w:t>
      </w:r>
      <w:r w:rsidRPr="00C32887">
        <w:rPr>
          <w:rFonts w:ascii="Garamond" w:hAnsi="Garamond"/>
          <w:sz w:val="24"/>
          <w:szCs w:val="24"/>
        </w:rPr>
        <w:t xml:space="preserve"> </w:t>
      </w:r>
      <w:r w:rsidR="000316DA">
        <w:rPr>
          <w:rFonts w:ascii="Garamond" w:hAnsi="Garamond"/>
          <w:sz w:val="24"/>
          <w:szCs w:val="24"/>
        </w:rPr>
        <w:t>operation</w:t>
      </w:r>
      <w:r w:rsidRPr="00C32887">
        <w:rPr>
          <w:rFonts w:ascii="Garamond" w:hAnsi="Garamond"/>
          <w:sz w:val="24"/>
          <w:szCs w:val="24"/>
        </w:rPr>
        <w:t xml:space="preserve"> </w:t>
      </w:r>
      <w:r w:rsidR="00DA59C5">
        <w:rPr>
          <w:rFonts w:ascii="Garamond" w:hAnsi="Garamond"/>
          <w:sz w:val="24"/>
          <w:szCs w:val="24"/>
        </w:rPr>
        <w:t>of the application</w:t>
      </w:r>
      <w:r w:rsidRPr="00C32887">
        <w:rPr>
          <w:rFonts w:ascii="Garamond" w:hAnsi="Garamond"/>
          <w:sz w:val="24"/>
          <w:szCs w:val="24"/>
        </w:rPr>
        <w:t>. In this context, administrative rights and authori</w:t>
      </w:r>
      <w:r w:rsidR="00F254DD">
        <w:rPr>
          <w:rFonts w:ascii="Garamond" w:hAnsi="Garamond"/>
          <w:sz w:val="24"/>
          <w:szCs w:val="24"/>
        </w:rPr>
        <w:t>sation</w:t>
      </w:r>
      <w:r w:rsidRPr="00C32887">
        <w:rPr>
          <w:rFonts w:ascii="Garamond" w:hAnsi="Garamond"/>
          <w:sz w:val="24"/>
          <w:szCs w:val="24"/>
        </w:rPr>
        <w:t xml:space="preserve">s were given to </w:t>
      </w:r>
      <w:r w:rsidR="000316DA">
        <w:rPr>
          <w:rFonts w:ascii="Garamond" w:hAnsi="Garamond"/>
          <w:sz w:val="24"/>
          <w:szCs w:val="24"/>
        </w:rPr>
        <w:t>an</w:t>
      </w:r>
      <w:r w:rsidRPr="00C32887">
        <w:rPr>
          <w:rFonts w:ascii="Garamond" w:hAnsi="Garamond"/>
          <w:sz w:val="24"/>
          <w:szCs w:val="24"/>
        </w:rPr>
        <w:t xml:space="preserve"> employee in the Department for </w:t>
      </w:r>
      <w:r w:rsidR="004F74BF" w:rsidRPr="00C32887">
        <w:rPr>
          <w:rFonts w:ascii="Garamond" w:hAnsi="Garamond"/>
          <w:sz w:val="24"/>
          <w:szCs w:val="24"/>
        </w:rPr>
        <w:t xml:space="preserve">Keeping </w:t>
      </w:r>
      <w:r w:rsidRPr="00C32887">
        <w:rPr>
          <w:rFonts w:ascii="Garamond" w:hAnsi="Garamond"/>
          <w:sz w:val="24"/>
          <w:szCs w:val="24"/>
        </w:rPr>
        <w:t xml:space="preserve">the </w:t>
      </w:r>
      <w:r w:rsidR="00DA59C5" w:rsidRPr="00C32887">
        <w:rPr>
          <w:rFonts w:ascii="Garamond" w:hAnsi="Garamond"/>
          <w:sz w:val="24"/>
          <w:szCs w:val="24"/>
        </w:rPr>
        <w:t xml:space="preserve">State </w:t>
      </w:r>
      <w:r w:rsidR="00DA59C5">
        <w:rPr>
          <w:rFonts w:ascii="Garamond" w:hAnsi="Garamond"/>
          <w:sz w:val="24"/>
          <w:szCs w:val="24"/>
        </w:rPr>
        <w:t xml:space="preserve">Property </w:t>
      </w:r>
      <w:r w:rsidRPr="00C32887">
        <w:rPr>
          <w:rFonts w:ascii="Garamond" w:hAnsi="Garamond"/>
          <w:sz w:val="24"/>
          <w:szCs w:val="24"/>
        </w:rPr>
        <w:t xml:space="preserve">Register and </w:t>
      </w:r>
      <w:r w:rsidR="00D94CD0">
        <w:rPr>
          <w:rFonts w:ascii="Garamond" w:hAnsi="Garamond"/>
          <w:sz w:val="24"/>
          <w:szCs w:val="24"/>
        </w:rPr>
        <w:t>Movable</w:t>
      </w:r>
      <w:r w:rsidR="00D94CD0" w:rsidRPr="00D94CD0">
        <w:rPr>
          <w:rFonts w:ascii="Garamond" w:hAnsi="Garamond"/>
          <w:sz w:val="24"/>
          <w:szCs w:val="24"/>
        </w:rPr>
        <w:t xml:space="preserve"> </w:t>
      </w:r>
      <w:r w:rsidR="00D94CD0">
        <w:rPr>
          <w:rFonts w:ascii="Garamond" w:hAnsi="Garamond"/>
          <w:sz w:val="24"/>
          <w:szCs w:val="24"/>
        </w:rPr>
        <w:t xml:space="preserve">Property </w:t>
      </w:r>
      <w:r w:rsidR="00D94CD0" w:rsidRPr="00C32887">
        <w:rPr>
          <w:rFonts w:ascii="Garamond" w:hAnsi="Garamond"/>
          <w:sz w:val="24"/>
          <w:szCs w:val="24"/>
        </w:rPr>
        <w:t>Records</w:t>
      </w:r>
      <w:r w:rsidR="00DA59C5">
        <w:rPr>
          <w:rFonts w:ascii="Garamond" w:hAnsi="Garamond"/>
          <w:sz w:val="24"/>
          <w:szCs w:val="24"/>
        </w:rPr>
        <w:t>, as technical support to the A</w:t>
      </w:r>
      <w:r w:rsidRPr="00C32887">
        <w:rPr>
          <w:rFonts w:ascii="Garamond" w:hAnsi="Garamond"/>
          <w:sz w:val="24"/>
          <w:szCs w:val="24"/>
        </w:rPr>
        <w:t>R</w:t>
      </w:r>
      <w:r w:rsidR="00DA59C5">
        <w:rPr>
          <w:rFonts w:ascii="Garamond" w:hAnsi="Garamond"/>
          <w:sz w:val="24"/>
          <w:szCs w:val="24"/>
        </w:rPr>
        <w:t>S</w:t>
      </w:r>
      <w:r w:rsidRPr="00C32887">
        <w:rPr>
          <w:rFonts w:ascii="Garamond" w:hAnsi="Garamond"/>
          <w:sz w:val="24"/>
          <w:szCs w:val="24"/>
        </w:rPr>
        <w:t xml:space="preserve"> application. </w:t>
      </w:r>
      <w:r w:rsidR="00DA59C5">
        <w:rPr>
          <w:rFonts w:ascii="Garamond" w:hAnsi="Garamond"/>
          <w:sz w:val="24"/>
          <w:szCs w:val="24"/>
        </w:rPr>
        <w:t>Also,</w:t>
      </w:r>
      <w:r w:rsidRPr="00C32887">
        <w:rPr>
          <w:rFonts w:ascii="Garamond" w:hAnsi="Garamond"/>
          <w:sz w:val="24"/>
          <w:szCs w:val="24"/>
        </w:rPr>
        <w:t xml:space="preserve"> for a test version </w:t>
      </w:r>
      <w:r w:rsidR="00E76641">
        <w:rPr>
          <w:rFonts w:ascii="Garamond" w:hAnsi="Garamond"/>
          <w:sz w:val="24"/>
          <w:szCs w:val="24"/>
        </w:rPr>
        <w:t xml:space="preserve">of </w:t>
      </w:r>
      <w:r w:rsidRPr="00C32887">
        <w:rPr>
          <w:rFonts w:ascii="Garamond" w:hAnsi="Garamond"/>
          <w:sz w:val="24"/>
          <w:szCs w:val="24"/>
        </w:rPr>
        <w:t>ARS application</w:t>
      </w:r>
      <w:r w:rsidR="00E76641">
        <w:rPr>
          <w:rFonts w:ascii="Garamond" w:hAnsi="Garamond"/>
          <w:sz w:val="24"/>
          <w:szCs w:val="24"/>
        </w:rPr>
        <w:t>,</w:t>
      </w:r>
      <w:r w:rsidRPr="00C32887">
        <w:rPr>
          <w:rFonts w:ascii="Garamond" w:hAnsi="Garamond"/>
          <w:sz w:val="24"/>
          <w:szCs w:val="24"/>
        </w:rPr>
        <w:t xml:space="preserve"> </w:t>
      </w:r>
      <w:r w:rsidR="00E76641">
        <w:rPr>
          <w:rFonts w:ascii="Garamond" w:hAnsi="Garamond"/>
          <w:sz w:val="24"/>
          <w:szCs w:val="24"/>
        </w:rPr>
        <w:t>accounts</w:t>
      </w:r>
      <w:r w:rsidRPr="00C32887">
        <w:rPr>
          <w:rFonts w:ascii="Garamond" w:hAnsi="Garamond"/>
          <w:sz w:val="24"/>
          <w:szCs w:val="24"/>
        </w:rPr>
        <w:t xml:space="preserve"> for key </w:t>
      </w:r>
      <w:r w:rsidR="00E76641">
        <w:rPr>
          <w:rFonts w:ascii="Garamond" w:hAnsi="Garamond"/>
          <w:sz w:val="24"/>
          <w:szCs w:val="24"/>
        </w:rPr>
        <w:t>users</w:t>
      </w:r>
      <w:r w:rsidR="00E76641" w:rsidRPr="00E76641">
        <w:rPr>
          <w:rFonts w:ascii="Garamond" w:hAnsi="Garamond"/>
          <w:sz w:val="24"/>
          <w:szCs w:val="24"/>
        </w:rPr>
        <w:t xml:space="preserve"> </w:t>
      </w:r>
      <w:r w:rsidR="00E76641">
        <w:rPr>
          <w:rFonts w:ascii="Garamond" w:hAnsi="Garamond"/>
          <w:sz w:val="24"/>
          <w:szCs w:val="24"/>
        </w:rPr>
        <w:t>were</w:t>
      </w:r>
      <w:r w:rsidR="00E76641" w:rsidRPr="00C32887">
        <w:rPr>
          <w:rFonts w:ascii="Garamond" w:hAnsi="Garamond"/>
          <w:sz w:val="24"/>
          <w:szCs w:val="24"/>
        </w:rPr>
        <w:t xml:space="preserve"> created</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F74BF" w:rsidP="00E76641">
      <w:pPr>
        <w:jc w:val="both"/>
        <w:rPr>
          <w:rFonts w:ascii="Garamond" w:hAnsi="Garamond"/>
          <w:sz w:val="24"/>
          <w:szCs w:val="24"/>
        </w:rPr>
      </w:pPr>
      <w:r>
        <w:rPr>
          <w:rFonts w:ascii="Garamond" w:hAnsi="Garamond"/>
          <w:sz w:val="24"/>
          <w:szCs w:val="24"/>
        </w:rPr>
        <w:t xml:space="preserve">In terms of </w:t>
      </w:r>
      <w:r w:rsidR="004D1343" w:rsidRPr="00C32887">
        <w:rPr>
          <w:rFonts w:ascii="Garamond" w:hAnsi="Garamond"/>
          <w:sz w:val="24"/>
          <w:szCs w:val="24"/>
        </w:rPr>
        <w:t xml:space="preserve">complete insight into </w:t>
      </w:r>
      <w:r>
        <w:rPr>
          <w:rFonts w:ascii="Garamond" w:hAnsi="Garamond"/>
          <w:sz w:val="24"/>
          <w:szCs w:val="24"/>
        </w:rPr>
        <w:t>all</w:t>
      </w:r>
      <w:r w:rsidR="004D1343" w:rsidRPr="00C32887">
        <w:rPr>
          <w:rFonts w:ascii="Garamond" w:hAnsi="Garamond"/>
          <w:sz w:val="24"/>
          <w:szCs w:val="24"/>
        </w:rPr>
        <w:t xml:space="preserve"> movable and immovable property in the country during 2019, a </w:t>
      </w:r>
      <w:r w:rsidR="000316DA" w:rsidRPr="00C32887">
        <w:rPr>
          <w:rFonts w:ascii="Garamond" w:hAnsi="Garamond"/>
          <w:sz w:val="24"/>
          <w:szCs w:val="24"/>
        </w:rPr>
        <w:t>trai</w:t>
      </w:r>
      <w:r w:rsidR="000316DA">
        <w:rPr>
          <w:rFonts w:ascii="Garamond" w:hAnsi="Garamond"/>
          <w:sz w:val="24"/>
          <w:szCs w:val="24"/>
        </w:rPr>
        <w:t xml:space="preserve">ning plan </w:t>
      </w:r>
      <w:r w:rsidR="000316DA" w:rsidRPr="00C32887">
        <w:rPr>
          <w:rFonts w:ascii="Garamond" w:hAnsi="Garamond"/>
          <w:sz w:val="24"/>
          <w:szCs w:val="24"/>
        </w:rPr>
        <w:t>was developed</w:t>
      </w:r>
      <w:r w:rsidR="000316DA">
        <w:rPr>
          <w:rFonts w:ascii="Garamond" w:hAnsi="Garamond"/>
          <w:sz w:val="24"/>
          <w:szCs w:val="24"/>
        </w:rPr>
        <w:t xml:space="preserve"> </w:t>
      </w:r>
      <w:r w:rsidR="00E76641">
        <w:rPr>
          <w:rFonts w:ascii="Garamond" w:hAnsi="Garamond"/>
          <w:sz w:val="24"/>
          <w:szCs w:val="24"/>
        </w:rPr>
        <w:t>for future users of ARS</w:t>
      </w:r>
      <w:r w:rsidR="004D1343" w:rsidRPr="00C32887">
        <w:rPr>
          <w:rFonts w:ascii="Garamond" w:hAnsi="Garamond"/>
          <w:sz w:val="24"/>
          <w:szCs w:val="24"/>
        </w:rPr>
        <w:t xml:space="preserve"> - an external application for a single record of state property. Therefore, in the period September-December 2019, the Property </w:t>
      </w:r>
      <w:r w:rsidR="000316DA">
        <w:rPr>
          <w:rFonts w:ascii="Garamond" w:hAnsi="Garamond"/>
          <w:sz w:val="24"/>
          <w:szCs w:val="24"/>
        </w:rPr>
        <w:t>Directorate</w:t>
      </w:r>
      <w:r w:rsidR="004D1343" w:rsidRPr="00C32887">
        <w:rPr>
          <w:rFonts w:ascii="Garamond" w:hAnsi="Garamond"/>
          <w:sz w:val="24"/>
          <w:szCs w:val="24"/>
        </w:rPr>
        <w:t xml:space="preserve"> conducted a series of trainings for direct budget users (first-</w:t>
      </w:r>
      <w:r w:rsidR="00E76641">
        <w:rPr>
          <w:rFonts w:ascii="Garamond" w:hAnsi="Garamond"/>
          <w:sz w:val="24"/>
          <w:szCs w:val="24"/>
        </w:rPr>
        <w:t>level</w:t>
      </w:r>
      <w:r w:rsidR="004D1343" w:rsidRPr="00C32887">
        <w:rPr>
          <w:rFonts w:ascii="Garamond" w:hAnsi="Garamond"/>
          <w:sz w:val="24"/>
          <w:szCs w:val="24"/>
        </w:rPr>
        <w:t xml:space="preserve"> </w:t>
      </w:r>
      <w:r w:rsidR="00E76641">
        <w:rPr>
          <w:rFonts w:ascii="Garamond" w:hAnsi="Garamond"/>
          <w:sz w:val="24"/>
          <w:szCs w:val="24"/>
        </w:rPr>
        <w:t>spending</w:t>
      </w:r>
      <w:r w:rsidR="004D1343" w:rsidRPr="00C32887">
        <w:rPr>
          <w:rFonts w:ascii="Garamond" w:hAnsi="Garamond"/>
          <w:sz w:val="24"/>
          <w:szCs w:val="24"/>
        </w:rPr>
        <w:t xml:space="preserve"> units, independent </w:t>
      </w:r>
      <w:r w:rsidR="00E76641">
        <w:rPr>
          <w:rFonts w:ascii="Garamond" w:hAnsi="Garamond"/>
          <w:sz w:val="24"/>
          <w:szCs w:val="24"/>
        </w:rPr>
        <w:t>spending</w:t>
      </w:r>
      <w:r w:rsidR="004D1343" w:rsidRPr="00C32887">
        <w:rPr>
          <w:rFonts w:ascii="Garamond" w:hAnsi="Garamond"/>
          <w:sz w:val="24"/>
          <w:szCs w:val="24"/>
        </w:rPr>
        <w:t xml:space="preserve"> units) in order to properly use </w:t>
      </w:r>
      <w:r w:rsidR="00E76641">
        <w:rPr>
          <w:rFonts w:ascii="Garamond" w:hAnsi="Garamond"/>
          <w:sz w:val="24"/>
          <w:szCs w:val="24"/>
        </w:rPr>
        <w:t>ARS</w:t>
      </w:r>
      <w:r w:rsidR="004D1343" w:rsidRPr="00C32887">
        <w:rPr>
          <w:rFonts w:ascii="Garamond" w:hAnsi="Garamond"/>
          <w:sz w:val="24"/>
          <w:szCs w:val="24"/>
        </w:rPr>
        <w:t xml:space="preserve">, namely: Training for the use of </w:t>
      </w:r>
      <w:r w:rsidR="00E76641">
        <w:rPr>
          <w:rFonts w:ascii="Garamond" w:hAnsi="Garamond"/>
          <w:sz w:val="24"/>
          <w:szCs w:val="24"/>
        </w:rPr>
        <w:t>ARS</w:t>
      </w:r>
      <w:r w:rsidR="004D1343" w:rsidRPr="00C32887">
        <w:rPr>
          <w:rFonts w:ascii="Garamond" w:hAnsi="Garamond"/>
          <w:sz w:val="24"/>
          <w:szCs w:val="24"/>
        </w:rPr>
        <w:t xml:space="preserve"> application and Trainings for filli</w:t>
      </w:r>
      <w:r w:rsidR="00E76641">
        <w:rPr>
          <w:rFonts w:ascii="Garamond" w:hAnsi="Garamond"/>
          <w:sz w:val="24"/>
          <w:szCs w:val="24"/>
        </w:rPr>
        <w:t>ng in the Excel table</w:t>
      </w:r>
      <w:r>
        <w:rPr>
          <w:rFonts w:ascii="Garamond" w:hAnsi="Garamond"/>
          <w:sz w:val="24"/>
          <w:szCs w:val="24"/>
        </w:rPr>
        <w:t>, the</w:t>
      </w:r>
      <w:r w:rsidR="00E76641">
        <w:rPr>
          <w:rFonts w:ascii="Garamond" w:hAnsi="Garamond"/>
          <w:sz w:val="24"/>
          <w:szCs w:val="24"/>
        </w:rPr>
        <w:t xml:space="preserve"> so-called migration document (</w:t>
      </w:r>
      <w:r w:rsidR="004D1343" w:rsidRPr="00C32887">
        <w:rPr>
          <w:rFonts w:ascii="Garamond" w:hAnsi="Garamond"/>
          <w:sz w:val="24"/>
          <w:szCs w:val="24"/>
        </w:rPr>
        <w:t xml:space="preserve">9 groups, 99 </w:t>
      </w:r>
      <w:r w:rsidR="00E76641">
        <w:rPr>
          <w:rFonts w:ascii="Garamond" w:hAnsi="Garamond"/>
          <w:sz w:val="24"/>
          <w:szCs w:val="24"/>
        </w:rPr>
        <w:t>public authorities, 200 civil servants</w:t>
      </w:r>
      <w:r w:rsidR="004D1343" w:rsidRPr="00C32887">
        <w:rPr>
          <w:rFonts w:ascii="Garamond" w:hAnsi="Garamond"/>
          <w:sz w:val="24"/>
          <w:szCs w:val="24"/>
        </w:rPr>
        <w:t xml:space="preserve">). </w:t>
      </w:r>
      <w:r w:rsidR="00E76641">
        <w:rPr>
          <w:rFonts w:ascii="Garamond" w:hAnsi="Garamond"/>
          <w:sz w:val="24"/>
          <w:szCs w:val="24"/>
        </w:rPr>
        <w:t xml:space="preserve">Following </w:t>
      </w:r>
      <w:r w:rsidR="004D1343" w:rsidRPr="00C32887">
        <w:rPr>
          <w:rFonts w:ascii="Garamond" w:hAnsi="Garamond"/>
          <w:sz w:val="24"/>
          <w:szCs w:val="24"/>
        </w:rPr>
        <w:t xml:space="preserve">training, data tables on the assets provided by the authorities were prepared for migration to a test version </w:t>
      </w:r>
      <w:r w:rsidR="00E76641">
        <w:rPr>
          <w:rFonts w:ascii="Garamond" w:hAnsi="Garamond"/>
          <w:sz w:val="24"/>
          <w:szCs w:val="24"/>
        </w:rPr>
        <w:t>of the software</w:t>
      </w:r>
      <w:r w:rsidR="004D1343" w:rsidRPr="00C32887">
        <w:rPr>
          <w:rFonts w:ascii="Garamond" w:hAnsi="Garamond"/>
          <w:sz w:val="24"/>
          <w:szCs w:val="24"/>
        </w:rPr>
        <w:t xml:space="preserve"> for records of movable and immovable property (ARS - Asset Registry System), while the rest needs to be processed by the bod</w:t>
      </w:r>
      <w:r w:rsidR="00E76641">
        <w:rPr>
          <w:rFonts w:ascii="Garamond" w:hAnsi="Garamond"/>
          <w:sz w:val="24"/>
          <w:szCs w:val="24"/>
        </w:rPr>
        <w:t>ies</w:t>
      </w:r>
      <w:r w:rsidR="004D1343" w:rsidRPr="00C32887">
        <w:rPr>
          <w:rFonts w:ascii="Garamond" w:hAnsi="Garamond"/>
          <w:sz w:val="24"/>
          <w:szCs w:val="24"/>
        </w:rPr>
        <w:t xml:space="preserve">. Since the tables were not </w:t>
      </w:r>
      <w:r>
        <w:rPr>
          <w:rFonts w:ascii="Garamond" w:hAnsi="Garamond"/>
          <w:sz w:val="24"/>
          <w:szCs w:val="24"/>
        </w:rPr>
        <w:t>properly</w:t>
      </w:r>
      <w:r w:rsidR="004D1343" w:rsidRPr="00C32887">
        <w:rPr>
          <w:rFonts w:ascii="Garamond" w:hAnsi="Garamond"/>
          <w:sz w:val="24"/>
          <w:szCs w:val="24"/>
        </w:rPr>
        <w:t xml:space="preserve"> filled in, it took a long time to correct them. During the migration of the tables to the test version of the </w:t>
      </w:r>
      <w:r w:rsidR="00E76641">
        <w:rPr>
          <w:rFonts w:ascii="Garamond" w:hAnsi="Garamond"/>
          <w:sz w:val="24"/>
          <w:szCs w:val="24"/>
        </w:rPr>
        <w:t>ARS</w:t>
      </w:r>
      <w:r w:rsidR="004D1343" w:rsidRPr="00C32887">
        <w:rPr>
          <w:rFonts w:ascii="Garamond" w:hAnsi="Garamond"/>
          <w:sz w:val="24"/>
          <w:szCs w:val="24"/>
        </w:rPr>
        <w:t xml:space="preserve">, problems in the operation of the software were noticed and the intervention of the implementer was required. The authors have tested function </w:t>
      </w:r>
      <w:r w:rsidR="00E76641">
        <w:rPr>
          <w:rFonts w:ascii="Garamond" w:hAnsi="Garamond"/>
          <w:sz w:val="24"/>
          <w:szCs w:val="24"/>
        </w:rPr>
        <w:t>of web application</w:t>
      </w:r>
      <w:r w:rsidR="004D1343" w:rsidRPr="00C32887">
        <w:rPr>
          <w:rFonts w:ascii="Garamond" w:hAnsi="Garamond"/>
          <w:sz w:val="24"/>
          <w:szCs w:val="24"/>
        </w:rPr>
        <w:t xml:space="preserve"> ARS (Asset Registry System), which currently does not respond to all the </w:t>
      </w:r>
      <w:r>
        <w:rPr>
          <w:rFonts w:ascii="Garamond" w:hAnsi="Garamond"/>
          <w:sz w:val="24"/>
          <w:szCs w:val="24"/>
        </w:rPr>
        <w:t xml:space="preserve">necessary </w:t>
      </w:r>
      <w:r w:rsidR="004D1343" w:rsidRPr="00C32887">
        <w:rPr>
          <w:rFonts w:ascii="Garamond" w:hAnsi="Garamond"/>
          <w:sz w:val="24"/>
          <w:szCs w:val="24"/>
        </w:rPr>
        <w:t xml:space="preserve">functions, which led to additional costs for the </w:t>
      </w:r>
      <w:r>
        <w:rPr>
          <w:rFonts w:ascii="Garamond" w:hAnsi="Garamond"/>
          <w:sz w:val="24"/>
          <w:szCs w:val="24"/>
        </w:rPr>
        <w:t>upgrade</w:t>
      </w:r>
      <w:r w:rsidR="004D1343" w:rsidRPr="00C32887">
        <w:rPr>
          <w:rFonts w:ascii="Garamond" w:hAnsi="Garamond"/>
          <w:sz w:val="24"/>
          <w:szCs w:val="24"/>
        </w:rPr>
        <w:t xml:space="preserve"> and development </w:t>
      </w:r>
      <w:r w:rsidR="00E76641">
        <w:rPr>
          <w:rFonts w:ascii="Garamond" w:hAnsi="Garamond"/>
          <w:sz w:val="24"/>
          <w:szCs w:val="24"/>
        </w:rPr>
        <w:t>of the application. D</w:t>
      </w:r>
      <w:r w:rsidR="004D1343" w:rsidRPr="00C32887">
        <w:rPr>
          <w:rFonts w:ascii="Garamond" w:hAnsi="Garamond"/>
          <w:sz w:val="24"/>
          <w:szCs w:val="24"/>
        </w:rPr>
        <w:t xml:space="preserve">irect budget users </w:t>
      </w:r>
      <w:r w:rsidR="00E76641">
        <w:rPr>
          <w:rFonts w:ascii="Garamond" w:hAnsi="Garamond"/>
          <w:sz w:val="24"/>
          <w:szCs w:val="24"/>
        </w:rPr>
        <w:t xml:space="preserve">of </w:t>
      </w:r>
      <w:r>
        <w:rPr>
          <w:rFonts w:ascii="Garamond" w:hAnsi="Garamond"/>
          <w:sz w:val="24"/>
          <w:szCs w:val="24"/>
        </w:rPr>
        <w:t>ARS application</w:t>
      </w:r>
      <w:r w:rsidR="004D1343" w:rsidRPr="00C32887">
        <w:rPr>
          <w:rFonts w:ascii="Garamond" w:hAnsi="Garamond"/>
          <w:sz w:val="24"/>
          <w:szCs w:val="24"/>
        </w:rPr>
        <w:t xml:space="preserve"> had been obliged by March 2020 </w:t>
      </w:r>
      <w:r w:rsidR="00AD04B2">
        <w:rPr>
          <w:rFonts w:ascii="Garamond" w:hAnsi="Garamond"/>
          <w:sz w:val="24"/>
          <w:szCs w:val="24"/>
        </w:rPr>
        <w:t xml:space="preserve">to deliver </w:t>
      </w:r>
      <w:r w:rsidR="004D1343" w:rsidRPr="00C32887">
        <w:rPr>
          <w:rFonts w:ascii="Garamond" w:hAnsi="Garamond"/>
          <w:sz w:val="24"/>
          <w:szCs w:val="24"/>
        </w:rPr>
        <w:t xml:space="preserve">data </w:t>
      </w:r>
      <w:r w:rsidR="0090357A">
        <w:rPr>
          <w:rFonts w:ascii="Garamond" w:hAnsi="Garamond"/>
          <w:sz w:val="24"/>
          <w:szCs w:val="24"/>
        </w:rPr>
        <w:t xml:space="preserve">to the PD </w:t>
      </w:r>
      <w:r w:rsidR="004D1343" w:rsidRPr="00C32887">
        <w:rPr>
          <w:rFonts w:ascii="Garamond" w:hAnsi="Garamond"/>
          <w:sz w:val="24"/>
          <w:szCs w:val="24"/>
        </w:rPr>
        <w:t>on the state of the</w:t>
      </w:r>
      <w:r w:rsidR="00AD04B2">
        <w:rPr>
          <w:rFonts w:ascii="Garamond" w:hAnsi="Garamond"/>
          <w:sz w:val="24"/>
          <w:szCs w:val="24"/>
        </w:rPr>
        <w:t xml:space="preserve"> property </w:t>
      </w:r>
      <w:r>
        <w:rPr>
          <w:rFonts w:ascii="Garamond" w:hAnsi="Garamond"/>
          <w:sz w:val="24"/>
          <w:szCs w:val="24"/>
        </w:rPr>
        <w:t>from the</w:t>
      </w:r>
      <w:r w:rsidR="004D1343" w:rsidRPr="00C32887">
        <w:rPr>
          <w:rFonts w:ascii="Garamond" w:hAnsi="Garamond"/>
          <w:sz w:val="24"/>
          <w:szCs w:val="24"/>
        </w:rPr>
        <w:t xml:space="preserve"> latest cens</w:t>
      </w:r>
      <w:r w:rsidR="00AD04B2">
        <w:rPr>
          <w:rFonts w:ascii="Garamond" w:hAnsi="Garamond"/>
          <w:sz w:val="24"/>
          <w:szCs w:val="24"/>
        </w:rPr>
        <w:t xml:space="preserve">us on 31 December 2019 and to record that </w:t>
      </w:r>
      <w:r>
        <w:rPr>
          <w:rFonts w:ascii="Garamond" w:hAnsi="Garamond"/>
          <w:sz w:val="24"/>
          <w:szCs w:val="24"/>
        </w:rPr>
        <w:t>information in the</w:t>
      </w:r>
      <w:r w:rsidR="004D1343" w:rsidRPr="00C32887">
        <w:rPr>
          <w:rFonts w:ascii="Garamond" w:hAnsi="Garamond"/>
          <w:sz w:val="24"/>
          <w:szCs w:val="24"/>
        </w:rPr>
        <w:t xml:space="preserve"> test version of the ARS application only once, and thereafter users will enter data </w:t>
      </w:r>
      <w:r w:rsidR="00AD04B2">
        <w:rPr>
          <w:rFonts w:ascii="Garamond" w:hAnsi="Garamond"/>
          <w:sz w:val="24"/>
          <w:szCs w:val="24"/>
        </w:rPr>
        <w:t>on</w:t>
      </w:r>
      <w:r w:rsidR="004D1343" w:rsidRPr="00C32887">
        <w:rPr>
          <w:rFonts w:ascii="Garamond" w:hAnsi="Garamond"/>
          <w:sz w:val="24"/>
          <w:szCs w:val="24"/>
        </w:rPr>
        <w:t xml:space="preserve"> the </w:t>
      </w:r>
      <w:r w:rsidR="00AD04B2" w:rsidRPr="00C32887">
        <w:rPr>
          <w:rFonts w:ascii="Garamond" w:hAnsi="Garamond"/>
          <w:sz w:val="24"/>
          <w:szCs w:val="24"/>
        </w:rPr>
        <w:t xml:space="preserve">new </w:t>
      </w:r>
      <w:r w:rsidR="004D1343" w:rsidRPr="00C32887">
        <w:rPr>
          <w:rFonts w:ascii="Garamond" w:hAnsi="Garamond"/>
          <w:sz w:val="24"/>
          <w:szCs w:val="24"/>
        </w:rPr>
        <w:t>property themselves.</w:t>
      </w:r>
    </w:p>
    <w:p w:rsidR="004D1343" w:rsidRPr="00C32887" w:rsidRDefault="004D1343" w:rsidP="004D1343">
      <w:pPr>
        <w:rPr>
          <w:rFonts w:ascii="Garamond" w:hAnsi="Garamond"/>
          <w:sz w:val="24"/>
          <w:szCs w:val="24"/>
        </w:rPr>
      </w:pPr>
    </w:p>
    <w:p w:rsidR="004D1343" w:rsidRPr="00C32887" w:rsidRDefault="004D1343" w:rsidP="00C27F02">
      <w:pPr>
        <w:jc w:val="both"/>
        <w:rPr>
          <w:rFonts w:ascii="Garamond" w:hAnsi="Garamond"/>
          <w:sz w:val="24"/>
          <w:szCs w:val="24"/>
        </w:rPr>
      </w:pPr>
      <w:r w:rsidRPr="00C32887">
        <w:rPr>
          <w:rFonts w:ascii="Garamond" w:hAnsi="Garamond"/>
          <w:sz w:val="24"/>
          <w:szCs w:val="24"/>
        </w:rPr>
        <w:t xml:space="preserve">During 2020, 99 </w:t>
      </w:r>
      <w:r w:rsidR="00C27F02">
        <w:rPr>
          <w:rFonts w:ascii="Garamond" w:hAnsi="Garamond"/>
          <w:sz w:val="24"/>
          <w:szCs w:val="24"/>
        </w:rPr>
        <w:t>public</w:t>
      </w:r>
      <w:r w:rsidRPr="00C32887">
        <w:rPr>
          <w:rFonts w:ascii="Garamond" w:hAnsi="Garamond"/>
          <w:sz w:val="24"/>
          <w:szCs w:val="24"/>
        </w:rPr>
        <w:t xml:space="preserve"> bodies submitted Excel migration tables on the </w:t>
      </w:r>
      <w:r w:rsidR="0090357A">
        <w:rPr>
          <w:rFonts w:ascii="Garamond" w:hAnsi="Garamond"/>
          <w:sz w:val="24"/>
          <w:szCs w:val="24"/>
        </w:rPr>
        <w:t>status</w:t>
      </w:r>
      <w:r w:rsidRPr="00C32887">
        <w:rPr>
          <w:rFonts w:ascii="Garamond" w:hAnsi="Garamond"/>
          <w:sz w:val="24"/>
          <w:szCs w:val="24"/>
        </w:rPr>
        <w:t xml:space="preserve"> of property, which they were obliged to submit upon completion of the training. Also, dur</w:t>
      </w:r>
      <w:r w:rsidR="0090357A">
        <w:rPr>
          <w:rFonts w:ascii="Garamond" w:hAnsi="Garamond"/>
          <w:sz w:val="24"/>
          <w:szCs w:val="24"/>
        </w:rPr>
        <w:t>ing 2020, trainings were organis</w:t>
      </w:r>
      <w:r w:rsidRPr="00C32887">
        <w:rPr>
          <w:rFonts w:ascii="Garamond" w:hAnsi="Garamond"/>
          <w:sz w:val="24"/>
          <w:szCs w:val="24"/>
        </w:rPr>
        <w:t>ed for the use of the ARS application and for fil</w:t>
      </w:r>
      <w:r w:rsidR="00D94CD0">
        <w:rPr>
          <w:rFonts w:ascii="Garamond" w:hAnsi="Garamond"/>
          <w:sz w:val="24"/>
          <w:szCs w:val="24"/>
        </w:rPr>
        <w:t xml:space="preserve">ling in Excel migration tables, </w:t>
      </w:r>
      <w:r w:rsidRPr="00C32887">
        <w:rPr>
          <w:rFonts w:ascii="Garamond" w:hAnsi="Garamond"/>
          <w:sz w:val="24"/>
          <w:szCs w:val="24"/>
        </w:rPr>
        <w:t>for public services, local self-government and municipal bodies.</w:t>
      </w:r>
    </w:p>
    <w:p w:rsidR="004D1343" w:rsidRPr="00C32887" w:rsidRDefault="004D1343" w:rsidP="004D1343">
      <w:pPr>
        <w:rPr>
          <w:rFonts w:ascii="Garamond" w:hAnsi="Garamond"/>
          <w:sz w:val="24"/>
          <w:szCs w:val="24"/>
        </w:rPr>
      </w:pPr>
    </w:p>
    <w:p w:rsidR="004D1343" w:rsidRPr="00C32887" w:rsidRDefault="004D1343" w:rsidP="00AD04B2">
      <w:pPr>
        <w:jc w:val="both"/>
        <w:rPr>
          <w:rFonts w:ascii="Garamond" w:hAnsi="Garamond"/>
          <w:sz w:val="24"/>
          <w:szCs w:val="24"/>
        </w:rPr>
      </w:pPr>
      <w:r w:rsidRPr="00C32887">
        <w:rPr>
          <w:rFonts w:ascii="Garamond" w:hAnsi="Garamond"/>
          <w:sz w:val="24"/>
          <w:szCs w:val="24"/>
        </w:rPr>
        <w:t xml:space="preserve">Trainings for indirect budget users (public services, local self-government and municipal branches) in 2020 were conducted in full (9 trainings, </w:t>
      </w:r>
      <w:r w:rsidR="00D94CD0">
        <w:rPr>
          <w:rFonts w:ascii="Garamond" w:hAnsi="Garamond"/>
          <w:sz w:val="24"/>
          <w:szCs w:val="24"/>
        </w:rPr>
        <w:t>with</w:t>
      </w:r>
      <w:r w:rsidRPr="00C32887">
        <w:rPr>
          <w:rFonts w:ascii="Garamond" w:hAnsi="Garamond"/>
          <w:sz w:val="24"/>
          <w:szCs w:val="24"/>
        </w:rPr>
        <w:t xml:space="preserve"> about 200 employees were trained), and </w:t>
      </w:r>
      <w:r w:rsidR="00AD04B2">
        <w:rPr>
          <w:rFonts w:ascii="Garamond" w:hAnsi="Garamond"/>
          <w:sz w:val="24"/>
          <w:szCs w:val="24"/>
        </w:rPr>
        <w:t>accounts</w:t>
      </w:r>
      <w:r w:rsidRPr="00C32887">
        <w:rPr>
          <w:rFonts w:ascii="Garamond" w:hAnsi="Garamond"/>
          <w:sz w:val="24"/>
          <w:szCs w:val="24"/>
        </w:rPr>
        <w:t xml:space="preserve"> for the use of the </w:t>
      </w:r>
      <w:r w:rsidR="00AD04B2">
        <w:rPr>
          <w:rFonts w:ascii="Garamond" w:hAnsi="Garamond"/>
          <w:sz w:val="24"/>
          <w:szCs w:val="24"/>
        </w:rPr>
        <w:t>ARS</w:t>
      </w:r>
      <w:r w:rsidRPr="00C32887">
        <w:rPr>
          <w:rFonts w:ascii="Garamond" w:hAnsi="Garamond"/>
          <w:sz w:val="24"/>
          <w:szCs w:val="24"/>
        </w:rPr>
        <w:t xml:space="preserve"> application were opened. </w:t>
      </w:r>
      <w:r w:rsidR="0090357A">
        <w:rPr>
          <w:rFonts w:ascii="Garamond" w:hAnsi="Garamond"/>
          <w:sz w:val="24"/>
          <w:szCs w:val="24"/>
        </w:rPr>
        <w:t>Public</w:t>
      </w:r>
      <w:r w:rsidR="0090357A" w:rsidRPr="00C32887">
        <w:rPr>
          <w:rFonts w:ascii="Garamond" w:hAnsi="Garamond"/>
          <w:sz w:val="24"/>
          <w:szCs w:val="24"/>
        </w:rPr>
        <w:t xml:space="preserve"> </w:t>
      </w:r>
      <w:r w:rsidRPr="00C32887">
        <w:rPr>
          <w:rFonts w:ascii="Garamond" w:hAnsi="Garamond"/>
          <w:sz w:val="24"/>
          <w:szCs w:val="24"/>
        </w:rPr>
        <w:t>authorities, 99</w:t>
      </w:r>
      <w:r w:rsidR="00AD04B2">
        <w:rPr>
          <w:rFonts w:ascii="Garamond" w:hAnsi="Garamond"/>
          <w:sz w:val="24"/>
          <w:szCs w:val="24"/>
        </w:rPr>
        <w:t xml:space="preserve"> of them</w:t>
      </w:r>
      <w:r w:rsidRPr="00C32887">
        <w:rPr>
          <w:rFonts w:ascii="Garamond" w:hAnsi="Garamond"/>
          <w:sz w:val="24"/>
          <w:szCs w:val="24"/>
        </w:rPr>
        <w:t>, have submitted tables, which have been tested, filtered and ready for migration to the ARS application.</w:t>
      </w:r>
    </w:p>
    <w:p w:rsidR="004D1343" w:rsidRPr="00C32887" w:rsidRDefault="004D1343" w:rsidP="004D1343">
      <w:pPr>
        <w:rPr>
          <w:rFonts w:ascii="Garamond" w:hAnsi="Garamond"/>
          <w:sz w:val="24"/>
          <w:szCs w:val="24"/>
        </w:rPr>
      </w:pPr>
    </w:p>
    <w:p w:rsidR="004D1343" w:rsidRPr="00C32887" w:rsidRDefault="004D1343" w:rsidP="00AD04B2">
      <w:pPr>
        <w:jc w:val="both"/>
        <w:rPr>
          <w:rFonts w:ascii="Garamond" w:hAnsi="Garamond"/>
          <w:sz w:val="24"/>
          <w:szCs w:val="24"/>
        </w:rPr>
      </w:pPr>
      <w:r w:rsidRPr="00C32887">
        <w:rPr>
          <w:rFonts w:ascii="Garamond" w:hAnsi="Garamond"/>
          <w:sz w:val="24"/>
          <w:szCs w:val="24"/>
        </w:rPr>
        <w:t>Also, dur</w:t>
      </w:r>
      <w:r w:rsidR="0090357A">
        <w:rPr>
          <w:rFonts w:ascii="Garamond" w:hAnsi="Garamond"/>
          <w:sz w:val="24"/>
          <w:szCs w:val="24"/>
        </w:rPr>
        <w:t>ing 2020, trainings were organis</w:t>
      </w:r>
      <w:r w:rsidRPr="00C32887">
        <w:rPr>
          <w:rFonts w:ascii="Garamond" w:hAnsi="Garamond"/>
          <w:sz w:val="24"/>
          <w:szCs w:val="24"/>
        </w:rPr>
        <w:t>ed for the use of the ARS application and for fil</w:t>
      </w:r>
      <w:r w:rsidR="00AD04B2">
        <w:rPr>
          <w:rFonts w:ascii="Garamond" w:hAnsi="Garamond"/>
          <w:sz w:val="24"/>
          <w:szCs w:val="24"/>
        </w:rPr>
        <w:t xml:space="preserve">ling in Excel migration tables </w:t>
      </w:r>
      <w:r w:rsidRPr="00C32887">
        <w:rPr>
          <w:rFonts w:ascii="Garamond" w:hAnsi="Garamond"/>
          <w:sz w:val="24"/>
          <w:szCs w:val="24"/>
        </w:rPr>
        <w:t xml:space="preserve">for public services, local self-government and municipal bodies. Due to the situation caused by </w:t>
      </w:r>
      <w:r w:rsidR="00AD04B2" w:rsidRPr="00C32887">
        <w:rPr>
          <w:rFonts w:ascii="Garamond" w:hAnsi="Garamond"/>
          <w:sz w:val="24"/>
          <w:szCs w:val="24"/>
        </w:rPr>
        <w:t>COVID</w:t>
      </w:r>
      <w:r w:rsidR="00AD04B2">
        <w:rPr>
          <w:rFonts w:ascii="Garamond" w:hAnsi="Garamond"/>
          <w:sz w:val="24"/>
          <w:szCs w:val="24"/>
        </w:rPr>
        <w:t xml:space="preserve"> </w:t>
      </w:r>
      <w:r w:rsidR="00D94CD0">
        <w:rPr>
          <w:rFonts w:ascii="Garamond" w:hAnsi="Garamond"/>
          <w:sz w:val="24"/>
          <w:szCs w:val="24"/>
        </w:rPr>
        <w:t>–</w:t>
      </w:r>
      <w:r w:rsidRPr="00C32887">
        <w:rPr>
          <w:rFonts w:ascii="Garamond" w:hAnsi="Garamond"/>
          <w:sz w:val="24"/>
          <w:szCs w:val="24"/>
        </w:rPr>
        <w:t xml:space="preserve"> 19</w:t>
      </w:r>
      <w:r w:rsidR="00D94CD0">
        <w:rPr>
          <w:rFonts w:ascii="Garamond" w:hAnsi="Garamond"/>
          <w:sz w:val="24"/>
          <w:szCs w:val="24"/>
        </w:rPr>
        <w:t>,</w:t>
      </w:r>
      <w:r w:rsidRPr="00C32887">
        <w:rPr>
          <w:rFonts w:ascii="Garamond" w:hAnsi="Garamond"/>
          <w:sz w:val="24"/>
          <w:szCs w:val="24"/>
        </w:rPr>
        <w:t xml:space="preserve"> </w:t>
      </w:r>
      <w:r w:rsidR="00AD04B2">
        <w:rPr>
          <w:rFonts w:ascii="Garamond" w:hAnsi="Garamond"/>
          <w:sz w:val="24"/>
          <w:szCs w:val="24"/>
        </w:rPr>
        <w:t>trainings were suspended</w:t>
      </w:r>
      <w:r w:rsidR="00D94CD0">
        <w:rPr>
          <w:rFonts w:ascii="Garamond" w:hAnsi="Garamond"/>
          <w:sz w:val="24"/>
          <w:szCs w:val="24"/>
        </w:rPr>
        <w:t xml:space="preserve">. </w:t>
      </w:r>
      <w:r w:rsidRPr="00C32887">
        <w:rPr>
          <w:rFonts w:ascii="Garamond" w:hAnsi="Garamond"/>
          <w:sz w:val="24"/>
          <w:szCs w:val="24"/>
        </w:rPr>
        <w:t>Cadastre and State Property</w:t>
      </w:r>
      <w:r w:rsidR="00D94CD0">
        <w:rPr>
          <w:rFonts w:ascii="Garamond" w:hAnsi="Garamond"/>
          <w:sz w:val="24"/>
          <w:szCs w:val="24"/>
        </w:rPr>
        <w:t xml:space="preserve"> Administration</w:t>
      </w:r>
      <w:r w:rsidRPr="00C32887">
        <w:rPr>
          <w:rFonts w:ascii="Garamond" w:hAnsi="Garamond"/>
          <w:sz w:val="24"/>
          <w:szCs w:val="24"/>
        </w:rPr>
        <w:t xml:space="preserve">, </w:t>
      </w:r>
      <w:r w:rsidR="00AD04B2">
        <w:rPr>
          <w:rFonts w:ascii="Garamond" w:hAnsi="Garamond"/>
          <w:sz w:val="24"/>
          <w:szCs w:val="24"/>
        </w:rPr>
        <w:t>that is,</w:t>
      </w:r>
      <w:r w:rsidRPr="00C32887">
        <w:rPr>
          <w:rFonts w:ascii="Garamond" w:hAnsi="Garamond"/>
          <w:sz w:val="24"/>
          <w:szCs w:val="24"/>
        </w:rPr>
        <w:t xml:space="preserve"> the Department for Keeping the </w:t>
      </w:r>
      <w:r w:rsidR="00D94CD0">
        <w:rPr>
          <w:rFonts w:ascii="Garamond" w:hAnsi="Garamond"/>
          <w:sz w:val="24"/>
          <w:szCs w:val="24"/>
        </w:rPr>
        <w:t xml:space="preserve">State </w:t>
      </w:r>
      <w:r w:rsidR="00AD04B2">
        <w:rPr>
          <w:rFonts w:ascii="Garamond" w:hAnsi="Garamond"/>
          <w:sz w:val="24"/>
          <w:szCs w:val="24"/>
        </w:rPr>
        <w:t>Property</w:t>
      </w:r>
      <w:r w:rsidRPr="00C32887">
        <w:rPr>
          <w:rFonts w:ascii="Garamond" w:hAnsi="Garamond"/>
          <w:sz w:val="24"/>
          <w:szCs w:val="24"/>
        </w:rPr>
        <w:t xml:space="preserve"> Register and M</w:t>
      </w:r>
      <w:r w:rsidR="00AD04B2">
        <w:rPr>
          <w:rFonts w:ascii="Garamond" w:hAnsi="Garamond"/>
          <w:sz w:val="24"/>
          <w:szCs w:val="24"/>
        </w:rPr>
        <w:t>ovable Property Records</w:t>
      </w:r>
      <w:r w:rsidRPr="00C32887">
        <w:rPr>
          <w:rFonts w:ascii="Garamond" w:hAnsi="Garamond"/>
          <w:sz w:val="24"/>
          <w:szCs w:val="24"/>
        </w:rPr>
        <w:t>, solved the problem of interrupt</w:t>
      </w:r>
      <w:r w:rsidR="005E0130">
        <w:rPr>
          <w:rFonts w:ascii="Garamond" w:hAnsi="Garamond"/>
          <w:sz w:val="24"/>
          <w:szCs w:val="24"/>
        </w:rPr>
        <w:t>ed</w:t>
      </w:r>
      <w:r w:rsidRPr="00C32887">
        <w:rPr>
          <w:rFonts w:ascii="Garamond" w:hAnsi="Garamond"/>
          <w:sz w:val="24"/>
          <w:szCs w:val="24"/>
        </w:rPr>
        <w:t xml:space="preserve"> trainings by recording a vide</w:t>
      </w:r>
      <w:r w:rsidR="0090357A">
        <w:rPr>
          <w:rFonts w:ascii="Garamond" w:hAnsi="Garamond"/>
          <w:sz w:val="24"/>
          <w:szCs w:val="24"/>
        </w:rPr>
        <w:t>o presentation of trainings for</w:t>
      </w:r>
      <w:r w:rsidRPr="00C32887">
        <w:rPr>
          <w:rFonts w:ascii="Garamond" w:hAnsi="Garamond"/>
          <w:sz w:val="24"/>
          <w:szCs w:val="24"/>
        </w:rPr>
        <w:t xml:space="preserve"> the ARS (Asset R</w:t>
      </w:r>
      <w:r w:rsidR="005E0130">
        <w:rPr>
          <w:rFonts w:ascii="Garamond" w:hAnsi="Garamond"/>
          <w:sz w:val="24"/>
          <w:szCs w:val="24"/>
        </w:rPr>
        <w:t>egistry System) web application</w:t>
      </w:r>
      <w:r w:rsidRPr="00C32887">
        <w:rPr>
          <w:rFonts w:ascii="Garamond" w:hAnsi="Garamond"/>
          <w:sz w:val="24"/>
          <w:szCs w:val="24"/>
        </w:rPr>
        <w:t xml:space="preserve">. </w:t>
      </w:r>
      <w:r w:rsidR="005E0130" w:rsidRPr="00C32887">
        <w:rPr>
          <w:rFonts w:ascii="Garamond" w:hAnsi="Garamond"/>
          <w:sz w:val="24"/>
          <w:szCs w:val="24"/>
        </w:rPr>
        <w:t xml:space="preserve">Video </w:t>
      </w:r>
      <w:r w:rsidRPr="00C32887">
        <w:rPr>
          <w:rFonts w:ascii="Garamond" w:hAnsi="Garamond"/>
          <w:sz w:val="24"/>
          <w:szCs w:val="24"/>
        </w:rPr>
        <w:t xml:space="preserve">training </w:t>
      </w:r>
      <w:r w:rsidR="005E0130" w:rsidRPr="00C32887">
        <w:rPr>
          <w:rFonts w:ascii="Garamond" w:hAnsi="Garamond"/>
          <w:sz w:val="24"/>
          <w:szCs w:val="24"/>
        </w:rPr>
        <w:t xml:space="preserve">link </w:t>
      </w:r>
      <w:r w:rsidRPr="00C32887">
        <w:rPr>
          <w:rFonts w:ascii="Garamond" w:hAnsi="Garamond"/>
          <w:sz w:val="24"/>
          <w:szCs w:val="24"/>
        </w:rPr>
        <w:t xml:space="preserve">is delivered to all future users, </w:t>
      </w:r>
      <w:r w:rsidR="005E0130">
        <w:rPr>
          <w:rFonts w:ascii="Garamond" w:hAnsi="Garamond"/>
          <w:sz w:val="24"/>
          <w:szCs w:val="24"/>
        </w:rPr>
        <w:t>to conduct</w:t>
      </w:r>
      <w:r w:rsidRPr="00C32887">
        <w:rPr>
          <w:rFonts w:ascii="Garamond" w:hAnsi="Garamond"/>
          <w:sz w:val="24"/>
          <w:szCs w:val="24"/>
        </w:rPr>
        <w:t xml:space="preserve"> the training in full in order to overcome the obstacles that have arisen because of the situation with </w:t>
      </w:r>
      <w:r w:rsidR="005E0130">
        <w:rPr>
          <w:rFonts w:ascii="Garamond" w:hAnsi="Garamond"/>
          <w:sz w:val="24"/>
          <w:szCs w:val="24"/>
        </w:rPr>
        <w:t>COVID-19.</w:t>
      </w:r>
      <w:r w:rsidRPr="00C32887">
        <w:rPr>
          <w:rFonts w:ascii="Garamond" w:hAnsi="Garamond"/>
          <w:sz w:val="24"/>
          <w:szCs w:val="24"/>
        </w:rPr>
        <w:t xml:space="preserve"> Training</w:t>
      </w:r>
      <w:r w:rsidR="00D94CD0">
        <w:rPr>
          <w:rFonts w:ascii="Garamond" w:hAnsi="Garamond"/>
          <w:sz w:val="24"/>
          <w:szCs w:val="24"/>
        </w:rPr>
        <w:t>s</w:t>
      </w:r>
      <w:r w:rsidRPr="00C32887">
        <w:rPr>
          <w:rFonts w:ascii="Garamond" w:hAnsi="Garamond"/>
          <w:sz w:val="24"/>
          <w:szCs w:val="24"/>
        </w:rPr>
        <w:t xml:space="preserve"> for indirect budget </w:t>
      </w:r>
      <w:r w:rsidR="005E0130">
        <w:rPr>
          <w:rFonts w:ascii="Garamond" w:hAnsi="Garamond"/>
          <w:sz w:val="24"/>
          <w:szCs w:val="24"/>
        </w:rPr>
        <w:t>users</w:t>
      </w:r>
      <w:r w:rsidRPr="00C32887">
        <w:rPr>
          <w:rFonts w:ascii="Garamond" w:hAnsi="Garamond"/>
          <w:sz w:val="24"/>
          <w:szCs w:val="24"/>
        </w:rPr>
        <w:t xml:space="preserve"> that have started in June 2020 </w:t>
      </w:r>
      <w:r w:rsidR="00D94CD0">
        <w:rPr>
          <w:rFonts w:ascii="Garamond" w:hAnsi="Garamond"/>
          <w:sz w:val="24"/>
          <w:szCs w:val="24"/>
        </w:rPr>
        <w:t>were</w:t>
      </w:r>
      <w:r w:rsidRPr="00C32887">
        <w:rPr>
          <w:rFonts w:ascii="Garamond" w:hAnsi="Garamond"/>
          <w:sz w:val="24"/>
          <w:szCs w:val="24"/>
        </w:rPr>
        <w:t xml:space="preserve"> </w:t>
      </w:r>
      <w:r w:rsidR="005E0130">
        <w:rPr>
          <w:rFonts w:ascii="Garamond" w:hAnsi="Garamond"/>
          <w:sz w:val="24"/>
          <w:szCs w:val="24"/>
        </w:rPr>
        <w:t xml:space="preserve">suspended, due to recommendations of the National Coordination Body and </w:t>
      </w:r>
      <w:r w:rsidRPr="00C32887">
        <w:rPr>
          <w:rFonts w:ascii="Garamond" w:hAnsi="Garamond"/>
          <w:sz w:val="24"/>
          <w:szCs w:val="24"/>
        </w:rPr>
        <w:t xml:space="preserve">were implemented via the link.     </w:t>
      </w:r>
    </w:p>
    <w:p w:rsidR="004D1343" w:rsidRPr="00C32887" w:rsidRDefault="004D1343" w:rsidP="004D1343">
      <w:pPr>
        <w:rPr>
          <w:rFonts w:ascii="Garamond" w:hAnsi="Garamond"/>
          <w:sz w:val="24"/>
          <w:szCs w:val="24"/>
        </w:rPr>
      </w:pPr>
    </w:p>
    <w:p w:rsidR="004D1343" w:rsidRPr="00C32887" w:rsidRDefault="004D1343" w:rsidP="005E0130">
      <w:pPr>
        <w:jc w:val="both"/>
        <w:rPr>
          <w:rFonts w:ascii="Garamond" w:hAnsi="Garamond"/>
          <w:sz w:val="24"/>
          <w:szCs w:val="24"/>
        </w:rPr>
      </w:pPr>
      <w:r w:rsidRPr="00C32887">
        <w:rPr>
          <w:rFonts w:ascii="Garamond" w:hAnsi="Garamond"/>
          <w:sz w:val="24"/>
          <w:szCs w:val="24"/>
        </w:rPr>
        <w:t>Pursuant to Article 56 of the Decree on the Organi</w:t>
      </w:r>
      <w:r w:rsidR="00F254DD">
        <w:rPr>
          <w:rFonts w:ascii="Garamond" w:hAnsi="Garamond"/>
          <w:sz w:val="24"/>
          <w:szCs w:val="24"/>
        </w:rPr>
        <w:t>sation</w:t>
      </w:r>
      <w:r w:rsidRPr="00C32887">
        <w:rPr>
          <w:rFonts w:ascii="Garamond" w:hAnsi="Garamond"/>
          <w:sz w:val="24"/>
          <w:szCs w:val="24"/>
        </w:rPr>
        <w:t xml:space="preserve"> and Manner of Work of the </w:t>
      </w:r>
      <w:r w:rsidR="005E0130">
        <w:rPr>
          <w:rFonts w:ascii="Garamond" w:hAnsi="Garamond"/>
          <w:sz w:val="24"/>
          <w:szCs w:val="24"/>
        </w:rPr>
        <w:t>Public</w:t>
      </w:r>
      <w:r w:rsidRPr="00C32887">
        <w:rPr>
          <w:rFonts w:ascii="Garamond" w:hAnsi="Garamond"/>
          <w:sz w:val="24"/>
          <w:szCs w:val="24"/>
        </w:rPr>
        <w:t xml:space="preserve"> Administration (</w:t>
      </w:r>
      <w:r w:rsidR="00C13A74">
        <w:rPr>
          <w:rFonts w:ascii="Garamond" w:hAnsi="Garamond"/>
          <w:sz w:val="24"/>
          <w:szCs w:val="24"/>
        </w:rPr>
        <w:t>‘</w:t>
      </w:r>
      <w:r w:rsidRPr="00C32887">
        <w:rPr>
          <w:rFonts w:ascii="Garamond" w:hAnsi="Garamond"/>
          <w:sz w:val="24"/>
          <w:szCs w:val="24"/>
        </w:rPr>
        <w:t>Official Gazette of Montenegro</w:t>
      </w:r>
      <w:r w:rsidR="00C13A74">
        <w:rPr>
          <w:rFonts w:ascii="Garamond" w:hAnsi="Garamond"/>
          <w:sz w:val="24"/>
          <w:szCs w:val="24"/>
        </w:rPr>
        <w:t>’</w:t>
      </w:r>
      <w:r w:rsidRPr="00C32887">
        <w:rPr>
          <w:rFonts w:ascii="Garamond" w:hAnsi="Garamond"/>
          <w:sz w:val="24"/>
          <w:szCs w:val="24"/>
        </w:rPr>
        <w:t xml:space="preserve">, No. 87/18 and 02/19), the Minister of Finance issued a Decision on the Establishment of a Working Team for Drafting a Proposal Decree on Amendments to the Decree on </w:t>
      </w:r>
      <w:r w:rsidR="00D94CD0" w:rsidRPr="00C32887">
        <w:rPr>
          <w:rFonts w:ascii="Garamond" w:hAnsi="Garamond"/>
          <w:sz w:val="24"/>
          <w:szCs w:val="24"/>
        </w:rPr>
        <w:t xml:space="preserve">Manner </w:t>
      </w:r>
      <w:r w:rsidR="005E0130">
        <w:rPr>
          <w:rFonts w:ascii="Garamond" w:hAnsi="Garamond"/>
          <w:sz w:val="24"/>
          <w:szCs w:val="24"/>
        </w:rPr>
        <w:t xml:space="preserve">of </w:t>
      </w:r>
      <w:r w:rsidR="00D94CD0">
        <w:rPr>
          <w:rFonts w:ascii="Garamond" w:hAnsi="Garamond"/>
          <w:sz w:val="24"/>
          <w:szCs w:val="24"/>
        </w:rPr>
        <w:t xml:space="preserve">Keeping </w:t>
      </w:r>
      <w:r w:rsidR="00D94CD0" w:rsidRPr="00C32887">
        <w:rPr>
          <w:rFonts w:ascii="Garamond" w:hAnsi="Garamond"/>
          <w:sz w:val="24"/>
          <w:szCs w:val="24"/>
        </w:rPr>
        <w:t xml:space="preserve">Records </w:t>
      </w:r>
      <w:r w:rsidRPr="00C32887">
        <w:rPr>
          <w:rFonts w:ascii="Garamond" w:hAnsi="Garamond"/>
          <w:sz w:val="24"/>
          <w:szCs w:val="24"/>
        </w:rPr>
        <w:t xml:space="preserve">of </w:t>
      </w:r>
      <w:r w:rsidR="00D94CD0" w:rsidRPr="00C32887">
        <w:rPr>
          <w:rFonts w:ascii="Garamond" w:hAnsi="Garamond"/>
          <w:sz w:val="24"/>
          <w:szCs w:val="24"/>
        </w:rPr>
        <w:t xml:space="preserve">Movable </w:t>
      </w:r>
      <w:r w:rsidRPr="00C32887">
        <w:rPr>
          <w:rFonts w:ascii="Garamond" w:hAnsi="Garamond"/>
          <w:sz w:val="24"/>
          <w:szCs w:val="24"/>
        </w:rPr>
        <w:t xml:space="preserve">and </w:t>
      </w:r>
      <w:r w:rsidR="00D94CD0" w:rsidRPr="00C32887">
        <w:rPr>
          <w:rFonts w:ascii="Garamond" w:hAnsi="Garamond"/>
          <w:sz w:val="24"/>
          <w:szCs w:val="24"/>
        </w:rPr>
        <w:t xml:space="preserve">Immovable </w:t>
      </w:r>
      <w:r w:rsidR="00D94CD0">
        <w:rPr>
          <w:rFonts w:ascii="Garamond" w:hAnsi="Garamond"/>
          <w:sz w:val="24"/>
          <w:szCs w:val="24"/>
        </w:rPr>
        <w:t>State Property</w:t>
      </w:r>
      <w:r w:rsidR="005E0130">
        <w:rPr>
          <w:rFonts w:ascii="Garamond" w:hAnsi="Garamond"/>
          <w:sz w:val="24"/>
          <w:szCs w:val="24"/>
        </w:rPr>
        <w:t xml:space="preserve">, that is, </w:t>
      </w:r>
      <w:r w:rsidRPr="00C32887">
        <w:rPr>
          <w:rFonts w:ascii="Garamond" w:hAnsi="Garamond"/>
          <w:sz w:val="24"/>
          <w:szCs w:val="24"/>
        </w:rPr>
        <w:t xml:space="preserve">to legally regulate the one-time submission of data on already acquired assets in an Excel file adapted for the ARS application. Due to the situation caused by </w:t>
      </w:r>
      <w:r w:rsidR="005E0130" w:rsidRPr="00C32887">
        <w:rPr>
          <w:rFonts w:ascii="Garamond" w:hAnsi="Garamond"/>
          <w:sz w:val="24"/>
          <w:szCs w:val="24"/>
        </w:rPr>
        <w:t xml:space="preserve">COVID </w:t>
      </w:r>
      <w:r w:rsidRPr="00C32887">
        <w:rPr>
          <w:rFonts w:ascii="Garamond" w:hAnsi="Garamond"/>
          <w:sz w:val="24"/>
          <w:szCs w:val="24"/>
        </w:rPr>
        <w:t xml:space="preserve">- 19, there was no amendment to the </w:t>
      </w:r>
      <w:r w:rsidR="005E0130">
        <w:rPr>
          <w:rFonts w:ascii="Garamond" w:hAnsi="Garamond"/>
          <w:sz w:val="24"/>
          <w:szCs w:val="24"/>
        </w:rPr>
        <w:t>Decree</w:t>
      </w:r>
      <w:r w:rsidRPr="00C32887">
        <w:rPr>
          <w:rFonts w:ascii="Garamond" w:hAnsi="Garamond"/>
          <w:sz w:val="24"/>
          <w:szCs w:val="24"/>
        </w:rPr>
        <w:t xml:space="preserve"> on the </w:t>
      </w:r>
      <w:r w:rsidR="00B021AB" w:rsidRPr="00C32887">
        <w:rPr>
          <w:rFonts w:ascii="Garamond" w:hAnsi="Garamond"/>
          <w:sz w:val="24"/>
          <w:szCs w:val="24"/>
        </w:rPr>
        <w:t xml:space="preserve">Manner </w:t>
      </w:r>
      <w:r w:rsidRPr="00C32887">
        <w:rPr>
          <w:rFonts w:ascii="Garamond" w:hAnsi="Garamond"/>
          <w:sz w:val="24"/>
          <w:szCs w:val="24"/>
        </w:rPr>
        <w:t xml:space="preserve">of </w:t>
      </w:r>
      <w:r w:rsidR="00B021AB" w:rsidRPr="00C32887">
        <w:rPr>
          <w:rFonts w:ascii="Garamond" w:hAnsi="Garamond"/>
          <w:sz w:val="24"/>
          <w:szCs w:val="24"/>
        </w:rPr>
        <w:t xml:space="preserve">Keeping Records </w:t>
      </w:r>
      <w:r w:rsidRPr="00C32887">
        <w:rPr>
          <w:rFonts w:ascii="Garamond" w:hAnsi="Garamond"/>
          <w:sz w:val="24"/>
          <w:szCs w:val="24"/>
        </w:rPr>
        <w:t xml:space="preserve">of </w:t>
      </w:r>
      <w:r w:rsidR="00B021AB" w:rsidRPr="00C32887">
        <w:rPr>
          <w:rFonts w:ascii="Garamond" w:hAnsi="Garamond"/>
          <w:sz w:val="24"/>
          <w:szCs w:val="24"/>
        </w:rPr>
        <w:t xml:space="preserve">Movable </w:t>
      </w:r>
      <w:r w:rsidRPr="00C32887">
        <w:rPr>
          <w:rFonts w:ascii="Garamond" w:hAnsi="Garamond"/>
          <w:sz w:val="24"/>
          <w:szCs w:val="24"/>
        </w:rPr>
        <w:t xml:space="preserve">and </w:t>
      </w:r>
      <w:r w:rsidR="00B021AB" w:rsidRPr="00C32887">
        <w:rPr>
          <w:rFonts w:ascii="Garamond" w:hAnsi="Garamond"/>
          <w:sz w:val="24"/>
          <w:szCs w:val="24"/>
        </w:rPr>
        <w:t>Immovable State Property</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5E0130">
      <w:pPr>
        <w:jc w:val="both"/>
        <w:rPr>
          <w:rFonts w:ascii="Garamond" w:hAnsi="Garamond"/>
          <w:sz w:val="24"/>
          <w:szCs w:val="24"/>
        </w:rPr>
      </w:pPr>
      <w:r w:rsidRPr="00C32887">
        <w:rPr>
          <w:rFonts w:ascii="Garamond" w:hAnsi="Garamond"/>
          <w:sz w:val="24"/>
          <w:szCs w:val="24"/>
        </w:rPr>
        <w:t xml:space="preserve">Part of this goal envisages the formation of a single record of state property. After the introduction of the application of the </w:t>
      </w:r>
      <w:r w:rsidR="005E0130">
        <w:rPr>
          <w:rFonts w:ascii="Garamond" w:hAnsi="Garamond"/>
          <w:sz w:val="24"/>
          <w:szCs w:val="24"/>
        </w:rPr>
        <w:t>single</w:t>
      </w:r>
      <w:r w:rsidRPr="00C32887">
        <w:rPr>
          <w:rFonts w:ascii="Garamond" w:hAnsi="Garamond"/>
          <w:sz w:val="24"/>
          <w:szCs w:val="24"/>
        </w:rPr>
        <w:t xml:space="preserve"> register </w:t>
      </w:r>
      <w:r w:rsidR="00B021AB">
        <w:rPr>
          <w:rFonts w:ascii="Garamond" w:hAnsi="Garamond"/>
          <w:sz w:val="24"/>
          <w:szCs w:val="24"/>
        </w:rPr>
        <w:t xml:space="preserve">of state property, each user </w:t>
      </w:r>
      <w:r w:rsidRPr="00C32887">
        <w:rPr>
          <w:rFonts w:ascii="Garamond" w:hAnsi="Garamond"/>
          <w:sz w:val="24"/>
          <w:szCs w:val="24"/>
        </w:rPr>
        <w:t xml:space="preserve">will be able to enter each new </w:t>
      </w:r>
      <w:r w:rsidR="005E0130">
        <w:rPr>
          <w:rFonts w:ascii="Garamond" w:hAnsi="Garamond"/>
          <w:sz w:val="24"/>
          <w:szCs w:val="24"/>
        </w:rPr>
        <w:t>property procured</w:t>
      </w:r>
      <w:r w:rsidRPr="00C32887">
        <w:rPr>
          <w:rFonts w:ascii="Garamond" w:hAnsi="Garamond"/>
          <w:sz w:val="24"/>
          <w:szCs w:val="24"/>
        </w:rPr>
        <w:t xml:space="preserve"> in the </w:t>
      </w:r>
      <w:r w:rsidR="005E0130">
        <w:rPr>
          <w:rFonts w:ascii="Garamond" w:hAnsi="Garamond"/>
          <w:sz w:val="24"/>
          <w:szCs w:val="24"/>
        </w:rPr>
        <w:t>single</w:t>
      </w:r>
      <w:r w:rsidRPr="00C32887">
        <w:rPr>
          <w:rFonts w:ascii="Garamond" w:hAnsi="Garamond"/>
          <w:sz w:val="24"/>
          <w:szCs w:val="24"/>
        </w:rPr>
        <w:t xml:space="preserve"> register. In this way, the Property Administration will have a complete insight into </w:t>
      </w:r>
      <w:r w:rsidR="00B021AB">
        <w:rPr>
          <w:rFonts w:ascii="Garamond" w:hAnsi="Garamond"/>
          <w:sz w:val="24"/>
          <w:szCs w:val="24"/>
        </w:rPr>
        <w:t>all</w:t>
      </w:r>
      <w:r w:rsidRPr="00C32887">
        <w:rPr>
          <w:rFonts w:ascii="Garamond" w:hAnsi="Garamond"/>
          <w:sz w:val="24"/>
          <w:szCs w:val="24"/>
        </w:rPr>
        <w:t xml:space="preserve"> movable and immovable property in the country, as well as the possibility to review the total </w:t>
      </w:r>
      <w:r w:rsidR="00B021AB">
        <w:rPr>
          <w:rFonts w:ascii="Garamond" w:hAnsi="Garamond"/>
          <w:sz w:val="24"/>
          <w:szCs w:val="24"/>
        </w:rPr>
        <w:t>property</w:t>
      </w:r>
      <w:r w:rsidRPr="00C32887">
        <w:rPr>
          <w:rFonts w:ascii="Garamond" w:hAnsi="Garamond"/>
          <w:sz w:val="24"/>
          <w:szCs w:val="24"/>
        </w:rPr>
        <w:t xml:space="preserve"> and report on the same. The project of a single record of state property is implemented with the help </w:t>
      </w:r>
      <w:r w:rsidR="005E0130">
        <w:rPr>
          <w:rFonts w:ascii="Garamond" w:hAnsi="Garamond"/>
          <w:sz w:val="24"/>
          <w:szCs w:val="24"/>
        </w:rPr>
        <w:t>of web application</w:t>
      </w:r>
      <w:r w:rsidRPr="00C32887">
        <w:rPr>
          <w:rFonts w:ascii="Garamond" w:hAnsi="Garamond"/>
          <w:sz w:val="24"/>
          <w:szCs w:val="24"/>
        </w:rPr>
        <w:t xml:space="preserve"> ARS (Asset Registry System) through which fixed assets are recorded in the module of fixed assets in the SAP system (FI-AA). It is necessary to carry out a series of actions in order for the records to be put into </w:t>
      </w:r>
      <w:r w:rsidR="0015375B">
        <w:rPr>
          <w:rFonts w:ascii="Garamond" w:hAnsi="Garamond"/>
          <w:sz w:val="24"/>
          <w:szCs w:val="24"/>
        </w:rPr>
        <w:t>operation</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9D2A55">
      <w:pPr>
        <w:jc w:val="both"/>
        <w:rPr>
          <w:rFonts w:ascii="Garamond" w:hAnsi="Garamond"/>
          <w:sz w:val="24"/>
          <w:szCs w:val="24"/>
        </w:rPr>
      </w:pPr>
      <w:r w:rsidRPr="00C32887">
        <w:rPr>
          <w:rFonts w:ascii="Garamond" w:hAnsi="Garamond"/>
          <w:sz w:val="24"/>
          <w:szCs w:val="24"/>
        </w:rPr>
        <w:t xml:space="preserve">After the completed trainings, all user tables will be collected and migrated for production, followed by the final release of the ARS application of the property register </w:t>
      </w:r>
      <w:r w:rsidR="0015375B">
        <w:rPr>
          <w:rFonts w:ascii="Garamond" w:hAnsi="Garamond"/>
          <w:sz w:val="24"/>
          <w:szCs w:val="24"/>
        </w:rPr>
        <w:t>into operation</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9D2A55">
      <w:pPr>
        <w:jc w:val="both"/>
        <w:rPr>
          <w:rFonts w:ascii="Garamond" w:hAnsi="Garamond"/>
          <w:sz w:val="24"/>
          <w:szCs w:val="24"/>
        </w:rPr>
      </w:pPr>
      <w:r w:rsidRPr="00C32887">
        <w:rPr>
          <w:rFonts w:ascii="Garamond" w:hAnsi="Garamond"/>
          <w:sz w:val="24"/>
          <w:szCs w:val="24"/>
        </w:rPr>
        <w:t xml:space="preserve">It is important to </w:t>
      </w:r>
      <w:r w:rsidR="009D2A55">
        <w:rPr>
          <w:rFonts w:ascii="Garamond" w:hAnsi="Garamond"/>
          <w:sz w:val="24"/>
          <w:szCs w:val="24"/>
        </w:rPr>
        <w:t>note</w:t>
      </w:r>
      <w:r w:rsidRPr="00C32887">
        <w:rPr>
          <w:rFonts w:ascii="Garamond" w:hAnsi="Garamond"/>
          <w:sz w:val="24"/>
          <w:szCs w:val="24"/>
        </w:rPr>
        <w:t xml:space="preserve"> that </w:t>
      </w:r>
      <w:r w:rsidR="00B021AB">
        <w:rPr>
          <w:rFonts w:ascii="Garamond" w:hAnsi="Garamond"/>
          <w:sz w:val="24"/>
          <w:szCs w:val="24"/>
        </w:rPr>
        <w:t xml:space="preserve">2020 </w:t>
      </w:r>
      <w:r w:rsidR="0015375B">
        <w:rPr>
          <w:rFonts w:ascii="Garamond" w:hAnsi="Garamond"/>
          <w:sz w:val="24"/>
          <w:szCs w:val="24"/>
        </w:rPr>
        <w:t>was planned to be a</w:t>
      </w:r>
      <w:r w:rsidRPr="00C32887">
        <w:rPr>
          <w:rFonts w:ascii="Garamond" w:hAnsi="Garamond"/>
          <w:sz w:val="24"/>
          <w:szCs w:val="24"/>
        </w:rPr>
        <w:t xml:space="preserve"> test year </w:t>
      </w:r>
      <w:r w:rsidR="0015375B">
        <w:rPr>
          <w:rFonts w:ascii="Garamond" w:hAnsi="Garamond"/>
          <w:sz w:val="24"/>
          <w:szCs w:val="24"/>
        </w:rPr>
        <w:t>for</w:t>
      </w:r>
      <w:r w:rsidRPr="00C32887">
        <w:rPr>
          <w:rFonts w:ascii="Garamond" w:hAnsi="Garamond"/>
          <w:sz w:val="24"/>
          <w:szCs w:val="24"/>
        </w:rPr>
        <w:t xml:space="preserve"> the Property </w:t>
      </w:r>
      <w:r w:rsidR="0015375B">
        <w:rPr>
          <w:rFonts w:ascii="Garamond" w:hAnsi="Garamond"/>
          <w:sz w:val="24"/>
          <w:szCs w:val="24"/>
        </w:rPr>
        <w:t>Directorate</w:t>
      </w:r>
      <w:r w:rsidRPr="00C32887">
        <w:rPr>
          <w:rFonts w:ascii="Garamond" w:hAnsi="Garamond"/>
          <w:sz w:val="24"/>
          <w:szCs w:val="24"/>
        </w:rPr>
        <w:t xml:space="preserve"> in cooperation with users </w:t>
      </w:r>
      <w:r w:rsidR="0015375B">
        <w:rPr>
          <w:rFonts w:ascii="Garamond" w:hAnsi="Garamond"/>
          <w:sz w:val="24"/>
          <w:szCs w:val="24"/>
        </w:rPr>
        <w:t>to</w:t>
      </w:r>
      <w:r w:rsidRPr="00C32887">
        <w:rPr>
          <w:rFonts w:ascii="Garamond" w:hAnsi="Garamond"/>
          <w:sz w:val="24"/>
          <w:szCs w:val="24"/>
        </w:rPr>
        <w:t xml:space="preserve"> </w:t>
      </w:r>
      <w:r w:rsidR="0041606A">
        <w:rPr>
          <w:rFonts w:ascii="Garamond" w:hAnsi="Garamond"/>
          <w:sz w:val="24"/>
          <w:szCs w:val="24"/>
        </w:rPr>
        <w:t>upgrade</w:t>
      </w:r>
      <w:r w:rsidRPr="00C32887">
        <w:rPr>
          <w:rFonts w:ascii="Garamond" w:hAnsi="Garamond"/>
          <w:sz w:val="24"/>
          <w:szCs w:val="24"/>
        </w:rPr>
        <w:t xml:space="preserve"> and implement the fields in the </w:t>
      </w:r>
      <w:r w:rsidR="009D2A55">
        <w:rPr>
          <w:rFonts w:ascii="Garamond" w:hAnsi="Garamond"/>
          <w:sz w:val="24"/>
          <w:szCs w:val="24"/>
        </w:rPr>
        <w:t>ARS</w:t>
      </w:r>
      <w:r w:rsidRPr="00C32887">
        <w:rPr>
          <w:rFonts w:ascii="Garamond" w:hAnsi="Garamond"/>
          <w:sz w:val="24"/>
          <w:szCs w:val="24"/>
        </w:rPr>
        <w:t xml:space="preserve"> application, </w:t>
      </w:r>
      <w:r w:rsidR="009D2A55">
        <w:rPr>
          <w:rFonts w:ascii="Garamond" w:hAnsi="Garamond"/>
          <w:sz w:val="24"/>
          <w:szCs w:val="24"/>
        </w:rPr>
        <w:t>that is,</w:t>
      </w:r>
      <w:r w:rsidRPr="00C32887">
        <w:rPr>
          <w:rFonts w:ascii="Garamond" w:hAnsi="Garamond"/>
          <w:sz w:val="24"/>
          <w:szCs w:val="24"/>
        </w:rPr>
        <w:t xml:space="preserve"> </w:t>
      </w:r>
      <w:r w:rsidR="0015375B">
        <w:rPr>
          <w:rFonts w:ascii="Garamond" w:hAnsi="Garamond"/>
          <w:sz w:val="24"/>
          <w:szCs w:val="24"/>
        </w:rPr>
        <w:t>the project will be fully implemented</w:t>
      </w:r>
      <w:r w:rsidRPr="00C32887">
        <w:rPr>
          <w:rFonts w:ascii="Garamond" w:hAnsi="Garamond"/>
          <w:sz w:val="24"/>
          <w:szCs w:val="24"/>
        </w:rPr>
        <w:t xml:space="preserve">, while the planned transition from the test environment to production will be </w:t>
      </w:r>
      <w:r w:rsidR="009F5F77">
        <w:rPr>
          <w:rFonts w:ascii="Garamond" w:hAnsi="Garamond"/>
          <w:sz w:val="24"/>
          <w:szCs w:val="24"/>
        </w:rPr>
        <w:t xml:space="preserve">in </w:t>
      </w:r>
      <w:r w:rsidRPr="00C32887">
        <w:rPr>
          <w:rFonts w:ascii="Garamond" w:hAnsi="Garamond"/>
          <w:sz w:val="24"/>
          <w:szCs w:val="24"/>
        </w:rPr>
        <w:t xml:space="preserve">March 2021. In this regard, </w:t>
      </w:r>
      <w:r w:rsidR="0041606A">
        <w:rPr>
          <w:rFonts w:ascii="Garamond" w:hAnsi="Garamond"/>
          <w:sz w:val="24"/>
          <w:szCs w:val="24"/>
        </w:rPr>
        <w:t xml:space="preserve">due to </w:t>
      </w:r>
      <w:r w:rsidRPr="00C32887">
        <w:rPr>
          <w:rFonts w:ascii="Garamond" w:hAnsi="Garamond"/>
          <w:sz w:val="24"/>
          <w:szCs w:val="24"/>
        </w:rPr>
        <w:t xml:space="preserve">the situation </w:t>
      </w:r>
      <w:r w:rsidR="00B021AB">
        <w:rPr>
          <w:rFonts w:ascii="Garamond" w:hAnsi="Garamond"/>
          <w:sz w:val="24"/>
          <w:szCs w:val="24"/>
        </w:rPr>
        <w:t>caused by</w:t>
      </w:r>
      <w:r w:rsidRPr="00C32887">
        <w:rPr>
          <w:rFonts w:ascii="Garamond" w:hAnsi="Garamond"/>
          <w:sz w:val="24"/>
          <w:szCs w:val="24"/>
        </w:rPr>
        <w:t xml:space="preserve"> </w:t>
      </w:r>
      <w:r w:rsidR="0041606A">
        <w:rPr>
          <w:rFonts w:ascii="Garamond" w:hAnsi="Garamond"/>
          <w:sz w:val="24"/>
          <w:szCs w:val="24"/>
        </w:rPr>
        <w:t>COVID</w:t>
      </w:r>
      <w:r w:rsidR="0041606A" w:rsidRPr="00C32887">
        <w:rPr>
          <w:rFonts w:ascii="Garamond" w:hAnsi="Garamond"/>
          <w:sz w:val="24"/>
          <w:szCs w:val="24"/>
        </w:rPr>
        <w:t xml:space="preserve"> </w:t>
      </w:r>
      <w:r w:rsidR="0041606A">
        <w:rPr>
          <w:rFonts w:ascii="Garamond" w:hAnsi="Garamond"/>
          <w:sz w:val="24"/>
          <w:szCs w:val="24"/>
        </w:rPr>
        <w:t xml:space="preserve">-19 </w:t>
      </w:r>
      <w:r w:rsidR="0041606A" w:rsidRPr="00C32887">
        <w:rPr>
          <w:rFonts w:ascii="Garamond" w:hAnsi="Garamond"/>
          <w:sz w:val="24"/>
          <w:szCs w:val="24"/>
        </w:rPr>
        <w:t>the date of completion of the project</w:t>
      </w:r>
      <w:r w:rsidR="0041606A">
        <w:rPr>
          <w:rFonts w:ascii="Garamond" w:hAnsi="Garamond"/>
          <w:sz w:val="24"/>
          <w:szCs w:val="24"/>
        </w:rPr>
        <w:t xml:space="preserve"> can</w:t>
      </w:r>
      <w:r w:rsidRPr="00C32887">
        <w:rPr>
          <w:rFonts w:ascii="Garamond" w:hAnsi="Garamond"/>
          <w:sz w:val="24"/>
          <w:szCs w:val="24"/>
        </w:rPr>
        <w:t>not be already determined.</w:t>
      </w:r>
    </w:p>
    <w:p w:rsidR="004D1343" w:rsidRPr="00C32887" w:rsidRDefault="004D1343" w:rsidP="004D1343">
      <w:pPr>
        <w:rPr>
          <w:rFonts w:ascii="Garamond" w:hAnsi="Garamond"/>
          <w:sz w:val="24"/>
          <w:szCs w:val="24"/>
        </w:rPr>
      </w:pPr>
    </w:p>
    <w:p w:rsidR="004D1343" w:rsidRPr="00C32887" w:rsidRDefault="004D1343" w:rsidP="0041606A">
      <w:pPr>
        <w:jc w:val="both"/>
        <w:rPr>
          <w:rFonts w:ascii="Garamond" w:hAnsi="Garamond"/>
          <w:sz w:val="24"/>
          <w:szCs w:val="24"/>
        </w:rPr>
      </w:pPr>
      <w:r w:rsidRPr="00C32887">
        <w:rPr>
          <w:rFonts w:ascii="Garamond" w:hAnsi="Garamond"/>
          <w:sz w:val="24"/>
          <w:szCs w:val="24"/>
        </w:rPr>
        <w:t xml:space="preserve">When it comes to the indicator that measures the implementation of the </w:t>
      </w:r>
      <w:r w:rsidR="0041606A">
        <w:rPr>
          <w:rFonts w:ascii="Garamond" w:hAnsi="Garamond"/>
          <w:sz w:val="24"/>
          <w:szCs w:val="24"/>
        </w:rPr>
        <w:t>property</w:t>
      </w:r>
      <w:r w:rsidRPr="00C32887">
        <w:rPr>
          <w:rFonts w:ascii="Garamond" w:hAnsi="Garamond"/>
          <w:sz w:val="24"/>
          <w:szCs w:val="24"/>
        </w:rPr>
        <w:t xml:space="preserve"> register and double </w:t>
      </w:r>
      <w:r w:rsidR="0041606A">
        <w:rPr>
          <w:rFonts w:ascii="Garamond" w:hAnsi="Garamond"/>
          <w:sz w:val="24"/>
          <w:szCs w:val="24"/>
        </w:rPr>
        <w:t>entry</w:t>
      </w:r>
      <w:r w:rsidRPr="00C32887">
        <w:rPr>
          <w:rFonts w:ascii="Garamond" w:hAnsi="Garamond"/>
          <w:sz w:val="24"/>
          <w:szCs w:val="24"/>
        </w:rPr>
        <w:t xml:space="preserve"> accounting, we can </w:t>
      </w:r>
      <w:r w:rsidR="009F5F77">
        <w:rPr>
          <w:rFonts w:ascii="Garamond" w:hAnsi="Garamond"/>
          <w:sz w:val="24"/>
          <w:szCs w:val="24"/>
        </w:rPr>
        <w:t>conclude that it has been part</w:t>
      </w:r>
      <w:r w:rsidRPr="00C32887">
        <w:rPr>
          <w:rFonts w:ascii="Garamond" w:hAnsi="Garamond"/>
          <w:sz w:val="24"/>
          <w:szCs w:val="24"/>
        </w:rPr>
        <w:t xml:space="preserve">ly achieved, bearing in mind that it is necessary to make additional efforts to achieve compliance. </w:t>
      </w:r>
      <w:r w:rsidR="0041606A">
        <w:rPr>
          <w:rFonts w:ascii="Garamond" w:hAnsi="Garamond"/>
          <w:sz w:val="24"/>
          <w:szCs w:val="24"/>
        </w:rPr>
        <w:t>Key users</w:t>
      </w:r>
      <w:r w:rsidRPr="00C32887">
        <w:rPr>
          <w:rFonts w:ascii="Garamond" w:hAnsi="Garamond"/>
          <w:sz w:val="24"/>
          <w:szCs w:val="24"/>
        </w:rPr>
        <w:t xml:space="preserve"> who were responsible to submit Excel migration table</w:t>
      </w:r>
      <w:r w:rsidR="009F5F77">
        <w:rPr>
          <w:rFonts w:ascii="Garamond" w:hAnsi="Garamond"/>
          <w:sz w:val="24"/>
          <w:szCs w:val="24"/>
        </w:rPr>
        <w:t>s</w:t>
      </w:r>
      <w:r w:rsidRPr="00C32887">
        <w:rPr>
          <w:rFonts w:ascii="Garamond" w:hAnsi="Garamond"/>
          <w:sz w:val="24"/>
          <w:szCs w:val="24"/>
        </w:rPr>
        <w:t>, because of the situa</w:t>
      </w:r>
      <w:r w:rsidR="0094085E">
        <w:rPr>
          <w:rFonts w:ascii="Garamond" w:hAnsi="Garamond"/>
          <w:sz w:val="24"/>
          <w:szCs w:val="24"/>
        </w:rPr>
        <w:t xml:space="preserve">tion caused by </w:t>
      </w:r>
      <w:r w:rsidR="0041606A" w:rsidRPr="00C32887">
        <w:rPr>
          <w:rFonts w:ascii="Garamond" w:hAnsi="Garamond"/>
          <w:sz w:val="24"/>
          <w:szCs w:val="24"/>
        </w:rPr>
        <w:t xml:space="preserve">COVID </w:t>
      </w:r>
      <w:r w:rsidRPr="00C32887">
        <w:rPr>
          <w:rFonts w:ascii="Garamond" w:hAnsi="Garamond"/>
          <w:sz w:val="24"/>
          <w:szCs w:val="24"/>
        </w:rPr>
        <w:t xml:space="preserve">- </w:t>
      </w:r>
      <w:r w:rsidR="0041606A">
        <w:rPr>
          <w:rFonts w:ascii="Garamond" w:hAnsi="Garamond"/>
          <w:sz w:val="24"/>
          <w:szCs w:val="24"/>
        </w:rPr>
        <w:t>19 were not able to supply these</w:t>
      </w:r>
      <w:r w:rsidRPr="00C32887">
        <w:rPr>
          <w:rFonts w:ascii="Garamond" w:hAnsi="Garamond"/>
          <w:sz w:val="24"/>
          <w:szCs w:val="24"/>
        </w:rPr>
        <w:t xml:space="preserve"> table</w:t>
      </w:r>
      <w:r w:rsidR="0041606A">
        <w:rPr>
          <w:rFonts w:ascii="Garamond" w:hAnsi="Garamond"/>
          <w:sz w:val="24"/>
          <w:szCs w:val="24"/>
        </w:rPr>
        <w:t>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r w:rsidR="00613C2B" w:rsidRPr="00613C2B">
        <w:rPr>
          <w:rFonts w:cstheme="majorHAnsi"/>
          <w:i/>
          <w:noProof/>
          <w:color w:val="000000"/>
          <w:lang w:val="en-GB" w:eastAsia="en-GB"/>
        </w:rPr>
      </w:r>
      <w:r w:rsidR="00613C2B" w:rsidRPr="00613C2B">
        <w:rPr>
          <w:rFonts w:cstheme="majorHAnsi"/>
          <w:i/>
          <w:noProof/>
          <w:color w:val="000000"/>
          <w:lang w:val="en-GB" w:eastAsia="en-GB"/>
        </w:rPr>
        <w:pict>
          <v:roundrect id="Rounded Rectangle 35" o:spid="_x0000_s1031" style="width:497.4pt;height:70.9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" fillcolor="#243f60 [1604]" strokecolor="#243f60 [1604]" strokeweight="1pt">
            <v:stroke joinstyle="miter"/>
            <v:textbox>
              <w:txbxContent>
                <w:p w:rsidR="002C4371" w:rsidRPr="0041606A" w:rsidRDefault="002C4371" w:rsidP="0041606A">
                  <w:pPr>
                    <w:rPr>
                      <w:sz w:val="20"/>
                      <w:szCs w:val="20"/>
                    </w:rPr>
                  </w:pPr>
                  <w:r w:rsidRPr="0041606A">
                    <w:rPr>
                      <w:sz w:val="20"/>
                      <w:szCs w:val="20"/>
                    </w:rPr>
                    <w:t>Challenge:</w:t>
                  </w:r>
                </w:p>
                <w:p w:rsidR="002C4371" w:rsidRPr="008469A3" w:rsidRDefault="002C4371" w:rsidP="0041606A">
                  <w:pPr>
                    <w:jc w:val="both"/>
                    <w:rPr>
                      <w:sz w:val="20"/>
                      <w:szCs w:val="20"/>
                    </w:rPr>
                  </w:pPr>
                  <w:r w:rsidRPr="0041606A">
                    <w:rPr>
                      <w:sz w:val="20"/>
                      <w:szCs w:val="20"/>
                    </w:rPr>
                    <w:t xml:space="preserve">The implementation of data on state property in a single </w:t>
                  </w:r>
                  <w:r>
                    <w:rPr>
                      <w:sz w:val="20"/>
                      <w:szCs w:val="20"/>
                    </w:rPr>
                    <w:t>ARS</w:t>
                  </w:r>
                  <w:r w:rsidRPr="0041606A">
                    <w:rPr>
                      <w:sz w:val="20"/>
                      <w:szCs w:val="20"/>
                    </w:rPr>
                    <w:t xml:space="preserve"> database depends entirely on the bodies that will be in the records, so we expect their full cooperation and participation</w:t>
                  </w:r>
                  <w:r>
                    <w:rPr>
                      <w:sz w:val="20"/>
                      <w:szCs w:val="20"/>
                    </w:rPr>
                    <w:t xml:space="preserve"> with proposals and suggestions.</w:t>
                  </w:r>
                </w:p>
              </w:txbxContent>
            </v:textbox>
            <w10:wrap type="none"/>
            <w10:anchorlock/>
          </v:roundrect>
        </w:pic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1606A" w:rsidRDefault="0041606A">
      <w:pPr>
        <w:rPr>
          <w:rFonts w:ascii="Garamond" w:hAnsi="Garamond"/>
          <w:sz w:val="24"/>
          <w:szCs w:val="24"/>
        </w:rPr>
      </w:pPr>
      <w:r>
        <w:rPr>
          <w:rFonts w:ascii="Garamond" w:hAnsi="Garamond"/>
          <w:sz w:val="24"/>
          <w:szCs w:val="24"/>
        </w:rPr>
        <w:br w:type="page"/>
      </w:r>
    </w:p>
    <w:p w:rsidR="004D1343" w:rsidRPr="00C32887" w:rsidRDefault="0041606A" w:rsidP="0041606A">
      <w:pPr>
        <w:pStyle w:val="Heading2"/>
        <w:rPr>
          <w:rFonts w:ascii="Garamond" w:hAnsi="Garamond"/>
          <w:sz w:val="24"/>
          <w:szCs w:val="24"/>
        </w:rPr>
      </w:pPr>
      <w:bookmarkStart w:id="23" w:name="_Toc77688203"/>
      <w:proofErr w:type="gramStart"/>
      <w:r>
        <w:rPr>
          <w:rFonts w:ascii="Garamond" w:hAnsi="Garamond"/>
          <w:sz w:val="24"/>
          <w:szCs w:val="24"/>
        </w:rPr>
        <w:t>OBJECTIVE 5</w:t>
      </w:r>
      <w:r w:rsidRPr="00C32887">
        <w:rPr>
          <w:rFonts w:ascii="Garamond" w:hAnsi="Garamond"/>
          <w:sz w:val="24"/>
          <w:szCs w:val="24"/>
        </w:rPr>
        <w:t>.</w:t>
      </w:r>
      <w:proofErr w:type="gramEnd"/>
      <w:r w:rsidRPr="00C32887">
        <w:rPr>
          <w:rFonts w:ascii="Garamond" w:hAnsi="Garamond"/>
          <w:sz w:val="24"/>
          <w:szCs w:val="24"/>
        </w:rPr>
        <w:t xml:space="preserve"> STRENGTHENING </w:t>
      </w:r>
      <w:r w:rsidR="00BE48ED">
        <w:rPr>
          <w:rFonts w:ascii="Garamond" w:hAnsi="Garamond"/>
          <w:sz w:val="24"/>
          <w:szCs w:val="24"/>
        </w:rPr>
        <w:t>EXTERNAL AUDIT CAPACITIES</w:t>
      </w:r>
      <w:bookmarkEnd w:id="23"/>
    </w:p>
    <w:p w:rsidR="0041606A" w:rsidRDefault="0041606A" w:rsidP="004D1343">
      <w:pPr>
        <w:rPr>
          <w:rFonts w:ascii="Garamond" w:hAnsi="Garamond"/>
          <w:sz w:val="24"/>
          <w:szCs w:val="24"/>
        </w:rPr>
      </w:pPr>
    </w:p>
    <w:p w:rsidR="004D1343" w:rsidRPr="00C32887" w:rsidRDefault="0041606A" w:rsidP="0041606A">
      <w:pPr>
        <w:pStyle w:val="Heading3"/>
        <w:rPr>
          <w:rFonts w:ascii="Garamond" w:hAnsi="Garamond"/>
          <w:sz w:val="24"/>
          <w:szCs w:val="24"/>
        </w:rPr>
      </w:pPr>
      <w:bookmarkStart w:id="24" w:name="_Toc77688204"/>
      <w:r w:rsidRPr="00C32887">
        <w:rPr>
          <w:rFonts w:ascii="Garamond" w:hAnsi="Garamond"/>
          <w:sz w:val="24"/>
          <w:szCs w:val="24"/>
        </w:rPr>
        <w:t>STATE AUDIT INSTITUTION</w:t>
      </w:r>
      <w:bookmarkEnd w:id="24"/>
    </w:p>
    <w:p w:rsidR="004D1343" w:rsidRPr="00C32887" w:rsidRDefault="004D1343" w:rsidP="004D1343">
      <w:pPr>
        <w:rPr>
          <w:rFonts w:ascii="Garamond" w:hAnsi="Garamond"/>
          <w:sz w:val="24"/>
          <w:szCs w:val="24"/>
        </w:rPr>
      </w:pPr>
    </w:p>
    <w:p w:rsidR="004D1343" w:rsidRPr="00C32887" w:rsidRDefault="004D1343" w:rsidP="0041606A">
      <w:pPr>
        <w:jc w:val="both"/>
        <w:rPr>
          <w:rFonts w:ascii="Garamond" w:hAnsi="Garamond"/>
          <w:sz w:val="24"/>
          <w:szCs w:val="24"/>
        </w:rPr>
      </w:pPr>
      <w:r w:rsidRPr="00C32887">
        <w:rPr>
          <w:rFonts w:ascii="Garamond" w:hAnsi="Garamond"/>
          <w:sz w:val="24"/>
          <w:szCs w:val="24"/>
        </w:rPr>
        <w:t xml:space="preserve">The </w:t>
      </w:r>
      <w:r w:rsidR="00624D6E">
        <w:rPr>
          <w:rFonts w:ascii="Garamond" w:hAnsi="Garamond"/>
          <w:sz w:val="24"/>
          <w:szCs w:val="24"/>
        </w:rPr>
        <w:t xml:space="preserve">strategic objective </w:t>
      </w:r>
      <w:r w:rsidRPr="00C32887">
        <w:rPr>
          <w:rFonts w:ascii="Garamond" w:hAnsi="Garamond"/>
          <w:sz w:val="24"/>
          <w:szCs w:val="24"/>
        </w:rPr>
        <w:t xml:space="preserve">for the field of external audit </w:t>
      </w:r>
      <w:r w:rsidR="00C13A74">
        <w:rPr>
          <w:rFonts w:ascii="Garamond" w:hAnsi="Garamond"/>
          <w:sz w:val="24"/>
          <w:szCs w:val="24"/>
        </w:rPr>
        <w:t>‘</w:t>
      </w:r>
      <w:r w:rsidRPr="00C32887">
        <w:rPr>
          <w:rFonts w:ascii="Garamond" w:hAnsi="Garamond"/>
          <w:sz w:val="24"/>
          <w:szCs w:val="24"/>
        </w:rPr>
        <w:t>Strengthening external audit</w:t>
      </w:r>
      <w:r w:rsidR="00BE48ED" w:rsidRPr="00BE48ED">
        <w:rPr>
          <w:rFonts w:ascii="Garamond" w:hAnsi="Garamond"/>
          <w:sz w:val="24"/>
          <w:szCs w:val="24"/>
        </w:rPr>
        <w:t xml:space="preserve"> </w:t>
      </w:r>
      <w:r w:rsidR="006C23DE">
        <w:rPr>
          <w:rFonts w:ascii="Garamond" w:hAnsi="Garamond"/>
          <w:sz w:val="24"/>
          <w:szCs w:val="24"/>
        </w:rPr>
        <w:t>capacities</w:t>
      </w:r>
      <w:r w:rsidR="00C13A74">
        <w:rPr>
          <w:rFonts w:ascii="Garamond" w:hAnsi="Garamond"/>
          <w:sz w:val="24"/>
          <w:szCs w:val="24"/>
        </w:rPr>
        <w:t>’</w:t>
      </w:r>
      <w:r w:rsidRPr="00C32887">
        <w:rPr>
          <w:rFonts w:ascii="Garamond" w:hAnsi="Garamond"/>
          <w:sz w:val="24"/>
          <w:szCs w:val="24"/>
        </w:rPr>
        <w:t xml:space="preserve"> has two sub-</w:t>
      </w:r>
      <w:r w:rsidR="006C23DE">
        <w:rPr>
          <w:rFonts w:ascii="Garamond" w:hAnsi="Garamond"/>
          <w:sz w:val="24"/>
          <w:szCs w:val="24"/>
        </w:rPr>
        <w:t>objective</w:t>
      </w:r>
      <w:r w:rsidR="009F5F77">
        <w:rPr>
          <w:rFonts w:ascii="Garamond" w:hAnsi="Garamond"/>
          <w:sz w:val="24"/>
          <w:szCs w:val="24"/>
        </w:rPr>
        <w:t>s</w:t>
      </w:r>
      <w:r w:rsidRPr="00C32887">
        <w:rPr>
          <w:rFonts w:ascii="Garamond" w:hAnsi="Garamond"/>
          <w:sz w:val="24"/>
          <w:szCs w:val="24"/>
        </w:rPr>
        <w:t xml:space="preserve">, which relate to the State Audit Institution with a focus on </w:t>
      </w:r>
      <w:r w:rsidR="00C13A74">
        <w:rPr>
          <w:rFonts w:ascii="Garamond" w:hAnsi="Garamond"/>
          <w:sz w:val="24"/>
          <w:szCs w:val="24"/>
        </w:rPr>
        <w:t>‘</w:t>
      </w:r>
      <w:r w:rsidRPr="00C32887">
        <w:rPr>
          <w:rFonts w:ascii="Garamond" w:hAnsi="Garamond"/>
          <w:sz w:val="24"/>
          <w:szCs w:val="24"/>
        </w:rPr>
        <w:t xml:space="preserve">Improving the audit process, </w:t>
      </w:r>
      <w:r w:rsidR="00BE48ED">
        <w:rPr>
          <w:rFonts w:ascii="Garamond" w:hAnsi="Garamond"/>
          <w:sz w:val="24"/>
          <w:szCs w:val="24"/>
        </w:rPr>
        <w:t>build</w:t>
      </w:r>
      <w:r w:rsidRPr="00C32887">
        <w:rPr>
          <w:rFonts w:ascii="Garamond" w:hAnsi="Garamond"/>
          <w:sz w:val="24"/>
          <w:szCs w:val="24"/>
        </w:rPr>
        <w:t xml:space="preserve"> audit</w:t>
      </w:r>
      <w:r w:rsidR="00BE48ED">
        <w:rPr>
          <w:rFonts w:ascii="Garamond" w:hAnsi="Garamond"/>
          <w:sz w:val="24"/>
          <w:szCs w:val="24"/>
        </w:rPr>
        <w:t>or</w:t>
      </w:r>
      <w:r w:rsidRPr="00C32887">
        <w:rPr>
          <w:rFonts w:ascii="Garamond" w:hAnsi="Garamond"/>
          <w:sz w:val="24"/>
          <w:szCs w:val="24"/>
        </w:rPr>
        <w:t xml:space="preserve"> capacity and </w:t>
      </w:r>
      <w:r w:rsidR="006C23DE">
        <w:rPr>
          <w:rFonts w:ascii="Garamond" w:hAnsi="Garamond"/>
          <w:sz w:val="24"/>
          <w:szCs w:val="24"/>
        </w:rPr>
        <w:t xml:space="preserve">increase </w:t>
      </w:r>
      <w:r w:rsidRPr="00C32887">
        <w:rPr>
          <w:rFonts w:ascii="Garamond" w:hAnsi="Garamond"/>
          <w:sz w:val="24"/>
          <w:szCs w:val="24"/>
        </w:rPr>
        <w:t xml:space="preserve">transparency of public </w:t>
      </w:r>
      <w:r w:rsidR="006C23DE">
        <w:rPr>
          <w:rFonts w:ascii="Garamond" w:hAnsi="Garamond"/>
          <w:sz w:val="24"/>
          <w:szCs w:val="24"/>
        </w:rPr>
        <w:t>spending’</w:t>
      </w:r>
      <w:r w:rsidRPr="00C32887">
        <w:rPr>
          <w:rFonts w:ascii="Garamond" w:hAnsi="Garamond"/>
          <w:sz w:val="24"/>
          <w:szCs w:val="24"/>
        </w:rPr>
        <w:t xml:space="preserve"> and the Audit Authority </w:t>
      </w:r>
      <w:r w:rsidR="00C13A74">
        <w:rPr>
          <w:rFonts w:ascii="Garamond" w:hAnsi="Garamond"/>
          <w:sz w:val="24"/>
          <w:szCs w:val="24"/>
        </w:rPr>
        <w:t>‘</w:t>
      </w:r>
      <w:r w:rsidRPr="00C32887">
        <w:rPr>
          <w:rFonts w:ascii="Garamond" w:hAnsi="Garamond"/>
          <w:sz w:val="24"/>
          <w:szCs w:val="24"/>
        </w:rPr>
        <w:t>Strengthening capacit</w:t>
      </w:r>
      <w:r w:rsidR="00BE48ED">
        <w:rPr>
          <w:rFonts w:ascii="Garamond" w:hAnsi="Garamond"/>
          <w:sz w:val="24"/>
          <w:szCs w:val="24"/>
        </w:rPr>
        <w:t>y and improving audit procedure</w:t>
      </w:r>
      <w:r w:rsidR="00C13A74">
        <w:rPr>
          <w:rFonts w:ascii="Garamond" w:hAnsi="Garamond"/>
          <w:sz w:val="24"/>
          <w:szCs w:val="24"/>
        </w:rPr>
        <w:t>’</w:t>
      </w:r>
      <w:r w:rsidRPr="00C32887">
        <w:rPr>
          <w:rFonts w:ascii="Garamond" w:hAnsi="Garamond"/>
          <w:sz w:val="24"/>
          <w:szCs w:val="24"/>
        </w:rPr>
        <w:t xml:space="preserve">. The implementation of this </w:t>
      </w:r>
      <w:r w:rsidR="00624D6E">
        <w:rPr>
          <w:rFonts w:ascii="Garamond" w:hAnsi="Garamond"/>
          <w:sz w:val="24"/>
          <w:szCs w:val="24"/>
        </w:rPr>
        <w:t xml:space="preserve">strategic objective </w:t>
      </w:r>
      <w:r w:rsidRPr="00C32887">
        <w:rPr>
          <w:rFonts w:ascii="Garamond" w:hAnsi="Garamond"/>
          <w:sz w:val="24"/>
          <w:szCs w:val="24"/>
        </w:rPr>
        <w:t xml:space="preserve">is supported through the IPA project </w:t>
      </w:r>
      <w:r w:rsidR="00C13A74">
        <w:rPr>
          <w:rFonts w:ascii="Garamond" w:hAnsi="Garamond"/>
          <w:sz w:val="24"/>
          <w:szCs w:val="24"/>
        </w:rPr>
        <w:t>‘</w:t>
      </w:r>
      <w:r w:rsidRPr="00C32887">
        <w:rPr>
          <w:rFonts w:ascii="Garamond" w:hAnsi="Garamond"/>
          <w:sz w:val="24"/>
          <w:szCs w:val="24"/>
        </w:rPr>
        <w:t>Development and capacity building of the State Audit Institution and the Aud</w:t>
      </w:r>
      <w:r w:rsidR="00BE48ED">
        <w:rPr>
          <w:rFonts w:ascii="Garamond" w:hAnsi="Garamond"/>
          <w:sz w:val="24"/>
          <w:szCs w:val="24"/>
        </w:rPr>
        <w:t>it Authority of Montenegro</w:t>
      </w:r>
      <w:r w:rsidR="00C13A74">
        <w:rPr>
          <w:rFonts w:ascii="Garamond" w:hAnsi="Garamond"/>
          <w:sz w:val="24"/>
          <w:szCs w:val="24"/>
        </w:rPr>
        <w:t>’</w:t>
      </w:r>
      <w:r w:rsidR="00BE48ED">
        <w:rPr>
          <w:rFonts w:ascii="Garamond" w:hAnsi="Garamond"/>
          <w:sz w:val="24"/>
          <w:szCs w:val="24"/>
        </w:rPr>
        <w:t>.</w:t>
      </w:r>
      <w:r w:rsidR="00BE48ED">
        <w:rPr>
          <w:rStyle w:val="FootnoteReference"/>
          <w:rFonts w:ascii="Garamond" w:hAnsi="Garamond"/>
          <w:sz w:val="24"/>
          <w:szCs w:val="24"/>
        </w:rPr>
        <w:footnoteReference w:id="35"/>
      </w:r>
    </w:p>
    <w:p w:rsidR="004D1343" w:rsidRPr="00C32887" w:rsidRDefault="004D1343" w:rsidP="004D1343">
      <w:pPr>
        <w:rPr>
          <w:rFonts w:ascii="Garamond" w:hAnsi="Garamond"/>
          <w:sz w:val="24"/>
          <w:szCs w:val="24"/>
        </w:rPr>
      </w:pPr>
    </w:p>
    <w:p w:rsidR="004D1343" w:rsidRPr="00C32887" w:rsidRDefault="004D1343" w:rsidP="00BE48ED">
      <w:pPr>
        <w:jc w:val="both"/>
        <w:rPr>
          <w:rFonts w:ascii="Garamond" w:hAnsi="Garamond"/>
          <w:sz w:val="24"/>
          <w:szCs w:val="24"/>
        </w:rPr>
      </w:pPr>
      <w:r w:rsidRPr="00C32887">
        <w:rPr>
          <w:rFonts w:ascii="Garamond" w:hAnsi="Garamond"/>
          <w:sz w:val="24"/>
          <w:szCs w:val="24"/>
        </w:rPr>
        <w:t xml:space="preserve">Amendments to the original </w:t>
      </w:r>
      <w:r w:rsidR="00BE48ED" w:rsidRPr="00C32887">
        <w:rPr>
          <w:rFonts w:ascii="Garamond" w:hAnsi="Garamond"/>
          <w:sz w:val="24"/>
          <w:szCs w:val="24"/>
        </w:rPr>
        <w:t>2016-2020</w:t>
      </w:r>
      <w:r w:rsidR="00BE48ED">
        <w:rPr>
          <w:rFonts w:ascii="Garamond" w:hAnsi="Garamond"/>
          <w:sz w:val="24"/>
          <w:szCs w:val="24"/>
        </w:rPr>
        <w:t xml:space="preserve"> Public Finance</w:t>
      </w:r>
      <w:r w:rsidRPr="00C32887">
        <w:rPr>
          <w:rFonts w:ascii="Garamond" w:hAnsi="Garamond"/>
          <w:sz w:val="24"/>
          <w:szCs w:val="24"/>
        </w:rPr>
        <w:t xml:space="preserve"> Management Reform </w:t>
      </w:r>
      <w:r w:rsidR="00AB73F6" w:rsidRPr="00C32887">
        <w:rPr>
          <w:rFonts w:ascii="Garamond" w:hAnsi="Garamond"/>
          <w:sz w:val="24"/>
          <w:szCs w:val="24"/>
        </w:rPr>
        <w:t>Programme</w:t>
      </w:r>
      <w:r w:rsidR="00BE48ED">
        <w:rPr>
          <w:rStyle w:val="FootnoteReference"/>
          <w:rFonts w:ascii="Garamond" w:hAnsi="Garamond"/>
          <w:sz w:val="24"/>
          <w:szCs w:val="24"/>
        </w:rPr>
        <w:footnoteReference w:id="36"/>
      </w:r>
      <w:r w:rsidRPr="00C32887">
        <w:rPr>
          <w:rFonts w:ascii="Garamond" w:hAnsi="Garamond"/>
          <w:sz w:val="24"/>
          <w:szCs w:val="24"/>
        </w:rPr>
        <w:t xml:space="preserve"> </w:t>
      </w:r>
      <w:r w:rsidR="006C23DE">
        <w:rPr>
          <w:rFonts w:ascii="Garamond" w:hAnsi="Garamond"/>
          <w:sz w:val="24"/>
          <w:szCs w:val="24"/>
        </w:rPr>
        <w:t>concerning</w:t>
      </w:r>
      <w:r w:rsidRPr="00C32887">
        <w:rPr>
          <w:rFonts w:ascii="Garamond" w:hAnsi="Garamond"/>
          <w:sz w:val="24"/>
          <w:szCs w:val="24"/>
        </w:rPr>
        <w:t xml:space="preserve"> the State Audit Institution were conditioned by the need for compliance with the strategic goals and activities of the </w:t>
      </w:r>
      <w:r w:rsidR="00BE48ED" w:rsidRPr="00C32887">
        <w:rPr>
          <w:rFonts w:ascii="Garamond" w:hAnsi="Garamond"/>
          <w:sz w:val="24"/>
          <w:szCs w:val="24"/>
        </w:rPr>
        <w:t>2018-2022</w:t>
      </w:r>
      <w:r w:rsidR="00BE48ED">
        <w:rPr>
          <w:rFonts w:ascii="Garamond" w:hAnsi="Garamond"/>
          <w:sz w:val="24"/>
          <w:szCs w:val="24"/>
        </w:rPr>
        <w:t xml:space="preserve"> </w:t>
      </w:r>
      <w:r w:rsidR="00BE48ED" w:rsidRPr="00C32887">
        <w:rPr>
          <w:rFonts w:ascii="Garamond" w:hAnsi="Garamond"/>
          <w:sz w:val="24"/>
          <w:szCs w:val="24"/>
        </w:rPr>
        <w:t xml:space="preserve">SAI </w:t>
      </w:r>
      <w:r w:rsidRPr="00C32887">
        <w:rPr>
          <w:rFonts w:ascii="Garamond" w:hAnsi="Garamond"/>
          <w:sz w:val="24"/>
          <w:szCs w:val="24"/>
        </w:rPr>
        <w:t>Strategic Development Plan, by concreti</w:t>
      </w:r>
      <w:r w:rsidR="00F254DD">
        <w:rPr>
          <w:rFonts w:ascii="Garamond" w:hAnsi="Garamond"/>
          <w:sz w:val="24"/>
          <w:szCs w:val="24"/>
        </w:rPr>
        <w:t>sation</w:t>
      </w:r>
      <w:r w:rsidRPr="00C32887">
        <w:rPr>
          <w:rFonts w:ascii="Garamond" w:hAnsi="Garamond"/>
          <w:sz w:val="24"/>
          <w:szCs w:val="24"/>
        </w:rPr>
        <w:t xml:space="preserve"> of indicators and adaptation to practice, as well as the fact that certain indicators were more </w:t>
      </w:r>
      <w:r w:rsidR="00BE48ED">
        <w:rPr>
          <w:rFonts w:ascii="Garamond" w:hAnsi="Garamond"/>
          <w:sz w:val="24"/>
          <w:szCs w:val="24"/>
        </w:rPr>
        <w:t xml:space="preserve">of </w:t>
      </w:r>
      <w:r w:rsidRPr="00C32887">
        <w:rPr>
          <w:rFonts w:ascii="Garamond" w:hAnsi="Garamond"/>
          <w:sz w:val="24"/>
          <w:szCs w:val="24"/>
        </w:rPr>
        <w:t>activities than indicators.</w:t>
      </w:r>
    </w:p>
    <w:p w:rsidR="004D1343" w:rsidRPr="00C32887" w:rsidRDefault="004D1343" w:rsidP="004D1343">
      <w:pPr>
        <w:rPr>
          <w:rFonts w:ascii="Garamond" w:hAnsi="Garamond"/>
          <w:sz w:val="24"/>
          <w:szCs w:val="24"/>
        </w:rPr>
      </w:pPr>
    </w:p>
    <w:p w:rsidR="004D1343" w:rsidRPr="00C32887" w:rsidRDefault="004D1343" w:rsidP="00BE48ED">
      <w:pPr>
        <w:jc w:val="both"/>
        <w:rPr>
          <w:rFonts w:ascii="Garamond" w:hAnsi="Garamond"/>
          <w:sz w:val="24"/>
          <w:szCs w:val="24"/>
        </w:rPr>
      </w:pPr>
      <w:r w:rsidRPr="00C32887">
        <w:rPr>
          <w:rFonts w:ascii="Garamond" w:hAnsi="Garamond"/>
          <w:sz w:val="24"/>
          <w:szCs w:val="24"/>
        </w:rPr>
        <w:t xml:space="preserve">State Audit Institution in 2019 started the implementation of a large number of activities foreseen in the </w:t>
      </w:r>
      <w:r w:rsidR="00AB73F6" w:rsidRPr="00C32887">
        <w:rPr>
          <w:rFonts w:ascii="Garamond" w:hAnsi="Garamond"/>
          <w:sz w:val="24"/>
          <w:szCs w:val="24"/>
        </w:rPr>
        <w:t>Programme</w:t>
      </w:r>
      <w:r w:rsidRPr="00C32887">
        <w:rPr>
          <w:rFonts w:ascii="Garamond" w:hAnsi="Garamond"/>
          <w:sz w:val="24"/>
          <w:szCs w:val="24"/>
        </w:rPr>
        <w:t xml:space="preserve">, which </w:t>
      </w:r>
      <w:r w:rsidR="009F5F77">
        <w:rPr>
          <w:rFonts w:ascii="Garamond" w:hAnsi="Garamond"/>
          <w:sz w:val="24"/>
          <w:szCs w:val="24"/>
        </w:rPr>
        <w:t>were</w:t>
      </w:r>
      <w:r w:rsidRPr="00C32887">
        <w:rPr>
          <w:rFonts w:ascii="Garamond" w:hAnsi="Garamond"/>
          <w:sz w:val="24"/>
          <w:szCs w:val="24"/>
        </w:rPr>
        <w:t xml:space="preserve"> implemented by the end of 2020</w:t>
      </w:r>
      <w:r w:rsidR="009F5F77">
        <w:rPr>
          <w:rFonts w:ascii="Garamond" w:hAnsi="Garamond"/>
          <w:sz w:val="24"/>
          <w:szCs w:val="24"/>
        </w:rPr>
        <w:t>,</w:t>
      </w:r>
      <w:r w:rsidRPr="00C32887">
        <w:rPr>
          <w:rFonts w:ascii="Garamond" w:hAnsi="Garamond"/>
          <w:sz w:val="24"/>
          <w:szCs w:val="24"/>
        </w:rPr>
        <w:t xml:space="preserve"> and in this connection, there has been progress in meeting the objective </w:t>
      </w:r>
      <w:r w:rsidR="00764F3E">
        <w:rPr>
          <w:rFonts w:ascii="Garamond" w:hAnsi="Garamond"/>
          <w:sz w:val="24"/>
          <w:szCs w:val="24"/>
        </w:rPr>
        <w:t xml:space="preserve">of the State Audit Institution </w:t>
      </w:r>
      <w:r w:rsidR="00C13A74">
        <w:rPr>
          <w:rFonts w:ascii="Garamond" w:hAnsi="Garamond"/>
          <w:sz w:val="24"/>
          <w:szCs w:val="24"/>
        </w:rPr>
        <w:t>‘</w:t>
      </w:r>
      <w:r w:rsidR="00764F3E" w:rsidRPr="00764F3E">
        <w:rPr>
          <w:rFonts w:ascii="Garamond" w:hAnsi="Garamond"/>
          <w:sz w:val="24"/>
          <w:szCs w:val="24"/>
        </w:rPr>
        <w:t>Improve auditing process, build auditor capacities and increase</w:t>
      </w:r>
      <w:r w:rsidR="00764F3E">
        <w:rPr>
          <w:rFonts w:ascii="Garamond" w:hAnsi="Garamond"/>
          <w:sz w:val="24"/>
          <w:szCs w:val="24"/>
        </w:rPr>
        <w:t xml:space="preserve"> transparency of public spending</w:t>
      </w:r>
      <w:r w:rsidR="00C13A74">
        <w:rPr>
          <w:rFonts w:ascii="Garamond" w:hAnsi="Garamond"/>
          <w:sz w:val="24"/>
          <w:szCs w:val="24"/>
        </w:rPr>
        <w:t>’</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6C23DE">
      <w:pPr>
        <w:jc w:val="both"/>
        <w:rPr>
          <w:rFonts w:ascii="Garamond" w:hAnsi="Garamond"/>
          <w:sz w:val="24"/>
          <w:szCs w:val="24"/>
        </w:rPr>
      </w:pPr>
      <w:r w:rsidRPr="00C32887">
        <w:rPr>
          <w:rFonts w:ascii="Garamond" w:hAnsi="Garamond"/>
          <w:sz w:val="24"/>
          <w:szCs w:val="24"/>
        </w:rPr>
        <w:t>A positive trend was achieved in 2020 with two performance indicators, while the reali</w:t>
      </w:r>
      <w:r w:rsidR="00F254DD">
        <w:rPr>
          <w:rFonts w:ascii="Garamond" w:hAnsi="Garamond"/>
          <w:sz w:val="24"/>
          <w:szCs w:val="24"/>
        </w:rPr>
        <w:t>sation</w:t>
      </w:r>
      <w:r w:rsidRPr="00C32887">
        <w:rPr>
          <w:rFonts w:ascii="Garamond" w:hAnsi="Garamond"/>
          <w:sz w:val="24"/>
          <w:szCs w:val="24"/>
        </w:rPr>
        <w:t xml:space="preserve"> of the indicator </w:t>
      </w:r>
      <w:r w:rsidR="00C13A74">
        <w:rPr>
          <w:rFonts w:ascii="Garamond" w:hAnsi="Garamond"/>
          <w:sz w:val="24"/>
          <w:szCs w:val="24"/>
        </w:rPr>
        <w:t>‘</w:t>
      </w:r>
      <w:r w:rsidR="006C23DE">
        <w:rPr>
          <w:rFonts w:ascii="Garamond" w:hAnsi="Garamond"/>
          <w:sz w:val="24"/>
          <w:szCs w:val="24"/>
        </w:rPr>
        <w:t>Level</w:t>
      </w:r>
      <w:r w:rsidRPr="00C32887">
        <w:rPr>
          <w:rFonts w:ascii="Garamond" w:hAnsi="Garamond"/>
          <w:sz w:val="24"/>
          <w:szCs w:val="24"/>
        </w:rPr>
        <w:t xml:space="preserve"> of reali</w:t>
      </w:r>
      <w:r w:rsidR="00F254DD">
        <w:rPr>
          <w:rFonts w:ascii="Garamond" w:hAnsi="Garamond"/>
          <w:sz w:val="24"/>
          <w:szCs w:val="24"/>
        </w:rPr>
        <w:t>sation</w:t>
      </w:r>
      <w:r w:rsidRPr="00C32887">
        <w:rPr>
          <w:rFonts w:ascii="Garamond" w:hAnsi="Garamond"/>
          <w:sz w:val="24"/>
          <w:szCs w:val="24"/>
        </w:rPr>
        <w:t xml:space="preserve"> of the Annual SAI Audit Plan</w:t>
      </w:r>
      <w:r w:rsidR="00C13A74">
        <w:rPr>
          <w:rFonts w:ascii="Garamond" w:hAnsi="Garamond"/>
          <w:sz w:val="24"/>
          <w:szCs w:val="24"/>
        </w:rPr>
        <w:t>’</w:t>
      </w:r>
      <w:r w:rsidRPr="00C32887">
        <w:rPr>
          <w:rFonts w:ascii="Garamond" w:hAnsi="Garamond"/>
          <w:sz w:val="24"/>
          <w:szCs w:val="24"/>
        </w:rPr>
        <w:t xml:space="preserve"> was largely conditioned by the circumstances and the development of the epidemiological situation caused by the COVID-19 virus.</w:t>
      </w:r>
    </w:p>
    <w:p w:rsidR="004D1343" w:rsidRPr="00C32887" w:rsidRDefault="004D1343" w:rsidP="004D1343">
      <w:pPr>
        <w:rPr>
          <w:rFonts w:ascii="Garamond" w:hAnsi="Garamond"/>
          <w:sz w:val="24"/>
          <w:szCs w:val="24"/>
        </w:rPr>
      </w:pPr>
    </w:p>
    <w:p w:rsidR="004D1343" w:rsidRDefault="004D1343"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pPr>
    </w:p>
    <w:p w:rsidR="00764F3E" w:rsidRDefault="00764F3E" w:rsidP="004D1343">
      <w:pPr>
        <w:rPr>
          <w:rFonts w:ascii="Garamond" w:hAnsi="Garamond"/>
          <w:sz w:val="24"/>
          <w:szCs w:val="24"/>
        </w:rPr>
        <w:sectPr w:rsidR="00764F3E" w:rsidSect="00F47279">
          <w:pgSz w:w="12240" w:h="15840"/>
          <w:pgMar w:top="1440" w:right="1440" w:bottom="1440" w:left="1440" w:header="720" w:footer="720" w:gutter="0"/>
          <w:cols w:space="720"/>
          <w:docGrid w:linePitch="360"/>
        </w:sectPr>
      </w:pPr>
    </w:p>
    <w:tbl>
      <w:tblPr>
        <w:tblW w:w="5000" w:type="pct"/>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2930"/>
        <w:gridCol w:w="1713"/>
        <w:gridCol w:w="1784"/>
        <w:gridCol w:w="2026"/>
        <w:gridCol w:w="1716"/>
        <w:gridCol w:w="1971"/>
        <w:gridCol w:w="1036"/>
      </w:tblGrid>
      <w:tr w:rsidR="00764F3E" w:rsidRPr="009461D5" w:rsidTr="00764F3E">
        <w:trPr>
          <w:trHeight w:val="255"/>
          <w:jc w:val="center"/>
        </w:trPr>
        <w:tc>
          <w:tcPr>
            <w:tcW w:w="1112" w:type="pct"/>
            <w:vMerge w:val="restart"/>
            <w:shd w:val="clear" w:color="auto" w:fill="auto"/>
            <w:vAlign w:val="center"/>
            <w:hideMark/>
          </w:tcPr>
          <w:p w:rsidR="00764F3E" w:rsidRPr="009461D5" w:rsidRDefault="009461D5" w:rsidP="00764F3E">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Performance</w:t>
            </w:r>
            <w:r w:rsidR="00764F3E" w:rsidRPr="009461D5">
              <w:rPr>
                <w:rFonts w:ascii="Garamond" w:eastAsia="Times New Roman" w:hAnsi="Garamond" w:cs="Calibri Light"/>
                <w:b/>
                <w:bCs/>
                <w:sz w:val="16"/>
                <w:szCs w:val="16"/>
                <w:lang w:eastAsia="en-US" w:bidi="ar-SA"/>
              </w:rPr>
              <w:t xml:space="preserve"> indicator name </w:t>
            </w:r>
          </w:p>
        </w:tc>
        <w:tc>
          <w:tcPr>
            <w:tcW w:w="650" w:type="pct"/>
            <w:vMerge w:val="restar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Planned 2014</w:t>
            </w:r>
          </w:p>
        </w:tc>
        <w:tc>
          <w:tcPr>
            <w:tcW w:w="1446" w:type="pct"/>
            <w:gridSpan w:val="2"/>
            <w:shd w:val="clear" w:color="auto" w:fill="auto"/>
            <w:noWrap/>
            <w:vAlign w:val="center"/>
            <w:hideMark/>
          </w:tcPr>
          <w:p w:rsidR="00764F3E" w:rsidRPr="009461D5" w:rsidRDefault="00764F3E" w:rsidP="00764F3E">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2019</w:t>
            </w:r>
          </w:p>
        </w:tc>
        <w:tc>
          <w:tcPr>
            <w:tcW w:w="1399" w:type="pct"/>
            <w:gridSpan w:val="2"/>
            <w:shd w:val="clear" w:color="auto" w:fill="auto"/>
            <w:noWrap/>
            <w:vAlign w:val="center"/>
            <w:hideMark/>
          </w:tcPr>
          <w:p w:rsidR="00764F3E" w:rsidRPr="009461D5" w:rsidRDefault="00764F3E" w:rsidP="00764F3E">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2020</w:t>
            </w:r>
          </w:p>
        </w:tc>
        <w:tc>
          <w:tcPr>
            <w:tcW w:w="393" w:type="pct"/>
            <w:vMerge w:val="restar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Trend</w:t>
            </w:r>
          </w:p>
        </w:tc>
      </w:tr>
      <w:tr w:rsidR="00764F3E" w:rsidRPr="009461D5" w:rsidTr="00764F3E">
        <w:trPr>
          <w:trHeight w:val="495"/>
          <w:jc w:val="center"/>
        </w:trPr>
        <w:tc>
          <w:tcPr>
            <w:tcW w:w="1112" w:type="pct"/>
            <w:vMerge/>
            <w:vAlign w:val="center"/>
            <w:hideMark/>
          </w:tcPr>
          <w:p w:rsidR="00764F3E" w:rsidRPr="009461D5" w:rsidRDefault="00764F3E" w:rsidP="00764F3E">
            <w:pPr>
              <w:widowControl/>
              <w:autoSpaceDE/>
              <w:autoSpaceDN/>
              <w:jc w:val="both"/>
              <w:rPr>
                <w:rFonts w:ascii="Garamond" w:eastAsia="Times New Roman" w:hAnsi="Garamond" w:cs="Calibri Light"/>
                <w:b/>
                <w:bCs/>
                <w:sz w:val="16"/>
                <w:szCs w:val="16"/>
                <w:lang w:eastAsia="en-US" w:bidi="ar-SA"/>
              </w:rPr>
            </w:pPr>
          </w:p>
        </w:tc>
        <w:tc>
          <w:tcPr>
            <w:tcW w:w="650" w:type="pct"/>
            <w:vMerge/>
            <w:vAlign w:val="center"/>
            <w:hideMark/>
          </w:tcPr>
          <w:p w:rsidR="00764F3E" w:rsidRPr="009461D5" w:rsidRDefault="00764F3E" w:rsidP="00764F3E">
            <w:pPr>
              <w:widowControl/>
              <w:autoSpaceDE/>
              <w:autoSpaceDN/>
              <w:jc w:val="both"/>
              <w:rPr>
                <w:rFonts w:ascii="Garamond" w:eastAsia="Times New Roman" w:hAnsi="Garamond" w:cs="Calibri Light"/>
                <w:b/>
                <w:bCs/>
                <w:sz w:val="16"/>
                <w:szCs w:val="16"/>
                <w:lang w:eastAsia="en-US" w:bidi="ar-SA"/>
              </w:rPr>
            </w:pPr>
          </w:p>
        </w:tc>
        <w:tc>
          <w:tcPr>
            <w:tcW w:w="677" w:type="pc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Target value</w:t>
            </w:r>
          </w:p>
        </w:tc>
        <w:tc>
          <w:tcPr>
            <w:tcW w:w="769" w:type="pc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Implemented</w:t>
            </w:r>
          </w:p>
        </w:tc>
        <w:tc>
          <w:tcPr>
            <w:tcW w:w="651" w:type="pct"/>
            <w:shd w:val="clear" w:color="auto" w:fill="auto"/>
            <w:vAlign w:val="center"/>
            <w:hideMark/>
          </w:tcPr>
          <w:p w:rsidR="00764F3E" w:rsidRPr="009461D5" w:rsidRDefault="00764F3E" w:rsidP="00F51074">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Target value</w:t>
            </w:r>
          </w:p>
        </w:tc>
        <w:tc>
          <w:tcPr>
            <w:tcW w:w="748" w:type="pct"/>
            <w:shd w:val="clear" w:color="auto" w:fill="auto"/>
            <w:vAlign w:val="center"/>
            <w:hideMark/>
          </w:tcPr>
          <w:p w:rsidR="00764F3E" w:rsidRPr="009461D5" w:rsidRDefault="00764F3E" w:rsidP="00F51074">
            <w:pPr>
              <w:widowControl/>
              <w:autoSpaceDE/>
              <w:autoSpaceDN/>
              <w:jc w:val="center"/>
              <w:rPr>
                <w:rFonts w:ascii="Garamond" w:eastAsia="Times New Roman" w:hAnsi="Garamond" w:cs="Calibri Light"/>
                <w:b/>
                <w:bCs/>
                <w:sz w:val="16"/>
                <w:szCs w:val="16"/>
                <w:lang w:eastAsia="en-US" w:bidi="ar-SA"/>
              </w:rPr>
            </w:pPr>
            <w:r w:rsidRPr="009461D5">
              <w:rPr>
                <w:rFonts w:ascii="Garamond" w:eastAsia="Times New Roman" w:hAnsi="Garamond" w:cs="Calibri Light"/>
                <w:b/>
                <w:bCs/>
                <w:sz w:val="16"/>
                <w:szCs w:val="16"/>
                <w:lang w:eastAsia="en-US" w:bidi="ar-SA"/>
              </w:rPr>
              <w:t>Implemented</w:t>
            </w:r>
          </w:p>
        </w:tc>
        <w:tc>
          <w:tcPr>
            <w:tcW w:w="393" w:type="pct"/>
            <w:vMerge/>
            <w:vAlign w:val="center"/>
            <w:hideMark/>
          </w:tcPr>
          <w:p w:rsidR="00764F3E" w:rsidRPr="009461D5" w:rsidRDefault="00764F3E" w:rsidP="00764F3E">
            <w:pPr>
              <w:widowControl/>
              <w:autoSpaceDE/>
              <w:autoSpaceDN/>
              <w:jc w:val="both"/>
              <w:rPr>
                <w:rFonts w:ascii="Garamond" w:eastAsia="Times New Roman" w:hAnsi="Garamond" w:cs="Calibri Light"/>
                <w:b/>
                <w:bCs/>
                <w:sz w:val="16"/>
                <w:szCs w:val="16"/>
                <w:lang w:eastAsia="en-US" w:bidi="ar-SA"/>
              </w:rPr>
            </w:pPr>
          </w:p>
        </w:tc>
      </w:tr>
      <w:tr w:rsidR="00764F3E" w:rsidRPr="009461D5" w:rsidTr="00764F3E">
        <w:trPr>
          <w:trHeight w:val="480"/>
          <w:jc w:val="center"/>
        </w:trPr>
        <w:tc>
          <w:tcPr>
            <w:tcW w:w="1112" w:type="pct"/>
            <w:shd w:val="clear" w:color="auto" w:fill="auto"/>
            <w:vAlign w:val="center"/>
            <w:hideMark/>
          </w:tcPr>
          <w:p w:rsidR="00764F3E" w:rsidRPr="009461D5" w:rsidRDefault="00764F3E" w:rsidP="00764F3E">
            <w:pPr>
              <w:pStyle w:val="Default"/>
              <w:jc w:val="both"/>
              <w:rPr>
                <w:rFonts w:ascii="Garamond" w:hAnsi="Garamond"/>
                <w:sz w:val="16"/>
                <w:szCs w:val="16"/>
              </w:rPr>
            </w:pPr>
            <w:r w:rsidRPr="009461D5">
              <w:rPr>
                <w:rFonts w:ascii="Garamond" w:hAnsi="Garamond"/>
                <w:iCs/>
                <w:sz w:val="16"/>
                <w:szCs w:val="16"/>
              </w:rPr>
              <w:t>Level of realisation of SAI</w:t>
            </w:r>
            <w:r w:rsidR="00C13A74" w:rsidRPr="009461D5">
              <w:rPr>
                <w:rFonts w:ascii="Garamond" w:hAnsi="Garamond"/>
                <w:iCs/>
                <w:sz w:val="16"/>
                <w:szCs w:val="16"/>
              </w:rPr>
              <w:t>’</w:t>
            </w:r>
            <w:r w:rsidRPr="009461D5">
              <w:rPr>
                <w:rFonts w:ascii="Garamond" w:hAnsi="Garamond"/>
                <w:iCs/>
                <w:sz w:val="16"/>
                <w:szCs w:val="16"/>
              </w:rPr>
              <w:t xml:space="preserve">s Annual Audit Plan </w:t>
            </w:r>
          </w:p>
          <w:p w:rsidR="00764F3E" w:rsidRPr="009461D5" w:rsidRDefault="00764F3E" w:rsidP="00764F3E">
            <w:pPr>
              <w:widowControl/>
              <w:autoSpaceDE/>
              <w:autoSpaceDN/>
              <w:jc w:val="both"/>
              <w:rPr>
                <w:rFonts w:ascii="Garamond" w:eastAsia="Times New Roman" w:hAnsi="Garamond" w:cs="Calibri Light"/>
                <w:color w:val="000000"/>
                <w:sz w:val="16"/>
                <w:szCs w:val="16"/>
                <w:lang w:eastAsia="en-US" w:bidi="ar-SA"/>
              </w:rPr>
            </w:pPr>
          </w:p>
        </w:tc>
        <w:tc>
          <w:tcPr>
            <w:tcW w:w="650" w:type="pc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60%</w:t>
            </w:r>
          </w:p>
        </w:tc>
        <w:tc>
          <w:tcPr>
            <w:tcW w:w="677" w:type="pc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86%</w:t>
            </w:r>
          </w:p>
        </w:tc>
        <w:tc>
          <w:tcPr>
            <w:tcW w:w="769" w:type="pc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88,68%</w:t>
            </w:r>
          </w:p>
        </w:tc>
        <w:tc>
          <w:tcPr>
            <w:tcW w:w="651" w:type="pc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90%</w:t>
            </w:r>
          </w:p>
        </w:tc>
        <w:tc>
          <w:tcPr>
            <w:tcW w:w="748" w:type="pc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72,50%</w:t>
            </w:r>
          </w:p>
        </w:tc>
        <w:tc>
          <w:tcPr>
            <w:tcW w:w="393" w:type="pct"/>
            <w:shd w:val="clear" w:color="auto" w:fill="FFFFFF"/>
            <w:vAlign w:val="center"/>
            <w:hideMark/>
          </w:tcPr>
          <w:p w:rsidR="00764F3E" w:rsidRPr="009461D5" w:rsidRDefault="00764F3E" w:rsidP="00764F3E">
            <w:pPr>
              <w:widowControl/>
              <w:autoSpaceDE/>
              <w:autoSpaceDN/>
              <w:jc w:val="center"/>
              <w:rPr>
                <w:rFonts w:ascii="Garamond" w:eastAsia="Times New Roman" w:hAnsi="Garamond" w:cs="Calibri Light"/>
                <w:color w:val="00B050"/>
                <w:sz w:val="16"/>
                <w:szCs w:val="16"/>
                <w:lang w:eastAsia="en-US" w:bidi="ar-SA"/>
              </w:rPr>
            </w:pPr>
            <w:r w:rsidRPr="009461D5">
              <w:rPr>
                <w:rFonts w:ascii="Garamond" w:eastAsia="游明朝" w:hAnsi="Garamond" w:cs="Calibri Light"/>
                <w:noProof/>
                <w:sz w:val="16"/>
                <w:szCs w:val="16"/>
                <w:lang w:eastAsia="ja-JP" w:bidi="ar-SA"/>
              </w:rPr>
              <w:drawing>
                <wp:inline distT="0" distB="0" distL="0" distR="0">
                  <wp:extent cx="257175" cy="238125"/>
                  <wp:effectExtent l="0" t="0" r="9525" b="9525"/>
                  <wp:docPr id="21" name="Picture 3" descr="Description: Description: C:\Users\owner\Desktop\crv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escription: Description: C:\Users\owner\Desktop\crvena strelica - manja.png"/>
                          <pic:cNvPicPr>
                            <a:picLocks noChangeAspect="1" noChangeArrowheads="1"/>
                          </pic:cNvPicPr>
                        </pic:nvPicPr>
                        <pic:blipFill>
                          <a:blip r:embed="rId14"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57175" cy="238125"/>
                          </a:xfrm>
                          <a:prstGeom prst="rect">
                            <a:avLst/>
                          </a:prstGeom>
                          <a:noFill/>
                          <a:ln>
                            <a:noFill/>
                          </a:ln>
                        </pic:spPr>
                      </pic:pic>
                    </a:graphicData>
                  </a:graphic>
                </wp:inline>
              </w:drawing>
            </w:r>
          </w:p>
        </w:tc>
      </w:tr>
      <w:tr w:rsidR="00764F3E" w:rsidRPr="009461D5" w:rsidTr="00764F3E">
        <w:trPr>
          <w:trHeight w:val="480"/>
          <w:jc w:val="center"/>
        </w:trPr>
        <w:tc>
          <w:tcPr>
            <w:tcW w:w="1112" w:type="pct"/>
            <w:shd w:val="clear" w:color="auto" w:fill="auto"/>
            <w:vAlign w:val="center"/>
          </w:tcPr>
          <w:p w:rsidR="00764F3E" w:rsidRPr="009461D5" w:rsidRDefault="00764F3E" w:rsidP="00764F3E">
            <w:pPr>
              <w:pStyle w:val="Default"/>
              <w:jc w:val="both"/>
              <w:rPr>
                <w:rFonts w:ascii="Garamond" w:hAnsi="Garamond"/>
                <w:sz w:val="16"/>
                <w:szCs w:val="16"/>
              </w:rPr>
            </w:pPr>
            <w:r w:rsidRPr="009461D5">
              <w:rPr>
                <w:rFonts w:ascii="Garamond" w:hAnsi="Garamond"/>
                <w:iCs/>
                <w:sz w:val="16"/>
                <w:szCs w:val="16"/>
              </w:rPr>
              <w:t xml:space="preserve">Application of ISSAI-compliant methodology for financial, regularity and performance audits </w:t>
            </w:r>
          </w:p>
          <w:p w:rsidR="00764F3E" w:rsidRPr="009461D5" w:rsidRDefault="00764F3E" w:rsidP="00764F3E">
            <w:pPr>
              <w:widowControl/>
              <w:autoSpaceDE/>
              <w:autoSpaceDN/>
              <w:jc w:val="both"/>
              <w:rPr>
                <w:rFonts w:ascii="Garamond" w:eastAsia="Times New Roman" w:hAnsi="Garamond" w:cs="Calibri Light"/>
                <w:color w:val="000000"/>
                <w:sz w:val="16"/>
                <w:szCs w:val="16"/>
                <w:lang w:eastAsia="en-US" w:bidi="ar-SA"/>
              </w:rPr>
            </w:pPr>
          </w:p>
        </w:tc>
        <w:tc>
          <w:tcPr>
            <w:tcW w:w="650" w:type="pct"/>
            <w:shd w:val="clear" w:color="auto" w:fill="auto"/>
            <w:vAlign w:val="center"/>
          </w:tcPr>
          <w:p w:rsidR="001B3E6E" w:rsidRPr="009461D5" w:rsidRDefault="00764F3E" w:rsidP="00764F3E">
            <w:pPr>
              <w:widowControl/>
              <w:autoSpaceDE/>
              <w:autoSpaceDN/>
              <w:jc w:val="both"/>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 xml:space="preserve">2015 – Methodological Instruction for financial and regularity audits compliant with ISSAI 200 and ISSAI 400, </w:t>
            </w:r>
          </w:p>
          <w:p w:rsidR="00764F3E" w:rsidRPr="009461D5" w:rsidRDefault="00764F3E" w:rsidP="00764F3E">
            <w:pPr>
              <w:widowControl/>
              <w:autoSpaceDE/>
              <w:autoSpaceDN/>
              <w:jc w:val="both"/>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Methodological Instruction for performance audits compliant with ISSAI 300 and Guidelines for Audit Quality Control</w:t>
            </w:r>
          </w:p>
        </w:tc>
        <w:tc>
          <w:tcPr>
            <w:tcW w:w="677" w:type="pct"/>
            <w:shd w:val="clear" w:color="auto" w:fill="auto"/>
            <w:vAlign w:val="center"/>
          </w:tcPr>
          <w:p w:rsidR="00764F3E" w:rsidRPr="009461D5" w:rsidRDefault="001B3E6E" w:rsidP="00764F3E">
            <w:pPr>
              <w:widowControl/>
              <w:autoSpaceDE/>
              <w:autoSpaceDN/>
              <w:jc w:val="both"/>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n / a The activities listed in the action plan start from Q1 2019</w:t>
            </w:r>
          </w:p>
        </w:tc>
        <w:tc>
          <w:tcPr>
            <w:tcW w:w="769" w:type="pct"/>
            <w:shd w:val="clear" w:color="auto" w:fill="auto"/>
            <w:vAlign w:val="center"/>
          </w:tcPr>
          <w:p w:rsidR="001B3E6E" w:rsidRPr="009461D5" w:rsidRDefault="001B3E6E" w:rsidP="001B3E6E">
            <w:pPr>
              <w:widowControl/>
              <w:autoSpaceDE/>
              <w:autoSpaceDN/>
              <w:jc w:val="both"/>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 xml:space="preserve"> Manual for Performance Audits compliant with ISSAI 4th level adopted in December 2019.</w:t>
            </w:r>
          </w:p>
          <w:p w:rsidR="00764F3E" w:rsidRPr="009461D5" w:rsidRDefault="00764F3E" w:rsidP="001B3E6E">
            <w:pPr>
              <w:widowControl/>
              <w:autoSpaceDE/>
              <w:autoSpaceDN/>
              <w:jc w:val="both"/>
              <w:rPr>
                <w:rFonts w:ascii="Garamond" w:eastAsia="Times New Roman" w:hAnsi="Garamond" w:cs="Calibri Light"/>
                <w:color w:val="000000"/>
                <w:sz w:val="16"/>
                <w:szCs w:val="16"/>
                <w:lang w:eastAsia="en-US" w:bidi="ar-SA"/>
              </w:rPr>
            </w:pPr>
          </w:p>
        </w:tc>
        <w:tc>
          <w:tcPr>
            <w:tcW w:w="651" w:type="pct"/>
            <w:shd w:val="clear" w:color="auto" w:fill="auto"/>
            <w:vAlign w:val="center"/>
          </w:tcPr>
          <w:p w:rsidR="001B3E6E" w:rsidRPr="009461D5" w:rsidRDefault="001B3E6E" w:rsidP="001B3E6E">
            <w:pPr>
              <w:widowControl/>
              <w:autoSpaceDE/>
              <w:autoSpaceDN/>
              <w:jc w:val="center"/>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 xml:space="preserve">  Manual for Financial and Regularity Audits compliant with ISSAI 4th level adopted and applied</w:t>
            </w:r>
          </w:p>
          <w:p w:rsidR="001B3E6E" w:rsidRPr="009461D5" w:rsidRDefault="001B3E6E" w:rsidP="001B3E6E">
            <w:pPr>
              <w:widowControl/>
              <w:autoSpaceDE/>
              <w:autoSpaceDN/>
              <w:jc w:val="center"/>
              <w:rPr>
                <w:rFonts w:ascii="Garamond" w:eastAsia="Times New Roman" w:hAnsi="Garamond" w:cs="Calibri Light"/>
                <w:color w:val="000000"/>
                <w:sz w:val="16"/>
                <w:szCs w:val="16"/>
                <w:lang w:eastAsia="en-US" w:bidi="ar-SA"/>
              </w:rPr>
            </w:pPr>
          </w:p>
          <w:p w:rsidR="001B3E6E" w:rsidRPr="009461D5" w:rsidRDefault="001B3E6E" w:rsidP="001B3E6E">
            <w:pPr>
              <w:pStyle w:val="Default"/>
              <w:jc w:val="center"/>
              <w:rPr>
                <w:rFonts w:ascii="Garamond" w:hAnsi="Garamond"/>
                <w:sz w:val="16"/>
                <w:szCs w:val="16"/>
              </w:rPr>
            </w:pPr>
            <w:r w:rsidRPr="009461D5">
              <w:rPr>
                <w:rFonts w:ascii="Garamond" w:hAnsi="Garamond"/>
                <w:iCs/>
                <w:sz w:val="16"/>
                <w:szCs w:val="16"/>
              </w:rPr>
              <w:t xml:space="preserve">Manual for Performance Audits compliant with ISSAI 4th level upgraded and applied. </w:t>
            </w:r>
          </w:p>
          <w:p w:rsidR="001B3E6E" w:rsidRPr="009461D5" w:rsidRDefault="001B3E6E" w:rsidP="001B3E6E">
            <w:pPr>
              <w:widowControl/>
              <w:autoSpaceDE/>
              <w:autoSpaceDN/>
              <w:jc w:val="center"/>
              <w:rPr>
                <w:rFonts w:ascii="Garamond" w:eastAsia="Times New Roman" w:hAnsi="Garamond" w:cs="Calibri Light"/>
                <w:color w:val="000000"/>
                <w:sz w:val="16"/>
                <w:szCs w:val="16"/>
                <w:lang w:eastAsia="en-US" w:bidi="ar-SA"/>
              </w:rPr>
            </w:pPr>
          </w:p>
          <w:p w:rsidR="001B3E6E" w:rsidRPr="009461D5" w:rsidRDefault="001B3E6E" w:rsidP="001B3E6E">
            <w:pPr>
              <w:widowControl/>
              <w:autoSpaceDE/>
              <w:autoSpaceDN/>
              <w:jc w:val="center"/>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 xml:space="preserve">Guide for Monitoring the Implementation of Recommendations from Audit Reports adopted </w:t>
            </w:r>
          </w:p>
          <w:p w:rsidR="00764F3E" w:rsidRPr="009461D5" w:rsidRDefault="009461D5" w:rsidP="00764F3E">
            <w:pPr>
              <w:widowControl/>
              <w:autoSpaceDE/>
              <w:autoSpaceDN/>
              <w:jc w:val="center"/>
              <w:rPr>
                <w:rFonts w:ascii="Garamond" w:eastAsia="Times New Roman" w:hAnsi="Garamond" w:cs="Calibri Light"/>
                <w:color w:val="000000"/>
                <w:sz w:val="16"/>
                <w:szCs w:val="16"/>
                <w:lang w:eastAsia="en-US" w:bidi="ar-SA"/>
              </w:rPr>
            </w:pPr>
            <w:r>
              <w:rPr>
                <w:rFonts w:ascii="Garamond" w:eastAsia="Times New Roman" w:hAnsi="Garamond" w:cs="Calibri Light"/>
                <w:color w:val="000000"/>
                <w:sz w:val="16"/>
                <w:szCs w:val="16"/>
                <w:lang w:eastAsia="en-US" w:bidi="ar-SA"/>
              </w:rPr>
              <w:t>and applied</w:t>
            </w:r>
          </w:p>
        </w:tc>
        <w:tc>
          <w:tcPr>
            <w:tcW w:w="748" w:type="pct"/>
            <w:shd w:val="clear" w:color="auto" w:fill="auto"/>
            <w:vAlign w:val="center"/>
          </w:tcPr>
          <w:p w:rsidR="001B3E6E" w:rsidRPr="009461D5" w:rsidRDefault="001B3E6E" w:rsidP="001B3E6E">
            <w:pPr>
              <w:widowControl/>
              <w:autoSpaceDE/>
              <w:autoSpaceDN/>
              <w:spacing w:after="120"/>
              <w:jc w:val="both"/>
              <w:rPr>
                <w:rFonts w:ascii="Garamond" w:eastAsia="Times New Roman" w:hAnsi="Garamond" w:cs="Calibri Light"/>
                <w:sz w:val="16"/>
                <w:szCs w:val="16"/>
                <w:lang w:eastAsia="en-US" w:bidi="ar-SA"/>
              </w:rPr>
            </w:pPr>
            <w:r w:rsidRPr="009461D5">
              <w:rPr>
                <w:rFonts w:ascii="Garamond" w:eastAsia="Times New Roman" w:hAnsi="Garamond" w:cs="Calibri Light"/>
                <w:sz w:val="16"/>
                <w:szCs w:val="16"/>
                <w:lang w:eastAsia="en-US" w:bidi="ar-SA"/>
              </w:rPr>
              <w:t>Manual for Financial and Regularity Audits compliant with ISSAI 4th level adopted in July 2020 and applied.</w:t>
            </w:r>
          </w:p>
          <w:p w:rsidR="001B3E6E" w:rsidRPr="009461D5" w:rsidRDefault="001B3E6E" w:rsidP="001B3E6E">
            <w:pPr>
              <w:widowControl/>
              <w:autoSpaceDE/>
              <w:autoSpaceDN/>
              <w:spacing w:after="120"/>
              <w:jc w:val="both"/>
              <w:rPr>
                <w:rFonts w:ascii="Garamond" w:eastAsia="Times New Roman" w:hAnsi="Garamond" w:cs="Calibri Light"/>
                <w:sz w:val="16"/>
                <w:szCs w:val="16"/>
                <w:lang w:eastAsia="en-US" w:bidi="ar-SA"/>
              </w:rPr>
            </w:pPr>
            <w:r w:rsidRPr="009461D5">
              <w:rPr>
                <w:rFonts w:ascii="Garamond" w:eastAsia="Times New Roman" w:hAnsi="Garamond" w:cs="Calibri Light"/>
                <w:sz w:val="16"/>
                <w:szCs w:val="16"/>
                <w:lang w:eastAsia="en-US" w:bidi="ar-SA"/>
              </w:rPr>
              <w:t>Manual for Performance Audits compliant with ISSAI 4th level adopted in December 2019 and applied</w:t>
            </w:r>
          </w:p>
          <w:p w:rsidR="001B3E6E" w:rsidRPr="009461D5" w:rsidRDefault="001B3E6E" w:rsidP="001B3E6E">
            <w:pPr>
              <w:widowControl/>
              <w:autoSpaceDE/>
              <w:autoSpaceDN/>
              <w:spacing w:after="120"/>
              <w:jc w:val="both"/>
              <w:rPr>
                <w:rFonts w:ascii="Garamond" w:eastAsia="Times New Roman" w:hAnsi="Garamond" w:cs="Calibri Light"/>
                <w:sz w:val="16"/>
                <w:szCs w:val="16"/>
                <w:lang w:eastAsia="en-US" w:bidi="ar-SA"/>
              </w:rPr>
            </w:pPr>
            <w:r w:rsidRPr="009461D5">
              <w:rPr>
                <w:rFonts w:ascii="Garamond" w:eastAsia="Times New Roman" w:hAnsi="Garamond" w:cs="Calibri Light"/>
                <w:sz w:val="16"/>
                <w:szCs w:val="16"/>
                <w:lang w:eastAsia="en-US" w:bidi="ar-SA"/>
              </w:rPr>
              <w:t>Guide for Monitoring the Implementation of Recommendations from Audit Reports adopted in June 2020 and applied</w:t>
            </w:r>
          </w:p>
          <w:p w:rsidR="00764F3E" w:rsidRPr="009461D5" w:rsidRDefault="00764F3E" w:rsidP="00764F3E">
            <w:pPr>
              <w:widowControl/>
              <w:autoSpaceDE/>
              <w:autoSpaceDN/>
              <w:spacing w:after="120"/>
              <w:jc w:val="both"/>
              <w:rPr>
                <w:rFonts w:ascii="Garamond" w:eastAsia="Times New Roman" w:hAnsi="Garamond" w:cs="Calibri Light"/>
                <w:sz w:val="16"/>
                <w:szCs w:val="16"/>
                <w:lang w:eastAsia="en-US" w:bidi="ar-SA"/>
              </w:rPr>
            </w:pPr>
          </w:p>
        </w:tc>
        <w:tc>
          <w:tcPr>
            <w:tcW w:w="393" w:type="pct"/>
            <w:shd w:val="clear" w:color="auto" w:fill="auto"/>
            <w:vAlign w:val="center"/>
          </w:tcPr>
          <w:p w:rsidR="00764F3E" w:rsidRPr="009461D5" w:rsidRDefault="00764F3E" w:rsidP="00764F3E">
            <w:pPr>
              <w:widowControl/>
              <w:autoSpaceDE/>
              <w:autoSpaceDN/>
              <w:jc w:val="center"/>
              <w:rPr>
                <w:rFonts w:ascii="Garamond" w:eastAsia="游明朝" w:hAnsi="Garamond" w:cs="Calibri Light"/>
                <w:noProof/>
                <w:sz w:val="16"/>
                <w:szCs w:val="16"/>
                <w:lang w:eastAsia="en-GB" w:bidi="ar-SA"/>
              </w:rPr>
            </w:pPr>
            <w:r w:rsidRPr="009461D5">
              <w:rPr>
                <w:rFonts w:ascii="Garamond" w:eastAsia="游明朝" w:hAnsi="Garamond" w:cs="Calibri Light"/>
                <w:noProof/>
                <w:sz w:val="16"/>
                <w:szCs w:val="16"/>
                <w:lang w:eastAsia="ja-JP" w:bidi="ar-SA"/>
              </w:rPr>
              <w:drawing>
                <wp:inline distT="0" distB="0" distL="0" distR="0">
                  <wp:extent cx="276225" cy="233680"/>
                  <wp:effectExtent l="0" t="0" r="9525" b="0"/>
                  <wp:docPr id="22" name="Picture 54" descr="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764F3E" w:rsidRPr="009461D5" w:rsidTr="00764F3E">
        <w:trPr>
          <w:trHeight w:val="465"/>
          <w:jc w:val="center"/>
        </w:trPr>
        <w:tc>
          <w:tcPr>
            <w:tcW w:w="1112" w:type="pct"/>
            <w:shd w:val="clear" w:color="auto" w:fill="auto"/>
            <w:vAlign w:val="center"/>
            <w:hideMark/>
          </w:tcPr>
          <w:p w:rsidR="00764F3E" w:rsidRPr="009461D5" w:rsidRDefault="00764F3E" w:rsidP="00764F3E">
            <w:pPr>
              <w:pStyle w:val="Default"/>
              <w:rPr>
                <w:rFonts w:ascii="Garamond" w:hAnsi="Garamond"/>
                <w:sz w:val="16"/>
                <w:szCs w:val="16"/>
              </w:rPr>
            </w:pPr>
            <w:r w:rsidRPr="009461D5">
              <w:rPr>
                <w:rFonts w:ascii="Garamond" w:hAnsi="Garamond"/>
                <w:iCs/>
                <w:sz w:val="16"/>
                <w:szCs w:val="16"/>
              </w:rPr>
              <w:t xml:space="preserve">No of trainings/seminars/ workshops for auditors delivered </w:t>
            </w:r>
          </w:p>
          <w:p w:rsidR="00764F3E" w:rsidRPr="009461D5" w:rsidRDefault="00764F3E" w:rsidP="00764F3E">
            <w:pPr>
              <w:widowControl/>
              <w:autoSpaceDE/>
              <w:autoSpaceDN/>
              <w:rPr>
                <w:rFonts w:ascii="Garamond" w:eastAsia="Times New Roman" w:hAnsi="Garamond" w:cs="Calibri Light"/>
                <w:color w:val="000000"/>
                <w:sz w:val="16"/>
                <w:szCs w:val="16"/>
                <w:lang w:eastAsia="en-US" w:bidi="ar-SA"/>
              </w:rPr>
            </w:pPr>
          </w:p>
        </w:tc>
        <w:tc>
          <w:tcPr>
            <w:tcW w:w="650" w:type="pct"/>
            <w:shd w:val="clear" w:color="auto" w:fill="auto"/>
            <w:vAlign w:val="center"/>
            <w:hideMark/>
          </w:tcPr>
          <w:p w:rsidR="00764F3E" w:rsidRPr="009461D5" w:rsidRDefault="00764F3E" w:rsidP="00764F3E">
            <w:pPr>
              <w:pStyle w:val="Default"/>
              <w:jc w:val="both"/>
              <w:rPr>
                <w:rFonts w:ascii="Garamond" w:hAnsi="Garamond"/>
                <w:sz w:val="16"/>
                <w:szCs w:val="16"/>
              </w:rPr>
            </w:pPr>
            <w:r w:rsidRPr="009461D5">
              <w:rPr>
                <w:rFonts w:ascii="Garamond" w:hAnsi="Garamond"/>
                <w:iCs/>
                <w:sz w:val="16"/>
                <w:szCs w:val="16"/>
              </w:rPr>
              <w:t xml:space="preserve">Minimum 3 trainings delivered </w:t>
            </w:r>
          </w:p>
          <w:p w:rsidR="00764F3E" w:rsidRPr="009461D5" w:rsidRDefault="00764F3E" w:rsidP="00764F3E">
            <w:pPr>
              <w:widowControl/>
              <w:autoSpaceDE/>
              <w:autoSpaceDN/>
              <w:jc w:val="both"/>
              <w:rPr>
                <w:rFonts w:ascii="Garamond" w:eastAsia="Times New Roman" w:hAnsi="Garamond" w:cs="Calibri Light"/>
                <w:color w:val="000000"/>
                <w:sz w:val="16"/>
                <w:szCs w:val="16"/>
                <w:lang w:eastAsia="en-US" w:bidi="ar-SA"/>
              </w:rPr>
            </w:pPr>
          </w:p>
        </w:tc>
        <w:tc>
          <w:tcPr>
            <w:tcW w:w="677" w:type="pct"/>
            <w:shd w:val="clear" w:color="auto" w:fill="auto"/>
            <w:vAlign w:val="center"/>
            <w:hideMark/>
          </w:tcPr>
          <w:p w:rsidR="00764F3E" w:rsidRPr="009461D5" w:rsidRDefault="00764F3E" w:rsidP="00764F3E">
            <w:pPr>
              <w:pStyle w:val="Default"/>
              <w:jc w:val="both"/>
              <w:rPr>
                <w:rFonts w:ascii="Garamond" w:hAnsi="Garamond"/>
                <w:sz w:val="16"/>
                <w:szCs w:val="16"/>
              </w:rPr>
            </w:pPr>
            <w:r w:rsidRPr="009461D5">
              <w:rPr>
                <w:rFonts w:ascii="Garamond" w:hAnsi="Garamond"/>
                <w:iCs/>
                <w:sz w:val="16"/>
                <w:szCs w:val="16"/>
              </w:rPr>
              <w:t xml:space="preserve">7 additional trainings delivered </w:t>
            </w:r>
          </w:p>
          <w:p w:rsidR="00764F3E" w:rsidRPr="009461D5" w:rsidRDefault="00764F3E" w:rsidP="00764F3E">
            <w:pPr>
              <w:widowControl/>
              <w:autoSpaceDE/>
              <w:autoSpaceDN/>
              <w:jc w:val="both"/>
              <w:rPr>
                <w:rFonts w:ascii="Garamond" w:eastAsia="Times New Roman" w:hAnsi="Garamond" w:cs="Calibri Light"/>
                <w:color w:val="000000"/>
                <w:sz w:val="16"/>
                <w:szCs w:val="16"/>
                <w:lang w:eastAsia="en-US" w:bidi="ar-SA"/>
              </w:rPr>
            </w:pPr>
          </w:p>
        </w:tc>
        <w:tc>
          <w:tcPr>
            <w:tcW w:w="769" w:type="pct"/>
            <w:shd w:val="clear" w:color="auto" w:fill="auto"/>
            <w:vAlign w:val="center"/>
            <w:hideMark/>
          </w:tcPr>
          <w:p w:rsidR="00764F3E" w:rsidRPr="009461D5" w:rsidRDefault="00D17861" w:rsidP="00764F3E">
            <w:pPr>
              <w:widowControl/>
              <w:autoSpaceDE/>
              <w:autoSpaceDN/>
              <w:jc w:val="both"/>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 xml:space="preserve">13 Trainings (3 internally </w:t>
            </w:r>
            <w:r w:rsidR="00D2080A">
              <w:rPr>
                <w:rFonts w:ascii="Garamond" w:eastAsia="Times New Roman" w:hAnsi="Garamond" w:cs="Calibri Light"/>
                <w:color w:val="000000"/>
                <w:sz w:val="16"/>
                <w:szCs w:val="16"/>
                <w:lang w:eastAsia="en-US" w:bidi="ar-SA"/>
              </w:rPr>
              <w:t>organised</w:t>
            </w:r>
            <w:r w:rsidRPr="009461D5">
              <w:rPr>
                <w:rFonts w:ascii="Garamond" w:eastAsia="Times New Roman" w:hAnsi="Garamond" w:cs="Calibri Light"/>
                <w:color w:val="000000"/>
                <w:sz w:val="16"/>
                <w:szCs w:val="16"/>
                <w:lang w:eastAsia="en-US" w:bidi="ar-SA"/>
              </w:rPr>
              <w:t xml:space="preserve"> and 10 regionally and internationally)</w:t>
            </w:r>
          </w:p>
        </w:tc>
        <w:tc>
          <w:tcPr>
            <w:tcW w:w="651" w:type="pct"/>
            <w:shd w:val="clear" w:color="auto" w:fill="auto"/>
            <w:vAlign w:val="center"/>
            <w:hideMark/>
          </w:tcPr>
          <w:p w:rsidR="00764F3E" w:rsidRPr="009461D5" w:rsidRDefault="00D17861" w:rsidP="00D17861">
            <w:pPr>
              <w:widowControl/>
              <w:autoSpaceDE/>
              <w:autoSpaceDN/>
              <w:jc w:val="both"/>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Additional 10 trainings delivered</w:t>
            </w:r>
          </w:p>
        </w:tc>
        <w:tc>
          <w:tcPr>
            <w:tcW w:w="748" w:type="pct"/>
            <w:shd w:val="clear" w:color="auto" w:fill="auto"/>
            <w:vAlign w:val="center"/>
            <w:hideMark/>
          </w:tcPr>
          <w:p w:rsidR="00764F3E" w:rsidRPr="009461D5" w:rsidRDefault="00D17861" w:rsidP="00D17861">
            <w:pPr>
              <w:widowControl/>
              <w:autoSpaceDE/>
              <w:autoSpaceDN/>
              <w:jc w:val="both"/>
              <w:rPr>
                <w:rFonts w:ascii="Garamond" w:eastAsia="Times New Roman" w:hAnsi="Garamond" w:cs="Calibri Light"/>
                <w:color w:val="000000"/>
                <w:sz w:val="16"/>
                <w:szCs w:val="16"/>
                <w:lang w:eastAsia="en-US" w:bidi="ar-SA"/>
              </w:rPr>
            </w:pPr>
            <w:r w:rsidRPr="009461D5">
              <w:rPr>
                <w:rFonts w:ascii="Garamond" w:eastAsia="Times New Roman" w:hAnsi="Garamond" w:cs="Calibri Light"/>
                <w:color w:val="000000"/>
                <w:sz w:val="16"/>
                <w:szCs w:val="16"/>
                <w:lang w:eastAsia="en-US" w:bidi="ar-SA"/>
              </w:rPr>
              <w:t>32 trainings (22 at the domestic level and 10 at the regional and international level)</w:t>
            </w:r>
          </w:p>
        </w:tc>
        <w:tc>
          <w:tcPr>
            <w:tcW w:w="393" w:type="pct"/>
            <w:shd w:val="clear" w:color="auto" w:fill="auto"/>
            <w:vAlign w:val="center"/>
            <w:hideMark/>
          </w:tcPr>
          <w:p w:rsidR="00764F3E" w:rsidRPr="009461D5" w:rsidRDefault="00764F3E" w:rsidP="00764F3E">
            <w:pPr>
              <w:widowControl/>
              <w:autoSpaceDE/>
              <w:autoSpaceDN/>
              <w:jc w:val="center"/>
              <w:rPr>
                <w:rFonts w:ascii="Garamond" w:eastAsia="Times New Roman" w:hAnsi="Garamond" w:cs="Calibri Light"/>
                <w:color w:val="FF0000"/>
                <w:sz w:val="16"/>
                <w:szCs w:val="16"/>
                <w:lang w:eastAsia="en-US" w:bidi="ar-SA"/>
              </w:rPr>
            </w:pPr>
            <w:r w:rsidRPr="009461D5">
              <w:rPr>
                <w:rFonts w:ascii="Garamond" w:eastAsia="游明朝" w:hAnsi="Garamond" w:cs="Calibri Light"/>
                <w:noProof/>
                <w:sz w:val="16"/>
                <w:szCs w:val="16"/>
                <w:lang w:eastAsia="ja-JP" w:bidi="ar-SA"/>
              </w:rPr>
              <w:drawing>
                <wp:inline distT="0" distB="0" distL="0" distR="0">
                  <wp:extent cx="276225" cy="233680"/>
                  <wp:effectExtent l="0" t="0" r="9525" b="0"/>
                  <wp:docPr id="25" name="Picture 53" descr="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bl>
    <w:p w:rsidR="00764F3E" w:rsidRDefault="00764F3E" w:rsidP="004D1343">
      <w:pPr>
        <w:rPr>
          <w:rFonts w:ascii="Garamond" w:hAnsi="Garamond"/>
          <w:sz w:val="24"/>
          <w:szCs w:val="24"/>
        </w:rPr>
        <w:sectPr w:rsidR="00764F3E" w:rsidSect="00764F3E">
          <w:pgSz w:w="15840" w:h="12240" w:orient="landscape"/>
          <w:pgMar w:top="1440" w:right="1440" w:bottom="1440" w:left="1440" w:header="720" w:footer="720" w:gutter="0"/>
          <w:cols w:space="720"/>
          <w:docGrid w:linePitch="360"/>
        </w:sectPr>
      </w:pPr>
    </w:p>
    <w:p w:rsidR="004D1343" w:rsidRPr="00C32887" w:rsidRDefault="004D1343" w:rsidP="00D17861">
      <w:pPr>
        <w:jc w:val="both"/>
        <w:rPr>
          <w:rFonts w:ascii="Garamond" w:hAnsi="Garamond"/>
          <w:sz w:val="24"/>
          <w:szCs w:val="24"/>
        </w:rPr>
      </w:pPr>
      <w:r w:rsidRPr="00C32887">
        <w:rPr>
          <w:rFonts w:ascii="Garamond" w:hAnsi="Garamond"/>
          <w:sz w:val="24"/>
          <w:szCs w:val="24"/>
        </w:rPr>
        <w:t xml:space="preserve">In order to apply the audit methodology for performing financial audit, regularity audit and performance audit in accordance with ISSAI standards, SAI has developed a new </w:t>
      </w:r>
      <w:r w:rsidR="00C13A74">
        <w:rPr>
          <w:rFonts w:ascii="Garamond" w:hAnsi="Garamond"/>
          <w:sz w:val="24"/>
          <w:szCs w:val="24"/>
        </w:rPr>
        <w:t>‘</w:t>
      </w:r>
      <w:r w:rsidR="009461D5" w:rsidRPr="009461D5">
        <w:rPr>
          <w:rFonts w:ascii="Garamond" w:eastAsia="Times New Roman" w:hAnsi="Garamond" w:cs="Calibri Light"/>
          <w:color w:val="000000"/>
          <w:sz w:val="24"/>
          <w:szCs w:val="24"/>
          <w:lang w:eastAsia="en-US" w:bidi="ar-SA"/>
        </w:rPr>
        <w:t>Instruction for performance audits</w:t>
      </w:r>
      <w:r w:rsidR="00D17861" w:rsidRPr="009461D5">
        <w:rPr>
          <w:rStyle w:val="FootnoteReference"/>
          <w:rFonts w:ascii="Garamond" w:hAnsi="Garamond"/>
          <w:sz w:val="24"/>
          <w:szCs w:val="24"/>
        </w:rPr>
        <w:footnoteReference w:id="37"/>
      </w:r>
      <w:r w:rsidR="00C13A74" w:rsidRPr="009461D5">
        <w:rPr>
          <w:rFonts w:ascii="Garamond" w:hAnsi="Garamond"/>
          <w:sz w:val="24"/>
          <w:szCs w:val="24"/>
        </w:rPr>
        <w:t>‘</w:t>
      </w:r>
      <w:r w:rsidRPr="009461D5">
        <w:rPr>
          <w:rFonts w:ascii="Garamond" w:hAnsi="Garamond"/>
          <w:sz w:val="24"/>
          <w:szCs w:val="24"/>
        </w:rPr>
        <w:t xml:space="preserve">, while in 2020 the </w:t>
      </w:r>
      <w:r w:rsidR="009461D5" w:rsidRPr="009461D5">
        <w:rPr>
          <w:rFonts w:ascii="Garamond" w:eastAsia="Times New Roman" w:hAnsi="Garamond" w:cs="Calibri Light"/>
          <w:sz w:val="24"/>
          <w:szCs w:val="24"/>
          <w:lang w:eastAsia="en-US" w:bidi="ar-SA"/>
        </w:rPr>
        <w:t xml:space="preserve">Manual for Financial and Regularity Audits </w:t>
      </w:r>
      <w:r w:rsidRPr="009461D5">
        <w:rPr>
          <w:rFonts w:ascii="Garamond" w:hAnsi="Garamond"/>
          <w:sz w:val="24"/>
          <w:szCs w:val="24"/>
        </w:rPr>
        <w:t>and G</w:t>
      </w:r>
      <w:r w:rsidRPr="00C32887">
        <w:rPr>
          <w:rFonts w:ascii="Garamond" w:hAnsi="Garamond"/>
          <w:sz w:val="24"/>
          <w:szCs w:val="24"/>
        </w:rPr>
        <w:t xml:space="preserve">uidelines for the development, monitoring and control of the implementation of SAI recommendations were developed and began to be applied. </w:t>
      </w:r>
    </w:p>
    <w:p w:rsidR="004D1343" w:rsidRPr="00C32887" w:rsidRDefault="004D1343" w:rsidP="004D1343">
      <w:pPr>
        <w:rPr>
          <w:rFonts w:ascii="Garamond" w:hAnsi="Garamond"/>
          <w:sz w:val="24"/>
          <w:szCs w:val="24"/>
        </w:rPr>
      </w:pPr>
    </w:p>
    <w:p w:rsidR="004D1343" w:rsidRPr="00C32887" w:rsidRDefault="004D1343" w:rsidP="00D17861">
      <w:pPr>
        <w:jc w:val="both"/>
        <w:rPr>
          <w:rFonts w:ascii="Garamond" w:hAnsi="Garamond"/>
          <w:sz w:val="24"/>
          <w:szCs w:val="24"/>
        </w:rPr>
      </w:pPr>
      <w:r w:rsidRPr="00C32887">
        <w:rPr>
          <w:rFonts w:ascii="Garamond" w:hAnsi="Garamond"/>
          <w:sz w:val="24"/>
          <w:szCs w:val="24"/>
        </w:rPr>
        <w:t xml:space="preserve">By adopting </w:t>
      </w:r>
      <w:r w:rsidR="00C13A74">
        <w:rPr>
          <w:rFonts w:ascii="Garamond" w:hAnsi="Garamond"/>
          <w:sz w:val="24"/>
          <w:szCs w:val="24"/>
        </w:rPr>
        <w:t>‘</w:t>
      </w:r>
      <w:r w:rsidRPr="00C32887">
        <w:rPr>
          <w:rFonts w:ascii="Garamond" w:hAnsi="Garamond"/>
          <w:sz w:val="24"/>
          <w:szCs w:val="24"/>
        </w:rPr>
        <w:t>Guidelines for proposing and selecting financial and regularity audits f</w:t>
      </w:r>
      <w:r w:rsidR="00D17861">
        <w:rPr>
          <w:rFonts w:ascii="Garamond" w:hAnsi="Garamond"/>
          <w:sz w:val="24"/>
          <w:szCs w:val="24"/>
        </w:rPr>
        <w:t>or the SAI Annual Audit Plan</w:t>
      </w:r>
      <w:r w:rsidR="00C13A74">
        <w:rPr>
          <w:rFonts w:ascii="Garamond" w:hAnsi="Garamond"/>
          <w:sz w:val="24"/>
          <w:szCs w:val="24"/>
        </w:rPr>
        <w:t>’</w:t>
      </w:r>
      <w:r w:rsidR="00D17861">
        <w:rPr>
          <w:rStyle w:val="FootnoteReference"/>
          <w:rFonts w:ascii="Garamond" w:hAnsi="Garamond"/>
          <w:sz w:val="24"/>
          <w:szCs w:val="24"/>
        </w:rPr>
        <w:footnoteReference w:id="38"/>
      </w:r>
      <w:r w:rsidRPr="00C32887">
        <w:rPr>
          <w:rFonts w:ascii="Garamond" w:hAnsi="Garamond"/>
          <w:sz w:val="24"/>
          <w:szCs w:val="24"/>
        </w:rPr>
        <w:t xml:space="preserve"> the </w:t>
      </w:r>
      <w:r w:rsidR="00A749D4">
        <w:rPr>
          <w:rFonts w:ascii="Garamond" w:hAnsi="Garamond"/>
          <w:sz w:val="24"/>
          <w:szCs w:val="24"/>
        </w:rPr>
        <w:t>p</w:t>
      </w:r>
      <w:r w:rsidR="00D17861">
        <w:rPr>
          <w:rFonts w:ascii="Garamond" w:hAnsi="Garamond"/>
          <w:sz w:val="24"/>
          <w:szCs w:val="24"/>
        </w:rPr>
        <w:t>rogramm</w:t>
      </w:r>
      <w:r w:rsidRPr="00C32887">
        <w:rPr>
          <w:rFonts w:ascii="Garamond" w:hAnsi="Garamond"/>
          <w:sz w:val="24"/>
          <w:szCs w:val="24"/>
        </w:rPr>
        <w:t>ing and annual audit planning process has been improved. In this regard, Instructions for the preparation of the Annual Audit Plan for 2021 were adopted, which provided planning at various levels of the SAI and on the basis of assessed risks and clearly defined criteria. In addition, the SAI Medium Term Plan for Performance Audits for t</w:t>
      </w:r>
      <w:r w:rsidR="00DA0693">
        <w:rPr>
          <w:rFonts w:ascii="Garamond" w:hAnsi="Garamond"/>
          <w:sz w:val="24"/>
          <w:szCs w:val="24"/>
        </w:rPr>
        <w:t>he period 2020-2024 was adopted</w:t>
      </w:r>
      <w:r w:rsidRPr="00C32887">
        <w:rPr>
          <w:rFonts w:ascii="Garamond" w:hAnsi="Garamond"/>
          <w:sz w:val="24"/>
          <w:szCs w:val="24"/>
        </w:rPr>
        <w:t xml:space="preserve">, which focuses on revisions of the sustainable development goals of the </w:t>
      </w:r>
      <w:r w:rsidR="00DA0693" w:rsidRPr="00C32887">
        <w:rPr>
          <w:rFonts w:ascii="Garamond" w:hAnsi="Garamond"/>
          <w:sz w:val="24"/>
          <w:szCs w:val="24"/>
        </w:rPr>
        <w:t>2030</w:t>
      </w:r>
      <w:r w:rsidR="00DA0693">
        <w:rPr>
          <w:rFonts w:ascii="Garamond" w:hAnsi="Garamond"/>
          <w:sz w:val="24"/>
          <w:szCs w:val="24"/>
        </w:rPr>
        <w:t xml:space="preserve"> </w:t>
      </w:r>
      <w:r w:rsidRPr="00C32887">
        <w:rPr>
          <w:rFonts w:ascii="Garamond" w:hAnsi="Garamond"/>
          <w:sz w:val="24"/>
          <w:szCs w:val="24"/>
        </w:rPr>
        <w:t xml:space="preserve">United Nations </w:t>
      </w:r>
      <w:r w:rsidR="009461D5" w:rsidRPr="00C32887">
        <w:rPr>
          <w:rFonts w:ascii="Garamond" w:hAnsi="Garamond"/>
          <w:sz w:val="24"/>
          <w:szCs w:val="24"/>
        </w:rPr>
        <w:t xml:space="preserve">Sustainable Development </w:t>
      </w:r>
      <w:r w:rsidRPr="00C32887">
        <w:rPr>
          <w:rFonts w:ascii="Garamond" w:hAnsi="Garamond"/>
          <w:sz w:val="24"/>
          <w:szCs w:val="24"/>
        </w:rPr>
        <w:t>Agenda.</w:t>
      </w:r>
    </w:p>
    <w:p w:rsidR="004D1343" w:rsidRPr="00C32887" w:rsidRDefault="004D1343" w:rsidP="004D1343">
      <w:pPr>
        <w:rPr>
          <w:rFonts w:ascii="Garamond" w:hAnsi="Garamond"/>
          <w:sz w:val="24"/>
          <w:szCs w:val="24"/>
        </w:rPr>
      </w:pPr>
    </w:p>
    <w:p w:rsidR="004D1343" w:rsidRPr="00C32887" w:rsidRDefault="004D1343" w:rsidP="00DA0693">
      <w:pPr>
        <w:jc w:val="both"/>
        <w:rPr>
          <w:rFonts w:ascii="Garamond" w:hAnsi="Garamond"/>
          <w:sz w:val="24"/>
          <w:szCs w:val="24"/>
        </w:rPr>
      </w:pPr>
      <w:r w:rsidRPr="00C32887">
        <w:rPr>
          <w:rFonts w:ascii="Garamond" w:hAnsi="Garamond"/>
          <w:sz w:val="24"/>
          <w:szCs w:val="24"/>
        </w:rPr>
        <w:t xml:space="preserve">The increase in the number of conducted trainings by 22 compared to the plan resulted in the improvement of knowledge and skills of audit staff in the field of accounting and auditing </w:t>
      </w:r>
      <w:r w:rsidR="00540DC8">
        <w:rPr>
          <w:rFonts w:ascii="Garamond" w:hAnsi="Garamond"/>
          <w:sz w:val="24"/>
          <w:szCs w:val="24"/>
        </w:rPr>
        <w:t>in</w:t>
      </w:r>
      <w:r w:rsidRPr="00C32887">
        <w:rPr>
          <w:rFonts w:ascii="Garamond" w:hAnsi="Garamond"/>
          <w:sz w:val="24"/>
          <w:szCs w:val="24"/>
        </w:rPr>
        <w:t xml:space="preserve"> the public sector. In addition, manuals for taking the exam for the title of state auditor have been innovated. The implementation of the Guidelines for the use of the advanced version of IDEA software, which </w:t>
      </w:r>
      <w:r w:rsidR="00DA0693">
        <w:rPr>
          <w:rFonts w:ascii="Garamond" w:hAnsi="Garamond"/>
          <w:sz w:val="24"/>
          <w:szCs w:val="24"/>
        </w:rPr>
        <w:t>were</w:t>
      </w:r>
      <w:r w:rsidRPr="00C32887">
        <w:rPr>
          <w:rFonts w:ascii="Garamond" w:hAnsi="Garamond"/>
          <w:sz w:val="24"/>
          <w:szCs w:val="24"/>
        </w:rPr>
        <w:t xml:space="preserve"> adopted in the reporting period, will further improve the institutional capacity in the field of </w:t>
      </w:r>
      <w:r w:rsidR="00A749D4">
        <w:rPr>
          <w:rFonts w:ascii="Garamond" w:hAnsi="Garamond"/>
          <w:sz w:val="24"/>
          <w:szCs w:val="24"/>
        </w:rPr>
        <w:t>usage of</w:t>
      </w:r>
      <w:r w:rsidRPr="00C32887">
        <w:rPr>
          <w:rFonts w:ascii="Garamond" w:hAnsi="Garamond"/>
          <w:sz w:val="24"/>
          <w:szCs w:val="24"/>
        </w:rPr>
        <w:t xml:space="preserve"> the software audit tool, as well as more efficient IT management.</w:t>
      </w:r>
    </w:p>
    <w:p w:rsidR="004D1343" w:rsidRPr="00C32887" w:rsidRDefault="004D1343" w:rsidP="004D1343">
      <w:pPr>
        <w:rPr>
          <w:rFonts w:ascii="Garamond" w:hAnsi="Garamond"/>
          <w:sz w:val="24"/>
          <w:szCs w:val="24"/>
        </w:rPr>
      </w:pPr>
    </w:p>
    <w:p w:rsidR="004D1343" w:rsidRPr="00C32887" w:rsidRDefault="004D1343" w:rsidP="00DA0693">
      <w:pPr>
        <w:jc w:val="both"/>
        <w:rPr>
          <w:rFonts w:ascii="Garamond" w:hAnsi="Garamond"/>
          <w:sz w:val="24"/>
          <w:szCs w:val="24"/>
        </w:rPr>
      </w:pPr>
      <w:r w:rsidRPr="00C32887">
        <w:rPr>
          <w:rFonts w:ascii="Garamond" w:hAnsi="Garamond"/>
          <w:sz w:val="24"/>
          <w:szCs w:val="24"/>
        </w:rPr>
        <w:t>In an effort to strengthen transparency and better understanding of its work and role in the public, the SAI has adopted the Communication Strategy of the State Audit Institution for the period 2020-2024 and the Actio</w:t>
      </w:r>
      <w:r w:rsidR="00DA0693">
        <w:rPr>
          <w:rFonts w:ascii="Garamond" w:hAnsi="Garamond"/>
          <w:sz w:val="24"/>
          <w:szCs w:val="24"/>
        </w:rPr>
        <w:t>n Plan for its implementation.</w:t>
      </w:r>
      <w:r w:rsidR="00DA0693">
        <w:rPr>
          <w:rStyle w:val="FootnoteReference"/>
          <w:rFonts w:ascii="Garamond" w:hAnsi="Garamond"/>
          <w:sz w:val="24"/>
          <w:szCs w:val="24"/>
        </w:rPr>
        <w:footnoteReference w:id="39"/>
      </w:r>
      <w:r w:rsidRPr="00C32887">
        <w:rPr>
          <w:rFonts w:ascii="Garamond" w:hAnsi="Garamond"/>
          <w:sz w:val="24"/>
          <w:szCs w:val="24"/>
        </w:rPr>
        <w:t xml:space="preserve"> Increasing the efficiency of work by improving human resources management, developing human resources and providing staff with high ethical values, knowledge, skills and integrity will be achieved through the implementation of the </w:t>
      </w:r>
      <w:r w:rsidR="00DA0693" w:rsidRPr="00C32887">
        <w:rPr>
          <w:rFonts w:ascii="Garamond" w:hAnsi="Garamond"/>
          <w:sz w:val="24"/>
          <w:szCs w:val="24"/>
        </w:rPr>
        <w:t xml:space="preserve">2021 </w:t>
      </w:r>
      <w:r w:rsidR="00DA0693">
        <w:rPr>
          <w:rFonts w:ascii="Garamond" w:hAnsi="Garamond"/>
          <w:sz w:val="24"/>
          <w:szCs w:val="24"/>
        </w:rPr>
        <w:t>–</w:t>
      </w:r>
      <w:r w:rsidR="00DA0693" w:rsidRPr="00C32887">
        <w:rPr>
          <w:rFonts w:ascii="Garamond" w:hAnsi="Garamond"/>
          <w:sz w:val="24"/>
          <w:szCs w:val="24"/>
        </w:rPr>
        <w:t xml:space="preserve"> 2025</w:t>
      </w:r>
      <w:r w:rsidR="00DA0693">
        <w:rPr>
          <w:rFonts w:ascii="Garamond" w:hAnsi="Garamond"/>
          <w:sz w:val="24"/>
          <w:szCs w:val="24"/>
        </w:rPr>
        <w:t xml:space="preserve"> </w:t>
      </w:r>
      <w:r w:rsidRPr="00C32887">
        <w:rPr>
          <w:rFonts w:ascii="Garamond" w:hAnsi="Garamond"/>
          <w:sz w:val="24"/>
          <w:szCs w:val="24"/>
        </w:rPr>
        <w:t>Human Resources Management Strateg</w:t>
      </w:r>
      <w:r w:rsidR="00DA0693">
        <w:rPr>
          <w:rFonts w:ascii="Garamond" w:hAnsi="Garamond"/>
          <w:sz w:val="24"/>
          <w:szCs w:val="24"/>
        </w:rPr>
        <w:t>y of the State Audit Institution</w:t>
      </w:r>
      <w:r w:rsidR="00DA0693">
        <w:rPr>
          <w:rStyle w:val="FootnoteReference"/>
          <w:rFonts w:ascii="Garamond" w:hAnsi="Garamond"/>
          <w:sz w:val="24"/>
          <w:szCs w:val="24"/>
        </w:rPr>
        <w:footnoteReference w:id="40"/>
      </w:r>
      <w:r w:rsidRPr="00C32887">
        <w:rPr>
          <w:rFonts w:ascii="Garamond" w:hAnsi="Garamond"/>
          <w:sz w:val="24"/>
          <w:szCs w:val="24"/>
        </w:rPr>
        <w:t>, which was adopted in 2020.</w:t>
      </w:r>
    </w:p>
    <w:p w:rsidR="004D1343" w:rsidRDefault="004D1343" w:rsidP="004D1343">
      <w:pPr>
        <w:rPr>
          <w:rFonts w:ascii="Garamond" w:hAnsi="Garamond"/>
          <w:sz w:val="24"/>
          <w:szCs w:val="24"/>
        </w:rPr>
      </w:pPr>
    </w:p>
    <w:p w:rsidR="00DA0693" w:rsidRDefault="00613C2B" w:rsidP="004D1343">
      <w:pPr>
        <w:rPr>
          <w:rFonts w:ascii="Garamond" w:hAnsi="Garamond"/>
          <w:sz w:val="24"/>
          <w:szCs w:val="24"/>
        </w:rPr>
      </w:pPr>
      <w:r w:rsidRPr="00613C2B">
        <w:rPr>
          <w:rFonts w:cstheme="majorHAnsi"/>
          <w:i/>
          <w:noProof/>
          <w:color w:val="000000"/>
          <w:szCs w:val="24"/>
          <w:lang w:val="en-GB" w:eastAsia="en-GB"/>
        </w:rPr>
      </w:r>
      <w:r w:rsidRPr="00613C2B">
        <w:rPr>
          <w:rFonts w:cstheme="majorHAnsi"/>
          <w:i/>
          <w:noProof/>
          <w:color w:val="000000"/>
          <w:szCs w:val="24"/>
          <w:lang w:val="en-GB" w:eastAsia="en-GB"/>
        </w:rPr>
        <w:pict>
          <v:roundrect id="Rounded Rectangle 23" o:spid="_x0000_s1030" style="width:498pt;height:109.8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" fillcolor="#243f60 [1604]" strokecolor="#243f60 [1604]" strokeweight="1pt">
            <v:stroke joinstyle="miter"/>
            <v:textbox>
              <w:txbxContent>
                <w:p w:rsidR="002C4371" w:rsidRDefault="002C4371" w:rsidP="00DA0693">
                  <w:pPr>
                    <w:rPr>
                      <w:sz w:val="20"/>
                      <w:szCs w:val="20"/>
                    </w:rPr>
                  </w:pPr>
                  <w:r>
                    <w:rPr>
                      <w:sz w:val="20"/>
                      <w:szCs w:val="20"/>
                    </w:rPr>
                    <w:t>C</w:t>
                  </w:r>
                  <w:r w:rsidRPr="00DA0693">
                    <w:rPr>
                      <w:sz w:val="20"/>
                      <w:szCs w:val="20"/>
                    </w:rPr>
                    <w:t>hallen</w:t>
                  </w:r>
                  <w:r>
                    <w:rPr>
                      <w:sz w:val="20"/>
                      <w:szCs w:val="20"/>
                    </w:rPr>
                    <w:t>ge:</w:t>
                  </w:r>
                </w:p>
                <w:p w:rsidR="002C4371" w:rsidRPr="00DA0693" w:rsidRDefault="002C4371" w:rsidP="00DA0693">
                  <w:pPr>
                    <w:jc w:val="both"/>
                    <w:rPr>
                      <w:szCs w:val="20"/>
                    </w:rPr>
                  </w:pPr>
                  <w:r w:rsidRPr="00DA0693">
                    <w:rPr>
                      <w:sz w:val="20"/>
                      <w:szCs w:val="20"/>
                    </w:rPr>
                    <w:t>The challenge related to the obligation to perform annual audits of financial statements of political entities with an annual income of over € 10,000.00 has been overcome through the adopted amendments to the Law on Financing of Political Entities and Election Campaigns from January 2020. In the forthcoming period, insufficient spatial capacities that affect the dynamics of hiring new staff are still considered a challenge. In ord</w:t>
                  </w:r>
                  <w:r>
                    <w:rPr>
                      <w:sz w:val="20"/>
                      <w:szCs w:val="20"/>
                    </w:rPr>
                    <w:t>er to overcome the challenges, the</w:t>
                  </w:r>
                  <w:r w:rsidRPr="00DA0693">
                    <w:rPr>
                      <w:sz w:val="20"/>
                      <w:szCs w:val="20"/>
                    </w:rPr>
                    <w:t xml:space="preserve"> </w:t>
                  </w:r>
                  <w:r>
                    <w:rPr>
                      <w:sz w:val="20"/>
                      <w:szCs w:val="20"/>
                    </w:rPr>
                    <w:t>Terms of Reference were</w:t>
                  </w:r>
                  <w:r w:rsidRPr="00DA0693">
                    <w:rPr>
                      <w:sz w:val="20"/>
                      <w:szCs w:val="20"/>
                    </w:rPr>
                    <w:t xml:space="preserve"> </w:t>
                  </w:r>
                  <w:r>
                    <w:rPr>
                      <w:sz w:val="20"/>
                      <w:szCs w:val="20"/>
                    </w:rPr>
                    <w:t>prepared</w:t>
                  </w:r>
                  <w:r w:rsidRPr="00DA0693">
                    <w:rPr>
                      <w:sz w:val="20"/>
                      <w:szCs w:val="20"/>
                    </w:rPr>
                    <w:t xml:space="preserve"> for the architectural competition </w:t>
                  </w:r>
                  <w:r>
                    <w:rPr>
                      <w:sz w:val="20"/>
                      <w:szCs w:val="20"/>
                    </w:rPr>
                    <w:t>for</w:t>
                  </w:r>
                  <w:r w:rsidRPr="00DA0693">
                    <w:rPr>
                      <w:sz w:val="20"/>
                      <w:szCs w:val="20"/>
                    </w:rPr>
                    <w:t xml:space="preserve"> the conceptual design of the building of the State Audit Institution with defined needs, in accordance with the law.</w:t>
                  </w:r>
                </w:p>
              </w:txbxContent>
            </v:textbox>
            <w10:wrap type="none"/>
            <w10:anchorlock/>
          </v:roundrect>
        </w:pict>
      </w:r>
    </w:p>
    <w:p w:rsidR="00DA0693" w:rsidRDefault="00DA0693" w:rsidP="004D1343">
      <w:pPr>
        <w:rPr>
          <w:rFonts w:ascii="Garamond" w:hAnsi="Garamond"/>
          <w:sz w:val="24"/>
          <w:szCs w:val="24"/>
        </w:rPr>
      </w:pPr>
    </w:p>
    <w:p w:rsidR="004D1343" w:rsidRPr="00C32887" w:rsidRDefault="00E72584" w:rsidP="00E72584">
      <w:pPr>
        <w:pStyle w:val="Heading3"/>
        <w:rPr>
          <w:rFonts w:ascii="Garamond" w:hAnsi="Garamond"/>
          <w:sz w:val="24"/>
          <w:szCs w:val="24"/>
        </w:rPr>
      </w:pPr>
      <w:bookmarkStart w:id="25" w:name="_Toc77688205"/>
      <w:r w:rsidRPr="00C32887">
        <w:rPr>
          <w:rFonts w:ascii="Garamond" w:hAnsi="Garamond"/>
          <w:sz w:val="24"/>
          <w:szCs w:val="24"/>
        </w:rPr>
        <w:t xml:space="preserve">AUDIT </w:t>
      </w:r>
      <w:r>
        <w:rPr>
          <w:rFonts w:ascii="Garamond" w:hAnsi="Garamond"/>
          <w:sz w:val="24"/>
          <w:szCs w:val="24"/>
        </w:rPr>
        <w:t>AUTHORITY</w:t>
      </w:r>
      <w:bookmarkEnd w:id="25"/>
      <w:r>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F36530">
      <w:pPr>
        <w:jc w:val="both"/>
        <w:rPr>
          <w:rFonts w:ascii="Garamond" w:hAnsi="Garamond"/>
          <w:sz w:val="24"/>
          <w:szCs w:val="24"/>
        </w:rPr>
      </w:pPr>
      <w:r w:rsidRPr="00C32887">
        <w:rPr>
          <w:rFonts w:ascii="Garamond" w:hAnsi="Garamond"/>
          <w:sz w:val="24"/>
          <w:szCs w:val="24"/>
        </w:rPr>
        <w:t xml:space="preserve">The Public Finance </w:t>
      </w:r>
      <w:r w:rsidR="00540DC8">
        <w:rPr>
          <w:rFonts w:ascii="Garamond" w:hAnsi="Garamond"/>
          <w:sz w:val="24"/>
          <w:szCs w:val="24"/>
        </w:rPr>
        <w:t xml:space="preserve">Management </w:t>
      </w:r>
      <w:r w:rsidRPr="00C32887">
        <w:rPr>
          <w:rFonts w:ascii="Garamond" w:hAnsi="Garamond"/>
          <w:sz w:val="24"/>
          <w:szCs w:val="24"/>
        </w:rPr>
        <w:t xml:space="preserve">Reform </w:t>
      </w:r>
      <w:r w:rsidR="00AB73F6" w:rsidRPr="00C32887">
        <w:rPr>
          <w:rFonts w:ascii="Garamond" w:hAnsi="Garamond"/>
          <w:sz w:val="24"/>
          <w:szCs w:val="24"/>
        </w:rPr>
        <w:t>Programme</w:t>
      </w:r>
      <w:r w:rsidRPr="00C32887">
        <w:rPr>
          <w:rFonts w:ascii="Garamond" w:hAnsi="Garamond"/>
          <w:sz w:val="24"/>
          <w:szCs w:val="24"/>
        </w:rPr>
        <w:t xml:space="preserve"> envisages the implementation of 5 activities of the Audit Authority. The implementation of the activities envisaged by the PFM began with the signing of the service </w:t>
      </w:r>
      <w:r w:rsidR="00F36530">
        <w:rPr>
          <w:rFonts w:ascii="Garamond" w:hAnsi="Garamond"/>
          <w:sz w:val="24"/>
          <w:szCs w:val="24"/>
        </w:rPr>
        <w:t>agreement</w:t>
      </w:r>
      <w:r w:rsidRPr="00C32887">
        <w:rPr>
          <w:rFonts w:ascii="Garamond" w:hAnsi="Garamond"/>
          <w:sz w:val="24"/>
          <w:szCs w:val="24"/>
        </w:rPr>
        <w:t xml:space="preserve"> </w:t>
      </w:r>
      <w:r w:rsidR="00C13A74">
        <w:rPr>
          <w:rFonts w:ascii="Garamond" w:hAnsi="Garamond"/>
          <w:sz w:val="24"/>
          <w:szCs w:val="24"/>
        </w:rPr>
        <w:t>‘</w:t>
      </w:r>
      <w:r w:rsidRPr="00C32887">
        <w:rPr>
          <w:rFonts w:ascii="Garamond" w:hAnsi="Garamond"/>
          <w:sz w:val="24"/>
          <w:szCs w:val="24"/>
        </w:rPr>
        <w:t>Development and strengthening of the capacity of the State Audit Institution and the Audit Authority of Montenegro</w:t>
      </w:r>
      <w:r w:rsidR="00C13A74">
        <w:rPr>
          <w:rFonts w:ascii="Garamond" w:hAnsi="Garamond"/>
          <w:sz w:val="24"/>
          <w:szCs w:val="24"/>
        </w:rPr>
        <w:t>’</w:t>
      </w:r>
      <w:r w:rsidRPr="00C32887">
        <w:rPr>
          <w:rFonts w:ascii="Garamond" w:hAnsi="Garamond"/>
          <w:sz w:val="24"/>
          <w:szCs w:val="24"/>
        </w:rPr>
        <w:t xml:space="preserve"> worth € 648,500.00, with a planned duration of 18 months. After the signing of the Agreement, the technical conditions (office and administrative staff) necessary for the implementation of the project were established, in order to more efficiently imple</w:t>
      </w:r>
      <w:r w:rsidR="00F36530">
        <w:rPr>
          <w:rFonts w:ascii="Garamond" w:hAnsi="Garamond"/>
          <w:sz w:val="24"/>
          <w:szCs w:val="24"/>
        </w:rPr>
        <w:t>ment</w:t>
      </w:r>
      <w:r w:rsidR="00540DC8">
        <w:rPr>
          <w:rFonts w:ascii="Garamond" w:hAnsi="Garamond"/>
          <w:sz w:val="24"/>
          <w:szCs w:val="24"/>
        </w:rPr>
        <w:t xml:space="preserve"> the activities during 2019. In</w:t>
      </w:r>
      <w:r w:rsidR="00F36530">
        <w:rPr>
          <w:rFonts w:ascii="Garamond" w:hAnsi="Garamond"/>
          <w:sz w:val="24"/>
          <w:szCs w:val="24"/>
        </w:rPr>
        <w:t xml:space="preserve"> addition,</w:t>
      </w:r>
      <w:r w:rsidRPr="00C32887">
        <w:rPr>
          <w:rFonts w:ascii="Garamond" w:hAnsi="Garamond"/>
          <w:sz w:val="24"/>
          <w:szCs w:val="24"/>
        </w:rPr>
        <w:t xml:space="preserve"> due to the COVID-19 </w:t>
      </w:r>
      <w:r w:rsidR="0000375D">
        <w:rPr>
          <w:rFonts w:ascii="Garamond" w:hAnsi="Garamond"/>
          <w:sz w:val="24"/>
          <w:szCs w:val="24"/>
        </w:rPr>
        <w:t>outbreak</w:t>
      </w:r>
      <w:r w:rsidRPr="00C32887">
        <w:rPr>
          <w:rFonts w:ascii="Garamond" w:hAnsi="Garamond"/>
          <w:sz w:val="24"/>
          <w:szCs w:val="24"/>
        </w:rPr>
        <w:t xml:space="preserve">, certain activities were postponed and the project was extended for an additional 4 months, more precisely until September 19, 2020. In the reporting period (2016-2020), the </w:t>
      </w:r>
      <w:r w:rsidR="0000375D" w:rsidRPr="00C32887">
        <w:rPr>
          <w:rFonts w:ascii="Garamond" w:hAnsi="Garamond"/>
          <w:sz w:val="24"/>
          <w:szCs w:val="24"/>
        </w:rPr>
        <w:t xml:space="preserve">Audit </w:t>
      </w:r>
      <w:r w:rsidR="0000375D">
        <w:rPr>
          <w:rFonts w:ascii="Garamond" w:hAnsi="Garamond"/>
          <w:sz w:val="24"/>
          <w:szCs w:val="24"/>
        </w:rPr>
        <w:t>Authority</w:t>
      </w:r>
      <w:r w:rsidR="0000375D" w:rsidRPr="00C32887">
        <w:rPr>
          <w:rFonts w:ascii="Garamond" w:hAnsi="Garamond"/>
          <w:sz w:val="24"/>
          <w:szCs w:val="24"/>
        </w:rPr>
        <w:t xml:space="preserve"> </w:t>
      </w:r>
      <w:r w:rsidRPr="00C32887">
        <w:rPr>
          <w:rFonts w:ascii="Garamond" w:hAnsi="Garamond"/>
          <w:sz w:val="24"/>
          <w:szCs w:val="24"/>
        </w:rPr>
        <w:t xml:space="preserve">made full use of available funds and resources and fully implemented all project activities, which aim to contribute to the strengthening of the system of internal controls in the use of EU funds. The target and achieved values </w:t>
      </w:r>
      <w:r w:rsidRPr="00C32887">
        <w:rPr>
          <w:sz w:val="24"/>
          <w:szCs w:val="24"/>
        </w:rPr>
        <w:t>​​</w:t>
      </w:r>
      <w:r w:rsidRPr="00C32887">
        <w:rPr>
          <w:rFonts w:ascii="Garamond" w:hAnsi="Garamond"/>
          <w:sz w:val="24"/>
          <w:szCs w:val="24"/>
        </w:rPr>
        <w:t>of the indicators are shown below.</w:t>
      </w:r>
    </w:p>
    <w:p w:rsidR="004D1343" w:rsidRPr="00C32887" w:rsidRDefault="004D1343" w:rsidP="004D1343">
      <w:pPr>
        <w:rPr>
          <w:rFonts w:ascii="Garamond" w:hAnsi="Garamond"/>
          <w:sz w:val="24"/>
          <w:szCs w:val="24"/>
        </w:rPr>
      </w:pPr>
    </w:p>
    <w:p w:rsidR="004D1343" w:rsidRPr="00C32887" w:rsidRDefault="004D1343" w:rsidP="00F36530">
      <w:pPr>
        <w:jc w:val="both"/>
        <w:rPr>
          <w:rFonts w:ascii="Garamond" w:hAnsi="Garamond"/>
          <w:sz w:val="24"/>
          <w:szCs w:val="24"/>
        </w:rPr>
      </w:pPr>
      <w:r w:rsidRPr="00C32887">
        <w:rPr>
          <w:rFonts w:ascii="Garamond" w:hAnsi="Garamond"/>
          <w:sz w:val="24"/>
          <w:szCs w:val="24"/>
        </w:rPr>
        <w:t xml:space="preserve">The target value for the </w:t>
      </w:r>
      <w:r w:rsidR="00B04F8B">
        <w:rPr>
          <w:rFonts w:ascii="Garamond" w:hAnsi="Garamond"/>
          <w:sz w:val="24"/>
          <w:szCs w:val="24"/>
        </w:rPr>
        <w:t xml:space="preserve">performance </w:t>
      </w:r>
      <w:r w:rsidRPr="00C32887">
        <w:rPr>
          <w:rFonts w:ascii="Garamond" w:hAnsi="Garamond"/>
          <w:sz w:val="24"/>
          <w:szCs w:val="24"/>
        </w:rPr>
        <w:t xml:space="preserve">indicator </w:t>
      </w:r>
      <w:r w:rsidR="00F36530" w:rsidRPr="00F36530">
        <w:rPr>
          <w:rFonts w:ascii="Garamond" w:hAnsi="Garamond"/>
          <w:sz w:val="24"/>
          <w:szCs w:val="24"/>
        </w:rPr>
        <w:t xml:space="preserve">No of trainings/seminars/ workshops for auditors delivered </w:t>
      </w:r>
      <w:r w:rsidRPr="00C32887">
        <w:rPr>
          <w:rFonts w:ascii="Garamond" w:hAnsi="Garamond"/>
          <w:sz w:val="24"/>
          <w:szCs w:val="24"/>
        </w:rPr>
        <w:t xml:space="preserve">is completely </w:t>
      </w:r>
      <w:r w:rsidR="00294AA5">
        <w:rPr>
          <w:rFonts w:ascii="Garamond" w:hAnsi="Garamond"/>
          <w:sz w:val="24"/>
          <w:szCs w:val="24"/>
        </w:rPr>
        <w:t>achieved</w:t>
      </w:r>
      <w:r w:rsidRPr="00C32887">
        <w:rPr>
          <w:rFonts w:ascii="Garamond" w:hAnsi="Garamond"/>
          <w:sz w:val="24"/>
          <w:szCs w:val="24"/>
        </w:rPr>
        <w:t xml:space="preserve">. During 2019, an average of 11 trainings per auditor were </w:t>
      </w:r>
      <w:r w:rsidR="00D2080A">
        <w:rPr>
          <w:rFonts w:ascii="Garamond" w:hAnsi="Garamond"/>
          <w:sz w:val="24"/>
          <w:szCs w:val="24"/>
        </w:rPr>
        <w:t>organised</w:t>
      </w:r>
      <w:r w:rsidRPr="00C32887">
        <w:rPr>
          <w:rFonts w:ascii="Garamond" w:hAnsi="Garamond"/>
          <w:sz w:val="24"/>
          <w:szCs w:val="24"/>
        </w:rPr>
        <w:t xml:space="preserve">, while in 2020, 9 trainings per auditor were </w:t>
      </w:r>
      <w:r w:rsidR="00D2080A">
        <w:rPr>
          <w:rFonts w:ascii="Garamond" w:hAnsi="Garamond"/>
          <w:sz w:val="24"/>
          <w:szCs w:val="24"/>
        </w:rPr>
        <w:t>organised</w:t>
      </w:r>
      <w:r w:rsidRPr="00C32887">
        <w:rPr>
          <w:rFonts w:ascii="Garamond" w:hAnsi="Garamond"/>
          <w:sz w:val="24"/>
          <w:szCs w:val="24"/>
        </w:rPr>
        <w:t xml:space="preserve">, which exceeds the planned values </w:t>
      </w:r>
      <w:r w:rsidRPr="00C32887">
        <w:rPr>
          <w:sz w:val="24"/>
          <w:szCs w:val="24"/>
        </w:rPr>
        <w:t>​​</w:t>
      </w:r>
      <w:r w:rsidRPr="00C32887">
        <w:rPr>
          <w:rFonts w:ascii="Garamond" w:hAnsi="Garamond"/>
          <w:sz w:val="24"/>
          <w:szCs w:val="24"/>
        </w:rPr>
        <w:t xml:space="preserve">shown by the </w:t>
      </w:r>
      <w:r w:rsidR="00F36530">
        <w:rPr>
          <w:rFonts w:ascii="Garamond" w:hAnsi="Garamond"/>
          <w:sz w:val="24"/>
          <w:szCs w:val="24"/>
        </w:rPr>
        <w:t>indicators</w:t>
      </w:r>
      <w:r w:rsidRPr="00C32887">
        <w:rPr>
          <w:rFonts w:ascii="Garamond" w:hAnsi="Garamond"/>
          <w:sz w:val="24"/>
          <w:szCs w:val="24"/>
        </w:rPr>
        <w:t>. Mo</w:t>
      </w:r>
      <w:r w:rsidR="00D2080A">
        <w:rPr>
          <w:rFonts w:ascii="Garamond" w:hAnsi="Garamond"/>
          <w:sz w:val="24"/>
          <w:szCs w:val="24"/>
        </w:rPr>
        <w:t>st of the trainings were organis</w:t>
      </w:r>
      <w:r w:rsidRPr="00C32887">
        <w:rPr>
          <w:rFonts w:ascii="Garamond" w:hAnsi="Garamond"/>
          <w:sz w:val="24"/>
          <w:szCs w:val="24"/>
        </w:rPr>
        <w:t xml:space="preserve">ed </w:t>
      </w:r>
      <w:r w:rsidR="00D2080A">
        <w:rPr>
          <w:rFonts w:ascii="Garamond" w:hAnsi="Garamond"/>
          <w:sz w:val="24"/>
          <w:szCs w:val="24"/>
        </w:rPr>
        <w:t>under</w:t>
      </w:r>
      <w:r w:rsidRPr="00C32887">
        <w:rPr>
          <w:rFonts w:ascii="Garamond" w:hAnsi="Garamond"/>
          <w:sz w:val="24"/>
          <w:szCs w:val="24"/>
        </w:rPr>
        <w:t xml:space="preserve"> the project </w:t>
      </w:r>
      <w:r w:rsidR="00C13A74">
        <w:rPr>
          <w:rFonts w:ascii="Garamond" w:hAnsi="Garamond"/>
          <w:sz w:val="24"/>
          <w:szCs w:val="24"/>
        </w:rPr>
        <w:t>‘</w:t>
      </w:r>
      <w:r w:rsidRPr="00C32887">
        <w:rPr>
          <w:rFonts w:ascii="Garamond" w:hAnsi="Garamond"/>
          <w:sz w:val="24"/>
          <w:szCs w:val="24"/>
        </w:rPr>
        <w:t>Development and strengthening of the capacity of the State Audit Institution and the Audit Authority of Montenegro</w:t>
      </w:r>
      <w:r w:rsidR="00C13A74">
        <w:rPr>
          <w:rFonts w:ascii="Garamond" w:hAnsi="Garamond"/>
          <w:sz w:val="24"/>
          <w:szCs w:val="24"/>
        </w:rPr>
        <w:t>’</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F36530">
      <w:pPr>
        <w:jc w:val="both"/>
        <w:rPr>
          <w:rFonts w:ascii="Garamond" w:hAnsi="Garamond"/>
          <w:sz w:val="24"/>
          <w:szCs w:val="24"/>
        </w:rPr>
      </w:pPr>
      <w:r w:rsidRPr="00C32887">
        <w:rPr>
          <w:rFonts w:ascii="Garamond" w:hAnsi="Garamond"/>
          <w:sz w:val="24"/>
          <w:szCs w:val="24"/>
        </w:rPr>
        <w:t xml:space="preserve">The target value for the </w:t>
      </w:r>
      <w:r w:rsidR="00B04F8B">
        <w:rPr>
          <w:rFonts w:ascii="Garamond" w:hAnsi="Garamond"/>
          <w:sz w:val="24"/>
          <w:szCs w:val="24"/>
        </w:rPr>
        <w:t xml:space="preserve">performance </w:t>
      </w:r>
      <w:r w:rsidRPr="00C32887">
        <w:rPr>
          <w:rFonts w:ascii="Garamond" w:hAnsi="Garamond"/>
          <w:sz w:val="24"/>
          <w:szCs w:val="24"/>
        </w:rPr>
        <w:t xml:space="preserve">indicator </w:t>
      </w:r>
      <w:r w:rsidR="00F36530" w:rsidRPr="00F36530">
        <w:rPr>
          <w:rFonts w:ascii="Garamond" w:hAnsi="Garamond"/>
          <w:sz w:val="24"/>
          <w:szCs w:val="24"/>
        </w:rPr>
        <w:t>Degree of audit methodology improvement – Audit Manual</w:t>
      </w:r>
      <w:r w:rsidRPr="00C32887">
        <w:rPr>
          <w:rFonts w:ascii="Garamond" w:hAnsi="Garamond"/>
          <w:sz w:val="24"/>
          <w:szCs w:val="24"/>
        </w:rPr>
        <w:t xml:space="preserve">, is completely </w:t>
      </w:r>
      <w:r w:rsidR="00F36530">
        <w:rPr>
          <w:rFonts w:ascii="Garamond" w:hAnsi="Garamond"/>
          <w:sz w:val="24"/>
          <w:szCs w:val="24"/>
        </w:rPr>
        <w:t>achieved</w:t>
      </w:r>
      <w:r w:rsidRPr="00C32887">
        <w:rPr>
          <w:rFonts w:ascii="Garamond" w:hAnsi="Garamond"/>
          <w:sz w:val="24"/>
          <w:szCs w:val="24"/>
        </w:rPr>
        <w:t>. This was achieved through 3 expert missions to improve the manual for different types of audits in accordance with international auditing standards and a Manual for areas 1,</w:t>
      </w:r>
      <w:r w:rsidR="00D2080A">
        <w:rPr>
          <w:rFonts w:ascii="Garamond" w:hAnsi="Garamond"/>
          <w:sz w:val="24"/>
          <w:szCs w:val="24"/>
        </w:rPr>
        <w:t xml:space="preserve"> </w:t>
      </w:r>
      <w:r w:rsidRPr="00C32887">
        <w:rPr>
          <w:rFonts w:ascii="Garamond" w:hAnsi="Garamond"/>
          <w:sz w:val="24"/>
          <w:szCs w:val="24"/>
        </w:rPr>
        <w:t>2,</w:t>
      </w:r>
      <w:r w:rsidR="00D2080A">
        <w:rPr>
          <w:rFonts w:ascii="Garamond" w:hAnsi="Garamond"/>
          <w:sz w:val="24"/>
          <w:szCs w:val="24"/>
        </w:rPr>
        <w:t xml:space="preserve"> </w:t>
      </w:r>
      <w:r w:rsidRPr="00C32887">
        <w:rPr>
          <w:rFonts w:ascii="Garamond" w:hAnsi="Garamond"/>
          <w:sz w:val="24"/>
          <w:szCs w:val="24"/>
        </w:rPr>
        <w:t>3,</w:t>
      </w:r>
      <w:r w:rsidR="00D2080A">
        <w:rPr>
          <w:rFonts w:ascii="Garamond" w:hAnsi="Garamond"/>
          <w:sz w:val="24"/>
          <w:szCs w:val="24"/>
        </w:rPr>
        <w:t xml:space="preserve"> </w:t>
      </w:r>
      <w:r w:rsidRPr="00C32887">
        <w:rPr>
          <w:rFonts w:ascii="Garamond" w:hAnsi="Garamond"/>
          <w:sz w:val="24"/>
          <w:szCs w:val="24"/>
        </w:rPr>
        <w:t>5 was dev</w:t>
      </w:r>
      <w:r w:rsidR="00C838EA">
        <w:rPr>
          <w:rFonts w:ascii="Garamond" w:hAnsi="Garamond"/>
          <w:sz w:val="24"/>
          <w:szCs w:val="24"/>
        </w:rPr>
        <w:t>eloped</w:t>
      </w:r>
      <w:r w:rsidR="00C838EA">
        <w:rPr>
          <w:rStyle w:val="FootnoteReference"/>
          <w:rFonts w:ascii="Garamond" w:hAnsi="Garamond"/>
          <w:sz w:val="24"/>
          <w:szCs w:val="24"/>
        </w:rPr>
        <w:footnoteReference w:id="41"/>
      </w:r>
      <w:r w:rsidRPr="00C32887">
        <w:rPr>
          <w:rFonts w:ascii="Garamond" w:hAnsi="Garamond"/>
          <w:sz w:val="24"/>
          <w:szCs w:val="24"/>
        </w:rPr>
        <w:t xml:space="preserve"> </w:t>
      </w:r>
      <w:r w:rsidR="00294AA5">
        <w:rPr>
          <w:rFonts w:ascii="Garamond" w:hAnsi="Garamond"/>
          <w:sz w:val="24"/>
          <w:szCs w:val="24"/>
        </w:rPr>
        <w:t>as well as</w:t>
      </w:r>
      <w:r w:rsidRPr="00C32887">
        <w:rPr>
          <w:rFonts w:ascii="Garamond" w:hAnsi="Garamond"/>
          <w:sz w:val="24"/>
          <w:szCs w:val="24"/>
        </w:rPr>
        <w:t xml:space="preserve"> </w:t>
      </w:r>
      <w:r w:rsidR="00C838EA" w:rsidRPr="00C32887">
        <w:rPr>
          <w:rFonts w:ascii="Garamond" w:hAnsi="Garamond"/>
          <w:sz w:val="24"/>
          <w:szCs w:val="24"/>
        </w:rPr>
        <w:t xml:space="preserve">IPARD </w:t>
      </w:r>
      <w:r w:rsidRPr="00C32887">
        <w:rPr>
          <w:rFonts w:ascii="Garamond" w:hAnsi="Garamond"/>
          <w:sz w:val="24"/>
          <w:szCs w:val="24"/>
        </w:rPr>
        <w:t xml:space="preserve">Area </w:t>
      </w:r>
      <w:r w:rsidR="00C838EA">
        <w:rPr>
          <w:rFonts w:ascii="Garamond" w:hAnsi="Garamond"/>
          <w:sz w:val="24"/>
          <w:szCs w:val="24"/>
        </w:rPr>
        <w:t>4 Manual</w:t>
      </w:r>
      <w:r w:rsidR="00C838EA">
        <w:rPr>
          <w:rStyle w:val="FootnoteReference"/>
          <w:rFonts w:ascii="Garamond" w:hAnsi="Garamond"/>
          <w:sz w:val="24"/>
          <w:szCs w:val="24"/>
        </w:rPr>
        <w:footnoteReference w:id="42"/>
      </w:r>
      <w:r w:rsidRPr="00C32887">
        <w:rPr>
          <w:rFonts w:ascii="Garamond" w:hAnsi="Garamond"/>
          <w:sz w:val="24"/>
          <w:szCs w:val="24"/>
        </w:rPr>
        <w:t>, which were adopted and</w:t>
      </w:r>
      <w:r w:rsidR="00C838EA">
        <w:rPr>
          <w:rFonts w:ascii="Garamond" w:hAnsi="Garamond"/>
          <w:sz w:val="24"/>
          <w:szCs w:val="24"/>
        </w:rPr>
        <w:t xml:space="preserve"> applied from 19 April 2019</w:t>
      </w:r>
      <w:r w:rsidR="00C838EA">
        <w:rPr>
          <w:rStyle w:val="FootnoteReference"/>
          <w:rFonts w:ascii="Garamond" w:hAnsi="Garamond"/>
          <w:sz w:val="24"/>
          <w:szCs w:val="24"/>
        </w:rPr>
        <w:footnoteReference w:id="43"/>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294AA5" w:rsidRDefault="004D1343" w:rsidP="00C838EA">
      <w:pPr>
        <w:pStyle w:val="Default"/>
        <w:jc w:val="both"/>
        <w:rPr>
          <w:rFonts w:ascii="Garamond" w:hAnsi="Garamond"/>
        </w:rPr>
      </w:pPr>
      <w:r w:rsidRPr="00294AA5">
        <w:rPr>
          <w:rFonts w:ascii="Garamond" w:hAnsi="Garamond"/>
        </w:rPr>
        <w:t xml:space="preserve">The target value for the </w:t>
      </w:r>
      <w:r w:rsidR="00B04F8B" w:rsidRPr="00294AA5">
        <w:rPr>
          <w:rFonts w:ascii="Garamond" w:hAnsi="Garamond"/>
        </w:rPr>
        <w:t xml:space="preserve">performance </w:t>
      </w:r>
      <w:r w:rsidRPr="00294AA5">
        <w:rPr>
          <w:rFonts w:ascii="Garamond" w:hAnsi="Garamond"/>
        </w:rPr>
        <w:t xml:space="preserve">indicator </w:t>
      </w:r>
      <w:r w:rsidR="00C838EA" w:rsidRPr="00294AA5">
        <w:rPr>
          <w:rFonts w:ascii="Garamond" w:hAnsi="Garamond"/>
          <w:iCs/>
        </w:rPr>
        <w:t xml:space="preserve">Share of audits conducting by using the audit software tool </w:t>
      </w:r>
      <w:r w:rsidRPr="00294AA5">
        <w:rPr>
          <w:rFonts w:ascii="Garamond" w:hAnsi="Garamond"/>
        </w:rPr>
        <w:t xml:space="preserve">is completely </w:t>
      </w:r>
      <w:r w:rsidR="00294AA5" w:rsidRPr="00294AA5">
        <w:rPr>
          <w:rFonts w:ascii="Garamond" w:hAnsi="Garamond"/>
        </w:rPr>
        <w:t>achieved</w:t>
      </w:r>
      <w:r w:rsidRPr="00294AA5">
        <w:rPr>
          <w:rFonts w:ascii="Garamond" w:hAnsi="Garamond"/>
        </w:rPr>
        <w:t>. The auditors of the Audit Authority used the audit software IDEA for 1/3 of the audits performed in 2019 (33.33%) and 2/3 of the au</w:t>
      </w:r>
      <w:r w:rsidR="00C838EA" w:rsidRPr="00294AA5">
        <w:rPr>
          <w:rFonts w:ascii="Garamond" w:hAnsi="Garamond"/>
        </w:rPr>
        <w:t>dits performed in 2020 (66.66%)</w:t>
      </w:r>
      <w:r w:rsidRPr="00294AA5">
        <w:rPr>
          <w:rFonts w:ascii="Garamond" w:hAnsi="Garamond"/>
        </w:rPr>
        <w:t>. Two software licenses were purchased through the IPA project, while one was funded by the Audit Authority. Instructions for using the software have been prepared.</w:t>
      </w:r>
    </w:p>
    <w:p w:rsidR="004D1343" w:rsidRPr="00C32887" w:rsidRDefault="004D1343" w:rsidP="004D1343">
      <w:pPr>
        <w:rPr>
          <w:rFonts w:ascii="Garamond" w:hAnsi="Garamond"/>
          <w:sz w:val="24"/>
          <w:szCs w:val="24"/>
        </w:rPr>
      </w:pPr>
    </w:p>
    <w:p w:rsidR="004D1343" w:rsidRPr="00C32887" w:rsidRDefault="004D1343" w:rsidP="00C838EA">
      <w:pPr>
        <w:jc w:val="both"/>
        <w:rPr>
          <w:rFonts w:ascii="Garamond" w:hAnsi="Garamond"/>
          <w:sz w:val="24"/>
          <w:szCs w:val="24"/>
        </w:rPr>
      </w:pPr>
      <w:r w:rsidRPr="00C32887">
        <w:rPr>
          <w:rFonts w:ascii="Garamond" w:hAnsi="Garamond"/>
          <w:sz w:val="24"/>
          <w:szCs w:val="24"/>
        </w:rPr>
        <w:t xml:space="preserve">The target value for the </w:t>
      </w:r>
      <w:r w:rsidR="00B04F8B">
        <w:rPr>
          <w:rFonts w:ascii="Garamond" w:hAnsi="Garamond"/>
          <w:sz w:val="24"/>
          <w:szCs w:val="24"/>
        </w:rPr>
        <w:t xml:space="preserve">performance </w:t>
      </w:r>
      <w:r w:rsidRPr="00C32887">
        <w:rPr>
          <w:rFonts w:ascii="Garamond" w:hAnsi="Garamond"/>
          <w:sz w:val="24"/>
          <w:szCs w:val="24"/>
        </w:rPr>
        <w:t xml:space="preserve">indicator </w:t>
      </w:r>
      <w:r w:rsidR="00294AA5">
        <w:rPr>
          <w:rFonts w:ascii="Garamond" w:hAnsi="Garamond"/>
          <w:sz w:val="24"/>
          <w:szCs w:val="24"/>
        </w:rPr>
        <w:t>Progress in</w:t>
      </w:r>
      <w:r w:rsidRPr="00C32887">
        <w:rPr>
          <w:rFonts w:ascii="Garamond" w:hAnsi="Garamond"/>
          <w:sz w:val="24"/>
          <w:szCs w:val="24"/>
        </w:rPr>
        <w:t xml:space="preserve"> implement</w:t>
      </w:r>
      <w:r w:rsidR="00294AA5">
        <w:rPr>
          <w:rFonts w:ascii="Garamond" w:hAnsi="Garamond"/>
          <w:sz w:val="24"/>
          <w:szCs w:val="24"/>
        </w:rPr>
        <w:t>ing</w:t>
      </w:r>
      <w:r w:rsidRPr="00C32887">
        <w:rPr>
          <w:rFonts w:ascii="Garamond" w:hAnsi="Garamond"/>
          <w:sz w:val="24"/>
          <w:szCs w:val="24"/>
        </w:rPr>
        <w:t xml:space="preserve"> the Stra</w:t>
      </w:r>
      <w:r w:rsidR="00294AA5">
        <w:rPr>
          <w:rFonts w:ascii="Garamond" w:hAnsi="Garamond"/>
          <w:sz w:val="24"/>
          <w:szCs w:val="24"/>
        </w:rPr>
        <w:t>tegic and Action Plan is part</w:t>
      </w:r>
      <w:r w:rsidRPr="00C32887">
        <w:rPr>
          <w:rFonts w:ascii="Garamond" w:hAnsi="Garamond"/>
          <w:sz w:val="24"/>
          <w:szCs w:val="24"/>
        </w:rPr>
        <w:t xml:space="preserve">ly </w:t>
      </w:r>
      <w:r w:rsidR="00294AA5">
        <w:rPr>
          <w:rFonts w:ascii="Garamond" w:hAnsi="Garamond"/>
          <w:sz w:val="24"/>
          <w:szCs w:val="24"/>
        </w:rPr>
        <w:t>achieved</w:t>
      </w:r>
      <w:r w:rsidRPr="00C32887">
        <w:rPr>
          <w:rFonts w:ascii="Garamond" w:hAnsi="Garamond"/>
          <w:sz w:val="24"/>
          <w:szCs w:val="24"/>
        </w:rPr>
        <w:t>. The Strategic Plan of the Audit Authority and the Action Plan for its implementation wer</w:t>
      </w:r>
      <w:r w:rsidR="00B04F8B">
        <w:rPr>
          <w:rFonts w:ascii="Garamond" w:hAnsi="Garamond"/>
          <w:sz w:val="24"/>
          <w:szCs w:val="24"/>
        </w:rPr>
        <w:t xml:space="preserve">e adopted on December 29, 2020 </w:t>
      </w:r>
      <w:r w:rsidRPr="00C32887">
        <w:rPr>
          <w:rFonts w:ascii="Garamond" w:hAnsi="Garamond"/>
          <w:sz w:val="24"/>
          <w:szCs w:val="24"/>
        </w:rPr>
        <w:t>(the activity was planned for 20</w:t>
      </w:r>
      <w:r w:rsidR="00B04F8B">
        <w:rPr>
          <w:rFonts w:ascii="Garamond" w:hAnsi="Garamond"/>
          <w:sz w:val="24"/>
          <w:szCs w:val="24"/>
        </w:rPr>
        <w:t>19, and was postponed for 2020)</w:t>
      </w:r>
      <w:r w:rsidRPr="00C32887">
        <w:rPr>
          <w:rFonts w:ascii="Garamond" w:hAnsi="Garamond"/>
          <w:sz w:val="24"/>
          <w:szCs w:val="24"/>
        </w:rPr>
        <w:t xml:space="preserve">. It is important to </w:t>
      </w:r>
      <w:r w:rsidR="00B04F8B">
        <w:rPr>
          <w:rFonts w:ascii="Garamond" w:hAnsi="Garamond"/>
          <w:sz w:val="24"/>
          <w:szCs w:val="24"/>
        </w:rPr>
        <w:t xml:space="preserve">note </w:t>
      </w:r>
      <w:r w:rsidRPr="00C32887">
        <w:rPr>
          <w:rFonts w:ascii="Garamond" w:hAnsi="Garamond"/>
          <w:sz w:val="24"/>
          <w:szCs w:val="24"/>
        </w:rPr>
        <w:t>that the Strategic Plan</w:t>
      </w:r>
      <w:r w:rsidR="00B04F8B">
        <w:rPr>
          <w:rFonts w:ascii="Garamond" w:hAnsi="Garamond"/>
          <w:sz w:val="24"/>
          <w:szCs w:val="24"/>
        </w:rPr>
        <w:t xml:space="preserve"> refers to the period 2021-2025</w:t>
      </w:r>
      <w:r w:rsidRPr="00C32887">
        <w:rPr>
          <w:rFonts w:ascii="Garamond" w:hAnsi="Garamond"/>
          <w:sz w:val="24"/>
          <w:szCs w:val="24"/>
        </w:rPr>
        <w:t xml:space="preserve">, in which period the implementation of the Action Plan is expected. Given the nature of the set of performance indicators and the period covered by the strategic plan (2021-2025), </w:t>
      </w:r>
      <w:r w:rsidR="00B04F8B">
        <w:rPr>
          <w:rFonts w:ascii="Garamond" w:hAnsi="Garamond"/>
          <w:sz w:val="24"/>
          <w:szCs w:val="24"/>
        </w:rPr>
        <w:t xml:space="preserve">by </w:t>
      </w:r>
      <w:r w:rsidRPr="00C32887">
        <w:rPr>
          <w:rFonts w:ascii="Garamond" w:hAnsi="Garamond"/>
          <w:sz w:val="24"/>
          <w:szCs w:val="24"/>
        </w:rPr>
        <w:t xml:space="preserve">the adoption of strategic documents, the target value may be considered </w:t>
      </w:r>
      <w:r w:rsidR="00B04F8B">
        <w:rPr>
          <w:rFonts w:ascii="Garamond" w:hAnsi="Garamond"/>
          <w:sz w:val="24"/>
          <w:szCs w:val="24"/>
        </w:rPr>
        <w:t>achieved</w:t>
      </w:r>
      <w:r w:rsidRPr="00C32887">
        <w:rPr>
          <w:rFonts w:ascii="Garamond" w:hAnsi="Garamond"/>
          <w:sz w:val="24"/>
          <w:szCs w:val="24"/>
        </w:rPr>
        <w:t>.</w:t>
      </w:r>
    </w:p>
    <w:p w:rsidR="004D1343" w:rsidRPr="00C32887" w:rsidRDefault="004D1343" w:rsidP="004D1343">
      <w:pPr>
        <w:rPr>
          <w:rFonts w:ascii="Garamond" w:hAnsi="Garamond"/>
          <w:sz w:val="24"/>
          <w:szCs w:val="24"/>
        </w:rPr>
      </w:pPr>
    </w:p>
    <w:p w:rsidR="00B04F8B" w:rsidRDefault="004D1343" w:rsidP="002C6D7B">
      <w:pPr>
        <w:pStyle w:val="Default"/>
        <w:jc w:val="both"/>
        <w:rPr>
          <w:rFonts w:ascii="Garamond" w:hAnsi="Garamond"/>
        </w:rPr>
      </w:pPr>
      <w:r w:rsidRPr="00294AA5">
        <w:rPr>
          <w:rFonts w:ascii="Garamond" w:hAnsi="Garamond"/>
        </w:rPr>
        <w:t xml:space="preserve">The target value for the </w:t>
      </w:r>
      <w:r w:rsidR="00B04F8B" w:rsidRPr="00294AA5">
        <w:rPr>
          <w:rFonts w:ascii="Garamond" w:hAnsi="Garamond"/>
        </w:rPr>
        <w:t xml:space="preserve">performance </w:t>
      </w:r>
      <w:r w:rsidRPr="00294AA5">
        <w:rPr>
          <w:rFonts w:ascii="Garamond" w:hAnsi="Garamond"/>
        </w:rPr>
        <w:t xml:space="preserve">indicator </w:t>
      </w:r>
      <w:r w:rsidR="00294AA5" w:rsidRPr="00294AA5">
        <w:rPr>
          <w:rFonts w:ascii="Garamond" w:hAnsi="Garamond"/>
        </w:rPr>
        <w:t>-</w:t>
      </w:r>
      <w:r w:rsidRPr="00294AA5">
        <w:rPr>
          <w:rFonts w:ascii="Garamond" w:hAnsi="Garamond"/>
        </w:rPr>
        <w:t xml:space="preserve"> </w:t>
      </w:r>
      <w:r w:rsidR="00294AA5" w:rsidRPr="00294AA5">
        <w:rPr>
          <w:rFonts w:ascii="Garamond" w:hAnsi="Garamond"/>
          <w:iCs/>
        </w:rPr>
        <w:t>Level of implementing st</w:t>
      </w:r>
      <w:r w:rsidR="00294AA5">
        <w:rPr>
          <w:rFonts w:ascii="Garamond" w:hAnsi="Garamond"/>
          <w:iCs/>
        </w:rPr>
        <w:t>andards to ensure audit quality</w:t>
      </w:r>
      <w:r w:rsidRPr="00C32887">
        <w:rPr>
          <w:rFonts w:ascii="Garamond" w:hAnsi="Garamond"/>
        </w:rPr>
        <w:t xml:space="preserve">, is completely </w:t>
      </w:r>
      <w:r w:rsidR="00B04F8B">
        <w:rPr>
          <w:rFonts w:ascii="Garamond" w:hAnsi="Garamond"/>
        </w:rPr>
        <w:t>achieved</w:t>
      </w:r>
      <w:r w:rsidRPr="00C32887">
        <w:rPr>
          <w:rFonts w:ascii="Garamond" w:hAnsi="Garamond"/>
        </w:rPr>
        <w:t>. The manual for quality control and quality assura</w:t>
      </w:r>
      <w:r w:rsidR="00294AA5">
        <w:rPr>
          <w:rFonts w:ascii="Garamond" w:hAnsi="Garamond"/>
        </w:rPr>
        <w:t>nce with accompanying annexes</w:t>
      </w:r>
      <w:r w:rsidR="00B04F8B">
        <w:rPr>
          <w:rFonts w:ascii="Garamond" w:hAnsi="Garamond"/>
        </w:rPr>
        <w:t xml:space="preserve"> </w:t>
      </w:r>
      <w:r w:rsidRPr="00C32887">
        <w:rPr>
          <w:rFonts w:ascii="Garamond" w:hAnsi="Garamond"/>
        </w:rPr>
        <w:t>was prepared and adopted in July 2020. When it</w:t>
      </w:r>
      <w:r w:rsidR="00B04F8B">
        <w:rPr>
          <w:rFonts w:ascii="Garamond" w:hAnsi="Garamond"/>
        </w:rPr>
        <w:t xml:space="preserve"> comes to 2019 and 2020</w:t>
      </w:r>
      <w:r w:rsidRPr="00C32887">
        <w:rPr>
          <w:rFonts w:ascii="Garamond" w:hAnsi="Garamond"/>
        </w:rPr>
        <w:t xml:space="preserve">, 75% of audits performed were covered by quality control. The manual for quality control and quality assurance with the accompanying annexes was prepared and adopted in June 2020, when the testing of the same </w:t>
      </w:r>
      <w:r w:rsidR="002C6D7B" w:rsidRPr="00C32887">
        <w:rPr>
          <w:rFonts w:ascii="Garamond" w:hAnsi="Garamond"/>
        </w:rPr>
        <w:t xml:space="preserve">began </w:t>
      </w:r>
      <w:r w:rsidRPr="00C32887">
        <w:rPr>
          <w:rFonts w:ascii="Garamond" w:hAnsi="Garamond"/>
        </w:rPr>
        <w:t>in practice.</w:t>
      </w:r>
    </w:p>
    <w:p w:rsidR="00B04F8B" w:rsidRDefault="00B04F8B" w:rsidP="004D1343">
      <w:pPr>
        <w:rPr>
          <w:rFonts w:ascii="Garamond" w:hAnsi="Garamond"/>
          <w:sz w:val="24"/>
          <w:szCs w:val="24"/>
        </w:rPr>
      </w:pPr>
    </w:p>
    <w:p w:rsidR="00B04F8B" w:rsidRDefault="00B04F8B" w:rsidP="004D1343">
      <w:pPr>
        <w:rPr>
          <w:rFonts w:ascii="Garamond" w:hAnsi="Garamond"/>
          <w:sz w:val="24"/>
          <w:szCs w:val="24"/>
        </w:rPr>
        <w:sectPr w:rsidR="00B04F8B" w:rsidSect="00D17861">
          <w:pgSz w:w="12240" w:h="15840"/>
          <w:pgMar w:top="1440" w:right="1440" w:bottom="1440" w:left="1440" w:header="720" w:footer="720" w:gutter="0"/>
          <w:cols w:space="720"/>
          <w:docGrid w:linePitch="360"/>
        </w:sectPr>
      </w:pPr>
    </w:p>
    <w:tbl>
      <w:tblPr>
        <w:tblW w:w="5000" w:type="pct"/>
        <w:jc w:val="center"/>
        <w:tblBorders>
          <w:top w:val="single" w:sz="18" w:space="0" w:color="auto"/>
          <w:left w:val="single" w:sz="18" w:space="0" w:color="auto"/>
          <w:bottom w:val="single" w:sz="18" w:space="0" w:color="auto"/>
          <w:right w:val="single" w:sz="18" w:space="0" w:color="auto"/>
          <w:insideH w:val="single" w:sz="2" w:space="0" w:color="auto"/>
          <w:insideV w:val="single" w:sz="2" w:space="0" w:color="auto"/>
        </w:tblBorders>
        <w:tblLook w:val="04A0"/>
      </w:tblPr>
      <w:tblGrid>
        <w:gridCol w:w="3289"/>
        <w:gridCol w:w="1626"/>
        <w:gridCol w:w="1444"/>
        <w:gridCol w:w="2535"/>
        <w:gridCol w:w="1407"/>
        <w:gridCol w:w="1555"/>
        <w:gridCol w:w="1320"/>
      </w:tblGrid>
      <w:tr w:rsidR="00B04F8B" w:rsidRPr="00B04F8B" w:rsidTr="00F51074">
        <w:trPr>
          <w:trHeight w:val="252"/>
          <w:jc w:val="center"/>
        </w:trPr>
        <w:tc>
          <w:tcPr>
            <w:tcW w:w="1248" w:type="pct"/>
            <w:vMerge w:val="restart"/>
            <w:tcBorders>
              <w:right w:val="single" w:sz="12" w:space="0" w:color="auto"/>
            </w:tcBorders>
            <w:shd w:val="clear" w:color="auto" w:fill="auto"/>
            <w:vAlign w:val="center"/>
            <w:hideMark/>
          </w:tcPr>
          <w:p w:rsidR="00B04F8B" w:rsidRPr="00B04F8B" w:rsidRDefault="00481CF4" w:rsidP="00B04F8B">
            <w:pPr>
              <w:widowControl/>
              <w:autoSpaceDE/>
              <w:autoSpaceDN/>
              <w:spacing w:before="60" w:after="60"/>
              <w:jc w:val="both"/>
              <w:rPr>
                <w:rFonts w:ascii="Garamond" w:eastAsia="Times New Roman" w:hAnsi="Garamond" w:cs="Calibri Light"/>
                <w:b/>
                <w:bCs/>
                <w:sz w:val="16"/>
                <w:szCs w:val="16"/>
                <w:lang w:eastAsia="en-US" w:bidi="ar-SA"/>
              </w:rPr>
            </w:pPr>
            <w:r>
              <w:rPr>
                <w:rFonts w:ascii="Garamond" w:eastAsia="Times New Roman" w:hAnsi="Garamond" w:cs="Calibri Light"/>
                <w:b/>
                <w:bCs/>
                <w:sz w:val="16"/>
                <w:szCs w:val="16"/>
                <w:lang w:eastAsia="en-US" w:bidi="ar-SA"/>
              </w:rPr>
              <w:t xml:space="preserve">Performance Indicator </w:t>
            </w:r>
            <w:r w:rsidR="00B04F8B" w:rsidRPr="00E2448F">
              <w:rPr>
                <w:rFonts w:ascii="Garamond" w:eastAsia="Times New Roman" w:hAnsi="Garamond" w:cs="Calibri Light"/>
                <w:b/>
                <w:bCs/>
                <w:sz w:val="16"/>
                <w:szCs w:val="16"/>
                <w:lang w:eastAsia="en-US" w:bidi="ar-SA"/>
              </w:rPr>
              <w:t xml:space="preserve"> </w:t>
            </w:r>
          </w:p>
        </w:tc>
        <w:tc>
          <w:tcPr>
            <w:tcW w:w="617" w:type="pct"/>
            <w:vMerge w:val="restart"/>
            <w:tcBorders>
              <w:top w:val="single" w:sz="18" w:space="0" w:color="auto"/>
              <w:left w:val="single" w:sz="12" w:space="0" w:color="auto"/>
              <w:bottom w:val="single" w:sz="2" w:space="0" w:color="auto"/>
              <w:right w:val="single" w:sz="12" w:space="0" w:color="auto"/>
            </w:tcBorders>
            <w:shd w:val="clear" w:color="auto" w:fill="auto"/>
            <w:vAlign w:val="center"/>
            <w:hideMark/>
          </w:tcPr>
          <w:p w:rsidR="00B04F8B" w:rsidRPr="00B04F8B" w:rsidRDefault="00B04F8B" w:rsidP="00B04F8B">
            <w:pPr>
              <w:widowControl/>
              <w:autoSpaceDE/>
              <w:autoSpaceDN/>
              <w:spacing w:before="60" w:after="60"/>
              <w:jc w:val="both"/>
              <w:rPr>
                <w:rFonts w:ascii="Garamond" w:eastAsia="Times New Roman" w:hAnsi="Garamond" w:cs="Calibri Light"/>
                <w:b/>
                <w:bCs/>
                <w:sz w:val="16"/>
                <w:szCs w:val="16"/>
                <w:lang w:eastAsia="en-US" w:bidi="ar-SA"/>
              </w:rPr>
            </w:pPr>
            <w:r w:rsidRPr="00B04F8B">
              <w:rPr>
                <w:rFonts w:ascii="Garamond" w:eastAsia="Times New Roman" w:hAnsi="Garamond" w:cs="Calibri Light"/>
                <w:b/>
                <w:bCs/>
                <w:sz w:val="16"/>
                <w:szCs w:val="16"/>
                <w:lang w:eastAsia="en-US" w:bidi="ar-SA"/>
              </w:rPr>
              <w:t>PV 2014</w:t>
            </w:r>
          </w:p>
        </w:tc>
        <w:tc>
          <w:tcPr>
            <w:tcW w:w="1510" w:type="pct"/>
            <w:gridSpan w:val="2"/>
            <w:tcBorders>
              <w:top w:val="single" w:sz="18" w:space="0" w:color="auto"/>
              <w:left w:val="single" w:sz="12" w:space="0" w:color="auto"/>
              <w:bottom w:val="single" w:sz="2" w:space="0" w:color="auto"/>
              <w:right w:val="single" w:sz="12" w:space="0" w:color="auto"/>
            </w:tcBorders>
            <w:shd w:val="clear" w:color="auto" w:fill="auto"/>
            <w:noWrap/>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b/>
                <w:bCs/>
                <w:sz w:val="16"/>
                <w:szCs w:val="16"/>
                <w:lang w:eastAsia="en-US" w:bidi="ar-SA"/>
              </w:rPr>
            </w:pPr>
            <w:r w:rsidRPr="00B04F8B">
              <w:rPr>
                <w:rFonts w:ascii="Garamond" w:eastAsia="Times New Roman" w:hAnsi="Garamond" w:cs="Calibri Light"/>
                <w:b/>
                <w:bCs/>
                <w:sz w:val="16"/>
                <w:szCs w:val="16"/>
                <w:lang w:eastAsia="en-US" w:bidi="ar-SA"/>
              </w:rPr>
              <w:t>2019</w:t>
            </w:r>
          </w:p>
        </w:tc>
        <w:tc>
          <w:tcPr>
            <w:tcW w:w="1124" w:type="pct"/>
            <w:gridSpan w:val="2"/>
            <w:tcBorders>
              <w:left w:val="single" w:sz="12" w:space="0" w:color="auto"/>
            </w:tcBorders>
          </w:tcPr>
          <w:p w:rsidR="00B04F8B" w:rsidRPr="00B04F8B" w:rsidRDefault="00B04F8B" w:rsidP="00B04F8B">
            <w:pPr>
              <w:widowControl/>
              <w:autoSpaceDE/>
              <w:autoSpaceDN/>
              <w:spacing w:before="60" w:after="60"/>
              <w:jc w:val="center"/>
              <w:rPr>
                <w:rFonts w:ascii="Garamond" w:eastAsia="Times New Roman" w:hAnsi="Garamond" w:cs="Calibri Light"/>
                <w:b/>
                <w:bCs/>
                <w:sz w:val="16"/>
                <w:szCs w:val="16"/>
                <w:lang w:eastAsia="en-US" w:bidi="ar-SA"/>
              </w:rPr>
            </w:pPr>
            <w:r w:rsidRPr="00B04F8B">
              <w:rPr>
                <w:rFonts w:ascii="Garamond" w:eastAsia="Times New Roman" w:hAnsi="Garamond" w:cs="Calibri Light"/>
                <w:b/>
                <w:bCs/>
                <w:sz w:val="16"/>
                <w:szCs w:val="16"/>
                <w:lang w:eastAsia="en-US" w:bidi="ar-SA"/>
              </w:rPr>
              <w:t>2020</w:t>
            </w:r>
          </w:p>
        </w:tc>
        <w:tc>
          <w:tcPr>
            <w:tcW w:w="501" w:type="pct"/>
            <w:vMerge w:val="restart"/>
            <w:tcBorders>
              <w:lef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b/>
                <w:bCs/>
                <w:sz w:val="16"/>
                <w:szCs w:val="16"/>
                <w:lang w:eastAsia="en-US" w:bidi="ar-SA"/>
              </w:rPr>
            </w:pPr>
            <w:r w:rsidRPr="00B04F8B">
              <w:rPr>
                <w:rFonts w:ascii="Garamond" w:eastAsia="Times New Roman" w:hAnsi="Garamond" w:cs="Calibri Light"/>
                <w:b/>
                <w:bCs/>
                <w:sz w:val="16"/>
                <w:szCs w:val="16"/>
                <w:lang w:eastAsia="en-US" w:bidi="ar-SA"/>
              </w:rPr>
              <w:t>Trend</w:t>
            </w:r>
          </w:p>
        </w:tc>
      </w:tr>
      <w:tr w:rsidR="00B04F8B" w:rsidRPr="00B04F8B" w:rsidTr="00F51074">
        <w:trPr>
          <w:trHeight w:val="489"/>
          <w:jc w:val="center"/>
        </w:trPr>
        <w:tc>
          <w:tcPr>
            <w:tcW w:w="1248" w:type="pct"/>
            <w:vMerge/>
            <w:tcBorders>
              <w:right w:val="single" w:sz="12" w:space="0" w:color="auto"/>
            </w:tcBorders>
            <w:shd w:val="clear" w:color="auto" w:fill="auto"/>
            <w:vAlign w:val="center"/>
            <w:hideMark/>
          </w:tcPr>
          <w:p w:rsidR="00B04F8B" w:rsidRPr="00B04F8B" w:rsidRDefault="00B04F8B" w:rsidP="00B04F8B">
            <w:pPr>
              <w:widowControl/>
              <w:autoSpaceDE/>
              <w:autoSpaceDN/>
              <w:spacing w:before="60" w:after="60"/>
              <w:jc w:val="both"/>
              <w:rPr>
                <w:rFonts w:ascii="Garamond" w:eastAsia="Times New Roman" w:hAnsi="Garamond" w:cs="Calibri Light"/>
                <w:b/>
                <w:bCs/>
                <w:sz w:val="16"/>
                <w:szCs w:val="16"/>
                <w:lang w:eastAsia="en-US" w:bidi="ar-SA"/>
              </w:rPr>
            </w:pPr>
          </w:p>
        </w:tc>
        <w:tc>
          <w:tcPr>
            <w:tcW w:w="617" w:type="pct"/>
            <w:vMerge/>
            <w:tcBorders>
              <w:top w:val="single" w:sz="2" w:space="0" w:color="auto"/>
              <w:left w:val="single" w:sz="12" w:space="0" w:color="auto"/>
              <w:bottom w:val="single" w:sz="2" w:space="0" w:color="auto"/>
              <w:right w:val="single" w:sz="12" w:space="0" w:color="auto"/>
            </w:tcBorders>
            <w:shd w:val="clear" w:color="auto" w:fill="auto"/>
            <w:vAlign w:val="center"/>
            <w:hideMark/>
          </w:tcPr>
          <w:p w:rsidR="00B04F8B" w:rsidRPr="00B04F8B" w:rsidRDefault="00B04F8B" w:rsidP="00B04F8B">
            <w:pPr>
              <w:widowControl/>
              <w:autoSpaceDE/>
              <w:autoSpaceDN/>
              <w:spacing w:before="60" w:after="60"/>
              <w:jc w:val="both"/>
              <w:rPr>
                <w:rFonts w:ascii="Garamond" w:eastAsia="Times New Roman" w:hAnsi="Garamond" w:cs="Calibri Light"/>
                <w:b/>
                <w:bCs/>
                <w:sz w:val="16"/>
                <w:szCs w:val="16"/>
                <w:lang w:eastAsia="en-US" w:bidi="ar-SA"/>
              </w:rPr>
            </w:pPr>
          </w:p>
        </w:tc>
        <w:tc>
          <w:tcPr>
            <w:tcW w:w="548" w:type="pct"/>
            <w:tcBorders>
              <w:top w:val="single" w:sz="2" w:space="0" w:color="auto"/>
              <w:left w:val="single" w:sz="12" w:space="0" w:color="auto"/>
              <w:bottom w:val="single" w:sz="2" w:space="0" w:color="auto"/>
            </w:tcBorders>
            <w:shd w:val="clear" w:color="auto" w:fill="auto"/>
            <w:vAlign w:val="center"/>
            <w:hideMark/>
          </w:tcPr>
          <w:p w:rsidR="00B04F8B" w:rsidRPr="00B04F8B" w:rsidRDefault="00B04F8B" w:rsidP="00B04F8B">
            <w:pPr>
              <w:widowControl/>
              <w:autoSpaceDE/>
              <w:autoSpaceDN/>
              <w:jc w:val="center"/>
              <w:rPr>
                <w:rFonts w:ascii="Garamond" w:eastAsia="Times New Roman" w:hAnsi="Garamond" w:cs="Calibri Light"/>
                <w:b/>
                <w:bCs/>
                <w:sz w:val="16"/>
                <w:szCs w:val="16"/>
                <w:lang w:eastAsia="en-US" w:bidi="ar-SA"/>
              </w:rPr>
            </w:pPr>
            <w:r w:rsidRPr="00E2448F">
              <w:rPr>
                <w:rFonts w:ascii="Garamond" w:eastAsia="Times New Roman" w:hAnsi="Garamond" w:cs="Calibri Light"/>
                <w:b/>
                <w:bCs/>
                <w:sz w:val="16"/>
                <w:szCs w:val="16"/>
                <w:lang w:eastAsia="en-US" w:bidi="ar-SA"/>
              </w:rPr>
              <w:t>Target value</w:t>
            </w:r>
          </w:p>
        </w:tc>
        <w:tc>
          <w:tcPr>
            <w:tcW w:w="962" w:type="pct"/>
            <w:tcBorders>
              <w:top w:val="single" w:sz="2" w:space="0" w:color="auto"/>
              <w:bottom w:val="single" w:sz="2" w:space="0" w:color="auto"/>
              <w:right w:val="single" w:sz="12" w:space="0" w:color="auto"/>
            </w:tcBorders>
            <w:shd w:val="clear" w:color="auto" w:fill="auto"/>
            <w:vAlign w:val="center"/>
            <w:hideMark/>
          </w:tcPr>
          <w:p w:rsidR="00B04F8B" w:rsidRPr="00B04F8B" w:rsidRDefault="00B04F8B" w:rsidP="00B04F8B">
            <w:pPr>
              <w:widowControl/>
              <w:autoSpaceDE/>
              <w:autoSpaceDN/>
              <w:jc w:val="center"/>
              <w:rPr>
                <w:rFonts w:ascii="Garamond" w:eastAsia="Times New Roman" w:hAnsi="Garamond" w:cs="Calibri Light"/>
                <w:b/>
                <w:bCs/>
                <w:sz w:val="16"/>
                <w:szCs w:val="16"/>
                <w:lang w:eastAsia="en-US" w:bidi="ar-SA"/>
              </w:rPr>
            </w:pPr>
            <w:r w:rsidRPr="00E2448F">
              <w:rPr>
                <w:rFonts w:ascii="Garamond" w:eastAsia="Times New Roman" w:hAnsi="Garamond" w:cs="Calibri Light"/>
                <w:b/>
                <w:bCs/>
                <w:sz w:val="16"/>
                <w:szCs w:val="16"/>
                <w:lang w:eastAsia="en-US" w:bidi="ar-SA"/>
              </w:rPr>
              <w:t xml:space="preserve">Implemented </w:t>
            </w:r>
          </w:p>
        </w:tc>
        <w:tc>
          <w:tcPr>
            <w:tcW w:w="534" w:type="pct"/>
            <w:tcBorders>
              <w:right w:val="single" w:sz="12" w:space="0" w:color="auto"/>
            </w:tcBorders>
            <w:vAlign w:val="center"/>
          </w:tcPr>
          <w:p w:rsidR="00B04F8B" w:rsidRPr="00B04F8B" w:rsidRDefault="00B04F8B" w:rsidP="00F51074">
            <w:pPr>
              <w:widowControl/>
              <w:autoSpaceDE/>
              <w:autoSpaceDN/>
              <w:jc w:val="center"/>
              <w:rPr>
                <w:rFonts w:ascii="Garamond" w:eastAsia="Times New Roman" w:hAnsi="Garamond" w:cs="Calibri Light"/>
                <w:b/>
                <w:bCs/>
                <w:sz w:val="16"/>
                <w:szCs w:val="16"/>
                <w:lang w:eastAsia="en-US" w:bidi="ar-SA"/>
              </w:rPr>
            </w:pPr>
            <w:r w:rsidRPr="00E2448F">
              <w:rPr>
                <w:rFonts w:ascii="Garamond" w:eastAsia="Times New Roman" w:hAnsi="Garamond" w:cs="Calibri Light"/>
                <w:b/>
                <w:bCs/>
                <w:sz w:val="16"/>
                <w:szCs w:val="16"/>
                <w:lang w:eastAsia="en-US" w:bidi="ar-SA"/>
              </w:rPr>
              <w:t>Target value</w:t>
            </w:r>
          </w:p>
        </w:tc>
        <w:tc>
          <w:tcPr>
            <w:tcW w:w="590" w:type="pct"/>
            <w:vAlign w:val="center"/>
          </w:tcPr>
          <w:p w:rsidR="00B04F8B" w:rsidRPr="00B04F8B" w:rsidRDefault="00B04F8B" w:rsidP="00F51074">
            <w:pPr>
              <w:widowControl/>
              <w:autoSpaceDE/>
              <w:autoSpaceDN/>
              <w:jc w:val="center"/>
              <w:rPr>
                <w:rFonts w:ascii="Garamond" w:eastAsia="Times New Roman" w:hAnsi="Garamond" w:cs="Calibri Light"/>
                <w:b/>
                <w:bCs/>
                <w:sz w:val="16"/>
                <w:szCs w:val="16"/>
                <w:lang w:eastAsia="en-US" w:bidi="ar-SA"/>
              </w:rPr>
            </w:pPr>
            <w:r w:rsidRPr="00E2448F">
              <w:rPr>
                <w:rFonts w:ascii="Garamond" w:eastAsia="Times New Roman" w:hAnsi="Garamond" w:cs="Calibri Light"/>
                <w:b/>
                <w:bCs/>
                <w:sz w:val="16"/>
                <w:szCs w:val="16"/>
                <w:lang w:eastAsia="en-US" w:bidi="ar-SA"/>
              </w:rPr>
              <w:t xml:space="preserve">Implemented </w:t>
            </w:r>
          </w:p>
        </w:tc>
        <w:tc>
          <w:tcPr>
            <w:tcW w:w="501" w:type="pct"/>
            <w:vMerge/>
            <w:tcBorders>
              <w:lef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b/>
                <w:bCs/>
                <w:sz w:val="16"/>
                <w:szCs w:val="16"/>
                <w:lang w:eastAsia="en-US" w:bidi="ar-SA"/>
              </w:rPr>
            </w:pPr>
          </w:p>
        </w:tc>
      </w:tr>
      <w:tr w:rsidR="00B04F8B" w:rsidRPr="00B04F8B" w:rsidTr="00F51074">
        <w:trPr>
          <w:trHeight w:val="1114"/>
          <w:jc w:val="center"/>
        </w:trPr>
        <w:tc>
          <w:tcPr>
            <w:tcW w:w="1248" w:type="pct"/>
            <w:tcBorders>
              <w:right w:val="single" w:sz="12" w:space="0" w:color="auto"/>
            </w:tcBorders>
            <w:shd w:val="clear" w:color="auto" w:fill="auto"/>
            <w:vAlign w:val="center"/>
            <w:hideMark/>
          </w:tcPr>
          <w:p w:rsidR="00B04F8B" w:rsidRPr="00E2448F" w:rsidRDefault="00B04F8B" w:rsidP="00B04F8B">
            <w:pPr>
              <w:pStyle w:val="Default"/>
              <w:jc w:val="center"/>
              <w:rPr>
                <w:rFonts w:ascii="Garamond" w:hAnsi="Garamond"/>
                <w:sz w:val="16"/>
                <w:szCs w:val="16"/>
              </w:rPr>
            </w:pPr>
            <w:r w:rsidRPr="00E2448F">
              <w:rPr>
                <w:rFonts w:ascii="Garamond" w:hAnsi="Garamond"/>
                <w:iCs/>
                <w:sz w:val="16"/>
                <w:szCs w:val="16"/>
              </w:rPr>
              <w:t xml:space="preserve">Number of trainings / seminars / workshops per auditor </w:t>
            </w:r>
          </w:p>
          <w:p w:rsidR="00B04F8B" w:rsidRPr="00B04F8B"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p>
        </w:tc>
        <w:tc>
          <w:tcPr>
            <w:tcW w:w="617" w:type="pct"/>
            <w:tcBorders>
              <w:top w:val="single" w:sz="2" w:space="0" w:color="auto"/>
              <w:left w:val="single" w:sz="12" w:space="0" w:color="auto"/>
              <w:bottom w:val="single" w:sz="2" w:space="0" w:color="auto"/>
              <w:right w:val="single" w:sz="12" w:space="0" w:color="auto"/>
            </w:tcBorders>
            <w:shd w:val="clear" w:color="auto" w:fill="auto"/>
            <w:vAlign w:val="center"/>
            <w:hideMark/>
          </w:tcPr>
          <w:p w:rsidR="00B04F8B" w:rsidRPr="00E2448F" w:rsidRDefault="00B04F8B" w:rsidP="00B04F8B">
            <w:pPr>
              <w:pStyle w:val="Default"/>
              <w:jc w:val="center"/>
              <w:rPr>
                <w:rFonts w:ascii="Garamond" w:hAnsi="Garamond"/>
                <w:sz w:val="16"/>
                <w:szCs w:val="16"/>
              </w:rPr>
            </w:pPr>
            <w:r w:rsidRPr="00E2448F">
              <w:rPr>
                <w:rFonts w:ascii="Garamond" w:hAnsi="Garamond"/>
                <w:iCs/>
                <w:sz w:val="16"/>
                <w:szCs w:val="16"/>
              </w:rPr>
              <w:t>3 trainings delivered</w:t>
            </w:r>
          </w:p>
          <w:p w:rsidR="00B04F8B" w:rsidRPr="00B04F8B"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p>
        </w:tc>
        <w:tc>
          <w:tcPr>
            <w:tcW w:w="548" w:type="pct"/>
            <w:tcBorders>
              <w:top w:val="single" w:sz="2" w:space="0" w:color="auto"/>
              <w:left w:val="single" w:sz="12" w:space="0" w:color="auto"/>
              <w:bottom w:val="single" w:sz="2" w:space="0" w:color="auto"/>
            </w:tcBorders>
            <w:shd w:val="clear" w:color="auto" w:fill="auto"/>
            <w:vAlign w:val="center"/>
            <w:hideMark/>
          </w:tcPr>
          <w:p w:rsidR="00B04F8B" w:rsidRPr="00E2448F" w:rsidRDefault="00B04F8B" w:rsidP="00B04F8B">
            <w:pPr>
              <w:pStyle w:val="Default"/>
              <w:jc w:val="center"/>
              <w:rPr>
                <w:rFonts w:ascii="Garamond" w:hAnsi="Garamond"/>
                <w:sz w:val="16"/>
                <w:szCs w:val="16"/>
              </w:rPr>
            </w:pPr>
            <w:r w:rsidRPr="00E2448F">
              <w:rPr>
                <w:rFonts w:ascii="Garamond" w:hAnsi="Garamond"/>
                <w:iCs/>
                <w:sz w:val="16"/>
                <w:szCs w:val="16"/>
              </w:rPr>
              <w:t xml:space="preserve">Minimum 9 trainings per auditor </w:t>
            </w:r>
          </w:p>
          <w:p w:rsidR="00B04F8B" w:rsidRPr="00B04F8B"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E2448F">
              <w:rPr>
                <w:rFonts w:ascii="Garamond" w:eastAsia="Times New Roman" w:hAnsi="Garamond" w:cs="Calibri Light"/>
                <w:color w:val="000000"/>
                <w:sz w:val="16"/>
                <w:szCs w:val="16"/>
                <w:lang w:eastAsia="en-US" w:bidi="ar-SA"/>
              </w:rPr>
              <w:t>delivered</w:t>
            </w:r>
          </w:p>
        </w:tc>
        <w:tc>
          <w:tcPr>
            <w:tcW w:w="962" w:type="pct"/>
            <w:tcBorders>
              <w:top w:val="single" w:sz="2" w:space="0" w:color="auto"/>
              <w:bottom w:val="single" w:sz="2" w:space="0" w:color="auto"/>
              <w:righ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sz w:val="16"/>
                <w:szCs w:val="16"/>
                <w:lang w:eastAsia="en-US" w:bidi="ar-SA"/>
              </w:rPr>
            </w:pPr>
            <w:r w:rsidRPr="00E2448F">
              <w:rPr>
                <w:rFonts w:ascii="Garamond" w:eastAsia="Times New Roman" w:hAnsi="Garamond" w:cs="Calibri Light"/>
                <w:sz w:val="16"/>
                <w:szCs w:val="16"/>
                <w:lang w:eastAsia="en-US" w:bidi="ar-SA"/>
              </w:rPr>
              <w:t xml:space="preserve">11 trainings per auditor were </w:t>
            </w:r>
            <w:r w:rsidR="00D2080A">
              <w:rPr>
                <w:rFonts w:ascii="Garamond" w:eastAsia="Times New Roman" w:hAnsi="Garamond" w:cs="Calibri Light"/>
                <w:sz w:val="16"/>
                <w:szCs w:val="16"/>
                <w:lang w:eastAsia="en-US" w:bidi="ar-SA"/>
              </w:rPr>
              <w:t>organised</w:t>
            </w:r>
          </w:p>
        </w:tc>
        <w:tc>
          <w:tcPr>
            <w:tcW w:w="534" w:type="pct"/>
            <w:tcBorders>
              <w:right w:val="single" w:sz="12" w:space="0" w:color="auto"/>
            </w:tcBorders>
            <w:vAlign w:val="center"/>
          </w:tcPr>
          <w:p w:rsidR="00B04F8B" w:rsidRPr="00B04F8B" w:rsidRDefault="00D2080A" w:rsidP="00B04F8B">
            <w:pPr>
              <w:widowControl/>
              <w:autoSpaceDE/>
              <w:autoSpaceDN/>
              <w:spacing w:before="60" w:after="60"/>
              <w:jc w:val="center"/>
              <w:rPr>
                <w:rFonts w:ascii="Garamond" w:eastAsia="游明朝" w:hAnsi="Garamond" w:cs="Calibri Light"/>
                <w:noProof/>
                <w:sz w:val="16"/>
                <w:szCs w:val="16"/>
                <w:lang w:eastAsia="en-US" w:bidi="ar-SA"/>
              </w:rPr>
            </w:pPr>
            <w:r>
              <w:rPr>
                <w:rFonts w:ascii="Garamond" w:eastAsia="Times New Roman" w:hAnsi="Garamond" w:cs="Calibri Light"/>
                <w:bCs/>
                <w:sz w:val="16"/>
                <w:szCs w:val="16"/>
                <w:lang w:eastAsia="en-US" w:bidi="ar-SA"/>
              </w:rPr>
              <w:t>Organised</w:t>
            </w:r>
            <w:r w:rsidR="00B04F8B" w:rsidRPr="00E2448F">
              <w:rPr>
                <w:rFonts w:ascii="Garamond" w:eastAsia="Times New Roman" w:hAnsi="Garamond" w:cs="Calibri Light"/>
                <w:bCs/>
                <w:sz w:val="16"/>
                <w:szCs w:val="16"/>
                <w:lang w:eastAsia="en-US" w:bidi="ar-SA"/>
              </w:rPr>
              <w:t xml:space="preserve"> a minimum of 7 audit trainings per auditor</w:t>
            </w:r>
          </w:p>
        </w:tc>
        <w:tc>
          <w:tcPr>
            <w:tcW w:w="590" w:type="pct"/>
            <w:vAlign w:val="center"/>
          </w:tcPr>
          <w:p w:rsidR="00B04F8B" w:rsidRPr="00B04F8B" w:rsidRDefault="00B04F8B" w:rsidP="00B04F8B">
            <w:pPr>
              <w:widowControl/>
              <w:autoSpaceDE/>
              <w:autoSpaceDN/>
              <w:spacing w:before="60" w:after="60"/>
              <w:jc w:val="center"/>
              <w:rPr>
                <w:rFonts w:ascii="Garamond" w:eastAsia="游明朝" w:hAnsi="Garamond" w:cs="Calibri Light"/>
                <w:noProof/>
                <w:sz w:val="16"/>
                <w:szCs w:val="16"/>
                <w:lang w:eastAsia="en-US" w:bidi="ar-SA"/>
              </w:rPr>
            </w:pPr>
            <w:r w:rsidRPr="00E2448F">
              <w:rPr>
                <w:rFonts w:ascii="Garamond" w:eastAsia="Times New Roman" w:hAnsi="Garamond" w:cs="Calibri Light"/>
                <w:sz w:val="16"/>
                <w:szCs w:val="16"/>
                <w:lang w:eastAsia="en-US" w:bidi="ar-SA"/>
              </w:rPr>
              <w:t xml:space="preserve">9 trainings per auditor were </w:t>
            </w:r>
            <w:r w:rsidR="00D2080A">
              <w:rPr>
                <w:rFonts w:ascii="Garamond" w:eastAsia="Times New Roman" w:hAnsi="Garamond" w:cs="Calibri Light"/>
                <w:sz w:val="16"/>
                <w:szCs w:val="16"/>
                <w:lang w:eastAsia="en-US" w:bidi="ar-SA"/>
              </w:rPr>
              <w:t>organised</w:t>
            </w:r>
          </w:p>
        </w:tc>
        <w:tc>
          <w:tcPr>
            <w:tcW w:w="501" w:type="pct"/>
            <w:tcBorders>
              <w:lef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bCs/>
                <w:sz w:val="16"/>
                <w:szCs w:val="16"/>
                <w:lang w:eastAsia="en-US" w:bidi="ar-SA"/>
              </w:rPr>
            </w:pPr>
            <w:r w:rsidRPr="00B04F8B">
              <w:rPr>
                <w:rFonts w:ascii="Garamond" w:eastAsia="游明朝" w:hAnsi="Garamond" w:cs="Calibri Light"/>
                <w:noProof/>
                <w:sz w:val="16"/>
                <w:szCs w:val="16"/>
                <w:lang w:eastAsia="ja-JP" w:bidi="ar-SA"/>
              </w:rPr>
              <w:drawing>
                <wp:inline distT="0" distB="0" distL="0" distR="0">
                  <wp:extent cx="276225" cy="233680"/>
                  <wp:effectExtent l="0" t="0" r="9525" b="0"/>
                  <wp:docPr id="32" name="Picture 44"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B04F8B" w:rsidRPr="00B04F8B" w:rsidTr="00F51074">
        <w:trPr>
          <w:trHeight w:val="311"/>
          <w:jc w:val="center"/>
        </w:trPr>
        <w:tc>
          <w:tcPr>
            <w:tcW w:w="1248" w:type="pct"/>
            <w:tcBorders>
              <w:righ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E2448F">
              <w:rPr>
                <w:rFonts w:ascii="Garamond" w:eastAsia="Times New Roman" w:hAnsi="Garamond" w:cs="Calibri Light"/>
                <w:color w:val="000000"/>
                <w:sz w:val="16"/>
                <w:szCs w:val="16"/>
                <w:lang w:eastAsia="en-US" w:bidi="ar-SA"/>
              </w:rPr>
              <w:t>Degree of implementation of the Strategic and Action Plan of the institution</w:t>
            </w:r>
          </w:p>
        </w:tc>
        <w:tc>
          <w:tcPr>
            <w:tcW w:w="617" w:type="pct"/>
            <w:tcBorders>
              <w:top w:val="single" w:sz="2" w:space="0" w:color="auto"/>
              <w:left w:val="single" w:sz="12" w:space="0" w:color="auto"/>
              <w:bottom w:val="single" w:sz="2" w:space="0" w:color="auto"/>
              <w:righ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color w:val="0000FF"/>
                <w:sz w:val="16"/>
                <w:szCs w:val="16"/>
                <w:u w:val="single"/>
                <w:lang w:eastAsia="en-US" w:bidi="ar-SA"/>
              </w:rPr>
            </w:pPr>
            <w:r w:rsidRPr="00B04F8B">
              <w:rPr>
                <w:rFonts w:ascii="Garamond" w:eastAsia="游明朝" w:hAnsi="Garamond" w:cs="Calibri Light"/>
                <w:sz w:val="16"/>
                <w:szCs w:val="16"/>
                <w:lang w:eastAsia="en-US" w:bidi="ar-SA"/>
              </w:rPr>
              <w:t>n/a</w:t>
            </w:r>
          </w:p>
        </w:tc>
        <w:tc>
          <w:tcPr>
            <w:tcW w:w="548" w:type="pct"/>
            <w:tcBorders>
              <w:top w:val="single" w:sz="2" w:space="0" w:color="auto"/>
              <w:left w:val="single" w:sz="12" w:space="0" w:color="auto"/>
              <w:bottom w:val="single" w:sz="2" w:space="0" w:color="auto"/>
            </w:tcBorders>
            <w:shd w:val="clear" w:color="auto" w:fill="auto"/>
            <w:vAlign w:val="center"/>
            <w:hideMark/>
          </w:tcPr>
          <w:p w:rsidR="00B04F8B" w:rsidRPr="00E2448F"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E2448F">
              <w:rPr>
                <w:rFonts w:ascii="Garamond" w:eastAsia="Times New Roman" w:hAnsi="Garamond" w:cs="Calibri Light"/>
                <w:color w:val="000000"/>
                <w:sz w:val="16"/>
                <w:szCs w:val="16"/>
                <w:lang w:eastAsia="en-US" w:bidi="ar-SA"/>
              </w:rPr>
              <w:t>Strategic plan adopted;</w:t>
            </w:r>
          </w:p>
          <w:p w:rsidR="00B04F8B" w:rsidRPr="00B04F8B"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E2448F">
              <w:rPr>
                <w:rFonts w:ascii="Garamond" w:eastAsia="Times New Roman" w:hAnsi="Garamond" w:cs="Calibri Light"/>
                <w:color w:val="000000"/>
                <w:sz w:val="16"/>
                <w:szCs w:val="16"/>
                <w:lang w:eastAsia="en-US" w:bidi="ar-SA"/>
              </w:rPr>
              <w:t>Action plan adopted.</w:t>
            </w:r>
          </w:p>
        </w:tc>
        <w:tc>
          <w:tcPr>
            <w:tcW w:w="962" w:type="pct"/>
            <w:tcBorders>
              <w:top w:val="single" w:sz="2" w:space="0" w:color="auto"/>
              <w:bottom w:val="single" w:sz="2" w:space="0" w:color="auto"/>
              <w:righ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sz w:val="16"/>
                <w:szCs w:val="16"/>
                <w:lang w:eastAsia="en-US" w:bidi="ar-SA"/>
              </w:rPr>
            </w:pPr>
            <w:r w:rsidRPr="00E2448F">
              <w:rPr>
                <w:rFonts w:ascii="Garamond" w:eastAsia="Times New Roman" w:hAnsi="Garamond" w:cs="Calibri Light"/>
                <w:sz w:val="16"/>
                <w:szCs w:val="16"/>
                <w:lang w:eastAsia="en-US" w:bidi="ar-SA"/>
              </w:rPr>
              <w:t>Activities have been postponed to 2020.</w:t>
            </w:r>
          </w:p>
        </w:tc>
        <w:tc>
          <w:tcPr>
            <w:tcW w:w="534" w:type="pct"/>
            <w:tcBorders>
              <w:right w:val="single" w:sz="12" w:space="0" w:color="auto"/>
            </w:tcBorders>
            <w:vAlign w:val="center"/>
          </w:tcPr>
          <w:p w:rsidR="00B04F8B" w:rsidRPr="00B04F8B" w:rsidRDefault="00B04F8B" w:rsidP="002C6D7B">
            <w:pPr>
              <w:widowControl/>
              <w:tabs>
                <w:tab w:val="left" w:pos="368"/>
                <w:tab w:val="center" w:pos="627"/>
              </w:tabs>
              <w:autoSpaceDE/>
              <w:autoSpaceDN/>
              <w:spacing w:before="60" w:after="60"/>
              <w:jc w:val="center"/>
              <w:rPr>
                <w:rFonts w:ascii="Garamond" w:eastAsia="游明朝" w:hAnsi="Garamond" w:cs="Calibri Light"/>
                <w:sz w:val="16"/>
                <w:szCs w:val="16"/>
                <w:lang w:eastAsia="en-US" w:bidi="ar-SA"/>
              </w:rPr>
            </w:pPr>
            <w:r w:rsidRPr="00E2448F">
              <w:rPr>
                <w:rFonts w:ascii="Garamond" w:eastAsia="Times New Roman" w:hAnsi="Garamond" w:cs="Calibri Light"/>
                <w:bCs/>
                <w:sz w:val="16"/>
                <w:szCs w:val="16"/>
                <w:lang w:eastAsia="en-US" w:bidi="ar-SA"/>
              </w:rPr>
              <w:t xml:space="preserve">20% of planned activities </w:t>
            </w:r>
            <w:r w:rsidR="002C6D7B">
              <w:rPr>
                <w:rFonts w:ascii="Garamond" w:eastAsia="Times New Roman" w:hAnsi="Garamond" w:cs="Calibri Light"/>
                <w:bCs/>
                <w:sz w:val="16"/>
                <w:szCs w:val="16"/>
                <w:lang w:eastAsia="en-US" w:bidi="ar-SA"/>
              </w:rPr>
              <w:t xml:space="preserve">implemented </w:t>
            </w:r>
          </w:p>
        </w:tc>
        <w:tc>
          <w:tcPr>
            <w:tcW w:w="590" w:type="pct"/>
            <w:vAlign w:val="center"/>
          </w:tcPr>
          <w:p w:rsidR="00B04F8B" w:rsidRPr="00B04F8B" w:rsidRDefault="00B04F8B" w:rsidP="00B04F8B">
            <w:pPr>
              <w:widowControl/>
              <w:tabs>
                <w:tab w:val="left" w:pos="368"/>
                <w:tab w:val="center" w:pos="627"/>
              </w:tabs>
              <w:autoSpaceDE/>
              <w:autoSpaceDN/>
              <w:spacing w:before="60" w:after="60"/>
              <w:jc w:val="center"/>
              <w:rPr>
                <w:rFonts w:ascii="Garamond" w:eastAsia="游明朝" w:hAnsi="Garamond" w:cs="Calibri Light"/>
                <w:noProof/>
                <w:sz w:val="16"/>
                <w:szCs w:val="16"/>
                <w:lang w:eastAsia="en-US" w:bidi="ar-SA"/>
              </w:rPr>
            </w:pPr>
            <w:r w:rsidRPr="00E2448F">
              <w:rPr>
                <w:rFonts w:ascii="Garamond" w:eastAsia="游明朝" w:hAnsi="Garamond" w:cs="Calibri Light"/>
                <w:sz w:val="16"/>
                <w:szCs w:val="16"/>
                <w:lang w:eastAsia="en-US" w:bidi="ar-SA"/>
              </w:rPr>
              <w:t>The Strategic Plan and the Action Plan for its implementation were adopted on December 29, 2020 and refer to the period 2021-2025.</w:t>
            </w:r>
          </w:p>
        </w:tc>
        <w:tc>
          <w:tcPr>
            <w:tcW w:w="501" w:type="pct"/>
            <w:tcBorders>
              <w:left w:val="single" w:sz="12" w:space="0" w:color="auto"/>
            </w:tcBorders>
            <w:shd w:val="clear" w:color="auto" w:fill="auto"/>
            <w:vAlign w:val="center"/>
            <w:hideMark/>
          </w:tcPr>
          <w:p w:rsidR="00B04F8B" w:rsidRPr="00B04F8B" w:rsidRDefault="00B04F8B" w:rsidP="00B04F8B">
            <w:pPr>
              <w:widowControl/>
              <w:tabs>
                <w:tab w:val="left" w:pos="368"/>
                <w:tab w:val="center" w:pos="627"/>
              </w:tabs>
              <w:autoSpaceDE/>
              <w:autoSpaceDN/>
              <w:spacing w:before="60" w:after="60"/>
              <w:jc w:val="center"/>
              <w:rPr>
                <w:rFonts w:ascii="Garamond" w:eastAsia="Times New Roman" w:hAnsi="Garamond" w:cs="Calibri Light"/>
                <w:sz w:val="16"/>
                <w:szCs w:val="16"/>
                <w:lang w:eastAsia="en-US" w:bidi="ar-SA"/>
              </w:rPr>
            </w:pPr>
            <w:r w:rsidRPr="00B04F8B">
              <w:rPr>
                <w:rFonts w:ascii="Garamond" w:eastAsia="游明朝" w:hAnsi="Garamond" w:cs="Calibri Light"/>
                <w:noProof/>
                <w:sz w:val="16"/>
                <w:szCs w:val="16"/>
                <w:lang w:eastAsia="ja-JP" w:bidi="ar-SA"/>
              </w:rPr>
              <w:drawing>
                <wp:inline distT="0" distB="0" distL="0" distR="0">
                  <wp:extent cx="276225" cy="233680"/>
                  <wp:effectExtent l="0" t="0" r="9525" b="0"/>
                  <wp:docPr id="33" name="Picture 1"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Description: Description: 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E2448F" w:rsidRPr="00B04F8B" w:rsidTr="00F51074">
        <w:trPr>
          <w:trHeight w:val="459"/>
          <w:jc w:val="center"/>
        </w:trPr>
        <w:tc>
          <w:tcPr>
            <w:tcW w:w="1248" w:type="pct"/>
            <w:tcBorders>
              <w:right w:val="single" w:sz="12" w:space="0" w:color="auto"/>
            </w:tcBorders>
            <w:shd w:val="clear" w:color="auto" w:fill="auto"/>
            <w:vAlign w:val="center"/>
            <w:hideMark/>
          </w:tcPr>
          <w:p w:rsidR="00E2448F" w:rsidRPr="00B04F8B" w:rsidRDefault="00E2448F"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E2448F">
              <w:rPr>
                <w:rFonts w:ascii="Garamond" w:eastAsia="Times New Roman" w:hAnsi="Garamond" w:cs="Calibri Light"/>
                <w:color w:val="000000"/>
                <w:sz w:val="16"/>
                <w:szCs w:val="16"/>
                <w:lang w:eastAsia="en-US" w:bidi="ar-SA"/>
              </w:rPr>
              <w:t>Improving the audit manual</w:t>
            </w:r>
          </w:p>
        </w:tc>
        <w:tc>
          <w:tcPr>
            <w:tcW w:w="617" w:type="pct"/>
            <w:tcBorders>
              <w:top w:val="single" w:sz="2" w:space="0" w:color="auto"/>
              <w:left w:val="single" w:sz="12" w:space="0" w:color="auto"/>
              <w:bottom w:val="single" w:sz="2" w:space="0" w:color="auto"/>
              <w:right w:val="single" w:sz="12" w:space="0" w:color="auto"/>
            </w:tcBorders>
            <w:shd w:val="clear" w:color="auto" w:fill="auto"/>
            <w:vAlign w:val="center"/>
            <w:hideMark/>
          </w:tcPr>
          <w:p w:rsidR="00E2448F" w:rsidRPr="00B04F8B" w:rsidRDefault="00E2448F"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E2448F">
              <w:rPr>
                <w:rFonts w:ascii="Garamond" w:eastAsia="Times New Roman" w:hAnsi="Garamond" w:cs="Calibri Light"/>
                <w:color w:val="000000"/>
                <w:sz w:val="16"/>
                <w:szCs w:val="16"/>
                <w:lang w:eastAsia="en-US" w:bidi="ar-SA"/>
              </w:rPr>
              <w:t>An audit manual has been prepared</w:t>
            </w:r>
          </w:p>
        </w:tc>
        <w:tc>
          <w:tcPr>
            <w:tcW w:w="548" w:type="pct"/>
            <w:tcBorders>
              <w:top w:val="single" w:sz="2" w:space="0" w:color="auto"/>
              <w:left w:val="single" w:sz="12" w:space="0" w:color="auto"/>
              <w:bottom w:val="single" w:sz="2" w:space="0" w:color="auto"/>
            </w:tcBorders>
            <w:shd w:val="clear" w:color="auto" w:fill="auto"/>
            <w:vAlign w:val="center"/>
            <w:hideMark/>
          </w:tcPr>
          <w:p w:rsidR="00E2448F" w:rsidRPr="00B04F8B" w:rsidRDefault="00E2448F"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E2448F">
              <w:rPr>
                <w:rFonts w:ascii="Garamond" w:eastAsia="Times New Roman" w:hAnsi="Garamond" w:cs="Calibri Light"/>
                <w:color w:val="000000"/>
                <w:sz w:val="16"/>
                <w:szCs w:val="16"/>
                <w:lang w:eastAsia="en-US" w:bidi="ar-SA"/>
              </w:rPr>
              <w:t>50% of deficiencies eliminated</w:t>
            </w:r>
          </w:p>
        </w:tc>
        <w:tc>
          <w:tcPr>
            <w:tcW w:w="962" w:type="pct"/>
            <w:tcBorders>
              <w:top w:val="single" w:sz="2" w:space="0" w:color="auto"/>
              <w:bottom w:val="single" w:sz="2" w:space="0" w:color="auto"/>
              <w:right w:val="single" w:sz="12" w:space="0" w:color="auto"/>
            </w:tcBorders>
            <w:shd w:val="clear" w:color="auto" w:fill="auto"/>
            <w:vAlign w:val="center"/>
            <w:hideMark/>
          </w:tcPr>
          <w:p w:rsidR="00E2448F" w:rsidRPr="00B04F8B" w:rsidRDefault="00E2448F" w:rsidP="00B04F8B">
            <w:pPr>
              <w:widowControl/>
              <w:autoSpaceDE/>
              <w:autoSpaceDN/>
              <w:spacing w:before="60" w:after="60"/>
              <w:jc w:val="center"/>
              <w:rPr>
                <w:rFonts w:ascii="Garamond" w:eastAsia="Times New Roman" w:hAnsi="Garamond" w:cs="Calibri Light"/>
                <w:sz w:val="16"/>
                <w:szCs w:val="16"/>
                <w:lang w:eastAsia="en-US" w:bidi="ar-SA"/>
              </w:rPr>
            </w:pPr>
            <w:r w:rsidRPr="00E2448F">
              <w:rPr>
                <w:rFonts w:ascii="Garamond" w:eastAsia="Times New Roman" w:hAnsi="Garamond" w:cs="Calibri Light"/>
                <w:iCs/>
                <w:sz w:val="16"/>
                <w:szCs w:val="16"/>
                <w:lang w:eastAsia="en-US" w:bidi="ar-SA"/>
              </w:rPr>
              <w:t>90% of deficiencies eliminated</w:t>
            </w:r>
          </w:p>
        </w:tc>
        <w:tc>
          <w:tcPr>
            <w:tcW w:w="534" w:type="pct"/>
            <w:tcBorders>
              <w:right w:val="single" w:sz="12" w:space="0" w:color="auto"/>
            </w:tcBorders>
            <w:vAlign w:val="center"/>
          </w:tcPr>
          <w:p w:rsidR="00E2448F" w:rsidRPr="00B04F8B" w:rsidRDefault="00E2448F" w:rsidP="00E2448F">
            <w:pPr>
              <w:widowControl/>
              <w:tabs>
                <w:tab w:val="left" w:pos="335"/>
                <w:tab w:val="center" w:pos="627"/>
              </w:tabs>
              <w:autoSpaceDE/>
              <w:autoSpaceDN/>
              <w:spacing w:before="60" w:after="60"/>
              <w:jc w:val="center"/>
              <w:rPr>
                <w:rFonts w:ascii="Garamond" w:eastAsia="游明朝" w:hAnsi="Garamond" w:cs="Calibri Light"/>
                <w:noProof/>
                <w:sz w:val="16"/>
                <w:szCs w:val="16"/>
                <w:lang w:eastAsia="en-US" w:bidi="ar-SA"/>
              </w:rPr>
            </w:pPr>
            <w:r w:rsidRPr="00E2448F">
              <w:rPr>
                <w:rFonts w:ascii="Garamond" w:eastAsia="Times New Roman" w:hAnsi="Garamond" w:cs="Calibri Light"/>
                <w:bCs/>
                <w:sz w:val="16"/>
                <w:szCs w:val="16"/>
                <w:lang w:eastAsia="en-US" w:bidi="ar-SA"/>
              </w:rPr>
              <w:t>100% of deficiencies eliminated</w:t>
            </w:r>
          </w:p>
        </w:tc>
        <w:tc>
          <w:tcPr>
            <w:tcW w:w="590" w:type="pct"/>
            <w:vAlign w:val="center"/>
          </w:tcPr>
          <w:p w:rsidR="00E2448F" w:rsidRPr="00B04F8B" w:rsidRDefault="00E2448F" w:rsidP="00F51074">
            <w:pPr>
              <w:widowControl/>
              <w:tabs>
                <w:tab w:val="left" w:pos="335"/>
                <w:tab w:val="center" w:pos="627"/>
              </w:tabs>
              <w:autoSpaceDE/>
              <w:autoSpaceDN/>
              <w:spacing w:before="60" w:after="60"/>
              <w:jc w:val="center"/>
              <w:rPr>
                <w:rFonts w:ascii="Garamond" w:eastAsia="游明朝" w:hAnsi="Garamond" w:cs="Calibri Light"/>
                <w:noProof/>
                <w:sz w:val="16"/>
                <w:szCs w:val="16"/>
                <w:lang w:eastAsia="en-US" w:bidi="ar-SA"/>
              </w:rPr>
            </w:pPr>
            <w:r w:rsidRPr="00E2448F">
              <w:rPr>
                <w:rFonts w:ascii="Garamond" w:eastAsia="Times New Roman" w:hAnsi="Garamond" w:cs="Calibri Light"/>
                <w:bCs/>
                <w:sz w:val="16"/>
                <w:szCs w:val="16"/>
                <w:lang w:eastAsia="en-US" w:bidi="ar-SA"/>
              </w:rPr>
              <w:t>100% of deficiencies eliminated</w:t>
            </w:r>
          </w:p>
        </w:tc>
        <w:tc>
          <w:tcPr>
            <w:tcW w:w="501" w:type="pct"/>
            <w:tcBorders>
              <w:left w:val="single" w:sz="12" w:space="0" w:color="auto"/>
            </w:tcBorders>
            <w:shd w:val="clear" w:color="auto" w:fill="auto"/>
            <w:vAlign w:val="center"/>
            <w:hideMark/>
          </w:tcPr>
          <w:p w:rsidR="00E2448F" w:rsidRPr="00B04F8B" w:rsidRDefault="00E2448F" w:rsidP="00B04F8B">
            <w:pPr>
              <w:widowControl/>
              <w:tabs>
                <w:tab w:val="left" w:pos="335"/>
                <w:tab w:val="center" w:pos="627"/>
              </w:tabs>
              <w:autoSpaceDE/>
              <w:autoSpaceDN/>
              <w:spacing w:before="60" w:after="60"/>
              <w:jc w:val="center"/>
              <w:rPr>
                <w:rFonts w:ascii="Garamond" w:eastAsia="Times New Roman" w:hAnsi="Garamond" w:cs="Calibri Light"/>
                <w:sz w:val="16"/>
                <w:szCs w:val="16"/>
                <w:lang w:eastAsia="en-US" w:bidi="ar-SA"/>
              </w:rPr>
            </w:pPr>
            <w:r w:rsidRPr="00B04F8B">
              <w:rPr>
                <w:rFonts w:ascii="Garamond" w:eastAsia="游明朝" w:hAnsi="Garamond" w:cs="Calibri Light"/>
                <w:noProof/>
                <w:sz w:val="16"/>
                <w:szCs w:val="16"/>
                <w:lang w:eastAsia="ja-JP" w:bidi="ar-SA"/>
              </w:rPr>
              <w:drawing>
                <wp:inline distT="0" distB="0" distL="0" distR="0">
                  <wp:extent cx="276225" cy="233680"/>
                  <wp:effectExtent l="0" t="0" r="9525" b="0"/>
                  <wp:docPr id="47" name="Picture 42"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Description: Description: 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E2448F" w:rsidRPr="00B04F8B" w:rsidTr="00F51074">
        <w:trPr>
          <w:trHeight w:val="237"/>
          <w:jc w:val="center"/>
        </w:trPr>
        <w:tc>
          <w:tcPr>
            <w:tcW w:w="1248" w:type="pct"/>
            <w:tcBorders>
              <w:right w:val="single" w:sz="12" w:space="0" w:color="auto"/>
            </w:tcBorders>
            <w:shd w:val="clear" w:color="auto" w:fill="auto"/>
            <w:vAlign w:val="center"/>
            <w:hideMark/>
          </w:tcPr>
          <w:p w:rsidR="00E2448F" w:rsidRPr="00E2448F" w:rsidRDefault="002C6D7B" w:rsidP="00B04F8B">
            <w:pPr>
              <w:pStyle w:val="Default"/>
              <w:jc w:val="center"/>
              <w:rPr>
                <w:rFonts w:ascii="Garamond" w:hAnsi="Garamond"/>
                <w:sz w:val="16"/>
                <w:szCs w:val="16"/>
              </w:rPr>
            </w:pPr>
            <w:r>
              <w:rPr>
                <w:rFonts w:ascii="Garamond" w:hAnsi="Garamond"/>
                <w:iCs/>
                <w:sz w:val="16"/>
                <w:szCs w:val="16"/>
              </w:rPr>
              <w:t>Share of audits conducted</w:t>
            </w:r>
            <w:r w:rsidR="00E2448F" w:rsidRPr="00E2448F">
              <w:rPr>
                <w:rFonts w:ascii="Garamond" w:hAnsi="Garamond"/>
                <w:iCs/>
                <w:sz w:val="16"/>
                <w:szCs w:val="16"/>
              </w:rPr>
              <w:t xml:space="preserve"> by using the audit software tool </w:t>
            </w:r>
          </w:p>
          <w:p w:rsidR="00E2448F" w:rsidRPr="00B04F8B" w:rsidRDefault="00E2448F" w:rsidP="00B04F8B">
            <w:pPr>
              <w:widowControl/>
              <w:autoSpaceDE/>
              <w:autoSpaceDN/>
              <w:spacing w:before="60" w:after="60"/>
              <w:jc w:val="center"/>
              <w:rPr>
                <w:rFonts w:ascii="Garamond" w:eastAsia="Times New Roman" w:hAnsi="Garamond" w:cs="Calibri Light"/>
                <w:color w:val="000000"/>
                <w:sz w:val="16"/>
                <w:szCs w:val="16"/>
                <w:lang w:eastAsia="en-US" w:bidi="ar-SA"/>
              </w:rPr>
            </w:pPr>
          </w:p>
        </w:tc>
        <w:tc>
          <w:tcPr>
            <w:tcW w:w="617" w:type="pct"/>
            <w:tcBorders>
              <w:top w:val="single" w:sz="2" w:space="0" w:color="auto"/>
              <w:left w:val="single" w:sz="12" w:space="0" w:color="auto"/>
              <w:bottom w:val="single" w:sz="2" w:space="0" w:color="auto"/>
              <w:right w:val="single" w:sz="12" w:space="0" w:color="auto"/>
            </w:tcBorders>
            <w:shd w:val="clear" w:color="auto" w:fill="auto"/>
            <w:vAlign w:val="center"/>
            <w:hideMark/>
          </w:tcPr>
          <w:p w:rsidR="00E2448F" w:rsidRPr="00B04F8B" w:rsidRDefault="00E2448F"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B04F8B">
              <w:rPr>
                <w:rFonts w:ascii="Garamond" w:eastAsia="Times New Roman" w:hAnsi="Garamond" w:cs="Calibri Light"/>
                <w:color w:val="000000"/>
                <w:sz w:val="16"/>
                <w:szCs w:val="16"/>
                <w:lang w:eastAsia="en-US" w:bidi="ar-SA"/>
              </w:rPr>
              <w:t>n/a</w:t>
            </w:r>
          </w:p>
        </w:tc>
        <w:tc>
          <w:tcPr>
            <w:tcW w:w="548" w:type="pct"/>
            <w:tcBorders>
              <w:top w:val="single" w:sz="2" w:space="0" w:color="auto"/>
              <w:left w:val="single" w:sz="12" w:space="0" w:color="auto"/>
              <w:bottom w:val="single" w:sz="2" w:space="0" w:color="auto"/>
            </w:tcBorders>
            <w:shd w:val="clear" w:color="auto" w:fill="auto"/>
            <w:vAlign w:val="center"/>
            <w:hideMark/>
          </w:tcPr>
          <w:p w:rsidR="00E2448F" w:rsidRPr="00B04F8B" w:rsidRDefault="00E2448F"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B04F8B">
              <w:rPr>
                <w:rFonts w:ascii="Garamond" w:eastAsia="Times New Roman" w:hAnsi="Garamond" w:cs="Calibri Light"/>
                <w:color w:val="000000"/>
                <w:sz w:val="16"/>
                <w:szCs w:val="16"/>
                <w:lang w:eastAsia="en-US" w:bidi="ar-SA"/>
              </w:rPr>
              <w:t>20%</w:t>
            </w:r>
          </w:p>
        </w:tc>
        <w:tc>
          <w:tcPr>
            <w:tcW w:w="962" w:type="pct"/>
            <w:tcBorders>
              <w:top w:val="single" w:sz="2" w:space="0" w:color="auto"/>
              <w:bottom w:val="single" w:sz="2" w:space="0" w:color="auto"/>
              <w:right w:val="single" w:sz="12" w:space="0" w:color="auto"/>
            </w:tcBorders>
            <w:shd w:val="clear" w:color="auto" w:fill="auto"/>
            <w:vAlign w:val="center"/>
            <w:hideMark/>
          </w:tcPr>
          <w:p w:rsidR="00E2448F" w:rsidRPr="00E2448F" w:rsidRDefault="00E2448F" w:rsidP="00E2448F">
            <w:pPr>
              <w:autoSpaceDE/>
              <w:autoSpaceDN/>
              <w:spacing w:before="60" w:after="120"/>
              <w:jc w:val="center"/>
              <w:rPr>
                <w:rFonts w:ascii="Garamond" w:eastAsia="Times New Roman" w:hAnsi="Garamond" w:cs="Calibri Light"/>
                <w:color w:val="000000"/>
                <w:sz w:val="16"/>
                <w:szCs w:val="16"/>
                <w:lang w:val="uz-Cyrl-UZ" w:eastAsia="en-US" w:bidi="ar-SA"/>
              </w:rPr>
            </w:pPr>
            <w:r w:rsidRPr="00E2448F">
              <w:rPr>
                <w:rFonts w:ascii="Garamond" w:eastAsia="Times New Roman" w:hAnsi="Garamond" w:cs="Calibri Light"/>
                <w:color w:val="000000"/>
                <w:sz w:val="16"/>
                <w:szCs w:val="16"/>
                <w:lang w:val="uz-Cyrl-UZ" w:eastAsia="en-US" w:bidi="ar-SA"/>
              </w:rPr>
              <w:t>3</w:t>
            </w:r>
            <w:r w:rsidRPr="00E2448F">
              <w:rPr>
                <w:rFonts w:ascii="Garamond" w:eastAsia="Times New Roman" w:hAnsi="Garamond" w:cs="Calibri Light"/>
                <w:color w:val="000000"/>
                <w:sz w:val="16"/>
                <w:szCs w:val="16"/>
                <w:lang w:val="en-GB" w:eastAsia="en-US" w:bidi="ar-SA"/>
              </w:rPr>
              <w:t>3.</w:t>
            </w:r>
            <w:r w:rsidRPr="00E2448F">
              <w:rPr>
                <w:rFonts w:ascii="Garamond" w:eastAsia="Times New Roman" w:hAnsi="Garamond" w:cs="Calibri Light"/>
                <w:color w:val="000000"/>
                <w:sz w:val="16"/>
                <w:szCs w:val="16"/>
                <w:lang w:val="uz-Cyrl-UZ" w:eastAsia="en-US" w:bidi="ar-SA"/>
              </w:rPr>
              <w:t>33%</w:t>
            </w:r>
          </w:p>
          <w:p w:rsidR="00E2448F" w:rsidRPr="00B04F8B" w:rsidRDefault="00E2448F" w:rsidP="00E2448F">
            <w:pPr>
              <w:widowControl/>
              <w:autoSpaceDE/>
              <w:autoSpaceDN/>
              <w:spacing w:before="60" w:after="60"/>
              <w:jc w:val="center"/>
              <w:rPr>
                <w:rFonts w:ascii="Garamond" w:eastAsia="Times New Roman" w:hAnsi="Garamond" w:cs="Calibri Light"/>
                <w:sz w:val="16"/>
                <w:szCs w:val="16"/>
                <w:lang w:eastAsia="en-US" w:bidi="ar-SA"/>
              </w:rPr>
            </w:pPr>
            <w:r w:rsidRPr="00E2448F">
              <w:rPr>
                <w:rFonts w:ascii="Garamond" w:eastAsia="Times New Roman" w:hAnsi="Garamond" w:cs="Calibri Light"/>
                <w:color w:val="000000"/>
                <w:sz w:val="16"/>
                <w:szCs w:val="16"/>
                <w:lang w:val="uz-Cyrl-UZ" w:eastAsia="en-US" w:bidi="ar-SA"/>
              </w:rPr>
              <w:t>audit</w:t>
            </w:r>
            <w:r w:rsidRPr="00E2448F">
              <w:rPr>
                <w:rFonts w:ascii="Garamond" w:eastAsia="Times New Roman" w:hAnsi="Garamond" w:cs="Calibri Light"/>
                <w:color w:val="000000"/>
                <w:sz w:val="16"/>
                <w:szCs w:val="16"/>
                <w:lang w:val="en-GB" w:eastAsia="en-US" w:bidi="ar-SA"/>
              </w:rPr>
              <w:t>s</w:t>
            </w:r>
            <w:r w:rsidRPr="00E2448F">
              <w:rPr>
                <w:rFonts w:ascii="Garamond" w:eastAsia="Times New Roman" w:hAnsi="Garamond" w:cs="Calibri Light"/>
                <w:color w:val="000000"/>
                <w:sz w:val="16"/>
                <w:szCs w:val="16"/>
                <w:lang w:val="uz-Cyrl-UZ" w:eastAsia="en-US" w:bidi="ar-SA"/>
              </w:rPr>
              <w:t xml:space="preserve"> conducted using software</w:t>
            </w:r>
          </w:p>
        </w:tc>
        <w:tc>
          <w:tcPr>
            <w:tcW w:w="534" w:type="pct"/>
            <w:tcBorders>
              <w:right w:val="single" w:sz="12" w:space="0" w:color="auto"/>
            </w:tcBorders>
            <w:vAlign w:val="center"/>
          </w:tcPr>
          <w:p w:rsidR="00E2448F" w:rsidRPr="00E2448F" w:rsidRDefault="00E2448F" w:rsidP="00F51074">
            <w:pPr>
              <w:autoSpaceDE/>
              <w:autoSpaceDN/>
              <w:spacing w:before="60" w:after="120"/>
              <w:jc w:val="center"/>
              <w:rPr>
                <w:rFonts w:ascii="Garamond" w:eastAsia="Times New Roman" w:hAnsi="Garamond" w:cs="Calibri Light"/>
                <w:color w:val="000000"/>
                <w:sz w:val="16"/>
                <w:szCs w:val="16"/>
                <w:lang w:val="uz-Cyrl-UZ" w:eastAsia="en-US" w:bidi="ar-SA"/>
              </w:rPr>
            </w:pPr>
            <w:r w:rsidRPr="00E2448F">
              <w:rPr>
                <w:rFonts w:ascii="Garamond" w:eastAsia="Times New Roman" w:hAnsi="Garamond" w:cs="Calibri Light"/>
                <w:color w:val="000000"/>
                <w:sz w:val="16"/>
                <w:szCs w:val="16"/>
                <w:lang w:val="en-GB" w:eastAsia="en-US" w:bidi="ar-SA"/>
              </w:rPr>
              <w:t>50</w:t>
            </w:r>
            <w:r w:rsidRPr="00E2448F">
              <w:rPr>
                <w:rFonts w:ascii="Garamond" w:eastAsia="Times New Roman" w:hAnsi="Garamond" w:cs="Calibri Light"/>
                <w:color w:val="000000"/>
                <w:sz w:val="16"/>
                <w:szCs w:val="16"/>
                <w:lang w:val="uz-Cyrl-UZ" w:eastAsia="en-US" w:bidi="ar-SA"/>
              </w:rPr>
              <w:t>%</w:t>
            </w:r>
          </w:p>
          <w:p w:rsidR="00E2448F" w:rsidRPr="00B04F8B" w:rsidRDefault="00E2448F" w:rsidP="00F51074">
            <w:pPr>
              <w:widowControl/>
              <w:autoSpaceDE/>
              <w:autoSpaceDN/>
              <w:spacing w:before="60" w:after="60"/>
              <w:jc w:val="center"/>
              <w:rPr>
                <w:rFonts w:ascii="Garamond" w:eastAsia="Times New Roman" w:hAnsi="Garamond" w:cs="Calibri Light"/>
                <w:sz w:val="16"/>
                <w:szCs w:val="16"/>
                <w:lang w:eastAsia="en-US" w:bidi="ar-SA"/>
              </w:rPr>
            </w:pPr>
            <w:r w:rsidRPr="00E2448F">
              <w:rPr>
                <w:rFonts w:ascii="Garamond" w:eastAsia="Times New Roman" w:hAnsi="Garamond" w:cs="Calibri Light"/>
                <w:color w:val="000000"/>
                <w:sz w:val="16"/>
                <w:szCs w:val="16"/>
                <w:lang w:val="uz-Cyrl-UZ" w:eastAsia="en-US" w:bidi="ar-SA"/>
              </w:rPr>
              <w:t>audit</w:t>
            </w:r>
            <w:r w:rsidRPr="00E2448F">
              <w:rPr>
                <w:rFonts w:ascii="Garamond" w:eastAsia="Times New Roman" w:hAnsi="Garamond" w:cs="Calibri Light"/>
                <w:color w:val="000000"/>
                <w:sz w:val="16"/>
                <w:szCs w:val="16"/>
                <w:lang w:val="en-GB" w:eastAsia="en-US" w:bidi="ar-SA"/>
              </w:rPr>
              <w:t>s</w:t>
            </w:r>
            <w:r w:rsidRPr="00E2448F">
              <w:rPr>
                <w:rFonts w:ascii="Garamond" w:eastAsia="Times New Roman" w:hAnsi="Garamond" w:cs="Calibri Light"/>
                <w:color w:val="000000"/>
                <w:sz w:val="16"/>
                <w:szCs w:val="16"/>
                <w:lang w:val="uz-Cyrl-UZ" w:eastAsia="en-US" w:bidi="ar-SA"/>
              </w:rPr>
              <w:t xml:space="preserve"> conducted using software</w:t>
            </w:r>
          </w:p>
        </w:tc>
        <w:tc>
          <w:tcPr>
            <w:tcW w:w="590" w:type="pct"/>
            <w:vAlign w:val="center"/>
          </w:tcPr>
          <w:p w:rsidR="00E2448F" w:rsidRPr="00E2448F" w:rsidRDefault="00E2448F" w:rsidP="00F51074">
            <w:pPr>
              <w:autoSpaceDE/>
              <w:autoSpaceDN/>
              <w:spacing w:before="60" w:after="120"/>
              <w:jc w:val="center"/>
              <w:rPr>
                <w:rFonts w:ascii="Garamond" w:eastAsia="Times New Roman" w:hAnsi="Garamond" w:cs="Calibri Light"/>
                <w:color w:val="000000"/>
                <w:sz w:val="16"/>
                <w:szCs w:val="16"/>
                <w:lang w:val="uz-Cyrl-UZ" w:eastAsia="en-US" w:bidi="ar-SA"/>
              </w:rPr>
            </w:pPr>
            <w:r w:rsidRPr="00E2448F">
              <w:rPr>
                <w:rFonts w:ascii="Garamond" w:eastAsia="Times New Roman" w:hAnsi="Garamond" w:cs="Calibri Light"/>
                <w:color w:val="000000"/>
                <w:sz w:val="16"/>
                <w:szCs w:val="16"/>
                <w:lang w:val="en-GB" w:eastAsia="en-US" w:bidi="ar-SA"/>
              </w:rPr>
              <w:t>66.66</w:t>
            </w:r>
            <w:r w:rsidRPr="00E2448F">
              <w:rPr>
                <w:rFonts w:ascii="Garamond" w:eastAsia="Times New Roman" w:hAnsi="Garamond" w:cs="Calibri Light"/>
                <w:color w:val="000000"/>
                <w:sz w:val="16"/>
                <w:szCs w:val="16"/>
                <w:lang w:val="uz-Cyrl-UZ" w:eastAsia="en-US" w:bidi="ar-SA"/>
              </w:rPr>
              <w:t>%</w:t>
            </w:r>
          </w:p>
          <w:p w:rsidR="00E2448F" w:rsidRPr="00B04F8B" w:rsidRDefault="00E2448F" w:rsidP="00F51074">
            <w:pPr>
              <w:widowControl/>
              <w:autoSpaceDE/>
              <w:autoSpaceDN/>
              <w:spacing w:before="60" w:after="60"/>
              <w:jc w:val="center"/>
              <w:rPr>
                <w:rFonts w:ascii="Garamond" w:eastAsia="Times New Roman" w:hAnsi="Garamond" w:cs="Calibri Light"/>
                <w:sz w:val="16"/>
                <w:szCs w:val="16"/>
                <w:lang w:eastAsia="en-US" w:bidi="ar-SA"/>
              </w:rPr>
            </w:pPr>
            <w:r w:rsidRPr="00E2448F">
              <w:rPr>
                <w:rFonts w:ascii="Garamond" w:eastAsia="Times New Roman" w:hAnsi="Garamond" w:cs="Calibri Light"/>
                <w:color w:val="000000"/>
                <w:sz w:val="16"/>
                <w:szCs w:val="16"/>
                <w:lang w:val="uz-Cyrl-UZ" w:eastAsia="en-US" w:bidi="ar-SA"/>
              </w:rPr>
              <w:t>audit</w:t>
            </w:r>
            <w:r w:rsidRPr="00E2448F">
              <w:rPr>
                <w:rFonts w:ascii="Garamond" w:eastAsia="Times New Roman" w:hAnsi="Garamond" w:cs="Calibri Light"/>
                <w:color w:val="000000"/>
                <w:sz w:val="16"/>
                <w:szCs w:val="16"/>
                <w:lang w:val="en-GB" w:eastAsia="en-US" w:bidi="ar-SA"/>
              </w:rPr>
              <w:t>s</w:t>
            </w:r>
            <w:r w:rsidRPr="00E2448F">
              <w:rPr>
                <w:rFonts w:ascii="Garamond" w:eastAsia="Times New Roman" w:hAnsi="Garamond" w:cs="Calibri Light"/>
                <w:color w:val="000000"/>
                <w:sz w:val="16"/>
                <w:szCs w:val="16"/>
                <w:lang w:val="uz-Cyrl-UZ" w:eastAsia="en-US" w:bidi="ar-SA"/>
              </w:rPr>
              <w:t xml:space="preserve"> conducted using software</w:t>
            </w:r>
          </w:p>
        </w:tc>
        <w:tc>
          <w:tcPr>
            <w:tcW w:w="501" w:type="pct"/>
            <w:tcBorders>
              <w:left w:val="single" w:sz="12" w:space="0" w:color="auto"/>
            </w:tcBorders>
            <w:shd w:val="clear" w:color="auto" w:fill="auto"/>
            <w:vAlign w:val="center"/>
            <w:hideMark/>
          </w:tcPr>
          <w:p w:rsidR="00E2448F" w:rsidRPr="00B04F8B" w:rsidRDefault="00E2448F" w:rsidP="00B04F8B">
            <w:pPr>
              <w:widowControl/>
              <w:tabs>
                <w:tab w:val="left" w:pos="352"/>
                <w:tab w:val="center" w:pos="627"/>
              </w:tabs>
              <w:autoSpaceDE/>
              <w:autoSpaceDN/>
              <w:spacing w:before="60" w:after="60"/>
              <w:jc w:val="center"/>
              <w:rPr>
                <w:rFonts w:ascii="Garamond" w:eastAsia="Times New Roman" w:hAnsi="Garamond" w:cs="Calibri Light"/>
                <w:sz w:val="16"/>
                <w:szCs w:val="16"/>
                <w:lang w:eastAsia="en-US" w:bidi="ar-SA"/>
              </w:rPr>
            </w:pPr>
            <w:r w:rsidRPr="00B04F8B">
              <w:rPr>
                <w:rFonts w:ascii="Garamond" w:eastAsia="游明朝" w:hAnsi="Garamond" w:cs="Calibri Light"/>
                <w:noProof/>
                <w:sz w:val="16"/>
                <w:szCs w:val="16"/>
                <w:lang w:eastAsia="ja-JP" w:bidi="ar-SA"/>
              </w:rPr>
              <w:drawing>
                <wp:inline distT="0" distB="0" distL="0" distR="0">
                  <wp:extent cx="276225" cy="233680"/>
                  <wp:effectExtent l="0" t="0" r="9525" b="0"/>
                  <wp:docPr id="56" name="Picture 41"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r w:rsidR="00B04F8B" w:rsidRPr="00B04F8B" w:rsidTr="00F51074">
        <w:trPr>
          <w:trHeight w:val="237"/>
          <w:jc w:val="center"/>
        </w:trPr>
        <w:tc>
          <w:tcPr>
            <w:tcW w:w="1248" w:type="pct"/>
            <w:tcBorders>
              <w:right w:val="single" w:sz="12" w:space="0" w:color="auto"/>
            </w:tcBorders>
            <w:shd w:val="clear" w:color="auto" w:fill="auto"/>
            <w:vAlign w:val="center"/>
            <w:hideMark/>
          </w:tcPr>
          <w:p w:rsidR="00B04F8B" w:rsidRPr="00E2448F" w:rsidRDefault="00B04F8B" w:rsidP="00B04F8B">
            <w:pPr>
              <w:pStyle w:val="Default"/>
              <w:jc w:val="center"/>
              <w:rPr>
                <w:rFonts w:ascii="Garamond" w:hAnsi="Garamond"/>
                <w:sz w:val="16"/>
                <w:szCs w:val="16"/>
              </w:rPr>
            </w:pPr>
            <w:r w:rsidRPr="00E2448F">
              <w:rPr>
                <w:rFonts w:ascii="Garamond" w:hAnsi="Garamond"/>
                <w:iCs/>
                <w:sz w:val="16"/>
                <w:szCs w:val="16"/>
              </w:rPr>
              <w:t xml:space="preserve">Level of implementing standards to ensure audit quality </w:t>
            </w:r>
          </w:p>
          <w:p w:rsidR="00B04F8B" w:rsidRPr="00B04F8B"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p>
        </w:tc>
        <w:tc>
          <w:tcPr>
            <w:tcW w:w="617" w:type="pct"/>
            <w:tcBorders>
              <w:top w:val="single" w:sz="2" w:space="0" w:color="auto"/>
              <w:left w:val="single" w:sz="12" w:space="0" w:color="auto"/>
              <w:bottom w:val="single" w:sz="18" w:space="0" w:color="auto"/>
              <w:righ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B04F8B">
              <w:rPr>
                <w:rFonts w:ascii="Garamond" w:eastAsia="Times New Roman" w:hAnsi="Garamond" w:cs="Calibri Light"/>
                <w:color w:val="000000"/>
                <w:sz w:val="16"/>
                <w:szCs w:val="16"/>
                <w:lang w:eastAsia="en-US" w:bidi="ar-SA"/>
              </w:rPr>
              <w:t>n/a</w:t>
            </w:r>
          </w:p>
        </w:tc>
        <w:tc>
          <w:tcPr>
            <w:tcW w:w="548" w:type="pct"/>
            <w:tcBorders>
              <w:top w:val="single" w:sz="2" w:space="0" w:color="auto"/>
              <w:left w:val="single" w:sz="12" w:space="0" w:color="auto"/>
              <w:bottom w:val="single" w:sz="18"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color w:val="000000"/>
                <w:sz w:val="16"/>
                <w:szCs w:val="16"/>
                <w:lang w:eastAsia="en-US" w:bidi="ar-SA"/>
              </w:rPr>
            </w:pPr>
            <w:r w:rsidRPr="00B04F8B">
              <w:rPr>
                <w:rFonts w:ascii="Garamond" w:eastAsia="Times New Roman" w:hAnsi="Garamond" w:cs="Calibri Light"/>
                <w:color w:val="000000"/>
                <w:sz w:val="16"/>
                <w:szCs w:val="16"/>
                <w:lang w:eastAsia="en-US" w:bidi="ar-SA"/>
              </w:rPr>
              <w:t>30%</w:t>
            </w:r>
          </w:p>
        </w:tc>
        <w:tc>
          <w:tcPr>
            <w:tcW w:w="962" w:type="pct"/>
            <w:tcBorders>
              <w:top w:val="single" w:sz="2" w:space="0" w:color="auto"/>
              <w:bottom w:val="single" w:sz="18" w:space="0" w:color="auto"/>
              <w:right w:val="single" w:sz="12" w:space="0" w:color="auto"/>
            </w:tcBorders>
            <w:shd w:val="clear" w:color="auto" w:fill="auto"/>
            <w:vAlign w:val="center"/>
            <w:hideMark/>
          </w:tcPr>
          <w:p w:rsidR="00B04F8B" w:rsidRPr="00B04F8B" w:rsidRDefault="00E2448F" w:rsidP="00B04F8B">
            <w:pPr>
              <w:widowControl/>
              <w:autoSpaceDE/>
              <w:autoSpaceDN/>
              <w:spacing w:before="60" w:after="60"/>
              <w:jc w:val="center"/>
              <w:rPr>
                <w:rFonts w:ascii="Garamond" w:eastAsia="Times New Roman" w:hAnsi="Garamond" w:cs="Calibri Light"/>
                <w:sz w:val="16"/>
                <w:szCs w:val="16"/>
                <w:lang w:eastAsia="en-US" w:bidi="ar-SA"/>
              </w:rPr>
            </w:pPr>
            <w:r w:rsidRPr="00E2448F">
              <w:rPr>
                <w:rFonts w:ascii="Garamond" w:eastAsia="游明朝" w:hAnsi="Garamond"/>
                <w:sz w:val="16"/>
                <w:szCs w:val="16"/>
                <w:lang w:eastAsia="en-US" w:bidi="ar-SA"/>
              </w:rPr>
              <w:t>75% of audits covered by quality control</w:t>
            </w:r>
          </w:p>
        </w:tc>
        <w:tc>
          <w:tcPr>
            <w:tcW w:w="534" w:type="pct"/>
            <w:tcBorders>
              <w:right w:val="single" w:sz="12" w:space="0" w:color="auto"/>
            </w:tcBorders>
            <w:vAlign w:val="center"/>
          </w:tcPr>
          <w:p w:rsidR="00B04F8B" w:rsidRPr="00B04F8B" w:rsidRDefault="00B04F8B" w:rsidP="00B04F8B">
            <w:pPr>
              <w:widowControl/>
              <w:autoSpaceDE/>
              <w:autoSpaceDN/>
              <w:spacing w:before="60" w:after="60"/>
              <w:jc w:val="center"/>
              <w:rPr>
                <w:rFonts w:ascii="Garamond" w:eastAsia="游明朝" w:hAnsi="Garamond" w:cs="Calibri Light"/>
                <w:sz w:val="16"/>
                <w:szCs w:val="16"/>
                <w:lang w:eastAsia="en-GB" w:bidi="ar-SA"/>
              </w:rPr>
            </w:pPr>
            <w:r w:rsidRPr="00B04F8B">
              <w:rPr>
                <w:rFonts w:ascii="Garamond" w:eastAsia="Times New Roman" w:hAnsi="Garamond" w:cs="Calibri Light"/>
                <w:bCs/>
                <w:sz w:val="16"/>
                <w:szCs w:val="16"/>
                <w:lang w:eastAsia="en-US" w:bidi="ar-SA"/>
              </w:rPr>
              <w:t>50%</w:t>
            </w:r>
          </w:p>
        </w:tc>
        <w:tc>
          <w:tcPr>
            <w:tcW w:w="590" w:type="pct"/>
            <w:vAlign w:val="center"/>
          </w:tcPr>
          <w:p w:rsidR="00B04F8B" w:rsidRPr="00B04F8B" w:rsidRDefault="00E2448F" w:rsidP="00B04F8B">
            <w:pPr>
              <w:widowControl/>
              <w:autoSpaceDE/>
              <w:autoSpaceDN/>
              <w:spacing w:after="120"/>
              <w:jc w:val="center"/>
              <w:rPr>
                <w:rFonts w:ascii="Garamond" w:eastAsia="Times New Roman" w:hAnsi="Garamond" w:cs="Calibri Light"/>
                <w:bCs/>
                <w:sz w:val="16"/>
                <w:szCs w:val="16"/>
                <w:lang w:eastAsia="en-US" w:bidi="ar-SA"/>
              </w:rPr>
            </w:pPr>
            <w:r w:rsidRPr="00E2448F">
              <w:rPr>
                <w:rFonts w:ascii="Garamond" w:eastAsia="游明朝" w:hAnsi="Garamond" w:cs="Times New Roman"/>
                <w:sz w:val="16"/>
                <w:szCs w:val="16"/>
                <w:lang w:eastAsia="en-US" w:bidi="ar-SA"/>
              </w:rPr>
              <w:t>75% of audits covered by quality control</w:t>
            </w:r>
          </w:p>
        </w:tc>
        <w:tc>
          <w:tcPr>
            <w:tcW w:w="501" w:type="pct"/>
            <w:tcBorders>
              <w:left w:val="single" w:sz="12" w:space="0" w:color="auto"/>
            </w:tcBorders>
            <w:shd w:val="clear" w:color="auto" w:fill="auto"/>
            <w:vAlign w:val="center"/>
            <w:hideMark/>
          </w:tcPr>
          <w:p w:rsidR="00B04F8B" w:rsidRPr="00B04F8B" w:rsidRDefault="00B04F8B" w:rsidP="00B04F8B">
            <w:pPr>
              <w:widowControl/>
              <w:autoSpaceDE/>
              <w:autoSpaceDN/>
              <w:spacing w:before="60" w:after="60"/>
              <w:jc w:val="center"/>
              <w:rPr>
                <w:rFonts w:ascii="Garamond" w:eastAsia="Times New Roman" w:hAnsi="Garamond" w:cs="Calibri Light"/>
                <w:sz w:val="16"/>
                <w:szCs w:val="16"/>
                <w:lang w:eastAsia="en-US" w:bidi="ar-SA"/>
              </w:rPr>
            </w:pPr>
            <w:r w:rsidRPr="00B04F8B">
              <w:rPr>
                <w:rFonts w:ascii="Garamond" w:eastAsia="游明朝" w:hAnsi="Garamond" w:cs="Calibri Light"/>
                <w:noProof/>
                <w:sz w:val="16"/>
                <w:szCs w:val="16"/>
                <w:lang w:eastAsia="ja-JP" w:bidi="ar-SA"/>
              </w:rPr>
              <w:drawing>
                <wp:inline distT="0" distB="0" distL="0" distR="0">
                  <wp:extent cx="276225" cy="233680"/>
                  <wp:effectExtent l="0" t="0" r="9525" b="0"/>
                  <wp:docPr id="46" name="Picture 36" descr="Description: Description: C:\Users\owner\Desktop\zelena strelica - manj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Description: Description: C:\Users\owner\Desktop\zelena strelica - manja.png"/>
                          <pic:cNvPicPr>
                            <a:picLocks noChangeAspect="1" noChangeArrowheads="1"/>
                          </pic:cNvPicPr>
                        </pic:nvPicPr>
                        <pic:blipFill>
                          <a:blip r:embed="rId13" cstate="print">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276225" cy="233680"/>
                          </a:xfrm>
                          <a:prstGeom prst="rect">
                            <a:avLst/>
                          </a:prstGeom>
                          <a:noFill/>
                          <a:ln>
                            <a:noFill/>
                          </a:ln>
                        </pic:spPr>
                      </pic:pic>
                    </a:graphicData>
                  </a:graphic>
                </wp:inline>
              </w:drawing>
            </w:r>
          </w:p>
        </w:tc>
      </w:tr>
    </w:tbl>
    <w:p w:rsidR="00B04F8B" w:rsidRDefault="00B04F8B"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Within the Audit </w:t>
      </w:r>
      <w:r w:rsidR="00E2448F">
        <w:rPr>
          <w:rFonts w:ascii="Garamond" w:hAnsi="Garamond"/>
          <w:sz w:val="24"/>
          <w:szCs w:val="24"/>
        </w:rPr>
        <w:t>Authority</w:t>
      </w:r>
      <w:r w:rsidRPr="00C32887">
        <w:rPr>
          <w:rFonts w:ascii="Garamond" w:hAnsi="Garamond"/>
          <w:sz w:val="24"/>
          <w:szCs w:val="24"/>
        </w:rPr>
        <w:t>, a total of 32 vacancies were systemati</w:t>
      </w:r>
      <w:r w:rsidR="00371F6C">
        <w:rPr>
          <w:rFonts w:ascii="Garamond" w:hAnsi="Garamond"/>
          <w:sz w:val="24"/>
          <w:szCs w:val="24"/>
        </w:rPr>
        <w:t>sed</w:t>
      </w:r>
      <w:r w:rsidRPr="00C32887">
        <w:rPr>
          <w:rFonts w:ascii="Garamond" w:hAnsi="Garamond"/>
          <w:sz w:val="24"/>
          <w:szCs w:val="24"/>
        </w:rPr>
        <w:t>, of which 21 vacancies were currently filled for an indefinite period, and in the following period the need for additional employment and filling vacancies was expressed.</w:t>
      </w:r>
    </w:p>
    <w:p w:rsidR="004D1343" w:rsidRPr="00C32887" w:rsidRDefault="00613C2B" w:rsidP="004D1343">
      <w:pPr>
        <w:rPr>
          <w:rFonts w:ascii="Garamond" w:hAnsi="Garamond"/>
          <w:sz w:val="24"/>
          <w:szCs w:val="24"/>
        </w:rPr>
      </w:pPr>
      <w:r w:rsidRPr="00613C2B">
        <w:rPr>
          <w:rFonts w:cstheme="majorHAnsi"/>
          <w:i/>
          <w:noProof/>
          <w:color w:val="000000"/>
          <w:lang w:val="en-GB" w:eastAsia="en-GB"/>
        </w:rPr>
      </w:r>
      <w:r w:rsidRPr="00613C2B">
        <w:rPr>
          <w:rFonts w:cstheme="majorHAnsi"/>
          <w:i/>
          <w:noProof/>
          <w:color w:val="000000"/>
          <w:lang w:val="en-GB" w:eastAsia="en-GB"/>
        </w:rPr>
        <w:pict>
          <v:roundrect id="Rounded Rectangle 27" o:spid="_x0000_s1029" style="width:690.6pt;height:124.2pt;visibility:visible;mso-position-horizontal-relative:char;mso-position-vertical-relative:lin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" fillcolor="#243f60 [1604]" strokecolor="#243f60 [1604]" strokeweight="1pt">
            <v:stroke joinstyle="miter"/>
            <v:textbox>
              <w:txbxContent>
                <w:p w:rsidR="002C4371" w:rsidRPr="002C6D7B" w:rsidRDefault="002C4371" w:rsidP="00E2448F">
                  <w:pPr>
                    <w:rPr>
                      <w:rFonts w:ascii="Garamond" w:hAnsi="Garamond" w:cstheme="majorHAnsi"/>
                      <w:sz w:val="20"/>
                      <w:szCs w:val="20"/>
                    </w:rPr>
                  </w:pPr>
                  <w:r w:rsidRPr="002C6D7B">
                    <w:rPr>
                      <w:rFonts w:ascii="Garamond" w:hAnsi="Garamond" w:cstheme="majorHAnsi"/>
                      <w:sz w:val="20"/>
                      <w:szCs w:val="20"/>
                    </w:rPr>
                    <w:t>Challenge:</w:t>
                  </w:r>
                </w:p>
                <w:p w:rsidR="002C4371" w:rsidRPr="002C6D7B" w:rsidRDefault="002C4371" w:rsidP="00E2448F">
                  <w:pPr>
                    <w:rPr>
                      <w:rFonts w:ascii="Garamond" w:hAnsi="Garamond" w:cstheme="majorHAnsi"/>
                      <w:sz w:val="20"/>
                      <w:szCs w:val="20"/>
                    </w:rPr>
                  </w:pPr>
                </w:p>
                <w:p w:rsidR="002C4371" w:rsidRPr="002C6D7B" w:rsidRDefault="002C4371" w:rsidP="00E2448F">
                  <w:pPr>
                    <w:rPr>
                      <w:rFonts w:ascii="Garamond" w:hAnsi="Garamond" w:cstheme="majorHAnsi"/>
                      <w:sz w:val="20"/>
                      <w:szCs w:val="20"/>
                    </w:rPr>
                  </w:pPr>
                  <w:r w:rsidRPr="002C6D7B">
                    <w:rPr>
                      <w:rFonts w:ascii="Garamond" w:hAnsi="Garamond" w:cstheme="majorHAnsi"/>
                      <w:sz w:val="20"/>
                      <w:szCs w:val="20"/>
                    </w:rPr>
                    <w:t>Significant audit activities are forthcoming in the coming period and an increased workload is expected regarding the audits of the IPA II program, their closure and the beginning of the implementation of approved projects within the new financial perspective (IPA III 2021-2027). In order to fulfill all obligations in the coming period, it is necessary to fill the audit staff in vacant systemati</w:t>
                  </w:r>
                  <w:r w:rsidR="00371F6C">
                    <w:rPr>
                      <w:rFonts w:ascii="Garamond" w:hAnsi="Garamond" w:cstheme="majorHAnsi"/>
                      <w:sz w:val="20"/>
                      <w:szCs w:val="20"/>
                    </w:rPr>
                    <w:t>sed</w:t>
                  </w:r>
                  <w:r w:rsidRPr="002C6D7B">
                    <w:rPr>
                      <w:rFonts w:ascii="Garamond" w:hAnsi="Garamond" w:cstheme="majorHAnsi"/>
                      <w:sz w:val="20"/>
                      <w:szCs w:val="20"/>
                    </w:rPr>
                    <w:t xml:space="preserve"> positions.</w:t>
                  </w:r>
                </w:p>
                <w:p w:rsidR="002C4371" w:rsidRPr="002C6D7B" w:rsidRDefault="002C4371" w:rsidP="002C6D7B">
                  <w:pPr>
                    <w:jc w:val="both"/>
                    <w:rPr>
                      <w:rFonts w:ascii="Garamond" w:hAnsi="Garamond" w:cstheme="majorHAnsi"/>
                      <w:sz w:val="20"/>
                      <w:szCs w:val="20"/>
                    </w:rPr>
                  </w:pPr>
                  <w:r w:rsidRPr="002C6D7B">
                    <w:rPr>
                      <w:rFonts w:ascii="Garamond" w:hAnsi="Garamond" w:cstheme="majorHAnsi"/>
                      <w:sz w:val="20"/>
                      <w:szCs w:val="20"/>
                    </w:rPr>
                    <w:t xml:space="preserve">In order to prepare for IPA III, and later for EU membership, the Law on Audit of EU Funds should provide the necessary assurances of compliance with auditing standards and new legal requirements, which requires certain amendments that are subject to changes in AA legislation. </w:t>
                  </w:r>
                </w:p>
                <w:p w:rsidR="002C4371" w:rsidRPr="002C6D7B" w:rsidRDefault="002C4371" w:rsidP="002C6D7B">
                  <w:pPr>
                    <w:jc w:val="both"/>
                    <w:rPr>
                      <w:rFonts w:ascii="Garamond" w:hAnsi="Garamond"/>
                      <w:sz w:val="20"/>
                      <w:szCs w:val="20"/>
                    </w:rPr>
                  </w:pPr>
                  <w:r w:rsidRPr="002C6D7B">
                    <w:rPr>
                      <w:rFonts w:ascii="Garamond" w:hAnsi="Garamond" w:cstheme="majorHAnsi"/>
                      <w:sz w:val="20"/>
                      <w:szCs w:val="20"/>
                    </w:rPr>
                    <w:t xml:space="preserve">AA's visibility measures are currently largely limited to the Audit Authority's website www.revizorskotijelo.me. </w:t>
                  </w:r>
                  <w:proofErr w:type="gramStart"/>
                  <w:r w:rsidRPr="002C6D7B">
                    <w:rPr>
                      <w:rFonts w:ascii="Garamond" w:hAnsi="Garamond" w:cstheme="majorHAnsi"/>
                      <w:sz w:val="20"/>
                      <w:szCs w:val="20"/>
                    </w:rPr>
                    <w:t>and</w:t>
                  </w:r>
                  <w:proofErr w:type="gramEnd"/>
                  <w:r w:rsidRPr="002C6D7B">
                    <w:rPr>
                      <w:rFonts w:ascii="Garamond" w:hAnsi="Garamond" w:cstheme="majorHAnsi"/>
                      <w:sz w:val="20"/>
                      <w:szCs w:val="20"/>
                    </w:rPr>
                    <w:t xml:space="preserve"> it is desirable to work on strengthening the visib</w:t>
                  </w:r>
                  <w:r>
                    <w:rPr>
                      <w:rFonts w:ascii="Garamond" w:hAnsi="Garamond" w:cstheme="majorHAnsi"/>
                      <w:sz w:val="20"/>
                      <w:szCs w:val="20"/>
                    </w:rPr>
                    <w:t xml:space="preserve">ility </w:t>
                  </w:r>
                  <w:r w:rsidRPr="002C6D7B">
                    <w:rPr>
                      <w:rFonts w:ascii="Garamond" w:hAnsi="Garamond" w:cstheme="majorHAnsi"/>
                      <w:sz w:val="20"/>
                      <w:szCs w:val="20"/>
                    </w:rPr>
                    <w:t>of AA work.</w:t>
                  </w:r>
                </w:p>
              </w:txbxContent>
            </v:textbox>
            <w10:wrap type="none"/>
            <w10:anchorlock/>
          </v:roundrect>
        </w:pict>
      </w: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4D1343" w:rsidRPr="00C32887" w:rsidRDefault="004D1343" w:rsidP="002A43C0">
      <w:pPr>
        <w:pStyle w:val="Heading1"/>
        <w:rPr>
          <w:rFonts w:ascii="Garamond" w:hAnsi="Garamond"/>
          <w:sz w:val="24"/>
          <w:szCs w:val="24"/>
        </w:rPr>
      </w:pPr>
      <w:bookmarkStart w:id="26" w:name="_Toc77688206"/>
      <w:r w:rsidRPr="00C32887">
        <w:rPr>
          <w:rFonts w:ascii="Garamond" w:hAnsi="Garamond"/>
          <w:sz w:val="24"/>
          <w:szCs w:val="24"/>
        </w:rPr>
        <w:t xml:space="preserve">III TABLE FOR REPORTING ON IMPLEMENTATION </w:t>
      </w:r>
      <w:r w:rsidR="00AF3AFB">
        <w:rPr>
          <w:rFonts w:ascii="Garamond" w:hAnsi="Garamond"/>
          <w:sz w:val="24"/>
          <w:szCs w:val="24"/>
        </w:rPr>
        <w:t>OF</w:t>
      </w:r>
      <w:r w:rsidRPr="00C32887">
        <w:rPr>
          <w:rFonts w:ascii="Garamond" w:hAnsi="Garamond"/>
          <w:sz w:val="24"/>
          <w:szCs w:val="24"/>
        </w:rPr>
        <w:t xml:space="preserve"> AP FOR THE LAST YEAR OF IMPLEMENTATI</w:t>
      </w:r>
      <w:r w:rsidR="00AF3AFB">
        <w:rPr>
          <w:rFonts w:ascii="Garamond" w:hAnsi="Garamond"/>
          <w:sz w:val="24"/>
          <w:szCs w:val="24"/>
        </w:rPr>
        <w:t>ON OF THE STRATEGIC DOCUMENT</w:t>
      </w:r>
      <w:r w:rsidR="00AF3AFB">
        <w:rPr>
          <w:rStyle w:val="FootnoteReference"/>
          <w:rFonts w:ascii="Garamond" w:hAnsi="Garamond"/>
          <w:sz w:val="24"/>
          <w:szCs w:val="24"/>
        </w:rPr>
        <w:footnoteReference w:id="44"/>
      </w:r>
      <w:bookmarkEnd w:id="26"/>
    </w:p>
    <w:p w:rsidR="004D1343" w:rsidRPr="00C32887" w:rsidRDefault="004D1343" w:rsidP="004D1343">
      <w:pPr>
        <w:rPr>
          <w:rFonts w:ascii="Garamond" w:hAnsi="Garamond"/>
          <w:sz w:val="24"/>
          <w:szCs w:val="24"/>
        </w:rPr>
      </w:pPr>
    </w:p>
    <w:tbl>
      <w:tblPr>
        <w:tblW w:w="13081" w:type="dxa"/>
        <w:tblInd w:w="95" w:type="dxa"/>
        <w:tblLook w:val="04A0"/>
      </w:tblPr>
      <w:tblGrid>
        <w:gridCol w:w="386"/>
        <w:gridCol w:w="767"/>
        <w:gridCol w:w="1152"/>
        <w:gridCol w:w="983"/>
        <w:gridCol w:w="971"/>
        <w:gridCol w:w="841"/>
        <w:gridCol w:w="906"/>
        <w:gridCol w:w="906"/>
        <w:gridCol w:w="938"/>
        <w:gridCol w:w="993"/>
        <w:gridCol w:w="1301"/>
        <w:gridCol w:w="1029"/>
        <w:gridCol w:w="901"/>
        <w:gridCol w:w="1007"/>
      </w:tblGrid>
      <w:tr w:rsidR="00F51074" w:rsidRPr="00786A01" w:rsidTr="00F51074">
        <w:trPr>
          <w:trHeight w:val="269"/>
        </w:trPr>
        <w:tc>
          <w:tcPr>
            <w:tcW w:w="13081" w:type="dxa"/>
            <w:gridSpan w:val="14"/>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bottom"/>
            <w:hideMark/>
          </w:tcPr>
          <w:p w:rsidR="00F51074" w:rsidRPr="00786A01" w:rsidRDefault="00624D6E" w:rsidP="002C6D7B">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 xml:space="preserve">Strategic objective </w:t>
            </w:r>
            <w:r w:rsidR="00F51074" w:rsidRPr="00786A01">
              <w:rPr>
                <w:rFonts w:ascii="Garamond" w:eastAsia="Times New Roman" w:hAnsi="Garamond"/>
                <w:b/>
                <w:bCs/>
                <w:sz w:val="12"/>
                <w:szCs w:val="12"/>
                <w:lang w:eastAsia="ja-JP" w:bidi="ar-SA"/>
              </w:rPr>
              <w:t xml:space="preserve">1._ A) Sustainable fiscal framework, </w:t>
            </w:r>
            <w:r w:rsidR="002C6D7B" w:rsidRPr="00786A01">
              <w:rPr>
                <w:rFonts w:ascii="Garamond" w:eastAsia="Times New Roman" w:hAnsi="Garamond"/>
                <w:b/>
                <w:bCs/>
                <w:sz w:val="12"/>
                <w:szCs w:val="12"/>
                <w:lang w:eastAsia="ja-JP" w:bidi="ar-SA"/>
              </w:rPr>
              <w:t xml:space="preserve">public expenditure </w:t>
            </w:r>
            <w:r w:rsidR="00F51074" w:rsidRPr="00786A01">
              <w:rPr>
                <w:rFonts w:ascii="Garamond" w:eastAsia="Times New Roman" w:hAnsi="Garamond"/>
                <w:b/>
                <w:bCs/>
                <w:sz w:val="12"/>
                <w:szCs w:val="12"/>
                <w:lang w:eastAsia="ja-JP" w:bidi="ar-SA"/>
              </w:rPr>
              <w:t xml:space="preserve">planning and budgeting </w:t>
            </w:r>
          </w:p>
        </w:tc>
      </w:tr>
      <w:tr w:rsidR="00F51074" w:rsidRPr="00786A01" w:rsidTr="00C51DE5">
        <w:trPr>
          <w:trHeight w:val="259"/>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Operational goal 4.1._ A.1. Medium-term budget framework (MTBF), including fiscal strategy</w:t>
            </w:r>
          </w:p>
        </w:tc>
      </w:tr>
      <w:tr w:rsidR="00C57A68" w:rsidRPr="00786A01" w:rsidTr="009A4CED">
        <w:trPr>
          <w:trHeight w:val="259"/>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F51074" w:rsidRPr="00786A01" w:rsidRDefault="00F51074" w:rsidP="00F51074">
            <w:pPr>
              <w:widowControl/>
              <w:autoSpaceDE/>
              <w:autoSpaceDN/>
              <w:rPr>
                <w:rFonts w:ascii="Garamond" w:eastAsia="Times New Roman" w:hAnsi="Garamond"/>
                <w:b/>
                <w:bCs/>
                <w:sz w:val="12"/>
                <w:szCs w:val="12"/>
                <w:lang w:eastAsia="ja-JP" w:bidi="ar-SA"/>
              </w:rPr>
            </w:pP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38" w:type="dxa"/>
            <w:tcBorders>
              <w:top w:val="single" w:sz="4" w:space="0" w:color="auto"/>
              <w:left w:val="nil"/>
              <w:bottom w:val="single" w:sz="4" w:space="0" w:color="auto"/>
              <w:right w:val="single" w:sz="4" w:space="0" w:color="auto"/>
            </w:tcBorders>
            <w:shd w:val="clear" w:color="000000" w:fill="FFFFFF"/>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301" w:type="dxa"/>
            <w:tcBorders>
              <w:top w:val="nil"/>
              <w:left w:val="single" w:sz="4" w:space="0" w:color="auto"/>
              <w:bottom w:val="single" w:sz="4" w:space="0" w:color="auto"/>
              <w:right w:val="nil"/>
            </w:tcBorders>
            <w:shd w:val="clear" w:color="000000" w:fill="FFFFFF"/>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single" w:sz="4" w:space="0" w:color="auto"/>
              <w:left w:val="single" w:sz="4" w:space="0" w:color="auto"/>
              <w:bottom w:val="nil"/>
              <w:right w:val="single" w:sz="4" w:space="0" w:color="auto"/>
            </w:tcBorders>
            <w:shd w:val="clear" w:color="auto" w:fill="auto"/>
            <w:noWrap/>
            <w:vAlign w:val="center"/>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r>
      <w:tr w:rsidR="005E6A56" w:rsidRPr="00786A01" w:rsidTr="009A4CED">
        <w:trPr>
          <w:cantSplit/>
          <w:trHeight w:val="126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F51074" w:rsidRPr="00786A01" w:rsidRDefault="00C51DE5" w:rsidP="00C51DE5">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Performance indicators </w:t>
            </w:r>
            <w:r w:rsidR="00F51074" w:rsidRPr="00786A01">
              <w:rPr>
                <w:rFonts w:ascii="Garamond" w:eastAsia="Times New Roman" w:hAnsi="Garamond"/>
                <w:b/>
                <w:bCs/>
                <w:sz w:val="12"/>
                <w:szCs w:val="12"/>
                <w:lang w:eastAsia="ja-JP" w:bidi="ar-SA"/>
              </w:rPr>
              <w:t>1</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Share of new medium-term sector strategies in the total number of strategies that include estimates of implementation costs, including potential donor funding</w:t>
            </w: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60%</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80%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70%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85%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75%</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90%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85%</w:t>
            </w:r>
          </w:p>
        </w:tc>
        <w:tc>
          <w:tcPr>
            <w:tcW w:w="1301" w:type="dxa"/>
            <w:tcBorders>
              <w:top w:val="nil"/>
              <w:left w:val="nil"/>
              <w:bottom w:val="single" w:sz="4" w:space="0" w:color="auto"/>
              <w:right w:val="nil"/>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100%</w:t>
            </w:r>
          </w:p>
        </w:tc>
        <w:tc>
          <w:tcPr>
            <w:tcW w:w="102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 100%</w:t>
            </w:r>
          </w:p>
        </w:tc>
        <w:tc>
          <w:tcPr>
            <w:tcW w:w="90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r>
      <w:tr w:rsidR="005E6A56" w:rsidRPr="00786A01" w:rsidTr="009A4CED">
        <w:trPr>
          <w:cantSplit/>
          <w:trHeight w:val="133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F51074" w:rsidRPr="00786A01" w:rsidRDefault="00786A01" w:rsidP="00C51DE5">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Performance indicator </w:t>
            </w:r>
            <w:r w:rsidR="00F51074" w:rsidRPr="00786A01">
              <w:rPr>
                <w:rFonts w:ascii="Garamond" w:eastAsia="Times New Roman" w:hAnsi="Garamond"/>
                <w:b/>
                <w:bCs/>
                <w:sz w:val="12"/>
                <w:szCs w:val="12"/>
                <w:lang w:eastAsia="ja-JP" w:bidi="ar-SA"/>
              </w:rPr>
              <w:t>2</w:t>
            </w:r>
          </w:p>
        </w:tc>
        <w:tc>
          <w:tcPr>
            <w:tcW w:w="1152"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Average deviation between MTBF budget ceilings and actual annual budget expenditure limits</w:t>
            </w:r>
          </w:p>
        </w:tc>
        <w:tc>
          <w:tcPr>
            <w:tcW w:w="983"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9%</w:t>
            </w:r>
          </w:p>
        </w:tc>
        <w:tc>
          <w:tcPr>
            <w:tcW w:w="97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7%</w:t>
            </w:r>
          </w:p>
        </w:tc>
        <w:tc>
          <w:tcPr>
            <w:tcW w:w="841"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6%</w:t>
            </w:r>
          </w:p>
        </w:tc>
        <w:tc>
          <w:tcPr>
            <w:tcW w:w="906"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6%</w:t>
            </w:r>
          </w:p>
        </w:tc>
        <w:tc>
          <w:tcPr>
            <w:tcW w:w="906"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0.87%</w:t>
            </w:r>
          </w:p>
        </w:tc>
        <w:tc>
          <w:tcPr>
            <w:tcW w:w="938" w:type="dxa"/>
            <w:tcBorders>
              <w:top w:val="nil"/>
              <w:left w:val="nil"/>
              <w:bottom w:val="single" w:sz="4" w:space="0" w:color="auto"/>
              <w:right w:val="single" w:sz="4" w:space="0" w:color="auto"/>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5%</w:t>
            </w:r>
          </w:p>
        </w:tc>
        <w:tc>
          <w:tcPr>
            <w:tcW w:w="993"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0.11%</w:t>
            </w:r>
          </w:p>
        </w:tc>
        <w:tc>
          <w:tcPr>
            <w:tcW w:w="1301" w:type="dxa"/>
            <w:tcBorders>
              <w:top w:val="nil"/>
              <w:left w:val="nil"/>
              <w:bottom w:val="single" w:sz="4" w:space="0" w:color="auto"/>
              <w:right w:val="nil"/>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5%</w:t>
            </w:r>
          </w:p>
        </w:tc>
        <w:tc>
          <w:tcPr>
            <w:tcW w:w="1029" w:type="dxa"/>
            <w:tcBorders>
              <w:top w:val="nil"/>
              <w:left w:val="single" w:sz="4" w:space="0" w:color="auto"/>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 2.13%</w:t>
            </w:r>
          </w:p>
        </w:tc>
        <w:tc>
          <w:tcPr>
            <w:tcW w:w="90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r>
      <w:tr w:rsidR="005E6A56" w:rsidRPr="00786A01" w:rsidTr="009A4CED">
        <w:trPr>
          <w:cantSplit/>
          <w:trHeight w:val="1052"/>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F51074" w:rsidRPr="00786A01" w:rsidRDefault="00C51DE5" w:rsidP="00C51DE5">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w:t>
            </w:r>
            <w:r w:rsidR="00786A01" w:rsidRPr="00786A01">
              <w:rPr>
                <w:rFonts w:ascii="Garamond" w:eastAsia="Times New Roman" w:hAnsi="Garamond"/>
                <w:b/>
                <w:bCs/>
                <w:sz w:val="12"/>
                <w:szCs w:val="12"/>
                <w:lang w:eastAsia="ja-JP" w:bidi="ar-SA"/>
              </w:rPr>
              <w:t>formance indicator</w:t>
            </w:r>
            <w:r w:rsidRPr="00786A01">
              <w:rPr>
                <w:rFonts w:ascii="Garamond" w:eastAsia="Times New Roman" w:hAnsi="Garamond"/>
                <w:b/>
                <w:bCs/>
                <w:sz w:val="12"/>
                <w:szCs w:val="12"/>
                <w:lang w:eastAsia="ja-JP" w:bidi="ar-SA"/>
              </w:rPr>
              <w:t xml:space="preserve"> </w:t>
            </w:r>
            <w:r w:rsidR="00F51074" w:rsidRPr="00786A01">
              <w:rPr>
                <w:rFonts w:ascii="Garamond" w:eastAsia="Times New Roman" w:hAnsi="Garamond"/>
                <w:b/>
                <w:bCs/>
                <w:sz w:val="12"/>
                <w:szCs w:val="12"/>
                <w:lang w:eastAsia="ja-JP" w:bidi="ar-SA"/>
              </w:rPr>
              <w:t>3</w:t>
            </w:r>
          </w:p>
        </w:tc>
        <w:tc>
          <w:tcPr>
            <w:tcW w:w="1152"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Number of staff trained for top-down medium-term budget planning</w:t>
            </w:r>
          </w:p>
        </w:tc>
        <w:tc>
          <w:tcPr>
            <w:tcW w:w="983"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0</w:t>
            </w:r>
          </w:p>
        </w:tc>
        <w:tc>
          <w:tcPr>
            <w:tcW w:w="97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52</w:t>
            </w:r>
          </w:p>
        </w:tc>
        <w:tc>
          <w:tcPr>
            <w:tcW w:w="841"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0</w:t>
            </w:r>
          </w:p>
        </w:tc>
        <w:tc>
          <w:tcPr>
            <w:tcW w:w="906"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35</w:t>
            </w:r>
          </w:p>
        </w:tc>
        <w:tc>
          <w:tcPr>
            <w:tcW w:w="906"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0</w:t>
            </w:r>
          </w:p>
        </w:tc>
        <w:tc>
          <w:tcPr>
            <w:tcW w:w="938" w:type="dxa"/>
            <w:tcBorders>
              <w:top w:val="nil"/>
              <w:left w:val="nil"/>
              <w:bottom w:val="single" w:sz="4" w:space="0" w:color="auto"/>
              <w:right w:val="single" w:sz="4" w:space="0" w:color="auto"/>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52</w:t>
            </w:r>
          </w:p>
        </w:tc>
        <w:tc>
          <w:tcPr>
            <w:tcW w:w="993"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0.11%</w:t>
            </w:r>
          </w:p>
        </w:tc>
        <w:tc>
          <w:tcPr>
            <w:tcW w:w="1301" w:type="dxa"/>
            <w:tcBorders>
              <w:top w:val="nil"/>
              <w:left w:val="nil"/>
              <w:bottom w:val="single" w:sz="4" w:space="0" w:color="auto"/>
              <w:right w:val="nil"/>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72</w:t>
            </w:r>
          </w:p>
        </w:tc>
        <w:tc>
          <w:tcPr>
            <w:tcW w:w="1029" w:type="dxa"/>
            <w:tcBorders>
              <w:top w:val="nil"/>
              <w:left w:val="single" w:sz="4" w:space="0" w:color="auto"/>
              <w:bottom w:val="single" w:sz="4" w:space="0" w:color="auto"/>
              <w:right w:val="single" w:sz="4" w:space="0" w:color="auto"/>
            </w:tcBorders>
            <w:shd w:val="clear" w:color="auto" w:fill="auto"/>
            <w:vAlign w:val="bottom"/>
            <w:hideMark/>
          </w:tcPr>
          <w:p w:rsidR="00F51074" w:rsidRPr="00786A01" w:rsidRDefault="00F51074"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 100</w:t>
            </w:r>
          </w:p>
        </w:tc>
        <w:tc>
          <w:tcPr>
            <w:tcW w:w="90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r>
      <w:tr w:rsidR="00711781"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C51DE5" w:rsidRPr="00786A01" w:rsidRDefault="00C51DE5"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p w:rsidR="00C51DE5" w:rsidRPr="00786A01" w:rsidRDefault="00C51DE5"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C51DE5" w:rsidRPr="00786A01" w:rsidRDefault="00C51DE5"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Type of activity</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indicator/objective</w:t>
            </w:r>
          </w:p>
        </w:tc>
        <w:tc>
          <w:tcPr>
            <w:tcW w:w="841"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b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C51DE5">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C51DE5">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date of</w:t>
            </w:r>
            <w:r w:rsidRPr="00786A01">
              <w:rPr>
                <w:rFonts w:ascii="Garamond" w:eastAsia="Times New Roman" w:hAnsi="Garamond"/>
                <w:sz w:val="12"/>
                <w:szCs w:val="12"/>
                <w:lang w:eastAsia="ja-JP" w:bidi="ar-SA"/>
              </w:rPr>
              <w:br/>
              <w:t>completion</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deadline for implementation</w:t>
            </w:r>
          </w:p>
        </w:tc>
        <w:tc>
          <w:tcPr>
            <w:tcW w:w="1029" w:type="dxa"/>
            <w:vMerge w:val="restart"/>
            <w:tcBorders>
              <w:top w:val="single" w:sz="4" w:space="0" w:color="auto"/>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C51DE5"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C57A68"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C51DE5" w:rsidRPr="00786A01" w:rsidRDefault="00C51DE5"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919" w:type="dxa"/>
            <w:gridSpan w:val="2"/>
            <w:tcBorders>
              <w:top w:val="nil"/>
              <w:left w:val="nil"/>
              <w:bottom w:val="single" w:sz="4" w:space="0" w:color="auto"/>
              <w:right w:val="single" w:sz="4" w:space="0" w:color="auto"/>
            </w:tcBorders>
            <w:shd w:val="clear" w:color="000000" w:fill="FFFF99"/>
            <w:noWrap/>
            <w:vAlign w:val="bottom"/>
            <w:hideMark/>
          </w:tcPr>
          <w:p w:rsidR="00C51DE5" w:rsidRPr="00786A01" w:rsidRDefault="00C51DE5"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p w:rsidR="00C51DE5" w:rsidRPr="00786A01" w:rsidRDefault="00C51DE5"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C51DE5" w:rsidRPr="00786A01" w:rsidRDefault="00C51DE5" w:rsidP="00F51074">
            <w:pPr>
              <w:widowControl/>
              <w:autoSpaceDE/>
              <w:autoSpaceDN/>
              <w:rPr>
                <w:rFonts w:ascii="Garamond" w:eastAsia="Times New Roman" w:hAnsi="Garamond"/>
                <w:sz w:val="12"/>
                <w:szCs w:val="12"/>
                <w:lang w:eastAsia="ja-JP" w:bidi="ar-SA"/>
              </w:rPr>
            </w:pPr>
          </w:p>
        </w:tc>
      </w:tr>
      <w:tr w:rsidR="005E6A56" w:rsidRPr="00786A01" w:rsidTr="009A4CED">
        <w:trPr>
          <w:trHeight w:val="206"/>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1029" w:type="dxa"/>
            <w:vMerge/>
            <w:tcBorders>
              <w:top w:val="single" w:sz="4" w:space="0" w:color="auto"/>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p>
        </w:tc>
      </w:tr>
      <w:tr w:rsidR="005E6A56"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F51074" w:rsidRPr="00786A01" w:rsidRDefault="00C51DE5" w:rsidP="00C51DE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F51074"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F51074"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F51074"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F51074"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F51074"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nil"/>
              <w:right w:val="single" w:sz="4" w:space="0" w:color="auto"/>
            </w:tcBorders>
            <w:shd w:val="clear" w:color="000000" w:fill="FFFF99"/>
            <w:vAlign w:val="center"/>
            <w:hideMark/>
          </w:tcPr>
          <w:p w:rsidR="00F51074" w:rsidRPr="00786A01" w:rsidRDefault="00C51DE5"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5E6A56" w:rsidRPr="00786A01" w:rsidTr="009A4CED">
        <w:trPr>
          <w:trHeight w:val="799"/>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A.1.3 Training of staff with a view of improving medium-term expenditures planning  </w:t>
            </w:r>
            <w:r w:rsidRPr="00786A01">
              <w:rPr>
                <w:rFonts w:ascii="Garamond" w:eastAsia="Times New Roman" w:hAnsi="Garamond"/>
                <w:color w:val="3366FF"/>
                <w:sz w:val="12"/>
                <w:szCs w:val="12"/>
                <w:lang w:eastAsia="ja-JP" w:bidi="ar-SA"/>
              </w:rPr>
              <w:t xml:space="preserve">(target group: technical staff) </w:t>
            </w:r>
          </w:p>
        </w:tc>
        <w:tc>
          <w:tcPr>
            <w:tcW w:w="983"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 xml:space="preserve">A number of employees have been trained. </w:t>
            </w:r>
          </w:p>
        </w:tc>
        <w:tc>
          <w:tcPr>
            <w:tcW w:w="84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2 </w:t>
            </w:r>
            <w:r w:rsidRPr="00786A01">
              <w:rPr>
                <w:rFonts w:ascii="Garamond" w:eastAsia="Times New Roman" w:hAnsi="Garamond"/>
                <w:sz w:val="12"/>
                <w:szCs w:val="12"/>
                <w:lang w:eastAsia="ja-JP" w:bidi="ar-SA"/>
              </w:rPr>
              <w:br/>
              <w:t>(A.1.5)</w:t>
            </w:r>
          </w:p>
        </w:tc>
        <w:tc>
          <w:tcPr>
            <w:tcW w:w="938" w:type="dxa"/>
            <w:tcBorders>
              <w:top w:val="nil"/>
              <w:left w:val="nil"/>
              <w:bottom w:val="single" w:sz="4" w:space="0" w:color="auto"/>
              <w:right w:val="single" w:sz="4" w:space="0" w:color="auto"/>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F51074"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noWrap/>
            <w:vAlign w:val="center"/>
            <w:hideMark/>
          </w:tcPr>
          <w:p w:rsidR="00F51074"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F51074"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135,000.00</w:t>
            </w:r>
          </w:p>
        </w:tc>
        <w:tc>
          <w:tcPr>
            <w:tcW w:w="901" w:type="dxa"/>
            <w:tcBorders>
              <w:top w:val="nil"/>
              <w:left w:val="nil"/>
              <w:bottom w:val="single" w:sz="4" w:space="0" w:color="auto"/>
              <w:right w:val="nil"/>
            </w:tcBorders>
            <w:shd w:val="clear" w:color="auto" w:fill="auto"/>
            <w:noWrap/>
            <w:vAlign w:val="center"/>
            <w:hideMark/>
          </w:tcPr>
          <w:p w:rsidR="00F51074" w:rsidRPr="00786A01" w:rsidRDefault="00A64847" w:rsidP="00A64847">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IPA II </w:t>
            </w:r>
            <w:r w:rsidRPr="00786A01">
              <w:rPr>
                <w:rFonts w:ascii="Garamond" w:eastAsia="Times New Roman" w:hAnsi="Garamond"/>
                <w:sz w:val="12"/>
                <w:szCs w:val="12"/>
                <w:lang w:eastAsia="ja-JP" w:bidi="ar-SA"/>
              </w:rPr>
              <w:br/>
              <w:t>Budget</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of budget analysts in the Ministry of Finance was held on April 7 and 8, 2021.</w:t>
            </w:r>
          </w:p>
          <w:p w:rsidR="00F51074"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On-line training for budget users planned for June 1 and 3, 2021.</w:t>
            </w:r>
          </w:p>
        </w:tc>
      </w:tr>
      <w:tr w:rsidR="005E6A56" w:rsidRPr="00786A01" w:rsidTr="009A4CED">
        <w:trPr>
          <w:trHeight w:val="799"/>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A.1.4 Training for multi-year budget planning with a view of better alignment of the budget programme goals with Government policies </w:t>
            </w:r>
            <w:r w:rsidRPr="00786A01">
              <w:rPr>
                <w:rFonts w:ascii="Garamond" w:eastAsia="Times New Roman" w:hAnsi="Garamond"/>
                <w:color w:val="3366FF"/>
                <w:sz w:val="12"/>
                <w:szCs w:val="12"/>
                <w:lang w:eastAsia="ja-JP" w:bidi="ar-SA"/>
              </w:rPr>
              <w:t>(target group: managerial staff)</w:t>
            </w:r>
            <w:r w:rsidRPr="00786A01">
              <w:rPr>
                <w:rFonts w:ascii="Garamond" w:eastAsia="Times New Roman" w:hAnsi="Garamond"/>
                <w:sz w:val="12"/>
                <w:szCs w:val="12"/>
                <w:lang w:eastAsia="ja-JP" w:bidi="ar-SA"/>
              </w:rPr>
              <w:t xml:space="preserve"> </w:t>
            </w:r>
          </w:p>
        </w:tc>
        <w:tc>
          <w:tcPr>
            <w:tcW w:w="983"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 xml:space="preserve">A number of employees have been trained. </w:t>
            </w:r>
          </w:p>
        </w:tc>
        <w:tc>
          <w:tcPr>
            <w:tcW w:w="84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2 </w:t>
            </w:r>
            <w:r w:rsidRPr="00786A01">
              <w:rPr>
                <w:rFonts w:ascii="Garamond" w:eastAsia="Times New Roman" w:hAnsi="Garamond"/>
                <w:sz w:val="12"/>
                <w:szCs w:val="12"/>
                <w:lang w:eastAsia="ja-JP" w:bidi="ar-SA"/>
              </w:rPr>
              <w:br/>
              <w:t>(A.1.5)</w:t>
            </w:r>
          </w:p>
        </w:tc>
        <w:tc>
          <w:tcPr>
            <w:tcW w:w="938" w:type="dxa"/>
            <w:tcBorders>
              <w:top w:val="nil"/>
              <w:left w:val="nil"/>
              <w:bottom w:val="single" w:sz="4" w:space="0" w:color="auto"/>
              <w:right w:val="single" w:sz="4" w:space="0" w:color="auto"/>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F51074" w:rsidRPr="00786A01" w:rsidRDefault="00F51074"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noWrap/>
            <w:vAlign w:val="center"/>
            <w:hideMark/>
          </w:tcPr>
          <w:p w:rsidR="00F51074"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F51074"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50,000.00</w:t>
            </w:r>
          </w:p>
        </w:tc>
        <w:tc>
          <w:tcPr>
            <w:tcW w:w="901" w:type="dxa"/>
            <w:tcBorders>
              <w:top w:val="nil"/>
              <w:left w:val="nil"/>
              <w:bottom w:val="single" w:sz="4" w:space="0" w:color="auto"/>
              <w:right w:val="nil"/>
            </w:tcBorders>
            <w:shd w:val="clear" w:color="auto" w:fill="auto"/>
            <w:noWrap/>
            <w:vAlign w:val="center"/>
            <w:hideMark/>
          </w:tcPr>
          <w:p w:rsidR="00F51074" w:rsidRPr="00786A01" w:rsidRDefault="00A64847" w:rsidP="00A64847">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IPA II </w:t>
            </w:r>
            <w:r w:rsidRPr="00786A01">
              <w:rPr>
                <w:rFonts w:ascii="Garamond" w:eastAsia="Times New Roman" w:hAnsi="Garamond"/>
                <w:sz w:val="12"/>
                <w:szCs w:val="12"/>
                <w:lang w:eastAsia="ja-JP" w:bidi="ar-SA"/>
              </w:rPr>
              <w:br/>
              <w:t>Budget</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F51074" w:rsidRPr="00786A01" w:rsidRDefault="00A64847" w:rsidP="00786A01">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The training is planned for </w:t>
            </w:r>
            <w:r w:rsidR="00786A01" w:rsidRPr="00786A01">
              <w:rPr>
                <w:rFonts w:ascii="Garamond" w:eastAsia="Times New Roman" w:hAnsi="Garamond"/>
                <w:sz w:val="12"/>
                <w:szCs w:val="12"/>
                <w:lang w:eastAsia="ja-JP" w:bidi="ar-SA"/>
              </w:rPr>
              <w:t>Q3</w:t>
            </w:r>
            <w:r w:rsidRPr="00786A01">
              <w:rPr>
                <w:rFonts w:ascii="Garamond" w:eastAsia="Times New Roman" w:hAnsi="Garamond"/>
                <w:sz w:val="12"/>
                <w:szCs w:val="12"/>
                <w:lang w:eastAsia="ja-JP" w:bidi="ar-SA"/>
              </w:rPr>
              <w:t xml:space="preserve"> 2021. Another option is currently being considered to make a presentation on the program budget reform that will be submitted to the leadership in the Government.</w:t>
            </w:r>
          </w:p>
        </w:tc>
      </w:tr>
      <w:tr w:rsidR="005E6A56" w:rsidRPr="00786A01" w:rsidTr="009A4CED">
        <w:trPr>
          <w:trHeight w:val="63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FF"/>
            <w:vAlign w:val="center"/>
            <w:hideMark/>
          </w:tcPr>
          <w:p w:rsidR="00F51074" w:rsidRPr="00786A01" w:rsidRDefault="00F51074"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A.1.8 Improvement of planning and presentation of multiannual commitments in the budget</w:t>
            </w:r>
          </w:p>
        </w:tc>
        <w:tc>
          <w:tcPr>
            <w:tcW w:w="983"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Legal act</w:t>
            </w:r>
            <w:r w:rsidRPr="00786A01">
              <w:rPr>
                <w:rFonts w:ascii="Garamond" w:eastAsia="Times New Roman" w:hAnsi="Garamond"/>
                <w:sz w:val="12"/>
                <w:szCs w:val="12"/>
                <w:lang w:eastAsia="ja-JP" w:bidi="ar-SA"/>
              </w:rPr>
              <w:br/>
              <w:t xml:space="preserve">(new / revised) </w:t>
            </w:r>
          </w:p>
        </w:tc>
        <w:tc>
          <w:tcPr>
            <w:tcW w:w="971" w:type="dxa"/>
            <w:tcBorders>
              <w:top w:val="nil"/>
              <w:left w:val="nil"/>
              <w:bottom w:val="single" w:sz="4" w:space="0" w:color="auto"/>
              <w:right w:val="single" w:sz="4" w:space="0" w:color="auto"/>
            </w:tcBorders>
            <w:shd w:val="clear" w:color="auto" w:fill="auto"/>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Presentation of multi - year commitments in budget documentation.</w:t>
            </w:r>
            <w:r w:rsidRPr="00786A01">
              <w:rPr>
                <w:rFonts w:ascii="Garamond" w:eastAsia="Times New Roman" w:hAnsi="Garamond"/>
                <w:sz w:val="12"/>
                <w:szCs w:val="12"/>
                <w:lang w:eastAsia="ja-JP" w:bidi="ar-SA"/>
              </w:rPr>
              <w:br/>
              <w:t xml:space="preserve">A review of multi-year commitments in the budget law. </w:t>
            </w:r>
          </w:p>
        </w:tc>
        <w:tc>
          <w:tcPr>
            <w:tcW w:w="841"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F51074" w:rsidRPr="00786A01" w:rsidRDefault="00F51074"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2017</w:t>
            </w:r>
          </w:p>
        </w:tc>
        <w:tc>
          <w:tcPr>
            <w:tcW w:w="993" w:type="dxa"/>
            <w:tcBorders>
              <w:top w:val="nil"/>
              <w:left w:val="nil"/>
              <w:bottom w:val="single" w:sz="4" w:space="0" w:color="auto"/>
              <w:right w:val="single" w:sz="4" w:space="0" w:color="auto"/>
            </w:tcBorders>
            <w:shd w:val="clear" w:color="000000" w:fill="FFFFFF"/>
            <w:noWrap/>
            <w:vAlign w:val="center"/>
            <w:hideMark/>
          </w:tcPr>
          <w:p w:rsidR="00F51074"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noWrap/>
            <w:vAlign w:val="center"/>
            <w:hideMark/>
          </w:tcPr>
          <w:p w:rsidR="00F51074"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F51074"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30,000.00</w:t>
            </w:r>
          </w:p>
        </w:tc>
        <w:tc>
          <w:tcPr>
            <w:tcW w:w="901" w:type="dxa"/>
            <w:tcBorders>
              <w:top w:val="nil"/>
              <w:left w:val="nil"/>
              <w:bottom w:val="single" w:sz="4" w:space="0" w:color="auto"/>
              <w:right w:val="nil"/>
            </w:tcBorders>
            <w:shd w:val="clear" w:color="auto" w:fill="auto"/>
            <w:noWrap/>
            <w:vAlign w:val="center"/>
            <w:hideMark/>
          </w:tcPr>
          <w:p w:rsidR="00F51074" w:rsidRPr="00786A01" w:rsidRDefault="00A64847"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IPA II </w:t>
            </w:r>
            <w:r w:rsidRPr="00786A01">
              <w:rPr>
                <w:rFonts w:ascii="Garamond" w:eastAsia="Times New Roman" w:hAnsi="Garamond"/>
                <w:sz w:val="12"/>
                <w:szCs w:val="12"/>
                <w:lang w:eastAsia="ja-JP" w:bidi="ar-SA"/>
              </w:rPr>
              <w:br/>
              <w:t>Budget</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overview of multi-annual commitments is included in the form for budget documentation, it is provided for by a circular / instruction on budget preparation.</w:t>
            </w:r>
          </w:p>
          <w:p w:rsidR="00A64847" w:rsidRPr="00786A01" w:rsidRDefault="00A64847" w:rsidP="00A64847">
            <w:pPr>
              <w:widowControl/>
              <w:autoSpaceDE/>
              <w:autoSpaceDN/>
              <w:jc w:val="center"/>
              <w:rPr>
                <w:rFonts w:ascii="Garamond" w:eastAsia="Times New Roman" w:hAnsi="Garamond"/>
                <w:sz w:val="12"/>
                <w:szCs w:val="12"/>
                <w:lang w:eastAsia="ja-JP" w:bidi="ar-SA"/>
              </w:rPr>
            </w:pPr>
          </w:p>
          <w:p w:rsidR="00F51074"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Project recommendations related to the amendment of the Law on Budget and Fiscal Responsibility have been submitted to the MoF, and the dynamics of implementation depends on the MoF (planned for the second half of 2021)</w:t>
            </w:r>
          </w:p>
        </w:tc>
      </w:tr>
      <w:tr w:rsidR="005E6A56" w:rsidRPr="00786A01" w:rsidTr="009A4CED">
        <w:trPr>
          <w:trHeight w:val="100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767" w:type="dxa"/>
            <w:tcBorders>
              <w:top w:val="nil"/>
              <w:left w:val="nil"/>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A.1.9 Develop and upgrade current budget planning IT to enable medium-term planning</w:t>
            </w:r>
          </w:p>
        </w:tc>
        <w:tc>
          <w:tcPr>
            <w:tcW w:w="983"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w:t>
            </w:r>
            <w:r w:rsidR="00F254DD" w:rsidRPr="00786A01">
              <w:rPr>
                <w:rFonts w:ascii="Garamond" w:eastAsia="Times New Roman" w:hAnsi="Garamond"/>
                <w:sz w:val="12"/>
                <w:szCs w:val="12"/>
                <w:lang w:eastAsia="ja-JP" w:bidi="ar-SA"/>
              </w:rPr>
              <w:t>sation</w:t>
            </w:r>
          </w:p>
        </w:tc>
        <w:tc>
          <w:tcPr>
            <w:tcW w:w="971"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Specifications for the development and upgrade of the budget planning system prepared.</w:t>
            </w:r>
            <w:r w:rsidRPr="00786A01">
              <w:rPr>
                <w:rFonts w:ascii="Garamond" w:eastAsia="Times New Roman" w:hAnsi="Garamond"/>
                <w:sz w:val="12"/>
                <w:szCs w:val="12"/>
                <w:lang w:eastAsia="ja-JP" w:bidi="ar-SA"/>
              </w:rPr>
              <w:br/>
              <w:t xml:space="preserve">Individual upgrades / improvements / modules developed. </w:t>
            </w:r>
          </w:p>
        </w:tc>
        <w:tc>
          <w:tcPr>
            <w:tcW w:w="841"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1 </w:t>
            </w:r>
            <w:r w:rsidRPr="00786A01">
              <w:rPr>
                <w:rFonts w:ascii="Garamond" w:eastAsia="Times New Roman" w:hAnsi="Garamond"/>
                <w:sz w:val="12"/>
                <w:szCs w:val="12"/>
                <w:lang w:eastAsia="ja-JP" w:bidi="ar-SA"/>
              </w:rPr>
              <w:br/>
              <w:t>(A.2.9)</w:t>
            </w:r>
            <w:r w:rsidRPr="00786A01">
              <w:rPr>
                <w:rFonts w:ascii="Garamond" w:eastAsia="Times New Roman" w:hAnsi="Garamond"/>
                <w:sz w:val="12"/>
                <w:szCs w:val="12"/>
                <w:lang w:eastAsia="ja-JP" w:bidi="ar-SA"/>
              </w:rPr>
              <w:br/>
              <w:t>(A.3.9)</w:t>
            </w:r>
          </w:p>
        </w:tc>
        <w:tc>
          <w:tcPr>
            <w:tcW w:w="938" w:type="dxa"/>
            <w:tcBorders>
              <w:top w:val="nil"/>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2019/2021</w:t>
            </w:r>
          </w:p>
        </w:tc>
        <w:tc>
          <w:tcPr>
            <w:tcW w:w="1029" w:type="dxa"/>
            <w:tcBorders>
              <w:top w:val="nil"/>
              <w:left w:val="nil"/>
              <w:bottom w:val="single" w:sz="4" w:space="0" w:color="auto"/>
              <w:right w:val="single" w:sz="4" w:space="0" w:color="auto"/>
            </w:tcBorders>
            <w:shd w:val="clear" w:color="000000" w:fill="FFFFFF"/>
            <w:vAlign w:val="center"/>
            <w:hideMark/>
          </w:tcPr>
          <w:p w:rsidR="00A64847" w:rsidRPr="00786A01" w:rsidRDefault="00A64847" w:rsidP="00E3033C">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300,000.00</w:t>
            </w:r>
          </w:p>
        </w:tc>
        <w:tc>
          <w:tcPr>
            <w:tcW w:w="901" w:type="dxa"/>
            <w:tcBorders>
              <w:top w:val="nil"/>
              <w:left w:val="nil"/>
              <w:bottom w:val="single" w:sz="4" w:space="0" w:color="auto"/>
              <w:right w:val="nil"/>
            </w:tcBorders>
            <w:shd w:val="clear" w:color="auto" w:fill="auto"/>
            <w:noWrap/>
            <w:vAlign w:val="center"/>
            <w:hideMark/>
          </w:tcPr>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r w:rsidRPr="00786A01">
              <w:rPr>
                <w:rFonts w:ascii="Garamond" w:eastAsia="Times New Roman" w:hAnsi="Garamond"/>
                <w:sz w:val="12"/>
                <w:szCs w:val="12"/>
                <w:lang w:eastAsia="ja-JP" w:bidi="ar-SA"/>
              </w:rPr>
              <w:br/>
              <w:t xml:space="preserve">Budget </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Functionality and / proposal related to medium-term planning was submitted to the IT project, on the framework of which in 2019 the first phase of software development in the part of electronic filling of budget requirements was reali</w:t>
            </w:r>
            <w:r w:rsidR="00371F6C">
              <w:rPr>
                <w:rFonts w:ascii="Garamond" w:eastAsia="Times New Roman" w:hAnsi="Garamond"/>
                <w:sz w:val="12"/>
                <w:szCs w:val="12"/>
                <w:lang w:eastAsia="ja-JP" w:bidi="ar-SA"/>
              </w:rPr>
              <w:t>sed</w:t>
            </w:r>
          </w:p>
          <w:p w:rsidR="00A64847" w:rsidRPr="00786A01" w:rsidRDefault="00A64847" w:rsidP="00A64847">
            <w:pPr>
              <w:widowControl/>
              <w:autoSpaceDE/>
              <w:autoSpaceDN/>
              <w:jc w:val="center"/>
              <w:rPr>
                <w:rFonts w:ascii="Garamond" w:eastAsia="Times New Roman" w:hAnsi="Garamond"/>
                <w:sz w:val="12"/>
                <w:szCs w:val="12"/>
                <w:lang w:eastAsia="ja-JP" w:bidi="ar-SA"/>
              </w:rPr>
            </w:pPr>
          </w:p>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Part will be implemented in 2020 and final changes / improvements in 2021.</w:t>
            </w:r>
          </w:p>
        </w:tc>
      </w:tr>
      <w:tr w:rsidR="005E6A56" w:rsidRPr="00786A01" w:rsidTr="009A4CED">
        <w:trPr>
          <w:trHeight w:val="100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767" w:type="dxa"/>
            <w:tcBorders>
              <w:top w:val="nil"/>
              <w:left w:val="nil"/>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000000" w:fill="00B050"/>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A1.10 </w:t>
            </w:r>
          </w:p>
          <w:p w:rsidR="00A64847" w:rsidRPr="00786A01" w:rsidRDefault="00A64847" w:rsidP="00A64847">
            <w:pPr>
              <w:pStyle w:val="Default"/>
              <w:rPr>
                <w:rFonts w:ascii="Garamond" w:eastAsia="Times New Roman" w:hAnsi="Garamond"/>
                <w:sz w:val="12"/>
                <w:szCs w:val="12"/>
              </w:rPr>
            </w:pPr>
            <w:r w:rsidRPr="00786A01">
              <w:rPr>
                <w:rFonts w:ascii="Garamond" w:hAnsi="Garamond"/>
                <w:iCs/>
                <w:sz w:val="12"/>
                <w:szCs w:val="12"/>
              </w:rPr>
              <w:t xml:space="preserve">Upgrade  the Budget Circular in the section on planning multiannual commitments </w:t>
            </w:r>
          </w:p>
        </w:tc>
        <w:tc>
          <w:tcPr>
            <w:tcW w:w="983"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Guidelines</w:t>
            </w:r>
          </w:p>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Manual</w:t>
            </w:r>
          </w:p>
        </w:tc>
        <w:tc>
          <w:tcPr>
            <w:tcW w:w="971"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Budget circular prepared (every year)</w:t>
            </w:r>
          </w:p>
        </w:tc>
        <w:tc>
          <w:tcPr>
            <w:tcW w:w="841"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MoF-BD</w:t>
            </w:r>
          </w:p>
        </w:tc>
        <w:tc>
          <w:tcPr>
            <w:tcW w:w="906"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E3033C">
            <w:pPr>
              <w:jc w:val="center"/>
              <w:rPr>
                <w:rFonts w:eastAsia="Times New Roman"/>
                <w:sz w:val="12"/>
                <w:szCs w:val="12"/>
              </w:rPr>
            </w:pPr>
            <w:r w:rsidRPr="00786A01">
              <w:rPr>
                <w:rFonts w:eastAsia="Times New Roman"/>
                <w:sz w:val="12"/>
                <w:szCs w:val="12"/>
              </w:rPr>
              <w:t>1</w:t>
            </w:r>
          </w:p>
          <w:p w:rsidR="00A64847" w:rsidRPr="00786A01" w:rsidRDefault="00A64847" w:rsidP="00E3033C">
            <w:pPr>
              <w:jc w:val="center"/>
              <w:rPr>
                <w:rFonts w:eastAsia="Times New Roman"/>
                <w:sz w:val="12"/>
                <w:szCs w:val="12"/>
              </w:rPr>
            </w:pPr>
            <w:r w:rsidRPr="00786A01">
              <w:rPr>
                <w:rFonts w:eastAsia="Times New Roman"/>
                <w:sz w:val="12"/>
                <w:szCs w:val="12"/>
              </w:rPr>
              <w:t>(A.2.7)</w:t>
            </w:r>
          </w:p>
        </w:tc>
        <w:tc>
          <w:tcPr>
            <w:tcW w:w="938" w:type="dxa"/>
            <w:tcBorders>
              <w:top w:val="nil"/>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Q2 2017</w:t>
            </w:r>
          </w:p>
        </w:tc>
        <w:tc>
          <w:tcPr>
            <w:tcW w:w="993" w:type="dxa"/>
            <w:tcBorders>
              <w:top w:val="nil"/>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A64847" w:rsidRPr="00786A01" w:rsidRDefault="00A64847" w:rsidP="00E3033C">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15,000.00</w:t>
            </w:r>
          </w:p>
        </w:tc>
        <w:tc>
          <w:tcPr>
            <w:tcW w:w="901" w:type="dxa"/>
            <w:tcBorders>
              <w:top w:val="nil"/>
              <w:left w:val="nil"/>
              <w:bottom w:val="single" w:sz="4" w:space="0" w:color="auto"/>
              <w:right w:val="nil"/>
            </w:tcBorders>
            <w:shd w:val="clear" w:color="auto" w:fill="auto"/>
            <w:noWrap/>
            <w:vAlign w:val="center"/>
            <w:hideMark/>
          </w:tcPr>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budget</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A64847" w:rsidRPr="00786A01" w:rsidRDefault="00A64847" w:rsidP="00A6484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Fully implemented</w:t>
            </w:r>
          </w:p>
        </w:tc>
      </w:tr>
      <w:tr w:rsidR="00C57A68" w:rsidRPr="00786A01" w:rsidTr="009A4CED">
        <w:trPr>
          <w:trHeight w:val="402"/>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bottom"/>
            <w:hideMark/>
          </w:tcPr>
          <w:p w:rsidR="00A64847" w:rsidRPr="00786A01" w:rsidRDefault="00A64847" w:rsidP="00E3033C">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570,000.00</w:t>
            </w:r>
          </w:p>
        </w:tc>
        <w:tc>
          <w:tcPr>
            <w:tcW w:w="901" w:type="dxa"/>
            <w:tcBorders>
              <w:top w:val="nil"/>
              <w:left w:val="nil"/>
              <w:bottom w:val="single" w:sz="4" w:space="0" w:color="auto"/>
              <w:right w:val="single" w:sz="4" w:space="0" w:color="auto"/>
            </w:tcBorders>
            <w:shd w:val="clear" w:color="000000" w:fill="FFFF00"/>
            <w:noWrap/>
            <w:vAlign w:val="bottom"/>
            <w:hideMark/>
          </w:tcPr>
          <w:p w:rsidR="00A64847" w:rsidRPr="00786A01" w:rsidRDefault="00A64847" w:rsidP="00E3033C">
            <w:pPr>
              <w:widowControl/>
              <w:autoSpaceDE/>
              <w:autoSpaceDN/>
              <w:jc w:val="right"/>
              <w:rPr>
                <w:rFonts w:ascii="Garamond" w:eastAsia="Times New Roman" w:hAnsi="Garamond"/>
                <w:b/>
                <w:bCs/>
                <w:color w:val="000000"/>
                <w:sz w:val="12"/>
                <w:szCs w:val="12"/>
                <w:lang w:eastAsia="ja-JP" w:bidi="ar-SA"/>
              </w:rPr>
            </w:pPr>
            <w:r w:rsidRPr="00786A01">
              <w:rPr>
                <w:rFonts w:ascii="Garamond" w:eastAsia="Times New Roman" w:hAnsi="Garamond"/>
                <w:b/>
                <w:bCs/>
                <w:color w:val="000000"/>
                <w:sz w:val="12"/>
                <w:szCs w:val="12"/>
                <w:lang w:eastAsia="ja-JP" w:bidi="ar-SA"/>
              </w:rPr>
              <w:t>120.000,00</w:t>
            </w:r>
            <w:r w:rsidRPr="00786A01">
              <w:rPr>
                <w:rFonts w:ascii="Garamond" w:eastAsia="Times New Roman" w:hAnsi="Garamond"/>
                <w:b/>
                <w:bCs/>
                <w:sz w:val="12"/>
                <w:szCs w:val="12"/>
                <w:lang w:eastAsia="ja-JP" w:bidi="ar-SA"/>
              </w:rPr>
              <w:t> </w:t>
            </w:r>
          </w:p>
        </w:tc>
        <w:tc>
          <w:tcPr>
            <w:tcW w:w="1007" w:type="dxa"/>
            <w:tcBorders>
              <w:top w:val="nil"/>
              <w:left w:val="nil"/>
              <w:bottom w:val="nil"/>
              <w:right w:val="nil"/>
            </w:tcBorders>
            <w:shd w:val="clear" w:color="000000" w:fill="FFFF00"/>
            <w:noWrap/>
            <w:vAlign w:val="bottom"/>
            <w:hideMark/>
          </w:tcPr>
          <w:p w:rsidR="00A64847" w:rsidRPr="00786A01" w:rsidRDefault="00A64847" w:rsidP="00F51074">
            <w:pPr>
              <w:widowControl/>
              <w:autoSpaceDE/>
              <w:autoSpaceDN/>
              <w:jc w:val="right"/>
              <w:rPr>
                <w:rFonts w:ascii="Garamond" w:eastAsia="Times New Roman" w:hAnsi="Garamond"/>
                <w:b/>
                <w:bCs/>
                <w:color w:val="000000"/>
                <w:sz w:val="12"/>
                <w:szCs w:val="12"/>
                <w:lang w:eastAsia="ja-JP" w:bidi="ar-SA"/>
              </w:rPr>
            </w:pPr>
          </w:p>
        </w:tc>
      </w:tr>
      <w:tr w:rsidR="00A64847" w:rsidRPr="00786A01" w:rsidTr="00A64847">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A64847" w:rsidRPr="00786A01" w:rsidRDefault="00A64847" w:rsidP="00A64847">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Strageic objective 1._A) Sustainable fiscal framework, public expenditures planning and budgeting</w:t>
            </w:r>
          </w:p>
        </w:tc>
      </w:tr>
      <w:tr w:rsidR="00A64847" w:rsidRPr="00786A01" w:rsidTr="00A64847">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A64847" w:rsidRPr="00786A01" w:rsidRDefault="00A64847" w:rsidP="00A64847">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4.1.2._ A.2. Annual Budgeting</w:t>
            </w:r>
          </w:p>
        </w:tc>
      </w:tr>
      <w:tr w:rsidR="005E6A56" w:rsidRPr="00786A01" w:rsidTr="009A4CED">
        <w:trPr>
          <w:cantSplit/>
          <w:trHeight w:val="1007"/>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A64847" w:rsidRPr="00786A01" w:rsidRDefault="00A64847" w:rsidP="00A64847">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4</w:t>
            </w:r>
          </w:p>
        </w:tc>
        <w:tc>
          <w:tcPr>
            <w:tcW w:w="1152" w:type="dxa"/>
            <w:tcBorders>
              <w:top w:val="single" w:sz="4" w:space="0" w:color="auto"/>
              <w:left w:val="nil"/>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Share of first level budget organisations that provide comprehensive information with their annual budget requests</w:t>
            </w:r>
          </w:p>
        </w:tc>
        <w:tc>
          <w:tcPr>
            <w:tcW w:w="983" w:type="dxa"/>
            <w:tcBorders>
              <w:top w:val="single" w:sz="4" w:space="0" w:color="auto"/>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40%</w:t>
            </w:r>
          </w:p>
        </w:tc>
        <w:tc>
          <w:tcPr>
            <w:tcW w:w="971" w:type="dxa"/>
            <w:tcBorders>
              <w:top w:val="single" w:sz="4" w:space="0" w:color="auto"/>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75%</w:t>
            </w:r>
          </w:p>
        </w:tc>
        <w:tc>
          <w:tcPr>
            <w:tcW w:w="841" w:type="dxa"/>
            <w:tcBorders>
              <w:top w:val="single" w:sz="4" w:space="0" w:color="auto"/>
              <w:left w:val="nil"/>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70%</w:t>
            </w:r>
          </w:p>
        </w:tc>
        <w:tc>
          <w:tcPr>
            <w:tcW w:w="906" w:type="dxa"/>
            <w:tcBorders>
              <w:top w:val="single" w:sz="4" w:space="0" w:color="auto"/>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80%</w:t>
            </w:r>
          </w:p>
        </w:tc>
        <w:tc>
          <w:tcPr>
            <w:tcW w:w="906" w:type="dxa"/>
            <w:tcBorders>
              <w:top w:val="single" w:sz="4" w:space="0" w:color="auto"/>
              <w:left w:val="nil"/>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80%</w:t>
            </w:r>
          </w:p>
        </w:tc>
        <w:tc>
          <w:tcPr>
            <w:tcW w:w="938" w:type="dxa"/>
            <w:tcBorders>
              <w:top w:val="single" w:sz="4" w:space="0" w:color="auto"/>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2019:90%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90%</w:t>
            </w:r>
          </w:p>
        </w:tc>
        <w:tc>
          <w:tcPr>
            <w:tcW w:w="1301" w:type="dxa"/>
            <w:tcBorders>
              <w:top w:val="nil"/>
              <w:left w:val="single" w:sz="4" w:space="0" w:color="auto"/>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100%</w:t>
            </w:r>
          </w:p>
        </w:tc>
        <w:tc>
          <w:tcPr>
            <w:tcW w:w="1029" w:type="dxa"/>
            <w:tcBorders>
              <w:top w:val="nil"/>
              <w:left w:val="nil"/>
              <w:bottom w:val="nil"/>
              <w:right w:val="nil"/>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100%</w:t>
            </w:r>
          </w:p>
        </w:tc>
        <w:tc>
          <w:tcPr>
            <w:tcW w:w="901"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5E6A56" w:rsidRPr="00786A01" w:rsidTr="009A4CED">
        <w:trPr>
          <w:cantSplit/>
          <w:trHeight w:val="189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A64847" w:rsidRPr="00786A01" w:rsidRDefault="00A64847" w:rsidP="00A64847">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5</w:t>
            </w:r>
          </w:p>
        </w:tc>
        <w:tc>
          <w:tcPr>
            <w:tcW w:w="1152"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Level of performance information included in budget planning</w:t>
            </w:r>
          </w:p>
        </w:tc>
        <w:tc>
          <w:tcPr>
            <w:tcW w:w="983"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Programme headings are defined by all budget organisations</w:t>
            </w:r>
          </w:p>
        </w:tc>
        <w:tc>
          <w:tcPr>
            <w:tcW w:w="971"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Programme structure is developed in all budget organisations</w:t>
            </w:r>
          </w:p>
        </w:tc>
        <w:tc>
          <w:tcPr>
            <w:tcW w:w="841"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Programme headings are defined by all budget organisations</w:t>
            </w:r>
          </w:p>
        </w:tc>
        <w:tc>
          <w:tcPr>
            <w:tcW w:w="906"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Programme structure is developed in all budget organisations</w:t>
            </w:r>
          </w:p>
        </w:tc>
        <w:tc>
          <w:tcPr>
            <w:tcW w:w="906"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Programme structure is developed in all budget organisations in terms of Programme headings  defined</w:t>
            </w:r>
          </w:p>
        </w:tc>
        <w:tc>
          <w:tcPr>
            <w:tcW w:w="938" w:type="dxa"/>
            <w:tcBorders>
              <w:top w:val="nil"/>
              <w:left w:val="nil"/>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Level 1 upgrade with defining a set of Performance indicators for pilot projects</w:t>
            </w:r>
          </w:p>
        </w:tc>
        <w:tc>
          <w:tcPr>
            <w:tcW w:w="993"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Programme headings are defined by all budget organisations</w:t>
            </w:r>
          </w:p>
        </w:tc>
        <w:tc>
          <w:tcPr>
            <w:tcW w:w="1301" w:type="dxa"/>
            <w:tcBorders>
              <w:top w:val="nil"/>
              <w:left w:val="single" w:sz="4" w:space="0" w:color="auto"/>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Created a set of indicators for all programs to monitor the success of achieving goals</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A64847" w:rsidRPr="00786A01" w:rsidRDefault="00A64847" w:rsidP="006018CF">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 xml:space="preserve">Defined </w:t>
            </w:r>
            <w:r w:rsidR="006018CF">
              <w:rPr>
                <w:rFonts w:ascii="Garamond" w:eastAsia="Times New Roman" w:hAnsi="Garamond"/>
                <w:b/>
                <w:bCs/>
                <w:color w:val="376091"/>
                <w:sz w:val="12"/>
                <w:szCs w:val="12"/>
                <w:lang w:eastAsia="ja-JP" w:bidi="ar-SA"/>
              </w:rPr>
              <w:t>headings</w:t>
            </w:r>
            <w:r w:rsidRPr="00786A01">
              <w:rPr>
                <w:rFonts w:ascii="Garamond" w:eastAsia="Times New Roman" w:hAnsi="Garamond"/>
                <w:b/>
                <w:bCs/>
                <w:color w:val="376091"/>
                <w:sz w:val="12"/>
                <w:szCs w:val="12"/>
                <w:lang w:eastAsia="ja-JP" w:bidi="ar-SA"/>
              </w:rPr>
              <w:t xml:space="preserve"> of main programs, programs and subprograms</w:t>
            </w:r>
          </w:p>
        </w:tc>
        <w:tc>
          <w:tcPr>
            <w:tcW w:w="901" w:type="dxa"/>
            <w:tcBorders>
              <w:top w:val="nil"/>
              <w:left w:val="single" w:sz="4" w:space="0" w:color="auto"/>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5E6A56" w:rsidRPr="00786A01" w:rsidTr="009A4CED">
        <w:trPr>
          <w:cantSplit/>
          <w:trHeight w:val="107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A64847" w:rsidRPr="00786A01" w:rsidRDefault="00A64847" w:rsidP="00A64847">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6</w:t>
            </w:r>
          </w:p>
        </w:tc>
        <w:tc>
          <w:tcPr>
            <w:tcW w:w="1152"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The number of staff trained for planning and monitoring expenditures in line with programme budgeting principles</w:t>
            </w:r>
          </w:p>
        </w:tc>
        <w:tc>
          <w:tcPr>
            <w:tcW w:w="983"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0</w:t>
            </w:r>
          </w:p>
        </w:tc>
        <w:tc>
          <w:tcPr>
            <w:tcW w:w="971"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20</w:t>
            </w:r>
          </w:p>
        </w:tc>
        <w:tc>
          <w:tcPr>
            <w:tcW w:w="841"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0</w:t>
            </w:r>
          </w:p>
        </w:tc>
        <w:tc>
          <w:tcPr>
            <w:tcW w:w="906" w:type="dxa"/>
            <w:tcBorders>
              <w:top w:val="nil"/>
              <w:left w:val="nil"/>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35</w:t>
            </w:r>
          </w:p>
        </w:tc>
        <w:tc>
          <w:tcPr>
            <w:tcW w:w="906"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0</w:t>
            </w:r>
          </w:p>
        </w:tc>
        <w:tc>
          <w:tcPr>
            <w:tcW w:w="938" w:type="dxa"/>
            <w:tcBorders>
              <w:top w:val="nil"/>
              <w:left w:val="nil"/>
              <w:bottom w:val="single" w:sz="4" w:space="0" w:color="auto"/>
              <w:right w:val="single" w:sz="4" w:space="0" w:color="auto"/>
            </w:tcBorders>
            <w:shd w:val="clear" w:color="000000" w:fill="FFFFFF"/>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70</w:t>
            </w:r>
          </w:p>
        </w:tc>
        <w:tc>
          <w:tcPr>
            <w:tcW w:w="993" w:type="dxa"/>
            <w:tcBorders>
              <w:top w:val="nil"/>
              <w:left w:val="nil"/>
              <w:bottom w:val="single" w:sz="4" w:space="0" w:color="auto"/>
              <w:right w:val="single" w:sz="4" w:space="0" w:color="auto"/>
            </w:tcBorders>
            <w:shd w:val="clear" w:color="auto" w:fill="auto"/>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17</w:t>
            </w:r>
          </w:p>
        </w:tc>
        <w:tc>
          <w:tcPr>
            <w:tcW w:w="1301" w:type="dxa"/>
            <w:tcBorders>
              <w:top w:val="nil"/>
              <w:left w:val="single" w:sz="4" w:space="0" w:color="auto"/>
              <w:bottom w:val="single" w:sz="4" w:space="0" w:color="auto"/>
              <w:right w:val="single" w:sz="4" w:space="0" w:color="auto"/>
            </w:tcBorders>
            <w:shd w:val="clear" w:color="000000" w:fill="FFFFFF"/>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130</w:t>
            </w:r>
          </w:p>
        </w:tc>
        <w:tc>
          <w:tcPr>
            <w:tcW w:w="1029" w:type="dxa"/>
            <w:tcBorders>
              <w:top w:val="nil"/>
              <w:left w:val="nil"/>
              <w:bottom w:val="single" w:sz="4" w:space="0" w:color="auto"/>
              <w:right w:val="single" w:sz="4" w:space="0" w:color="auto"/>
            </w:tcBorders>
            <w:shd w:val="clear" w:color="auto" w:fill="auto"/>
            <w:vAlign w:val="bottom"/>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100</w:t>
            </w:r>
          </w:p>
        </w:tc>
        <w:tc>
          <w:tcPr>
            <w:tcW w:w="901" w:type="dxa"/>
            <w:tcBorders>
              <w:top w:val="nil"/>
              <w:left w:val="single" w:sz="4" w:space="0" w:color="auto"/>
              <w:bottom w:val="single" w:sz="4" w:space="0" w:color="auto"/>
              <w:right w:val="single" w:sz="4" w:space="0" w:color="auto"/>
            </w:tcBorders>
            <w:shd w:val="clear" w:color="auto" w:fill="auto"/>
            <w:noWrap/>
            <w:vAlign w:val="center"/>
            <w:hideMark/>
          </w:tcPr>
          <w:p w:rsidR="00A64847" w:rsidRPr="00786A01" w:rsidRDefault="00A64847"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A64847" w:rsidRPr="00786A01" w:rsidRDefault="00A64847"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711781"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0C503F" w:rsidRPr="00786A01" w:rsidRDefault="000C503F"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p w:rsidR="000C503F" w:rsidRPr="00786A01" w:rsidRDefault="000C503F"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Technical assistance required (IPA, IMoF</w:t>
            </w:r>
            <w:proofErr w:type="gramStart"/>
            <w:r w:rsidRPr="00786A01">
              <w:rPr>
                <w:rFonts w:ascii="Garamond" w:eastAsia="Times New Roman" w:hAnsi="Garamond"/>
                <w:sz w:val="12"/>
                <w:szCs w:val="12"/>
                <w:lang w:eastAsia="ja-JP" w:bidi="ar-SA"/>
              </w:rPr>
              <w:t>,</w:t>
            </w:r>
            <w:proofErr w:type="gramEnd"/>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 agency / 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000000"/>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000000"/>
              <w:right w:val="single" w:sz="4" w:space="0" w:color="auto"/>
            </w:tcBorders>
            <w:shd w:val="clear" w:color="000000" w:fill="FFFF99"/>
            <w:vAlign w:val="center"/>
            <w:hideMark/>
          </w:tcPr>
          <w:p w:rsidR="000C503F" w:rsidRPr="00786A01" w:rsidRDefault="000C503F" w:rsidP="00E3033C">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date of</w:t>
            </w:r>
            <w:r w:rsidRPr="00786A01">
              <w:rPr>
                <w:rFonts w:ascii="Garamond" w:eastAsia="Times New Roman" w:hAnsi="Garamond"/>
                <w:sz w:val="12"/>
                <w:szCs w:val="12"/>
                <w:lang w:eastAsia="ja-JP" w:bidi="ar-SA"/>
              </w:rPr>
              <w:br/>
              <w:t>completion</w:t>
            </w:r>
          </w:p>
        </w:tc>
        <w:tc>
          <w:tcPr>
            <w:tcW w:w="1301"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deadline for implementation</w:t>
            </w:r>
          </w:p>
        </w:tc>
        <w:tc>
          <w:tcPr>
            <w:tcW w:w="1029"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711781"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0C503F" w:rsidRPr="00786A01" w:rsidRDefault="000C503F"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0C503F" w:rsidRPr="00786A01" w:rsidRDefault="000C503F" w:rsidP="000C503F">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 </w:t>
            </w:r>
          </w:p>
        </w:tc>
        <w:tc>
          <w:tcPr>
            <w:tcW w:w="983" w:type="dxa"/>
            <w:vMerge/>
            <w:tcBorders>
              <w:top w:val="nil"/>
              <w:left w:val="single" w:sz="4" w:space="0" w:color="auto"/>
              <w:bottom w:val="single" w:sz="4" w:space="0" w:color="auto"/>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0C503F" w:rsidRPr="00786A01" w:rsidRDefault="000C503F" w:rsidP="00F51074">
            <w:pPr>
              <w:widowControl/>
              <w:autoSpaceDE/>
              <w:autoSpaceDN/>
              <w:rPr>
                <w:rFonts w:ascii="Garamond" w:eastAsia="Times New Roman" w:hAnsi="Garamond"/>
                <w:sz w:val="12"/>
                <w:szCs w:val="12"/>
                <w:lang w:eastAsia="ja-JP" w:bidi="ar-SA"/>
              </w:rPr>
            </w:pPr>
          </w:p>
        </w:tc>
      </w:tr>
      <w:tr w:rsidR="005E6A56" w:rsidRPr="00786A01" w:rsidTr="009A4CED">
        <w:trPr>
          <w:trHeight w:val="368"/>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A64847" w:rsidRPr="00786A01" w:rsidRDefault="00A64847"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A64847" w:rsidRPr="00786A01" w:rsidRDefault="00A64847"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A64847" w:rsidRPr="00786A01" w:rsidRDefault="00A64847"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1301" w:type="dxa"/>
            <w:vMerge/>
            <w:tcBorders>
              <w:top w:val="single" w:sz="4" w:space="0" w:color="auto"/>
              <w:left w:val="single" w:sz="4" w:space="0" w:color="auto"/>
              <w:bottom w:val="single" w:sz="4" w:space="0" w:color="000000"/>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A64847" w:rsidRPr="00786A01" w:rsidRDefault="00A64847" w:rsidP="00F51074">
            <w:pPr>
              <w:widowControl/>
              <w:autoSpaceDE/>
              <w:autoSpaceDN/>
              <w:rPr>
                <w:rFonts w:ascii="Garamond" w:eastAsia="Times New Roman" w:hAnsi="Garamond"/>
                <w:sz w:val="12"/>
                <w:szCs w:val="12"/>
                <w:lang w:eastAsia="ja-JP" w:bidi="ar-SA"/>
              </w:rPr>
            </w:pPr>
          </w:p>
        </w:tc>
      </w:tr>
      <w:tr w:rsidR="005E6A56"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nil"/>
              <w:right w:val="single" w:sz="4" w:space="0" w:color="auto"/>
            </w:tcBorders>
            <w:shd w:val="clear" w:color="000000" w:fill="FFFF99"/>
            <w:vAlign w:val="center"/>
            <w:hideMark/>
          </w:tcPr>
          <w:p w:rsidR="000C503F" w:rsidRPr="00786A01" w:rsidRDefault="000C503F"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5E6A56" w:rsidRPr="00786A01" w:rsidTr="009A4CED">
        <w:trPr>
          <w:trHeight w:val="1302"/>
        </w:trPr>
        <w:tc>
          <w:tcPr>
            <w:tcW w:w="386" w:type="dxa"/>
            <w:tcBorders>
              <w:top w:val="nil"/>
              <w:left w:val="single" w:sz="4" w:space="0" w:color="auto"/>
              <w:bottom w:val="single" w:sz="4" w:space="0" w:color="auto"/>
              <w:right w:val="single" w:sz="4" w:space="0" w:color="auto"/>
            </w:tcBorders>
            <w:shd w:val="clear" w:color="auto" w:fill="auto"/>
            <w:vAlign w:val="bottom"/>
            <w:hideMark/>
          </w:tcPr>
          <w:p w:rsidR="001B2923" w:rsidRPr="00786A01" w:rsidRDefault="001B2923"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1B2923" w:rsidRPr="00786A01" w:rsidRDefault="001B2923"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center"/>
            <w:hideMark/>
          </w:tcPr>
          <w:p w:rsidR="001B2923" w:rsidRPr="00786A01" w:rsidRDefault="001B2923"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A2.1</w:t>
            </w:r>
          </w:p>
          <w:p w:rsidR="001B2923" w:rsidRPr="00786A01" w:rsidRDefault="001B2923" w:rsidP="006018CF">
            <w:pPr>
              <w:pStyle w:val="Default"/>
              <w:rPr>
                <w:rFonts w:ascii="Garamond" w:eastAsia="Times New Roman" w:hAnsi="Garamond"/>
                <w:sz w:val="12"/>
                <w:szCs w:val="12"/>
              </w:rPr>
            </w:pPr>
            <w:r w:rsidRPr="00786A01">
              <w:rPr>
                <w:rFonts w:ascii="Garamond" w:hAnsi="Garamond"/>
                <w:iCs/>
                <w:sz w:val="12"/>
                <w:szCs w:val="12"/>
              </w:rPr>
              <w:t xml:space="preserve">Review current budgeting legislation and procedures and based on the findings and the best practices and experiences in this field, amend national legislation with a view of putting in place the assumptions for the full implementation of programme budgeting </w:t>
            </w:r>
          </w:p>
        </w:tc>
        <w:tc>
          <w:tcPr>
            <w:tcW w:w="983"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42460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Legal act</w:t>
            </w:r>
          </w:p>
          <w:p w:rsidR="001B2923" w:rsidRPr="00786A01" w:rsidRDefault="001B2923" w:rsidP="0042460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 revised)</w:t>
            </w:r>
          </w:p>
        </w:tc>
        <w:tc>
          <w:tcPr>
            <w:tcW w:w="971"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 updated Decision on the manner and content of the program budget (in 2016 and if necessary in 2017 and subsequent years). Another (new) legal act is possible if necessary.</w:t>
            </w:r>
          </w:p>
        </w:tc>
        <w:tc>
          <w:tcPr>
            <w:tcW w:w="841" w:type="dxa"/>
            <w:tcBorders>
              <w:top w:val="nil"/>
              <w:left w:val="nil"/>
              <w:bottom w:val="single" w:sz="4" w:space="0" w:color="auto"/>
              <w:right w:val="single" w:sz="4" w:space="0" w:color="auto"/>
            </w:tcBorders>
            <w:shd w:val="clear" w:color="auto" w:fill="auto"/>
            <w:noWrap/>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MoF-BD</w:t>
            </w:r>
          </w:p>
        </w:tc>
        <w:tc>
          <w:tcPr>
            <w:tcW w:w="906"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noWrap/>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Q2 2017</w:t>
            </w:r>
          </w:p>
        </w:tc>
        <w:tc>
          <w:tcPr>
            <w:tcW w:w="993" w:type="dxa"/>
            <w:tcBorders>
              <w:top w:val="nil"/>
              <w:left w:val="nil"/>
              <w:bottom w:val="single" w:sz="4" w:space="0" w:color="auto"/>
              <w:right w:val="single" w:sz="4" w:space="0" w:color="auto"/>
            </w:tcBorders>
            <w:shd w:val="clear" w:color="000000" w:fill="FFFFFF"/>
            <w:noWrap/>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1301" w:type="dxa"/>
            <w:tcBorders>
              <w:top w:val="nil"/>
              <w:left w:val="nil"/>
              <w:bottom w:val="single" w:sz="4" w:space="0" w:color="auto"/>
              <w:right w:val="single" w:sz="4" w:space="0" w:color="auto"/>
            </w:tcBorders>
            <w:shd w:val="clear" w:color="000000" w:fill="FFFFFF"/>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2019/2020</w:t>
            </w:r>
          </w:p>
        </w:tc>
        <w:tc>
          <w:tcPr>
            <w:tcW w:w="1029"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20,000.00</w:t>
            </w:r>
          </w:p>
        </w:tc>
        <w:tc>
          <w:tcPr>
            <w:tcW w:w="901" w:type="dxa"/>
            <w:tcBorders>
              <w:top w:val="nil"/>
              <w:left w:val="nil"/>
              <w:bottom w:val="single" w:sz="4" w:space="0" w:color="auto"/>
              <w:right w:val="nil"/>
            </w:tcBorders>
            <w:shd w:val="clear" w:color="auto" w:fill="auto"/>
            <w:noWrap/>
            <w:vAlign w:val="center"/>
            <w:hideMark/>
          </w:tcPr>
          <w:p w:rsidR="001B2923" w:rsidRPr="00786A01" w:rsidRDefault="001B2923" w:rsidP="006018CF">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activity was reali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within the existing capacities, while possible improvement in the next period will be reali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from IPA II</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2923" w:rsidRPr="00786A01" w:rsidRDefault="001B2923"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Fully implemented</w:t>
            </w:r>
          </w:p>
        </w:tc>
      </w:tr>
      <w:tr w:rsidR="005E6A56" w:rsidRPr="00786A01" w:rsidTr="009A4CED">
        <w:trPr>
          <w:trHeight w:val="1302"/>
        </w:trPr>
        <w:tc>
          <w:tcPr>
            <w:tcW w:w="386" w:type="dxa"/>
            <w:tcBorders>
              <w:top w:val="nil"/>
              <w:left w:val="single" w:sz="4" w:space="0" w:color="auto"/>
              <w:bottom w:val="single" w:sz="4" w:space="0" w:color="auto"/>
              <w:right w:val="single" w:sz="4" w:space="0" w:color="auto"/>
            </w:tcBorders>
            <w:shd w:val="clear" w:color="auto" w:fill="auto"/>
            <w:vAlign w:val="bottom"/>
            <w:hideMark/>
          </w:tcPr>
          <w:p w:rsidR="001B2923" w:rsidRPr="00786A01" w:rsidRDefault="001B2923"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1B2923" w:rsidRPr="00786A01" w:rsidRDefault="001B2923"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center"/>
            <w:hideMark/>
          </w:tcPr>
          <w:p w:rsidR="001B2923" w:rsidRPr="00786A01" w:rsidRDefault="001B2923" w:rsidP="0042460C">
            <w:pPr>
              <w:pStyle w:val="Default"/>
              <w:rPr>
                <w:rFonts w:ascii="Garamond" w:hAnsi="Garamond"/>
                <w:sz w:val="12"/>
                <w:szCs w:val="12"/>
              </w:rPr>
            </w:pPr>
            <w:r w:rsidRPr="00786A01">
              <w:rPr>
                <w:rFonts w:ascii="Garamond" w:hAnsi="Garamond"/>
                <w:iCs/>
                <w:sz w:val="12"/>
                <w:szCs w:val="12"/>
              </w:rPr>
              <w:t xml:space="preserve">A2.5 Define missions, goals and descriptions of programmes or sub-programmes </w:t>
            </w:r>
          </w:p>
          <w:p w:rsidR="001B2923" w:rsidRPr="00786A01" w:rsidRDefault="001B2923"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42460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Legal act</w:t>
            </w:r>
          </w:p>
          <w:p w:rsidR="001B2923" w:rsidRPr="00786A01" w:rsidRDefault="001B2923" w:rsidP="0042460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 revised)</w:t>
            </w:r>
          </w:p>
        </w:tc>
        <w:tc>
          <w:tcPr>
            <w:tcW w:w="971"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Missions, objectives and program / sub-program descriptions defined (and published in the budget documentation) for the 2017 budget and required updates for the 2018 budget.</w:t>
            </w:r>
          </w:p>
        </w:tc>
        <w:tc>
          <w:tcPr>
            <w:tcW w:w="841" w:type="dxa"/>
            <w:tcBorders>
              <w:top w:val="nil"/>
              <w:left w:val="nil"/>
              <w:bottom w:val="single" w:sz="4" w:space="0" w:color="auto"/>
              <w:right w:val="single" w:sz="4" w:space="0" w:color="auto"/>
            </w:tcBorders>
            <w:shd w:val="clear" w:color="auto" w:fill="auto"/>
            <w:noWrap/>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MoF-BD</w:t>
            </w:r>
          </w:p>
        </w:tc>
        <w:tc>
          <w:tcPr>
            <w:tcW w:w="906"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42460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p w:rsidR="001B2923" w:rsidRPr="00786A01" w:rsidRDefault="001B2923" w:rsidP="0042460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(A.2.4)</w:t>
            </w:r>
          </w:p>
          <w:p w:rsidR="001B2923" w:rsidRPr="00786A01" w:rsidRDefault="001B2923" w:rsidP="0042460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(A.2.6)</w:t>
            </w:r>
          </w:p>
        </w:tc>
        <w:tc>
          <w:tcPr>
            <w:tcW w:w="938" w:type="dxa"/>
            <w:tcBorders>
              <w:top w:val="nil"/>
              <w:left w:val="nil"/>
              <w:bottom w:val="single" w:sz="4" w:space="0" w:color="auto"/>
              <w:right w:val="single" w:sz="4" w:space="0" w:color="auto"/>
            </w:tcBorders>
            <w:shd w:val="clear" w:color="000000" w:fill="FFFFFF"/>
            <w:noWrap/>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180,000.00</w:t>
            </w:r>
          </w:p>
        </w:tc>
        <w:tc>
          <w:tcPr>
            <w:tcW w:w="901" w:type="dxa"/>
            <w:tcBorders>
              <w:top w:val="nil"/>
              <w:left w:val="nil"/>
              <w:bottom w:val="single" w:sz="4" w:space="0" w:color="auto"/>
              <w:right w:val="nil"/>
            </w:tcBorders>
            <w:shd w:val="clear" w:color="auto" w:fill="auto"/>
            <w:noWrap/>
            <w:vAlign w:val="center"/>
            <w:hideMark/>
          </w:tcPr>
          <w:p w:rsidR="001B2923" w:rsidRPr="00786A01" w:rsidRDefault="001B2923"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budget</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B2923" w:rsidRPr="00786A01" w:rsidRDefault="001B2923"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Fully implemented</w:t>
            </w:r>
          </w:p>
        </w:tc>
      </w:tr>
      <w:tr w:rsidR="005E6A56" w:rsidRPr="00786A01" w:rsidTr="009A4CED">
        <w:trPr>
          <w:trHeight w:val="1302"/>
        </w:trPr>
        <w:tc>
          <w:tcPr>
            <w:tcW w:w="386" w:type="dxa"/>
            <w:tcBorders>
              <w:top w:val="nil"/>
              <w:left w:val="single" w:sz="4" w:space="0" w:color="auto"/>
              <w:bottom w:val="single" w:sz="4" w:space="0" w:color="auto"/>
              <w:right w:val="single" w:sz="4" w:space="0" w:color="auto"/>
            </w:tcBorders>
            <w:shd w:val="clear" w:color="auto" w:fill="auto"/>
            <w:vAlign w:val="bottom"/>
            <w:hideMark/>
          </w:tcPr>
          <w:p w:rsidR="001B2923" w:rsidRPr="00786A01" w:rsidRDefault="001B2923"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r w:rsidRPr="00786A01">
              <w:rPr>
                <w:rFonts w:ascii="Garamond" w:eastAsia="Times New Roman" w:hAnsi="Garamond"/>
                <w:sz w:val="12"/>
                <w:szCs w:val="12"/>
                <w:lang w:eastAsia="ja-JP" w:bidi="ar-SA"/>
              </w:rPr>
              <w:br/>
              <w:t>*13)</w:t>
            </w:r>
          </w:p>
        </w:tc>
        <w:tc>
          <w:tcPr>
            <w:tcW w:w="767" w:type="dxa"/>
            <w:tcBorders>
              <w:top w:val="nil"/>
              <w:left w:val="nil"/>
              <w:bottom w:val="single" w:sz="4" w:space="0" w:color="auto"/>
              <w:right w:val="single" w:sz="4" w:space="0" w:color="auto"/>
            </w:tcBorders>
            <w:shd w:val="clear" w:color="auto" w:fill="auto"/>
            <w:noWrap/>
            <w:vAlign w:val="bottom"/>
            <w:hideMark/>
          </w:tcPr>
          <w:p w:rsidR="001B2923" w:rsidRPr="00786A01" w:rsidRDefault="001B2923"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1B2923" w:rsidRPr="00786A01" w:rsidRDefault="001B2923"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A.2.6 Define performance indicators for programmes or sub-programmes</w:t>
            </w:r>
          </w:p>
        </w:tc>
        <w:tc>
          <w:tcPr>
            <w:tcW w:w="983"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Performance indicators defined (and published in the Budget Docume</w:t>
            </w:r>
            <w:r w:rsidR="006018CF">
              <w:rPr>
                <w:rFonts w:ascii="Garamond" w:eastAsia="Times New Roman" w:hAnsi="Garamond"/>
                <w:sz w:val="12"/>
                <w:szCs w:val="12"/>
                <w:lang w:eastAsia="ja-JP" w:bidi="ar-SA"/>
              </w:rPr>
              <w:t>ntatio</w:t>
            </w:r>
            <w:r w:rsidRPr="00786A01">
              <w:rPr>
                <w:rFonts w:ascii="Garamond" w:eastAsia="Times New Roman" w:hAnsi="Garamond"/>
                <w:sz w:val="12"/>
                <w:szCs w:val="12"/>
                <w:lang w:eastAsia="ja-JP" w:bidi="ar-SA"/>
              </w:rPr>
              <w:t>)</w:t>
            </w:r>
          </w:p>
        </w:tc>
        <w:tc>
          <w:tcPr>
            <w:tcW w:w="841" w:type="dxa"/>
            <w:tcBorders>
              <w:top w:val="nil"/>
              <w:left w:val="nil"/>
              <w:bottom w:val="single" w:sz="4" w:space="0" w:color="auto"/>
              <w:right w:val="single" w:sz="4" w:space="0" w:color="auto"/>
            </w:tcBorders>
            <w:shd w:val="clear" w:color="auto" w:fill="auto"/>
            <w:noWrap/>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r w:rsidRPr="00786A01">
              <w:rPr>
                <w:rFonts w:ascii="Garamond" w:eastAsia="Times New Roman" w:hAnsi="Garamond"/>
                <w:sz w:val="12"/>
                <w:szCs w:val="12"/>
                <w:lang w:eastAsia="ja-JP" w:bidi="ar-SA"/>
              </w:rPr>
              <w:br/>
              <w:t>(A.2.4)</w:t>
            </w:r>
            <w:r w:rsidRPr="00786A01">
              <w:rPr>
                <w:rFonts w:ascii="Garamond" w:eastAsia="Times New Roman" w:hAnsi="Garamond"/>
                <w:sz w:val="12"/>
                <w:szCs w:val="12"/>
                <w:lang w:eastAsia="ja-JP" w:bidi="ar-SA"/>
              </w:rPr>
              <w:br/>
              <w:t>(A.2.5)</w:t>
            </w:r>
            <w:r w:rsidRPr="00786A01">
              <w:rPr>
                <w:rFonts w:ascii="Garamond" w:eastAsia="Times New Roman" w:hAnsi="Garamond"/>
                <w:sz w:val="12"/>
                <w:szCs w:val="12"/>
                <w:lang w:eastAsia="ja-JP" w:bidi="ar-SA"/>
              </w:rPr>
              <w:br/>
              <w:t>(C.1.4)</w:t>
            </w:r>
            <w:r w:rsidRPr="00786A01">
              <w:rPr>
                <w:rFonts w:ascii="Garamond" w:eastAsia="Times New Roman" w:hAnsi="Garamond"/>
                <w:sz w:val="12"/>
                <w:szCs w:val="12"/>
                <w:lang w:eastAsia="ja-JP" w:bidi="ar-SA"/>
              </w:rPr>
              <w:br/>
              <w:t>(D.1.10)</w:t>
            </w:r>
          </w:p>
        </w:tc>
        <w:tc>
          <w:tcPr>
            <w:tcW w:w="938" w:type="dxa"/>
            <w:tcBorders>
              <w:top w:val="nil"/>
              <w:left w:val="nil"/>
              <w:bottom w:val="single" w:sz="4" w:space="0" w:color="auto"/>
              <w:right w:val="single" w:sz="4" w:space="0" w:color="auto"/>
            </w:tcBorders>
            <w:shd w:val="clear" w:color="000000" w:fill="FFFFFF"/>
            <w:noWrap/>
            <w:vAlign w:val="center"/>
            <w:hideMark/>
          </w:tcPr>
          <w:p w:rsidR="001B2923" w:rsidRPr="00786A01" w:rsidRDefault="001B2923"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993" w:type="dxa"/>
            <w:tcBorders>
              <w:top w:val="nil"/>
              <w:left w:val="nil"/>
              <w:bottom w:val="single" w:sz="4" w:space="0" w:color="auto"/>
              <w:right w:val="single" w:sz="4" w:space="0" w:color="auto"/>
            </w:tcBorders>
            <w:shd w:val="clear" w:color="000000" w:fill="FFFFFF"/>
            <w:noWrap/>
            <w:vAlign w:val="center"/>
            <w:hideMark/>
          </w:tcPr>
          <w:p w:rsidR="001B2923" w:rsidRPr="00786A01" w:rsidRDefault="001440EC" w:rsidP="001440E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1B2923" w:rsidRPr="00786A01" w:rsidRDefault="001440E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auto" w:fill="auto"/>
            <w:vAlign w:val="center"/>
            <w:hideMark/>
          </w:tcPr>
          <w:p w:rsidR="001B2923" w:rsidRPr="00786A01" w:rsidRDefault="001440E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310,000.00</w:t>
            </w:r>
          </w:p>
        </w:tc>
        <w:tc>
          <w:tcPr>
            <w:tcW w:w="901" w:type="dxa"/>
            <w:tcBorders>
              <w:top w:val="nil"/>
              <w:left w:val="nil"/>
              <w:bottom w:val="single" w:sz="4" w:space="0" w:color="auto"/>
              <w:right w:val="nil"/>
            </w:tcBorders>
            <w:shd w:val="clear" w:color="auto" w:fill="auto"/>
            <w:noWrap/>
            <w:vAlign w:val="center"/>
            <w:hideMark/>
          </w:tcPr>
          <w:p w:rsidR="001B2923" w:rsidRPr="00786A01" w:rsidRDefault="001440EC" w:rsidP="001440EC">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IPA II </w:t>
            </w:r>
            <w:r w:rsidRPr="00786A01">
              <w:rPr>
                <w:rFonts w:ascii="Garamond" w:eastAsia="Times New Roman" w:hAnsi="Garamond"/>
                <w:sz w:val="12"/>
                <w:szCs w:val="12"/>
                <w:lang w:eastAsia="ja-JP" w:bidi="ar-SA"/>
              </w:rPr>
              <w:br/>
              <w:t>Budget</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440EC" w:rsidRPr="00786A01" w:rsidRDefault="001440EC" w:rsidP="001440E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Performance indicators defined in the process of drafting the budget for 2021.</w:t>
            </w:r>
          </w:p>
          <w:p w:rsidR="001B2923" w:rsidRPr="00786A01" w:rsidRDefault="001440EC" w:rsidP="001440E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project plans additional on-the-job training in the third quarter of 2021 to re-define performance indicators.</w:t>
            </w:r>
          </w:p>
        </w:tc>
      </w:tr>
      <w:tr w:rsidR="005E6A56" w:rsidRPr="00786A01" w:rsidTr="009A4CED">
        <w:trPr>
          <w:trHeight w:val="123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767" w:type="dxa"/>
            <w:tcBorders>
              <w:top w:val="nil"/>
              <w:left w:val="nil"/>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000000" w:fill="00B050"/>
            <w:vAlign w:val="center"/>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A.2.7 Review and amend the budget circular to reflect changed program</w:t>
            </w:r>
            <w:r w:rsidR="006018CF">
              <w:rPr>
                <w:rFonts w:ascii="Garamond" w:eastAsia="Times New Roman" w:hAnsi="Garamond"/>
                <w:sz w:val="12"/>
                <w:szCs w:val="12"/>
                <w:lang w:eastAsia="ja-JP" w:bidi="ar-SA"/>
              </w:rPr>
              <w:t>me</w:t>
            </w:r>
            <w:r w:rsidRPr="00786A01">
              <w:rPr>
                <w:rFonts w:ascii="Garamond" w:eastAsia="Times New Roman" w:hAnsi="Garamond"/>
                <w:sz w:val="12"/>
                <w:szCs w:val="12"/>
                <w:lang w:eastAsia="ja-JP" w:bidi="ar-SA"/>
              </w:rPr>
              <w:t xml:space="preserve"> structures and introduce non-fi</w:t>
            </w:r>
            <w:r w:rsidR="006018CF">
              <w:rPr>
                <w:rFonts w:ascii="Garamond" w:eastAsia="Times New Roman" w:hAnsi="Garamond"/>
                <w:sz w:val="12"/>
                <w:szCs w:val="12"/>
                <w:lang w:eastAsia="ja-JP" w:bidi="ar-SA"/>
              </w:rPr>
              <w:t xml:space="preserve">nancial elements of the programme </w:t>
            </w:r>
            <w:r w:rsidRPr="00786A01">
              <w:rPr>
                <w:rFonts w:ascii="Garamond" w:eastAsia="Times New Roman" w:hAnsi="Garamond"/>
                <w:sz w:val="12"/>
                <w:szCs w:val="12"/>
                <w:lang w:eastAsia="ja-JP" w:bidi="ar-SA"/>
              </w:rPr>
              <w:t>budget</w:t>
            </w:r>
          </w:p>
        </w:tc>
        <w:tc>
          <w:tcPr>
            <w:tcW w:w="983"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Legal act</w:t>
            </w:r>
          </w:p>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 revised)</w:t>
            </w:r>
          </w:p>
        </w:tc>
        <w:tc>
          <w:tcPr>
            <w:tcW w:w="971"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1B2923">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Budget circular prepared (every year)</w:t>
            </w:r>
          </w:p>
        </w:tc>
        <w:tc>
          <w:tcPr>
            <w:tcW w:w="841" w:type="dxa"/>
            <w:tcBorders>
              <w:top w:val="nil"/>
              <w:left w:val="nil"/>
              <w:bottom w:val="single" w:sz="4" w:space="0" w:color="auto"/>
              <w:right w:val="single" w:sz="4" w:space="0" w:color="auto"/>
            </w:tcBorders>
            <w:shd w:val="clear" w:color="auto" w:fill="auto"/>
            <w:noWrap/>
            <w:vAlign w:val="center"/>
            <w:hideMark/>
          </w:tcPr>
          <w:p w:rsidR="00E3033C" w:rsidRPr="00786A01" w:rsidRDefault="00E3033C" w:rsidP="00E3033C">
            <w:pPr>
              <w:jc w:val="center"/>
              <w:rPr>
                <w:sz w:val="12"/>
                <w:szCs w:val="12"/>
              </w:rPr>
            </w:pPr>
            <w:r w:rsidRPr="00786A01">
              <w:rPr>
                <w:sz w:val="12"/>
                <w:szCs w:val="12"/>
              </w:rPr>
              <w:t>IPA II</w:t>
            </w:r>
          </w:p>
        </w:tc>
        <w:tc>
          <w:tcPr>
            <w:tcW w:w="906"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E3033C">
            <w:pPr>
              <w:jc w:val="center"/>
              <w:rPr>
                <w:sz w:val="12"/>
                <w:szCs w:val="12"/>
              </w:rPr>
            </w:pPr>
            <w:r w:rsidRPr="00786A01">
              <w:rPr>
                <w:sz w:val="12"/>
                <w:szCs w:val="12"/>
              </w:rPr>
              <w:t>MoF - BD</w:t>
            </w:r>
          </w:p>
        </w:tc>
        <w:tc>
          <w:tcPr>
            <w:tcW w:w="906"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E3033C">
            <w:pPr>
              <w:jc w:val="center"/>
              <w:rPr>
                <w:sz w:val="12"/>
                <w:szCs w:val="12"/>
              </w:rPr>
            </w:pPr>
            <w:r w:rsidRPr="00786A01">
              <w:rPr>
                <w:sz w:val="12"/>
                <w:szCs w:val="12"/>
              </w:rPr>
              <w:t>1</w:t>
            </w:r>
            <w:r w:rsidRPr="00786A01">
              <w:rPr>
                <w:sz w:val="12"/>
                <w:szCs w:val="12"/>
              </w:rPr>
              <w:br/>
              <w:t>(A.1.11)</w:t>
            </w:r>
          </w:p>
        </w:tc>
        <w:tc>
          <w:tcPr>
            <w:tcW w:w="938"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jc w:val="center"/>
              <w:rPr>
                <w:sz w:val="12"/>
                <w:szCs w:val="12"/>
              </w:rPr>
            </w:pPr>
            <w:r w:rsidRPr="00786A01">
              <w:rPr>
                <w:sz w:val="12"/>
                <w:szCs w:val="12"/>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jc w:val="center"/>
              <w:rPr>
                <w:sz w:val="12"/>
                <w:szCs w:val="12"/>
              </w:rPr>
            </w:pPr>
            <w:r w:rsidRPr="00786A01">
              <w:rPr>
                <w:sz w:val="12"/>
                <w:szCs w:val="12"/>
              </w:rPr>
              <w:t>2019</w:t>
            </w:r>
          </w:p>
        </w:tc>
        <w:tc>
          <w:tcPr>
            <w:tcW w:w="1301"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jc w:val="center"/>
              <w:rPr>
                <w:sz w:val="12"/>
                <w:szCs w:val="12"/>
              </w:rPr>
            </w:pPr>
            <w:r w:rsidRPr="00786A01">
              <w:rPr>
                <w:sz w:val="12"/>
                <w:szCs w:val="12"/>
              </w:rPr>
              <w:t>2019/</w:t>
            </w:r>
          </w:p>
          <w:p w:rsidR="00E3033C" w:rsidRPr="00786A01" w:rsidRDefault="00E3033C" w:rsidP="00E3033C">
            <w:pPr>
              <w:jc w:val="center"/>
              <w:rPr>
                <w:sz w:val="12"/>
                <w:szCs w:val="12"/>
              </w:rPr>
            </w:pPr>
            <w:r w:rsidRPr="00786A01">
              <w:rPr>
                <w:sz w:val="12"/>
                <w:szCs w:val="12"/>
              </w:rPr>
              <w:t>2021</w:t>
            </w:r>
          </w:p>
        </w:tc>
        <w:tc>
          <w:tcPr>
            <w:tcW w:w="1029" w:type="dxa"/>
            <w:tcBorders>
              <w:top w:val="nil"/>
              <w:left w:val="nil"/>
              <w:bottom w:val="single" w:sz="4" w:space="0" w:color="auto"/>
              <w:right w:val="single" w:sz="4" w:space="0" w:color="auto"/>
            </w:tcBorders>
            <w:shd w:val="clear" w:color="000000" w:fill="FFFFFF"/>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30,000.00</w:t>
            </w:r>
          </w:p>
        </w:tc>
        <w:tc>
          <w:tcPr>
            <w:tcW w:w="901" w:type="dxa"/>
            <w:tcBorders>
              <w:top w:val="nil"/>
              <w:left w:val="nil"/>
              <w:bottom w:val="single" w:sz="4" w:space="0" w:color="auto"/>
              <w:right w:val="nil"/>
            </w:tcBorders>
            <w:shd w:val="clear" w:color="auto" w:fill="auto"/>
            <w:noWrap/>
            <w:vAlign w:val="center"/>
            <w:hideMark/>
          </w:tcPr>
          <w:p w:rsidR="00E3033C" w:rsidRPr="00786A01" w:rsidRDefault="00E3033C"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budget</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Fully implemented</w:t>
            </w:r>
          </w:p>
        </w:tc>
      </w:tr>
      <w:tr w:rsidR="005E6A56" w:rsidRPr="00786A01" w:rsidTr="009A4CED">
        <w:trPr>
          <w:trHeight w:val="123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767" w:type="dxa"/>
            <w:tcBorders>
              <w:top w:val="nil"/>
              <w:left w:val="nil"/>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000000" w:fill="00B050"/>
            <w:vAlign w:val="center"/>
            <w:hideMark/>
          </w:tcPr>
          <w:p w:rsidR="00E3033C" w:rsidRPr="00786A01" w:rsidRDefault="00C3661C"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A.2.8 Organis</w:t>
            </w:r>
            <w:r w:rsidR="00E3033C" w:rsidRPr="00786A01">
              <w:rPr>
                <w:rFonts w:ascii="Garamond" w:eastAsia="Times New Roman" w:hAnsi="Garamond"/>
                <w:sz w:val="12"/>
                <w:szCs w:val="12"/>
                <w:lang w:eastAsia="ja-JP" w:bidi="ar-SA"/>
              </w:rPr>
              <w:t>e training for employees of the MoF and budget organi</w:t>
            </w:r>
            <w:r w:rsidR="00F254DD" w:rsidRPr="00786A01">
              <w:rPr>
                <w:rFonts w:ascii="Garamond" w:eastAsia="Times New Roman" w:hAnsi="Garamond"/>
                <w:sz w:val="12"/>
                <w:szCs w:val="12"/>
                <w:lang w:eastAsia="ja-JP" w:bidi="ar-SA"/>
              </w:rPr>
              <w:t>sation</w:t>
            </w:r>
            <w:r w:rsidR="00E3033C" w:rsidRPr="00786A01">
              <w:rPr>
                <w:rFonts w:ascii="Garamond" w:eastAsia="Times New Roman" w:hAnsi="Garamond"/>
                <w:sz w:val="12"/>
                <w:szCs w:val="12"/>
                <w:lang w:eastAsia="ja-JP" w:bidi="ar-SA"/>
              </w:rPr>
              <w:t>s that will be involved in the implementation of the program</w:t>
            </w:r>
            <w:r>
              <w:rPr>
                <w:rFonts w:ascii="Garamond" w:eastAsia="Times New Roman" w:hAnsi="Garamond"/>
                <w:sz w:val="12"/>
                <w:szCs w:val="12"/>
                <w:lang w:eastAsia="ja-JP" w:bidi="ar-SA"/>
              </w:rPr>
              <w:t>me</w:t>
            </w:r>
            <w:r w:rsidR="00E3033C" w:rsidRPr="00786A01">
              <w:rPr>
                <w:rFonts w:ascii="Garamond" w:eastAsia="Times New Roman" w:hAnsi="Garamond"/>
                <w:sz w:val="12"/>
                <w:szCs w:val="12"/>
                <w:lang w:eastAsia="ja-JP" w:bidi="ar-SA"/>
              </w:rPr>
              <w:t xml:space="preserve"> budget</w:t>
            </w:r>
          </w:p>
        </w:tc>
        <w:tc>
          <w:tcPr>
            <w:tcW w:w="983"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Training </w:t>
            </w:r>
          </w:p>
        </w:tc>
        <w:tc>
          <w:tcPr>
            <w:tcW w:w="971"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1B2923">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 number of employees have been trained.</w:t>
            </w:r>
          </w:p>
        </w:tc>
        <w:tc>
          <w:tcPr>
            <w:tcW w:w="841" w:type="dxa"/>
            <w:tcBorders>
              <w:top w:val="nil"/>
              <w:left w:val="nil"/>
              <w:bottom w:val="single" w:sz="4" w:space="0" w:color="auto"/>
              <w:right w:val="single" w:sz="4" w:space="0" w:color="auto"/>
            </w:tcBorders>
            <w:shd w:val="clear" w:color="auto" w:fill="auto"/>
            <w:noWrap/>
            <w:vAlign w:val="center"/>
            <w:hideMark/>
          </w:tcPr>
          <w:p w:rsidR="00E3033C" w:rsidRPr="00786A01" w:rsidRDefault="00E3033C" w:rsidP="00E3033C">
            <w:pPr>
              <w:jc w:val="center"/>
              <w:rPr>
                <w:sz w:val="12"/>
                <w:szCs w:val="12"/>
              </w:rPr>
            </w:pPr>
            <w:r w:rsidRPr="00786A01">
              <w:rPr>
                <w:sz w:val="12"/>
                <w:szCs w:val="12"/>
              </w:rPr>
              <w:t>IPA II</w:t>
            </w:r>
          </w:p>
        </w:tc>
        <w:tc>
          <w:tcPr>
            <w:tcW w:w="906"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E3033C">
            <w:pPr>
              <w:jc w:val="center"/>
              <w:rPr>
                <w:sz w:val="12"/>
                <w:szCs w:val="12"/>
              </w:rPr>
            </w:pPr>
            <w:r w:rsidRPr="00786A01">
              <w:rPr>
                <w:sz w:val="12"/>
                <w:szCs w:val="12"/>
              </w:rPr>
              <w:t>MF - BD</w:t>
            </w:r>
          </w:p>
        </w:tc>
        <w:tc>
          <w:tcPr>
            <w:tcW w:w="906"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E3033C">
            <w:pPr>
              <w:jc w:val="center"/>
              <w:rPr>
                <w:sz w:val="12"/>
                <w:szCs w:val="12"/>
              </w:rPr>
            </w:pPr>
            <w:r w:rsidRPr="00786A01">
              <w:rPr>
                <w:sz w:val="12"/>
                <w:szCs w:val="12"/>
              </w:rPr>
              <w:t>1</w:t>
            </w:r>
          </w:p>
        </w:tc>
        <w:tc>
          <w:tcPr>
            <w:tcW w:w="938"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jc w:val="center"/>
              <w:rPr>
                <w:sz w:val="12"/>
                <w:szCs w:val="12"/>
              </w:rPr>
            </w:pPr>
            <w:r w:rsidRPr="00786A01">
              <w:rPr>
                <w:sz w:val="12"/>
                <w:szCs w:val="12"/>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jc w:val="center"/>
              <w:rPr>
                <w:sz w:val="12"/>
                <w:szCs w:val="12"/>
              </w:rPr>
            </w:pPr>
            <w:r w:rsidRPr="00786A01">
              <w:rPr>
                <w:sz w:val="12"/>
                <w:szCs w:val="12"/>
              </w:rPr>
              <w:t>2019</w:t>
            </w:r>
          </w:p>
        </w:tc>
        <w:tc>
          <w:tcPr>
            <w:tcW w:w="1301"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jc w:val="center"/>
              <w:rPr>
                <w:sz w:val="12"/>
                <w:szCs w:val="12"/>
              </w:rPr>
            </w:pPr>
            <w:r w:rsidRPr="00786A01">
              <w:rPr>
                <w:sz w:val="12"/>
                <w:szCs w:val="12"/>
              </w:rPr>
              <w:t>2020</w:t>
            </w:r>
          </w:p>
        </w:tc>
        <w:tc>
          <w:tcPr>
            <w:tcW w:w="1029" w:type="dxa"/>
            <w:tcBorders>
              <w:top w:val="nil"/>
              <w:left w:val="nil"/>
              <w:bottom w:val="single" w:sz="4" w:space="0" w:color="auto"/>
              <w:right w:val="single" w:sz="4" w:space="0" w:color="auto"/>
            </w:tcBorders>
            <w:shd w:val="clear" w:color="000000" w:fill="FFFFFF"/>
            <w:vAlign w:val="center"/>
            <w:hideMark/>
          </w:tcPr>
          <w:p w:rsidR="00E3033C" w:rsidRPr="00786A01" w:rsidRDefault="00E3033C" w:rsidP="00E3033C">
            <w:pPr>
              <w:jc w:val="right"/>
              <w:rPr>
                <w:sz w:val="12"/>
                <w:szCs w:val="12"/>
              </w:rPr>
            </w:pPr>
            <w:r w:rsidRPr="00786A01">
              <w:rPr>
                <w:sz w:val="12"/>
                <w:szCs w:val="12"/>
              </w:rPr>
              <w:t>170,000,00</w:t>
            </w:r>
          </w:p>
        </w:tc>
        <w:tc>
          <w:tcPr>
            <w:tcW w:w="901" w:type="dxa"/>
            <w:tcBorders>
              <w:top w:val="nil"/>
              <w:left w:val="nil"/>
              <w:bottom w:val="single" w:sz="4" w:space="0" w:color="auto"/>
              <w:right w:val="nil"/>
            </w:tcBorders>
            <w:shd w:val="clear" w:color="auto" w:fill="auto"/>
            <w:noWrap/>
            <w:vAlign w:val="center"/>
            <w:hideMark/>
          </w:tcPr>
          <w:p w:rsidR="00E3033C" w:rsidRPr="00786A01" w:rsidRDefault="00E3033C" w:rsidP="00E3033C">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budget</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Fully implemented</w:t>
            </w:r>
          </w:p>
        </w:tc>
      </w:tr>
      <w:tr w:rsidR="005E6A56" w:rsidRPr="00786A01" w:rsidTr="009A4CED">
        <w:trPr>
          <w:trHeight w:val="123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767" w:type="dxa"/>
            <w:tcBorders>
              <w:top w:val="nil"/>
              <w:left w:val="nil"/>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A.2.9 Review and improve the functionality of the existing IT system for budget planning</w:t>
            </w:r>
          </w:p>
        </w:tc>
        <w:tc>
          <w:tcPr>
            <w:tcW w:w="983"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1B2923">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Specifications for the development and upgrade of the Budget planning system prepared.</w:t>
            </w:r>
          </w:p>
          <w:p w:rsidR="00E3033C" w:rsidRPr="00786A01" w:rsidRDefault="00E3033C" w:rsidP="001B2923">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Individual upgrades / improvements / modules developed. </w:t>
            </w:r>
          </w:p>
        </w:tc>
        <w:tc>
          <w:tcPr>
            <w:tcW w:w="841" w:type="dxa"/>
            <w:tcBorders>
              <w:top w:val="nil"/>
              <w:left w:val="nil"/>
              <w:bottom w:val="single" w:sz="4" w:space="0" w:color="auto"/>
              <w:right w:val="single" w:sz="4" w:space="0" w:color="auto"/>
            </w:tcBorders>
            <w:shd w:val="clear" w:color="auto" w:fill="auto"/>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r w:rsidRPr="00786A01">
              <w:rPr>
                <w:rFonts w:ascii="Garamond" w:eastAsia="Times New Roman" w:hAnsi="Garamond"/>
                <w:sz w:val="12"/>
                <w:szCs w:val="12"/>
                <w:lang w:eastAsia="ja-JP" w:bidi="ar-SA"/>
              </w:rPr>
              <w:br/>
              <w:t>(A.1.10)</w:t>
            </w:r>
            <w:r w:rsidRPr="00786A01">
              <w:rPr>
                <w:rFonts w:ascii="Garamond" w:eastAsia="Times New Roman" w:hAnsi="Garamond"/>
                <w:sz w:val="12"/>
                <w:szCs w:val="12"/>
                <w:lang w:eastAsia="ja-JP" w:bidi="ar-SA"/>
              </w:rPr>
              <w:br/>
              <w:t>(A.3.9)</w:t>
            </w:r>
          </w:p>
        </w:tc>
        <w:tc>
          <w:tcPr>
            <w:tcW w:w="938"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E3033C" w:rsidRPr="00786A01" w:rsidRDefault="00E3033C" w:rsidP="00E3033C">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295,000.00</w:t>
            </w:r>
          </w:p>
        </w:tc>
        <w:tc>
          <w:tcPr>
            <w:tcW w:w="901" w:type="dxa"/>
            <w:tcBorders>
              <w:top w:val="nil"/>
              <w:left w:val="nil"/>
              <w:bottom w:val="single" w:sz="4" w:space="0" w:color="auto"/>
              <w:right w:val="nil"/>
            </w:tcBorders>
            <w:shd w:val="clear" w:color="auto" w:fill="auto"/>
            <w:noWrap/>
            <w:vAlign w:val="center"/>
            <w:hideMark/>
          </w:tcPr>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IPA II Budget </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module for budget execution and connection to the SAP system. /</w:t>
            </w:r>
          </w:p>
        </w:tc>
      </w:tr>
      <w:tr w:rsidR="005E6A56"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A.2.10 Improve budget transparency by providing better visual presentation</w:t>
            </w:r>
          </w:p>
        </w:tc>
        <w:tc>
          <w:tcPr>
            <w:tcW w:w="983"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1B2923">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Budget view designed and web pages created.</w:t>
            </w:r>
          </w:p>
          <w:p w:rsidR="00E3033C" w:rsidRPr="00786A01" w:rsidRDefault="00E3033C" w:rsidP="001B2923">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Budget Law format revised and updated. </w:t>
            </w:r>
          </w:p>
        </w:tc>
        <w:tc>
          <w:tcPr>
            <w:tcW w:w="841" w:type="dxa"/>
            <w:tcBorders>
              <w:top w:val="nil"/>
              <w:left w:val="nil"/>
              <w:bottom w:val="single" w:sz="4" w:space="0" w:color="auto"/>
              <w:right w:val="single" w:sz="4" w:space="0" w:color="auto"/>
            </w:tcBorders>
            <w:shd w:val="clear" w:color="auto" w:fill="auto"/>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993"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000000" w:fill="FFFFFF"/>
            <w:vAlign w:val="center"/>
            <w:hideMark/>
          </w:tcPr>
          <w:p w:rsidR="00E3033C" w:rsidRPr="00786A01" w:rsidRDefault="00E3033C" w:rsidP="00E3033C">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20,000.00</w:t>
            </w:r>
          </w:p>
        </w:tc>
        <w:tc>
          <w:tcPr>
            <w:tcW w:w="901" w:type="dxa"/>
            <w:tcBorders>
              <w:top w:val="nil"/>
              <w:left w:val="nil"/>
              <w:bottom w:val="single" w:sz="4" w:space="0" w:color="auto"/>
              <w:right w:val="nil"/>
            </w:tcBorders>
            <w:shd w:val="clear" w:color="auto" w:fill="auto"/>
            <w:noWrap/>
            <w:vAlign w:val="center"/>
            <w:hideMark/>
          </w:tcPr>
          <w:p w:rsidR="00E3033C" w:rsidRPr="00786A01" w:rsidRDefault="00E3033C" w:rsidP="00E3033C">
            <w:pPr>
              <w:widowControl/>
              <w:autoSpaceDE/>
              <w:autoSpaceDN/>
              <w:jc w:val="center"/>
              <w:rPr>
                <w:rFonts w:ascii="Garamond" w:eastAsia="Times New Roman" w:hAnsi="Garamond"/>
                <w:sz w:val="12"/>
                <w:szCs w:val="12"/>
                <w:lang w:eastAsia="ja-JP" w:bidi="ar-SA"/>
              </w:rPr>
            </w:pP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Recommendations and changes to the programme classification were completed in 2019.</w:t>
            </w:r>
          </w:p>
          <w:p w:rsidR="00E3033C" w:rsidRPr="00786A01" w:rsidRDefault="00E3033C" w:rsidP="00E3033C">
            <w:pPr>
              <w:widowControl/>
              <w:autoSpaceDE/>
              <w:autoSpaceDN/>
              <w:jc w:val="center"/>
              <w:rPr>
                <w:rFonts w:ascii="Garamond" w:eastAsia="Times New Roman" w:hAnsi="Garamond"/>
                <w:sz w:val="12"/>
                <w:szCs w:val="12"/>
                <w:lang w:eastAsia="ja-JP" w:bidi="ar-SA"/>
              </w:rPr>
            </w:pPr>
          </w:p>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In 2020, the budget overview was completed through a detailed programme and amended organi</w:t>
            </w:r>
            <w:r w:rsidR="00F254DD" w:rsidRPr="00786A01">
              <w:rPr>
                <w:rFonts w:ascii="Garamond" w:eastAsia="Times New Roman" w:hAnsi="Garamond"/>
                <w:sz w:val="12"/>
                <w:szCs w:val="12"/>
                <w:lang w:eastAsia="ja-JP" w:bidi="ar-SA"/>
              </w:rPr>
              <w:t>sation</w:t>
            </w:r>
            <w:r w:rsidRPr="00786A01">
              <w:rPr>
                <w:rFonts w:ascii="Garamond" w:eastAsia="Times New Roman" w:hAnsi="Garamond"/>
                <w:sz w:val="12"/>
                <w:szCs w:val="12"/>
                <w:lang w:eastAsia="ja-JP" w:bidi="ar-SA"/>
              </w:rPr>
              <w:t>al classification.</w:t>
            </w:r>
          </w:p>
          <w:p w:rsidR="00E3033C" w:rsidRPr="00786A01" w:rsidRDefault="00E3033C" w:rsidP="00E3033C">
            <w:pPr>
              <w:widowControl/>
              <w:autoSpaceDE/>
              <w:autoSpaceDN/>
              <w:jc w:val="center"/>
              <w:rPr>
                <w:rFonts w:ascii="Garamond" w:eastAsia="Times New Roman" w:hAnsi="Garamond"/>
                <w:sz w:val="12"/>
                <w:szCs w:val="12"/>
                <w:lang w:eastAsia="ja-JP" w:bidi="ar-SA"/>
              </w:rPr>
            </w:pPr>
          </w:p>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programme classification was further revised to include activities and projects, as well as performance information (March 2021).</w:t>
            </w:r>
          </w:p>
          <w:p w:rsidR="00E3033C" w:rsidRPr="00786A01" w:rsidRDefault="00E3033C" w:rsidP="00E3033C">
            <w:pPr>
              <w:widowControl/>
              <w:autoSpaceDE/>
              <w:autoSpaceDN/>
              <w:jc w:val="center"/>
              <w:rPr>
                <w:rFonts w:ascii="Garamond" w:eastAsia="Times New Roman" w:hAnsi="Garamond"/>
                <w:sz w:val="12"/>
                <w:szCs w:val="12"/>
                <w:lang w:eastAsia="ja-JP" w:bidi="ar-SA"/>
              </w:rPr>
            </w:pPr>
          </w:p>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The budget for </w:t>
            </w:r>
            <w:r w:rsidR="00A113DA">
              <w:rPr>
                <w:rFonts w:ascii="Garamond" w:eastAsia="Times New Roman" w:hAnsi="Garamond"/>
                <w:sz w:val="12"/>
                <w:szCs w:val="12"/>
                <w:lang w:eastAsia="ja-JP" w:bidi="ar-SA"/>
              </w:rPr>
              <w:t>citizens</w:t>
            </w:r>
            <w:r w:rsidRPr="00786A01">
              <w:rPr>
                <w:rFonts w:ascii="Garamond" w:eastAsia="Times New Roman" w:hAnsi="Garamond"/>
                <w:sz w:val="12"/>
                <w:szCs w:val="12"/>
                <w:lang w:eastAsia="ja-JP" w:bidi="ar-SA"/>
              </w:rPr>
              <w:t xml:space="preserve"> was prepared in May 2021, which improves the visuali</w:t>
            </w:r>
            <w:r w:rsidR="00F254DD" w:rsidRPr="00786A01">
              <w:rPr>
                <w:rFonts w:ascii="Garamond" w:eastAsia="Times New Roman" w:hAnsi="Garamond"/>
                <w:sz w:val="12"/>
                <w:szCs w:val="12"/>
                <w:lang w:eastAsia="ja-JP" w:bidi="ar-SA"/>
              </w:rPr>
              <w:t>sation</w:t>
            </w:r>
            <w:r w:rsidRPr="00786A01">
              <w:rPr>
                <w:rFonts w:ascii="Garamond" w:eastAsia="Times New Roman" w:hAnsi="Garamond"/>
                <w:sz w:val="12"/>
                <w:szCs w:val="12"/>
                <w:lang w:eastAsia="ja-JP" w:bidi="ar-SA"/>
              </w:rPr>
              <w:t xml:space="preserve"> of the Draft Budget for 2021.</w:t>
            </w:r>
          </w:p>
        </w:tc>
      </w:tr>
      <w:tr w:rsidR="005E6A56" w:rsidRPr="00786A01" w:rsidTr="009A4CED">
        <w:trPr>
          <w:trHeight w:val="27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FF"/>
            <w:vAlign w:val="center"/>
            <w:hideMark/>
          </w:tcPr>
          <w:p w:rsidR="00E3033C" w:rsidRPr="00786A01" w:rsidRDefault="00E3033C"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A.2.11In accordance with the best international standards explore and implement measures for the improved presentation and visualisation of the in year reports (monthly and quarterly)</w:t>
            </w:r>
          </w:p>
        </w:tc>
        <w:tc>
          <w:tcPr>
            <w:tcW w:w="983"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Monthly and quarterly reports prepared and published on the MoF website.</w:t>
            </w:r>
          </w:p>
        </w:tc>
        <w:tc>
          <w:tcPr>
            <w:tcW w:w="841" w:type="dxa"/>
            <w:tcBorders>
              <w:top w:val="nil"/>
              <w:left w:val="nil"/>
              <w:bottom w:val="single" w:sz="4" w:space="0" w:color="auto"/>
              <w:right w:val="single" w:sz="4" w:space="0" w:color="auto"/>
            </w:tcBorders>
            <w:shd w:val="clear" w:color="auto" w:fill="auto"/>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993" w:type="dxa"/>
            <w:tcBorders>
              <w:top w:val="nil"/>
              <w:left w:val="nil"/>
              <w:bottom w:val="single" w:sz="4" w:space="0" w:color="auto"/>
              <w:right w:val="single" w:sz="4" w:space="0" w:color="auto"/>
            </w:tcBorders>
            <w:shd w:val="clear" w:color="000000" w:fill="FFFFFF"/>
            <w:noWrap/>
            <w:vAlign w:val="center"/>
            <w:hideMark/>
          </w:tcPr>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E3033C" w:rsidRPr="00786A01" w:rsidRDefault="00E3033C"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000000" w:fill="FFFFFF"/>
            <w:vAlign w:val="center"/>
            <w:hideMark/>
          </w:tcPr>
          <w:p w:rsidR="00E3033C" w:rsidRPr="00786A01" w:rsidRDefault="00E3033C" w:rsidP="00E3033C">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45,000.00</w:t>
            </w:r>
          </w:p>
        </w:tc>
        <w:tc>
          <w:tcPr>
            <w:tcW w:w="901" w:type="dxa"/>
            <w:tcBorders>
              <w:top w:val="nil"/>
              <w:left w:val="nil"/>
              <w:bottom w:val="single" w:sz="4" w:space="0" w:color="auto"/>
              <w:right w:val="nil"/>
            </w:tcBorders>
            <w:shd w:val="clear" w:color="auto" w:fill="auto"/>
            <w:noWrap/>
            <w:vAlign w:val="center"/>
            <w:hideMark/>
          </w:tcPr>
          <w:p w:rsidR="00E3033C" w:rsidRPr="00786A01" w:rsidRDefault="00E3033C" w:rsidP="00F51074">
            <w:pPr>
              <w:widowControl/>
              <w:autoSpaceDE/>
              <w:autoSpaceDN/>
              <w:jc w:val="right"/>
              <w:rPr>
                <w:rFonts w:ascii="Garamond" w:eastAsia="Times New Roman" w:hAnsi="Garamond"/>
                <w:sz w:val="12"/>
                <w:szCs w:val="12"/>
                <w:lang w:eastAsia="ja-JP" w:bidi="ar-SA"/>
              </w:rPr>
            </w:pP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first draft of the guidelines for reporting on performance has been prepared (November 2020) Training material has been prepared (2020)</w:t>
            </w:r>
          </w:p>
          <w:p w:rsidR="00E3033C" w:rsidRPr="00786A01" w:rsidRDefault="00E3033C" w:rsidP="00E3033C">
            <w:pPr>
              <w:widowControl/>
              <w:autoSpaceDE/>
              <w:autoSpaceDN/>
              <w:jc w:val="center"/>
              <w:rPr>
                <w:rFonts w:ascii="Garamond" w:eastAsia="Times New Roman" w:hAnsi="Garamond"/>
                <w:sz w:val="12"/>
                <w:szCs w:val="12"/>
                <w:lang w:eastAsia="ja-JP" w:bidi="ar-SA"/>
              </w:rPr>
            </w:pPr>
          </w:p>
          <w:p w:rsidR="00E3033C" w:rsidRPr="00786A01" w:rsidRDefault="00E3033C" w:rsidP="00E3033C">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Trainings for reporting on the results and success of the implementation of programmes and indicators and visuali</w:t>
            </w:r>
            <w:r w:rsidR="00F254DD" w:rsidRPr="00786A01">
              <w:rPr>
                <w:rFonts w:ascii="Garamond" w:eastAsia="Times New Roman" w:hAnsi="Garamond"/>
                <w:sz w:val="12"/>
                <w:szCs w:val="12"/>
                <w:lang w:eastAsia="ja-JP" w:bidi="ar-SA"/>
              </w:rPr>
              <w:t>sation</w:t>
            </w:r>
            <w:r w:rsidRPr="00786A01">
              <w:rPr>
                <w:rFonts w:ascii="Garamond" w:eastAsia="Times New Roman" w:hAnsi="Garamond"/>
                <w:sz w:val="12"/>
                <w:szCs w:val="12"/>
                <w:lang w:eastAsia="ja-JP" w:bidi="ar-SA"/>
              </w:rPr>
              <w:t xml:space="preserve"> are planned for </w:t>
            </w:r>
            <w:r w:rsidR="00C3661C">
              <w:rPr>
                <w:rFonts w:ascii="Garamond" w:eastAsia="Times New Roman" w:hAnsi="Garamond"/>
                <w:sz w:val="12"/>
                <w:szCs w:val="12"/>
                <w:lang w:eastAsia="ja-JP" w:bidi="ar-SA"/>
              </w:rPr>
              <w:t>the third quarter of 2021 </w:t>
            </w:r>
          </w:p>
        </w:tc>
      </w:tr>
      <w:tr w:rsidR="005E6A56"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767" w:type="dxa"/>
            <w:tcBorders>
              <w:top w:val="nil"/>
              <w:left w:val="nil"/>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A.2.12 Improve resources for better management of the EU`s own resources</w:t>
            </w:r>
          </w:p>
        </w:tc>
        <w:tc>
          <w:tcPr>
            <w:tcW w:w="983"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8B6A7B" w:rsidRPr="00786A01" w:rsidRDefault="00C13A74" w:rsidP="001B2923">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r w:rsidR="008B6A7B" w:rsidRPr="00786A01">
              <w:rPr>
                <w:rFonts w:ascii="Garamond" w:eastAsia="Times New Roman" w:hAnsi="Garamond"/>
                <w:sz w:val="12"/>
                <w:szCs w:val="12"/>
                <w:lang w:eastAsia="ja-JP" w:bidi="ar-SA"/>
              </w:rPr>
              <w:t>Draft Manual prepared.</w:t>
            </w:r>
          </w:p>
          <w:p w:rsidR="008B6A7B" w:rsidRPr="00786A01" w:rsidRDefault="008B6A7B" w:rsidP="001B2923">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Employees trained. </w:t>
            </w:r>
            <w:r w:rsidR="00C13A74" w:rsidRPr="00786A01">
              <w:rPr>
                <w:rFonts w:ascii="Garamond" w:eastAsia="Times New Roman" w:hAnsi="Garamond"/>
                <w:sz w:val="12"/>
                <w:szCs w:val="12"/>
                <w:lang w:eastAsia="ja-JP" w:bidi="ar-SA"/>
              </w:rPr>
              <w:t>‘</w:t>
            </w:r>
          </w:p>
        </w:tc>
        <w:tc>
          <w:tcPr>
            <w:tcW w:w="841"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r w:rsidRPr="00786A01">
              <w:rPr>
                <w:rFonts w:ascii="Garamond" w:eastAsia="Times New Roman" w:hAnsi="Garamond"/>
                <w:sz w:val="12"/>
                <w:szCs w:val="12"/>
                <w:lang w:eastAsia="ja-JP" w:bidi="ar-SA"/>
              </w:rPr>
              <w:br/>
              <w:t>(B.1.6)</w:t>
            </w:r>
            <w:r w:rsidRPr="00786A01">
              <w:rPr>
                <w:rFonts w:ascii="Garamond" w:eastAsia="Times New Roman" w:hAnsi="Garamond"/>
                <w:sz w:val="12"/>
                <w:szCs w:val="12"/>
                <w:lang w:eastAsia="ja-JP" w:bidi="ar-SA"/>
              </w:rPr>
              <w:br/>
              <w:t>(B.2.8)</w:t>
            </w:r>
          </w:p>
        </w:tc>
        <w:tc>
          <w:tcPr>
            <w:tcW w:w="938" w:type="dxa"/>
            <w:tcBorders>
              <w:top w:val="nil"/>
              <w:left w:val="nil"/>
              <w:bottom w:val="single" w:sz="4" w:space="0" w:color="auto"/>
              <w:right w:val="single" w:sz="4" w:space="0" w:color="auto"/>
            </w:tcBorders>
            <w:shd w:val="clear" w:color="000000" w:fill="FFFFFF"/>
            <w:noWrap/>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2017</w:t>
            </w:r>
          </w:p>
        </w:tc>
        <w:tc>
          <w:tcPr>
            <w:tcW w:w="993" w:type="dxa"/>
            <w:tcBorders>
              <w:top w:val="nil"/>
              <w:left w:val="nil"/>
              <w:bottom w:val="single" w:sz="4" w:space="0" w:color="auto"/>
              <w:right w:val="single" w:sz="4" w:space="0" w:color="auto"/>
            </w:tcBorders>
            <w:shd w:val="clear" w:color="000000" w:fill="FFFFFF"/>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 continuous implementation</w:t>
            </w:r>
          </w:p>
        </w:tc>
        <w:tc>
          <w:tcPr>
            <w:tcW w:w="1029" w:type="dxa"/>
            <w:tcBorders>
              <w:top w:val="nil"/>
              <w:left w:val="nil"/>
              <w:bottom w:val="single" w:sz="4" w:space="0" w:color="auto"/>
              <w:right w:val="single" w:sz="4" w:space="0" w:color="auto"/>
            </w:tcBorders>
            <w:shd w:val="clear" w:color="000000" w:fill="FFFFFF"/>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using existing capacities</w:t>
            </w:r>
          </w:p>
        </w:tc>
        <w:tc>
          <w:tcPr>
            <w:tcW w:w="901" w:type="dxa"/>
            <w:tcBorders>
              <w:top w:val="nil"/>
              <w:left w:val="nil"/>
              <w:bottom w:val="single" w:sz="4" w:space="0" w:color="auto"/>
              <w:right w:val="nil"/>
            </w:tcBorders>
            <w:shd w:val="clear" w:color="auto" w:fill="auto"/>
            <w:vAlign w:val="center"/>
            <w:hideMark/>
          </w:tcPr>
          <w:p w:rsidR="008B6A7B" w:rsidRPr="00786A01" w:rsidRDefault="008B6A7B" w:rsidP="00F51074">
            <w:pPr>
              <w:widowControl/>
              <w:autoSpaceDE/>
              <w:autoSpaceDN/>
              <w:jc w:val="right"/>
              <w:rPr>
                <w:rFonts w:ascii="Garamond" w:eastAsia="Times New Roman" w:hAnsi="Garamond"/>
                <w:sz w:val="12"/>
                <w:szCs w:val="12"/>
                <w:lang w:eastAsia="ja-JP" w:bidi="ar-SA"/>
              </w:rPr>
            </w:pPr>
          </w:p>
        </w:tc>
        <w:tc>
          <w:tcPr>
            <w:tcW w:w="1007" w:type="dxa"/>
            <w:tcBorders>
              <w:top w:val="nil"/>
              <w:left w:val="single" w:sz="4" w:space="0" w:color="auto"/>
              <w:bottom w:val="single" w:sz="4" w:space="0" w:color="auto"/>
              <w:right w:val="single" w:sz="4" w:space="0" w:color="auto"/>
            </w:tcBorders>
            <w:shd w:val="clear" w:color="auto" w:fill="auto"/>
            <w:vAlign w:val="center"/>
            <w:hideMark/>
          </w:tcPr>
          <w:p w:rsidR="008B6A7B" w:rsidRPr="00786A01" w:rsidRDefault="008B6A7B"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 continuous implementation</w:t>
            </w:r>
          </w:p>
        </w:tc>
      </w:tr>
      <w:tr w:rsidR="00C57A68"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bottom"/>
            <w:hideMark/>
          </w:tcPr>
          <w:p w:rsidR="008B6A7B" w:rsidRPr="00786A01" w:rsidRDefault="008B6A7B" w:rsidP="00D878D5">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895,000.00</w:t>
            </w:r>
          </w:p>
        </w:tc>
        <w:tc>
          <w:tcPr>
            <w:tcW w:w="901" w:type="dxa"/>
            <w:tcBorders>
              <w:top w:val="nil"/>
              <w:left w:val="nil"/>
              <w:bottom w:val="single" w:sz="4" w:space="0" w:color="auto"/>
              <w:right w:val="single" w:sz="4" w:space="0" w:color="auto"/>
            </w:tcBorders>
            <w:shd w:val="clear" w:color="000000" w:fill="FFFF00"/>
            <w:noWrap/>
            <w:vAlign w:val="bottom"/>
            <w:hideMark/>
          </w:tcPr>
          <w:p w:rsidR="008B6A7B" w:rsidRPr="00786A01" w:rsidRDefault="008B6A7B" w:rsidP="00D878D5">
            <w:pPr>
              <w:widowControl/>
              <w:autoSpaceDE/>
              <w:autoSpaceDN/>
              <w:jc w:val="right"/>
              <w:rPr>
                <w:rFonts w:ascii="Garamond" w:eastAsia="Times New Roman" w:hAnsi="Garamond"/>
                <w:b/>
                <w:bCs/>
                <w:color w:val="000000"/>
                <w:sz w:val="12"/>
                <w:szCs w:val="12"/>
                <w:lang w:eastAsia="ja-JP" w:bidi="ar-SA"/>
              </w:rPr>
            </w:pPr>
            <w:r w:rsidRPr="00786A01">
              <w:rPr>
                <w:rFonts w:ascii="Garamond" w:eastAsia="Times New Roman" w:hAnsi="Garamond"/>
                <w:b/>
                <w:bCs/>
                <w:color w:val="000000"/>
                <w:sz w:val="12"/>
                <w:szCs w:val="12"/>
                <w:lang w:eastAsia="ja-JP" w:bidi="ar-SA"/>
              </w:rPr>
              <w:t>522.000,00</w:t>
            </w:r>
            <w:r w:rsidRPr="00786A01">
              <w:rPr>
                <w:rFonts w:ascii="Garamond" w:eastAsia="Times New Roman" w:hAnsi="Garamond"/>
                <w:b/>
                <w:bCs/>
                <w:sz w:val="12"/>
                <w:szCs w:val="12"/>
                <w:lang w:eastAsia="ja-JP" w:bidi="ar-SA"/>
              </w:rPr>
              <w:t> </w:t>
            </w:r>
          </w:p>
        </w:tc>
        <w:tc>
          <w:tcPr>
            <w:tcW w:w="1007" w:type="dxa"/>
            <w:tcBorders>
              <w:top w:val="nil"/>
              <w:left w:val="nil"/>
              <w:bottom w:val="nil"/>
              <w:right w:val="nil"/>
            </w:tcBorders>
            <w:shd w:val="clear" w:color="000000" w:fill="FFFF00"/>
            <w:noWrap/>
            <w:vAlign w:val="bottom"/>
            <w:hideMark/>
          </w:tcPr>
          <w:p w:rsidR="008B6A7B" w:rsidRPr="00786A01" w:rsidRDefault="008B6A7B" w:rsidP="00F51074">
            <w:pPr>
              <w:widowControl/>
              <w:autoSpaceDE/>
              <w:autoSpaceDN/>
              <w:jc w:val="right"/>
              <w:rPr>
                <w:rFonts w:ascii="Garamond" w:eastAsia="Times New Roman" w:hAnsi="Garamond"/>
                <w:b/>
                <w:bCs/>
                <w:color w:val="000000"/>
                <w:sz w:val="12"/>
                <w:szCs w:val="12"/>
                <w:lang w:eastAsia="ja-JP" w:bidi="ar-SA"/>
              </w:rPr>
            </w:pPr>
          </w:p>
        </w:tc>
      </w:tr>
      <w:tr w:rsidR="005E6A56" w:rsidRPr="00786A01" w:rsidTr="009A4CED">
        <w:trPr>
          <w:trHeight w:val="28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38" w:type="dxa"/>
            <w:tcBorders>
              <w:top w:val="nil"/>
              <w:left w:val="nil"/>
              <w:bottom w:val="single" w:sz="4" w:space="0" w:color="auto"/>
              <w:right w:val="single" w:sz="4" w:space="0" w:color="auto"/>
            </w:tcBorders>
            <w:shd w:val="clear" w:color="000000" w:fill="FFFFFF"/>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301" w:type="dxa"/>
            <w:tcBorders>
              <w:top w:val="nil"/>
              <w:left w:val="nil"/>
              <w:bottom w:val="single" w:sz="4" w:space="0" w:color="auto"/>
              <w:right w:val="single" w:sz="4" w:space="0" w:color="auto"/>
            </w:tcBorders>
            <w:shd w:val="clear" w:color="000000" w:fill="FFFFFF"/>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FF"/>
            <w:noWrap/>
            <w:vAlign w:val="center"/>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1" w:type="dxa"/>
            <w:tcBorders>
              <w:top w:val="nil"/>
              <w:left w:val="nil"/>
              <w:bottom w:val="single" w:sz="4" w:space="0" w:color="auto"/>
              <w:right w:val="single" w:sz="4" w:space="0" w:color="auto"/>
            </w:tcBorders>
            <w:shd w:val="clear" w:color="000000" w:fill="FFFFFF"/>
            <w:noWrap/>
            <w:vAlign w:val="bottom"/>
            <w:hideMark/>
          </w:tcPr>
          <w:p w:rsidR="008B6A7B" w:rsidRPr="00786A01" w:rsidRDefault="008B6A7B"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000000" w:fill="FFFFFF"/>
            <w:noWrap/>
            <w:vAlign w:val="bottom"/>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8B6A7B" w:rsidRPr="00786A01" w:rsidTr="008B6A7B">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8B6A7B" w:rsidRPr="00786A01" w:rsidRDefault="008B6A7B" w:rsidP="008B6A7B">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 Sustainable fiscal framework, public expenditures planning and budgeting</w:t>
            </w:r>
          </w:p>
        </w:tc>
      </w:tr>
      <w:tr w:rsidR="008B6A7B" w:rsidRPr="00786A01" w:rsidTr="008B6A7B">
        <w:trPr>
          <w:trHeight w:val="28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8B6A7B" w:rsidRPr="00786A01" w:rsidRDefault="008B6A7B" w:rsidP="008B6A7B">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4.1.3._ A.3. Capital  Budget</w:t>
            </w:r>
          </w:p>
        </w:tc>
      </w:tr>
      <w:tr w:rsidR="005E6A56" w:rsidRPr="00786A01" w:rsidTr="009A4CED">
        <w:trPr>
          <w:cantSplit/>
          <w:trHeight w:val="2042"/>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8B6A7B" w:rsidRPr="00786A01" w:rsidRDefault="008B6A7B" w:rsidP="008B6A7B">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indicators 7</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Level of detail in public presentation of capital budget</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Projects in the Capital Budget presented grouped by areas (education, health, culture, sports…)</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proofErr w:type="gramStart"/>
            <w:r w:rsidRPr="00786A01">
              <w:rPr>
                <w:rFonts w:ascii="Garamond" w:eastAsia="Times New Roman" w:hAnsi="Garamond"/>
                <w:b/>
                <w:bCs/>
                <w:color w:val="376091"/>
                <w:sz w:val="12"/>
                <w:szCs w:val="12"/>
                <w:lang w:eastAsia="ja-JP" w:bidi="ar-SA"/>
              </w:rPr>
              <w:t>TV  (</w:t>
            </w:r>
            <w:proofErr w:type="gramEnd"/>
            <w:r w:rsidRPr="00786A01">
              <w:rPr>
                <w:rFonts w:ascii="Garamond" w:eastAsia="Times New Roman" w:hAnsi="Garamond"/>
                <w:b/>
                <w:bCs/>
                <w:color w:val="376091"/>
                <w:sz w:val="12"/>
                <w:szCs w:val="12"/>
                <w:lang w:eastAsia="ja-JP" w:bidi="ar-SA"/>
              </w:rPr>
              <w:t>2017): Projects in the Capital Budget presented grouped by areas (education, health, culture, sports…)</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Projects in the Budget Law are presented grouped by areas, while in the Explanation of the Law they are presented by individual projects</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proofErr w:type="gramStart"/>
            <w:r w:rsidRPr="00786A01">
              <w:rPr>
                <w:rFonts w:ascii="Garamond" w:eastAsia="Times New Roman" w:hAnsi="Garamond"/>
                <w:b/>
                <w:bCs/>
                <w:color w:val="376091"/>
                <w:sz w:val="12"/>
                <w:szCs w:val="12"/>
                <w:lang w:eastAsia="ja-JP" w:bidi="ar-SA"/>
              </w:rPr>
              <w:t>TV  (</w:t>
            </w:r>
            <w:proofErr w:type="gramEnd"/>
            <w:r w:rsidRPr="00786A01">
              <w:rPr>
                <w:rFonts w:ascii="Garamond" w:eastAsia="Times New Roman" w:hAnsi="Garamond"/>
                <w:b/>
                <w:bCs/>
                <w:color w:val="376091"/>
                <w:sz w:val="12"/>
                <w:szCs w:val="12"/>
                <w:lang w:eastAsia="ja-JP" w:bidi="ar-SA"/>
              </w:rPr>
              <w:t>2018):     Projects in the Capital Budget presented grouped by areas (education, health, culture, sports…)</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Projects in the Budget Law are presented grouped by areas, while in the Explanation of the Law they are presented by individual projects</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Overview of all individual projects implemented in the Budget Year and implementation of selected pilot projects by phases</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2019: </w:t>
            </w:r>
            <w:r w:rsidR="00C3661C">
              <w:rPr>
                <w:rFonts w:ascii="Garamond" w:eastAsia="Times New Roman" w:hAnsi="Garamond"/>
                <w:b/>
                <w:bCs/>
                <w:color w:val="376091"/>
                <w:sz w:val="12"/>
                <w:szCs w:val="12"/>
                <w:lang w:eastAsia="ja-JP" w:bidi="ar-SA"/>
              </w:rPr>
              <w:t>Pr</w:t>
            </w:r>
            <w:r w:rsidRPr="00786A01">
              <w:rPr>
                <w:rFonts w:ascii="Garamond" w:eastAsia="Times New Roman" w:hAnsi="Garamond"/>
                <w:b/>
                <w:bCs/>
                <w:color w:val="376091"/>
                <w:sz w:val="12"/>
                <w:szCs w:val="12"/>
                <w:lang w:eastAsia="ja-JP" w:bidi="ar-SA"/>
              </w:rPr>
              <w:t>ojects in the Budget Law are presented grouped by areas, while in the Explanation of the Law they are presented by individual projects</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Review by individual projects and phases of project implementation</w:t>
            </w:r>
          </w:p>
        </w:tc>
        <w:tc>
          <w:tcPr>
            <w:tcW w:w="1029" w:type="dxa"/>
            <w:tcBorders>
              <w:top w:val="nil"/>
              <w:left w:val="single" w:sz="4" w:space="0" w:color="auto"/>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Presentation by individual projects</w:t>
            </w:r>
          </w:p>
        </w:tc>
        <w:tc>
          <w:tcPr>
            <w:tcW w:w="9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5E6A56" w:rsidRPr="00786A01" w:rsidTr="009A4CED">
        <w:trPr>
          <w:cantSplit/>
          <w:trHeight w:val="1133"/>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8B6A7B" w:rsidRPr="00786A01" w:rsidRDefault="008B6A7B" w:rsidP="008B6A7B">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indicators 8</w:t>
            </w:r>
          </w:p>
        </w:tc>
        <w:tc>
          <w:tcPr>
            <w:tcW w:w="1152" w:type="dxa"/>
            <w:tcBorders>
              <w:top w:val="nil"/>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capital spending in the current year as a share of the capital budget plan</w:t>
            </w:r>
          </w:p>
        </w:tc>
        <w:tc>
          <w:tcPr>
            <w:tcW w:w="983" w:type="dxa"/>
            <w:tcBorders>
              <w:top w:val="nil"/>
              <w:left w:val="nil"/>
              <w:bottom w:val="single" w:sz="4" w:space="0" w:color="auto"/>
              <w:right w:val="single" w:sz="4" w:space="0" w:color="auto"/>
            </w:tcBorders>
            <w:shd w:val="clear" w:color="auto" w:fill="auto"/>
            <w:vAlign w:val="center"/>
            <w:hideMark/>
          </w:tcPr>
          <w:p w:rsidR="008B6A7B" w:rsidRPr="00786A01" w:rsidRDefault="00C3661C" w:rsidP="00F51074">
            <w:pPr>
              <w:widowControl/>
              <w:autoSpaceDE/>
              <w:autoSpaceDN/>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PV (2014): 70%</w:t>
            </w:r>
          </w:p>
        </w:tc>
        <w:tc>
          <w:tcPr>
            <w:tcW w:w="971" w:type="dxa"/>
            <w:tcBorders>
              <w:top w:val="nil"/>
              <w:left w:val="nil"/>
              <w:bottom w:val="single" w:sz="4" w:space="0" w:color="auto"/>
              <w:right w:val="single" w:sz="4" w:space="0" w:color="auto"/>
            </w:tcBorders>
            <w:shd w:val="clear" w:color="auto" w:fill="auto"/>
            <w:noWrap/>
            <w:vAlign w:val="center"/>
            <w:hideMark/>
          </w:tcPr>
          <w:p w:rsidR="008B6A7B" w:rsidRPr="00786A01" w:rsidRDefault="00C3661C" w:rsidP="00F51074">
            <w:pPr>
              <w:widowControl/>
              <w:autoSpaceDE/>
              <w:autoSpaceDN/>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TV (2014): 8</w:t>
            </w:r>
            <w:r w:rsidR="008B6A7B" w:rsidRPr="00786A01">
              <w:rPr>
                <w:rFonts w:ascii="Garamond" w:eastAsia="Times New Roman" w:hAnsi="Garamond"/>
                <w:b/>
                <w:bCs/>
                <w:color w:val="376091"/>
                <w:sz w:val="12"/>
                <w:szCs w:val="12"/>
                <w:lang w:eastAsia="ja-JP" w:bidi="ar-SA"/>
              </w:rPr>
              <w:t>0%</w:t>
            </w:r>
          </w:p>
        </w:tc>
        <w:tc>
          <w:tcPr>
            <w:tcW w:w="841" w:type="dxa"/>
            <w:tcBorders>
              <w:top w:val="nil"/>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bookmarkStart w:id="27" w:name="RANGE!G42"/>
            <w:r w:rsidRPr="00786A01">
              <w:rPr>
                <w:rFonts w:ascii="Garamond" w:eastAsia="Times New Roman" w:hAnsi="Garamond"/>
                <w:b/>
                <w:bCs/>
                <w:color w:val="376091"/>
                <w:sz w:val="12"/>
                <w:szCs w:val="12"/>
                <w:lang w:eastAsia="ja-JP" w:bidi="ar-SA"/>
              </w:rPr>
              <w:t>Actual value in 2017:     82%</w:t>
            </w:r>
            <w:bookmarkEnd w:id="27"/>
            <w:r w:rsidR="0099303D" w:rsidRPr="00786A01">
              <w:rPr>
                <w:rStyle w:val="FootnoteReference"/>
                <w:rFonts w:ascii="Garamond" w:eastAsia="Times New Roman" w:hAnsi="Garamond"/>
                <w:b/>
                <w:bCs/>
                <w:color w:val="376091"/>
                <w:sz w:val="12"/>
                <w:szCs w:val="12"/>
                <w:lang w:eastAsia="ja-JP" w:bidi="ar-SA"/>
              </w:rPr>
              <w:footnoteReference w:id="45"/>
            </w:r>
          </w:p>
        </w:tc>
        <w:tc>
          <w:tcPr>
            <w:tcW w:w="906" w:type="dxa"/>
            <w:tcBorders>
              <w:top w:val="nil"/>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83%</w:t>
            </w:r>
          </w:p>
        </w:tc>
        <w:tc>
          <w:tcPr>
            <w:tcW w:w="906" w:type="dxa"/>
            <w:tcBorders>
              <w:top w:val="nil"/>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2018: 91%/111% </w:t>
            </w:r>
          </w:p>
        </w:tc>
        <w:tc>
          <w:tcPr>
            <w:tcW w:w="938" w:type="dxa"/>
            <w:tcBorders>
              <w:top w:val="nil"/>
              <w:left w:val="nil"/>
              <w:bottom w:val="single" w:sz="4" w:space="0" w:color="auto"/>
              <w:right w:val="single" w:sz="4" w:space="0" w:color="auto"/>
            </w:tcBorders>
            <w:shd w:val="clear" w:color="000000" w:fill="FFFFFF"/>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86%</w:t>
            </w:r>
          </w:p>
        </w:tc>
        <w:tc>
          <w:tcPr>
            <w:tcW w:w="993" w:type="dxa"/>
            <w:tcBorders>
              <w:top w:val="nil"/>
              <w:left w:val="nil"/>
              <w:bottom w:val="single" w:sz="4" w:space="0" w:color="auto"/>
              <w:right w:val="single" w:sz="4" w:space="0" w:color="auto"/>
            </w:tcBorders>
            <w:shd w:val="clear" w:color="auto" w:fill="auto"/>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92%</w:t>
            </w:r>
            <w:r w:rsidRPr="00786A01">
              <w:rPr>
                <w:rFonts w:ascii="Garamond" w:eastAsia="Times New Roman" w:hAnsi="Garamond"/>
                <w:b/>
                <w:bCs/>
                <w:color w:val="376091"/>
                <w:sz w:val="12"/>
                <w:szCs w:val="12"/>
                <w:lang w:eastAsia="ja-JP" w:bidi="ar-SA"/>
              </w:rPr>
              <w:br/>
              <w:t>112,3%</w:t>
            </w:r>
          </w:p>
        </w:tc>
        <w:tc>
          <w:tcPr>
            <w:tcW w:w="1301" w:type="dxa"/>
            <w:tcBorders>
              <w:top w:val="nil"/>
              <w:left w:val="nil"/>
              <w:bottom w:val="single" w:sz="4" w:space="0" w:color="auto"/>
              <w:right w:val="single" w:sz="4" w:space="0" w:color="auto"/>
            </w:tcBorders>
            <w:shd w:val="clear" w:color="000000" w:fill="FFFFFF"/>
            <w:vAlign w:val="center"/>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90%</w:t>
            </w:r>
          </w:p>
        </w:tc>
        <w:tc>
          <w:tcPr>
            <w:tcW w:w="1029" w:type="dxa"/>
            <w:tcBorders>
              <w:top w:val="nil"/>
              <w:left w:val="single" w:sz="4" w:space="0" w:color="auto"/>
              <w:bottom w:val="single" w:sz="4" w:space="0" w:color="auto"/>
              <w:right w:val="single" w:sz="4" w:space="0" w:color="auto"/>
            </w:tcBorders>
            <w:shd w:val="clear" w:color="auto" w:fill="auto"/>
            <w:vAlign w:val="bottom"/>
            <w:hideMark/>
          </w:tcPr>
          <w:p w:rsidR="008B6A7B" w:rsidRPr="00786A01" w:rsidRDefault="008B6A7B"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180.60%</w:t>
            </w:r>
            <w:r w:rsidRPr="00786A01">
              <w:rPr>
                <w:rFonts w:ascii="Garamond" w:eastAsia="Times New Roman" w:hAnsi="Garamond"/>
                <w:b/>
                <w:bCs/>
                <w:color w:val="376091"/>
                <w:sz w:val="12"/>
                <w:szCs w:val="12"/>
                <w:lang w:eastAsia="ja-JP" w:bidi="ar-SA"/>
              </w:rPr>
              <w:br/>
              <w:t>107.6%</w:t>
            </w:r>
            <w:r w:rsidR="0099303D" w:rsidRPr="00786A01">
              <w:rPr>
                <w:rStyle w:val="FootnoteReference"/>
                <w:rFonts w:ascii="Garamond" w:eastAsia="Times New Roman" w:hAnsi="Garamond"/>
                <w:b/>
                <w:bCs/>
                <w:color w:val="376091"/>
                <w:sz w:val="12"/>
                <w:szCs w:val="12"/>
                <w:lang w:eastAsia="ja-JP" w:bidi="ar-SA"/>
              </w:rPr>
              <w:footnoteReference w:id="46"/>
            </w:r>
            <w:r w:rsidRPr="00786A01">
              <w:rPr>
                <w:rFonts w:ascii="Garamond" w:eastAsia="Times New Roman" w:hAnsi="Garamond"/>
                <w:b/>
                <w:bCs/>
                <w:color w:val="376091"/>
                <w:sz w:val="12"/>
                <w:szCs w:val="12"/>
                <w:lang w:eastAsia="ja-JP" w:bidi="ar-SA"/>
              </w:rPr>
              <w:t xml:space="preserve"> </w:t>
            </w:r>
          </w:p>
        </w:tc>
        <w:tc>
          <w:tcPr>
            <w:tcW w:w="901" w:type="dxa"/>
            <w:tcBorders>
              <w:top w:val="nil"/>
              <w:left w:val="single" w:sz="4" w:space="0" w:color="auto"/>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711781"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8B6A7B" w:rsidRPr="00786A01" w:rsidRDefault="008B6A7B"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000000"/>
              <w:right w:val="single" w:sz="4" w:space="0" w:color="auto"/>
            </w:tcBorders>
            <w:shd w:val="clear" w:color="000000" w:fill="FFFF99"/>
            <w:vAlign w:val="center"/>
            <w:hideMark/>
          </w:tcPr>
          <w:p w:rsidR="008B6A7B" w:rsidRPr="00786A01" w:rsidRDefault="008B6A7B"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000000"/>
              <w:right w:val="single" w:sz="4" w:space="0" w:color="auto"/>
            </w:tcBorders>
            <w:shd w:val="clear" w:color="000000" w:fill="FFFF99"/>
            <w:vAlign w:val="center"/>
            <w:hideMark/>
          </w:tcPr>
          <w:p w:rsidR="008B6A7B" w:rsidRPr="00786A01" w:rsidRDefault="008B6A7B" w:rsidP="00D878D5">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date of</w:t>
            </w:r>
            <w:r w:rsidRPr="00786A01">
              <w:rPr>
                <w:rFonts w:ascii="Garamond" w:eastAsia="Times New Roman" w:hAnsi="Garamond"/>
                <w:sz w:val="12"/>
                <w:szCs w:val="12"/>
                <w:lang w:eastAsia="ja-JP" w:bidi="ar-SA"/>
              </w:rPr>
              <w:br/>
              <w:t>completion</w:t>
            </w:r>
          </w:p>
        </w:tc>
        <w:tc>
          <w:tcPr>
            <w:tcW w:w="130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8B6A7B" w:rsidRPr="00786A01" w:rsidRDefault="008B6A7B"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deadline for implementation</w:t>
            </w:r>
          </w:p>
        </w:tc>
        <w:tc>
          <w:tcPr>
            <w:tcW w:w="1029" w:type="dxa"/>
            <w:vMerge w:val="restart"/>
            <w:tcBorders>
              <w:top w:val="single" w:sz="4" w:space="0" w:color="auto"/>
              <w:left w:val="single" w:sz="4" w:space="0" w:color="auto"/>
              <w:bottom w:val="single" w:sz="4" w:space="0" w:color="000000"/>
              <w:right w:val="single" w:sz="4" w:space="0" w:color="auto"/>
            </w:tcBorders>
            <w:shd w:val="clear" w:color="000000" w:fill="FFFF99"/>
            <w:vAlign w:val="center"/>
            <w:hideMark/>
          </w:tcPr>
          <w:p w:rsidR="008B6A7B" w:rsidRPr="00786A01" w:rsidRDefault="008B6A7B"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8B6A7B" w:rsidRPr="00786A01" w:rsidRDefault="008B6A7B"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8B6A7B" w:rsidRPr="00786A01" w:rsidRDefault="008B6A7B"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711781"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8B6A7B" w:rsidRPr="00786A01" w:rsidRDefault="008B6A7B" w:rsidP="008B6A7B">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r>
      <w:tr w:rsidR="005E6A56" w:rsidRPr="00786A01" w:rsidTr="009A4CED">
        <w:trPr>
          <w:trHeight w:val="323"/>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8B6A7B" w:rsidRPr="00786A01" w:rsidRDefault="008B6A7B"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8B6A7B" w:rsidRPr="00786A01" w:rsidRDefault="008B6A7B" w:rsidP="00F51074">
            <w:pPr>
              <w:widowControl/>
              <w:autoSpaceDE/>
              <w:autoSpaceDN/>
              <w:rPr>
                <w:rFonts w:ascii="Garamond" w:eastAsia="Times New Roman" w:hAnsi="Garamond"/>
                <w:sz w:val="12"/>
                <w:szCs w:val="12"/>
                <w:lang w:eastAsia="ja-JP" w:bidi="ar-SA"/>
              </w:rPr>
            </w:pPr>
          </w:p>
        </w:tc>
      </w:tr>
      <w:tr w:rsidR="005E6A56"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8B6A7B" w:rsidRPr="00786A01" w:rsidRDefault="008B6A7B"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8B6A7B" w:rsidRPr="00786A01" w:rsidRDefault="00891A7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8B6A7B" w:rsidRPr="00786A01" w:rsidRDefault="00891A7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8B6A7B" w:rsidRPr="00786A01" w:rsidRDefault="00891A7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8B6A7B" w:rsidRPr="00786A01" w:rsidRDefault="00891A7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8B6A7B" w:rsidRPr="00786A01" w:rsidRDefault="00891A7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8B6A7B" w:rsidRPr="00786A01" w:rsidRDefault="00891A7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8B6A7B" w:rsidRPr="00786A01" w:rsidRDefault="00891A7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8B6A7B" w:rsidRPr="00786A01" w:rsidRDefault="00891A7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nil"/>
              <w:right w:val="single" w:sz="4" w:space="0" w:color="auto"/>
            </w:tcBorders>
            <w:shd w:val="clear" w:color="000000" w:fill="FFFF99"/>
            <w:vAlign w:val="center"/>
            <w:hideMark/>
          </w:tcPr>
          <w:p w:rsidR="008B6A7B" w:rsidRPr="00786A01" w:rsidRDefault="00891A7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225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C5247">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Pr="009A4CED">
              <w:rPr>
                <w:rFonts w:eastAsia="Times New Roman"/>
                <w:sz w:val="12"/>
                <w:szCs w:val="12"/>
              </w:rPr>
              <w:t>*</w:t>
            </w:r>
            <w:r>
              <w:rPr>
                <w:rFonts w:eastAsia="Times New Roman"/>
                <w:sz w:val="12"/>
                <w:szCs w:val="12"/>
              </w:rPr>
              <w:t>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A.3.1 Improve capital budget planning in the medium term as a part of the MTBF</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Legal act (new / revised) / guidelines prescribing the manner and content of capital budget planning.</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30,000.00</w:t>
            </w:r>
          </w:p>
        </w:tc>
        <w:tc>
          <w:tcPr>
            <w:tcW w:w="901" w:type="dxa"/>
            <w:tcBorders>
              <w:top w:val="nil"/>
              <w:left w:val="nil"/>
              <w:bottom w:val="single" w:sz="4" w:space="0" w:color="auto"/>
              <w:right w:val="nil"/>
            </w:tcBorders>
            <w:shd w:val="clear" w:color="auto" w:fill="auto"/>
            <w:noWrap/>
            <w:vAlign w:val="center"/>
            <w:hideMark/>
          </w:tcPr>
          <w:p w:rsidR="009A4CED" w:rsidRPr="00786A01" w:rsidRDefault="009A4CED" w:rsidP="009A4CED">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activity is reali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within the existing capacities, while possible improvement in the next period will be reali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from IPA II</w:t>
            </w:r>
          </w:p>
        </w:tc>
        <w:tc>
          <w:tcPr>
            <w:tcW w:w="100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A4CED" w:rsidRPr="00786A01" w:rsidRDefault="009A4CED" w:rsidP="00F43EE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 draft Manual for the capital budget has been drafted.</w:t>
            </w:r>
          </w:p>
          <w:p w:rsidR="009A4CED" w:rsidRPr="00786A01" w:rsidRDefault="009A4CED" w:rsidP="00F43EE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Draft Manual for capital budget prepared(December 2020) Currently under consideration and further improvement by BD MoF (May-June 2021)</w:t>
            </w:r>
          </w:p>
        </w:tc>
      </w:tr>
      <w:tr w:rsidR="005E6A56" w:rsidRPr="00786A01" w:rsidTr="009A4CED">
        <w:trPr>
          <w:trHeight w:val="125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F43EEA" w:rsidRPr="00786A01" w:rsidRDefault="00F43EEA"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009A4CED" w:rsidRPr="009A4CED">
              <w:rPr>
                <w:rFonts w:eastAsia="Times New Roman"/>
                <w:sz w:val="12"/>
                <w:szCs w:val="12"/>
              </w:rPr>
              <w:t>*</w:t>
            </w:r>
            <w:r w:rsidR="009A4CED">
              <w:rPr>
                <w:rFonts w:eastAsia="Times New Roman"/>
                <w:sz w:val="12"/>
                <w:szCs w:val="12"/>
              </w:rPr>
              <w:t>2)</w:t>
            </w:r>
          </w:p>
        </w:tc>
        <w:tc>
          <w:tcPr>
            <w:tcW w:w="767" w:type="dxa"/>
            <w:tcBorders>
              <w:top w:val="nil"/>
              <w:left w:val="nil"/>
              <w:bottom w:val="single" w:sz="4" w:space="0" w:color="auto"/>
              <w:right w:val="single" w:sz="4" w:space="0" w:color="auto"/>
            </w:tcBorders>
            <w:shd w:val="clear" w:color="auto" w:fill="auto"/>
            <w:noWrap/>
            <w:vAlign w:val="bottom"/>
            <w:hideMark/>
          </w:tcPr>
          <w:p w:rsidR="00F43EEA" w:rsidRPr="00786A01" w:rsidRDefault="00F43EEA"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FF"/>
            <w:vAlign w:val="center"/>
            <w:hideMark/>
          </w:tcPr>
          <w:p w:rsidR="00F43EEA" w:rsidRPr="00786A01" w:rsidRDefault="00F43EEA"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A.3.2 Introduce stages of capital projects in the preparation and planning of capital budgets (preparatory stage and construction stage)</w:t>
            </w:r>
          </w:p>
        </w:tc>
        <w:tc>
          <w:tcPr>
            <w:tcW w:w="983" w:type="dxa"/>
            <w:tcBorders>
              <w:top w:val="nil"/>
              <w:left w:val="nil"/>
              <w:bottom w:val="single" w:sz="4" w:space="0" w:color="auto"/>
              <w:right w:val="single" w:sz="4" w:space="0" w:color="auto"/>
            </w:tcBorders>
            <w:shd w:val="clear" w:color="auto" w:fill="auto"/>
            <w:vAlign w:val="center"/>
            <w:hideMark/>
          </w:tcPr>
          <w:p w:rsidR="00F43EEA" w:rsidRPr="00786A01" w:rsidRDefault="00F43EEA"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F43EEA" w:rsidRPr="00786A01" w:rsidRDefault="00F43EEA"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format of the Budget Law (Capital Budget) prepared.</w:t>
            </w:r>
          </w:p>
        </w:tc>
        <w:tc>
          <w:tcPr>
            <w:tcW w:w="841" w:type="dxa"/>
            <w:tcBorders>
              <w:top w:val="nil"/>
              <w:left w:val="nil"/>
              <w:bottom w:val="single" w:sz="4" w:space="0" w:color="auto"/>
              <w:right w:val="single" w:sz="4" w:space="0" w:color="auto"/>
            </w:tcBorders>
            <w:shd w:val="clear" w:color="auto" w:fill="auto"/>
            <w:noWrap/>
            <w:vAlign w:val="center"/>
            <w:hideMark/>
          </w:tcPr>
          <w:p w:rsidR="00F43EEA" w:rsidRPr="00786A01" w:rsidRDefault="00F43EEA"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F43EEA" w:rsidRPr="00786A01" w:rsidRDefault="00F43EEA"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F43EEA" w:rsidRPr="00786A01" w:rsidRDefault="00F43EEA"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F43EEA" w:rsidRPr="00786A01" w:rsidRDefault="00F43EEA"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nil"/>
              <w:right w:val="nil"/>
            </w:tcBorders>
            <w:shd w:val="clear" w:color="auto" w:fill="auto"/>
            <w:noWrap/>
            <w:vAlign w:val="center"/>
            <w:hideMark/>
          </w:tcPr>
          <w:p w:rsidR="00F43EEA" w:rsidRPr="00786A01" w:rsidRDefault="00F43EEA" w:rsidP="00F43EEA">
            <w:pPr>
              <w:widowControl/>
              <w:autoSpaceDE/>
              <w:autoSpaceDN/>
              <w:jc w:val="center"/>
              <w:rPr>
                <w:rFonts w:ascii="Garamond" w:eastAsia="Times New Roman" w:hAnsi="Garamond" w:cs="Calibri"/>
                <w:sz w:val="12"/>
                <w:szCs w:val="12"/>
                <w:lang w:eastAsia="ja-JP" w:bidi="ar-SA"/>
              </w:rPr>
            </w:pPr>
            <w:r w:rsidRPr="00786A01">
              <w:rPr>
                <w:rFonts w:ascii="Garamond" w:eastAsia="Times New Roman" w:hAnsi="Garamond" w:cs="Calibri"/>
                <w:sz w:val="12"/>
                <w:szCs w:val="12"/>
                <w:lang w:eastAsia="ja-JP" w:bidi="ar-SA"/>
              </w:rPr>
              <w:t>2020</w:t>
            </w:r>
          </w:p>
        </w:tc>
        <w:tc>
          <w:tcPr>
            <w:tcW w:w="1301" w:type="dxa"/>
            <w:tcBorders>
              <w:top w:val="nil"/>
              <w:left w:val="single" w:sz="4" w:space="0" w:color="auto"/>
              <w:bottom w:val="single" w:sz="4" w:space="0" w:color="auto"/>
              <w:right w:val="single" w:sz="4" w:space="0" w:color="auto"/>
            </w:tcBorders>
            <w:shd w:val="clear" w:color="000000" w:fill="FFFFFF"/>
            <w:noWrap/>
            <w:vAlign w:val="center"/>
            <w:hideMark/>
          </w:tcPr>
          <w:p w:rsidR="00F43EEA" w:rsidRPr="00786A01" w:rsidRDefault="00F43EEA"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000000" w:fill="FFFFFF"/>
            <w:vAlign w:val="center"/>
            <w:hideMark/>
          </w:tcPr>
          <w:p w:rsidR="00F43EEA" w:rsidRPr="00786A01" w:rsidRDefault="00F43EEA" w:rsidP="00D878D5">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25,000.00</w:t>
            </w:r>
          </w:p>
        </w:tc>
        <w:tc>
          <w:tcPr>
            <w:tcW w:w="901" w:type="dxa"/>
            <w:tcBorders>
              <w:top w:val="nil"/>
              <w:left w:val="nil"/>
              <w:bottom w:val="single" w:sz="4" w:space="0" w:color="auto"/>
              <w:right w:val="nil"/>
            </w:tcBorders>
            <w:shd w:val="clear" w:color="auto" w:fill="auto"/>
            <w:noWrap/>
            <w:vAlign w:val="center"/>
            <w:hideMark/>
          </w:tcPr>
          <w:p w:rsidR="00F43EEA" w:rsidRPr="00786A01" w:rsidRDefault="00F43EEA"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funds</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F43EEA" w:rsidRPr="00786A01" w:rsidRDefault="00F43EEA"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implementation of the activities has started. Full implementation is expected at the end of Q3 2021</w:t>
            </w:r>
          </w:p>
        </w:tc>
      </w:tr>
      <w:tr w:rsidR="009A4CED" w:rsidRPr="00786A01" w:rsidTr="009A4CED">
        <w:trPr>
          <w:trHeight w:val="1601"/>
        </w:trPr>
        <w:tc>
          <w:tcPr>
            <w:tcW w:w="386" w:type="dxa"/>
            <w:tcBorders>
              <w:top w:val="nil"/>
              <w:left w:val="single" w:sz="4" w:space="0" w:color="auto"/>
              <w:bottom w:val="single" w:sz="4" w:space="0" w:color="auto"/>
              <w:right w:val="single" w:sz="4" w:space="0" w:color="auto"/>
            </w:tcBorders>
            <w:shd w:val="clear" w:color="auto" w:fill="auto"/>
            <w:noWrap/>
            <w:vAlign w:val="center"/>
            <w:hideMark/>
          </w:tcPr>
          <w:p w:rsidR="009A4CED" w:rsidRPr="009A4CED" w:rsidRDefault="009A4CED" w:rsidP="00FC5247">
            <w:pPr>
              <w:rPr>
                <w:rFonts w:eastAsia="Times New Roman"/>
                <w:sz w:val="12"/>
                <w:szCs w:val="12"/>
              </w:rPr>
            </w:pPr>
            <w:r w:rsidRPr="009A4CED">
              <w:rPr>
                <w:rFonts w:eastAsia="Times New Roman"/>
                <w:sz w:val="12"/>
                <w:szCs w:val="12"/>
              </w:rPr>
              <w:t>*3)</w:t>
            </w:r>
            <w:r w:rsidRPr="009A4CED">
              <w:rPr>
                <w:rFonts w:eastAsia="Times New Roman"/>
                <w:sz w:val="12"/>
                <w:szCs w:val="12"/>
              </w:rPr>
              <w:br/>
              <w:t>*4)</w:t>
            </w:r>
            <w:r w:rsidRPr="009A4CED">
              <w:rPr>
                <w:rFonts w:eastAsia="Times New Roman"/>
                <w:sz w:val="12"/>
                <w:szCs w:val="12"/>
              </w:rPr>
              <w:b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A.3.3 Improve the overview of projects in the capital budget through detailed presentation of individual projects by project and economic classification</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format of the Budget Law (Capital Budget) prepared.</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cs="Calibri"/>
                <w:sz w:val="12"/>
                <w:szCs w:val="12"/>
                <w:lang w:eastAsia="ja-JP" w:bidi="ar-SA"/>
              </w:rPr>
            </w:pPr>
            <w:r w:rsidRPr="00786A01">
              <w:rPr>
                <w:rFonts w:ascii="Garamond" w:eastAsia="Times New Roman" w:hAnsi="Garamond" w:cs="Calibri"/>
                <w:sz w:val="12"/>
                <w:szCs w:val="12"/>
                <w:lang w:eastAsia="ja-JP" w:bidi="ar-SA"/>
              </w:rPr>
              <w:t>2020</w:t>
            </w:r>
          </w:p>
        </w:tc>
        <w:tc>
          <w:tcPr>
            <w:tcW w:w="1301"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25,000.00</w:t>
            </w:r>
          </w:p>
        </w:tc>
        <w:tc>
          <w:tcPr>
            <w:tcW w:w="901" w:type="dxa"/>
            <w:tcBorders>
              <w:top w:val="nil"/>
              <w:left w:val="nil"/>
              <w:bottom w:val="single" w:sz="4" w:space="0" w:color="auto"/>
              <w:right w:val="nil"/>
            </w:tcBorders>
            <w:shd w:val="clear" w:color="auto" w:fill="auto"/>
            <w:noWrap/>
            <w:vAlign w:val="center"/>
            <w:hideMark/>
          </w:tcPr>
          <w:p w:rsidR="009A4CED" w:rsidRPr="00786A01" w:rsidRDefault="009A4CED" w:rsidP="0028108D">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funds</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2810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Implemented / continuous implementation.</w:t>
            </w:r>
          </w:p>
          <w:p w:rsidR="009A4CED" w:rsidRPr="00786A01" w:rsidRDefault="009A4CED" w:rsidP="002810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The budget for 2021 is presented for the first time by projects and economic classification. Continuation of audit activities is envisaged.</w:t>
            </w:r>
          </w:p>
        </w:tc>
      </w:tr>
      <w:tr w:rsidR="009A4CED" w:rsidRPr="00786A01" w:rsidTr="009A4CED">
        <w:trPr>
          <w:trHeight w:val="16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Pr="009A4CED">
              <w:rPr>
                <w:rFonts w:eastAsia="Times New Roman"/>
                <w:sz w:val="12"/>
                <w:szCs w:val="12"/>
              </w:rP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A.3.4 Improve the capital budget’s statement of reasons as regards the overall estimated project value and schedule</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Guidelines  </w:t>
            </w:r>
            <w:r w:rsidRPr="00786A01">
              <w:rPr>
                <w:rFonts w:ascii="Garamond" w:eastAsia="Times New Roman" w:hAnsi="Garamond"/>
                <w:sz w:val="12"/>
                <w:szCs w:val="12"/>
                <w:lang w:eastAsia="ja-JP" w:bidi="ar-SA"/>
              </w:rPr>
              <w:br/>
              <w:t xml:space="preserve">/ Manual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Guidelines prepared.</w:t>
            </w:r>
            <w:r w:rsidRPr="00786A01">
              <w:rPr>
                <w:rFonts w:ascii="Garamond" w:eastAsia="Times New Roman" w:hAnsi="Garamond"/>
                <w:sz w:val="12"/>
                <w:szCs w:val="12"/>
                <w:lang w:eastAsia="ja-JP" w:bidi="ar-SA"/>
              </w:rPr>
              <w:br/>
              <w:t xml:space="preserve">Explanation of each project prepared.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single" w:sz="4" w:space="0" w:color="auto"/>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15,000.00</w:t>
            </w:r>
          </w:p>
        </w:tc>
        <w:tc>
          <w:tcPr>
            <w:tcW w:w="901" w:type="dxa"/>
            <w:tcBorders>
              <w:top w:val="nil"/>
              <w:left w:val="nil"/>
              <w:bottom w:val="single" w:sz="4" w:space="0" w:color="auto"/>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funds</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2810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Partially implemented. Full </w:t>
            </w:r>
            <w:proofErr w:type="gramStart"/>
            <w:r w:rsidRPr="00786A01">
              <w:rPr>
                <w:rFonts w:ascii="Garamond" w:eastAsia="Times New Roman" w:hAnsi="Garamond"/>
                <w:sz w:val="12"/>
                <w:szCs w:val="12"/>
                <w:lang w:eastAsia="ja-JP" w:bidi="ar-SA"/>
              </w:rPr>
              <w:t>implementation  planned</w:t>
            </w:r>
            <w:proofErr w:type="gramEnd"/>
            <w:r w:rsidRPr="00786A01">
              <w:rPr>
                <w:rFonts w:ascii="Garamond" w:eastAsia="Times New Roman" w:hAnsi="Garamond"/>
                <w:sz w:val="12"/>
                <w:szCs w:val="12"/>
                <w:lang w:eastAsia="ja-JP" w:bidi="ar-SA"/>
              </w:rPr>
              <w:t xml:space="preserve"> for 2021.</w:t>
            </w:r>
          </w:p>
        </w:tc>
      </w:tr>
      <w:tr w:rsidR="009A4CED" w:rsidRPr="00786A01" w:rsidTr="009A4CED">
        <w:trPr>
          <w:trHeight w:val="127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A.3.5 Establish a public register of all the projects which are financed from the capital budget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register established.</w:t>
            </w:r>
            <w:r w:rsidRPr="00786A01">
              <w:rPr>
                <w:rFonts w:ascii="Garamond" w:eastAsia="Times New Roman" w:hAnsi="Garamond"/>
                <w:sz w:val="12"/>
                <w:szCs w:val="12"/>
                <w:lang w:eastAsia="ja-JP" w:bidi="ar-SA"/>
              </w:rPr>
              <w:br/>
              <w:t xml:space="preserve">Register published on the MoF website.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r w:rsidRPr="00786A01">
              <w:rPr>
                <w:rFonts w:ascii="Garamond" w:eastAsia="Times New Roman" w:hAnsi="Garamond"/>
                <w:sz w:val="12"/>
                <w:szCs w:val="12"/>
                <w:lang w:eastAsia="ja-JP" w:bidi="ar-SA"/>
              </w:rPr>
              <w:br/>
              <w:t>MoF - Treasury.</w:t>
            </w:r>
            <w:r w:rsidRPr="00786A01">
              <w:rPr>
                <w:rFonts w:ascii="Garamond" w:eastAsia="Times New Roman" w:hAnsi="Garamond"/>
                <w:sz w:val="12"/>
                <w:szCs w:val="12"/>
                <w:lang w:eastAsia="ja-JP" w:bidi="ar-SA"/>
              </w:rPr>
              <w:br/>
              <w:t>MSDT - DPV</w:t>
            </w:r>
            <w:r w:rsidRPr="00786A01">
              <w:rPr>
                <w:rFonts w:ascii="Garamond" w:eastAsia="Times New Roman" w:hAnsi="Garamond"/>
                <w:sz w:val="12"/>
                <w:szCs w:val="12"/>
                <w:lang w:eastAsia="ja-JP" w:bidi="ar-SA"/>
              </w:rPr>
              <w:br/>
              <w:t>MTMA - DT</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r w:rsidRPr="00786A01">
              <w:rPr>
                <w:rFonts w:ascii="Garamond" w:eastAsia="Times New Roman" w:hAnsi="Garamond"/>
                <w:sz w:val="12"/>
                <w:szCs w:val="12"/>
                <w:lang w:eastAsia="ja-JP" w:bidi="ar-SA"/>
              </w:rPr>
              <w:br/>
              <w:t>(D.1.7)</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810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35,000.00</w:t>
            </w:r>
          </w:p>
        </w:tc>
        <w:tc>
          <w:tcPr>
            <w:tcW w:w="901" w:type="dxa"/>
            <w:tcBorders>
              <w:top w:val="nil"/>
              <w:left w:val="nil"/>
              <w:bottom w:val="single" w:sz="4" w:space="0" w:color="auto"/>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IPA II funds </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2810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Draft public register done. </w:t>
            </w:r>
            <w:proofErr w:type="gramStart"/>
            <w:r w:rsidRPr="00786A01">
              <w:rPr>
                <w:rFonts w:ascii="Garamond" w:eastAsia="Times New Roman" w:hAnsi="Garamond"/>
                <w:sz w:val="12"/>
                <w:szCs w:val="12"/>
                <w:lang w:eastAsia="ja-JP" w:bidi="ar-SA"/>
              </w:rPr>
              <w:t>Implementation  continues</w:t>
            </w:r>
            <w:proofErr w:type="gramEnd"/>
            <w:r w:rsidRPr="00786A01">
              <w:rPr>
                <w:rFonts w:ascii="Garamond" w:eastAsia="Times New Roman" w:hAnsi="Garamond"/>
                <w:sz w:val="12"/>
                <w:szCs w:val="12"/>
                <w:lang w:eastAsia="ja-JP" w:bidi="ar-SA"/>
              </w:rPr>
              <w:t xml:space="preserve"> throughout 2021.</w:t>
            </w:r>
          </w:p>
        </w:tc>
      </w:tr>
      <w:tr w:rsidR="009A4CED" w:rsidRPr="00786A01" w:rsidTr="009A4CED">
        <w:trPr>
          <w:trHeight w:val="174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A.3.6 Training of staff in line ministries involved in planning and implementation of capital projects with a view of better planning of investment project costs in the medium term</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ype="page"/>
              <w:t xml:space="preserve">A number of employees have been trained.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50,000.00</w:t>
            </w:r>
          </w:p>
        </w:tc>
        <w:tc>
          <w:tcPr>
            <w:tcW w:w="901" w:type="dxa"/>
            <w:tcBorders>
              <w:top w:val="nil"/>
              <w:left w:val="nil"/>
              <w:bottom w:val="single" w:sz="4" w:space="0" w:color="auto"/>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funds</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2810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Training of staff in line ministries is expected during Q2 2021. (June 2021)</w:t>
            </w:r>
          </w:p>
        </w:tc>
      </w:tr>
      <w:tr w:rsidR="009A4CED" w:rsidRPr="00786A01" w:rsidTr="009A4CED">
        <w:trPr>
          <w:trHeight w:val="1339"/>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A.3.7 Improve the overview of capital projects by separating the new ones from the ones already being implemented</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format of the Budget Law (Capital Budget) prepared.</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10,000.00</w:t>
            </w:r>
          </w:p>
        </w:tc>
        <w:tc>
          <w:tcPr>
            <w:tcW w:w="901" w:type="dxa"/>
            <w:tcBorders>
              <w:top w:val="nil"/>
              <w:left w:val="nil"/>
              <w:bottom w:val="single" w:sz="4" w:space="0" w:color="auto"/>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funds</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activity will be implemented through the budget for 2022, as well as through planned trainings during 2021.</w:t>
            </w:r>
          </w:p>
        </w:tc>
      </w:tr>
      <w:tr w:rsidR="009A4CED" w:rsidRPr="00786A01" w:rsidTr="009A4CED">
        <w:trPr>
          <w:trHeight w:val="15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A.3.8 Improve the functionality of the exiting capital budget planning IT tool</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Specifications for the development and upgrade of the Budget planning system prepared.</w:t>
            </w:r>
            <w:r w:rsidRPr="00786A01">
              <w:rPr>
                <w:rFonts w:ascii="Garamond" w:eastAsia="Times New Roman" w:hAnsi="Garamond"/>
                <w:sz w:val="12"/>
                <w:szCs w:val="12"/>
                <w:lang w:eastAsia="ja-JP" w:bidi="ar-SA"/>
              </w:rPr>
              <w:br/>
            </w:r>
            <w:r w:rsidRPr="00786A01">
              <w:rPr>
                <w:rFonts w:ascii="Garamond" w:eastAsia="Times New Roman" w:hAnsi="Garamond"/>
                <w:sz w:val="12"/>
                <w:szCs w:val="12"/>
                <w:lang w:eastAsia="ja-JP" w:bidi="ar-SA"/>
              </w:rPr>
              <w:br/>
              <w:t xml:space="preserve">Individual upgrades / improvements/ modules developed.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r w:rsidRPr="00786A01">
              <w:rPr>
                <w:rFonts w:ascii="Garamond" w:eastAsia="Times New Roman" w:hAnsi="Garamond"/>
                <w:sz w:val="12"/>
                <w:szCs w:val="12"/>
                <w:lang w:eastAsia="ja-JP" w:bidi="ar-SA"/>
              </w:rPr>
              <w:br/>
              <w:t>(A.1.10)</w:t>
            </w:r>
            <w:r w:rsidRPr="00786A01">
              <w:rPr>
                <w:rFonts w:ascii="Garamond" w:eastAsia="Times New Roman" w:hAnsi="Garamond"/>
                <w:sz w:val="12"/>
                <w:szCs w:val="12"/>
                <w:lang w:eastAsia="ja-JP" w:bidi="ar-SA"/>
              </w:rPr>
              <w:br/>
              <w:t>(A.2.9)</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891A7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91A7D">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See A1.10</w:t>
            </w:r>
          </w:p>
        </w:tc>
        <w:tc>
          <w:tcPr>
            <w:tcW w:w="901" w:type="dxa"/>
            <w:tcBorders>
              <w:top w:val="nil"/>
              <w:left w:val="nil"/>
              <w:bottom w:val="single" w:sz="4" w:space="0" w:color="auto"/>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funds</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Budget planner developed, while the part for capital budget planning should be additionally harmoni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during 2021 for the budget for 2022.</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D878D5">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190,000.00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D878D5">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99.000,00</w:t>
            </w:r>
          </w:p>
        </w:tc>
        <w:tc>
          <w:tcPr>
            <w:tcW w:w="1007"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jc w:val="center"/>
              <w:rPr>
                <w:rFonts w:ascii="Garamond" w:eastAsia="Times New Roman" w:hAnsi="Garamond"/>
                <w:b/>
                <w:bCs/>
                <w:sz w:val="12"/>
                <w:szCs w:val="12"/>
                <w:lang w:eastAsia="ja-JP" w:bidi="ar-SA"/>
              </w:rPr>
            </w:pP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93"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1" w:type="dxa"/>
            <w:tcBorders>
              <w:top w:val="nil"/>
              <w:left w:val="nil"/>
              <w:bottom w:val="single" w:sz="4" w:space="0" w:color="auto"/>
              <w:right w:val="single" w:sz="4" w:space="0" w:color="auto"/>
            </w:tcBorders>
            <w:shd w:val="clear" w:color="000000" w:fill="FFFFFF"/>
            <w:noWrap/>
            <w:vAlign w:val="bottom"/>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nil"/>
              <w:left w:val="nil"/>
              <w:bottom w:val="single" w:sz="4" w:space="0" w:color="auto"/>
              <w:right w:val="single" w:sz="4" w:space="0" w:color="auto"/>
            </w:tcBorders>
            <w:shd w:val="clear" w:color="000000" w:fill="FFFFFF"/>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891A7D">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891A7D">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1._A) Sustainable fiscal framework, public expenditures planning and budgeting</w:t>
            </w:r>
          </w:p>
        </w:tc>
      </w:tr>
      <w:tr w:rsidR="009A4CED" w:rsidRPr="00786A01" w:rsidTr="00891A7D">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9A4CED" w:rsidRPr="00786A01" w:rsidRDefault="009A4CED" w:rsidP="00891A7D">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4.1.4._ A.4. Upgrade the model for macroeconomic projections</w:t>
            </w:r>
          </w:p>
        </w:tc>
      </w:tr>
      <w:tr w:rsidR="009A4CED" w:rsidRPr="00786A01" w:rsidTr="009A4CED">
        <w:trPr>
          <w:cantSplit/>
          <w:trHeight w:val="2546"/>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4CED" w:rsidRPr="00786A01" w:rsidRDefault="009A4CED" w:rsidP="00891A7D">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indicators 9</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Staged implementation of the upgraded model for macroeconomic projections and structural reform impacts</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The existing model used in the Directorate for Economic and Development Policy is based on the financial programming model, and the projection of certain parameters is based on expert assessment</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Analysis and upgrade of the existing macroeconomic model for projections</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Target value for 2017 met</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A new model for projections of macroeconomic indicators and the impact of structural reforms and trained employees</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w model for projections of macroeconomic indicators and the impact of structural reforms and trained employees</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Preconditions fulfilled for the use of the new model by employees in the Directorate for Economic Policy and Development</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Preconditions for the use of the new model by employees in the Directorate for Economic Policy and Development fulfilled</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Full implementation and full ability to use the model</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ED1DE8">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proofErr w:type="gramStart"/>
            <w:r w:rsidRPr="00786A01">
              <w:rPr>
                <w:rFonts w:ascii="Garamond" w:eastAsia="Times New Roman" w:hAnsi="Garamond"/>
                <w:b/>
                <w:bCs/>
                <w:color w:val="376091"/>
                <w:sz w:val="12"/>
                <w:szCs w:val="12"/>
                <w:lang w:eastAsia="ja-JP" w:bidi="ar-SA"/>
              </w:rPr>
              <w:t>:</w:t>
            </w:r>
            <w:proofErr w:type="gramEnd"/>
            <w:r w:rsidRPr="00786A01">
              <w:rPr>
                <w:rFonts w:ascii="Garamond" w:eastAsia="Times New Roman" w:hAnsi="Garamond"/>
                <w:b/>
                <w:bCs/>
                <w:color w:val="376091"/>
                <w:sz w:val="12"/>
                <w:szCs w:val="12"/>
                <w:lang w:eastAsia="ja-JP" w:bidi="ar-SA"/>
              </w:rPr>
              <w:br/>
              <w:t>Partially implemented. The project is being continuously implemented, in accordance with the recommendations of experts for the full implementation of the model, which is planned for the end of 202</w:t>
            </w:r>
            <w:r w:rsidR="00ED1DE8">
              <w:rPr>
                <w:rFonts w:ascii="Garamond" w:eastAsia="Times New Roman" w:hAnsi="Garamond"/>
                <w:b/>
                <w:bCs/>
                <w:color w:val="376091"/>
                <w:sz w:val="12"/>
                <w:szCs w:val="12"/>
                <w:lang w:eastAsia="ja-JP" w:bidi="ar-SA"/>
              </w:rPr>
              <w:t>2</w:t>
            </w:r>
            <w:r w:rsidRPr="00786A01">
              <w:rPr>
                <w:rFonts w:ascii="Garamond" w:eastAsia="Times New Roman" w:hAnsi="Garamond"/>
                <w:b/>
                <w:bCs/>
                <w:color w:val="376091"/>
                <w:sz w:val="12"/>
                <w:szCs w:val="12"/>
                <w:lang w:eastAsia="ja-JP" w:bidi="ar-SA"/>
              </w:rPr>
              <w:t>.</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cantSplit/>
          <w:trHeight w:val="126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9A4CED" w:rsidRPr="00786A01" w:rsidRDefault="009A4CED" w:rsidP="00891A7D">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indicators 10</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The difference between actual and projected real GDP growth rate</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ED1DE8">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(2014):1</w:t>
            </w:r>
            <w:r w:rsidR="00ED1DE8">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8 p.p.</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ED1DE8" w:rsidP="00F51074">
            <w:pPr>
              <w:widowControl/>
              <w:autoSpaceDE/>
              <w:autoSpaceDN/>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TV  (2017):Less than 0.</w:t>
            </w:r>
            <w:r w:rsidR="009A4CED" w:rsidRPr="00786A01">
              <w:rPr>
                <w:rFonts w:ascii="Garamond" w:eastAsia="Times New Roman" w:hAnsi="Garamond"/>
                <w:b/>
                <w:bCs/>
                <w:color w:val="376091"/>
                <w:sz w:val="12"/>
                <w:szCs w:val="12"/>
                <w:lang w:eastAsia="ja-JP" w:bidi="ar-SA"/>
              </w:rPr>
              <w:t>5 p.p</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The target value for 2017 has not been met</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ED1DE8" w:rsidP="00F51074">
            <w:pPr>
              <w:widowControl/>
              <w:autoSpaceDE/>
              <w:autoSpaceDN/>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TV  (2018):     Less than 0.</w:t>
            </w:r>
            <w:r w:rsidR="009A4CED" w:rsidRPr="00786A01">
              <w:rPr>
                <w:rFonts w:ascii="Garamond" w:eastAsia="Times New Roman" w:hAnsi="Garamond"/>
                <w:b/>
                <w:bCs/>
                <w:color w:val="376091"/>
                <w:sz w:val="12"/>
                <w:szCs w:val="12"/>
                <w:lang w:eastAsia="ja-JP" w:bidi="ar-SA"/>
              </w:rPr>
              <w:t>3 p.p</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ED1DE8" w:rsidP="00F51074">
            <w:pPr>
              <w:widowControl/>
              <w:autoSpaceDE/>
              <w:autoSpaceDN/>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Actual value in 2018: 0.</w:t>
            </w:r>
            <w:r w:rsidR="009A4CED" w:rsidRPr="00786A01">
              <w:rPr>
                <w:rFonts w:ascii="Garamond" w:eastAsia="Times New Roman" w:hAnsi="Garamond"/>
                <w:b/>
                <w:bCs/>
                <w:color w:val="376091"/>
                <w:sz w:val="12"/>
                <w:szCs w:val="12"/>
                <w:lang w:eastAsia="ja-JP" w:bidi="ar-SA"/>
              </w:rPr>
              <w:t>8 p.p</w:t>
            </w:r>
            <w:r w:rsidR="009A4CED" w:rsidRPr="00786A01">
              <w:rPr>
                <w:rStyle w:val="FootnoteReference"/>
                <w:rFonts w:ascii="Garamond" w:eastAsia="Times New Roman" w:hAnsi="Garamond"/>
                <w:b/>
                <w:bCs/>
                <w:color w:val="376091"/>
                <w:sz w:val="12"/>
                <w:szCs w:val="12"/>
                <w:lang w:eastAsia="ja-JP" w:bidi="ar-SA"/>
              </w:rPr>
              <w:footnoteReference w:id="47"/>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Less than</w:t>
            </w:r>
            <w:r w:rsidR="00ED1DE8">
              <w:rPr>
                <w:rFonts w:ascii="Garamond" w:eastAsia="Times New Roman" w:hAnsi="Garamond"/>
                <w:b/>
                <w:bCs/>
                <w:color w:val="376091"/>
                <w:sz w:val="12"/>
                <w:szCs w:val="12"/>
                <w:lang w:eastAsia="ja-JP" w:bidi="ar-SA"/>
              </w:rPr>
              <w:t xml:space="preserve"> 0.</w:t>
            </w:r>
            <w:r w:rsidRPr="00786A01">
              <w:rPr>
                <w:rFonts w:ascii="Garamond" w:eastAsia="Times New Roman" w:hAnsi="Garamond"/>
                <w:b/>
                <w:bCs/>
                <w:color w:val="376091"/>
                <w:sz w:val="12"/>
                <w:szCs w:val="12"/>
                <w:lang w:eastAsia="ja-JP" w:bidi="ar-SA"/>
              </w:rPr>
              <w:t xml:space="preserve">2 p.p. </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Target value for 2019 partially met, further recommendations given</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ED1DE8" w:rsidP="00F51074">
            <w:pPr>
              <w:widowControl/>
              <w:autoSpaceDE/>
              <w:autoSpaceDN/>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TV  (2020): Less than 0.</w:t>
            </w:r>
            <w:r w:rsidR="009A4CED" w:rsidRPr="00786A01">
              <w:rPr>
                <w:rFonts w:ascii="Garamond" w:eastAsia="Times New Roman" w:hAnsi="Garamond"/>
                <w:b/>
                <w:bCs/>
                <w:color w:val="376091"/>
                <w:sz w:val="12"/>
                <w:szCs w:val="12"/>
                <w:lang w:eastAsia="ja-JP" w:bidi="ar-SA"/>
              </w:rPr>
              <w:t>2 p.p.</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The projection could not be reali</w:t>
            </w:r>
            <w:r w:rsidR="00371F6C">
              <w:rPr>
                <w:rFonts w:ascii="Garamond" w:eastAsia="Times New Roman" w:hAnsi="Garamond"/>
                <w:b/>
                <w:bCs/>
                <w:color w:val="376091"/>
                <w:sz w:val="12"/>
                <w:szCs w:val="12"/>
                <w:lang w:eastAsia="ja-JP" w:bidi="ar-SA"/>
              </w:rPr>
              <w:t>sed</w:t>
            </w:r>
            <w:r w:rsidRPr="00786A01">
              <w:rPr>
                <w:rFonts w:ascii="Garamond" w:eastAsia="Times New Roman" w:hAnsi="Garamond"/>
                <w:b/>
                <w:bCs/>
                <w:color w:val="376091"/>
                <w:sz w:val="12"/>
                <w:szCs w:val="12"/>
                <w:lang w:eastAsia="ja-JP" w:bidi="ar-SA"/>
              </w:rPr>
              <w:t xml:space="preserve"> due to market disturbances and external shocks</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ED1DE8">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D878D5">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date of</w:t>
            </w:r>
            <w:r w:rsidRPr="00786A01">
              <w:rPr>
                <w:rFonts w:ascii="Garamond" w:eastAsia="Times New Roman" w:hAnsi="Garamond"/>
                <w:sz w:val="12"/>
                <w:szCs w:val="12"/>
                <w:lang w:eastAsia="ja-JP" w:bidi="ar-SA"/>
              </w:rPr>
              <w:br/>
              <w:t>completion</w:t>
            </w:r>
          </w:p>
        </w:tc>
        <w:tc>
          <w:tcPr>
            <w:tcW w:w="130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deadline for implementation</w:t>
            </w:r>
          </w:p>
        </w:tc>
        <w:tc>
          <w:tcPr>
            <w:tcW w:w="102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891A7D">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ED1DE8">
        <w:trPr>
          <w:trHeight w:val="161"/>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bookmarkStart w:id="28" w:name="RANGE!D64"/>
            <w:r w:rsidRPr="00786A01">
              <w:rPr>
                <w:rFonts w:ascii="Garamond" w:eastAsia="Times New Roman" w:hAnsi="Garamond"/>
                <w:sz w:val="12"/>
                <w:szCs w:val="12"/>
                <w:lang w:eastAsia="ja-JP" w:bidi="ar-SA"/>
              </w:rPr>
              <w:t>ACTIVITY</w:t>
            </w:r>
            <w:bookmarkEnd w:id="28"/>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10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ED1DE8"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*2</w:t>
            </w:r>
            <w:r w:rsidR="009A4CED" w:rsidRPr="00786A01">
              <w:rPr>
                <w:rFonts w:ascii="Garamond" w:eastAsia="Times New Roman" w:hAnsi="Garamond"/>
                <w:sz w:val="12"/>
                <w:szCs w:val="12"/>
                <w:lang w:eastAsia="ja-JP" w:bidi="ar-SA"/>
              </w:rPr>
              <w:t>)</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A.4.2 Upgrade of the existing macroeconomic forecasting model</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Manual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Manual for  the new model</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DEPD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2017</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2018</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Implemented/continuously implemented </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891A7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 continuous implementation.</w:t>
            </w:r>
          </w:p>
          <w:p w:rsidR="009A4CED" w:rsidRPr="00786A01" w:rsidRDefault="009A4CED" w:rsidP="00891A7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Working to improve the model is an ongoing process.</w:t>
            </w:r>
          </w:p>
        </w:tc>
      </w:tr>
      <w:tr w:rsidR="009A4CED" w:rsidRPr="00786A01" w:rsidTr="009A4CED">
        <w:trPr>
          <w:trHeight w:val="1080"/>
        </w:trPr>
        <w:tc>
          <w:tcPr>
            <w:tcW w:w="386" w:type="dxa"/>
            <w:tcBorders>
              <w:top w:val="nil"/>
              <w:left w:val="single" w:sz="4" w:space="0" w:color="auto"/>
              <w:bottom w:val="single" w:sz="4" w:space="0" w:color="auto"/>
              <w:right w:val="single" w:sz="4" w:space="0" w:color="auto"/>
            </w:tcBorders>
            <w:shd w:val="clear" w:color="auto" w:fill="auto"/>
            <w:vAlign w:val="bottom"/>
            <w:hideMark/>
          </w:tcPr>
          <w:p w:rsidR="009A4CED" w:rsidRPr="00786A01" w:rsidRDefault="00ED1DE8" w:rsidP="00ED1DE8">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A.4.3 Training of staff to use the new model (both modules)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Training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 number of employees trained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 Budget CG</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DEPD</w:t>
            </w:r>
            <w:r w:rsidRPr="00786A01">
              <w:rPr>
                <w:rFonts w:ascii="Garamond" w:eastAsia="Times New Roman" w:hAnsi="Garamond"/>
                <w:sz w:val="12"/>
                <w:szCs w:val="12"/>
                <w:lang w:eastAsia="ja-JP" w:bidi="ar-SA"/>
              </w:rPr>
              <w:br/>
              <w:t>Other line ministries</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2017</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2018</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 continuous implementation</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 continuous implementation</w:t>
            </w:r>
          </w:p>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After the outflow of staff, it is necessary to hire new employees and train them to work on the model.</w:t>
            </w:r>
          </w:p>
        </w:tc>
      </w:tr>
      <w:tr w:rsidR="009A4CED" w:rsidRPr="00786A01" w:rsidTr="009A4CED">
        <w:trPr>
          <w:trHeight w:val="11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ED1DE8" w:rsidP="00ED1DE8">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*3) *4) *5)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A.4.4 Data gathering and analysis for the needs of developing the two modules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ED1DE8"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Procedure</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Creating assumptions for the improvement of Module II</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DEPD</w:t>
            </w:r>
            <w:r w:rsidRPr="00786A01">
              <w:rPr>
                <w:rFonts w:ascii="Garamond" w:eastAsia="Times New Roman" w:hAnsi="Garamond"/>
                <w:sz w:val="12"/>
                <w:szCs w:val="12"/>
                <w:lang w:eastAsia="ja-JP" w:bidi="ar-SA"/>
              </w:rPr>
              <w:br/>
              <w:t>Other line ministries</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Q2 2017</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405ED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2018</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 continuous implementation</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 continuous implementation</w:t>
            </w:r>
          </w:p>
        </w:tc>
      </w:tr>
      <w:tr w:rsidR="009A4CED" w:rsidRPr="00786A01" w:rsidTr="009A4CED">
        <w:trPr>
          <w:trHeight w:val="11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A4.5 Development of a module for the impact of structural reforms on macroeconomic performance indicators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Manual</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Manual for using the model II module</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DEPD</w:t>
            </w:r>
            <w:r w:rsidRPr="00786A01">
              <w:rPr>
                <w:rFonts w:ascii="Garamond" w:eastAsia="Times New Roman" w:hAnsi="Garamond"/>
                <w:sz w:val="12"/>
                <w:szCs w:val="12"/>
                <w:lang w:eastAsia="ja-JP" w:bidi="ar-SA"/>
              </w:rPr>
              <w:br/>
              <w:t>Other line ministries</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EA7158">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2018</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 continuous implementation</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Fully implemented </w:t>
            </w:r>
          </w:p>
        </w:tc>
      </w:tr>
      <w:tr w:rsidR="009A4CED" w:rsidRPr="00786A01" w:rsidTr="00496C3D">
        <w:trPr>
          <w:trHeight w:val="117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A.4.6 The new model implemented and staff trained to use it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Regulation/</w:t>
            </w:r>
            <w:r w:rsidRPr="00786A01">
              <w:rPr>
                <w:rFonts w:ascii="Garamond" w:eastAsia="Times New Roman" w:hAnsi="Garamond"/>
                <w:sz w:val="12"/>
                <w:szCs w:val="12"/>
                <w:lang w:eastAsia="ja-JP" w:bidi="ar-SA"/>
              </w:rPr>
              <w:br/>
              <w:t>Procedure/</w:t>
            </w:r>
            <w:r w:rsidRPr="00786A01">
              <w:rPr>
                <w:rFonts w:ascii="Garamond" w:eastAsia="Times New Roman" w:hAnsi="Garamond"/>
                <w:sz w:val="12"/>
                <w:szCs w:val="12"/>
                <w:lang w:eastAsia="ja-JP" w:bidi="ar-SA"/>
              </w:rPr>
              <w:br/>
              <w:t>Training/</w:t>
            </w:r>
            <w:r w:rsidRPr="00786A01">
              <w:rPr>
                <w:rFonts w:ascii="Garamond" w:eastAsia="Times New Roman" w:hAnsi="Garamond"/>
                <w:sz w:val="12"/>
                <w:szCs w:val="12"/>
                <w:lang w:eastAsia="ja-JP" w:bidi="ar-SA"/>
              </w:rPr>
              <w:b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Application of the new model and training of DEP employees to work on the model, and line ministries to use the model</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DEPD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EA7158">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2024</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EA7158">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Adequate training of employees;</w:t>
            </w:r>
          </w:p>
          <w:p w:rsidR="009A4CED" w:rsidRPr="00786A01" w:rsidRDefault="009A4CED" w:rsidP="00EA7158">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-Hiring experts for modeling and programming;</w:t>
            </w:r>
          </w:p>
          <w:p w:rsidR="009A4CED" w:rsidRPr="00786A01" w:rsidRDefault="009A4CED" w:rsidP="00496C3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It is necessary to hire IT experts, mathematicians and hire analysts who have the necessary knowledge for modeling, programming and understanding of macroeconomics</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D878D5">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200.000,00</w:t>
            </w:r>
          </w:p>
        </w:tc>
        <w:tc>
          <w:tcPr>
            <w:tcW w:w="9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D878D5">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130.000,00</w:t>
            </w:r>
          </w:p>
        </w:tc>
        <w:tc>
          <w:tcPr>
            <w:tcW w:w="1007"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jc w:val="center"/>
              <w:rPr>
                <w:rFonts w:ascii="Garamond" w:eastAsia="Times New Roman" w:hAnsi="Garamond"/>
                <w:b/>
                <w:bCs/>
                <w:sz w:val="12"/>
                <w:szCs w:val="12"/>
                <w:lang w:eastAsia="ja-JP" w:bidi="ar-SA"/>
              </w:rPr>
            </w:pPr>
          </w:p>
        </w:tc>
      </w:tr>
      <w:tr w:rsidR="009A4CED" w:rsidRPr="00786A01" w:rsidTr="00EA7158">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EA7158">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2. _ B) Budget execution</w:t>
            </w:r>
          </w:p>
        </w:tc>
      </w:tr>
      <w:tr w:rsidR="009A4CED" w:rsidRPr="00786A01" w:rsidTr="00EA7158">
        <w:trPr>
          <w:trHeight w:val="251"/>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EA7158">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 Operational objective 4.1.3.1._ B.1. Revenue collection - Tax Administration</w:t>
            </w:r>
          </w:p>
        </w:tc>
      </w:tr>
      <w:tr w:rsidR="009A4CED" w:rsidRPr="00786A01" w:rsidTr="00496C3D">
        <w:trPr>
          <w:cantSplit/>
          <w:trHeight w:val="1187"/>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textDirection w:val="btLr"/>
            <w:vAlign w:val="bottom"/>
            <w:hideMark/>
          </w:tcPr>
          <w:p w:rsidR="009A4CED" w:rsidRPr="00786A01" w:rsidRDefault="009A4CED" w:rsidP="00EA7158">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11</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Share of submitted e-returns (income tax, VAT) in comparison to total number of submissions</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27%</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VAT 50%</w:t>
            </w:r>
            <w:r w:rsidRPr="00786A01">
              <w:rPr>
                <w:rFonts w:ascii="Garamond" w:eastAsia="Times New Roman" w:hAnsi="Garamond"/>
                <w:b/>
                <w:bCs/>
                <w:color w:val="376091"/>
                <w:sz w:val="12"/>
                <w:szCs w:val="12"/>
                <w:lang w:eastAsia="ja-JP" w:bidi="ar-SA"/>
              </w:rPr>
              <w:br/>
              <w:t>INCOME  95%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VAT 50%</w:t>
            </w:r>
            <w:r w:rsidRPr="00786A01">
              <w:rPr>
                <w:rFonts w:ascii="Garamond" w:eastAsia="Times New Roman" w:hAnsi="Garamond"/>
                <w:b/>
                <w:bCs/>
                <w:color w:val="376091"/>
                <w:sz w:val="12"/>
                <w:szCs w:val="12"/>
                <w:lang w:eastAsia="ja-JP" w:bidi="ar-SA"/>
              </w:rPr>
              <w:br/>
              <w:t>INCOME  95%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VAT     65%</w:t>
            </w:r>
            <w:r w:rsidRPr="00786A01">
              <w:rPr>
                <w:rFonts w:ascii="Garamond" w:eastAsia="Times New Roman" w:hAnsi="Garamond"/>
                <w:b/>
                <w:bCs/>
                <w:color w:val="376091"/>
                <w:sz w:val="12"/>
                <w:szCs w:val="12"/>
                <w:lang w:eastAsia="ja-JP" w:bidi="ar-SA"/>
              </w:rPr>
              <w:br/>
              <w:t>INCOME   97%</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VAT 70%</w:t>
            </w:r>
            <w:r w:rsidRPr="00786A01">
              <w:rPr>
                <w:rFonts w:ascii="Garamond" w:eastAsia="Times New Roman" w:hAnsi="Garamond"/>
                <w:b/>
                <w:bCs/>
                <w:color w:val="376091"/>
                <w:sz w:val="12"/>
                <w:szCs w:val="12"/>
                <w:lang w:eastAsia="ja-JP" w:bidi="ar-SA"/>
              </w:rPr>
              <w:br/>
              <w:t>INCOME  99%</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VAT    75%</w:t>
            </w:r>
            <w:r w:rsidRPr="00786A01">
              <w:rPr>
                <w:rFonts w:ascii="Garamond" w:eastAsia="Times New Roman" w:hAnsi="Garamond"/>
                <w:b/>
                <w:bCs/>
                <w:color w:val="376091"/>
                <w:sz w:val="12"/>
                <w:szCs w:val="12"/>
                <w:lang w:eastAsia="ja-JP" w:bidi="ar-SA"/>
              </w:rPr>
              <w:br/>
              <w:t>INCOME  97%</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65375E" w:rsidP="00F51074">
            <w:pPr>
              <w:widowControl/>
              <w:autoSpaceDE/>
              <w:autoSpaceDN/>
              <w:spacing w:after="240"/>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Actual value in 2019: VAT  77.37 %</w:t>
            </w:r>
            <w:r>
              <w:rPr>
                <w:rFonts w:ascii="Garamond" w:eastAsia="Times New Roman" w:hAnsi="Garamond"/>
                <w:b/>
                <w:bCs/>
                <w:color w:val="376091"/>
                <w:sz w:val="12"/>
                <w:szCs w:val="12"/>
                <w:lang w:eastAsia="ja-JP" w:bidi="ar-SA"/>
              </w:rPr>
              <w:br/>
              <w:t>INCOME  99.</w:t>
            </w:r>
            <w:r w:rsidR="009A4CED" w:rsidRPr="00786A01">
              <w:rPr>
                <w:rFonts w:ascii="Garamond" w:eastAsia="Times New Roman" w:hAnsi="Garamond"/>
                <w:b/>
                <w:bCs/>
                <w:color w:val="376091"/>
                <w:sz w:val="12"/>
                <w:szCs w:val="12"/>
                <w:lang w:eastAsia="ja-JP" w:bidi="ar-SA"/>
              </w:rPr>
              <w:t>5%</w:t>
            </w:r>
            <w:r w:rsidR="009A4CED" w:rsidRPr="00786A01">
              <w:rPr>
                <w:rFonts w:ascii="Garamond" w:eastAsia="Times New Roman" w:hAnsi="Garamond"/>
                <w:b/>
                <w:bCs/>
                <w:color w:val="376091"/>
                <w:sz w:val="12"/>
                <w:szCs w:val="12"/>
                <w:lang w:eastAsia="ja-JP" w:bidi="ar-SA"/>
              </w:rPr>
              <w:br/>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VAT     80%</w:t>
            </w:r>
            <w:r w:rsidRPr="00786A01">
              <w:rPr>
                <w:rFonts w:ascii="Garamond" w:eastAsia="Times New Roman" w:hAnsi="Garamond"/>
                <w:b/>
                <w:bCs/>
                <w:color w:val="376091"/>
                <w:sz w:val="12"/>
                <w:szCs w:val="12"/>
                <w:lang w:eastAsia="ja-JP" w:bidi="ar-SA"/>
              </w:rPr>
              <w:br/>
              <w:t>INCOME   99%</w:t>
            </w:r>
          </w:p>
        </w:tc>
        <w:tc>
          <w:tcPr>
            <w:tcW w:w="1029" w:type="dxa"/>
            <w:tcBorders>
              <w:top w:val="single" w:sz="4" w:space="0" w:color="auto"/>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2020: </w:t>
            </w:r>
            <w:r w:rsidRPr="00786A01">
              <w:rPr>
                <w:rStyle w:val="FootnoteReference"/>
                <w:rFonts w:ascii="Garamond" w:eastAsia="Times New Roman" w:hAnsi="Garamond"/>
                <w:b/>
                <w:bCs/>
                <w:color w:val="376091"/>
                <w:sz w:val="12"/>
                <w:szCs w:val="12"/>
                <w:lang w:eastAsia="ja-JP" w:bidi="ar-SA"/>
              </w:rPr>
              <w:footnoteReference w:id="48"/>
            </w:r>
            <w:r w:rsidRPr="00786A01">
              <w:rPr>
                <w:rFonts w:ascii="Garamond" w:eastAsia="Times New Roman" w:hAnsi="Garamond"/>
                <w:b/>
                <w:bCs/>
                <w:color w:val="376091"/>
                <w:sz w:val="12"/>
                <w:szCs w:val="12"/>
                <w:lang w:eastAsia="ja-JP" w:bidi="ar-SA"/>
              </w:rPr>
              <w:t xml:space="preserve">  </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VAT</w:t>
            </w:r>
            <w:r w:rsidRPr="00786A01">
              <w:rPr>
                <w:rFonts w:ascii="Garamond" w:eastAsia="Times New Roman" w:hAnsi="Garamond"/>
                <w:b/>
                <w:bCs/>
                <w:color w:val="376091"/>
                <w:sz w:val="12"/>
                <w:szCs w:val="12"/>
                <w:lang w:eastAsia="ja-JP" w:bidi="ar-SA"/>
              </w:rPr>
              <w:br/>
              <w:t xml:space="preserve"> 88 %</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 xml:space="preserve">INCOME  </w:t>
            </w:r>
            <w:r w:rsidRPr="00786A01">
              <w:rPr>
                <w:rFonts w:ascii="Garamond" w:eastAsia="Times New Roman" w:hAnsi="Garamond"/>
                <w:b/>
                <w:bCs/>
                <w:color w:val="376091"/>
                <w:sz w:val="12"/>
                <w:szCs w:val="12"/>
                <w:lang w:eastAsia="ja-JP" w:bidi="ar-SA"/>
              </w:rPr>
              <w:br/>
              <w:t>99,6%</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65375E">
        <w:trPr>
          <w:cantSplit/>
          <w:trHeight w:val="413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9A4CED" w:rsidRPr="00786A01" w:rsidRDefault="009A4CED" w:rsidP="00EA7158">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12</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EU VAT regulations concerning EU common market successfully implemented</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Completed screening process</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Negotiations in Chapter 16 open</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A certain degree of legislative harmonisation has been achieved, a higher degree has been achieved in the field of VAT, harmonisation in income tax area (transfer prices) administrative cooperation and mutual assistance remains</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Law on Amendments to the Law on Corporate Income Tax  (Q4 2018)</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-Law on Amendments to the Law on Tax Administration</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 xml:space="preserve">(Q4 2018)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Actual value in 2018:</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Draft Laws on Amendments to the Law on Corporate Income Tax, as well as the Law on Amendments to the Law on Tax Administration have been prepared in order to further harmon</w:t>
            </w:r>
            <w:r w:rsidR="00A113DA">
              <w:rPr>
                <w:rFonts w:ascii="Garamond" w:eastAsia="Times New Roman" w:hAnsi="Garamond"/>
                <w:b/>
                <w:bCs/>
                <w:color w:val="376091"/>
                <w:sz w:val="12"/>
                <w:szCs w:val="12"/>
                <w:lang w:eastAsia="ja-JP" w:bidi="ar-SA"/>
              </w:rPr>
              <w:t>ise</w:t>
            </w:r>
            <w:r w:rsidRPr="00786A01">
              <w:rPr>
                <w:rFonts w:ascii="Garamond" w:eastAsia="Times New Roman" w:hAnsi="Garamond"/>
                <w:b/>
                <w:bCs/>
                <w:color w:val="376091"/>
                <w:sz w:val="12"/>
                <w:szCs w:val="12"/>
                <w:lang w:eastAsia="ja-JP" w:bidi="ar-SA"/>
              </w:rPr>
              <w:t xml:space="preserve"> with EU legislation, especially in the area of administrative cooperation and exchange of information</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Law on Amendments to Value Added Tax</w:t>
            </w:r>
            <w:r w:rsidRPr="00786A01">
              <w:rPr>
                <w:rFonts w:ascii="Garamond" w:eastAsia="Times New Roman" w:hAnsi="Garamond"/>
                <w:b/>
                <w:bCs/>
                <w:color w:val="376091"/>
                <w:sz w:val="12"/>
                <w:szCs w:val="12"/>
                <w:lang w:eastAsia="ja-JP" w:bidi="ar-SA"/>
              </w:rPr>
              <w:br/>
              <w:t>(Q4 2019)</w:t>
            </w:r>
          </w:p>
        </w:tc>
        <w:tc>
          <w:tcPr>
            <w:tcW w:w="993" w:type="dxa"/>
            <w:tcBorders>
              <w:top w:val="nil"/>
              <w:left w:val="nil"/>
              <w:bottom w:val="single" w:sz="4" w:space="0" w:color="auto"/>
              <w:right w:val="single" w:sz="4" w:space="0" w:color="auto"/>
            </w:tcBorders>
            <w:shd w:val="clear" w:color="auto" w:fill="auto"/>
            <w:vAlign w:val="center"/>
            <w:hideMark/>
          </w:tcPr>
          <w:p w:rsidR="009A4CED"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Higher degree of compliance compared to the previous year;</w:t>
            </w:r>
          </w:p>
          <w:p w:rsidR="0065375E" w:rsidRDefault="0065375E" w:rsidP="00F51074">
            <w:pPr>
              <w:widowControl/>
              <w:autoSpaceDE/>
              <w:autoSpaceDN/>
              <w:jc w:val="center"/>
              <w:rPr>
                <w:rFonts w:ascii="Garamond" w:eastAsia="Times New Roman" w:hAnsi="Garamond"/>
                <w:b/>
                <w:bCs/>
                <w:color w:val="376091"/>
                <w:sz w:val="12"/>
                <w:szCs w:val="12"/>
                <w:lang w:eastAsia="ja-JP" w:bidi="ar-SA"/>
              </w:rPr>
            </w:pPr>
          </w:p>
          <w:p w:rsidR="0065375E" w:rsidRPr="00786A01" w:rsidRDefault="0065375E" w:rsidP="0065375E">
            <w:pPr>
              <w:widowControl/>
              <w:autoSpaceDE/>
              <w:autoSpaceDN/>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 xml:space="preserve">All </w:t>
            </w:r>
            <w:r w:rsidRPr="0065375E">
              <w:rPr>
                <w:rFonts w:ascii="Garamond" w:eastAsia="Times New Roman" w:hAnsi="Garamond"/>
                <w:b/>
                <w:bCs/>
                <w:color w:val="376091"/>
                <w:sz w:val="12"/>
                <w:szCs w:val="12"/>
                <w:lang w:eastAsia="ja-JP" w:bidi="ar-SA"/>
              </w:rPr>
              <w:t xml:space="preserve">amendments to the law </w:t>
            </w:r>
            <w:r>
              <w:rPr>
                <w:rFonts w:ascii="Garamond" w:eastAsia="Times New Roman" w:hAnsi="Garamond"/>
                <w:b/>
                <w:bCs/>
                <w:color w:val="376091"/>
                <w:sz w:val="12"/>
                <w:szCs w:val="12"/>
                <w:lang w:eastAsia="ja-JP" w:bidi="ar-SA"/>
              </w:rPr>
              <w:t>were approved by</w:t>
            </w:r>
            <w:r w:rsidRPr="0065375E">
              <w:rPr>
                <w:rFonts w:ascii="Garamond" w:eastAsia="Times New Roman" w:hAnsi="Garamond"/>
                <w:b/>
                <w:bCs/>
                <w:color w:val="376091"/>
                <w:sz w:val="12"/>
                <w:szCs w:val="12"/>
                <w:lang w:eastAsia="ja-JP" w:bidi="ar-SA"/>
              </w:rPr>
              <w:t xml:space="preserve"> the Legislative Committee. After which they were submitted to the EC for an opinion.</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Implemented channeled activities from the Accession Program - Chapter 16.</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2020:</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Higher degree of compliance compared to the previous year</w:t>
            </w:r>
          </w:p>
        </w:tc>
        <w:tc>
          <w:tcPr>
            <w:tcW w:w="901"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65375E">
        <w:trPr>
          <w:cantSplit/>
          <w:trHeight w:val="207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9A4CED" w:rsidRPr="00786A01" w:rsidRDefault="009A4CED" w:rsidP="00EA7158">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13</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Share of collected tax revenue compared to the planned tax revenue in the annual budget law</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100%</w:t>
            </w:r>
            <w:r w:rsidRPr="00786A01">
              <w:rPr>
                <w:rFonts w:ascii="Garamond" w:eastAsia="Times New Roman" w:hAnsi="Garamond"/>
                <w:b/>
                <w:bCs/>
                <w:color w:val="376091"/>
                <w:sz w:val="12"/>
                <w:szCs w:val="12"/>
                <w:lang w:eastAsia="ja-JP" w:bidi="ar-SA"/>
              </w:rPr>
              <w:br/>
              <w:t>(2015): 100%</w:t>
            </w:r>
            <w:r w:rsidRPr="00786A01">
              <w:rPr>
                <w:rFonts w:ascii="Garamond" w:eastAsia="Times New Roman" w:hAnsi="Garamond"/>
                <w:b/>
                <w:bCs/>
                <w:color w:val="376091"/>
                <w:sz w:val="12"/>
                <w:szCs w:val="12"/>
                <w:lang w:eastAsia="ja-JP" w:bidi="ar-SA"/>
              </w:rPr>
              <w:br/>
              <w:t>(2016): 100%</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65375E" w:rsidP="0065375E">
            <w:pPr>
              <w:widowControl/>
              <w:autoSpaceDE/>
              <w:autoSpaceDN/>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TV  (2017)</w:t>
            </w:r>
            <w:r w:rsidR="009A4CED" w:rsidRPr="00786A01">
              <w:rPr>
                <w:rFonts w:ascii="Garamond" w:eastAsia="Times New Roman" w:hAnsi="Garamond"/>
                <w:b/>
                <w:bCs/>
                <w:color w:val="376091"/>
                <w:sz w:val="12"/>
                <w:szCs w:val="12"/>
                <w:lang w:eastAsia="ja-JP" w:bidi="ar-SA"/>
              </w:rPr>
              <w:t xml:space="preserve">: </w:t>
            </w:r>
            <w:r w:rsidR="009A4CED" w:rsidRPr="00786A01">
              <w:rPr>
                <w:rFonts w:ascii="Garamond" w:eastAsia="Times New Roman" w:hAnsi="Garamond"/>
                <w:b/>
                <w:bCs/>
                <w:color w:val="376091"/>
                <w:sz w:val="12"/>
                <w:szCs w:val="12"/>
                <w:lang w:eastAsia="ja-JP" w:bidi="ar-SA"/>
              </w:rPr>
              <w:br/>
              <w:t>100%</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More than 100% of planned</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(24 million above the plan for 2017) and 34 million above the achievement in 2016</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100%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Above the plan for 2018, achieved 73 million or 117 million above the achievement from 2017.</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100%</w:t>
            </w:r>
          </w:p>
        </w:tc>
        <w:tc>
          <w:tcPr>
            <w:tcW w:w="993" w:type="dxa"/>
            <w:tcBorders>
              <w:top w:val="nil"/>
              <w:left w:val="nil"/>
              <w:bottom w:val="single" w:sz="4" w:space="0" w:color="auto"/>
              <w:right w:val="single" w:sz="4" w:space="0" w:color="auto"/>
            </w:tcBorders>
            <w:shd w:val="clear" w:color="auto" w:fill="auto"/>
            <w:vAlign w:val="center"/>
            <w:hideMark/>
          </w:tcPr>
          <w:p w:rsidR="009A4CED" w:rsidRPr="0065375E" w:rsidRDefault="0065375E" w:rsidP="00F51074">
            <w:pPr>
              <w:widowControl/>
              <w:autoSpaceDE/>
              <w:autoSpaceDN/>
              <w:jc w:val="center"/>
              <w:rPr>
                <w:rFonts w:ascii="Garamond" w:eastAsia="Times New Roman" w:hAnsi="Garamond"/>
                <w:bCs/>
                <w:color w:val="376091"/>
                <w:sz w:val="12"/>
                <w:szCs w:val="12"/>
                <w:lang w:eastAsia="ja-JP" w:bidi="ar-SA"/>
              </w:rPr>
            </w:pPr>
            <w:r w:rsidRPr="0065375E">
              <w:rPr>
                <w:rFonts w:ascii="Garamond" w:eastAsia="Times New Roman" w:hAnsi="Garamond"/>
                <w:bCs/>
                <w:color w:val="376091"/>
                <w:sz w:val="12"/>
                <w:szCs w:val="12"/>
                <w:lang w:eastAsia="ja-JP" w:bidi="ar-SA"/>
              </w:rPr>
              <w:t>Actual value in 2019: Above the plan for 2019, 80 million was achieved above the plan</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100%</w:t>
            </w:r>
          </w:p>
        </w:tc>
        <w:tc>
          <w:tcPr>
            <w:tcW w:w="1029"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 xml:space="preserve">65 </w:t>
            </w:r>
            <w:proofErr w:type="gramStart"/>
            <w:r w:rsidRPr="00786A01">
              <w:rPr>
                <w:rFonts w:ascii="Garamond" w:eastAsia="Times New Roman" w:hAnsi="Garamond"/>
                <w:b/>
                <w:bCs/>
                <w:color w:val="376091"/>
                <w:sz w:val="12"/>
                <w:szCs w:val="12"/>
                <w:lang w:eastAsia="ja-JP" w:bidi="ar-SA"/>
              </w:rPr>
              <w:t>mil</w:t>
            </w:r>
            <w:proofErr w:type="gramEnd"/>
            <w:r w:rsidRPr="00786A01">
              <w:rPr>
                <w:rFonts w:ascii="Garamond" w:eastAsia="Times New Roman" w:hAnsi="Garamond"/>
                <w:b/>
                <w:bCs/>
                <w:color w:val="376091"/>
                <w:sz w:val="12"/>
                <w:szCs w:val="12"/>
                <w:lang w:eastAsia="ja-JP" w:bidi="ar-SA"/>
              </w:rPr>
              <w:t xml:space="preserve">. </w:t>
            </w:r>
            <w:proofErr w:type="gramStart"/>
            <w:r w:rsidRPr="00786A01">
              <w:rPr>
                <w:rFonts w:ascii="Garamond" w:eastAsia="Times New Roman" w:hAnsi="Garamond"/>
                <w:b/>
                <w:bCs/>
                <w:color w:val="376091"/>
                <w:sz w:val="12"/>
                <w:szCs w:val="12"/>
                <w:lang w:eastAsia="ja-JP" w:bidi="ar-SA"/>
              </w:rPr>
              <w:t>euros</w:t>
            </w:r>
            <w:proofErr w:type="gramEnd"/>
            <w:r w:rsidRPr="00786A01">
              <w:rPr>
                <w:rFonts w:ascii="Garamond" w:eastAsia="Times New Roman" w:hAnsi="Garamond"/>
                <w:b/>
                <w:bCs/>
                <w:color w:val="376091"/>
                <w:sz w:val="12"/>
                <w:szCs w:val="12"/>
                <w:lang w:eastAsia="ja-JP" w:bidi="ar-SA"/>
              </w:rPr>
              <w:t xml:space="preserve"> above the plan according to the budget revision, while still 79 mil. euros (7%) below the 2019 achievement </w:t>
            </w:r>
          </w:p>
        </w:tc>
        <w:tc>
          <w:tcPr>
            <w:tcW w:w="901"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65375E">
        <w:trPr>
          <w:cantSplit/>
          <w:trHeight w:val="809"/>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textDirection w:val="btLr"/>
            <w:vAlign w:val="bottom"/>
            <w:hideMark/>
          </w:tcPr>
          <w:p w:rsidR="009A4CED" w:rsidRPr="00786A01" w:rsidRDefault="009A4CED" w:rsidP="00EA7158">
            <w:pPr>
              <w:widowControl/>
              <w:autoSpaceDE/>
              <w:autoSpaceDN/>
              <w:ind w:left="113" w:right="113"/>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14</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Share of collected VAT revenues in GDP</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13</w:t>
            </w:r>
            <w:r w:rsidR="0065375E">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13</w:t>
            </w:r>
            <w:r w:rsidR="0065375E">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13</w:t>
            </w:r>
            <w:r w:rsidR="0065375E">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0%</w:t>
            </w:r>
            <w:r w:rsidRPr="00786A01">
              <w:rPr>
                <w:rFonts w:ascii="Garamond" w:eastAsia="Times New Roman" w:hAnsi="Garamond"/>
                <w:b/>
                <w:bCs/>
                <w:color w:val="376091"/>
                <w:sz w:val="12"/>
                <w:szCs w:val="12"/>
                <w:lang w:eastAsia="ja-JP" w:bidi="ar-SA"/>
              </w:rPr>
              <w:br w:type="page"/>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14</w:t>
            </w:r>
            <w:r w:rsidR="0065375E">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7%</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13</w:t>
            </w:r>
            <w:r w:rsidR="0065375E">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6%</w:t>
            </w:r>
            <w:r w:rsidRPr="00786A01">
              <w:rPr>
                <w:rStyle w:val="FootnoteReference"/>
                <w:rFonts w:ascii="Garamond" w:eastAsia="Times New Roman" w:hAnsi="Garamond"/>
                <w:b/>
                <w:bCs/>
                <w:color w:val="376091"/>
                <w:sz w:val="12"/>
                <w:szCs w:val="12"/>
                <w:lang w:eastAsia="ja-JP" w:bidi="ar-SA"/>
              </w:rPr>
              <w:footnoteReference w:id="49"/>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14;6%</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14</w:t>
            </w:r>
            <w:r w:rsidR="0065375E">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44% </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14</w:t>
            </w:r>
            <w:r w:rsidR="0065375E">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6%</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color w:val="538ED5"/>
                <w:sz w:val="12"/>
                <w:szCs w:val="12"/>
                <w:lang w:eastAsia="ja-JP" w:bidi="ar-SA"/>
              </w:rPr>
            </w:pPr>
            <w:r w:rsidRPr="00786A01">
              <w:rPr>
                <w:rFonts w:ascii="Garamond" w:eastAsia="Times New Roman" w:hAnsi="Garamond"/>
                <w:color w:val="538ED5"/>
                <w:sz w:val="12"/>
                <w:szCs w:val="12"/>
                <w:lang w:eastAsia="ja-JP" w:bidi="ar-SA"/>
              </w:rPr>
              <w:t xml:space="preserve">Actual value in 2020 </w:t>
            </w:r>
            <w:r w:rsidRPr="00786A01">
              <w:rPr>
                <w:rFonts w:ascii="Garamond" w:eastAsia="Times New Roman" w:hAnsi="Garamond"/>
                <w:color w:val="538ED5"/>
                <w:sz w:val="12"/>
                <w:szCs w:val="12"/>
                <w:lang w:eastAsia="ja-JP" w:bidi="ar-SA"/>
              </w:rPr>
              <w:br w:type="page"/>
              <w:t>12</w:t>
            </w:r>
            <w:r w:rsidR="0065375E">
              <w:rPr>
                <w:rFonts w:ascii="Garamond" w:eastAsia="Times New Roman" w:hAnsi="Garamond"/>
                <w:color w:val="538ED5"/>
                <w:sz w:val="12"/>
                <w:szCs w:val="12"/>
                <w:lang w:eastAsia="ja-JP" w:bidi="ar-SA"/>
              </w:rPr>
              <w:t>.</w:t>
            </w:r>
            <w:r w:rsidRPr="00786A01">
              <w:rPr>
                <w:rFonts w:ascii="Garamond" w:eastAsia="Times New Roman" w:hAnsi="Garamond"/>
                <w:color w:val="538ED5"/>
                <w:sz w:val="12"/>
                <w:szCs w:val="12"/>
                <w:lang w:eastAsia="ja-JP" w:bidi="ar-SA"/>
              </w:rPr>
              <w:t>6%</w:t>
            </w:r>
            <w:r w:rsidRPr="00786A01">
              <w:rPr>
                <w:rFonts w:ascii="Garamond" w:eastAsia="Times New Roman" w:hAnsi="Garamond"/>
                <w:color w:val="538ED5"/>
                <w:sz w:val="12"/>
                <w:szCs w:val="12"/>
                <w:lang w:eastAsia="ja-JP" w:bidi="ar-SA"/>
              </w:rPr>
              <w:br w:type="page"/>
            </w:r>
          </w:p>
        </w:tc>
        <w:tc>
          <w:tcPr>
            <w:tcW w:w="901"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65375E">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Technical assistance required</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date of</w:t>
            </w:r>
            <w:r w:rsidRPr="00786A01">
              <w:rPr>
                <w:rFonts w:ascii="Garamond" w:eastAsia="Times New Roman" w:hAnsi="Garamond"/>
                <w:sz w:val="12"/>
                <w:szCs w:val="12"/>
                <w:lang w:eastAsia="ja-JP" w:bidi="ar-SA"/>
              </w:rPr>
              <w:br/>
              <w:t>completion</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deadline for implementation</w:t>
            </w:r>
          </w:p>
        </w:tc>
        <w:tc>
          <w:tcPr>
            <w:tcW w:w="1029"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EA7158">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65375E">
        <w:trPr>
          <w:trHeight w:val="71"/>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76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000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B.1.1 DFurther improvement in efficiency, taxpayer services and tax compliance through capacity building and systems improvement in MTA.</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Procedure, 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Growth in the share of submitted electronic tax returns (INCOME tax, VAT)</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1,000,000</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activity has not yet started with the implementation, because it was conditioned by IPA funds. From now on, the realisation of the activities will take place through a World Bank project</w:t>
            </w:r>
          </w:p>
        </w:tc>
      </w:tr>
      <w:tr w:rsidR="009A4CED" w:rsidRPr="00786A01" w:rsidTr="00CC44F8">
        <w:trPr>
          <w:trHeight w:val="1223"/>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B.1.2 Strengthen MTA’s administrative and institutional capabilities to apply EU’s common VAT system</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CC44F8" w:rsidP="00CC44F8">
            <w:pPr>
              <w:widowControl/>
              <w:autoSpaceDE/>
              <w:autoSpaceDN/>
              <w:jc w:val="center"/>
              <w:rPr>
                <w:rFonts w:ascii="Garamond" w:eastAsia="Times New Roman" w:hAnsi="Garamond"/>
                <w:sz w:val="12"/>
                <w:szCs w:val="12"/>
                <w:lang w:eastAsia="ja-JP" w:bidi="ar-SA"/>
              </w:rPr>
            </w:pPr>
            <w:r>
              <w:rPr>
                <w:rFonts w:ascii="Garamond" w:eastAsia="Times New Roman" w:hAnsi="Garamond"/>
                <w:sz w:val="12"/>
                <w:szCs w:val="12"/>
                <w:lang w:eastAsia="ja-JP" w:bidi="ar-SA"/>
              </w:rPr>
              <w:t xml:space="preserve">Legal act (new/revised) </w:t>
            </w:r>
            <w:r>
              <w:rPr>
                <w:rFonts w:ascii="Garamond" w:eastAsia="Times New Roman" w:hAnsi="Garamond"/>
                <w:sz w:val="12"/>
                <w:szCs w:val="12"/>
                <w:lang w:eastAsia="ja-JP" w:bidi="ar-SA"/>
              </w:rPr>
              <w:br/>
            </w:r>
            <w:r w:rsidR="009A4CED" w:rsidRPr="00786A01">
              <w:rPr>
                <w:rFonts w:ascii="Garamond" w:eastAsia="Times New Roman" w:hAnsi="Garamond"/>
                <w:sz w:val="12"/>
                <w:szCs w:val="12"/>
                <w:lang w:eastAsia="ja-JP" w:bidi="ar-SA"/>
              </w:rPr>
              <w:b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Software implemented.</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bookmarkStart w:id="29" w:name="RANGE!I84"/>
            <w:r w:rsidRPr="00786A01">
              <w:rPr>
                <w:rFonts w:ascii="Garamond" w:eastAsia="Times New Roman" w:hAnsi="Garamond"/>
                <w:sz w:val="12"/>
                <w:szCs w:val="12"/>
                <w:lang w:eastAsia="ja-JP" w:bidi="ar-SA"/>
              </w:rPr>
              <w:t>2</w:t>
            </w:r>
            <w:bookmarkEnd w:id="29"/>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2025</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2,000,000</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activity is being implemented with the anticipated dynamics, while the new deadline is related to the release of the VIES system, which must be in operation half a year before EU accession</w:t>
            </w:r>
            <w:proofErr w:type="gramStart"/>
            <w:r w:rsidRPr="00786A01">
              <w:rPr>
                <w:rFonts w:ascii="Garamond" w:eastAsia="Times New Roman" w:hAnsi="Garamond"/>
                <w:sz w:val="12"/>
                <w:szCs w:val="12"/>
                <w:lang w:eastAsia="ja-JP" w:bidi="ar-SA"/>
              </w:rPr>
              <w:t>./</w:t>
            </w:r>
            <w:proofErr w:type="gramEnd"/>
          </w:p>
        </w:tc>
      </w:tr>
      <w:tr w:rsidR="009A4CED" w:rsidRPr="00786A01" w:rsidTr="009A4CED">
        <w:trPr>
          <w:trHeight w:val="151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B.1.3 Upgrade capacity of the MTA and its IT systems in the area of risk analysis and inspections control (e-control)</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Procedure, 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Software implemented.</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2017</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500,000</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activity was transferred within activity ‘B 1.5.’ so that it can be reali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on time. E-control will be financed from project funds under a contract with the World Bank in order to improve the Tax Administration. The activities are expected to be fully implemented in early June 2021.</w:t>
            </w:r>
          </w:p>
        </w:tc>
      </w:tr>
      <w:tr w:rsidR="009A4CED" w:rsidRPr="00786A01" w:rsidTr="009A4CED">
        <w:trPr>
          <w:trHeight w:val="1039"/>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B.1.5 MTA Reform</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Business processes,</w:t>
            </w:r>
            <w:r w:rsidRPr="00786A01">
              <w:rPr>
                <w:rFonts w:ascii="Garamond" w:eastAsia="Times New Roman" w:hAnsi="Garamond"/>
                <w:sz w:val="12"/>
                <w:szCs w:val="12"/>
                <w:lang w:eastAsia="ja-JP" w:bidi="ar-SA"/>
              </w:rPr>
              <w:b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 of an integrated revenue management system (IRMS) in line with business processes</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2017</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2021                (5 years)</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2023                    (5 years)</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14,000,000</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Partially implemented. Continuous implementation.</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D878D5">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18.500.000,00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D878D5">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850.000,00</w:t>
            </w:r>
          </w:p>
        </w:tc>
        <w:tc>
          <w:tcPr>
            <w:tcW w:w="1007"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jc w:val="center"/>
              <w:rPr>
                <w:rFonts w:ascii="Garamond" w:eastAsia="Times New Roman" w:hAnsi="Garamond"/>
                <w:b/>
                <w:bCs/>
                <w:sz w:val="12"/>
                <w:szCs w:val="12"/>
                <w:lang w:eastAsia="ja-JP" w:bidi="ar-SA"/>
              </w:rPr>
            </w:pPr>
          </w:p>
        </w:tc>
      </w:tr>
      <w:tr w:rsidR="009A4CED" w:rsidRPr="00786A01" w:rsidTr="00E85848">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E85848">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2. _ B) Budget execution</w:t>
            </w:r>
          </w:p>
        </w:tc>
      </w:tr>
      <w:tr w:rsidR="009A4CED" w:rsidRPr="00786A01" w:rsidTr="00E85848">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9A4CED" w:rsidRPr="00786A01" w:rsidRDefault="009A4CED" w:rsidP="00E85848">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4.1.3.2._ B.2. Revenue collection - Customs Administration</w:t>
            </w:r>
          </w:p>
        </w:tc>
      </w:tr>
      <w:tr w:rsidR="009A4CED" w:rsidRPr="00786A01" w:rsidTr="00CC44F8">
        <w:trPr>
          <w:trHeight w:val="755"/>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D878D5">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Performance indicator15 </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Change in revenue collection compared to the previous year</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15%</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17</w:t>
            </w:r>
            <w:r w:rsidR="00CC44F8">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64 %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17</w:t>
            </w:r>
            <w:r w:rsidR="00CC44F8">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64 %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11</w:t>
            </w:r>
            <w:r w:rsidR="00CC44F8">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03%</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5%</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5</w:t>
            </w:r>
            <w:r w:rsidR="00CC44F8">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17%</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-18%</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3446"/>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D878D5">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indicator16</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Harmonisation of customs and excise legislation with the EU Acquis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Completed screening process Chapter 16 Taxation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Law on Amendments to the Customs Law</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Law on Amendments to the Law on Excise Duties</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Customs Tariff Regulations for 2017</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Regulations on amendments to the Regulation on the implementation of the customs law</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4 regulations enacted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Adoption of 3 regulations</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w:t>
            </w:r>
            <w:r w:rsidRPr="00786A01">
              <w:rPr>
                <w:rFonts w:ascii="Garamond" w:eastAsia="Times New Roman" w:hAnsi="Garamond"/>
                <w:b/>
                <w:bCs/>
                <w:color w:val="376091"/>
                <w:sz w:val="12"/>
                <w:szCs w:val="12"/>
                <w:lang w:eastAsia="ja-JP" w:bidi="ar-SA"/>
              </w:rPr>
              <w:br/>
              <w:t>Adopted 3 regulations</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Adoption of 3 regulations</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w:t>
            </w:r>
            <w:r w:rsidRPr="00786A01">
              <w:rPr>
                <w:rFonts w:ascii="Garamond" w:eastAsia="Times New Roman" w:hAnsi="Garamond"/>
                <w:b/>
                <w:bCs/>
                <w:color w:val="376091"/>
                <w:sz w:val="12"/>
                <w:szCs w:val="12"/>
                <w:lang w:eastAsia="ja-JP" w:bidi="ar-SA"/>
              </w:rPr>
              <w:br/>
              <w:t>Adopted 3 regulations</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w:t>
            </w:r>
            <w:r w:rsidRPr="00786A01">
              <w:rPr>
                <w:rFonts w:ascii="Garamond" w:eastAsia="Times New Roman" w:hAnsi="Garamond"/>
                <w:b/>
                <w:bCs/>
                <w:color w:val="376091"/>
                <w:sz w:val="12"/>
                <w:szCs w:val="12"/>
                <w:lang w:eastAsia="ja-JP" w:bidi="ar-SA"/>
              </w:rPr>
              <w:br/>
              <w:t>Adopted 2 regulations</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Adopted 1 regulation</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CC44F8">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D878D5">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w:t>
            </w:r>
            <w:r w:rsidRPr="00786A01">
              <w:rPr>
                <w:rFonts w:ascii="Garamond" w:eastAsia="Times New Roman" w:hAnsi="Garamond"/>
                <w:sz w:val="12"/>
                <w:szCs w:val="12"/>
                <w:lang w:eastAsia="ja-JP" w:bidi="ar-SA"/>
              </w:rPr>
              <w:br/>
              <w:t>date of</w:t>
            </w:r>
            <w:r w:rsidRPr="00786A01">
              <w:rPr>
                <w:rFonts w:ascii="Garamond" w:eastAsia="Times New Roman" w:hAnsi="Garamond"/>
                <w:sz w:val="12"/>
                <w:szCs w:val="12"/>
                <w:lang w:eastAsia="ja-JP" w:bidi="ar-SA"/>
              </w:rPr>
              <w:br/>
              <w:t>completion</w:t>
            </w:r>
          </w:p>
        </w:tc>
        <w:tc>
          <w:tcPr>
            <w:tcW w:w="130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deadline for implementation</w:t>
            </w:r>
          </w:p>
        </w:tc>
        <w:tc>
          <w:tcPr>
            <w:tcW w:w="102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D878D5">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E85848">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CC44F8">
        <w:trPr>
          <w:trHeight w:val="80"/>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nil"/>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76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B.2.1 Implement excise IT system at the national level</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Procedure/</w:t>
            </w:r>
            <w:r w:rsidRPr="00786A01">
              <w:rPr>
                <w:rFonts w:ascii="Garamond" w:eastAsia="Times New Roman" w:hAnsi="Garamond"/>
                <w:sz w:val="12"/>
                <w:szCs w:val="12"/>
                <w:lang w:eastAsia="ja-JP" w:bidi="ar-SA"/>
              </w:rPr>
              <w:b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br/>
              <w:t>Procedures established.</w:t>
            </w:r>
            <w:r w:rsidRPr="00786A01">
              <w:rPr>
                <w:rFonts w:ascii="Garamond" w:eastAsia="Times New Roman" w:hAnsi="Garamond"/>
                <w:sz w:val="12"/>
                <w:szCs w:val="12"/>
                <w:lang w:eastAsia="ja-JP" w:bidi="ar-SA"/>
              </w:rPr>
              <w:br/>
              <w:t xml:space="preserve">Software implemented.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CA.</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299,000.00</w:t>
            </w:r>
          </w:p>
        </w:tc>
        <w:tc>
          <w:tcPr>
            <w:tcW w:w="901" w:type="dxa"/>
            <w:tcBorders>
              <w:top w:val="nil"/>
              <w:left w:val="nil"/>
              <w:bottom w:val="single" w:sz="4" w:space="0" w:color="auto"/>
              <w:right w:val="nil"/>
            </w:tcBorders>
            <w:shd w:val="clear" w:color="000000" w:fill="FFFFFF"/>
            <w:noWrap/>
            <w:vAlign w:val="center"/>
            <w:hideMark/>
          </w:tcPr>
          <w:p w:rsidR="009A4CED" w:rsidRPr="00786A01" w:rsidRDefault="009A4CED" w:rsidP="00D878D5">
            <w:pPr>
              <w:jc w:val="center"/>
              <w:rPr>
                <w:rFonts w:eastAsia="Times New Roman"/>
                <w:color w:val="000000"/>
                <w:sz w:val="12"/>
                <w:szCs w:val="12"/>
              </w:rPr>
            </w:pPr>
            <w:r w:rsidRPr="00786A01">
              <w:rPr>
                <w:color w:val="000000"/>
                <w:sz w:val="12"/>
                <w:szCs w:val="12"/>
              </w:rPr>
              <w:t>119,200.00</w:t>
            </w:r>
          </w:p>
          <w:p w:rsidR="009A4CED" w:rsidRPr="00786A01" w:rsidRDefault="009A4CED" w:rsidP="00D878D5">
            <w:pPr>
              <w:jc w:val="center"/>
              <w:rPr>
                <w:rFonts w:eastAsia="Times New Roman"/>
                <w:b/>
                <w:bCs/>
                <w:sz w:val="12"/>
                <w:szCs w:val="12"/>
              </w:rPr>
            </w:pPr>
          </w:p>
        </w:tc>
        <w:tc>
          <w:tcPr>
            <w:tcW w:w="100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color w:val="000000"/>
                <w:sz w:val="12"/>
                <w:szCs w:val="12"/>
                <w:lang w:eastAsia="ja-JP" w:bidi="ar-SA"/>
              </w:rPr>
            </w:pPr>
            <w:r w:rsidRPr="00786A01">
              <w:rPr>
                <w:rFonts w:ascii="Garamond" w:eastAsia="Times New Roman" w:hAnsi="Garamond"/>
                <w:color w:val="000000"/>
                <w:sz w:val="12"/>
                <w:szCs w:val="12"/>
                <w:lang w:eastAsia="ja-JP" w:bidi="ar-SA"/>
              </w:rPr>
              <w:t xml:space="preserve">Implemented </w:t>
            </w:r>
          </w:p>
        </w:tc>
      </w:tr>
      <w:tr w:rsidR="009A4CED" w:rsidRPr="00786A01" w:rsidTr="009A4CED">
        <w:trPr>
          <w:trHeight w:val="10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B.2.2 Implement modernised customs clearance procedures at the national level</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br/>
              <w:t>Procedure/</w:t>
            </w:r>
            <w:r w:rsidRPr="00786A01">
              <w:rPr>
                <w:rFonts w:ascii="Garamond" w:eastAsia="Times New Roman" w:hAnsi="Garamond"/>
                <w:sz w:val="12"/>
                <w:szCs w:val="12"/>
                <w:lang w:eastAsia="ja-JP" w:bidi="ar-SA"/>
              </w:rPr>
              <w:b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br/>
              <w:t>Procedures established.</w:t>
            </w:r>
            <w:r w:rsidRPr="00786A01">
              <w:rPr>
                <w:rFonts w:ascii="Garamond" w:eastAsia="Times New Roman" w:hAnsi="Garamond"/>
                <w:sz w:val="12"/>
                <w:szCs w:val="12"/>
                <w:lang w:eastAsia="ja-JP" w:bidi="ar-SA"/>
              </w:rPr>
              <w:br/>
              <w:t xml:space="preserve">Software implemented.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2021</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D878D5">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3,300,000.00</w:t>
            </w:r>
          </w:p>
        </w:tc>
        <w:tc>
          <w:tcPr>
            <w:tcW w:w="901" w:type="dxa"/>
            <w:tcBorders>
              <w:top w:val="nil"/>
              <w:left w:val="nil"/>
              <w:bottom w:val="single" w:sz="4" w:space="0" w:color="auto"/>
              <w:right w:val="nil"/>
            </w:tcBorders>
            <w:shd w:val="clear" w:color="000000" w:fill="FFFFFF"/>
            <w:noWrap/>
            <w:vAlign w:val="center"/>
            <w:hideMark/>
          </w:tcPr>
          <w:p w:rsidR="009A4CED" w:rsidRPr="00786A01" w:rsidRDefault="009A4CED" w:rsidP="00D878D5">
            <w:pPr>
              <w:jc w:val="center"/>
              <w:rPr>
                <w:rFonts w:eastAsia="Times New Roman"/>
                <w:sz w:val="12"/>
                <w:szCs w:val="12"/>
              </w:rPr>
            </w:pPr>
            <w:r w:rsidRPr="00786A01">
              <w:rPr>
                <w:sz w:val="12"/>
                <w:szCs w:val="12"/>
              </w:rPr>
              <w:t>1,269,647.34</w:t>
            </w:r>
          </w:p>
          <w:p w:rsidR="009A4CED" w:rsidRPr="00786A01" w:rsidRDefault="009A4CED" w:rsidP="00D878D5">
            <w:pPr>
              <w:jc w:val="center"/>
              <w:rPr>
                <w:rFonts w:eastAsia="Times New Roman"/>
                <w:sz w:val="12"/>
                <w:szCs w:val="12"/>
              </w:rPr>
            </w:pP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9A4CED" w:rsidRPr="00786A01" w:rsidRDefault="009A4CED" w:rsidP="002C53A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IPA 2014 project ‘Support to the Customs Administration’ started with the implementation in November 2018 and will last for 36 months.</w:t>
            </w:r>
          </w:p>
          <w:p w:rsidR="009A4CED" w:rsidRPr="00786A01" w:rsidRDefault="009A4CED" w:rsidP="002C53A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w:t>
            </w:r>
          </w:p>
          <w:p w:rsidR="009A4CED" w:rsidRPr="00786A01" w:rsidRDefault="009A4CED" w:rsidP="002C53A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project is aimed at strengthening the administrative and operational capacity of the Customs Administration of Montenegro so that the national transit procedure is fully compliant with the requirements of the common transit of the European Union in order to implement the latest phase of the New Computeri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Transit System (NCTS)</w:t>
            </w:r>
          </w:p>
          <w:p w:rsidR="009A4CED" w:rsidRPr="00786A01" w:rsidRDefault="009A4CED" w:rsidP="002C53A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value of the project is 3,300,000 EUR</w:t>
            </w:r>
          </w:p>
        </w:tc>
      </w:tr>
      <w:tr w:rsidR="009A4CED" w:rsidRPr="00786A01" w:rsidTr="009A4CED">
        <w:trPr>
          <w:trHeight w:val="135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B.2.3 Training of officials to prepare for the implementation of automated EU revenue reporting procedures (A-B accounts)</w:t>
            </w:r>
          </w:p>
        </w:tc>
        <w:tc>
          <w:tcPr>
            <w:tcW w:w="98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C53A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Training </w:t>
            </w:r>
          </w:p>
        </w:tc>
        <w:tc>
          <w:tcPr>
            <w:tcW w:w="97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Officers trained.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C53A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Not specified</w:t>
            </w:r>
          </w:p>
        </w:tc>
        <w:tc>
          <w:tcPr>
            <w:tcW w:w="901" w:type="dxa"/>
            <w:tcBorders>
              <w:top w:val="nil"/>
              <w:left w:val="nil"/>
              <w:bottom w:val="single" w:sz="4" w:space="0" w:color="auto"/>
              <w:right w:val="nil"/>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0.000</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2C53A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Fully implemented.</w:t>
            </w:r>
          </w:p>
          <w:p w:rsidR="009A4CED" w:rsidRPr="00786A01" w:rsidRDefault="009A4CED" w:rsidP="002C53A7">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Conducting training of officials within the CUSTOMS 2020 program</w:t>
            </w:r>
          </w:p>
        </w:tc>
      </w:tr>
      <w:tr w:rsidR="009A4CED" w:rsidRPr="00786A01" w:rsidTr="009A4CED">
        <w:trPr>
          <w:trHeight w:val="135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*3)</w:t>
            </w:r>
          </w:p>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B.2.4 Upgrade risk management system</w:t>
            </w:r>
          </w:p>
        </w:tc>
        <w:tc>
          <w:tcPr>
            <w:tcW w:w="98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br/>
            </w:r>
            <w:r w:rsidRPr="00786A01">
              <w:rPr>
                <w:rFonts w:ascii="Garamond" w:eastAsia="Times New Roman" w:hAnsi="Garamond"/>
                <w:sz w:val="12"/>
                <w:szCs w:val="12"/>
                <w:lang w:eastAsia="ja-JP" w:bidi="ar-SA"/>
              </w:rPr>
              <w:br/>
              <w:t>Training/</w:t>
            </w:r>
            <w:r w:rsidRPr="00786A01">
              <w:rPr>
                <w:rFonts w:ascii="Garamond" w:eastAsia="Times New Roman" w:hAnsi="Garamond"/>
                <w:sz w:val="12"/>
                <w:szCs w:val="12"/>
                <w:lang w:eastAsia="ja-JP" w:bidi="ar-SA"/>
              </w:rPr>
              <w:br/>
              <w:t>Computerisation</w:t>
            </w:r>
          </w:p>
        </w:tc>
        <w:tc>
          <w:tcPr>
            <w:tcW w:w="97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br/>
              <w:t>Officers trained.</w:t>
            </w:r>
            <w:r w:rsidRPr="00786A01">
              <w:rPr>
                <w:rFonts w:ascii="Garamond" w:eastAsia="Times New Roman" w:hAnsi="Garamond"/>
                <w:sz w:val="12"/>
                <w:szCs w:val="12"/>
                <w:lang w:eastAsia="ja-JP" w:bidi="ar-SA"/>
              </w:rPr>
              <w:br/>
              <w:t>Software Improvement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2020/continuous</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Not specified</w:t>
            </w:r>
          </w:p>
        </w:tc>
        <w:tc>
          <w:tcPr>
            <w:tcW w:w="901" w:type="dxa"/>
            <w:tcBorders>
              <w:top w:val="nil"/>
              <w:left w:val="nil"/>
              <w:bottom w:val="single" w:sz="4" w:space="0" w:color="auto"/>
              <w:right w:val="nil"/>
            </w:tcBorders>
            <w:shd w:val="clear" w:color="auto" w:fill="auto"/>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0.000</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Continuation of activities carried out with continuous technical support of TAIEX and other EU expert assistance programs, which ensures that the development of risk analysis in the Customs Administration is in line with best practices and guidelines of the EU and WCO in this area.</w:t>
            </w:r>
          </w:p>
        </w:tc>
      </w:tr>
      <w:tr w:rsidR="009A4CED" w:rsidRPr="00786A01" w:rsidTr="009A4CED">
        <w:trPr>
          <w:trHeight w:val="13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B.2.5 Increase the number of economic operators authorised for simplified procedures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Preparation of economic entities for obtaining approval</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Increased number of economic entities</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2020/continuous</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Not specified</w:t>
            </w:r>
          </w:p>
        </w:tc>
        <w:tc>
          <w:tcPr>
            <w:tcW w:w="901" w:type="dxa"/>
            <w:tcBorders>
              <w:top w:val="nil"/>
              <w:left w:val="nil"/>
              <w:bottom w:val="single" w:sz="4" w:space="0" w:color="auto"/>
              <w:right w:val="nil"/>
            </w:tcBorders>
            <w:shd w:val="clear" w:color="auto" w:fill="auto"/>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0.000</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Continuation of the implementation of activities on the affirmation of economic entities to use simplified procedures.</w:t>
            </w:r>
          </w:p>
        </w:tc>
      </w:tr>
      <w:tr w:rsidR="009A4CED" w:rsidRPr="00786A01" w:rsidTr="00CC44F8">
        <w:trPr>
          <w:trHeight w:val="9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B.2.6 Development of AEO programme</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Regulation/</w:t>
            </w:r>
            <w:r w:rsidRPr="00786A01">
              <w:rPr>
                <w:rFonts w:ascii="Garamond" w:eastAsia="Times New Roman" w:hAnsi="Garamond"/>
                <w:sz w:val="12"/>
                <w:szCs w:val="12"/>
                <w:lang w:eastAsia="ja-JP" w:bidi="ar-SA"/>
              </w:rPr>
              <w:br/>
              <w:t>Procedure/</w:t>
            </w:r>
            <w:r w:rsidRPr="00786A01">
              <w:rPr>
                <w:rFonts w:ascii="Garamond" w:eastAsia="Times New Roman" w:hAnsi="Garamond"/>
                <w:sz w:val="12"/>
                <w:szCs w:val="12"/>
                <w:lang w:eastAsia="ja-JP" w:bidi="ar-SA"/>
              </w:rPr>
              <w:br/>
              <w:t>Training/</w:t>
            </w:r>
            <w:r w:rsidRPr="00786A01">
              <w:rPr>
                <w:rFonts w:ascii="Garamond" w:eastAsia="Times New Roman" w:hAnsi="Garamond"/>
                <w:sz w:val="12"/>
                <w:szCs w:val="12"/>
                <w:lang w:eastAsia="ja-JP" w:bidi="ar-SA"/>
              </w:rPr>
              <w:b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Regulations updated.</w:t>
            </w:r>
            <w:r w:rsidRPr="00786A01">
              <w:rPr>
                <w:rFonts w:ascii="Garamond" w:eastAsia="Times New Roman" w:hAnsi="Garamond"/>
                <w:sz w:val="12"/>
                <w:szCs w:val="12"/>
                <w:lang w:eastAsia="ja-JP" w:bidi="ar-SA"/>
              </w:rPr>
              <w:br/>
              <w:t>Procedures established.</w:t>
            </w:r>
            <w:r w:rsidRPr="00786A01">
              <w:rPr>
                <w:rFonts w:ascii="Garamond" w:eastAsia="Times New Roman" w:hAnsi="Garamond"/>
                <w:sz w:val="12"/>
                <w:szCs w:val="12"/>
                <w:lang w:eastAsia="ja-JP" w:bidi="ar-SA"/>
              </w:rPr>
              <w:br/>
              <w:t xml:space="preserve">Software implemented.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Not specified</w:t>
            </w:r>
          </w:p>
        </w:tc>
        <w:tc>
          <w:tcPr>
            <w:tcW w:w="901" w:type="dxa"/>
            <w:tcBorders>
              <w:top w:val="nil"/>
              <w:left w:val="nil"/>
              <w:bottom w:val="single" w:sz="4" w:space="0" w:color="auto"/>
              <w:right w:val="nil"/>
            </w:tcBorders>
            <w:shd w:val="clear" w:color="auto" w:fill="auto"/>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0.000</w:t>
            </w:r>
          </w:p>
        </w:tc>
        <w:tc>
          <w:tcPr>
            <w:tcW w:w="1007"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implementation of the AEO program is a process that has been evolving over a number of years. In 2018, preparatory activities for the development of the AEO program were carried out. In November 2019, the validation mission of the CEFTA contracting parties concluded that the Customs Administration had fulfilled the conditions for the implementation of the institute of authori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economic operator (AEO) and started issuing approvals to businessmen who meet the prescribed conditions.</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4853" w:type="dxa"/>
            <w:gridSpan w:val="5"/>
            <w:tcBorders>
              <w:top w:val="single" w:sz="4" w:space="0" w:color="auto"/>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2B55CA">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3,599,000.00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2B55CA">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1,388,847.34</w:t>
            </w:r>
          </w:p>
        </w:tc>
        <w:tc>
          <w:tcPr>
            <w:tcW w:w="1007"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jc w:val="center"/>
              <w:rPr>
                <w:rFonts w:ascii="Garamond" w:eastAsia="Times New Roman" w:hAnsi="Garamond"/>
                <w:b/>
                <w:bCs/>
                <w:sz w:val="12"/>
                <w:szCs w:val="12"/>
                <w:lang w:eastAsia="ja-JP" w:bidi="ar-SA"/>
              </w:rPr>
            </w:pPr>
          </w:p>
        </w:tc>
      </w:tr>
      <w:tr w:rsidR="009A4CED" w:rsidRPr="00786A01" w:rsidTr="00851DE0">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851DE0">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2. _ B) Budget execution</w:t>
            </w:r>
          </w:p>
        </w:tc>
      </w:tr>
      <w:tr w:rsidR="009A4CED" w:rsidRPr="00786A01" w:rsidTr="00851DE0">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9A4CED" w:rsidRPr="00786A01" w:rsidRDefault="009A4CED" w:rsidP="00851DE0">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4.1.3.3._ B.3. Public procurements</w:t>
            </w:r>
          </w:p>
        </w:tc>
      </w:tr>
      <w:tr w:rsidR="009A4CED" w:rsidRPr="00786A01" w:rsidTr="00670559">
        <w:trPr>
          <w:trHeight w:val="3113"/>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2B55CA">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indicator17</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Level of harmonisation and completeness of the procurement framework in line with the EU acquis</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Open negotiations in the negotiating chapter 5</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Open negotiations in the negotiating chapter 5</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Open negotiations in the negotiating chapter 5</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Further harmonisation with the package of Directives from 2014 in this area</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w:t>
            </w:r>
            <w:r w:rsidRPr="00786A01">
              <w:rPr>
                <w:rFonts w:ascii="Garamond" w:eastAsia="Times New Roman" w:hAnsi="Garamond"/>
                <w:b/>
                <w:bCs/>
                <w:color w:val="376091"/>
                <w:sz w:val="12"/>
                <w:szCs w:val="12"/>
                <w:lang w:eastAsia="ja-JP" w:bidi="ar-SA"/>
              </w:rPr>
              <w:br/>
              <w:t>Open negotiations in the negotiating chapter 5</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Further harmonisation with the package of Directives from 2014 in this area (implementation of the new Law on Public Procurement, introduction of the electronic system of Public Procurement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w:t>
            </w:r>
            <w:r w:rsidRPr="00786A01">
              <w:rPr>
                <w:rFonts w:ascii="Garamond" w:eastAsia="Times New Roman" w:hAnsi="Garamond"/>
                <w:b/>
                <w:bCs/>
                <w:color w:val="376091"/>
                <w:sz w:val="12"/>
                <w:szCs w:val="12"/>
                <w:lang w:eastAsia="ja-JP" w:bidi="ar-SA"/>
              </w:rPr>
              <w:br/>
              <w:t>Adoption of the new Law on Public Procurement by implementing the provisions in accordance with the new directives</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Implemented planned activities from the Accession Program Chapter 5.</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A new Law on Public Procurement was adopted, which came into force on July 7, 2020</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670559">
        <w:trPr>
          <w:trHeight w:val="791"/>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B55CA">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indicator18</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Average number of bidders received per procurement procedure</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3.52 bids per tender</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3.2</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2</w:t>
            </w:r>
            <w:r w:rsidR="00670559">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66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3</w:t>
            </w:r>
            <w:r w:rsidR="00670559">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48</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3</w:t>
            </w:r>
            <w:r w:rsidR="00670559">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14</w:t>
            </w:r>
            <w:r w:rsidRPr="00786A01">
              <w:rPr>
                <w:rStyle w:val="FootnoteReference"/>
                <w:rFonts w:ascii="Garamond" w:eastAsia="Times New Roman" w:hAnsi="Garamond"/>
                <w:b/>
                <w:bCs/>
                <w:color w:val="376091"/>
                <w:sz w:val="12"/>
                <w:szCs w:val="12"/>
                <w:lang w:eastAsia="ja-JP" w:bidi="ar-SA"/>
              </w:rPr>
              <w:footnoteReference w:id="50"/>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3</w:t>
            </w:r>
            <w:r w:rsidR="00670559">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58</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2</w:t>
            </w:r>
            <w:r w:rsidR="00670559">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01</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3</w:t>
            </w:r>
            <w:r w:rsidR="00670559">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8</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2</w:t>
            </w:r>
            <w:r w:rsidR="00670559">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27</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670559">
        <w:trPr>
          <w:trHeight w:val="206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B55CA">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19</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Share of e-procurement of all procurement contracts awarded during the year.</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0% (There is no electronic public procurement system)</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0% (There is no electronic public procurement system)</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w:t>
            </w:r>
            <w:r w:rsidRPr="00786A01">
              <w:rPr>
                <w:rFonts w:ascii="Garamond" w:eastAsia="Times New Roman" w:hAnsi="Garamond"/>
                <w:b/>
                <w:bCs/>
                <w:color w:val="376091"/>
                <w:sz w:val="12"/>
                <w:szCs w:val="12"/>
                <w:lang w:eastAsia="ja-JP" w:bidi="ar-SA"/>
              </w:rPr>
              <w:br/>
              <w:t>0% (There is no electronic public procurement system)</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Selection of the most favorable bidder</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The project of creating an e-public procurement system has started</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30%</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Pilot phase of the e-system</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80%</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System established, in house testing completed and trainings for users of the electronic public procurement system started</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368"/>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851DE0">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date  </w:t>
            </w:r>
            <w:r w:rsidRPr="00786A01">
              <w:rPr>
                <w:rFonts w:ascii="Garamond" w:eastAsia="Times New Roman" w:hAnsi="Garamond"/>
                <w:sz w:val="12"/>
                <w:szCs w:val="12"/>
                <w:lang w:eastAsia="ja-JP" w:bidi="ar-SA"/>
              </w:rPr>
              <w:br/>
              <w:t xml:space="preserve">of completion </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deadline for implementation</w:t>
            </w:r>
          </w:p>
        </w:tc>
        <w:tc>
          <w:tcPr>
            <w:tcW w:w="102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670559">
        <w:trPr>
          <w:trHeight w:val="161"/>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851DE0">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670559">
        <w:trPr>
          <w:trHeight w:val="60"/>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10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B.3.4 Provide training for civil servants involved in public procurement (as PP officers, members of Tender Opening and Evaluation Commissions, as well as for inspectors, prosecutors and judges)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 xml:space="preserve">A number of employees have been trained.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PPD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2017</w:t>
            </w:r>
          </w:p>
        </w:tc>
        <w:tc>
          <w:tcPr>
            <w:tcW w:w="993"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cs="Calibri"/>
                <w:sz w:val="12"/>
                <w:szCs w:val="12"/>
                <w:lang w:eastAsia="ja-JP" w:bidi="ar-SA"/>
              </w:rPr>
            </w:pPr>
            <w:r w:rsidRPr="00786A01">
              <w:rPr>
                <w:rFonts w:ascii="Garamond" w:eastAsia="Times New Roman" w:hAnsi="Garamond" w:cs="Calibri"/>
                <w:sz w:val="12"/>
                <w:szCs w:val="12"/>
                <w:lang w:eastAsia="ja-JP" w:bidi="ar-SA"/>
              </w:rPr>
              <w:t>Q4 2018</w:t>
            </w:r>
          </w:p>
        </w:tc>
        <w:tc>
          <w:tcPr>
            <w:tcW w:w="1301"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Implemented/continuous </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35,000.00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0C0CF9">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Implemented </w:t>
            </w:r>
          </w:p>
        </w:tc>
      </w:tr>
      <w:tr w:rsidR="009A4CED"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00670559">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B.3.5 Training material for special target groups involved in public procurement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 xml:space="preserve">A number of employees have been trained.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PPD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670559" w:rsidP="000C0CF9">
            <w:pPr>
              <w:widowControl/>
              <w:autoSpaceDE/>
              <w:autoSpaceDN/>
              <w:jc w:val="center"/>
              <w:rPr>
                <w:rFonts w:ascii="Garamond" w:eastAsia="Times New Roman" w:hAnsi="Garamond"/>
                <w:sz w:val="12"/>
                <w:szCs w:val="12"/>
                <w:lang w:eastAsia="ja-JP" w:bidi="ar-SA"/>
              </w:rPr>
            </w:pPr>
            <w:r>
              <w:rPr>
                <w:rFonts w:ascii="Garamond" w:eastAsia="Times New Roman" w:hAnsi="Garamond"/>
                <w:sz w:val="12"/>
                <w:szCs w:val="12"/>
                <w:lang w:eastAsia="ja-JP" w:bidi="ar-SA"/>
              </w:rPr>
              <w:t>Q1</w:t>
            </w:r>
            <w:r w:rsidR="009A4CED" w:rsidRPr="00786A01">
              <w:rPr>
                <w:rFonts w:ascii="Garamond" w:eastAsia="Times New Roman" w:hAnsi="Garamond"/>
                <w:sz w:val="12"/>
                <w:szCs w:val="12"/>
                <w:lang w:eastAsia="ja-JP" w:bidi="ar-SA"/>
              </w:rPr>
              <w:t xml:space="preserve"> 2017</w:t>
            </w:r>
          </w:p>
        </w:tc>
        <w:tc>
          <w:tcPr>
            <w:tcW w:w="993" w:type="dxa"/>
            <w:tcBorders>
              <w:top w:val="nil"/>
              <w:left w:val="nil"/>
              <w:bottom w:val="nil"/>
              <w:right w:val="nil"/>
            </w:tcBorders>
            <w:shd w:val="clear" w:color="auto" w:fill="auto"/>
            <w:noWrap/>
            <w:vAlign w:val="center"/>
            <w:hideMark/>
          </w:tcPr>
          <w:p w:rsidR="009A4CED" w:rsidRPr="00786A01" w:rsidRDefault="009A4CED" w:rsidP="000C0CF9">
            <w:pPr>
              <w:widowControl/>
              <w:autoSpaceDE/>
              <w:autoSpaceDN/>
              <w:jc w:val="center"/>
              <w:rPr>
                <w:rFonts w:ascii="Garamond" w:eastAsia="Times New Roman" w:hAnsi="Garamond" w:cs="Calibri"/>
                <w:sz w:val="12"/>
                <w:szCs w:val="12"/>
                <w:lang w:eastAsia="ja-JP" w:bidi="ar-SA"/>
              </w:rPr>
            </w:pPr>
            <w:r w:rsidRPr="00786A01">
              <w:rPr>
                <w:rFonts w:ascii="Garamond" w:eastAsia="Times New Roman" w:hAnsi="Garamond" w:cs="Calibri"/>
                <w:sz w:val="12"/>
                <w:szCs w:val="12"/>
                <w:lang w:eastAsia="ja-JP" w:bidi="ar-SA"/>
              </w:rPr>
              <w:t>Q4 2018</w:t>
            </w:r>
          </w:p>
        </w:tc>
        <w:tc>
          <w:tcPr>
            <w:tcW w:w="1301" w:type="dxa"/>
            <w:tcBorders>
              <w:top w:val="nil"/>
              <w:left w:val="single" w:sz="4" w:space="0" w:color="auto"/>
              <w:bottom w:val="single" w:sz="4" w:space="0" w:color="auto"/>
              <w:right w:val="single" w:sz="4" w:space="0" w:color="auto"/>
            </w:tcBorders>
            <w:shd w:val="clear" w:color="000000" w:fill="FFFFFF"/>
            <w:vAlign w:val="bottom"/>
            <w:hideMark/>
          </w:tcPr>
          <w:p w:rsidR="009A4CED" w:rsidRPr="00786A01" w:rsidRDefault="009A4CED" w:rsidP="000C0CF9">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2019</w:t>
            </w:r>
          </w:p>
          <w:p w:rsidR="009A4CED" w:rsidRPr="00786A01" w:rsidRDefault="009A4CED" w:rsidP="000C0CF9">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Q3/4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0C0CF9">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Implemented 80%.</w:t>
            </w:r>
          </w:p>
          <w:p w:rsidR="009A4CED" w:rsidRPr="00786A01" w:rsidRDefault="009A4CED" w:rsidP="000C0CF9">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Previously, there was a delay in implementation due to the adoption of the new Law on Public Procurement, which was adopted by the Parliament of Montenegro on December 30, 2019 (Official Gazette 074/19) This activity started with the implementation after the beginning of the application of the new law, from 07 July 2020 and refers to the development of Manuals, guidelines and other instructions for the implementation of new legislation in this area.</w:t>
            </w:r>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00670559">
              <w:rPr>
                <w:rFonts w:ascii="Garamond" w:eastAsia="Times New Roman" w:hAnsi="Garamond"/>
                <w:sz w:val="12"/>
                <w:szCs w:val="12"/>
                <w:lang w:eastAsia="ja-JP" w:bidi="ar-SA"/>
              </w:rPr>
              <w:t>*3)</w:t>
            </w:r>
          </w:p>
          <w:p w:rsidR="00670559" w:rsidRDefault="00670559"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*4)</w:t>
            </w:r>
          </w:p>
          <w:p w:rsidR="00670559" w:rsidRPr="00786A01" w:rsidRDefault="00670559"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000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B.3.6 Awareness raising campaign</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Campaign launched and ended.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PPD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2017</w:t>
            </w:r>
          </w:p>
        </w:tc>
        <w:tc>
          <w:tcPr>
            <w:tcW w:w="993" w:type="dxa"/>
            <w:tcBorders>
              <w:top w:val="nil"/>
              <w:left w:val="nil"/>
              <w:bottom w:val="nil"/>
              <w:right w:val="nil"/>
            </w:tcBorders>
            <w:shd w:val="clear" w:color="auto" w:fill="auto"/>
            <w:noWrap/>
            <w:vAlign w:val="center"/>
            <w:hideMark/>
          </w:tcPr>
          <w:p w:rsidR="009A4CED" w:rsidRPr="00786A01" w:rsidRDefault="009A4CED" w:rsidP="000C0CF9">
            <w:pPr>
              <w:widowControl/>
              <w:autoSpaceDE/>
              <w:autoSpaceDN/>
              <w:jc w:val="center"/>
              <w:rPr>
                <w:rFonts w:ascii="Garamond" w:eastAsia="Times New Roman" w:hAnsi="Garamond" w:cs="Calibri"/>
                <w:sz w:val="12"/>
                <w:szCs w:val="12"/>
                <w:lang w:eastAsia="ja-JP" w:bidi="ar-SA"/>
              </w:rPr>
            </w:pPr>
            <w:r w:rsidRPr="00786A01">
              <w:rPr>
                <w:rFonts w:ascii="Garamond" w:eastAsia="Times New Roman" w:hAnsi="Garamond" w:cs="Calibri"/>
                <w:sz w:val="12"/>
                <w:szCs w:val="12"/>
                <w:lang w:eastAsia="ja-JP" w:bidi="ar-SA"/>
              </w:rPr>
              <w:t>Q4 2018</w:t>
            </w:r>
          </w:p>
        </w:tc>
        <w:tc>
          <w:tcPr>
            <w:tcW w:w="1301"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2019</w:t>
            </w:r>
          </w:p>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Q3/4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The activities are interconnected and interdependent, so for the implementation of this activity they had to wait for the bylaws, manuals to be fully completed, as well as for the electronic system to become operational. Also, due to the COVID pandemic, work and </w:t>
            </w:r>
            <w:proofErr w:type="gramStart"/>
            <w:r w:rsidRPr="00786A01">
              <w:rPr>
                <w:rFonts w:ascii="Garamond" w:eastAsia="Times New Roman" w:hAnsi="Garamond"/>
                <w:sz w:val="12"/>
                <w:szCs w:val="12"/>
                <w:lang w:eastAsia="ja-JP" w:bidi="ar-SA"/>
              </w:rPr>
              <w:t>implementation  of</w:t>
            </w:r>
            <w:proofErr w:type="gramEnd"/>
            <w:r w:rsidRPr="00786A01">
              <w:rPr>
                <w:rFonts w:ascii="Garamond" w:eastAsia="Times New Roman" w:hAnsi="Garamond"/>
                <w:sz w:val="12"/>
                <w:szCs w:val="12"/>
                <w:lang w:eastAsia="ja-JP" w:bidi="ar-SA"/>
              </w:rPr>
              <w:t xml:space="preserve"> all activities on the project, including this one, have been slowed down and complicated.</w:t>
            </w:r>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00670559">
              <w:rPr>
                <w:rFonts w:ascii="Garamond" w:eastAsia="Times New Roman" w:hAnsi="Garamond"/>
                <w:sz w:val="12"/>
                <w:szCs w:val="12"/>
                <w:lang w:eastAsia="ja-JP" w:bidi="ar-SA"/>
              </w:rP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B.3.7 e-Procurement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Software implemented.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PPD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2017</w:t>
            </w:r>
          </w:p>
        </w:tc>
        <w:tc>
          <w:tcPr>
            <w:tcW w:w="993"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cs="Calibri"/>
                <w:sz w:val="12"/>
                <w:szCs w:val="12"/>
                <w:lang w:eastAsia="ja-JP" w:bidi="ar-SA"/>
              </w:rPr>
            </w:pPr>
            <w:r w:rsidRPr="00786A01">
              <w:rPr>
                <w:rFonts w:ascii="Garamond" w:eastAsia="Times New Roman" w:hAnsi="Garamond" w:cs="Calibri"/>
                <w:sz w:val="12"/>
                <w:szCs w:val="12"/>
                <w:lang w:eastAsia="ja-JP" w:bidi="ar-SA"/>
              </w:rPr>
              <w:t>2020/2021</w:t>
            </w:r>
          </w:p>
        </w:tc>
        <w:tc>
          <w:tcPr>
            <w:tcW w:w="1301" w:type="dxa"/>
            <w:tcBorders>
              <w:top w:val="nil"/>
              <w:left w:val="single" w:sz="4" w:space="0" w:color="auto"/>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2020/2021</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1,650,000.00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C94A26">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Activities reali</w:t>
            </w:r>
            <w:r w:rsidR="00371F6C">
              <w:rPr>
                <w:rFonts w:ascii="Garamond" w:eastAsia="Times New Roman" w:hAnsi="Garamond"/>
                <w:sz w:val="12"/>
                <w:szCs w:val="12"/>
                <w:lang w:eastAsia="ja-JP" w:bidi="ar-SA"/>
              </w:rPr>
              <w:t>sed</w:t>
            </w:r>
            <w:r w:rsidRPr="00786A01">
              <w:rPr>
                <w:rFonts w:ascii="Garamond" w:eastAsia="Times New Roman" w:hAnsi="Garamond"/>
                <w:sz w:val="12"/>
                <w:szCs w:val="12"/>
                <w:lang w:eastAsia="ja-JP" w:bidi="ar-SA"/>
              </w:rPr>
              <w:t xml:space="preserve"> through the IPA project called</w:t>
            </w:r>
          </w:p>
          <w:p w:rsidR="009A4CED" w:rsidRPr="00786A01" w:rsidRDefault="009A4CED" w:rsidP="00C94A26">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‘Implementation of electronic</w:t>
            </w:r>
          </w:p>
          <w:p w:rsidR="009A4CED" w:rsidRPr="00786A01" w:rsidRDefault="009A4CED" w:rsidP="00C94A26">
            <w:pPr>
              <w:widowControl/>
              <w:autoSpaceDE/>
              <w:autoSpaceDN/>
              <w:jc w:val="center"/>
              <w:rPr>
                <w:rFonts w:ascii="Garamond" w:eastAsia="Times New Roman" w:hAnsi="Garamond"/>
                <w:sz w:val="12"/>
                <w:szCs w:val="12"/>
                <w:lang w:eastAsia="ja-JP" w:bidi="ar-SA"/>
              </w:rPr>
            </w:pPr>
            <w:proofErr w:type="gramStart"/>
            <w:r w:rsidRPr="00786A01">
              <w:rPr>
                <w:rFonts w:ascii="Garamond" w:eastAsia="Times New Roman" w:hAnsi="Garamond"/>
                <w:sz w:val="12"/>
                <w:szCs w:val="12"/>
                <w:lang w:eastAsia="ja-JP" w:bidi="ar-SA"/>
              </w:rPr>
              <w:t>public</w:t>
            </w:r>
            <w:proofErr w:type="gramEnd"/>
            <w:r w:rsidRPr="00786A01">
              <w:rPr>
                <w:rFonts w:ascii="Garamond" w:eastAsia="Times New Roman" w:hAnsi="Garamond"/>
                <w:sz w:val="12"/>
                <w:szCs w:val="12"/>
                <w:lang w:eastAsia="ja-JP" w:bidi="ar-SA"/>
              </w:rPr>
              <w:t xml:space="preserve"> procurement system in Montenegro ‘.</w:t>
            </w:r>
          </w:p>
          <w:p w:rsidR="009A4CED" w:rsidRPr="00786A01" w:rsidRDefault="009A4CED" w:rsidP="00C94A26">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project started in November 2018.</w:t>
            </w:r>
          </w:p>
          <w:p w:rsidR="009A4CED" w:rsidRPr="00786A01" w:rsidRDefault="009A4CED" w:rsidP="00C94A26">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In July 2020, the Pilot Phase started with several</w:t>
            </w:r>
          </w:p>
          <w:p w:rsidR="009A4CED" w:rsidRPr="00786A01" w:rsidRDefault="009A4CED" w:rsidP="00C94A26">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contracting authorities for testing purposes</w:t>
            </w:r>
          </w:p>
          <w:p w:rsidR="009A4CED" w:rsidRPr="00786A01" w:rsidRDefault="009A4CED" w:rsidP="00C94A26">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After the final design of the system, the public procurement portal will be replaced by the advanced IT system EPPS, with the expectation of January 2021. At the end of 2020, </w:t>
            </w:r>
          </w:p>
          <w:p w:rsidR="009A4CED" w:rsidRPr="00786A01" w:rsidRDefault="009A4CED" w:rsidP="00C94A26">
            <w:pPr>
              <w:widowControl/>
              <w:autoSpaceDE/>
              <w:autoSpaceDN/>
              <w:jc w:val="center"/>
              <w:rPr>
                <w:rFonts w:ascii="Garamond" w:eastAsia="Times New Roman" w:hAnsi="Garamond"/>
                <w:sz w:val="12"/>
                <w:szCs w:val="12"/>
                <w:lang w:eastAsia="ja-JP" w:bidi="ar-SA"/>
              </w:rPr>
            </w:pPr>
            <w:proofErr w:type="gramStart"/>
            <w:r w:rsidRPr="00786A01">
              <w:rPr>
                <w:rFonts w:ascii="Garamond" w:eastAsia="Times New Roman" w:hAnsi="Garamond"/>
                <w:sz w:val="12"/>
                <w:szCs w:val="12"/>
                <w:lang w:eastAsia="ja-JP" w:bidi="ar-SA"/>
              </w:rPr>
              <w:t>testing</w:t>
            </w:r>
            <w:proofErr w:type="gramEnd"/>
            <w:r w:rsidRPr="00786A01">
              <w:rPr>
                <w:rFonts w:ascii="Garamond" w:eastAsia="Times New Roman" w:hAnsi="Garamond"/>
                <w:sz w:val="12"/>
                <w:szCs w:val="12"/>
                <w:lang w:eastAsia="ja-JP" w:bidi="ar-SA"/>
              </w:rPr>
              <w:t xml:space="preserve"> of the electronic public procurement system was completed, as well as trained administrators from the Directorate. From January 1, 2021, full use of the e-system is expected.</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2B55CA">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1,775,000.00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2B55CA">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721.500,00</w:t>
            </w:r>
          </w:p>
        </w:tc>
        <w:tc>
          <w:tcPr>
            <w:tcW w:w="1007"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jc w:val="center"/>
              <w:rPr>
                <w:rFonts w:ascii="Garamond" w:eastAsia="Times New Roman" w:hAnsi="Garamond"/>
                <w:b/>
                <w:bCs/>
                <w:sz w:val="12"/>
                <w:szCs w:val="12"/>
                <w:lang w:eastAsia="ja-JP" w:bidi="ar-SA"/>
              </w:rPr>
            </w:pPr>
          </w:p>
        </w:tc>
      </w:tr>
      <w:tr w:rsidR="009A4CED" w:rsidRPr="00786A01" w:rsidTr="00C94A26">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C94A2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2. _ B) Budget execution</w:t>
            </w:r>
          </w:p>
        </w:tc>
      </w:tr>
      <w:tr w:rsidR="009A4CED" w:rsidRPr="00786A01" w:rsidTr="00C94A26">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9A4CED" w:rsidRPr="00786A01" w:rsidRDefault="009A4CED" w:rsidP="00C94A26">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1._ B.4. State Aid reform</w:t>
            </w:r>
          </w:p>
        </w:tc>
      </w:tr>
      <w:tr w:rsidR="009A4CED" w:rsidRPr="00786A01" w:rsidTr="009A4CED">
        <w:trPr>
          <w:trHeight w:val="1020"/>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20</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The number of state aid grantors and beneficiaries, private sector representatives and judges attending state aid seminars and training events</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50</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50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30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0</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60</w:t>
            </w:r>
          </w:p>
        </w:tc>
        <w:tc>
          <w:tcPr>
            <w:tcW w:w="993"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56</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100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2020. </w:t>
            </w:r>
            <w:r w:rsidRPr="00786A01">
              <w:rPr>
                <w:rFonts w:ascii="Garamond" w:eastAsia="Times New Roman" w:hAnsi="Garamond"/>
                <w:b/>
                <w:bCs/>
                <w:color w:val="376091"/>
                <w:sz w:val="12"/>
                <w:szCs w:val="12"/>
                <w:lang w:eastAsia="ja-JP" w:bidi="ar-SA"/>
              </w:rPr>
              <w:br/>
              <w:t>171</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165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21</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The share of staff of the State Aid Division and the Commission for State Aid Control undergoing training with a view of strengthening the legal framework, reducing the level of illegal state aid and conducting ex-post controls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30%</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(2017):30%</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33%</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50%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0%</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70%</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70%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80%</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75%</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433B53">
        <w:trPr>
          <w:trHeight w:val="1376"/>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22</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Number of ex-officio cases closed</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5</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3</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670559">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(2018):         </w:t>
            </w:r>
            <w:r w:rsidR="00670559">
              <w:rPr>
                <w:rFonts w:ascii="Garamond" w:eastAsia="Times New Roman" w:hAnsi="Garamond"/>
                <w:b/>
                <w:bCs/>
                <w:color w:val="376091"/>
                <w:sz w:val="12"/>
                <w:szCs w:val="12"/>
                <w:lang w:eastAsia="ja-JP" w:bidi="ar-SA"/>
              </w:rPr>
              <w:t>up to</w:t>
            </w:r>
            <w:r w:rsidRPr="00786A01">
              <w:rPr>
                <w:rFonts w:ascii="Garamond" w:eastAsia="Times New Roman" w:hAnsi="Garamond"/>
                <w:b/>
                <w:bCs/>
                <w:color w:val="376091"/>
                <w:sz w:val="12"/>
                <w:szCs w:val="12"/>
                <w:lang w:eastAsia="ja-JP" w:bidi="ar-SA"/>
              </w:rPr>
              <w:t xml:space="preserve"> 2</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2018: </w:t>
            </w:r>
            <w:r w:rsidRPr="00786A01">
              <w:rPr>
                <w:rFonts w:ascii="Garamond" w:eastAsia="Times New Roman" w:hAnsi="Garamond"/>
                <w:b/>
                <w:bCs/>
                <w:color w:val="376091"/>
                <w:sz w:val="12"/>
                <w:szCs w:val="12"/>
                <w:lang w:eastAsia="ja-JP" w:bidi="ar-SA"/>
              </w:rPr>
              <w:br/>
              <w:t>0</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670559">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(2019):        </w:t>
            </w:r>
            <w:r w:rsidR="00670559">
              <w:rPr>
                <w:rFonts w:ascii="Garamond" w:eastAsia="Times New Roman" w:hAnsi="Garamond"/>
                <w:b/>
                <w:bCs/>
                <w:color w:val="376091"/>
                <w:sz w:val="12"/>
                <w:szCs w:val="12"/>
                <w:lang w:eastAsia="ja-JP" w:bidi="ar-SA"/>
              </w:rPr>
              <w:t>up to</w:t>
            </w:r>
            <w:r w:rsidRPr="00786A01">
              <w:rPr>
                <w:rFonts w:ascii="Garamond" w:eastAsia="Times New Roman" w:hAnsi="Garamond"/>
                <w:b/>
                <w:bCs/>
                <w:color w:val="376091"/>
                <w:sz w:val="12"/>
                <w:szCs w:val="12"/>
                <w:lang w:eastAsia="ja-JP" w:bidi="ar-SA"/>
              </w:rPr>
              <w:t xml:space="preserve"> 2</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w:t>
            </w:r>
            <w:r w:rsidRPr="00786A01">
              <w:rPr>
                <w:rFonts w:ascii="Garamond" w:eastAsia="Times New Roman" w:hAnsi="Garamond"/>
                <w:b/>
                <w:bCs/>
                <w:color w:val="376091"/>
                <w:sz w:val="12"/>
                <w:szCs w:val="12"/>
                <w:lang w:eastAsia="ja-JP" w:bidi="ar-SA"/>
              </w:rPr>
              <w:br/>
              <w:t>0</w:t>
            </w:r>
            <w:r w:rsidRPr="00786A01">
              <w:rPr>
                <w:rFonts w:ascii="Garamond" w:eastAsia="Times New Roman" w:hAnsi="Garamond"/>
                <w:b/>
                <w:bCs/>
                <w:color w:val="376091"/>
                <w:sz w:val="12"/>
                <w:szCs w:val="12"/>
                <w:lang w:eastAsia="ja-JP" w:bidi="ar-SA"/>
              </w:rPr>
              <w:br/>
              <w:t>(2 ex-officio cases have been opened, we expect them to close in the next period)</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do 1</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2020. </w:t>
            </w:r>
            <w:r w:rsidRPr="00786A01">
              <w:rPr>
                <w:rFonts w:ascii="Garamond" w:eastAsia="Times New Roman" w:hAnsi="Garamond"/>
                <w:b/>
                <w:bCs/>
                <w:color w:val="376091"/>
                <w:sz w:val="12"/>
                <w:szCs w:val="12"/>
                <w:lang w:eastAsia="ja-JP" w:bidi="ar-SA"/>
              </w:rPr>
              <w:br/>
              <w:t>1</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10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23</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Number of documents reviewed and assessed by the State Aid Division</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11</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20</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14</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do 20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22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up to 23</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35</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25</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2020. </w:t>
            </w:r>
            <w:r w:rsidRPr="00786A01">
              <w:rPr>
                <w:rFonts w:ascii="Garamond" w:eastAsia="Times New Roman" w:hAnsi="Garamond"/>
                <w:b/>
                <w:bCs/>
                <w:color w:val="376091"/>
                <w:sz w:val="12"/>
                <w:szCs w:val="12"/>
                <w:lang w:eastAsia="ja-JP" w:bidi="ar-SA"/>
              </w:rPr>
              <w:br/>
              <w:t>41</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B4597E">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date  </w:t>
            </w:r>
            <w:r w:rsidRPr="00786A01">
              <w:rPr>
                <w:rFonts w:ascii="Garamond" w:eastAsia="Times New Roman" w:hAnsi="Garamond"/>
                <w:sz w:val="12"/>
                <w:szCs w:val="12"/>
                <w:lang w:eastAsia="ja-JP" w:bidi="ar-SA"/>
              </w:rPr>
              <w:br/>
              <w:t xml:space="preserve">of completion </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New deadline for implementation </w:t>
            </w:r>
          </w:p>
        </w:tc>
        <w:tc>
          <w:tcPr>
            <w:tcW w:w="1029"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B4597E">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433B53">
        <w:trPr>
          <w:trHeight w:val="60"/>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r w:rsidRPr="00786A01">
              <w:rPr>
                <w:rStyle w:val="FootnoteReference"/>
                <w:rFonts w:ascii="Garamond" w:eastAsia="Times New Roman" w:hAnsi="Garamond"/>
                <w:sz w:val="12"/>
                <w:szCs w:val="12"/>
                <w:lang w:eastAsia="ja-JP" w:bidi="ar-SA"/>
              </w:rPr>
              <w:footnoteReference w:id="51"/>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76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00433B53">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B.4.1 Upgrade and strengthening of the institutional framework and national legal system regarding the implementation of state aid rules and procedures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Organ. /managerial changes</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Organisational change implemented, special body (organisationally independent, part of the MoF or with another ministry)</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DP</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Q2 2018</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25,000.00</w:t>
            </w:r>
          </w:p>
        </w:tc>
        <w:tc>
          <w:tcPr>
            <w:tcW w:w="100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A4CED" w:rsidRPr="00786A01" w:rsidRDefault="009A4CED" w:rsidP="00B4597E">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activity was implemented, but it is necessary to continue this activity in order to strengthen the national legal system.</w:t>
            </w:r>
          </w:p>
        </w:tc>
      </w:tr>
      <w:tr w:rsidR="009A4CED" w:rsidRPr="00786A01" w:rsidTr="009A4CED">
        <w:trPr>
          <w:trHeight w:val="76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433B53"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*2</w:t>
            </w:r>
            <w:r w:rsidR="009A4CED" w:rsidRPr="00786A01">
              <w:rPr>
                <w:rFonts w:ascii="Garamond" w:eastAsia="Times New Roman" w:hAnsi="Garamond"/>
                <w:sz w:val="12"/>
                <w:szCs w:val="12"/>
                <w:lang w:eastAsia="ja-JP" w:bidi="ar-SA"/>
              </w:rPr>
              <w:t>)</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B.4.2 Support through the negotiation process and meeting the requirements of Chapter 8;</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Fulfillment of benchmarks</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DP</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r w:rsidRPr="00786A01">
              <w:rPr>
                <w:rFonts w:ascii="Garamond" w:eastAsia="Times New Roman" w:hAnsi="Garamond"/>
                <w:sz w:val="12"/>
                <w:szCs w:val="12"/>
                <w:lang w:eastAsia="ja-JP" w:bidi="ar-SA"/>
              </w:rPr>
              <w:br/>
              <w:t>(B.4.3)</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 implementation</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 implementation</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150,000.00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25,000.00</w:t>
            </w: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 /Continuous implementation</w:t>
            </w:r>
          </w:p>
        </w:tc>
      </w:tr>
      <w:tr w:rsidR="009A4CED" w:rsidRPr="00786A01" w:rsidTr="009A4CED">
        <w:trPr>
          <w:trHeight w:val="76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Default="00433B53"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*3</w:t>
            </w:r>
            <w:r w:rsidR="009A4CED" w:rsidRPr="00786A01">
              <w:rPr>
                <w:rFonts w:ascii="Garamond" w:eastAsia="Times New Roman" w:hAnsi="Garamond"/>
                <w:sz w:val="12"/>
                <w:szCs w:val="12"/>
                <w:lang w:eastAsia="ja-JP" w:bidi="ar-SA"/>
              </w:rPr>
              <w:t>)</w:t>
            </w:r>
          </w:p>
          <w:p w:rsidR="00433B53" w:rsidRDefault="00433B53"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*4)</w:t>
            </w:r>
          </w:p>
          <w:p w:rsidR="00433B53" w:rsidRPr="00786A01" w:rsidRDefault="00433B53"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B.4.3Monitor achievements by analysing state aid cases in the EC customary law</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Guidelines  </w:t>
            </w:r>
            <w:r w:rsidRPr="00786A01">
              <w:rPr>
                <w:rFonts w:ascii="Garamond" w:eastAsia="Times New Roman" w:hAnsi="Garamond"/>
                <w:sz w:val="12"/>
                <w:szCs w:val="12"/>
                <w:lang w:eastAsia="ja-JP" w:bidi="ar-SA"/>
              </w:rPr>
              <w:br/>
              <w:t xml:space="preserve">/ Manual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Analysis of 3-4 cases performed.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DP</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r w:rsidRPr="00786A01">
              <w:rPr>
                <w:rFonts w:ascii="Garamond" w:eastAsia="Times New Roman" w:hAnsi="Garamond"/>
                <w:sz w:val="12"/>
                <w:szCs w:val="12"/>
                <w:lang w:eastAsia="ja-JP" w:bidi="ar-SA"/>
              </w:rPr>
              <w:br/>
              <w:t>(B.4.2)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2017</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 implementation</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 implementation</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25,000.00</w:t>
            </w:r>
          </w:p>
        </w:tc>
        <w:tc>
          <w:tcPr>
            <w:tcW w:w="1007" w:type="dxa"/>
            <w:tcBorders>
              <w:top w:val="nil"/>
              <w:left w:val="single" w:sz="4" w:space="0" w:color="auto"/>
              <w:bottom w:val="single" w:sz="4" w:space="0" w:color="auto"/>
              <w:right w:val="single" w:sz="4" w:space="0" w:color="auto"/>
            </w:tcBorders>
            <w:shd w:val="clear" w:color="auto" w:fill="auto"/>
            <w:noWrap/>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 /Continuous implementation</w:t>
            </w:r>
          </w:p>
        </w:tc>
      </w:tr>
      <w:tr w:rsidR="009A4CED" w:rsidRPr="00786A01" w:rsidTr="009A4CED">
        <w:trPr>
          <w:trHeight w:val="10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B.4.4 Technical Support for theMontenegro State Aid’s IT Tool, development of a special register for de minimis state aid and the application for state aid grantors to be included in a single IT component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Software implemented.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DP</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2018</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B4597E">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Partially implemented. Continuous implementation</w:t>
            </w:r>
          </w:p>
        </w:tc>
      </w:tr>
      <w:tr w:rsidR="009A4CED"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B.4.5 Strengthen administrative capacities through training and experience sharing</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 xml:space="preserve">A number of employees have been trained.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DP</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 implementation</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 implementation</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25,000.00</w:t>
            </w:r>
          </w:p>
        </w:tc>
        <w:tc>
          <w:tcPr>
            <w:tcW w:w="1007" w:type="dxa"/>
            <w:tcBorders>
              <w:top w:val="single" w:sz="4" w:space="0" w:color="auto"/>
              <w:left w:val="nil"/>
              <w:bottom w:val="nil"/>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activity has been implemented, but it is necessary to continue with training through professional seminars and work exclusively with the mentoring of experts. Because of the extremely complex cases that carry a huge responsibility</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2B55CA">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700,000.00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2B55CA">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100,000.00</w:t>
            </w:r>
          </w:p>
        </w:tc>
        <w:tc>
          <w:tcPr>
            <w:tcW w:w="1007" w:type="dxa"/>
            <w:tcBorders>
              <w:top w:val="single" w:sz="4" w:space="0" w:color="auto"/>
              <w:left w:val="nil"/>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p>
        </w:tc>
      </w:tr>
      <w:tr w:rsidR="009A4CED" w:rsidRPr="00786A01" w:rsidTr="00433B53">
        <w:trPr>
          <w:trHeight w:val="161"/>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433B53">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2. _ B) Budget execution</w:t>
            </w:r>
          </w:p>
        </w:tc>
      </w:tr>
      <w:tr w:rsidR="009A4CED" w:rsidRPr="00786A01" w:rsidTr="003D77E5">
        <w:trPr>
          <w:trHeight w:val="233"/>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9A4CED" w:rsidRPr="00786A01" w:rsidRDefault="009A4CED" w:rsidP="003D77E5">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Operational objective 4.1.4._ B.5. Debt Management, Debt Analysis, Cash Management and Foreign Relations Department Reform</w:t>
            </w:r>
          </w:p>
        </w:tc>
      </w:tr>
      <w:tr w:rsidR="009A4CED" w:rsidRPr="00786A01" w:rsidTr="00433B53">
        <w:trPr>
          <w:trHeight w:val="521"/>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24</w:t>
            </w:r>
          </w:p>
        </w:tc>
        <w:tc>
          <w:tcPr>
            <w:tcW w:w="1152"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Public debt servicing costs as a share of GDP</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2.2 %</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2.5 %</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2</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3 %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1</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9 %</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2</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1%</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2</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0 %</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2019:2</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2%</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2</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3%</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2020. </w:t>
            </w:r>
            <w:r w:rsidRPr="00786A01">
              <w:rPr>
                <w:rFonts w:ascii="Garamond" w:eastAsia="Times New Roman" w:hAnsi="Garamond"/>
                <w:b/>
                <w:bCs/>
                <w:color w:val="376091"/>
                <w:sz w:val="12"/>
                <w:szCs w:val="12"/>
                <w:lang w:eastAsia="ja-JP" w:bidi="ar-SA"/>
              </w:rPr>
              <w:br/>
              <w:t>2</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64%</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433B53">
        <w:trPr>
          <w:trHeight w:val="881"/>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25</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Difference between planned and achieved level of public debt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1</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1</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w:t>
            </w:r>
            <w:r w:rsidRPr="00786A01">
              <w:rPr>
                <w:rFonts w:ascii="Garamond" w:eastAsia="Times New Roman" w:hAnsi="Garamond"/>
                <w:b/>
                <w:bCs/>
                <w:color w:val="376091"/>
                <w:sz w:val="12"/>
                <w:szCs w:val="12"/>
                <w:lang w:eastAsia="ja-JP" w:bidi="ar-SA"/>
              </w:rPr>
              <w:br/>
              <w:t xml:space="preserve">  Public debt is 3.2% lower than planned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1</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Public debt is 3.07% higher than planned</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1</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Reali</w:t>
            </w:r>
            <w:r w:rsidR="00371F6C">
              <w:rPr>
                <w:rFonts w:ascii="Garamond" w:eastAsia="Times New Roman" w:hAnsi="Garamond"/>
                <w:b/>
                <w:bCs/>
                <w:color w:val="376091"/>
                <w:sz w:val="12"/>
                <w:szCs w:val="12"/>
                <w:lang w:eastAsia="ja-JP" w:bidi="ar-SA"/>
              </w:rPr>
              <w:t>sed</w:t>
            </w:r>
            <w:r w:rsidRPr="00786A01">
              <w:rPr>
                <w:rFonts w:ascii="Garamond" w:eastAsia="Times New Roman" w:hAnsi="Garamond"/>
                <w:b/>
                <w:bCs/>
                <w:color w:val="376091"/>
                <w:sz w:val="12"/>
                <w:szCs w:val="12"/>
                <w:lang w:eastAsia="ja-JP" w:bidi="ar-SA"/>
              </w:rPr>
              <w:t xml:space="preserve"> difference in gross public debt 16.6%</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w:t>
            </w:r>
            <w:r w:rsidR="00433B53">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Reali</w:t>
            </w:r>
            <w:r w:rsidR="00371F6C">
              <w:rPr>
                <w:rFonts w:ascii="Garamond" w:eastAsia="Times New Roman" w:hAnsi="Garamond"/>
                <w:b/>
                <w:bCs/>
                <w:color w:val="376091"/>
                <w:sz w:val="12"/>
                <w:szCs w:val="12"/>
                <w:lang w:eastAsia="ja-JP" w:bidi="ar-SA"/>
              </w:rPr>
              <w:t>sed</w:t>
            </w:r>
            <w:r w:rsidRPr="00786A01">
              <w:rPr>
                <w:rFonts w:ascii="Garamond" w:eastAsia="Times New Roman" w:hAnsi="Garamond"/>
                <w:b/>
                <w:bCs/>
                <w:color w:val="376091"/>
                <w:sz w:val="12"/>
                <w:szCs w:val="12"/>
                <w:lang w:eastAsia="ja-JP" w:bidi="ar-SA"/>
              </w:rPr>
              <w:t xml:space="preserve"> difference in gross public debt 16%</w:t>
            </w:r>
            <w:r w:rsidRPr="00786A01">
              <w:rPr>
                <w:rStyle w:val="FootnoteReference"/>
                <w:rFonts w:ascii="Garamond" w:eastAsia="Times New Roman" w:hAnsi="Garamond"/>
                <w:b/>
                <w:bCs/>
                <w:color w:val="376091"/>
                <w:sz w:val="12"/>
                <w:szCs w:val="12"/>
                <w:lang w:eastAsia="ja-JP" w:bidi="ar-SA"/>
              </w:rPr>
              <w:footnoteReference w:id="52"/>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3D77E5">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date  </w:t>
            </w:r>
            <w:r w:rsidRPr="00786A01">
              <w:rPr>
                <w:rFonts w:ascii="Garamond" w:eastAsia="Times New Roman" w:hAnsi="Garamond"/>
                <w:sz w:val="12"/>
                <w:szCs w:val="12"/>
                <w:lang w:eastAsia="ja-JP" w:bidi="ar-SA"/>
              </w:rPr>
              <w:br/>
              <w:t xml:space="preserve">of completion </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New deadline for implementation </w:t>
            </w:r>
          </w:p>
        </w:tc>
        <w:tc>
          <w:tcPr>
            <w:tcW w:w="102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3D77E5">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433B53">
        <w:trPr>
          <w:trHeight w:val="60"/>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nil"/>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10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B.5.2 Training of staff at the Debt Management Department regarding different financial operations, awareness and training for different financial derivatives, debt preparation and analysis, better debt management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 and available.</w:t>
            </w:r>
            <w:r w:rsidRPr="00786A01">
              <w:rPr>
                <w:rFonts w:ascii="Garamond" w:eastAsia="Times New Roman" w:hAnsi="Garamond"/>
                <w:sz w:val="12"/>
                <w:szCs w:val="12"/>
                <w:lang w:eastAsia="ja-JP" w:bidi="ar-SA"/>
              </w:rPr>
              <w:br/>
              <w:t xml:space="preserve">A number of employees have been trained.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IMoF</w:t>
            </w:r>
            <w:r w:rsidRPr="00786A01">
              <w:rPr>
                <w:rFonts w:ascii="Garamond" w:eastAsia="Times New Roman" w:hAnsi="Garamond"/>
                <w:sz w:val="12"/>
                <w:szCs w:val="12"/>
                <w:lang w:eastAsia="ja-JP" w:bidi="ar-SA"/>
              </w:rPr>
              <w:br/>
              <w:t>SIGMA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Treasury</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2016</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2018</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Implemented /Continuous implementation</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50,000.00</w:t>
            </w:r>
          </w:p>
        </w:tc>
        <w:tc>
          <w:tcPr>
            <w:tcW w:w="901" w:type="dxa"/>
            <w:tcBorders>
              <w:top w:val="nil"/>
              <w:left w:val="nil"/>
              <w:bottom w:val="single" w:sz="4" w:space="0" w:color="auto"/>
              <w:right w:val="nil"/>
            </w:tcBorders>
            <w:shd w:val="clear" w:color="auto" w:fill="auto"/>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Donation</w:t>
            </w:r>
            <w:r w:rsidRPr="00786A01">
              <w:rPr>
                <w:rStyle w:val="FootnoteReference"/>
                <w:rFonts w:ascii="Garamond" w:eastAsia="Times New Roman" w:hAnsi="Garamond"/>
                <w:sz w:val="12"/>
                <w:szCs w:val="12"/>
                <w:lang w:eastAsia="ja-JP" w:bidi="ar-SA"/>
              </w:rPr>
              <w:footnoteReference w:id="53"/>
            </w:r>
          </w:p>
        </w:tc>
        <w:tc>
          <w:tcPr>
            <w:tcW w:w="10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Conduct training of new employees continuously and based on the level of their training.</w:t>
            </w:r>
            <w:hyperlink r:id="rId22" w:anchor="RANGE!D64" w:history="1"/>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00433B53">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B.5.4 Upgrade of the software tool for public debt and cash management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Upgrading implemented software.</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Treasury</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2016</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500,000.00</w:t>
            </w:r>
          </w:p>
        </w:tc>
        <w:tc>
          <w:tcPr>
            <w:tcW w:w="901" w:type="dxa"/>
            <w:tcBorders>
              <w:top w:val="nil"/>
              <w:left w:val="nil"/>
              <w:bottom w:val="single" w:sz="4" w:space="0" w:color="auto"/>
              <w:right w:val="nil"/>
            </w:tcBorders>
            <w:shd w:val="clear" w:color="auto" w:fill="auto"/>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0.000</w:t>
            </w:r>
          </w:p>
        </w:tc>
        <w:tc>
          <w:tcPr>
            <w:tcW w:w="1007" w:type="dxa"/>
            <w:tcBorders>
              <w:top w:val="nil"/>
              <w:left w:val="single" w:sz="4" w:space="0" w:color="auto"/>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Improve reporting within the software solution, and in accordance with the needs of debt management.</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938"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301"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2B55CA">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780,000.00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0</w:t>
            </w:r>
          </w:p>
        </w:tc>
        <w:tc>
          <w:tcPr>
            <w:tcW w:w="1007"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2B55CA">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2B55CA">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Strategic objective 1._ A) Sustainable fiscal framework, public expenditure  planning and budgeting </w:t>
            </w:r>
          </w:p>
        </w:tc>
      </w:tr>
      <w:tr w:rsidR="009A4CED" w:rsidRPr="00786A01" w:rsidTr="002B55CA">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2B55CA">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OPERATIONAL OBJECTIVE 4. 1._ B.6. PUBLIC SECTOR PAYROLL SYSTEM REFORM</w:t>
            </w:r>
          </w:p>
        </w:tc>
      </w:tr>
      <w:tr w:rsidR="009A4CED" w:rsidRPr="00786A01" w:rsidTr="009A4CED">
        <w:trPr>
          <w:trHeight w:val="305"/>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date  </w:t>
            </w:r>
            <w:r w:rsidRPr="00786A01">
              <w:rPr>
                <w:rFonts w:ascii="Garamond" w:eastAsia="Times New Roman" w:hAnsi="Garamond"/>
                <w:sz w:val="12"/>
                <w:szCs w:val="12"/>
                <w:lang w:eastAsia="ja-JP" w:bidi="ar-SA"/>
              </w:rPr>
              <w:br/>
              <w:t xml:space="preserve">of completion </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New deadline for implementation </w:t>
            </w:r>
          </w:p>
        </w:tc>
        <w:tc>
          <w:tcPr>
            <w:tcW w:w="1029"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2B55CA">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A12992">
        <w:trPr>
          <w:trHeight w:val="60"/>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B.6.2 Implementation of new software for calculation and control of salaries in the public sector</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Software implemented.</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BD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r w:rsidRPr="00786A01">
              <w:rPr>
                <w:rFonts w:ascii="Garamond" w:eastAsia="Times New Roman" w:hAnsi="Garamond"/>
                <w:sz w:val="12"/>
                <w:szCs w:val="12"/>
                <w:lang w:eastAsia="ja-JP" w:bidi="ar-SA"/>
              </w:rPr>
              <w:br/>
              <w:t>(B.6.1)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2016</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600,000.00</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During 2021, activities will continue on the delivery of trainings for key users, future administrators, as well as end users of the system. It is possible to extend the duration of the contract in order to prevent the negative consequences and the impact of the coronavirus on the implementation of projects.</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2B55CA">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600,000.00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2B55CA">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304.697,72 </w:t>
            </w:r>
          </w:p>
        </w:tc>
        <w:tc>
          <w:tcPr>
            <w:tcW w:w="1007" w:type="dxa"/>
            <w:tcBorders>
              <w:top w:val="nil"/>
              <w:left w:val="single" w:sz="4" w:space="0" w:color="auto"/>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p>
        </w:tc>
      </w:tr>
      <w:tr w:rsidR="009A4CED" w:rsidRPr="00786A01" w:rsidTr="00A12992">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2B55CA">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Strategic objective 3_C) Development of public internal financial control  (PIFC)</w:t>
            </w:r>
          </w:p>
        </w:tc>
      </w:tr>
      <w:tr w:rsidR="009A4CED" w:rsidRPr="00786A01" w:rsidTr="009A4CED">
        <w:trPr>
          <w:trHeight w:val="255"/>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152" w:type="dxa"/>
            <w:tcBorders>
              <w:top w:val="single" w:sz="4" w:space="0" w:color="auto"/>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p>
        </w:tc>
        <w:tc>
          <w:tcPr>
            <w:tcW w:w="983"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7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84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6"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38" w:type="dxa"/>
            <w:tcBorders>
              <w:top w:val="single" w:sz="4" w:space="0" w:color="auto"/>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93"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301" w:type="dxa"/>
            <w:tcBorders>
              <w:top w:val="single" w:sz="4" w:space="0" w:color="auto"/>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A12992">
        <w:trPr>
          <w:trHeight w:val="1178"/>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26</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The percentage of ministries that formally delegated decision-making responsibilities and authorities to the line managers to improve managerial accountability </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6</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25%    </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2015: 6</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3%</w:t>
            </w:r>
            <w:r w:rsidRPr="00786A01">
              <w:rPr>
                <w:rFonts w:ascii="Garamond" w:eastAsia="Times New Roman" w:hAnsi="Garamond"/>
                <w:b/>
                <w:bCs/>
                <w:color w:val="376091"/>
                <w:sz w:val="12"/>
                <w:szCs w:val="12"/>
                <w:lang w:eastAsia="ja-JP" w:bidi="ar-SA"/>
              </w:rPr>
              <w:br/>
              <w:t>2016: 6</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3%   (Report: 2016: 22</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22%)</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30%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2017:   </w:t>
            </w:r>
            <w:r w:rsidRPr="00786A01">
              <w:rPr>
                <w:rFonts w:ascii="Garamond" w:eastAsia="Times New Roman" w:hAnsi="Garamond"/>
                <w:b/>
                <w:bCs/>
                <w:color w:val="376091"/>
                <w:sz w:val="12"/>
                <w:szCs w:val="12"/>
                <w:lang w:eastAsia="ja-JP" w:bidi="ar-SA"/>
              </w:rPr>
              <w:br/>
              <w:t xml:space="preserve">  11.11%</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16%</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18%</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50%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12%</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90%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8</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3%</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10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27</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Percentage of the budget users on central and local level submitting annual FMC reports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69%</w:t>
            </w:r>
            <w:r w:rsidRPr="00786A01">
              <w:rPr>
                <w:rFonts w:ascii="Garamond" w:eastAsia="Times New Roman" w:hAnsi="Garamond"/>
                <w:b/>
                <w:bCs/>
                <w:color w:val="376091"/>
                <w:sz w:val="12"/>
                <w:szCs w:val="12"/>
                <w:lang w:eastAsia="ja-JP" w:bidi="ar-SA"/>
              </w:rPr>
              <w:br/>
              <w:t>2015: 76%</w:t>
            </w:r>
            <w:r w:rsidRPr="00786A01">
              <w:rPr>
                <w:rFonts w:ascii="Garamond" w:eastAsia="Times New Roman" w:hAnsi="Garamond"/>
                <w:b/>
                <w:bCs/>
                <w:color w:val="376091"/>
                <w:sz w:val="12"/>
                <w:szCs w:val="12"/>
                <w:lang w:eastAsia="ja-JP" w:bidi="ar-SA"/>
              </w:rPr>
              <w:br/>
              <w:t xml:space="preserve">2016: 76%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75%</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80%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80%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90%</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90%</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94%</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(2020): 95% </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 xml:space="preserve">93%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102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28</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Percentage of appointed  internal auditors per unit</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1</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76</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2</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2</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2.3</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2.21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2.5</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2019:  2.1 </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2</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7</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 xml:space="preserve">2.1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A12992">
        <w:trPr>
          <w:trHeight w:val="863"/>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29</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Percentage of appointed certified internal auditors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60%</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75%</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90</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90%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80%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94.05%</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85%</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2019:  100.00% </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(2020):90%  </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 xml:space="preserve">93.1%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A12992">
        <w:trPr>
          <w:trHeight w:val="791"/>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30</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Percentage of appointed certified internal auditors who undergo CPD</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0%</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70%</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74%</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75%</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83.64%</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80%</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81</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36% </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(2020): 90% </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80%</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127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31</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Percentage of implemented and partially implemented recommendations given by internal auditors in the previous year that were implemented by the end of the current year</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48%</w:t>
            </w:r>
            <w:r w:rsidRPr="00786A01">
              <w:rPr>
                <w:rFonts w:ascii="Garamond" w:eastAsia="Times New Roman" w:hAnsi="Garamond"/>
                <w:b/>
                <w:bCs/>
                <w:color w:val="376091"/>
                <w:sz w:val="12"/>
                <w:szCs w:val="12"/>
                <w:lang w:eastAsia="ja-JP" w:bidi="ar-SA"/>
              </w:rPr>
              <w:br/>
              <w:t>(2016): 74</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2%</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55%</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SActual value in 2017:    73</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(2018):  </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60%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79</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16% </w:t>
            </w:r>
            <w:r w:rsidRPr="00786A01">
              <w:rPr>
                <w:rStyle w:val="FootnoteReference"/>
                <w:rFonts w:ascii="Garamond" w:eastAsia="Times New Roman" w:hAnsi="Garamond"/>
                <w:b/>
                <w:bCs/>
                <w:color w:val="376091"/>
                <w:sz w:val="12"/>
                <w:szCs w:val="12"/>
                <w:lang w:eastAsia="ja-JP" w:bidi="ar-SA"/>
              </w:rPr>
              <w:footnoteReference w:id="54"/>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(2019):  </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65%</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84</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46% </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(2020): 70%  </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79</w:t>
            </w:r>
            <w:r w:rsidR="00A12992">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4%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98"/>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2B55CA">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 </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date  </w:t>
            </w:r>
            <w:r w:rsidRPr="00786A01">
              <w:rPr>
                <w:rFonts w:ascii="Garamond" w:eastAsia="Times New Roman" w:hAnsi="Garamond"/>
                <w:sz w:val="12"/>
                <w:szCs w:val="12"/>
                <w:lang w:eastAsia="ja-JP" w:bidi="ar-SA"/>
              </w:rPr>
              <w:br/>
              <w:t xml:space="preserve">of completion </w:t>
            </w:r>
          </w:p>
        </w:tc>
        <w:tc>
          <w:tcPr>
            <w:tcW w:w="130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New deadline for implementation </w:t>
            </w:r>
          </w:p>
        </w:tc>
        <w:tc>
          <w:tcPr>
            <w:tcW w:w="102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2B55CA">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A12992">
        <w:trPr>
          <w:trHeight w:val="188"/>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A12992"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*2</w:t>
            </w:r>
            <w:r w:rsidR="009A4CED" w:rsidRPr="00786A01">
              <w:rPr>
                <w:rFonts w:ascii="Garamond" w:eastAsia="Times New Roman" w:hAnsi="Garamond"/>
                <w:sz w:val="12"/>
                <w:szCs w:val="12"/>
                <w:lang w:eastAsia="ja-JP" w:bidi="ar-SA"/>
              </w:rPr>
              <w:t>)</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80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C.1.4 Conduct training for managers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 xml:space="preserve">Number of trained.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A12992">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CHU</w:t>
            </w:r>
            <w:r w:rsidRPr="00786A01">
              <w:rPr>
                <w:rFonts w:ascii="Garamond" w:eastAsia="Times New Roman" w:hAnsi="Garamond"/>
                <w:sz w:val="12"/>
                <w:szCs w:val="12"/>
                <w:lang w:eastAsia="ja-JP" w:bidi="ar-SA"/>
              </w:rPr>
              <w:br/>
            </w:r>
            <w:r w:rsidR="00A12992">
              <w:rPr>
                <w:rFonts w:ascii="Garamond" w:eastAsia="Times New Roman" w:hAnsi="Garamond"/>
                <w:sz w:val="12"/>
                <w:szCs w:val="12"/>
                <w:lang w:eastAsia="ja-JP" w:bidi="ar-SA"/>
              </w:rPr>
              <w:t>HRA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r w:rsidRPr="00786A01">
              <w:rPr>
                <w:rFonts w:ascii="Garamond" w:eastAsia="Times New Roman" w:hAnsi="Garamond"/>
                <w:sz w:val="12"/>
                <w:szCs w:val="12"/>
                <w:lang w:eastAsia="ja-JP" w:bidi="ar-SA"/>
              </w:rPr>
              <w:br/>
              <w:t>(C.1.6)</w:t>
            </w:r>
            <w:r w:rsidRPr="00786A01">
              <w:rPr>
                <w:rFonts w:ascii="Garamond" w:eastAsia="Times New Roman" w:hAnsi="Garamond"/>
                <w:sz w:val="12"/>
                <w:szCs w:val="12"/>
                <w:lang w:eastAsia="ja-JP" w:bidi="ar-SA"/>
              </w:rPr>
              <w:br/>
              <w:t>(C.1.7)</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2017</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12.000,00</w:t>
            </w:r>
            <w:r w:rsidRPr="00786A01">
              <w:rPr>
                <w:rStyle w:val="FootnoteReference"/>
                <w:rFonts w:ascii="Garamond" w:eastAsia="Times New Roman" w:hAnsi="Garamond"/>
                <w:sz w:val="12"/>
                <w:szCs w:val="12"/>
                <w:lang w:eastAsia="ja-JP" w:bidi="ar-SA"/>
              </w:rPr>
              <w:footnoteReference w:id="55"/>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Ministry of Finance and Social Welfare will continue to hold trainings for managers in the coming period.</w:t>
            </w:r>
          </w:p>
        </w:tc>
      </w:tr>
      <w:tr w:rsidR="009A4CED"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Default="00A12992"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*3</w:t>
            </w:r>
            <w:r w:rsidR="009A4CED" w:rsidRPr="00786A01">
              <w:rPr>
                <w:rFonts w:ascii="Garamond" w:eastAsia="Times New Roman" w:hAnsi="Garamond"/>
                <w:sz w:val="12"/>
                <w:szCs w:val="12"/>
                <w:lang w:eastAsia="ja-JP" w:bidi="ar-SA"/>
              </w:rPr>
              <w:t>)</w:t>
            </w:r>
          </w:p>
          <w:p w:rsidR="00A12992" w:rsidRDefault="00A12992"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4*)</w:t>
            </w:r>
          </w:p>
          <w:p w:rsidR="00A12992" w:rsidRPr="00786A01" w:rsidRDefault="00A12992" w:rsidP="00F51074">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80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C.1.5 Training for newly appointed internal auditors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 xml:space="preserve">Number of trained.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A12992">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CHU</w:t>
            </w:r>
            <w:r w:rsidRPr="00786A01">
              <w:rPr>
                <w:rFonts w:ascii="Garamond" w:eastAsia="Times New Roman" w:hAnsi="Garamond"/>
                <w:sz w:val="12"/>
                <w:szCs w:val="12"/>
                <w:lang w:eastAsia="ja-JP" w:bidi="ar-SA"/>
              </w:rPr>
              <w:br/>
            </w:r>
            <w:r w:rsidR="00A12992">
              <w:rPr>
                <w:rFonts w:ascii="Garamond" w:eastAsia="Times New Roman" w:hAnsi="Garamond"/>
                <w:sz w:val="12"/>
                <w:szCs w:val="12"/>
                <w:lang w:eastAsia="ja-JP" w:bidi="ar-SA"/>
              </w:rPr>
              <w:t>HRA</w:t>
            </w:r>
            <w:r w:rsidRPr="00786A01">
              <w:rPr>
                <w:rFonts w:ascii="Garamond" w:eastAsia="Times New Roman" w:hAnsi="Garamond"/>
                <w:sz w:val="12"/>
                <w:szCs w:val="12"/>
                <w:lang w:eastAsia="ja-JP" w:bidi="ar-SA"/>
              </w:rPr>
              <w:br/>
              <w:t>Ger. Gvnmt.</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r w:rsidRPr="00786A01">
              <w:rPr>
                <w:rFonts w:ascii="Garamond" w:eastAsia="Times New Roman" w:hAnsi="Garamond"/>
                <w:sz w:val="12"/>
                <w:szCs w:val="12"/>
                <w:lang w:eastAsia="ja-JP" w:bidi="ar-SA"/>
              </w:rPr>
              <w:br/>
              <w:t>(C.1.5)</w:t>
            </w:r>
            <w:r w:rsidRPr="00786A01">
              <w:rPr>
                <w:rFonts w:ascii="Garamond" w:eastAsia="Times New Roman" w:hAnsi="Garamond"/>
                <w:sz w:val="12"/>
                <w:szCs w:val="12"/>
                <w:lang w:eastAsia="ja-JP" w:bidi="ar-SA"/>
              </w:rPr>
              <w:br/>
              <w:t>(C.1.7)</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2017</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10.000,00</w:t>
            </w:r>
            <w:r w:rsidRPr="00786A01">
              <w:rPr>
                <w:rStyle w:val="FootnoteReference"/>
                <w:rFonts w:ascii="Garamond" w:eastAsia="Times New Roman" w:hAnsi="Garamond"/>
                <w:sz w:val="12"/>
                <w:szCs w:val="12"/>
                <w:lang w:eastAsia="ja-JP" w:bidi="ar-SA"/>
              </w:rPr>
              <w:footnoteReference w:id="56"/>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Ministry of Finance and Social Welfare will local</w:t>
            </w:r>
            <w:r w:rsidR="00A113DA">
              <w:rPr>
                <w:rFonts w:ascii="Garamond" w:eastAsia="Times New Roman" w:hAnsi="Garamond"/>
                <w:sz w:val="12"/>
                <w:szCs w:val="12"/>
                <w:lang w:eastAsia="ja-JP" w:bidi="ar-SA"/>
              </w:rPr>
              <w:t>ise</w:t>
            </w:r>
            <w:r w:rsidRPr="00786A01">
              <w:rPr>
                <w:rFonts w:ascii="Garamond" w:eastAsia="Times New Roman" w:hAnsi="Garamond"/>
                <w:sz w:val="12"/>
                <w:szCs w:val="12"/>
                <w:lang w:eastAsia="ja-JP" w:bidi="ar-SA"/>
              </w:rPr>
              <w:t xml:space="preserve"> the Training Program in the next period, which will be implemented in cooperation with the Human Resources Administration.</w:t>
            </w:r>
          </w:p>
        </w:tc>
      </w:tr>
      <w:tr w:rsidR="009A4CED"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*16)</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80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C.1.6 Organise and deliver CPD training for certified public internal auditors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w:t>
            </w:r>
            <w:r w:rsidRPr="00786A01">
              <w:rPr>
                <w:rFonts w:ascii="Garamond" w:eastAsia="Times New Roman" w:hAnsi="Garamond"/>
                <w:sz w:val="12"/>
                <w:szCs w:val="12"/>
                <w:lang w:eastAsia="ja-JP" w:bidi="ar-SA"/>
              </w:rPr>
              <w:br/>
              <w:t xml:space="preserve">Number of trained.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CHU</w:t>
            </w:r>
            <w:r w:rsidRPr="00786A01">
              <w:rPr>
                <w:rFonts w:ascii="Garamond" w:eastAsia="Times New Roman" w:hAnsi="Garamond"/>
                <w:sz w:val="12"/>
                <w:szCs w:val="12"/>
                <w:lang w:eastAsia="ja-JP" w:bidi="ar-SA"/>
              </w:rPr>
              <w:br/>
              <w:t>UZK</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r w:rsidRPr="00786A01">
              <w:rPr>
                <w:rFonts w:ascii="Garamond" w:eastAsia="Times New Roman" w:hAnsi="Garamond"/>
                <w:sz w:val="12"/>
                <w:szCs w:val="12"/>
                <w:lang w:eastAsia="ja-JP" w:bidi="ar-SA"/>
              </w:rPr>
              <w:br/>
              <w:t>(C.1.5)</w:t>
            </w:r>
            <w:r w:rsidRPr="00786A01">
              <w:rPr>
                <w:rFonts w:ascii="Garamond" w:eastAsia="Times New Roman" w:hAnsi="Garamond"/>
                <w:sz w:val="12"/>
                <w:szCs w:val="12"/>
                <w:lang w:eastAsia="ja-JP" w:bidi="ar-SA"/>
              </w:rPr>
              <w:br/>
              <w:t>(C.1.6)</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2017</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Continuous</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B55CA">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B55CA">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17.500,00</w:t>
            </w:r>
            <w:r w:rsidRPr="00786A01">
              <w:rPr>
                <w:rStyle w:val="FootnoteReference"/>
                <w:rFonts w:ascii="Garamond" w:eastAsia="Times New Roman" w:hAnsi="Garamond"/>
                <w:sz w:val="12"/>
                <w:szCs w:val="12"/>
                <w:lang w:eastAsia="ja-JP" w:bidi="ar-SA"/>
              </w:rPr>
              <w:footnoteReference w:id="57"/>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Ministry of Finance and Social Welfare will continue to hold trainings to improve the expertise of internal audit in the coming period.</w:t>
            </w:r>
          </w:p>
        </w:tc>
      </w:tr>
      <w:tr w:rsidR="009A4CED"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0080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C.1.8 Strengthen the CHU capacities for assessing the FMC and IA quality</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Guidelines  </w:t>
            </w:r>
            <w:r w:rsidRPr="00786A01">
              <w:rPr>
                <w:rFonts w:ascii="Garamond" w:eastAsia="Times New Roman" w:hAnsi="Garamond"/>
                <w:sz w:val="12"/>
                <w:szCs w:val="12"/>
                <w:lang w:eastAsia="ja-JP" w:bidi="ar-SA"/>
              </w:rPr>
              <w:br/>
              <w:t xml:space="preserve">/ Manual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Guidelines prepared.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IPA II</w:t>
            </w:r>
            <w:r w:rsidRPr="00786A01">
              <w:rPr>
                <w:rFonts w:ascii="Garamond" w:eastAsia="Times New Roman" w:hAnsi="Garamond"/>
                <w:sz w:val="12"/>
                <w:szCs w:val="12"/>
                <w:lang w:eastAsia="ja-JP" w:bidi="ar-SA"/>
              </w:rPr>
              <w:br/>
              <w:t>SIGMA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CHU</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r w:rsidRPr="00786A01">
              <w:rPr>
                <w:rFonts w:ascii="Garamond" w:eastAsia="Times New Roman" w:hAnsi="Garamond"/>
                <w:sz w:val="12"/>
                <w:szCs w:val="12"/>
                <w:lang w:eastAsia="ja-JP" w:bidi="ar-SA"/>
              </w:rPr>
              <w:br/>
              <w:t>(C.1.1)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Q2 2016</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2020 Implemented – continuous </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25,000.00</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implementation of the IPA project ‘Improvement of the budget system, multi-annual budget planning and the system of public financial internal control’ has begun, within which assistance will be provided for the implementation of this activity.</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88398D">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175,000.00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88398D">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39.500,00</w:t>
            </w:r>
          </w:p>
        </w:tc>
        <w:tc>
          <w:tcPr>
            <w:tcW w:w="1007"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jc w:val="center"/>
              <w:rPr>
                <w:rFonts w:ascii="Garamond" w:eastAsia="Times New Roman" w:hAnsi="Garamond"/>
                <w:b/>
                <w:bCs/>
                <w:sz w:val="12"/>
                <w:szCs w:val="12"/>
                <w:lang w:eastAsia="ja-JP" w:bidi="ar-SA"/>
              </w:rPr>
            </w:pPr>
          </w:p>
        </w:tc>
      </w:tr>
      <w:tr w:rsidR="009A4CED" w:rsidRPr="00786A01" w:rsidTr="00F77F14">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F77F1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4._D) Financial reporting and accounting</w:t>
            </w:r>
          </w:p>
        </w:tc>
      </w:tr>
      <w:tr w:rsidR="009A4CED" w:rsidRPr="00786A01" w:rsidTr="00F77F14">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9A4CED" w:rsidRPr="00786A01" w:rsidRDefault="009A4CED" w:rsidP="00F77F14">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4.3. _D.1. Transition from the cash-based to the accrual accounting and financial reporting</w:t>
            </w:r>
          </w:p>
        </w:tc>
      </w:tr>
      <w:tr w:rsidR="009A4CED" w:rsidRPr="00786A01" w:rsidTr="00586C7D">
        <w:trPr>
          <w:trHeight w:val="1268"/>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32</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Public sector accountants trained for accrual accounting (based on the CIPFA methodology)</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0</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40</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586C7D" w:rsidP="00F51074">
            <w:pPr>
              <w:widowControl/>
              <w:autoSpaceDE/>
              <w:autoSpaceDN/>
              <w:spacing w:after="240"/>
              <w:jc w:val="center"/>
              <w:rPr>
                <w:rFonts w:ascii="Garamond" w:eastAsia="Times New Roman" w:hAnsi="Garamond"/>
                <w:b/>
                <w:bCs/>
                <w:color w:val="376091"/>
                <w:sz w:val="12"/>
                <w:szCs w:val="12"/>
                <w:lang w:eastAsia="ja-JP" w:bidi="ar-SA"/>
              </w:rPr>
            </w:pPr>
            <w:r>
              <w:rPr>
                <w:rFonts w:ascii="Garamond" w:eastAsia="Times New Roman" w:hAnsi="Garamond"/>
                <w:b/>
                <w:bCs/>
                <w:color w:val="376091"/>
                <w:sz w:val="12"/>
                <w:szCs w:val="12"/>
                <w:lang w:eastAsia="ja-JP" w:bidi="ar-SA"/>
              </w:rPr>
              <w:t xml:space="preserve">Actual value in 2017:   40 </w:t>
            </w:r>
            <w:r>
              <w:rPr>
                <w:rFonts w:ascii="Garamond" w:eastAsia="Times New Roman" w:hAnsi="Garamond"/>
                <w:b/>
                <w:bCs/>
                <w:color w:val="376091"/>
                <w:sz w:val="12"/>
                <w:szCs w:val="12"/>
                <w:lang w:eastAsia="ja-JP" w:bidi="ar-SA"/>
              </w:rPr>
              <w:br/>
              <w:t>in</w:t>
            </w:r>
            <w:r w:rsidR="009A4CED" w:rsidRPr="00786A01">
              <w:rPr>
                <w:rFonts w:ascii="Garamond" w:eastAsia="Times New Roman" w:hAnsi="Garamond"/>
                <w:b/>
                <w:bCs/>
                <w:color w:val="376091"/>
                <w:sz w:val="12"/>
                <w:szCs w:val="12"/>
                <w:lang w:eastAsia="ja-JP" w:bidi="ar-SA"/>
              </w:rPr>
              <w:t xml:space="preserve"> 2016</w:t>
            </w:r>
            <w:r w:rsidR="009A4CED" w:rsidRPr="00786A01">
              <w:rPr>
                <w:rFonts w:ascii="Garamond" w:eastAsia="Times New Roman" w:hAnsi="Garamond"/>
                <w:b/>
                <w:bCs/>
                <w:color w:val="376091"/>
                <w:sz w:val="12"/>
                <w:szCs w:val="12"/>
                <w:lang w:eastAsia="ja-JP" w:bidi="ar-SA"/>
              </w:rPr>
              <w:br/>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40</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80</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20</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2019:  40 </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100</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120</w:t>
            </w:r>
          </w:p>
        </w:tc>
        <w:tc>
          <w:tcPr>
            <w:tcW w:w="901"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586C7D">
        <w:trPr>
          <w:trHeight w:val="134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33</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Property register and double entry book-keeping system for the property implemented</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Development of the property register has begun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(2017): Entered property data in the register</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2017:   0</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w:t>
            </w:r>
            <w:r w:rsidRPr="00786A01">
              <w:rPr>
                <w:rFonts w:ascii="Garamond" w:eastAsia="Times New Roman" w:hAnsi="Garamond"/>
                <w:b/>
                <w:bCs/>
                <w:color w:val="376091"/>
                <w:sz w:val="12"/>
                <w:szCs w:val="12"/>
                <w:lang w:eastAsia="ja-JP" w:bidi="ar-SA"/>
              </w:rPr>
              <w:br/>
              <w:t>(direct and indirect Budget users) and collection of information on the condition of property</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0</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w:t>
            </w:r>
            <w:r w:rsidRPr="00786A01">
              <w:rPr>
                <w:rFonts w:ascii="Garamond" w:eastAsia="Times New Roman" w:hAnsi="Garamond"/>
                <w:b/>
                <w:bCs/>
                <w:color w:val="376091"/>
                <w:sz w:val="12"/>
                <w:szCs w:val="12"/>
                <w:lang w:eastAsia="ja-JP" w:bidi="ar-SA"/>
              </w:rPr>
              <w:br/>
              <w:t>Training</w:t>
            </w:r>
            <w:r w:rsidRPr="00786A01">
              <w:rPr>
                <w:rFonts w:ascii="Garamond" w:eastAsia="Times New Roman" w:hAnsi="Garamond"/>
                <w:b/>
                <w:bCs/>
                <w:color w:val="376091"/>
                <w:sz w:val="12"/>
                <w:szCs w:val="12"/>
                <w:lang w:eastAsia="ja-JP" w:bidi="ar-SA"/>
              </w:rPr>
              <w:br/>
              <w:t>(indirect Budget users) and migration of funds to ARS and commissioning of records</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9 groups</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100 state bodies</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0 migration</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Implemented property register and sufficient asset accounting system</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Public authorities (99) Public services (322) DCM (39)</w:t>
            </w:r>
            <w:r w:rsidRPr="00786A01">
              <w:rPr>
                <w:rFonts w:ascii="Garamond" w:eastAsia="Times New Roman" w:hAnsi="Garamond"/>
                <w:b/>
                <w:bCs/>
                <w:color w:val="376091"/>
                <w:sz w:val="12"/>
                <w:szCs w:val="12"/>
                <w:lang w:eastAsia="ja-JP" w:bidi="ar-SA"/>
              </w:rPr>
              <w:br/>
              <w:t>Local government (24)</w:t>
            </w:r>
            <w:r w:rsidRPr="00786A01">
              <w:rPr>
                <w:rFonts w:ascii="Garamond" w:eastAsia="Times New Roman" w:hAnsi="Garamond"/>
                <w:b/>
                <w:bCs/>
                <w:color w:val="376091"/>
                <w:sz w:val="12"/>
                <w:szCs w:val="12"/>
                <w:lang w:eastAsia="ja-JP" w:bidi="ar-SA"/>
              </w:rPr>
              <w:br/>
              <w:t>Municipal authorities (196)</w:t>
            </w:r>
            <w:r w:rsidRPr="00786A01">
              <w:rPr>
                <w:rFonts w:ascii="Garamond" w:eastAsia="Times New Roman" w:hAnsi="Garamond"/>
                <w:b/>
                <w:bCs/>
                <w:color w:val="376091"/>
                <w:sz w:val="12"/>
                <w:szCs w:val="12"/>
                <w:lang w:eastAsia="ja-JP" w:bidi="ar-SA"/>
              </w:rPr>
              <w:br/>
              <w:t>0 migration</w:t>
            </w:r>
            <w:r w:rsidRPr="00786A01">
              <w:rPr>
                <w:rStyle w:val="FootnoteReference"/>
                <w:rFonts w:ascii="Garamond" w:eastAsia="Times New Roman" w:hAnsi="Garamond"/>
                <w:b/>
                <w:bCs/>
                <w:color w:val="376091"/>
                <w:sz w:val="12"/>
                <w:szCs w:val="12"/>
                <w:lang w:eastAsia="ja-JP" w:bidi="ar-SA"/>
              </w:rPr>
              <w:footnoteReference w:id="58"/>
            </w:r>
          </w:p>
        </w:tc>
        <w:tc>
          <w:tcPr>
            <w:tcW w:w="901"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77F1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b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date  </w:t>
            </w:r>
            <w:r w:rsidRPr="00786A01">
              <w:rPr>
                <w:rFonts w:ascii="Garamond" w:eastAsia="Times New Roman" w:hAnsi="Garamond"/>
                <w:sz w:val="12"/>
                <w:szCs w:val="12"/>
                <w:lang w:eastAsia="ja-JP" w:bidi="ar-SA"/>
              </w:rPr>
              <w:br/>
              <w:t xml:space="preserve">of completion </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New deadline for implementation </w:t>
            </w:r>
          </w:p>
        </w:tc>
        <w:tc>
          <w:tcPr>
            <w:tcW w:w="1029" w:type="dxa"/>
            <w:vMerge w:val="restart"/>
            <w:tcBorders>
              <w:top w:val="nil"/>
              <w:left w:val="single" w:sz="4" w:space="0" w:color="auto"/>
              <w:bottom w:val="single" w:sz="4" w:space="0" w:color="000000"/>
              <w:right w:val="single" w:sz="4" w:space="0" w:color="auto"/>
            </w:tcBorders>
            <w:shd w:val="clear" w:color="000000" w:fill="FFFF99"/>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F77F1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586C7D">
        <w:trPr>
          <w:trHeight w:val="188"/>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000000"/>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96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r w:rsidR="00586C7D">
              <w:rPr>
                <w:rFonts w:ascii="Garamond" w:eastAsia="Times New Roman" w:hAnsi="Garamond"/>
                <w:sz w:val="12"/>
                <w:szCs w:val="12"/>
                <w:lang w:eastAsia="ja-JP" w:bidi="ar-SA"/>
              </w:rPr>
              <w:t>2*)</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D.1.2 Develop new accrual-based accounting policies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Law on Public Sector Accounting approved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Treasury</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2017</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Budget/donation</w:t>
            </w:r>
          </w:p>
        </w:tc>
        <w:tc>
          <w:tcPr>
            <w:tcW w:w="1007"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policies have been drafted, although they have not yet been adopted</w:t>
            </w:r>
          </w:p>
        </w:tc>
      </w:tr>
      <w:tr w:rsidR="009A4CED" w:rsidRPr="00786A01" w:rsidTr="009A4CED">
        <w:trPr>
          <w:trHeight w:val="1039"/>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586C7D" w:rsidRDefault="00586C7D" w:rsidP="00586C7D">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*3)</w:t>
            </w:r>
          </w:p>
          <w:p w:rsidR="00586C7D" w:rsidRDefault="00586C7D" w:rsidP="00586C7D">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*4)</w:t>
            </w:r>
          </w:p>
          <w:p w:rsidR="00586C7D" w:rsidRPr="00786A01" w:rsidRDefault="00586C7D" w:rsidP="00586C7D">
            <w:pPr>
              <w:widowControl/>
              <w:autoSpaceDE/>
              <w:autoSpaceDN/>
              <w:rPr>
                <w:rFonts w:ascii="Garamond" w:eastAsia="Times New Roman" w:hAnsi="Garamond"/>
                <w:sz w:val="12"/>
                <w:szCs w:val="12"/>
                <w:lang w:eastAsia="ja-JP" w:bidi="ar-SA"/>
              </w:rPr>
            </w:pPr>
            <w:r>
              <w:rPr>
                <w:rFonts w:ascii="Garamond" w:eastAsia="Times New Roman" w:hAnsi="Garamond"/>
                <w:sz w:val="12"/>
                <w:szCs w:val="12"/>
                <w:lang w:eastAsia="ja-JP" w:bidi="ar-SA"/>
              </w:rPr>
              <w:t>*5)</w:t>
            </w:r>
            <w:r w:rsidRPr="00786A01">
              <w:rPr>
                <w:rFonts w:ascii="Garamond" w:eastAsia="Times New Roman" w:hAnsi="Garamond"/>
                <w:sz w:val="12"/>
                <w:szCs w:val="12"/>
                <w:lang w:eastAsia="ja-JP" w:bidi="ar-SA"/>
              </w:rPr>
              <w:t xml:space="preserve">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D.1.3 Adapt the Chart of Accounts to new accounting requirements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Updated classifications (organisational, functional, property…)</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UNDP</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Treasury</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r w:rsidRPr="00786A01">
              <w:rPr>
                <w:rFonts w:ascii="Garamond" w:eastAsia="Times New Roman" w:hAnsi="Garamond"/>
                <w:sz w:val="12"/>
                <w:szCs w:val="12"/>
                <w:lang w:eastAsia="ja-JP" w:bidi="ar-SA"/>
              </w:rPr>
              <w:br/>
              <w:t>(D.2.1)</w:t>
            </w:r>
            <w:r w:rsidRPr="00786A01">
              <w:rPr>
                <w:rFonts w:ascii="Garamond" w:eastAsia="Times New Roman" w:hAnsi="Garamond"/>
                <w:sz w:val="12"/>
                <w:szCs w:val="12"/>
                <w:lang w:eastAsia="ja-JP" w:bidi="ar-SA"/>
              </w:rPr>
              <w:br/>
              <w:t>(D.2.2)</w:t>
            </w:r>
            <w:r w:rsidRPr="00786A01">
              <w:rPr>
                <w:rFonts w:ascii="Garamond" w:eastAsia="Times New Roman" w:hAnsi="Garamond"/>
                <w:sz w:val="12"/>
                <w:szCs w:val="12"/>
                <w:lang w:eastAsia="ja-JP" w:bidi="ar-SA"/>
              </w:rPr>
              <w:br/>
              <w:t>(D.2.3)</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Q1 2018</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Budget/donation</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 chart of accounts has been drafted</w:t>
            </w:r>
          </w:p>
        </w:tc>
      </w:tr>
      <w:tr w:rsidR="009A4CED"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00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D.1.4Develop the IT system to support double-entry bookkeeping</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IT system implemented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Treasury</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22020021</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In 2021, preparatory activities will begin regarding the development of GAP analysis and process analysis necessary for the development of IT systems</w:t>
            </w:r>
          </w:p>
        </w:tc>
      </w:tr>
      <w:tr w:rsidR="009A4CED" w:rsidRPr="00786A01" w:rsidTr="009A4CED">
        <w:trPr>
          <w:trHeight w:val="97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D.1.5 Develop new implementing legislation and reporting templates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New regulations and report forms approved.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Treasury</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A draft Rulebook on financial reporting has been prepared </w:t>
            </w:r>
          </w:p>
        </w:tc>
      </w:tr>
      <w:tr w:rsidR="009A4CED" w:rsidRPr="00786A01" w:rsidTr="009A4CED">
        <w:trPr>
          <w:trHeight w:val="78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00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D.1.6 Provide training for public sector accountants on new implementing legislation, templates and the IT system</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 materials prepared and available.</w:t>
            </w:r>
            <w:r w:rsidRPr="00786A01">
              <w:rPr>
                <w:rFonts w:ascii="Garamond" w:eastAsia="Times New Roman" w:hAnsi="Garamond"/>
                <w:sz w:val="12"/>
                <w:szCs w:val="12"/>
                <w:lang w:eastAsia="ja-JP" w:bidi="ar-SA"/>
              </w:rPr>
              <w:br/>
              <w:t xml:space="preserve">A number of employees have been trained. </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Treasury</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implementation of this activity will be possible after the development of the IT system and the adoption of bylaws, and the plan for the implementation of this activity was developed in part through IPA support</w:t>
            </w:r>
          </w:p>
        </w:tc>
      </w:tr>
      <w:tr w:rsidR="009A4CED" w:rsidRPr="00786A01" w:rsidTr="009A4CED">
        <w:trPr>
          <w:trHeight w:val="270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586C7D">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w:t>
            </w:r>
            <w:r w:rsidR="00586C7D">
              <w:rPr>
                <w:rFonts w:ascii="Garamond" w:eastAsia="Times New Roman" w:hAnsi="Garamond"/>
                <w:sz w:val="12"/>
                <w:szCs w:val="12"/>
                <w:lang w:eastAsia="ja-JP" w:bidi="ar-SA"/>
              </w:rPr>
              <w:t>5</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D.1.9 Deliver training for public accountants on the new implementingregulation and the use of the new Asset Management Module</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 number of employees trained.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PrA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r w:rsidRPr="00786A01">
              <w:rPr>
                <w:rFonts w:ascii="Garamond" w:eastAsia="Times New Roman" w:hAnsi="Garamond"/>
                <w:sz w:val="12"/>
                <w:szCs w:val="12"/>
                <w:lang w:eastAsia="ja-JP" w:bidi="ar-SA"/>
              </w:rPr>
              <w:br/>
              <w:t>(D.1.8)</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Q3 2015</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Q4 2016</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Not specified  </w:t>
            </w:r>
          </w:p>
        </w:tc>
        <w:tc>
          <w:tcPr>
            <w:tcW w:w="90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w:t>
            </w:r>
          </w:p>
        </w:tc>
        <w:tc>
          <w:tcPr>
            <w:tcW w:w="1007"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Regulatory changes began in June 2019, but due to the situation with the Corona pandemic, all activities were stopped.</w:t>
            </w:r>
          </w:p>
        </w:tc>
      </w:tr>
      <w:tr w:rsidR="009A4CED" w:rsidRPr="00786A01" w:rsidTr="009A4CED">
        <w:trPr>
          <w:trHeight w:val="1095"/>
        </w:trPr>
        <w:tc>
          <w:tcPr>
            <w:tcW w:w="386" w:type="dxa"/>
            <w:tcBorders>
              <w:top w:val="nil"/>
              <w:left w:val="single" w:sz="4" w:space="0" w:color="auto"/>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D.1.10 Legislative changes, annual reports should feature assets data and performance indicators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Legal act (new/revised) </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Regulation amended and approved.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MoF - Treasury     MoF - DfP               MoF-PrA.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r w:rsidRPr="00786A01">
              <w:rPr>
                <w:rFonts w:ascii="Garamond" w:eastAsia="Times New Roman" w:hAnsi="Garamond"/>
                <w:sz w:val="12"/>
                <w:szCs w:val="12"/>
                <w:lang w:eastAsia="ja-JP" w:bidi="ar-SA"/>
              </w:rPr>
              <w:br/>
              <w:t>(A.2.6)</w:t>
            </w:r>
            <w:r w:rsidRPr="00786A01">
              <w:rPr>
                <w:rFonts w:ascii="Garamond" w:eastAsia="Times New Roman" w:hAnsi="Garamond"/>
                <w:sz w:val="12"/>
                <w:szCs w:val="12"/>
                <w:lang w:eastAsia="ja-JP" w:bidi="ar-SA"/>
              </w:rPr>
              <w:br/>
              <w:t>(C.1.4)</w:t>
            </w:r>
            <w:r w:rsidRPr="00786A01">
              <w:rPr>
                <w:rFonts w:ascii="Garamond" w:eastAsia="Times New Roman" w:hAnsi="Garamond"/>
                <w:sz w:val="12"/>
                <w:szCs w:val="12"/>
                <w:lang w:eastAsia="ja-JP" w:bidi="ar-SA"/>
              </w:rPr>
              <w:br/>
              <w:t>(D.1.8)</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34,666.50</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34,666.50</w:t>
            </w:r>
            <w:r w:rsidRPr="00786A01">
              <w:rPr>
                <w:rStyle w:val="FootnoteReference"/>
                <w:rFonts w:ascii="Garamond" w:eastAsia="Times New Roman" w:hAnsi="Garamond"/>
                <w:sz w:val="12"/>
                <w:szCs w:val="12"/>
                <w:lang w:eastAsia="ja-JP" w:bidi="ar-SA"/>
              </w:rPr>
              <w:footnoteReference w:id="59"/>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Realisation of activities in progress. Modified fields in ARS application</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2837" w:type="dxa"/>
            <w:gridSpan w:val="3"/>
            <w:tcBorders>
              <w:top w:val="single" w:sz="4" w:space="0" w:color="auto"/>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88398D">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34.666,50 </w:t>
            </w:r>
          </w:p>
        </w:tc>
        <w:tc>
          <w:tcPr>
            <w:tcW w:w="9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88398D">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34.666,50</w:t>
            </w:r>
          </w:p>
        </w:tc>
        <w:tc>
          <w:tcPr>
            <w:tcW w:w="1007" w:type="dxa"/>
            <w:tcBorders>
              <w:top w:val="nil"/>
              <w:left w:val="nil"/>
              <w:bottom w:val="nil"/>
              <w:right w:val="nil"/>
            </w:tcBorders>
            <w:shd w:val="clear" w:color="000000" w:fill="FFFF00"/>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p>
        </w:tc>
      </w:tr>
      <w:tr w:rsidR="009A4CED" w:rsidRPr="00786A01" w:rsidTr="00C86E60">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bottom"/>
            <w:hideMark/>
          </w:tcPr>
          <w:p w:rsidR="009A4CED" w:rsidRPr="00786A01" w:rsidRDefault="009A4CED" w:rsidP="00C86E60">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5._E) Development and strengthening of external audit</w:t>
            </w:r>
          </w:p>
        </w:tc>
      </w:tr>
      <w:tr w:rsidR="009A4CED" w:rsidRPr="00786A01" w:rsidTr="00C86E60">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9A4CED" w:rsidRPr="00786A01" w:rsidRDefault="009A4CED" w:rsidP="00C86E60">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4.5.1._State Audit Institution strengthening</w:t>
            </w:r>
          </w:p>
        </w:tc>
      </w:tr>
      <w:tr w:rsidR="009A4CED" w:rsidRPr="00786A01" w:rsidTr="00586C7D">
        <w:trPr>
          <w:trHeight w:val="818"/>
        </w:trPr>
        <w:tc>
          <w:tcPr>
            <w:tcW w:w="38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34</w:t>
            </w:r>
          </w:p>
        </w:tc>
        <w:tc>
          <w:tcPr>
            <w:tcW w:w="1152"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Level of realisation of SAI’s Annual Audit Plan</w:t>
            </w:r>
          </w:p>
        </w:tc>
        <w:tc>
          <w:tcPr>
            <w:tcW w:w="98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(2014):60%</w:t>
            </w:r>
            <w:r w:rsidRPr="00786A01">
              <w:rPr>
                <w:rFonts w:ascii="Garamond" w:eastAsia="Times New Roman" w:hAnsi="Garamond"/>
                <w:b/>
                <w:bCs/>
                <w:color w:val="376091"/>
                <w:sz w:val="12"/>
                <w:szCs w:val="12"/>
                <w:lang w:eastAsia="ja-JP" w:bidi="ar-SA"/>
              </w:rPr>
              <w:br/>
              <w:t xml:space="preserve"> (2017):80%</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83%</w:t>
            </w:r>
          </w:p>
        </w:tc>
        <w:tc>
          <w:tcPr>
            <w:tcW w:w="906"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86</w:t>
            </w:r>
            <w:r w:rsidR="001641F4">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27%</w:t>
            </w:r>
          </w:p>
        </w:tc>
        <w:tc>
          <w:tcPr>
            <w:tcW w:w="938"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86%</w:t>
            </w:r>
          </w:p>
        </w:tc>
        <w:tc>
          <w:tcPr>
            <w:tcW w:w="993"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88</w:t>
            </w:r>
            <w:r w:rsidR="001641F4">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68%</w:t>
            </w:r>
          </w:p>
        </w:tc>
        <w:tc>
          <w:tcPr>
            <w:tcW w:w="1301" w:type="dxa"/>
            <w:tcBorders>
              <w:top w:val="single" w:sz="4" w:space="0" w:color="auto"/>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(2020):90%  </w:t>
            </w:r>
          </w:p>
        </w:tc>
        <w:tc>
          <w:tcPr>
            <w:tcW w:w="1029" w:type="dxa"/>
            <w:tcBorders>
              <w:top w:val="single" w:sz="4" w:space="0" w:color="auto"/>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72</w:t>
            </w:r>
            <w:r w:rsidR="001641F4">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50%</w:t>
            </w:r>
          </w:p>
        </w:tc>
        <w:tc>
          <w:tcPr>
            <w:tcW w:w="901" w:type="dxa"/>
            <w:tcBorders>
              <w:top w:val="single" w:sz="4" w:space="0" w:color="auto"/>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single" w:sz="4" w:space="0" w:color="auto"/>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586C7D">
        <w:trPr>
          <w:trHeight w:val="324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35</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Application of ISSAI-compliant methodology for financial</w:t>
            </w:r>
            <w:r w:rsidR="001641F4">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 regularity and performance audits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2015 – Methodological Instruction for financial and regularity audits compliant with ISSAI 200 and ISSAI 400</w:t>
            </w:r>
            <w:r w:rsidR="001641F4">
              <w:rPr>
                <w:rFonts w:ascii="Garamond" w:eastAsia="Times New Roman" w:hAnsi="Garamond"/>
                <w:b/>
                <w:bCs/>
                <w:color w:val="376091"/>
                <w:sz w:val="12"/>
                <w:szCs w:val="12"/>
                <w:lang w:eastAsia="ja-JP" w:bidi="ar-SA"/>
              </w:rPr>
              <w:t>.</w:t>
            </w:r>
            <w:r w:rsidRPr="00786A01">
              <w:rPr>
                <w:rFonts w:ascii="Garamond" w:eastAsia="Times New Roman" w:hAnsi="Garamond"/>
                <w:b/>
                <w:bCs/>
                <w:color w:val="376091"/>
                <w:sz w:val="12"/>
                <w:szCs w:val="12"/>
                <w:lang w:eastAsia="ja-JP" w:bidi="ar-SA"/>
              </w:rPr>
              <w:t xml:space="preserve"> Methodological Instruction for performance audits compliant with ISSAI 300 and Guidelines for Audit Quality Control</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Guidelines for Auditing Annual Financial Statements of Political Entities;</w:t>
            </w:r>
            <w:r w:rsidRPr="00786A01">
              <w:rPr>
                <w:rFonts w:ascii="Garamond" w:eastAsia="Times New Roman" w:hAnsi="Garamond"/>
                <w:b/>
                <w:bCs/>
                <w:color w:val="376091"/>
                <w:sz w:val="12"/>
                <w:szCs w:val="12"/>
                <w:lang w:eastAsia="ja-JP" w:bidi="ar-SA"/>
              </w:rPr>
              <w:br/>
              <w:t>Guidelines for Auditing Final Budget Accounts;</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Guidelines for Auditing Annual Financial Statements of Political Entities adopted in January 2018;</w:t>
            </w:r>
            <w:r w:rsidRPr="00786A01">
              <w:rPr>
                <w:rFonts w:ascii="Garamond" w:eastAsia="Times New Roman" w:hAnsi="Garamond"/>
                <w:b/>
                <w:bCs/>
                <w:color w:val="376091"/>
                <w:sz w:val="12"/>
                <w:szCs w:val="12"/>
                <w:lang w:eastAsia="ja-JP" w:bidi="ar-SA"/>
              </w:rPr>
              <w:br/>
              <w:t>Guidelines for Auditing Final Budget Accounts adopted in September 2018;</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n / a</w:t>
            </w:r>
            <w:r w:rsidRPr="00786A01">
              <w:rPr>
                <w:rFonts w:ascii="Garamond" w:eastAsia="Times New Roman" w:hAnsi="Garamond"/>
                <w:b/>
                <w:bCs/>
                <w:color w:val="376091"/>
                <w:sz w:val="12"/>
                <w:szCs w:val="12"/>
                <w:lang w:eastAsia="ja-JP" w:bidi="ar-SA"/>
              </w:rPr>
              <w:br/>
              <w:t xml:space="preserve">The </w:t>
            </w:r>
            <w:proofErr w:type="gramStart"/>
            <w:r w:rsidRPr="00786A01">
              <w:rPr>
                <w:rFonts w:ascii="Garamond" w:eastAsia="Times New Roman" w:hAnsi="Garamond"/>
                <w:b/>
                <w:bCs/>
                <w:color w:val="376091"/>
                <w:sz w:val="12"/>
                <w:szCs w:val="12"/>
                <w:lang w:eastAsia="ja-JP" w:bidi="ar-SA"/>
              </w:rPr>
              <w:t>activities  listed</w:t>
            </w:r>
            <w:proofErr w:type="gramEnd"/>
            <w:r w:rsidRPr="00786A01">
              <w:rPr>
                <w:rFonts w:ascii="Garamond" w:eastAsia="Times New Roman" w:hAnsi="Garamond"/>
                <w:b/>
                <w:bCs/>
                <w:color w:val="376091"/>
                <w:sz w:val="12"/>
                <w:szCs w:val="12"/>
                <w:lang w:eastAsia="ja-JP" w:bidi="ar-SA"/>
              </w:rPr>
              <w:t xml:space="preserve"> in the action plan start from Q1 2019. </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Manual for Performance Audits compliant with ISSAI 4th level adopted in December 2019.</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w:t>
            </w:r>
            <w:r w:rsidRPr="00786A01">
              <w:rPr>
                <w:rFonts w:ascii="Garamond" w:eastAsia="Times New Roman" w:hAnsi="Garamond"/>
                <w:b/>
                <w:bCs/>
                <w:color w:val="376091"/>
                <w:sz w:val="12"/>
                <w:szCs w:val="12"/>
                <w:lang w:eastAsia="ja-JP" w:bidi="ar-SA"/>
              </w:rPr>
              <w:br/>
              <w:t xml:space="preserve">  Manual for Financial and Regularity Audits compliant with ISSAI 4th level adopted</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Manual for Performance Audits compliant with ISSAI 4th level upgraded</w:t>
            </w:r>
            <w:r w:rsidRPr="00786A01">
              <w:rPr>
                <w:rFonts w:ascii="Garamond" w:eastAsia="Times New Roman" w:hAnsi="Garamond"/>
                <w:b/>
                <w:bCs/>
                <w:color w:val="376091"/>
                <w:sz w:val="12"/>
                <w:szCs w:val="12"/>
                <w:lang w:eastAsia="ja-JP" w:bidi="ar-SA"/>
              </w:rPr>
              <w:br/>
            </w:r>
            <w:r w:rsidRPr="00786A01">
              <w:rPr>
                <w:rFonts w:ascii="Garamond" w:eastAsia="Times New Roman" w:hAnsi="Garamond"/>
                <w:b/>
                <w:bCs/>
                <w:color w:val="376091"/>
                <w:sz w:val="12"/>
                <w:szCs w:val="12"/>
                <w:lang w:eastAsia="ja-JP" w:bidi="ar-SA"/>
              </w:rPr>
              <w:br/>
              <w:t xml:space="preserve">Guide for Monitoring the Implementation of Recommendations from Audit Reports adopted </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br/>
              <w:t>Manual for Financial and Regularity Audits compliant with ISSAI 4th level adopted in July 2020 and applied.</w:t>
            </w:r>
            <w:r w:rsidRPr="00786A01">
              <w:rPr>
                <w:rFonts w:ascii="Garamond" w:eastAsia="Times New Roman" w:hAnsi="Garamond"/>
                <w:b/>
                <w:bCs/>
                <w:color w:val="376091"/>
                <w:sz w:val="12"/>
                <w:szCs w:val="12"/>
                <w:lang w:eastAsia="ja-JP" w:bidi="ar-SA"/>
              </w:rPr>
              <w:br/>
              <w:t>Manual for Performance Audits compliant with ISSAI 4th level adopted in December 2019 and applied</w:t>
            </w:r>
            <w:r w:rsidRPr="00786A01">
              <w:rPr>
                <w:rFonts w:ascii="Garamond" w:eastAsia="Times New Roman" w:hAnsi="Garamond"/>
                <w:b/>
                <w:bCs/>
                <w:color w:val="376091"/>
                <w:sz w:val="12"/>
                <w:szCs w:val="12"/>
                <w:lang w:eastAsia="ja-JP" w:bidi="ar-SA"/>
              </w:rPr>
              <w:br/>
              <w:t>Guide for Monitoring the Implementation of Recommendations from Audit Reports adopted in June 2020 and applied</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586C7D">
        <w:trPr>
          <w:trHeight w:val="1439"/>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36</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No of trainings/seminars/ workshops for auditors delivered</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(2014): Minimum 3 trainings delivered</w:t>
            </w:r>
            <w:r w:rsidRPr="00786A01">
              <w:rPr>
                <w:rFonts w:ascii="Garamond" w:eastAsia="Times New Roman" w:hAnsi="Garamond"/>
                <w:b/>
                <w:bCs/>
                <w:color w:val="376091"/>
                <w:sz w:val="12"/>
                <w:szCs w:val="12"/>
                <w:lang w:eastAsia="ja-JP" w:bidi="ar-SA"/>
              </w:rPr>
              <w:br/>
              <w:t>(2017): Delivered additional 9 trainings</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additional 6 trainings delivered</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2018: 13 Trainings (3 internally </w:t>
            </w:r>
            <w:r w:rsidR="00D2080A">
              <w:rPr>
                <w:rFonts w:ascii="Garamond" w:eastAsia="Times New Roman" w:hAnsi="Garamond"/>
                <w:b/>
                <w:bCs/>
                <w:color w:val="376091"/>
                <w:sz w:val="12"/>
                <w:szCs w:val="12"/>
                <w:lang w:eastAsia="ja-JP" w:bidi="ar-SA"/>
              </w:rPr>
              <w:t>organised</w:t>
            </w:r>
            <w:r w:rsidRPr="00786A01">
              <w:rPr>
                <w:rFonts w:ascii="Garamond" w:eastAsia="Times New Roman" w:hAnsi="Garamond"/>
                <w:b/>
                <w:bCs/>
                <w:color w:val="376091"/>
                <w:sz w:val="12"/>
                <w:szCs w:val="12"/>
                <w:lang w:eastAsia="ja-JP" w:bidi="ar-SA"/>
              </w:rPr>
              <w:t xml:space="preserve"> and 10 regionally and internationally)</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additional 7 trainings delivered</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13 Trainings (3 domestically and 10 regionally and internationally)</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additional 10 trainings delivered</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32 trainings (22 at the domestic level and 10 at the regional and international level)</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1641F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Potrebna tehnička </w:t>
            </w:r>
            <w:proofErr w:type="gramStart"/>
            <w:r w:rsidRPr="00786A01">
              <w:rPr>
                <w:rFonts w:ascii="Garamond" w:eastAsia="Times New Roman" w:hAnsi="Garamond"/>
                <w:sz w:val="12"/>
                <w:szCs w:val="12"/>
                <w:lang w:eastAsia="ja-JP" w:bidi="ar-SA"/>
              </w:rPr>
              <w:t>pomoć</w:t>
            </w:r>
            <w:proofErr w:type="gramEnd"/>
            <w:r w:rsidRPr="00786A01">
              <w:rPr>
                <w:rFonts w:ascii="Garamond" w:eastAsia="Times New Roman" w:hAnsi="Garamond"/>
                <w:sz w:val="12"/>
                <w:szCs w:val="12"/>
                <w:lang w:eastAsia="ja-JP" w:bidi="ar-SA"/>
              </w:rPr>
              <w:br/>
              <w:t xml:space="preserve">(IPA, IMoF, </w:t>
            </w:r>
            <w:r w:rsidRPr="00786A01">
              <w:rPr>
                <w:rFonts w:ascii="Garamond" w:eastAsia="Times New Roman" w:hAnsi="Garamond"/>
                <w:sz w:val="12"/>
                <w:szCs w:val="12"/>
                <w:lang w:eastAsia="ja-JP" w:bidi="ar-SA"/>
              </w:rPr>
              <w:br/>
              <w:t>UNDP…)</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Implementaciona </w:t>
            </w:r>
            <w:r w:rsidRPr="00786A01">
              <w:rPr>
                <w:rFonts w:ascii="Garamond" w:eastAsia="Times New Roman" w:hAnsi="Garamond"/>
                <w:sz w:val="12"/>
                <w:szCs w:val="12"/>
                <w:lang w:eastAsia="ja-JP" w:bidi="ar-SA"/>
              </w:rPr>
              <w:br/>
              <w:t xml:space="preserve">agencija / </w:t>
            </w:r>
            <w:r w:rsidRPr="00786A01">
              <w:rPr>
                <w:rFonts w:ascii="Garamond" w:eastAsia="Times New Roman" w:hAnsi="Garamond"/>
                <w:sz w:val="12"/>
                <w:szCs w:val="12"/>
                <w:lang w:eastAsia="ja-JP" w:bidi="ar-SA"/>
              </w:rPr>
              <w:br/>
              <w:t>Direktorat</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date  </w:t>
            </w:r>
            <w:r w:rsidRPr="00786A01">
              <w:rPr>
                <w:rFonts w:ascii="Garamond" w:eastAsia="Times New Roman" w:hAnsi="Garamond"/>
                <w:sz w:val="12"/>
                <w:szCs w:val="12"/>
                <w:lang w:eastAsia="ja-JP" w:bidi="ar-SA"/>
              </w:rPr>
              <w:br/>
              <w:t xml:space="preserve">of completion </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New deadline for implementation </w:t>
            </w:r>
          </w:p>
        </w:tc>
        <w:tc>
          <w:tcPr>
            <w:tcW w:w="1029"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C86E60">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1641F4">
        <w:trPr>
          <w:trHeight w:val="60"/>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center"/>
            <w:hideMark/>
          </w:tcPr>
          <w:p w:rsidR="009A4CED" w:rsidRPr="00786A01" w:rsidRDefault="009A4CED" w:rsidP="00012E0B">
            <w:pPr>
              <w:pStyle w:val="Default"/>
              <w:rPr>
                <w:rFonts w:ascii="Garamond" w:hAnsi="Garamond"/>
                <w:sz w:val="12"/>
                <w:szCs w:val="12"/>
              </w:rPr>
            </w:pPr>
            <w:r w:rsidRPr="00786A01">
              <w:rPr>
                <w:rFonts w:ascii="Garamond" w:hAnsi="Garamond"/>
                <w:iCs/>
                <w:sz w:val="12"/>
                <w:szCs w:val="12"/>
              </w:rPr>
              <w:t xml:space="preserve">E1.1.Review the Methodological Instruction for Financial and Regularity Audit and draft an ISSAI-complian Financial and Regularity Audit Manual </w:t>
            </w:r>
          </w:p>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Manual</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012E0B">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Draft Manual on Financial and Regularity Audit in Accordance with ISSAI Standards prepared.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SAI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1</w:t>
            </w:r>
            <w:r w:rsidRPr="00786A01">
              <w:rPr>
                <w:rFonts w:eastAsia="Times New Roman"/>
                <w:sz w:val="12"/>
                <w:szCs w:val="12"/>
              </w:rPr>
              <w:br/>
              <w:t>(E.1.5)</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Q1  2019</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right"/>
              <w:rPr>
                <w:rFonts w:eastAsia="Times New Roman"/>
                <w:sz w:val="12"/>
                <w:szCs w:val="12"/>
              </w:rPr>
            </w:pPr>
            <w:r w:rsidRPr="00786A01">
              <w:rPr>
                <w:rFonts w:eastAsia="Times New Roman"/>
                <w:sz w:val="12"/>
                <w:szCs w:val="12"/>
              </w:rPr>
              <w:t>32,000.00</w:t>
            </w:r>
          </w:p>
        </w:tc>
        <w:tc>
          <w:tcPr>
            <w:tcW w:w="9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rPr>
                <w:sz w:val="12"/>
                <w:szCs w:val="12"/>
              </w:rPr>
            </w:pPr>
            <w:r w:rsidRPr="00786A01">
              <w:rPr>
                <w:sz w:val="12"/>
                <w:szCs w:val="12"/>
              </w:rPr>
              <w:t>32,000.00</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88398D">
            <w:pPr>
              <w:rPr>
                <w:sz w:val="12"/>
                <w:szCs w:val="12"/>
              </w:rPr>
            </w:pPr>
            <w:r w:rsidRPr="00786A01">
              <w:rPr>
                <w:sz w:val="12"/>
                <w:szCs w:val="12"/>
              </w:rPr>
              <w:t xml:space="preserve">Fully implemented </w:t>
            </w:r>
          </w:p>
        </w:tc>
      </w:tr>
      <w:tr w:rsidR="009A4CED" w:rsidRPr="00786A01" w:rsidTr="001641F4">
        <w:trPr>
          <w:trHeight w:val="6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center"/>
            <w:hideMark/>
          </w:tcPr>
          <w:p w:rsidR="009A4CED" w:rsidRPr="00786A01" w:rsidRDefault="009A4CED" w:rsidP="00AF4FB1">
            <w:pPr>
              <w:pStyle w:val="Default"/>
              <w:rPr>
                <w:rFonts w:ascii="Garamond" w:hAnsi="Garamond"/>
                <w:sz w:val="12"/>
                <w:szCs w:val="12"/>
              </w:rPr>
            </w:pPr>
            <w:r w:rsidRPr="00786A01">
              <w:rPr>
                <w:rFonts w:ascii="Garamond" w:hAnsi="Garamond"/>
                <w:iCs/>
                <w:sz w:val="12"/>
                <w:szCs w:val="12"/>
              </w:rPr>
              <w:t xml:space="preserve">E1.3 Review current practices in monitoring the implementation of audit recommendations in the SAI compared to the best EU practices and draft guidance for monitoring audit recommendations </w:t>
            </w:r>
          </w:p>
          <w:p w:rsidR="009A4CED" w:rsidRPr="00786A01" w:rsidRDefault="009A4CED" w:rsidP="0088398D">
            <w:pPr>
              <w:rPr>
                <w:rFonts w:ascii="Garamond" w:hAnsi="Garamond"/>
                <w:sz w:val="12"/>
                <w:szCs w:val="12"/>
              </w:rPr>
            </w:pP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Guidelines</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Draft Guidelines for monitoring the implementation of audit recommendations prepared.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SAI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1641F4" w:rsidP="0088398D">
            <w:pPr>
              <w:jc w:val="center"/>
              <w:rPr>
                <w:rFonts w:eastAsia="Times New Roman"/>
                <w:sz w:val="12"/>
                <w:szCs w:val="12"/>
              </w:rPr>
            </w:pPr>
            <w:r>
              <w:rPr>
                <w:rFonts w:eastAsia="Times New Roman"/>
                <w:sz w:val="12"/>
                <w:szCs w:val="12"/>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Q1 2019</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right"/>
              <w:rPr>
                <w:rFonts w:eastAsia="Times New Roman"/>
                <w:sz w:val="12"/>
                <w:szCs w:val="12"/>
              </w:rPr>
            </w:pPr>
            <w:r w:rsidRPr="00786A01">
              <w:rPr>
                <w:rFonts w:eastAsia="Times New Roman"/>
                <w:sz w:val="12"/>
                <w:szCs w:val="12"/>
              </w:rPr>
              <w:t>24,000.00</w:t>
            </w:r>
          </w:p>
        </w:tc>
        <w:tc>
          <w:tcPr>
            <w:tcW w:w="9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rPr>
                <w:rFonts w:eastAsia="Times New Roman"/>
                <w:sz w:val="12"/>
                <w:szCs w:val="12"/>
              </w:rPr>
            </w:pPr>
            <w:r w:rsidRPr="00786A01">
              <w:rPr>
                <w:sz w:val="12"/>
                <w:szCs w:val="12"/>
              </w:rPr>
              <w:t>22,200.00</w:t>
            </w:r>
          </w:p>
          <w:p w:rsidR="009A4CED" w:rsidRPr="00786A01" w:rsidRDefault="009A4CED" w:rsidP="0088398D">
            <w:pPr>
              <w:rPr>
                <w:sz w:val="12"/>
                <w:szCs w:val="12"/>
              </w:rPr>
            </w:pP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88398D">
            <w:pPr>
              <w:rPr>
                <w:sz w:val="12"/>
                <w:szCs w:val="12"/>
              </w:rPr>
            </w:pPr>
            <w:r w:rsidRPr="00786A01">
              <w:rPr>
                <w:sz w:val="12"/>
                <w:szCs w:val="12"/>
              </w:rPr>
              <w:t xml:space="preserve">Fully implemented </w:t>
            </w:r>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center"/>
            <w:hideMark/>
          </w:tcPr>
          <w:p w:rsidR="009A4CED" w:rsidRPr="00786A01" w:rsidRDefault="009A4CED" w:rsidP="0088398D">
            <w:pPr>
              <w:rPr>
                <w:rFonts w:ascii="Garamond" w:hAnsi="Garamond"/>
                <w:sz w:val="12"/>
                <w:szCs w:val="12"/>
              </w:rPr>
            </w:pPr>
            <w:r w:rsidRPr="00786A01">
              <w:rPr>
                <w:rFonts w:ascii="Garamond" w:hAnsi="Garamond"/>
                <w:sz w:val="12"/>
                <w:szCs w:val="12"/>
              </w:rPr>
              <w:t>E1.4</w:t>
            </w:r>
          </w:p>
          <w:p w:rsidR="009A4CED" w:rsidRPr="00786A01" w:rsidRDefault="009A4CED" w:rsidP="0088398D">
            <w:pPr>
              <w:pStyle w:val="Default"/>
              <w:rPr>
                <w:rFonts w:ascii="Garamond" w:hAnsi="Garamond"/>
                <w:sz w:val="12"/>
                <w:szCs w:val="12"/>
              </w:rPr>
            </w:pPr>
            <w:r w:rsidRPr="00786A01">
              <w:rPr>
                <w:rFonts w:ascii="Garamond" w:hAnsi="Garamond"/>
                <w:iCs/>
                <w:sz w:val="12"/>
                <w:szCs w:val="12"/>
              </w:rPr>
              <w:t xml:space="preserve">Develop HRM Strategy and the Communication Strategy </w:t>
            </w:r>
          </w:p>
          <w:p w:rsidR="009A4CED" w:rsidRPr="00786A01" w:rsidRDefault="009A4CED" w:rsidP="0088398D">
            <w:pPr>
              <w:rPr>
                <w:rFonts w:ascii="Garamond" w:hAnsi="Garamond"/>
                <w:sz w:val="12"/>
                <w:szCs w:val="12"/>
              </w:rPr>
            </w:pPr>
            <w:r w:rsidRPr="00786A01">
              <w:rPr>
                <w:rFonts w:ascii="Garamond" w:hAnsi="Garamond"/>
                <w:sz w:val="12"/>
                <w:szCs w:val="12"/>
              </w:rPr>
              <w:t xml:space="preserve"> </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w:t>
            </w:r>
          </w:p>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Planning</w:t>
            </w:r>
          </w:p>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document</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pStyle w:val="Default"/>
              <w:rPr>
                <w:rFonts w:ascii="Garamond" w:hAnsi="Garamond"/>
                <w:sz w:val="12"/>
                <w:szCs w:val="12"/>
              </w:rPr>
            </w:pPr>
            <w:r w:rsidRPr="00786A01">
              <w:rPr>
                <w:rFonts w:ascii="Garamond" w:hAnsi="Garamond"/>
                <w:iCs/>
                <w:sz w:val="12"/>
                <w:szCs w:val="12"/>
              </w:rPr>
              <w:t xml:space="preserve">HRM Strategy And the Communication Strategy </w:t>
            </w:r>
          </w:p>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prepared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SAI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1641F4" w:rsidP="0088398D">
            <w:pPr>
              <w:jc w:val="center"/>
              <w:rPr>
                <w:rFonts w:eastAsia="Times New Roman"/>
                <w:sz w:val="12"/>
                <w:szCs w:val="12"/>
              </w:rPr>
            </w:pPr>
            <w:r>
              <w:rPr>
                <w:rFonts w:eastAsia="Times New Roman"/>
                <w:sz w:val="12"/>
                <w:szCs w:val="12"/>
              </w:rPr>
              <w:t>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Q1 2019</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right"/>
              <w:rPr>
                <w:rFonts w:eastAsia="Times New Roman"/>
                <w:sz w:val="12"/>
                <w:szCs w:val="12"/>
              </w:rPr>
            </w:pPr>
            <w:r w:rsidRPr="00786A01">
              <w:rPr>
                <w:rFonts w:eastAsia="Times New Roman"/>
                <w:sz w:val="12"/>
                <w:szCs w:val="12"/>
              </w:rPr>
              <w:t>40,000.00</w:t>
            </w:r>
          </w:p>
        </w:tc>
        <w:tc>
          <w:tcPr>
            <w:tcW w:w="9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rPr>
                <w:rFonts w:eastAsia="Times New Roman"/>
                <w:sz w:val="12"/>
                <w:szCs w:val="12"/>
              </w:rPr>
            </w:pPr>
            <w:r w:rsidRPr="00786A01">
              <w:rPr>
                <w:sz w:val="12"/>
                <w:szCs w:val="12"/>
              </w:rPr>
              <w:t>38,800.00</w:t>
            </w:r>
          </w:p>
          <w:p w:rsidR="009A4CED" w:rsidRPr="00786A01" w:rsidRDefault="009A4CED" w:rsidP="0088398D">
            <w:pPr>
              <w:rPr>
                <w:sz w:val="12"/>
                <w:szCs w:val="12"/>
              </w:rPr>
            </w:pP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88398D">
            <w:pPr>
              <w:rPr>
                <w:sz w:val="12"/>
                <w:szCs w:val="12"/>
              </w:rPr>
            </w:pPr>
            <w:r w:rsidRPr="00786A01">
              <w:rPr>
                <w:sz w:val="12"/>
                <w:szCs w:val="12"/>
              </w:rPr>
              <w:t xml:space="preserve">Fully implemented </w:t>
            </w:r>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center"/>
            <w:hideMark/>
          </w:tcPr>
          <w:p w:rsidR="009A4CED" w:rsidRPr="00786A01" w:rsidRDefault="009A4CED" w:rsidP="0088398D">
            <w:pPr>
              <w:pStyle w:val="Default"/>
              <w:rPr>
                <w:rFonts w:ascii="Garamond" w:hAnsi="Garamond"/>
                <w:sz w:val="12"/>
                <w:szCs w:val="12"/>
              </w:rPr>
            </w:pPr>
            <w:r w:rsidRPr="00786A01">
              <w:rPr>
                <w:rFonts w:ascii="Garamond" w:hAnsi="Garamond"/>
                <w:iCs/>
                <w:sz w:val="12"/>
                <w:szCs w:val="12"/>
              </w:rPr>
              <w:t xml:space="preserve">E1.5 Revise the manual for State Auditor exam; deliver training (1 1 pilot audit and training for using the Financial and Regularity Audit Manual) and build auditor capacity to apply IT tools </w:t>
            </w:r>
          </w:p>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Manual / Guidelines/ Training / Computerisation</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SAI auditor training manuals prepared.</w:t>
            </w:r>
          </w:p>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 number of auditors trained. Improved IT tool implemented.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IPA II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SAI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2</w:t>
            </w:r>
          </w:p>
          <w:p w:rsidR="009A4CED" w:rsidRPr="00786A01" w:rsidRDefault="009A4CED" w:rsidP="0088398D">
            <w:pPr>
              <w:jc w:val="center"/>
              <w:rPr>
                <w:rFonts w:eastAsia="Times New Roman"/>
                <w:sz w:val="12"/>
                <w:szCs w:val="12"/>
              </w:rPr>
            </w:pPr>
            <w:r w:rsidRPr="00786A01">
              <w:rPr>
                <w:rFonts w:eastAsia="Times New Roman"/>
                <w:sz w:val="12"/>
                <w:szCs w:val="12"/>
              </w:rPr>
              <w:t>(E.1.1)</w:t>
            </w:r>
          </w:p>
          <w:p w:rsidR="009A4CED" w:rsidRPr="00786A01" w:rsidRDefault="009A4CED" w:rsidP="0088398D">
            <w:pPr>
              <w:jc w:val="center"/>
              <w:rPr>
                <w:rFonts w:eastAsia="Times New Roman"/>
                <w:sz w:val="12"/>
                <w:szCs w:val="12"/>
              </w:rPr>
            </w:pPr>
            <w:r w:rsidRPr="00786A01">
              <w:rPr>
                <w:rFonts w:eastAsia="Times New Roman"/>
                <w:sz w:val="12"/>
                <w:szCs w:val="12"/>
              </w:rPr>
              <w:t>(E.1.2)</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Q1 2019</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right"/>
              <w:rPr>
                <w:rFonts w:eastAsia="Times New Roman"/>
                <w:sz w:val="12"/>
                <w:szCs w:val="12"/>
              </w:rPr>
            </w:pPr>
            <w:r w:rsidRPr="00786A01">
              <w:rPr>
                <w:rFonts w:eastAsia="Times New Roman"/>
                <w:sz w:val="12"/>
                <w:szCs w:val="12"/>
              </w:rPr>
              <w:t>87,000.00</w:t>
            </w:r>
          </w:p>
        </w:tc>
        <w:tc>
          <w:tcPr>
            <w:tcW w:w="9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rPr>
                <w:rFonts w:eastAsia="Times New Roman"/>
                <w:sz w:val="12"/>
                <w:szCs w:val="12"/>
              </w:rPr>
            </w:pPr>
            <w:r w:rsidRPr="00786A01">
              <w:rPr>
                <w:sz w:val="12"/>
                <w:szCs w:val="12"/>
              </w:rPr>
              <w:t>84,900.00</w:t>
            </w:r>
          </w:p>
          <w:p w:rsidR="009A4CED" w:rsidRPr="00786A01" w:rsidRDefault="009A4CED" w:rsidP="0088398D">
            <w:pPr>
              <w:rPr>
                <w:sz w:val="12"/>
                <w:szCs w:val="12"/>
              </w:rPr>
            </w:pP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88398D">
            <w:pPr>
              <w:rPr>
                <w:sz w:val="12"/>
                <w:szCs w:val="12"/>
              </w:rPr>
            </w:pPr>
            <w:r w:rsidRPr="00786A01">
              <w:rPr>
                <w:sz w:val="12"/>
                <w:szCs w:val="12"/>
              </w:rPr>
              <w:t xml:space="preserve">Fully implemented </w:t>
            </w:r>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E1.6</w:t>
            </w:r>
          </w:p>
          <w:p w:rsidR="009A4CED" w:rsidRPr="00786A01" w:rsidRDefault="009A4CED" w:rsidP="0088398D">
            <w:pPr>
              <w:pStyle w:val="Default"/>
              <w:rPr>
                <w:rFonts w:ascii="Garamond" w:hAnsi="Garamond"/>
                <w:sz w:val="12"/>
                <w:szCs w:val="12"/>
              </w:rPr>
            </w:pPr>
            <w:r w:rsidRPr="00786A01">
              <w:rPr>
                <w:rFonts w:ascii="Garamond" w:hAnsi="Garamond"/>
                <w:iCs/>
                <w:sz w:val="12"/>
                <w:szCs w:val="12"/>
              </w:rPr>
              <w:t xml:space="preserve">Develop guidance for auditing final budget accounts and deliver training for audit staff to implement the guidance </w:t>
            </w:r>
          </w:p>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Manual/training</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Draft Guidelines for the Audit of the Final Budget Account Prepared.</w:t>
            </w:r>
          </w:p>
          <w:p w:rsidR="009A4CED" w:rsidRPr="00786A01" w:rsidRDefault="009A4CED" w:rsidP="0088398D">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 number of employees trained.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SIGMA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SAI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Q1 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2018</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rFonts w:eastAsia="Times New Roman"/>
                <w:sz w:val="12"/>
                <w:szCs w:val="12"/>
              </w:rPr>
            </w:pPr>
            <w:r w:rsidRPr="00786A01">
              <w:rPr>
                <w:rFonts w:eastAsia="Times New Roman"/>
                <w:sz w:val="12"/>
                <w:szCs w:val="12"/>
              </w:rPr>
              <w:t>Q2 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center"/>
              <w:rPr>
                <w:sz w:val="12"/>
                <w:szCs w:val="12"/>
              </w:rPr>
            </w:pPr>
            <w:r w:rsidRPr="00786A01">
              <w:rPr>
                <w:sz w:val="12"/>
                <w:szCs w:val="12"/>
              </w:rPr>
              <w:t>0,000</w:t>
            </w:r>
          </w:p>
        </w:tc>
        <w:tc>
          <w:tcPr>
            <w:tcW w:w="9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rPr>
                <w:rFonts w:eastAsia="Times New Roman"/>
                <w:sz w:val="12"/>
                <w:szCs w:val="12"/>
              </w:rPr>
            </w:pPr>
            <w:r w:rsidRPr="00786A01">
              <w:rPr>
                <w:sz w:val="12"/>
                <w:szCs w:val="12"/>
              </w:rPr>
              <w:t>0,000</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88398D">
            <w:pPr>
              <w:rPr>
                <w:sz w:val="12"/>
                <w:szCs w:val="12"/>
              </w:rPr>
            </w:pPr>
            <w:r w:rsidRPr="00786A01">
              <w:rPr>
                <w:sz w:val="12"/>
                <w:szCs w:val="12"/>
              </w:rPr>
              <w:t xml:space="preserve">Fully implemented </w:t>
            </w:r>
          </w:p>
        </w:tc>
      </w:tr>
      <w:tr w:rsidR="009A4CED" w:rsidRPr="00786A01" w:rsidTr="009A4CED">
        <w:trPr>
          <w:trHeight w:val="51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0000"/>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E.1.8 Procure necessary office space for SAI to be able to increase auditor staffing capacities</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Premises</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Premises provided</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SAI</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2018</w:t>
            </w:r>
          </w:p>
        </w:tc>
        <w:tc>
          <w:tcPr>
            <w:tcW w:w="993"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2019</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2020</w:t>
            </w:r>
          </w:p>
        </w:tc>
        <w:tc>
          <w:tcPr>
            <w:tcW w:w="1029"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jc w:val="right"/>
              <w:rPr>
                <w:bCs/>
                <w:sz w:val="12"/>
                <w:szCs w:val="12"/>
              </w:rPr>
            </w:pPr>
            <w:r w:rsidRPr="00786A01">
              <w:rPr>
                <w:bCs/>
                <w:sz w:val="12"/>
                <w:szCs w:val="12"/>
              </w:rPr>
              <w:t>2.500.000,00</w:t>
            </w:r>
          </w:p>
        </w:tc>
        <w:tc>
          <w:tcPr>
            <w:tcW w:w="9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88398D">
            <w:pPr>
              <w:rPr>
                <w:rFonts w:eastAsia="Times New Roman"/>
                <w:sz w:val="12"/>
                <w:szCs w:val="12"/>
              </w:rPr>
            </w:pPr>
            <w:r w:rsidRPr="00786A01">
              <w:rPr>
                <w:rFonts w:eastAsia="Times New Roman"/>
                <w:sz w:val="12"/>
                <w:szCs w:val="12"/>
              </w:rPr>
              <w:t> </w:t>
            </w:r>
            <w:r w:rsidRPr="00786A01">
              <w:rPr>
                <w:sz w:val="12"/>
                <w:szCs w:val="12"/>
              </w:rPr>
              <w:t>0,000</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realisation of activities is in progress and is taking place in accordance with the law. The state capital budget for 2019 plans funds to address the lack of office space for the needs of the State Audit Institution and the Statistics Administration within the multi-year capital subproject ‘Facilities for the needs of the State Audit Institution and the Statistics Administration’.</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TOTAL: </w:t>
            </w:r>
          </w:p>
        </w:tc>
        <w:tc>
          <w:tcPr>
            <w:tcW w:w="938"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993"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301"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1029" w:type="dxa"/>
            <w:tcBorders>
              <w:top w:val="nil"/>
              <w:left w:val="nil"/>
              <w:bottom w:val="single" w:sz="4" w:space="0" w:color="auto"/>
              <w:right w:val="single" w:sz="4" w:space="0" w:color="auto"/>
            </w:tcBorders>
            <w:shd w:val="clear" w:color="000000" w:fill="FFFF00"/>
            <w:noWrap/>
            <w:vAlign w:val="center"/>
            <w:hideMark/>
          </w:tcPr>
          <w:p w:rsidR="009A4CED" w:rsidRPr="00786A01" w:rsidRDefault="009A4CED" w:rsidP="0088398D">
            <w:pPr>
              <w:widowControl/>
              <w:autoSpaceDE/>
              <w:autoSpaceDN/>
              <w:jc w:val="right"/>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2,695,000.00</w:t>
            </w:r>
          </w:p>
        </w:tc>
        <w:tc>
          <w:tcPr>
            <w:tcW w:w="901"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88398D">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189.900,00</w:t>
            </w:r>
          </w:p>
        </w:tc>
        <w:tc>
          <w:tcPr>
            <w:tcW w:w="1007" w:type="dxa"/>
            <w:tcBorders>
              <w:top w:val="nil"/>
              <w:left w:val="nil"/>
              <w:bottom w:val="single" w:sz="4" w:space="0" w:color="auto"/>
              <w:right w:val="single" w:sz="4" w:space="0" w:color="auto"/>
            </w:tcBorders>
            <w:shd w:val="clear" w:color="000000" w:fill="FFFF00"/>
            <w:noWrap/>
            <w:vAlign w:val="bottom"/>
            <w:hideMark/>
          </w:tcPr>
          <w:p w:rsidR="009A4CED" w:rsidRPr="00786A01" w:rsidRDefault="009A4CED" w:rsidP="00F51074">
            <w:pPr>
              <w:widowControl/>
              <w:autoSpaceDE/>
              <w:autoSpaceDN/>
              <w:jc w:val="center"/>
              <w:rPr>
                <w:rFonts w:ascii="Garamond" w:eastAsia="Times New Roman" w:hAnsi="Garamond"/>
                <w:b/>
                <w:bCs/>
                <w:sz w:val="12"/>
                <w:szCs w:val="12"/>
                <w:lang w:eastAsia="ja-JP" w:bidi="ar-SA"/>
              </w:rPr>
            </w:pP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1641F4">
        <w:trPr>
          <w:trHeight w:val="255"/>
        </w:trPr>
        <w:tc>
          <w:tcPr>
            <w:tcW w:w="13081" w:type="dxa"/>
            <w:gridSpan w:val="14"/>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9A4CED" w:rsidRPr="00786A01" w:rsidRDefault="009A4CED" w:rsidP="0088398D">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objective 4.5._E) Development and strengthening of external audit</w:t>
            </w:r>
          </w:p>
        </w:tc>
      </w:tr>
      <w:tr w:rsidR="009A4CED" w:rsidRPr="00786A01" w:rsidTr="001641F4">
        <w:trPr>
          <w:trHeight w:val="255"/>
        </w:trPr>
        <w:tc>
          <w:tcPr>
            <w:tcW w:w="13081" w:type="dxa"/>
            <w:gridSpan w:val="14"/>
            <w:tcBorders>
              <w:top w:val="nil"/>
              <w:left w:val="single" w:sz="4" w:space="0" w:color="auto"/>
              <w:bottom w:val="single" w:sz="4" w:space="0" w:color="auto"/>
              <w:right w:val="single" w:sz="4" w:space="0" w:color="auto"/>
            </w:tcBorders>
            <w:shd w:val="clear" w:color="auto" w:fill="A6A6A6" w:themeFill="background1" w:themeFillShade="A6"/>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p w:rsidR="009A4CED" w:rsidRPr="00786A01" w:rsidRDefault="009A4CED" w:rsidP="0088398D">
            <w:pPr>
              <w:widowControl/>
              <w:autoSpaceDE/>
              <w:autoSpaceDN/>
              <w:rPr>
                <w:rFonts w:ascii="Garamond" w:eastAsia="Times New Roman" w:hAnsi="Garamond"/>
                <w:sz w:val="12"/>
                <w:szCs w:val="12"/>
                <w:lang w:eastAsia="ja-JP" w:bidi="ar-SA"/>
              </w:rPr>
            </w:pPr>
            <w:r w:rsidRPr="00786A01">
              <w:rPr>
                <w:rFonts w:ascii="Garamond" w:eastAsia="Times New Roman" w:hAnsi="Garamond"/>
                <w:b/>
                <w:bCs/>
                <w:sz w:val="12"/>
                <w:szCs w:val="12"/>
                <w:lang w:eastAsia="ja-JP" w:bidi="ar-SA"/>
              </w:rPr>
              <w:t>Operational objective 4.5.2._Audit Authority</w:t>
            </w:r>
          </w:p>
        </w:tc>
      </w:tr>
      <w:tr w:rsidR="009A4CED" w:rsidRPr="00786A01" w:rsidTr="001641F4">
        <w:trPr>
          <w:trHeight w:val="171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37</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No of trainings/seminars/ workshops for auditors delivered</w:t>
            </w: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Minimum 3 trainings delivered</w:t>
            </w:r>
            <w:r w:rsidRPr="00786A01">
              <w:rPr>
                <w:rFonts w:ascii="Garamond" w:eastAsia="Times New Roman" w:hAnsi="Garamond"/>
                <w:b/>
                <w:bCs/>
                <w:color w:val="376091"/>
                <w:sz w:val="12"/>
                <w:szCs w:val="12"/>
                <w:lang w:eastAsia="ja-JP" w:bidi="ar-SA"/>
              </w:rPr>
              <w:br/>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(2018):  </w:t>
            </w:r>
            <w:r w:rsidR="00D2080A">
              <w:rPr>
                <w:rFonts w:ascii="Garamond" w:eastAsia="Times New Roman" w:hAnsi="Garamond"/>
                <w:b/>
                <w:bCs/>
                <w:color w:val="376091"/>
                <w:sz w:val="12"/>
                <w:szCs w:val="12"/>
                <w:lang w:eastAsia="ja-JP" w:bidi="ar-SA"/>
              </w:rPr>
              <w:t>Organised</w:t>
            </w:r>
            <w:r w:rsidRPr="00786A01">
              <w:rPr>
                <w:rFonts w:ascii="Garamond" w:eastAsia="Times New Roman" w:hAnsi="Garamond"/>
                <w:b/>
                <w:bCs/>
                <w:color w:val="376091"/>
                <w:sz w:val="12"/>
                <w:szCs w:val="12"/>
                <w:lang w:eastAsia="ja-JP" w:bidi="ar-SA"/>
              </w:rPr>
              <w:t xml:space="preserve"> a minimum of 5 audit trainings per auditor</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2018: 13 On average, 3 trainings were </w:t>
            </w:r>
            <w:r w:rsidR="00D2080A">
              <w:rPr>
                <w:rFonts w:ascii="Garamond" w:eastAsia="Times New Roman" w:hAnsi="Garamond"/>
                <w:b/>
                <w:bCs/>
                <w:color w:val="376091"/>
                <w:sz w:val="12"/>
                <w:szCs w:val="12"/>
                <w:lang w:eastAsia="ja-JP" w:bidi="ar-SA"/>
              </w:rPr>
              <w:t>organised</w:t>
            </w:r>
            <w:r w:rsidRPr="00786A01">
              <w:rPr>
                <w:rFonts w:ascii="Garamond" w:eastAsia="Times New Roman" w:hAnsi="Garamond"/>
                <w:b/>
                <w:bCs/>
                <w:color w:val="376091"/>
                <w:sz w:val="12"/>
                <w:szCs w:val="12"/>
                <w:lang w:eastAsia="ja-JP" w:bidi="ar-SA"/>
              </w:rPr>
              <w:t xml:space="preserve"> per auditor</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additional 7 trainings delivered</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Actual value in 2019: 11 trainings per auditor were </w:t>
            </w:r>
            <w:r w:rsidR="00D2080A">
              <w:rPr>
                <w:rFonts w:ascii="Garamond" w:eastAsia="Times New Roman" w:hAnsi="Garamond"/>
                <w:b/>
                <w:bCs/>
                <w:color w:val="376091"/>
                <w:sz w:val="12"/>
                <w:szCs w:val="12"/>
                <w:lang w:eastAsia="ja-JP" w:bidi="ar-SA"/>
              </w:rPr>
              <w:t>organised</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711781">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(2020): </w:t>
            </w:r>
            <w:r w:rsidR="00D2080A">
              <w:rPr>
                <w:rFonts w:ascii="Garamond" w:eastAsia="Times New Roman" w:hAnsi="Garamond"/>
                <w:b/>
                <w:bCs/>
                <w:color w:val="376091"/>
                <w:sz w:val="12"/>
                <w:szCs w:val="12"/>
                <w:lang w:eastAsia="ja-JP" w:bidi="ar-SA"/>
              </w:rPr>
              <w:t>Organised</w:t>
            </w:r>
            <w:r w:rsidRPr="00786A01">
              <w:rPr>
                <w:rFonts w:ascii="Garamond" w:eastAsia="Times New Roman" w:hAnsi="Garamond"/>
                <w:b/>
                <w:bCs/>
                <w:color w:val="376091"/>
                <w:sz w:val="12"/>
                <w:szCs w:val="12"/>
                <w:lang w:eastAsia="ja-JP" w:bidi="ar-SA"/>
              </w:rPr>
              <w:t xml:space="preserve"> a minimum of 7 audit trainings per auditor </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right"/>
              <w:rPr>
                <w:rFonts w:ascii="Garamond" w:eastAsia="Times New Roman" w:hAnsi="Garamond"/>
                <w:b/>
                <w:bCs/>
                <w:color w:val="365F91" w:themeColor="accent1" w:themeShade="BF"/>
                <w:sz w:val="12"/>
                <w:szCs w:val="12"/>
                <w:lang w:eastAsia="ja-JP" w:bidi="ar-SA"/>
              </w:rPr>
            </w:pPr>
            <w:r w:rsidRPr="00786A01">
              <w:rPr>
                <w:rFonts w:ascii="Garamond" w:eastAsia="Times New Roman" w:hAnsi="Garamond"/>
                <w:b/>
                <w:bCs/>
                <w:color w:val="365F91" w:themeColor="accent1" w:themeShade="BF"/>
                <w:sz w:val="12"/>
                <w:szCs w:val="12"/>
                <w:lang w:eastAsia="ja-JP" w:bidi="ar-SA"/>
              </w:rPr>
              <w:t>Actual value in 2020</w:t>
            </w:r>
          </w:p>
          <w:p w:rsidR="009A4CED" w:rsidRPr="00786A01" w:rsidRDefault="009A4CED" w:rsidP="002A43C0">
            <w:pPr>
              <w:widowControl/>
              <w:autoSpaceDE/>
              <w:autoSpaceDN/>
              <w:jc w:val="right"/>
              <w:rPr>
                <w:rFonts w:ascii="Garamond" w:eastAsia="Times New Roman" w:hAnsi="Garamond"/>
                <w:b/>
                <w:bCs/>
                <w:color w:val="365F91" w:themeColor="accent1" w:themeShade="BF"/>
                <w:sz w:val="12"/>
                <w:szCs w:val="12"/>
                <w:lang w:eastAsia="ja-JP" w:bidi="ar-SA"/>
              </w:rPr>
            </w:pPr>
            <w:r w:rsidRPr="00786A01">
              <w:rPr>
                <w:rFonts w:ascii="Garamond" w:eastAsia="Times New Roman" w:hAnsi="Garamond"/>
                <w:b/>
                <w:bCs/>
                <w:color w:val="365F91" w:themeColor="accent1" w:themeShade="BF"/>
                <w:sz w:val="12"/>
                <w:szCs w:val="12"/>
                <w:lang w:eastAsia="ja-JP" w:bidi="ar-SA"/>
              </w:rPr>
              <w:t xml:space="preserve">9 trainings per auditor were </w:t>
            </w:r>
            <w:r w:rsidR="00D2080A">
              <w:rPr>
                <w:rFonts w:ascii="Garamond" w:eastAsia="Times New Roman" w:hAnsi="Garamond"/>
                <w:b/>
                <w:bCs/>
                <w:color w:val="365F91" w:themeColor="accent1" w:themeShade="BF"/>
                <w:sz w:val="12"/>
                <w:szCs w:val="12"/>
                <w:lang w:eastAsia="ja-JP" w:bidi="ar-SA"/>
              </w:rPr>
              <w:t>organised</w:t>
            </w:r>
            <w:r w:rsidRPr="00786A01">
              <w:rPr>
                <w:rFonts w:ascii="Garamond" w:eastAsia="Times New Roman" w:hAnsi="Garamond"/>
                <w:b/>
                <w:bCs/>
                <w:color w:val="365F91" w:themeColor="accent1" w:themeShade="BF"/>
                <w:sz w:val="12"/>
                <w:szCs w:val="12"/>
                <w:lang w:eastAsia="ja-JP" w:bidi="ar-SA"/>
              </w:rPr>
              <w:t>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widowControl/>
              <w:autoSpaceDE/>
              <w:autoSpaceDN/>
              <w:jc w:val="right"/>
              <w:rPr>
                <w:rFonts w:ascii="Garamond" w:eastAsia="Times New Roman" w:hAnsi="Garamond"/>
                <w:b/>
                <w:bCs/>
                <w:color w:val="365F91" w:themeColor="accent1" w:themeShade="BF"/>
                <w:sz w:val="12"/>
                <w:szCs w:val="12"/>
                <w:lang w:eastAsia="ja-JP" w:bidi="ar-SA"/>
              </w:rPr>
            </w:pP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1641F4">
        <w:trPr>
          <w:trHeight w:val="1349"/>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38</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711781">
            <w:pPr>
              <w:pStyle w:val="Default"/>
              <w:rPr>
                <w:rFonts w:ascii="Garamond" w:hAnsi="Garamond"/>
                <w:color w:val="365F91" w:themeColor="accent1" w:themeShade="BF"/>
                <w:sz w:val="12"/>
                <w:szCs w:val="12"/>
              </w:rPr>
            </w:pPr>
            <w:r w:rsidRPr="00786A01">
              <w:rPr>
                <w:rFonts w:ascii="Garamond" w:hAnsi="Garamond"/>
                <w:iCs/>
                <w:color w:val="365F91" w:themeColor="accent1" w:themeShade="BF"/>
                <w:sz w:val="12"/>
                <w:szCs w:val="12"/>
              </w:rPr>
              <w:t xml:space="preserve">Progress in implementing the Strategy and AP </w:t>
            </w:r>
          </w:p>
          <w:p w:rsidR="009A4CED" w:rsidRPr="00786A01" w:rsidRDefault="009A4CED" w:rsidP="002A43C0">
            <w:pPr>
              <w:widowControl/>
              <w:autoSpaceDE/>
              <w:autoSpaceDN/>
              <w:rPr>
                <w:rFonts w:ascii="Garamond" w:eastAsia="Times New Roman" w:hAnsi="Garamond"/>
                <w:b/>
                <w:bCs/>
                <w:color w:val="365F91" w:themeColor="accent1" w:themeShade="BF"/>
                <w:sz w:val="12"/>
                <w:szCs w:val="12"/>
                <w:lang w:eastAsia="ja-JP" w:bidi="ar-SA"/>
              </w:rPr>
            </w:pP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N/A</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The activities listed in the action plan will start in 2019</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The activities listed in the AP start in 2019</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Strategic plan adopted /</w:t>
            </w:r>
          </w:p>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Action plan adopted</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Activities have been postponed to 2020.</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20% of planned activities reali</w:t>
            </w:r>
            <w:r w:rsidR="00371F6C">
              <w:rPr>
                <w:rFonts w:ascii="Garamond" w:eastAsia="Times New Roman" w:hAnsi="Garamond"/>
                <w:b/>
                <w:bCs/>
                <w:color w:val="376091"/>
                <w:sz w:val="12"/>
                <w:szCs w:val="12"/>
                <w:lang w:eastAsia="ja-JP" w:bidi="ar-SA"/>
              </w:rPr>
              <w:t>sed</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The Strategic Plan and the Action Plan for its implementation were adopted on December 29, 2020 and refer to the period 2021-2025.</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widowControl/>
              <w:autoSpaceDE/>
              <w:autoSpaceDN/>
              <w:jc w:val="right"/>
              <w:rPr>
                <w:rFonts w:ascii="Garamond" w:eastAsia="Times New Roman" w:hAnsi="Garamond"/>
                <w:b/>
                <w:bCs/>
                <w:color w:val="365F91" w:themeColor="accent1" w:themeShade="BF"/>
                <w:sz w:val="12"/>
                <w:szCs w:val="12"/>
                <w:lang w:eastAsia="ja-JP" w:bidi="ar-SA"/>
              </w:rPr>
            </w:pP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1641F4">
        <w:trPr>
          <w:trHeight w:val="120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39</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pStyle w:val="Default"/>
              <w:rPr>
                <w:rFonts w:ascii="Garamond" w:hAnsi="Garamond"/>
                <w:color w:val="365F91" w:themeColor="accent1" w:themeShade="BF"/>
                <w:sz w:val="12"/>
                <w:szCs w:val="12"/>
              </w:rPr>
            </w:pPr>
            <w:r w:rsidRPr="00786A01">
              <w:rPr>
                <w:rFonts w:ascii="Garamond" w:hAnsi="Garamond"/>
                <w:iCs/>
                <w:color w:val="365F91" w:themeColor="accent1" w:themeShade="BF"/>
                <w:sz w:val="12"/>
                <w:szCs w:val="12"/>
              </w:rPr>
              <w:t xml:space="preserve">Degree of audit methodology improvement – Audit Manual </w:t>
            </w:r>
          </w:p>
          <w:p w:rsidR="009A4CED" w:rsidRPr="00786A01" w:rsidRDefault="009A4CED" w:rsidP="002A43C0">
            <w:pPr>
              <w:widowControl/>
              <w:autoSpaceDE/>
              <w:autoSpaceDN/>
              <w:rPr>
                <w:rFonts w:ascii="Garamond" w:eastAsia="Times New Roman" w:hAnsi="Garamond"/>
                <w:b/>
                <w:bCs/>
                <w:color w:val="365F91" w:themeColor="accent1" w:themeShade="BF"/>
                <w:sz w:val="12"/>
                <w:szCs w:val="12"/>
                <w:lang w:eastAsia="ja-JP" w:bidi="ar-SA"/>
              </w:rPr>
            </w:pP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Audit Manual prepared</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The activities listed in the action plan will start in 2019</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The activities listed in the AP start in 2019</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50% of deficiencies eliminated</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90% of deficiencies eliminated</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100% of deficiencies eliminated</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 xml:space="preserve">100% of deficiencies eliminated </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widowControl/>
              <w:autoSpaceDE/>
              <w:autoSpaceDN/>
              <w:jc w:val="right"/>
              <w:rPr>
                <w:rFonts w:ascii="Garamond" w:eastAsia="Times New Roman" w:hAnsi="Garamond"/>
                <w:b/>
                <w:bCs/>
                <w:color w:val="365F91" w:themeColor="accent1" w:themeShade="BF"/>
                <w:sz w:val="12"/>
                <w:szCs w:val="12"/>
                <w:lang w:eastAsia="ja-JP" w:bidi="ar-SA"/>
              </w:rPr>
            </w:pP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1641F4">
        <w:trPr>
          <w:trHeight w:val="1430"/>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40</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pStyle w:val="Default"/>
              <w:rPr>
                <w:rFonts w:ascii="Garamond" w:hAnsi="Garamond"/>
                <w:color w:val="365F91" w:themeColor="accent1" w:themeShade="BF"/>
                <w:sz w:val="12"/>
                <w:szCs w:val="12"/>
              </w:rPr>
            </w:pPr>
            <w:r w:rsidRPr="00786A01">
              <w:rPr>
                <w:rFonts w:ascii="Garamond" w:hAnsi="Garamond"/>
                <w:iCs/>
                <w:color w:val="365F91" w:themeColor="accent1" w:themeShade="BF"/>
                <w:sz w:val="12"/>
                <w:szCs w:val="12"/>
              </w:rPr>
              <w:t xml:space="preserve">Share of audits conducting by using the audit software tool </w:t>
            </w:r>
          </w:p>
          <w:p w:rsidR="009A4CED" w:rsidRPr="00786A01" w:rsidRDefault="009A4CED" w:rsidP="002A43C0">
            <w:pPr>
              <w:widowControl/>
              <w:autoSpaceDE/>
              <w:autoSpaceDN/>
              <w:rPr>
                <w:rFonts w:ascii="Garamond" w:eastAsia="Times New Roman" w:hAnsi="Garamond"/>
                <w:b/>
                <w:bCs/>
                <w:color w:val="365F91" w:themeColor="accent1" w:themeShade="BF"/>
                <w:sz w:val="12"/>
                <w:szCs w:val="12"/>
                <w:lang w:eastAsia="ja-JP" w:bidi="ar-SA"/>
              </w:rPr>
            </w:pP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01277E">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n/a</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The activities listed in the action plan will start in 2019</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The activities listed in the AP start in 2019</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(2019):  20%</w:t>
            </w:r>
          </w:p>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audit conducted using software</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33.33%</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50%</w:t>
            </w:r>
          </w:p>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audit conducted using software</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66.66%</w:t>
            </w:r>
          </w:p>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audit conducted using software</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widowControl/>
              <w:autoSpaceDE/>
              <w:autoSpaceDN/>
              <w:jc w:val="right"/>
              <w:rPr>
                <w:rFonts w:ascii="Garamond" w:eastAsia="Times New Roman" w:hAnsi="Garamond"/>
                <w:b/>
                <w:bCs/>
                <w:color w:val="365F91" w:themeColor="accent1" w:themeShade="BF"/>
                <w:sz w:val="12"/>
                <w:szCs w:val="12"/>
                <w:lang w:eastAsia="ja-JP" w:bidi="ar-SA"/>
              </w:rPr>
            </w:pP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1641F4">
        <w:trPr>
          <w:trHeight w:val="548"/>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Performance indicator 41</w:t>
            </w:r>
          </w:p>
        </w:tc>
        <w:tc>
          <w:tcPr>
            <w:tcW w:w="1152"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01277E">
            <w:pPr>
              <w:pStyle w:val="Default"/>
              <w:rPr>
                <w:rFonts w:ascii="Garamond" w:hAnsi="Garamond"/>
                <w:color w:val="365F91" w:themeColor="accent1" w:themeShade="BF"/>
                <w:sz w:val="12"/>
                <w:szCs w:val="12"/>
              </w:rPr>
            </w:pPr>
            <w:r w:rsidRPr="00786A01">
              <w:rPr>
                <w:rFonts w:ascii="Garamond" w:hAnsi="Garamond"/>
                <w:iCs/>
                <w:color w:val="365F91" w:themeColor="accent1" w:themeShade="BF"/>
                <w:sz w:val="12"/>
                <w:szCs w:val="12"/>
              </w:rPr>
              <w:t xml:space="preserve">Level of implementing standards to ensure audit quality </w:t>
            </w:r>
          </w:p>
          <w:p w:rsidR="009A4CED" w:rsidRPr="00786A01" w:rsidRDefault="009A4CED" w:rsidP="002A43C0">
            <w:pPr>
              <w:widowControl/>
              <w:autoSpaceDE/>
              <w:autoSpaceDN/>
              <w:rPr>
                <w:rFonts w:ascii="Garamond" w:eastAsia="Times New Roman" w:hAnsi="Garamond"/>
                <w:b/>
                <w:bCs/>
                <w:color w:val="365F91" w:themeColor="accent1" w:themeShade="BF"/>
                <w:sz w:val="12"/>
                <w:szCs w:val="12"/>
                <w:lang w:eastAsia="ja-JP" w:bidi="ar-SA"/>
              </w:rPr>
            </w:pPr>
          </w:p>
        </w:tc>
        <w:tc>
          <w:tcPr>
            <w:tcW w:w="98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01277E">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PV (2014): n/a</w:t>
            </w:r>
          </w:p>
        </w:tc>
        <w:tc>
          <w:tcPr>
            <w:tcW w:w="97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841"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spacing w:after="240"/>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  N/A</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(2018):  The activities listed in the action plan will start in 2019</w:t>
            </w:r>
          </w:p>
        </w:tc>
        <w:tc>
          <w:tcPr>
            <w:tcW w:w="906"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2A43C0">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2018: The activities listed in the AP start in 2019</w:t>
            </w:r>
          </w:p>
        </w:tc>
        <w:tc>
          <w:tcPr>
            <w:tcW w:w="938"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384833">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 xml:space="preserve">TV  (2019):  </w:t>
            </w:r>
            <w:r w:rsidR="00384833">
              <w:rPr>
                <w:rFonts w:ascii="Garamond" w:eastAsia="Times New Roman" w:hAnsi="Garamond"/>
                <w:b/>
                <w:bCs/>
                <w:color w:val="376091"/>
                <w:sz w:val="12"/>
                <w:szCs w:val="12"/>
                <w:lang w:eastAsia="ja-JP" w:bidi="ar-SA"/>
              </w:rPr>
              <w:t>30%</w:t>
            </w:r>
          </w:p>
        </w:tc>
        <w:tc>
          <w:tcPr>
            <w:tcW w:w="993"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5E6A56">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2019: 75% of audits covered by quality control</w:t>
            </w:r>
          </w:p>
        </w:tc>
        <w:tc>
          <w:tcPr>
            <w:tcW w:w="1301" w:type="dxa"/>
            <w:tcBorders>
              <w:top w:val="nil"/>
              <w:left w:val="nil"/>
              <w:bottom w:val="single" w:sz="4" w:space="0" w:color="auto"/>
              <w:right w:val="single" w:sz="4" w:space="0" w:color="auto"/>
            </w:tcBorders>
            <w:shd w:val="clear" w:color="000000" w:fill="FFFFFF"/>
            <w:vAlign w:val="center"/>
            <w:hideMark/>
          </w:tcPr>
          <w:p w:rsidR="009A4CED" w:rsidRPr="00786A01" w:rsidRDefault="009A4CED" w:rsidP="005E6A56">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TV (2020):  50%</w:t>
            </w:r>
          </w:p>
        </w:tc>
        <w:tc>
          <w:tcPr>
            <w:tcW w:w="1029" w:type="dxa"/>
            <w:tcBorders>
              <w:top w:val="nil"/>
              <w:left w:val="nil"/>
              <w:bottom w:val="single" w:sz="4" w:space="0" w:color="auto"/>
              <w:right w:val="single" w:sz="4" w:space="0" w:color="auto"/>
            </w:tcBorders>
            <w:shd w:val="clear" w:color="auto" w:fill="auto"/>
            <w:vAlign w:val="center"/>
            <w:hideMark/>
          </w:tcPr>
          <w:p w:rsidR="009A4CED" w:rsidRPr="00786A01" w:rsidRDefault="009A4CED" w:rsidP="0001277E">
            <w:pPr>
              <w:widowControl/>
              <w:autoSpaceDE/>
              <w:autoSpaceDN/>
              <w:jc w:val="center"/>
              <w:rPr>
                <w:rFonts w:ascii="Garamond" w:eastAsia="Times New Roman" w:hAnsi="Garamond"/>
                <w:b/>
                <w:bCs/>
                <w:color w:val="376091"/>
                <w:sz w:val="12"/>
                <w:szCs w:val="12"/>
                <w:lang w:eastAsia="ja-JP" w:bidi="ar-SA"/>
              </w:rPr>
            </w:pPr>
            <w:r w:rsidRPr="00786A01">
              <w:rPr>
                <w:rFonts w:ascii="Garamond" w:eastAsia="Times New Roman" w:hAnsi="Garamond"/>
                <w:b/>
                <w:bCs/>
                <w:color w:val="376091"/>
                <w:sz w:val="12"/>
                <w:szCs w:val="12"/>
                <w:lang w:eastAsia="ja-JP" w:bidi="ar-SA"/>
              </w:rPr>
              <w:t>Actual value in 2020.</w:t>
            </w:r>
            <w:r w:rsidRPr="00786A01">
              <w:rPr>
                <w:rFonts w:ascii="Garamond" w:eastAsia="Times New Roman" w:hAnsi="Garamond"/>
                <w:b/>
                <w:bCs/>
                <w:color w:val="376091"/>
                <w:sz w:val="12"/>
                <w:szCs w:val="12"/>
                <w:lang w:eastAsia="ja-JP" w:bidi="ar-SA"/>
              </w:rPr>
              <w:br/>
              <w:t>75% of audits covered by quality control</w:t>
            </w: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AA59FF">
            <w:pPr>
              <w:widowControl/>
              <w:autoSpaceDE/>
              <w:autoSpaceDN/>
              <w:jc w:val="right"/>
              <w:rPr>
                <w:rFonts w:ascii="Garamond" w:eastAsia="Times New Roman" w:hAnsi="Garamond"/>
                <w:b/>
                <w:bCs/>
                <w:color w:val="365F91" w:themeColor="accent1" w:themeShade="BF"/>
                <w:sz w:val="12"/>
                <w:szCs w:val="12"/>
                <w:lang w:eastAsia="ja-JP" w:bidi="ar-SA"/>
              </w:rPr>
            </w:pPr>
          </w:p>
        </w:tc>
        <w:tc>
          <w:tcPr>
            <w:tcW w:w="100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center"/>
            <w:hideMark/>
          </w:tcPr>
          <w:p w:rsidR="009A4CED" w:rsidRPr="00786A01" w:rsidRDefault="009A4CED" w:rsidP="0088398D">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PUBLIC FINANCE MANAGEMENT</w:t>
            </w:r>
          </w:p>
        </w:tc>
        <w:tc>
          <w:tcPr>
            <w:tcW w:w="98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Type of activity </w:t>
            </w:r>
          </w:p>
        </w:tc>
        <w:tc>
          <w:tcPr>
            <w:tcW w:w="97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Result indicator</w:t>
            </w:r>
          </w:p>
        </w:tc>
        <w:tc>
          <w:tcPr>
            <w:tcW w:w="84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Technical assistance </w:t>
            </w:r>
            <w:proofErr w:type="gramStart"/>
            <w:r w:rsidRPr="00786A01">
              <w:rPr>
                <w:rFonts w:ascii="Garamond" w:eastAsia="Times New Roman" w:hAnsi="Garamond"/>
                <w:sz w:val="12"/>
                <w:szCs w:val="12"/>
                <w:lang w:eastAsia="ja-JP" w:bidi="ar-SA"/>
              </w:rPr>
              <w:t>required</w:t>
            </w:r>
            <w:proofErr w:type="gramEnd"/>
            <w:r w:rsidRPr="00786A01">
              <w:rPr>
                <w:rFonts w:ascii="Garamond" w:eastAsia="Times New Roman" w:hAnsi="Garamond"/>
                <w:sz w:val="12"/>
                <w:szCs w:val="12"/>
                <w:lang w:eastAsia="ja-JP" w:bidi="ar-SA"/>
              </w:rPr>
              <w:br/>
              <w:t>(IPA, IMoF,</w:t>
            </w:r>
            <w:r w:rsidRPr="00786A01">
              <w:rPr>
                <w:rFonts w:ascii="Garamond" w:eastAsia="Times New Roman" w:hAnsi="Garamond"/>
                <w:sz w:val="12"/>
                <w:szCs w:val="12"/>
                <w:lang w:eastAsia="ja-JP" w:bidi="ar-SA"/>
              </w:rPr>
              <w:br/>
              <w:t xml:space="preserve">UNDP…) </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Implementation</w:t>
            </w:r>
            <w:r w:rsidRPr="00786A01">
              <w:rPr>
                <w:rFonts w:ascii="Garamond" w:eastAsia="Times New Roman" w:hAnsi="Garamond"/>
                <w:sz w:val="12"/>
                <w:szCs w:val="12"/>
                <w:lang w:eastAsia="ja-JP" w:bidi="ar-SA"/>
              </w:rPr>
              <w:br/>
              <w:t>agency /</w:t>
            </w:r>
            <w:r w:rsidRPr="00786A01">
              <w:rPr>
                <w:rFonts w:ascii="Garamond" w:eastAsia="Times New Roman" w:hAnsi="Garamond"/>
                <w:sz w:val="12"/>
                <w:szCs w:val="12"/>
                <w:lang w:eastAsia="ja-JP" w:bidi="ar-SA"/>
              </w:rPr>
              <w:br/>
              <w:t>Directorate</w:t>
            </w:r>
          </w:p>
        </w:tc>
        <w:tc>
          <w:tcPr>
            <w:tcW w:w="906"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Priority</w:t>
            </w:r>
          </w:p>
        </w:tc>
        <w:tc>
          <w:tcPr>
            <w:tcW w:w="938"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start date </w:t>
            </w:r>
          </w:p>
        </w:tc>
        <w:tc>
          <w:tcPr>
            <w:tcW w:w="993"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Planned </w:t>
            </w:r>
            <w:r w:rsidRPr="00786A01">
              <w:rPr>
                <w:rFonts w:ascii="Garamond" w:eastAsia="Times New Roman" w:hAnsi="Garamond"/>
                <w:sz w:val="12"/>
                <w:szCs w:val="12"/>
                <w:lang w:eastAsia="ja-JP" w:bidi="ar-SA"/>
              </w:rPr>
              <w:br/>
              <w:t xml:space="preserve">date  </w:t>
            </w:r>
            <w:r w:rsidRPr="00786A01">
              <w:rPr>
                <w:rFonts w:ascii="Garamond" w:eastAsia="Times New Roman" w:hAnsi="Garamond"/>
                <w:sz w:val="12"/>
                <w:szCs w:val="12"/>
                <w:lang w:eastAsia="ja-JP" w:bidi="ar-SA"/>
              </w:rPr>
              <w:br/>
              <w:t xml:space="preserve">of completion </w:t>
            </w:r>
          </w:p>
        </w:tc>
        <w:tc>
          <w:tcPr>
            <w:tcW w:w="13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New deadline for implementation </w:t>
            </w:r>
          </w:p>
        </w:tc>
        <w:tc>
          <w:tcPr>
            <w:tcW w:w="1029"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Planned funding</w:t>
            </w:r>
          </w:p>
        </w:tc>
        <w:tc>
          <w:tcPr>
            <w:tcW w:w="901"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Spent funds</w:t>
            </w:r>
          </w:p>
        </w:tc>
        <w:tc>
          <w:tcPr>
            <w:tcW w:w="1007" w:type="dxa"/>
            <w:vMerge w:val="restart"/>
            <w:tcBorders>
              <w:top w:val="nil"/>
              <w:left w:val="single" w:sz="4" w:space="0" w:color="auto"/>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Recommendations</w:t>
            </w:r>
          </w:p>
        </w:tc>
      </w:tr>
      <w:tr w:rsidR="009A4CED" w:rsidRPr="00786A01" w:rsidTr="009A4CED">
        <w:trPr>
          <w:trHeight w:val="259"/>
        </w:trPr>
        <w:tc>
          <w:tcPr>
            <w:tcW w:w="2305" w:type="dxa"/>
            <w:gridSpan w:val="3"/>
            <w:tcBorders>
              <w:top w:val="nil"/>
              <w:left w:val="single" w:sz="4" w:space="0" w:color="auto"/>
              <w:bottom w:val="single" w:sz="4" w:space="0" w:color="auto"/>
              <w:right w:val="single" w:sz="4" w:space="0" w:color="auto"/>
            </w:tcBorders>
            <w:shd w:val="clear" w:color="000000" w:fill="FFFF99"/>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88398D">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SUB-SYSTEM </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384833">
        <w:trPr>
          <w:trHeight w:val="60"/>
        </w:trPr>
        <w:tc>
          <w:tcPr>
            <w:tcW w:w="386" w:type="dxa"/>
            <w:tcBorders>
              <w:top w:val="nil"/>
              <w:left w:val="single" w:sz="4" w:space="0" w:color="auto"/>
              <w:bottom w:val="single" w:sz="4" w:space="0" w:color="auto"/>
              <w:right w:val="single" w:sz="4" w:space="0" w:color="auto"/>
            </w:tcBorders>
            <w:shd w:val="clear" w:color="000000" w:fill="FFFF99"/>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000000" w:fill="FFFF99"/>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000000" w:fill="FFFF99"/>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ACTIVITY</w:t>
            </w:r>
          </w:p>
        </w:tc>
        <w:tc>
          <w:tcPr>
            <w:tcW w:w="98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93"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29"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007" w:type="dxa"/>
            <w:vMerge/>
            <w:tcBorders>
              <w:top w:val="nil"/>
              <w:left w:val="single" w:sz="4" w:space="0" w:color="auto"/>
              <w:bottom w:val="single" w:sz="4" w:space="0" w:color="auto"/>
              <w:right w:val="single" w:sz="4" w:space="0" w:color="auto"/>
            </w:tcBorders>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r>
      <w:tr w:rsidR="009A4CED" w:rsidRPr="00786A01" w:rsidTr="009A4CED">
        <w:trPr>
          <w:trHeight w:val="259"/>
        </w:trPr>
        <w:tc>
          <w:tcPr>
            <w:tcW w:w="386" w:type="dxa"/>
            <w:tcBorders>
              <w:top w:val="nil"/>
              <w:left w:val="single" w:sz="4" w:space="0" w:color="auto"/>
              <w:bottom w:val="single" w:sz="4" w:space="0" w:color="auto"/>
              <w:right w:val="single" w:sz="4" w:space="0" w:color="auto"/>
            </w:tcBorders>
            <w:shd w:val="clear" w:color="000000" w:fill="FFFF99"/>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w:t>
            </w:r>
          </w:p>
        </w:tc>
        <w:tc>
          <w:tcPr>
            <w:tcW w:w="767" w:type="dxa"/>
            <w:tcBorders>
              <w:top w:val="nil"/>
              <w:left w:val="nil"/>
              <w:bottom w:val="single" w:sz="4" w:space="0" w:color="auto"/>
              <w:right w:val="single" w:sz="4" w:space="0" w:color="auto"/>
            </w:tcBorders>
            <w:shd w:val="clear" w:color="000000" w:fill="FFFF99"/>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2</w:t>
            </w:r>
          </w:p>
        </w:tc>
        <w:tc>
          <w:tcPr>
            <w:tcW w:w="1152" w:type="dxa"/>
            <w:tcBorders>
              <w:top w:val="nil"/>
              <w:left w:val="nil"/>
              <w:bottom w:val="single" w:sz="4" w:space="0" w:color="auto"/>
              <w:right w:val="single" w:sz="4" w:space="0" w:color="auto"/>
            </w:tcBorders>
            <w:shd w:val="clear" w:color="000000" w:fill="FFFF99"/>
            <w:noWrap/>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3</w:t>
            </w:r>
          </w:p>
        </w:tc>
        <w:tc>
          <w:tcPr>
            <w:tcW w:w="98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4</w:t>
            </w:r>
          </w:p>
        </w:tc>
        <w:tc>
          <w:tcPr>
            <w:tcW w:w="97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5</w:t>
            </w:r>
          </w:p>
        </w:tc>
        <w:tc>
          <w:tcPr>
            <w:tcW w:w="84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6</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7</w:t>
            </w:r>
          </w:p>
        </w:tc>
        <w:tc>
          <w:tcPr>
            <w:tcW w:w="906"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8</w:t>
            </w:r>
          </w:p>
        </w:tc>
        <w:tc>
          <w:tcPr>
            <w:tcW w:w="938"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9</w:t>
            </w:r>
          </w:p>
        </w:tc>
        <w:tc>
          <w:tcPr>
            <w:tcW w:w="993"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10</w:t>
            </w:r>
          </w:p>
        </w:tc>
        <w:tc>
          <w:tcPr>
            <w:tcW w:w="13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11</w:t>
            </w:r>
          </w:p>
        </w:tc>
        <w:tc>
          <w:tcPr>
            <w:tcW w:w="1029"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12</w:t>
            </w:r>
          </w:p>
        </w:tc>
        <w:tc>
          <w:tcPr>
            <w:tcW w:w="901"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13</w:t>
            </w:r>
          </w:p>
        </w:tc>
        <w:tc>
          <w:tcPr>
            <w:tcW w:w="1007" w:type="dxa"/>
            <w:tcBorders>
              <w:top w:val="nil"/>
              <w:left w:val="nil"/>
              <w:bottom w:val="single" w:sz="4" w:space="0" w:color="auto"/>
              <w:right w:val="single" w:sz="4" w:space="0" w:color="auto"/>
            </w:tcBorders>
            <w:shd w:val="clear" w:color="000000" w:fill="FFFF99"/>
            <w:vAlign w:val="center"/>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14</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nil"/>
              <w:left w:val="nil"/>
              <w:bottom w:val="single" w:sz="4" w:space="0" w:color="auto"/>
              <w:right w:val="single" w:sz="4" w:space="0" w:color="auto"/>
            </w:tcBorders>
            <w:shd w:val="clear" w:color="auto" w:fill="00B050"/>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p w:rsidR="009A4CED" w:rsidRPr="00786A01" w:rsidRDefault="009A4CED" w:rsidP="005E6A56">
            <w:pPr>
              <w:pStyle w:val="Default"/>
              <w:rPr>
                <w:rFonts w:ascii="Garamond" w:hAnsi="Garamond"/>
                <w:sz w:val="12"/>
                <w:szCs w:val="12"/>
              </w:rPr>
            </w:pPr>
            <w:r w:rsidRPr="00786A01">
              <w:rPr>
                <w:rFonts w:ascii="Garamond" w:hAnsi="Garamond"/>
                <w:iCs/>
                <w:sz w:val="12"/>
                <w:szCs w:val="12"/>
              </w:rPr>
              <w:t xml:space="preserve">E2.1 Training needs assessment, development and delivery of auditor training programme </w:t>
            </w:r>
          </w:p>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Strategic /</w:t>
            </w:r>
          </w:p>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Planning</w:t>
            </w:r>
          </w:p>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document</w:t>
            </w:r>
          </w:p>
          <w:p w:rsidR="009A4CED" w:rsidRPr="00786A01" w:rsidRDefault="009A4CED" w:rsidP="005E6A56">
            <w:pPr>
              <w:widowControl/>
              <w:autoSpaceDE/>
              <w:autoSpaceDN/>
              <w:rPr>
                <w:rFonts w:ascii="Garamond" w:eastAsia="Times New Roman" w:hAnsi="Garamond"/>
                <w:sz w:val="12"/>
                <w:szCs w:val="12"/>
                <w:lang w:eastAsia="ja-JP" w:bidi="ar-SA"/>
              </w:rPr>
            </w:pPr>
          </w:p>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xml:space="preserve"> Number of </w:t>
            </w:r>
            <w:r w:rsidR="00D2080A">
              <w:rPr>
                <w:rFonts w:ascii="Garamond" w:eastAsia="Times New Roman" w:hAnsi="Garamond"/>
                <w:sz w:val="12"/>
                <w:szCs w:val="12"/>
                <w:lang w:eastAsia="ja-JP" w:bidi="ar-SA"/>
              </w:rPr>
              <w:t>organised</w:t>
            </w:r>
            <w:r w:rsidRPr="00786A01">
              <w:rPr>
                <w:rFonts w:ascii="Garamond" w:eastAsia="Times New Roman" w:hAnsi="Garamond"/>
                <w:sz w:val="12"/>
                <w:szCs w:val="12"/>
                <w:lang w:eastAsia="ja-JP" w:bidi="ar-SA"/>
              </w:rPr>
              <w:t xml:space="preserve"> trainings / seminars / workshops per auditor</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IPA II</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AA</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1</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2019</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A43C0">
            <w:pPr>
              <w:jc w:val="center"/>
              <w:rPr>
                <w:rFonts w:eastAsia="Times New Roman"/>
                <w:sz w:val="12"/>
                <w:szCs w:val="12"/>
              </w:rPr>
            </w:pPr>
          </w:p>
        </w:tc>
        <w:tc>
          <w:tcPr>
            <w:tcW w:w="1029"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right"/>
              <w:rPr>
                <w:rFonts w:eastAsia="Times New Roman"/>
                <w:sz w:val="12"/>
                <w:szCs w:val="12"/>
              </w:rPr>
            </w:pPr>
            <w:r w:rsidRPr="00786A01">
              <w:rPr>
                <w:rFonts w:eastAsia="Times New Roman"/>
                <w:sz w:val="12"/>
                <w:szCs w:val="12"/>
              </w:rPr>
              <w:t>274,000.00</w:t>
            </w:r>
          </w:p>
          <w:p w:rsidR="009A4CED" w:rsidRPr="00786A01" w:rsidRDefault="009A4CED" w:rsidP="002A43C0">
            <w:pPr>
              <w:jc w:val="right"/>
              <w:rPr>
                <w:rFonts w:eastAsia="Times New Roman"/>
                <w:sz w:val="12"/>
                <w:szCs w:val="12"/>
              </w:rPr>
            </w:pP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right"/>
              <w:rPr>
                <w:rFonts w:eastAsia="Times New Roman"/>
                <w:sz w:val="12"/>
                <w:szCs w:val="12"/>
              </w:rPr>
            </w:pPr>
            <w:r w:rsidRPr="00786A01">
              <w:rPr>
                <w:sz w:val="12"/>
                <w:szCs w:val="12"/>
              </w:rPr>
              <w:t>264,100.00</w:t>
            </w:r>
          </w:p>
          <w:p w:rsidR="009A4CED" w:rsidRPr="00786A01" w:rsidRDefault="009A4CED" w:rsidP="002A43C0">
            <w:pPr>
              <w:jc w:val="right"/>
              <w:rPr>
                <w:rFonts w:eastAsia="Times New Roman"/>
                <w:sz w:val="12"/>
                <w:szCs w:val="12"/>
              </w:rPr>
            </w:pP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 Fully implemented </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bottom"/>
            <w:hideMark/>
          </w:tcPr>
          <w:p w:rsidR="009A4CED" w:rsidRPr="00786A01" w:rsidRDefault="009A4CED" w:rsidP="005E6A56">
            <w:pPr>
              <w:pStyle w:val="Default"/>
              <w:rPr>
                <w:rFonts w:ascii="Garamond" w:hAnsi="Garamond"/>
                <w:sz w:val="12"/>
                <w:szCs w:val="12"/>
              </w:rPr>
            </w:pPr>
            <w:r w:rsidRPr="00786A01">
              <w:rPr>
                <w:rFonts w:ascii="Garamond" w:hAnsi="Garamond"/>
                <w:iCs/>
                <w:sz w:val="12"/>
                <w:szCs w:val="12"/>
              </w:rPr>
              <w:t xml:space="preserve">E2.3 Building skills for using certain audit tools (IT) </w:t>
            </w:r>
          </w:p>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Computerisation</w:t>
            </w:r>
          </w:p>
          <w:p w:rsidR="009A4CED" w:rsidRPr="00786A01" w:rsidRDefault="009A4CED" w:rsidP="005E6A56">
            <w:pPr>
              <w:widowControl/>
              <w:autoSpaceDE/>
              <w:autoSpaceDN/>
              <w:rPr>
                <w:rFonts w:ascii="Garamond" w:eastAsia="Times New Roman" w:hAnsi="Garamond"/>
                <w:sz w:val="12"/>
                <w:szCs w:val="12"/>
                <w:lang w:eastAsia="ja-JP" w:bidi="ar-SA"/>
              </w:rPr>
            </w:pPr>
          </w:p>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Training</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Percentage of audits performed using audit software</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IPA II</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AA</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2019</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A43C0">
            <w:pPr>
              <w:jc w:val="center"/>
              <w:rPr>
                <w:rFonts w:eastAsia="Times New Roman"/>
                <w:sz w:val="12"/>
                <w:szCs w:val="12"/>
              </w:rPr>
            </w:pPr>
          </w:p>
        </w:tc>
        <w:tc>
          <w:tcPr>
            <w:tcW w:w="1029"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right"/>
              <w:rPr>
                <w:rFonts w:eastAsia="Times New Roman"/>
                <w:sz w:val="12"/>
                <w:szCs w:val="12"/>
              </w:rPr>
            </w:pPr>
            <w:r w:rsidRPr="00786A01">
              <w:rPr>
                <w:rFonts w:eastAsia="Times New Roman"/>
                <w:sz w:val="12"/>
                <w:szCs w:val="12"/>
              </w:rPr>
              <w:t>20,000.00</w:t>
            </w:r>
          </w:p>
          <w:p w:rsidR="009A4CED" w:rsidRPr="00786A01" w:rsidRDefault="009A4CED" w:rsidP="002A43C0">
            <w:pPr>
              <w:jc w:val="right"/>
              <w:rPr>
                <w:b/>
                <w:bCs/>
                <w:sz w:val="12"/>
                <w:szCs w:val="12"/>
              </w:rPr>
            </w:pP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right"/>
              <w:rPr>
                <w:rFonts w:eastAsia="Times New Roman"/>
                <w:sz w:val="12"/>
                <w:szCs w:val="12"/>
              </w:rPr>
            </w:pPr>
            <w:r w:rsidRPr="00786A01">
              <w:rPr>
                <w:rFonts w:eastAsia="Times New Roman"/>
                <w:sz w:val="12"/>
                <w:szCs w:val="12"/>
              </w:rPr>
              <w:t>11,000.00</w:t>
            </w: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 Fully implemented </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bottom"/>
            <w:hideMark/>
          </w:tcPr>
          <w:p w:rsidR="009A4CED" w:rsidRPr="00786A01" w:rsidRDefault="009A4CED" w:rsidP="005E6A56">
            <w:pPr>
              <w:pStyle w:val="Default"/>
              <w:rPr>
                <w:rFonts w:ascii="Garamond" w:hAnsi="Garamond"/>
                <w:sz w:val="12"/>
                <w:szCs w:val="12"/>
              </w:rPr>
            </w:pPr>
            <w:r w:rsidRPr="00786A01">
              <w:rPr>
                <w:rFonts w:ascii="Garamond" w:hAnsi="Garamond"/>
                <w:iCs/>
                <w:sz w:val="12"/>
                <w:szCs w:val="12"/>
              </w:rPr>
              <w:t xml:space="preserve">E2.4 Development of the AA’s Strategic Plan and the implementing AP </w:t>
            </w:r>
          </w:p>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Strategic /</w:t>
            </w:r>
          </w:p>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Planning</w:t>
            </w:r>
          </w:p>
          <w:p w:rsidR="009A4CED" w:rsidRPr="00786A01" w:rsidRDefault="009A4CED" w:rsidP="005E6A56">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document</w:t>
            </w:r>
          </w:p>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Degree of implementation of the Strategic and Action Plan of the institution</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IPA II</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AA</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2019</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A43C0">
            <w:pPr>
              <w:jc w:val="center"/>
              <w:rPr>
                <w:rFonts w:eastAsia="Times New Roman"/>
                <w:sz w:val="12"/>
                <w:szCs w:val="12"/>
              </w:rPr>
            </w:pPr>
          </w:p>
        </w:tc>
        <w:tc>
          <w:tcPr>
            <w:tcW w:w="1029"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right"/>
              <w:rPr>
                <w:rFonts w:eastAsia="Times New Roman"/>
                <w:sz w:val="12"/>
                <w:szCs w:val="12"/>
              </w:rPr>
            </w:pPr>
            <w:r w:rsidRPr="00786A01">
              <w:rPr>
                <w:rFonts w:eastAsia="Times New Roman"/>
                <w:sz w:val="12"/>
                <w:szCs w:val="12"/>
              </w:rPr>
              <w:t>70,000.00</w:t>
            </w:r>
          </w:p>
          <w:p w:rsidR="009A4CED" w:rsidRPr="00786A01" w:rsidRDefault="009A4CED" w:rsidP="002A43C0">
            <w:pPr>
              <w:jc w:val="right"/>
              <w:rPr>
                <w:b/>
                <w:bCs/>
                <w:sz w:val="12"/>
                <w:szCs w:val="12"/>
              </w:rPr>
            </w:pP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right"/>
              <w:rPr>
                <w:rFonts w:eastAsia="Times New Roman"/>
                <w:sz w:val="12"/>
                <w:szCs w:val="12"/>
              </w:rPr>
            </w:pPr>
            <w:r w:rsidRPr="00786A01">
              <w:rPr>
                <w:sz w:val="12"/>
                <w:szCs w:val="12"/>
              </w:rPr>
              <w:t>64,000.00</w:t>
            </w:r>
          </w:p>
          <w:p w:rsidR="009A4CED" w:rsidRPr="00786A01" w:rsidRDefault="009A4CED" w:rsidP="002A43C0">
            <w:pPr>
              <w:jc w:val="right"/>
              <w:rPr>
                <w:rFonts w:eastAsia="Times New Roman"/>
                <w:sz w:val="12"/>
                <w:szCs w:val="12"/>
              </w:rPr>
            </w:pP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 Fully implemented </w:t>
            </w:r>
          </w:p>
        </w:tc>
      </w:tr>
      <w:tr w:rsidR="009A4CED" w:rsidRPr="00786A01" w:rsidTr="009A4CED">
        <w:trPr>
          <w:trHeight w:val="255"/>
        </w:trPr>
        <w:tc>
          <w:tcPr>
            <w:tcW w:w="386" w:type="dxa"/>
            <w:tcBorders>
              <w:top w:val="nil"/>
              <w:left w:val="single" w:sz="4" w:space="0" w:color="auto"/>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single" w:sz="4" w:space="0" w:color="auto"/>
              <w:right w:val="single" w:sz="4" w:space="0" w:color="auto"/>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single" w:sz="4" w:space="0" w:color="auto"/>
              <w:right w:val="single" w:sz="4" w:space="0" w:color="auto"/>
            </w:tcBorders>
            <w:shd w:val="clear" w:color="auto" w:fill="00B050"/>
            <w:vAlign w:val="bottom"/>
            <w:hideMark/>
          </w:tcPr>
          <w:p w:rsidR="009A4CED" w:rsidRPr="00786A01" w:rsidRDefault="009A4CED" w:rsidP="005E6A56">
            <w:pPr>
              <w:pStyle w:val="Default"/>
              <w:rPr>
                <w:rFonts w:ascii="Garamond" w:hAnsi="Garamond"/>
                <w:sz w:val="12"/>
                <w:szCs w:val="12"/>
              </w:rPr>
            </w:pPr>
            <w:r w:rsidRPr="00786A01">
              <w:rPr>
                <w:rFonts w:ascii="Garamond" w:hAnsi="Garamond"/>
                <w:iCs/>
                <w:sz w:val="12"/>
                <w:szCs w:val="12"/>
              </w:rPr>
              <w:t xml:space="preserve">E.2.5 Develop guidelines for audit quality assurance </w:t>
            </w:r>
          </w:p>
          <w:p w:rsidR="009A4CED" w:rsidRPr="00786A01" w:rsidRDefault="009A4CED" w:rsidP="005E6A56">
            <w:pPr>
              <w:pStyle w:val="Default"/>
              <w:rPr>
                <w:rFonts w:ascii="Garamond" w:hAnsi="Garamond"/>
                <w:iCs/>
                <w:sz w:val="12"/>
                <w:szCs w:val="12"/>
              </w:rPr>
            </w:pPr>
          </w:p>
        </w:tc>
        <w:tc>
          <w:tcPr>
            <w:tcW w:w="98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Guidelines/Manual</w:t>
            </w:r>
          </w:p>
        </w:tc>
        <w:tc>
          <w:tcPr>
            <w:tcW w:w="97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The degree of application of standards in order to ensure the quality of audit work</w:t>
            </w:r>
          </w:p>
        </w:tc>
        <w:tc>
          <w:tcPr>
            <w:tcW w:w="84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IPA II</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AA</w:t>
            </w:r>
          </w:p>
        </w:tc>
        <w:tc>
          <w:tcPr>
            <w:tcW w:w="906"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w:t>
            </w:r>
          </w:p>
        </w:tc>
        <w:tc>
          <w:tcPr>
            <w:tcW w:w="938"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2019</w:t>
            </w:r>
          </w:p>
        </w:tc>
        <w:tc>
          <w:tcPr>
            <w:tcW w:w="993"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center"/>
              <w:rPr>
                <w:rFonts w:eastAsia="Times New Roman"/>
                <w:sz w:val="12"/>
                <w:szCs w:val="12"/>
              </w:rPr>
            </w:pPr>
            <w:r w:rsidRPr="00786A01">
              <w:rPr>
                <w:rFonts w:eastAsia="Times New Roman"/>
                <w:sz w:val="12"/>
                <w:szCs w:val="12"/>
              </w:rPr>
              <w:t>2020</w:t>
            </w:r>
          </w:p>
        </w:tc>
        <w:tc>
          <w:tcPr>
            <w:tcW w:w="1301" w:type="dxa"/>
            <w:tcBorders>
              <w:top w:val="nil"/>
              <w:left w:val="nil"/>
              <w:bottom w:val="single" w:sz="4" w:space="0" w:color="auto"/>
              <w:right w:val="single" w:sz="4" w:space="0" w:color="auto"/>
            </w:tcBorders>
            <w:shd w:val="clear" w:color="000000" w:fill="FFFFFF"/>
            <w:noWrap/>
            <w:vAlign w:val="center"/>
            <w:hideMark/>
          </w:tcPr>
          <w:p w:rsidR="009A4CED" w:rsidRPr="00786A01" w:rsidRDefault="009A4CED" w:rsidP="002A43C0">
            <w:pPr>
              <w:jc w:val="center"/>
              <w:rPr>
                <w:rFonts w:eastAsia="Times New Roman"/>
                <w:sz w:val="12"/>
                <w:szCs w:val="12"/>
              </w:rPr>
            </w:pPr>
          </w:p>
        </w:tc>
        <w:tc>
          <w:tcPr>
            <w:tcW w:w="1029"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right"/>
              <w:rPr>
                <w:rFonts w:eastAsia="Times New Roman"/>
                <w:sz w:val="12"/>
                <w:szCs w:val="12"/>
              </w:rPr>
            </w:pPr>
            <w:r w:rsidRPr="00786A01">
              <w:rPr>
                <w:rFonts w:eastAsia="Times New Roman"/>
                <w:sz w:val="12"/>
                <w:szCs w:val="12"/>
              </w:rPr>
              <w:t>70,000.00</w:t>
            </w:r>
          </w:p>
          <w:p w:rsidR="009A4CED" w:rsidRPr="00786A01" w:rsidRDefault="009A4CED" w:rsidP="002A43C0">
            <w:pPr>
              <w:jc w:val="right"/>
              <w:rPr>
                <w:b/>
                <w:bCs/>
                <w:sz w:val="12"/>
                <w:szCs w:val="12"/>
              </w:rPr>
            </w:pPr>
          </w:p>
        </w:tc>
        <w:tc>
          <w:tcPr>
            <w:tcW w:w="901"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jc w:val="right"/>
              <w:rPr>
                <w:rFonts w:eastAsia="Times New Roman"/>
                <w:sz w:val="12"/>
                <w:szCs w:val="12"/>
              </w:rPr>
            </w:pPr>
            <w:r w:rsidRPr="00786A01">
              <w:rPr>
                <w:sz w:val="12"/>
                <w:szCs w:val="12"/>
              </w:rPr>
              <w:t>64,000.00</w:t>
            </w:r>
          </w:p>
          <w:p w:rsidR="009A4CED" w:rsidRPr="00786A01" w:rsidRDefault="009A4CED" w:rsidP="002A43C0">
            <w:pPr>
              <w:jc w:val="right"/>
              <w:rPr>
                <w:rFonts w:eastAsia="Times New Roman"/>
                <w:sz w:val="12"/>
                <w:szCs w:val="12"/>
              </w:rPr>
            </w:pPr>
          </w:p>
        </w:tc>
        <w:tc>
          <w:tcPr>
            <w:tcW w:w="1007" w:type="dxa"/>
            <w:tcBorders>
              <w:top w:val="nil"/>
              <w:left w:val="nil"/>
              <w:bottom w:val="single" w:sz="4" w:space="0" w:color="auto"/>
              <w:right w:val="single" w:sz="4" w:space="0" w:color="auto"/>
            </w:tcBorders>
            <w:shd w:val="clear" w:color="auto" w:fill="auto"/>
            <w:noWrap/>
            <w:vAlign w:val="center"/>
            <w:hideMark/>
          </w:tcPr>
          <w:p w:rsidR="009A4CED" w:rsidRPr="00786A01" w:rsidRDefault="009A4CED" w:rsidP="002A43C0">
            <w:pPr>
              <w:widowControl/>
              <w:autoSpaceDE/>
              <w:autoSpaceDN/>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 xml:space="preserve"> Fully implemented </w:t>
            </w:r>
          </w:p>
        </w:tc>
      </w:tr>
      <w:tr w:rsidR="009A4CED" w:rsidRPr="00786A01" w:rsidTr="009A4CED">
        <w:trPr>
          <w:trHeight w:val="259"/>
        </w:trPr>
        <w:tc>
          <w:tcPr>
            <w:tcW w:w="386" w:type="dxa"/>
            <w:tcBorders>
              <w:top w:val="single" w:sz="4" w:space="0" w:color="auto"/>
              <w:left w:val="single" w:sz="4" w:space="0" w:color="auto"/>
              <w:bottom w:val="single" w:sz="4" w:space="0" w:color="auto"/>
              <w:right w:val="single" w:sz="4" w:space="0" w:color="auto"/>
            </w:tcBorders>
            <w:shd w:val="clear" w:color="000000" w:fill="FFFF99"/>
            <w:noWrap/>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767" w:type="dxa"/>
            <w:tcBorders>
              <w:top w:val="single" w:sz="4" w:space="0" w:color="auto"/>
              <w:left w:val="nil"/>
              <w:bottom w:val="single" w:sz="4" w:space="0" w:color="auto"/>
              <w:right w:val="single" w:sz="4" w:space="0" w:color="auto"/>
            </w:tcBorders>
            <w:shd w:val="clear" w:color="000000" w:fill="FFFF99"/>
            <w:noWrap/>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152" w:type="dxa"/>
            <w:tcBorders>
              <w:top w:val="single" w:sz="4" w:space="0" w:color="auto"/>
              <w:left w:val="nil"/>
              <w:bottom w:val="single" w:sz="4" w:space="0" w:color="auto"/>
              <w:right w:val="single" w:sz="4" w:space="0" w:color="auto"/>
            </w:tcBorders>
            <w:shd w:val="clear" w:color="000000" w:fill="FFFF99"/>
            <w:noWrap/>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83"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71"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841"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TOTAL</w:t>
            </w:r>
          </w:p>
        </w:tc>
        <w:tc>
          <w:tcPr>
            <w:tcW w:w="938"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301"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475.000,00</w:t>
            </w:r>
          </w:p>
        </w:tc>
        <w:tc>
          <w:tcPr>
            <w:tcW w:w="901"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b/>
                <w:bCs/>
                <w:sz w:val="12"/>
                <w:szCs w:val="12"/>
                <w:lang w:eastAsia="ja-JP" w:bidi="ar-SA"/>
              </w:rPr>
            </w:pPr>
            <w:r w:rsidRPr="00786A01">
              <w:rPr>
                <w:rFonts w:ascii="Garamond" w:eastAsia="Times New Roman" w:hAnsi="Garamond"/>
                <w:b/>
                <w:bCs/>
                <w:sz w:val="12"/>
                <w:szCs w:val="12"/>
                <w:lang w:eastAsia="ja-JP" w:bidi="ar-SA"/>
              </w:rPr>
              <w:t>446.115,00</w:t>
            </w:r>
          </w:p>
        </w:tc>
        <w:tc>
          <w:tcPr>
            <w:tcW w:w="1007" w:type="dxa"/>
            <w:tcBorders>
              <w:top w:val="single" w:sz="4" w:space="0" w:color="auto"/>
              <w:left w:val="nil"/>
              <w:bottom w:val="single" w:sz="4" w:space="0" w:color="auto"/>
              <w:right w:val="single" w:sz="4" w:space="0" w:color="auto"/>
            </w:tcBorders>
            <w:shd w:val="clear" w:color="000000" w:fill="FFFF99"/>
            <w:vAlign w:val="center"/>
            <w:hideMark/>
          </w:tcPr>
          <w:p w:rsidR="009A4CED" w:rsidRPr="00786A01" w:rsidRDefault="009A4CED" w:rsidP="002A43C0">
            <w:pPr>
              <w:widowControl/>
              <w:autoSpaceDE/>
              <w:autoSpaceDN/>
              <w:jc w:val="center"/>
              <w:rPr>
                <w:rFonts w:ascii="Garamond" w:eastAsia="Times New Roman" w:hAnsi="Garamond"/>
                <w:b/>
                <w:bCs/>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06" w:type="dxa"/>
            <w:tcBorders>
              <w:top w:val="nil"/>
              <w:left w:val="nil"/>
              <w:bottom w:val="nil"/>
              <w:right w:val="nil"/>
            </w:tcBorders>
            <w:shd w:val="clear" w:color="000000" w:fill="FFFFFF"/>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r w:rsidR="009A4CED" w:rsidRPr="00786A01" w:rsidTr="009A4CED">
        <w:trPr>
          <w:trHeight w:val="255"/>
        </w:trPr>
        <w:tc>
          <w:tcPr>
            <w:tcW w:w="386"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76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152" w:type="dxa"/>
            <w:tcBorders>
              <w:top w:val="nil"/>
              <w:left w:val="nil"/>
              <w:bottom w:val="nil"/>
              <w:right w:val="nil"/>
            </w:tcBorders>
            <w:shd w:val="clear" w:color="auto" w:fill="auto"/>
            <w:vAlign w:val="bottom"/>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8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7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84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6"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38"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993"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1301" w:type="dxa"/>
            <w:tcBorders>
              <w:top w:val="nil"/>
              <w:left w:val="nil"/>
              <w:bottom w:val="nil"/>
              <w:right w:val="nil"/>
            </w:tcBorders>
            <w:shd w:val="clear" w:color="000000" w:fill="FFFFFF"/>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r w:rsidRPr="00786A01">
              <w:rPr>
                <w:rFonts w:ascii="Garamond" w:eastAsia="Times New Roman" w:hAnsi="Garamond"/>
                <w:sz w:val="12"/>
                <w:szCs w:val="12"/>
                <w:lang w:eastAsia="ja-JP" w:bidi="ar-SA"/>
              </w:rPr>
              <w:t> </w:t>
            </w:r>
          </w:p>
        </w:tc>
        <w:tc>
          <w:tcPr>
            <w:tcW w:w="1029"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rPr>
                <w:rFonts w:ascii="Garamond" w:eastAsia="Times New Roman" w:hAnsi="Garamond"/>
                <w:sz w:val="12"/>
                <w:szCs w:val="12"/>
                <w:lang w:eastAsia="ja-JP" w:bidi="ar-SA"/>
              </w:rPr>
            </w:pPr>
          </w:p>
        </w:tc>
        <w:tc>
          <w:tcPr>
            <w:tcW w:w="901" w:type="dxa"/>
            <w:tcBorders>
              <w:top w:val="nil"/>
              <w:left w:val="nil"/>
              <w:bottom w:val="nil"/>
              <w:right w:val="nil"/>
            </w:tcBorders>
            <w:shd w:val="clear" w:color="auto" w:fill="auto"/>
            <w:noWrap/>
            <w:vAlign w:val="center"/>
            <w:hideMark/>
          </w:tcPr>
          <w:p w:rsidR="009A4CED" w:rsidRPr="00786A01" w:rsidRDefault="009A4CED" w:rsidP="00F51074">
            <w:pPr>
              <w:widowControl/>
              <w:autoSpaceDE/>
              <w:autoSpaceDN/>
              <w:jc w:val="right"/>
              <w:rPr>
                <w:rFonts w:ascii="Garamond" w:eastAsia="Times New Roman" w:hAnsi="Garamond"/>
                <w:sz w:val="12"/>
                <w:szCs w:val="12"/>
                <w:lang w:eastAsia="ja-JP" w:bidi="ar-SA"/>
              </w:rPr>
            </w:pPr>
          </w:p>
        </w:tc>
        <w:tc>
          <w:tcPr>
            <w:tcW w:w="1007" w:type="dxa"/>
            <w:tcBorders>
              <w:top w:val="nil"/>
              <w:left w:val="nil"/>
              <w:bottom w:val="nil"/>
              <w:right w:val="nil"/>
            </w:tcBorders>
            <w:shd w:val="clear" w:color="auto" w:fill="auto"/>
            <w:noWrap/>
            <w:vAlign w:val="bottom"/>
            <w:hideMark/>
          </w:tcPr>
          <w:p w:rsidR="009A4CED" w:rsidRPr="00786A01" w:rsidRDefault="009A4CED" w:rsidP="00F51074">
            <w:pPr>
              <w:widowControl/>
              <w:autoSpaceDE/>
              <w:autoSpaceDN/>
              <w:jc w:val="center"/>
              <w:rPr>
                <w:rFonts w:ascii="Garamond" w:eastAsia="Times New Roman" w:hAnsi="Garamond"/>
                <w:sz w:val="12"/>
                <w:szCs w:val="12"/>
                <w:lang w:eastAsia="ja-JP" w:bidi="ar-SA"/>
              </w:rPr>
            </w:pPr>
          </w:p>
        </w:tc>
      </w:tr>
    </w:tbl>
    <w:p w:rsidR="00F51074" w:rsidRDefault="00F51074" w:rsidP="004D1343">
      <w:pPr>
        <w:rPr>
          <w:rFonts w:ascii="Garamond" w:hAnsi="Garamond"/>
          <w:sz w:val="24"/>
          <w:szCs w:val="24"/>
        </w:rPr>
      </w:pPr>
    </w:p>
    <w:p w:rsidR="00F51074" w:rsidRDefault="00F51074" w:rsidP="004D1343">
      <w:pPr>
        <w:rPr>
          <w:rFonts w:ascii="Garamond" w:hAnsi="Garamond"/>
          <w:sz w:val="24"/>
          <w:szCs w:val="24"/>
        </w:rPr>
      </w:pPr>
    </w:p>
    <w:p w:rsidR="00F51074" w:rsidRDefault="00F51074" w:rsidP="004D1343">
      <w:pPr>
        <w:rPr>
          <w:rFonts w:ascii="Garamond" w:hAnsi="Garamond"/>
          <w:sz w:val="24"/>
          <w:szCs w:val="24"/>
        </w:rPr>
      </w:pPr>
    </w:p>
    <w:p w:rsidR="00F51074" w:rsidRDefault="00F51074" w:rsidP="004D1343">
      <w:pPr>
        <w:rPr>
          <w:rFonts w:ascii="Garamond" w:hAnsi="Garamond"/>
          <w:sz w:val="24"/>
          <w:szCs w:val="24"/>
        </w:rPr>
      </w:pPr>
    </w:p>
    <w:p w:rsidR="004055DE" w:rsidRDefault="004055DE">
      <w:pPr>
        <w:rPr>
          <w:rFonts w:ascii="Garamond" w:hAnsi="Garamond"/>
          <w:sz w:val="24"/>
          <w:szCs w:val="24"/>
        </w:rPr>
      </w:pPr>
      <w:r>
        <w:rPr>
          <w:rFonts w:ascii="Garamond" w:hAnsi="Garamond"/>
          <w:sz w:val="24"/>
          <w:szCs w:val="24"/>
        </w:rPr>
        <w:br w:type="page"/>
      </w:r>
    </w:p>
    <w:p w:rsidR="004055DE" w:rsidRDefault="004055DE" w:rsidP="004D1343">
      <w:pPr>
        <w:rPr>
          <w:rFonts w:ascii="Garamond" w:hAnsi="Garamond"/>
          <w:sz w:val="24"/>
          <w:szCs w:val="24"/>
        </w:rPr>
        <w:sectPr w:rsidR="004055DE" w:rsidSect="00F51074">
          <w:pgSz w:w="15840" w:h="12240" w:orient="landscape"/>
          <w:pgMar w:top="1440" w:right="1440" w:bottom="1440" w:left="1440" w:header="720" w:footer="720" w:gutter="0"/>
          <w:cols w:space="720"/>
          <w:docGrid w:linePitch="360"/>
        </w:sectPr>
      </w:pPr>
    </w:p>
    <w:p w:rsidR="004D1343" w:rsidRPr="00C32887" w:rsidRDefault="002A43C0" w:rsidP="002A43C0">
      <w:pPr>
        <w:pStyle w:val="Heading2"/>
        <w:rPr>
          <w:rFonts w:ascii="Garamond" w:hAnsi="Garamond"/>
          <w:sz w:val="24"/>
          <w:szCs w:val="24"/>
        </w:rPr>
      </w:pPr>
      <w:bookmarkStart w:id="30" w:name="_Toc77688207"/>
      <w:r>
        <w:rPr>
          <w:rFonts w:ascii="Garamond" w:hAnsi="Garamond"/>
          <w:sz w:val="24"/>
          <w:szCs w:val="24"/>
        </w:rPr>
        <w:t>IMPLEMENTATION</w:t>
      </w:r>
      <w:r w:rsidRPr="00C32887">
        <w:rPr>
          <w:rFonts w:ascii="Garamond" w:hAnsi="Garamond"/>
          <w:sz w:val="24"/>
          <w:szCs w:val="24"/>
        </w:rPr>
        <w:t xml:space="preserve"> OF DONOR FUNDS</w:t>
      </w:r>
      <w:bookmarkEnd w:id="30"/>
    </w:p>
    <w:p w:rsidR="004D1343" w:rsidRPr="00C32887" w:rsidRDefault="004D1343" w:rsidP="004D1343">
      <w:pPr>
        <w:rPr>
          <w:rFonts w:ascii="Garamond" w:hAnsi="Garamond"/>
          <w:sz w:val="24"/>
          <w:szCs w:val="24"/>
        </w:rPr>
      </w:pPr>
    </w:p>
    <w:p w:rsidR="004D1343" w:rsidRPr="00C32887" w:rsidRDefault="00337739" w:rsidP="002A43C0">
      <w:pPr>
        <w:jc w:val="both"/>
        <w:rPr>
          <w:rFonts w:ascii="Garamond" w:hAnsi="Garamond"/>
          <w:sz w:val="24"/>
          <w:szCs w:val="24"/>
        </w:rPr>
      </w:pPr>
      <w:r w:rsidRPr="00C32887">
        <w:rPr>
          <w:rFonts w:ascii="Garamond" w:hAnsi="Garamond"/>
          <w:sz w:val="24"/>
          <w:szCs w:val="24"/>
        </w:rPr>
        <w:t xml:space="preserve">The </w:t>
      </w:r>
      <w:r w:rsidR="004D1343" w:rsidRPr="00C32887">
        <w:rPr>
          <w:rFonts w:ascii="Garamond" w:hAnsi="Garamond"/>
          <w:sz w:val="24"/>
          <w:szCs w:val="24"/>
        </w:rPr>
        <w:t xml:space="preserve">implementation of activities </w:t>
      </w:r>
      <w:r>
        <w:rPr>
          <w:rFonts w:ascii="Garamond" w:hAnsi="Garamond"/>
          <w:sz w:val="24"/>
          <w:szCs w:val="24"/>
        </w:rPr>
        <w:t>under</w:t>
      </w:r>
      <w:r w:rsidR="004D1343" w:rsidRPr="00C32887">
        <w:rPr>
          <w:rFonts w:ascii="Garamond" w:hAnsi="Garamond"/>
          <w:sz w:val="24"/>
          <w:szCs w:val="24"/>
        </w:rPr>
        <w:t xml:space="preserve"> the PFM </w:t>
      </w:r>
      <w:r w:rsidR="00AB73F6" w:rsidRPr="00C32887">
        <w:rPr>
          <w:rFonts w:ascii="Garamond" w:hAnsi="Garamond"/>
          <w:sz w:val="24"/>
          <w:szCs w:val="24"/>
        </w:rPr>
        <w:t>Programme</w:t>
      </w:r>
      <w:r w:rsidR="004D1343" w:rsidRPr="00C32887">
        <w:rPr>
          <w:rFonts w:ascii="Garamond" w:hAnsi="Garamond"/>
          <w:sz w:val="24"/>
          <w:szCs w:val="24"/>
        </w:rPr>
        <w:t xml:space="preserve">, </w:t>
      </w:r>
      <w:r>
        <w:rPr>
          <w:rFonts w:ascii="Garamond" w:hAnsi="Garamond"/>
          <w:sz w:val="24"/>
          <w:szCs w:val="24"/>
        </w:rPr>
        <w:t>is planned to be funded by</w:t>
      </w:r>
      <w:r w:rsidR="004D1343" w:rsidRPr="00C32887">
        <w:rPr>
          <w:rFonts w:ascii="Garamond" w:hAnsi="Garamond"/>
          <w:sz w:val="24"/>
          <w:szCs w:val="24"/>
        </w:rPr>
        <w:t xml:space="preserve"> EU funds through the IPA instrument, </w:t>
      </w:r>
      <w:r w:rsidR="00384833">
        <w:rPr>
          <w:rFonts w:ascii="Garamond" w:hAnsi="Garamond"/>
          <w:sz w:val="24"/>
          <w:szCs w:val="24"/>
        </w:rPr>
        <w:t>under</w:t>
      </w:r>
      <w:r w:rsidR="004D1343" w:rsidRPr="00C32887">
        <w:rPr>
          <w:rFonts w:ascii="Garamond" w:hAnsi="Garamond"/>
          <w:sz w:val="24"/>
          <w:szCs w:val="24"/>
        </w:rPr>
        <w:t xml:space="preserve"> the annual </w:t>
      </w:r>
      <w:r w:rsidR="0094078B" w:rsidRPr="00C32887">
        <w:rPr>
          <w:rFonts w:ascii="Garamond" w:hAnsi="Garamond"/>
          <w:sz w:val="24"/>
          <w:szCs w:val="24"/>
        </w:rPr>
        <w:t xml:space="preserve">2014 </w:t>
      </w:r>
      <w:r w:rsidR="004D1343" w:rsidRPr="00C32887">
        <w:rPr>
          <w:rFonts w:ascii="Garamond" w:hAnsi="Garamond"/>
          <w:sz w:val="24"/>
          <w:szCs w:val="24"/>
        </w:rPr>
        <w:t xml:space="preserve">Country Action </w:t>
      </w:r>
      <w:r w:rsidR="00AB73F6" w:rsidRPr="00C32887">
        <w:rPr>
          <w:rFonts w:ascii="Garamond" w:hAnsi="Garamond"/>
          <w:sz w:val="24"/>
          <w:szCs w:val="24"/>
        </w:rPr>
        <w:t>Programme</w:t>
      </w:r>
      <w:r w:rsidR="004D1343" w:rsidRPr="00C32887">
        <w:rPr>
          <w:rFonts w:ascii="Garamond" w:hAnsi="Garamond"/>
          <w:sz w:val="24"/>
          <w:szCs w:val="24"/>
        </w:rPr>
        <w:t xml:space="preserve"> - CAP 2014)</w:t>
      </w:r>
      <w:r>
        <w:rPr>
          <w:rFonts w:ascii="Garamond" w:hAnsi="Garamond"/>
          <w:sz w:val="24"/>
          <w:szCs w:val="24"/>
        </w:rPr>
        <w:t xml:space="preserve">, and other donations with a corresponding </w:t>
      </w:r>
      <w:r w:rsidR="0094078B">
        <w:rPr>
          <w:rFonts w:ascii="Garamond" w:hAnsi="Garamond"/>
          <w:sz w:val="24"/>
          <w:szCs w:val="24"/>
        </w:rPr>
        <w:t>part of national funding</w:t>
      </w:r>
      <w:r w:rsidR="004D1343"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94078B">
      <w:pPr>
        <w:jc w:val="both"/>
        <w:rPr>
          <w:rFonts w:ascii="Garamond" w:hAnsi="Garamond"/>
          <w:sz w:val="24"/>
          <w:szCs w:val="24"/>
        </w:rPr>
      </w:pPr>
      <w:r w:rsidRPr="00C32887">
        <w:rPr>
          <w:rFonts w:ascii="Garamond" w:hAnsi="Garamond"/>
          <w:sz w:val="24"/>
          <w:szCs w:val="24"/>
        </w:rPr>
        <w:t xml:space="preserve">The IPA 2014 project </w:t>
      </w:r>
      <w:r w:rsidR="00C13A74">
        <w:rPr>
          <w:rFonts w:ascii="Garamond" w:hAnsi="Garamond"/>
          <w:sz w:val="24"/>
          <w:szCs w:val="24"/>
        </w:rPr>
        <w:t>‘</w:t>
      </w:r>
      <w:r w:rsidR="0094078B">
        <w:rPr>
          <w:rFonts w:ascii="Garamond" w:hAnsi="Garamond"/>
          <w:sz w:val="24"/>
          <w:szCs w:val="24"/>
        </w:rPr>
        <w:t>Support to Public Finance</w:t>
      </w:r>
      <w:r w:rsidRPr="00C32887">
        <w:rPr>
          <w:rFonts w:ascii="Garamond" w:hAnsi="Garamond"/>
          <w:sz w:val="24"/>
          <w:szCs w:val="24"/>
        </w:rPr>
        <w:t xml:space="preserve"> Management Policies</w:t>
      </w:r>
      <w:r w:rsidR="00C13A74">
        <w:rPr>
          <w:rFonts w:ascii="Garamond" w:hAnsi="Garamond"/>
          <w:sz w:val="24"/>
          <w:szCs w:val="24"/>
        </w:rPr>
        <w:t>’</w:t>
      </w:r>
      <w:r w:rsidRPr="00C32887">
        <w:rPr>
          <w:rFonts w:ascii="Garamond" w:hAnsi="Garamond"/>
          <w:sz w:val="24"/>
          <w:szCs w:val="24"/>
        </w:rPr>
        <w:t xml:space="preserve"> </w:t>
      </w:r>
      <w:r w:rsidR="0094078B">
        <w:rPr>
          <w:rFonts w:ascii="Garamond" w:hAnsi="Garamond"/>
          <w:sz w:val="24"/>
          <w:szCs w:val="24"/>
        </w:rPr>
        <w:t>is worth</w:t>
      </w:r>
      <w:r w:rsidRPr="00C32887">
        <w:rPr>
          <w:rFonts w:ascii="Garamond" w:hAnsi="Garamond"/>
          <w:sz w:val="24"/>
          <w:szCs w:val="24"/>
        </w:rPr>
        <w:t xml:space="preserve"> EUR 4,000,000.00, of which EUR 3,600,000.00 is </w:t>
      </w:r>
      <w:r w:rsidR="00384833">
        <w:rPr>
          <w:rFonts w:ascii="Garamond" w:hAnsi="Garamond"/>
          <w:sz w:val="24"/>
          <w:szCs w:val="24"/>
        </w:rPr>
        <w:t>the</w:t>
      </w:r>
      <w:r w:rsidRPr="00C32887">
        <w:rPr>
          <w:rFonts w:ascii="Garamond" w:hAnsi="Garamond"/>
          <w:sz w:val="24"/>
          <w:szCs w:val="24"/>
        </w:rPr>
        <w:t xml:space="preserve"> EU contribution; IPA 2014 project </w:t>
      </w:r>
      <w:r w:rsidR="00C13A74">
        <w:rPr>
          <w:rFonts w:ascii="Garamond" w:hAnsi="Garamond"/>
          <w:sz w:val="24"/>
          <w:szCs w:val="24"/>
        </w:rPr>
        <w:t>‘</w:t>
      </w:r>
      <w:r w:rsidRPr="00C32887">
        <w:rPr>
          <w:rFonts w:ascii="Garamond" w:hAnsi="Garamond"/>
          <w:sz w:val="24"/>
          <w:szCs w:val="24"/>
        </w:rPr>
        <w:t>Implementation of electronic public procurement system</w:t>
      </w:r>
      <w:r w:rsidR="00C13A74">
        <w:rPr>
          <w:rFonts w:ascii="Garamond" w:hAnsi="Garamond"/>
          <w:sz w:val="24"/>
          <w:szCs w:val="24"/>
        </w:rPr>
        <w:t>’</w:t>
      </w:r>
      <w:r w:rsidRPr="00C32887">
        <w:rPr>
          <w:rFonts w:ascii="Garamond" w:hAnsi="Garamond"/>
          <w:sz w:val="24"/>
          <w:szCs w:val="24"/>
        </w:rPr>
        <w:t xml:space="preserve"> </w:t>
      </w:r>
      <w:r w:rsidR="0094078B">
        <w:rPr>
          <w:rFonts w:ascii="Garamond" w:hAnsi="Garamond"/>
          <w:sz w:val="24"/>
          <w:szCs w:val="24"/>
        </w:rPr>
        <w:t xml:space="preserve">is worth </w:t>
      </w:r>
      <w:r w:rsidRPr="00C32887">
        <w:rPr>
          <w:rFonts w:ascii="Garamond" w:hAnsi="Garamond"/>
          <w:sz w:val="24"/>
          <w:szCs w:val="24"/>
        </w:rPr>
        <w:t xml:space="preserve">EUR 1,650.00.00, of which EUR 1,500,000.00 represents the EU contribution; IPA 2014 project </w:t>
      </w:r>
      <w:r w:rsidR="00C13A74">
        <w:rPr>
          <w:rFonts w:ascii="Garamond" w:hAnsi="Garamond"/>
          <w:sz w:val="24"/>
          <w:szCs w:val="24"/>
        </w:rPr>
        <w:t>‘</w:t>
      </w:r>
      <w:r w:rsidRPr="00C32887">
        <w:rPr>
          <w:rFonts w:ascii="Garamond" w:hAnsi="Garamond"/>
          <w:sz w:val="24"/>
          <w:szCs w:val="24"/>
        </w:rPr>
        <w:t>Support to the Tax Administration</w:t>
      </w:r>
      <w:r w:rsidR="00C13A74">
        <w:rPr>
          <w:rFonts w:ascii="Garamond" w:hAnsi="Garamond"/>
          <w:sz w:val="24"/>
          <w:szCs w:val="24"/>
        </w:rPr>
        <w:t>’</w:t>
      </w:r>
      <w:r w:rsidRPr="00C32887">
        <w:rPr>
          <w:rFonts w:ascii="Garamond" w:hAnsi="Garamond"/>
          <w:sz w:val="24"/>
          <w:szCs w:val="24"/>
        </w:rPr>
        <w:t xml:space="preserve"> </w:t>
      </w:r>
      <w:r w:rsidR="0094078B">
        <w:rPr>
          <w:rFonts w:ascii="Garamond" w:hAnsi="Garamond"/>
          <w:sz w:val="24"/>
          <w:szCs w:val="24"/>
        </w:rPr>
        <w:t>is worth EUR</w:t>
      </w:r>
      <w:r w:rsidRPr="00C32887">
        <w:rPr>
          <w:rFonts w:ascii="Garamond" w:hAnsi="Garamond"/>
          <w:sz w:val="24"/>
          <w:szCs w:val="24"/>
        </w:rPr>
        <w:t xml:space="preserve">1,000,000.00, of which </w:t>
      </w:r>
      <w:r w:rsidR="0094078B">
        <w:rPr>
          <w:rFonts w:ascii="Garamond" w:hAnsi="Garamond"/>
          <w:sz w:val="24"/>
          <w:szCs w:val="24"/>
        </w:rPr>
        <w:t xml:space="preserve">EUR </w:t>
      </w:r>
      <w:r w:rsidRPr="00C32887">
        <w:rPr>
          <w:rFonts w:ascii="Garamond" w:hAnsi="Garamond"/>
          <w:sz w:val="24"/>
          <w:szCs w:val="24"/>
        </w:rPr>
        <w:t xml:space="preserve">900,000.00 is </w:t>
      </w:r>
      <w:r w:rsidR="0094078B">
        <w:rPr>
          <w:rFonts w:ascii="Garamond" w:hAnsi="Garamond"/>
          <w:sz w:val="24"/>
          <w:szCs w:val="24"/>
        </w:rPr>
        <w:t>the</w:t>
      </w:r>
      <w:r w:rsidRPr="00C32887">
        <w:rPr>
          <w:rFonts w:ascii="Garamond" w:hAnsi="Garamond"/>
          <w:sz w:val="24"/>
          <w:szCs w:val="24"/>
        </w:rPr>
        <w:t xml:space="preserve"> EU contribution; IPA 2014 multi-beneficiary project </w:t>
      </w:r>
      <w:r w:rsidR="00C13A74">
        <w:rPr>
          <w:rFonts w:ascii="Garamond" w:hAnsi="Garamond"/>
          <w:sz w:val="24"/>
          <w:szCs w:val="24"/>
        </w:rPr>
        <w:t>‘</w:t>
      </w:r>
      <w:r w:rsidRPr="00C32887">
        <w:rPr>
          <w:rFonts w:ascii="Garamond" w:hAnsi="Garamond"/>
          <w:sz w:val="24"/>
          <w:szCs w:val="24"/>
        </w:rPr>
        <w:t>Strengthe</w:t>
      </w:r>
      <w:r w:rsidR="0094078B">
        <w:rPr>
          <w:rFonts w:ascii="Garamond" w:hAnsi="Garamond"/>
          <w:sz w:val="24"/>
          <w:szCs w:val="24"/>
        </w:rPr>
        <w:t>ning economic and public finance</w:t>
      </w:r>
      <w:r w:rsidRPr="00C32887">
        <w:rPr>
          <w:rFonts w:ascii="Garamond" w:hAnsi="Garamond"/>
          <w:sz w:val="24"/>
          <w:szCs w:val="24"/>
        </w:rPr>
        <w:t xml:space="preserve"> management</w:t>
      </w:r>
      <w:r w:rsidR="00C13A74">
        <w:rPr>
          <w:rFonts w:ascii="Garamond" w:hAnsi="Garamond"/>
          <w:sz w:val="24"/>
          <w:szCs w:val="24"/>
        </w:rPr>
        <w:t>’</w:t>
      </w:r>
      <w:r w:rsidRPr="00C32887">
        <w:rPr>
          <w:rFonts w:ascii="Garamond" w:hAnsi="Garamond"/>
          <w:sz w:val="24"/>
          <w:szCs w:val="24"/>
        </w:rPr>
        <w:t xml:space="preserve"> of which the EU contribution amounts to </w:t>
      </w:r>
      <w:r w:rsidR="0094078B">
        <w:rPr>
          <w:rFonts w:ascii="Garamond" w:hAnsi="Garamond"/>
          <w:sz w:val="24"/>
          <w:szCs w:val="24"/>
        </w:rPr>
        <w:t>EUR</w:t>
      </w:r>
      <w:r w:rsidRPr="00C32887">
        <w:rPr>
          <w:rFonts w:ascii="Garamond" w:hAnsi="Garamond"/>
          <w:sz w:val="24"/>
          <w:szCs w:val="24"/>
        </w:rPr>
        <w:t xml:space="preserve">8 million; and IPA 2014 project </w:t>
      </w:r>
      <w:r w:rsidR="00C13A74">
        <w:rPr>
          <w:rFonts w:ascii="Garamond" w:hAnsi="Garamond"/>
          <w:sz w:val="24"/>
          <w:szCs w:val="24"/>
        </w:rPr>
        <w:t>‘</w:t>
      </w:r>
      <w:r w:rsidRPr="00C32887">
        <w:rPr>
          <w:rFonts w:ascii="Garamond" w:hAnsi="Garamond"/>
          <w:sz w:val="24"/>
          <w:szCs w:val="24"/>
        </w:rPr>
        <w:t>Support to the Customs Administration</w:t>
      </w:r>
      <w:r w:rsidR="00C13A74">
        <w:rPr>
          <w:rFonts w:ascii="Garamond" w:hAnsi="Garamond"/>
          <w:sz w:val="24"/>
          <w:szCs w:val="24"/>
        </w:rPr>
        <w:t>’</w:t>
      </w:r>
      <w:r w:rsidRPr="00C32887">
        <w:rPr>
          <w:rFonts w:ascii="Garamond" w:hAnsi="Garamond"/>
          <w:sz w:val="24"/>
          <w:szCs w:val="24"/>
        </w:rPr>
        <w:t xml:space="preserve"> </w:t>
      </w:r>
      <w:r w:rsidR="003F7806">
        <w:rPr>
          <w:rFonts w:ascii="Garamond" w:hAnsi="Garamond"/>
          <w:sz w:val="24"/>
          <w:szCs w:val="24"/>
        </w:rPr>
        <w:t>is worth</w:t>
      </w:r>
      <w:r w:rsidRPr="00C32887">
        <w:rPr>
          <w:rFonts w:ascii="Garamond" w:hAnsi="Garamond"/>
          <w:sz w:val="24"/>
          <w:szCs w:val="24"/>
        </w:rPr>
        <w:t xml:space="preserve"> </w:t>
      </w:r>
      <w:r w:rsidR="0094078B">
        <w:rPr>
          <w:rFonts w:ascii="Garamond" w:hAnsi="Garamond"/>
          <w:sz w:val="24"/>
          <w:szCs w:val="24"/>
        </w:rPr>
        <w:t>EUR</w:t>
      </w:r>
      <w:r w:rsidRPr="00C32887">
        <w:rPr>
          <w:rFonts w:ascii="Garamond" w:hAnsi="Garamond"/>
          <w:sz w:val="24"/>
          <w:szCs w:val="24"/>
        </w:rPr>
        <w:t>3,300,000.00, of which</w:t>
      </w:r>
      <w:r w:rsidR="0094078B">
        <w:rPr>
          <w:rFonts w:ascii="Garamond" w:hAnsi="Garamond"/>
          <w:sz w:val="24"/>
          <w:szCs w:val="24"/>
        </w:rPr>
        <w:t xml:space="preserve"> EUR</w:t>
      </w:r>
      <w:r w:rsidRPr="00C32887">
        <w:rPr>
          <w:rFonts w:ascii="Garamond" w:hAnsi="Garamond"/>
          <w:sz w:val="24"/>
          <w:szCs w:val="24"/>
        </w:rPr>
        <w:t xml:space="preserve"> 2,970,000.00 is </w:t>
      </w:r>
      <w:r w:rsidR="0094078B">
        <w:rPr>
          <w:rFonts w:ascii="Garamond" w:hAnsi="Garamond"/>
          <w:sz w:val="24"/>
          <w:szCs w:val="24"/>
        </w:rPr>
        <w:t xml:space="preserve">the </w:t>
      </w:r>
      <w:r w:rsidRPr="00C32887">
        <w:rPr>
          <w:rFonts w:ascii="Garamond" w:hAnsi="Garamond"/>
          <w:sz w:val="24"/>
          <w:szCs w:val="24"/>
        </w:rPr>
        <w:t>EU contribution.</w:t>
      </w:r>
    </w:p>
    <w:p w:rsidR="004D1343" w:rsidRPr="00C32887" w:rsidRDefault="004D1343" w:rsidP="004D1343">
      <w:pPr>
        <w:rPr>
          <w:rFonts w:ascii="Garamond" w:hAnsi="Garamond"/>
          <w:sz w:val="24"/>
          <w:szCs w:val="24"/>
        </w:rPr>
      </w:pPr>
    </w:p>
    <w:p w:rsidR="004D1343" w:rsidRPr="00C32887" w:rsidRDefault="004D1343" w:rsidP="003F7806">
      <w:pPr>
        <w:jc w:val="both"/>
        <w:rPr>
          <w:rFonts w:ascii="Garamond" w:hAnsi="Garamond"/>
          <w:sz w:val="24"/>
          <w:szCs w:val="24"/>
        </w:rPr>
      </w:pPr>
      <w:r w:rsidRPr="00C32887">
        <w:rPr>
          <w:rFonts w:ascii="Garamond" w:hAnsi="Garamond"/>
          <w:sz w:val="24"/>
          <w:szCs w:val="24"/>
        </w:rPr>
        <w:t xml:space="preserve">In terms of implementation of planned activities, the dominant support is </w:t>
      </w:r>
      <w:r w:rsidR="00337739">
        <w:rPr>
          <w:rFonts w:ascii="Garamond" w:hAnsi="Garamond"/>
          <w:sz w:val="24"/>
          <w:szCs w:val="24"/>
        </w:rPr>
        <w:t xml:space="preserve">provided </w:t>
      </w:r>
      <w:r w:rsidRPr="00C32887">
        <w:rPr>
          <w:rFonts w:ascii="Garamond" w:hAnsi="Garamond"/>
          <w:sz w:val="24"/>
          <w:szCs w:val="24"/>
        </w:rPr>
        <w:t xml:space="preserve">through projects co-financed </w:t>
      </w:r>
      <w:r w:rsidR="00337739">
        <w:rPr>
          <w:rFonts w:ascii="Garamond" w:hAnsi="Garamond"/>
          <w:sz w:val="24"/>
          <w:szCs w:val="24"/>
        </w:rPr>
        <w:t>by</w:t>
      </w:r>
      <w:r w:rsidRPr="00C32887">
        <w:rPr>
          <w:rFonts w:ascii="Garamond" w:hAnsi="Garamond"/>
          <w:sz w:val="24"/>
          <w:szCs w:val="24"/>
        </w:rPr>
        <w:t xml:space="preserve"> don</w:t>
      </w:r>
      <w:r w:rsidR="004E4DE4">
        <w:rPr>
          <w:rFonts w:ascii="Garamond" w:hAnsi="Garamond"/>
          <w:sz w:val="24"/>
          <w:szCs w:val="24"/>
        </w:rPr>
        <w:t>or</w:t>
      </w:r>
      <w:r w:rsidRPr="00C32887">
        <w:rPr>
          <w:rFonts w:ascii="Garamond" w:hAnsi="Garamond"/>
          <w:sz w:val="24"/>
          <w:szCs w:val="24"/>
        </w:rPr>
        <w:t xml:space="preserve">s. </w:t>
      </w:r>
      <w:r w:rsidR="00337739">
        <w:rPr>
          <w:rFonts w:ascii="Garamond" w:hAnsi="Garamond"/>
          <w:sz w:val="24"/>
          <w:szCs w:val="24"/>
        </w:rPr>
        <w:t>In addition</w:t>
      </w:r>
      <w:r w:rsidRPr="00C32887">
        <w:rPr>
          <w:rFonts w:ascii="Garamond" w:hAnsi="Garamond"/>
          <w:sz w:val="24"/>
          <w:szCs w:val="24"/>
        </w:rPr>
        <w:t xml:space="preserve">, during the implementation of the project, the key contribution is </w:t>
      </w:r>
      <w:r w:rsidR="004E4DE4">
        <w:rPr>
          <w:rFonts w:ascii="Garamond" w:hAnsi="Garamond"/>
          <w:sz w:val="24"/>
          <w:szCs w:val="24"/>
        </w:rPr>
        <w:t>evidently provided</w:t>
      </w:r>
      <w:r w:rsidRPr="00C32887">
        <w:rPr>
          <w:rFonts w:ascii="Garamond" w:hAnsi="Garamond"/>
          <w:sz w:val="24"/>
          <w:szCs w:val="24"/>
        </w:rPr>
        <w:t xml:space="preserve"> through own capacities of the institutions responsible for the implementation of activities. In this regard, in addition to the funds </w:t>
      </w:r>
      <w:r w:rsidR="004E4DE4">
        <w:rPr>
          <w:rFonts w:ascii="Garamond" w:hAnsi="Garamond"/>
          <w:sz w:val="24"/>
          <w:szCs w:val="24"/>
        </w:rPr>
        <w:t>allocated for</w:t>
      </w:r>
      <w:r w:rsidRPr="00C32887">
        <w:rPr>
          <w:rFonts w:ascii="Garamond" w:hAnsi="Garamond"/>
          <w:sz w:val="24"/>
          <w:szCs w:val="24"/>
        </w:rPr>
        <w:t xml:space="preserve"> the regular activities </w:t>
      </w:r>
      <w:r w:rsidR="004E4DE4">
        <w:rPr>
          <w:rFonts w:ascii="Garamond" w:hAnsi="Garamond"/>
          <w:sz w:val="24"/>
          <w:szCs w:val="24"/>
        </w:rPr>
        <w:t>in</w:t>
      </w:r>
      <w:r w:rsidRPr="00C32887">
        <w:rPr>
          <w:rFonts w:ascii="Garamond" w:hAnsi="Garamond"/>
          <w:sz w:val="24"/>
          <w:szCs w:val="24"/>
        </w:rPr>
        <w:t xml:space="preserve"> the state budget, the following funds were </w:t>
      </w:r>
      <w:r w:rsidR="004E4DE4">
        <w:rPr>
          <w:rFonts w:ascii="Garamond" w:hAnsi="Garamond"/>
          <w:sz w:val="24"/>
          <w:szCs w:val="24"/>
        </w:rPr>
        <w:t>also provided</w:t>
      </w:r>
      <w:r w:rsidRPr="00C32887">
        <w:rPr>
          <w:rFonts w:ascii="Garamond" w:hAnsi="Garamond"/>
          <w:sz w:val="24"/>
          <w:szCs w:val="24"/>
        </w:rPr>
        <w:t xml:space="preserve"> from donations</w:t>
      </w:r>
      <w:r w:rsidR="004E4DE4">
        <w:rPr>
          <w:rFonts w:ascii="Garamond" w:hAnsi="Garamond"/>
          <w:sz w:val="24"/>
          <w:szCs w:val="24"/>
        </w:rPr>
        <w:t>,</w:t>
      </w:r>
      <w:r w:rsidRPr="00C32887">
        <w:rPr>
          <w:rFonts w:ascii="Garamond" w:hAnsi="Garamond"/>
          <w:sz w:val="24"/>
          <w:szCs w:val="24"/>
        </w:rPr>
        <w:t xml:space="preserve"> by strategic </w:t>
      </w:r>
      <w:r w:rsidR="00337739">
        <w:rPr>
          <w:rFonts w:ascii="Garamond" w:hAnsi="Garamond"/>
          <w:sz w:val="24"/>
          <w:szCs w:val="24"/>
        </w:rPr>
        <w:t>objecti</w:t>
      </w:r>
      <w:r w:rsidR="004E4DE4">
        <w:rPr>
          <w:rFonts w:ascii="Garamond" w:hAnsi="Garamond"/>
          <w:sz w:val="24"/>
          <w:szCs w:val="24"/>
        </w:rPr>
        <w:t>ve</w:t>
      </w:r>
      <w:r w:rsidR="00337739">
        <w:rPr>
          <w:rFonts w:ascii="Garamond" w:hAnsi="Garamond"/>
          <w:sz w:val="24"/>
          <w:szCs w:val="24"/>
        </w:rPr>
        <w:t>s</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3F7806" w:rsidRDefault="004D1343" w:rsidP="003F7806">
      <w:pPr>
        <w:pStyle w:val="ListParagraph"/>
        <w:numPr>
          <w:ilvl w:val="0"/>
          <w:numId w:val="4"/>
        </w:numPr>
        <w:jc w:val="both"/>
        <w:rPr>
          <w:rFonts w:ascii="Garamond" w:hAnsi="Garamond"/>
          <w:sz w:val="24"/>
          <w:szCs w:val="24"/>
        </w:rPr>
      </w:pPr>
      <w:r w:rsidRPr="003F7806">
        <w:rPr>
          <w:rFonts w:ascii="Garamond" w:hAnsi="Garamond"/>
          <w:sz w:val="24"/>
          <w:szCs w:val="24"/>
        </w:rPr>
        <w:t xml:space="preserve">Funds in the amount of € 1.17 million were spent for the implementation of activities within the strategic </w:t>
      </w:r>
      <w:r w:rsidR="003F7806">
        <w:rPr>
          <w:rFonts w:ascii="Garamond" w:hAnsi="Garamond"/>
          <w:sz w:val="24"/>
          <w:szCs w:val="24"/>
        </w:rPr>
        <w:t>objective</w:t>
      </w:r>
      <w:r w:rsidRPr="003F7806">
        <w:rPr>
          <w:rFonts w:ascii="Garamond" w:hAnsi="Garamond"/>
          <w:sz w:val="24"/>
          <w:szCs w:val="24"/>
        </w:rPr>
        <w:t xml:space="preserve"> Sustainable Fiscal Framework, </w:t>
      </w:r>
      <w:r w:rsidR="003F7806" w:rsidRPr="003F7806">
        <w:rPr>
          <w:rFonts w:ascii="Garamond" w:hAnsi="Garamond"/>
          <w:sz w:val="24"/>
          <w:szCs w:val="24"/>
        </w:rPr>
        <w:t xml:space="preserve">Public </w:t>
      </w:r>
      <w:r w:rsidR="003F7806">
        <w:rPr>
          <w:rFonts w:ascii="Garamond" w:hAnsi="Garamond"/>
          <w:sz w:val="24"/>
          <w:szCs w:val="24"/>
        </w:rPr>
        <w:t xml:space="preserve">Expenditure </w:t>
      </w:r>
      <w:r w:rsidR="003F7806" w:rsidRPr="003F7806">
        <w:rPr>
          <w:rFonts w:ascii="Garamond" w:hAnsi="Garamond"/>
          <w:sz w:val="24"/>
          <w:szCs w:val="24"/>
        </w:rPr>
        <w:t xml:space="preserve">Planning </w:t>
      </w:r>
      <w:r w:rsidRPr="003F7806">
        <w:rPr>
          <w:rFonts w:ascii="Garamond" w:hAnsi="Garamond"/>
          <w:sz w:val="24"/>
          <w:szCs w:val="24"/>
        </w:rPr>
        <w:t xml:space="preserve">and </w:t>
      </w:r>
      <w:r w:rsidR="003F7806">
        <w:rPr>
          <w:rFonts w:ascii="Garamond" w:hAnsi="Garamond"/>
          <w:sz w:val="24"/>
          <w:szCs w:val="24"/>
        </w:rPr>
        <w:t>Budgeting</w:t>
      </w:r>
      <w:r w:rsidRPr="003F7806">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3F7806" w:rsidRDefault="003F7806" w:rsidP="003F7806">
      <w:pPr>
        <w:pStyle w:val="ListParagraph"/>
        <w:numPr>
          <w:ilvl w:val="0"/>
          <w:numId w:val="4"/>
        </w:numPr>
        <w:rPr>
          <w:rFonts w:ascii="Garamond" w:hAnsi="Garamond"/>
          <w:sz w:val="24"/>
          <w:szCs w:val="24"/>
        </w:rPr>
      </w:pPr>
      <w:r w:rsidRPr="003F7806">
        <w:rPr>
          <w:rFonts w:ascii="Garamond" w:hAnsi="Garamond"/>
          <w:sz w:val="24"/>
          <w:szCs w:val="24"/>
        </w:rPr>
        <w:t xml:space="preserve">Funds </w:t>
      </w:r>
      <w:r w:rsidR="004D1343" w:rsidRPr="003F7806">
        <w:rPr>
          <w:rFonts w:ascii="Garamond" w:hAnsi="Garamond"/>
          <w:sz w:val="24"/>
          <w:szCs w:val="24"/>
        </w:rPr>
        <w:t xml:space="preserve">in the amount of € 3.06 million were spent for the implementation of activities within the </w:t>
      </w:r>
      <w:r>
        <w:rPr>
          <w:rFonts w:ascii="Garamond" w:hAnsi="Garamond"/>
          <w:sz w:val="24"/>
          <w:szCs w:val="24"/>
        </w:rPr>
        <w:t>strategic objective Budget Execution</w:t>
      </w:r>
      <w:r w:rsidR="004D1343" w:rsidRPr="003F7806">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3F7806" w:rsidRDefault="003F7806" w:rsidP="003F7806">
      <w:pPr>
        <w:pStyle w:val="ListParagraph"/>
        <w:numPr>
          <w:ilvl w:val="0"/>
          <w:numId w:val="4"/>
        </w:numPr>
        <w:jc w:val="both"/>
        <w:rPr>
          <w:rFonts w:ascii="Garamond" w:hAnsi="Garamond"/>
          <w:sz w:val="24"/>
          <w:szCs w:val="24"/>
        </w:rPr>
      </w:pPr>
      <w:r w:rsidRPr="003F7806">
        <w:rPr>
          <w:rFonts w:ascii="Garamond" w:hAnsi="Garamond"/>
          <w:sz w:val="24"/>
          <w:szCs w:val="24"/>
        </w:rPr>
        <w:t xml:space="preserve">Funds </w:t>
      </w:r>
      <w:r w:rsidR="004D1343" w:rsidRPr="003F7806">
        <w:rPr>
          <w:rFonts w:ascii="Garamond" w:hAnsi="Garamond"/>
          <w:sz w:val="24"/>
          <w:szCs w:val="24"/>
        </w:rPr>
        <w:t xml:space="preserve">in the amount of € 0.04 million were spent for the implementation of activities within the strategic </w:t>
      </w:r>
      <w:r>
        <w:rPr>
          <w:rFonts w:ascii="Garamond" w:hAnsi="Garamond"/>
          <w:sz w:val="24"/>
          <w:szCs w:val="24"/>
        </w:rPr>
        <w:t>objective</w:t>
      </w:r>
      <w:r w:rsidR="004D1343" w:rsidRPr="003F7806">
        <w:rPr>
          <w:rFonts w:ascii="Garamond" w:hAnsi="Garamond"/>
          <w:sz w:val="24"/>
          <w:szCs w:val="24"/>
        </w:rPr>
        <w:t xml:space="preserve"> Development of </w:t>
      </w:r>
      <w:r w:rsidRPr="003F7806">
        <w:rPr>
          <w:rFonts w:ascii="Garamond" w:hAnsi="Garamond"/>
          <w:sz w:val="24"/>
          <w:szCs w:val="24"/>
        </w:rPr>
        <w:t xml:space="preserve">Public </w:t>
      </w:r>
      <w:r w:rsidR="004D1343" w:rsidRPr="003F7806">
        <w:rPr>
          <w:rFonts w:ascii="Garamond" w:hAnsi="Garamond"/>
          <w:sz w:val="24"/>
          <w:szCs w:val="24"/>
        </w:rPr>
        <w:t xml:space="preserve">Internal Financial Control (PIFC);         </w:t>
      </w:r>
    </w:p>
    <w:p w:rsidR="004D1343" w:rsidRPr="00C32887" w:rsidRDefault="004D1343" w:rsidP="004D1343">
      <w:pPr>
        <w:rPr>
          <w:rFonts w:ascii="Garamond" w:hAnsi="Garamond"/>
          <w:sz w:val="24"/>
          <w:szCs w:val="24"/>
        </w:rPr>
      </w:pPr>
    </w:p>
    <w:p w:rsidR="004D1343" w:rsidRPr="003F7806" w:rsidRDefault="003F7806" w:rsidP="003F7806">
      <w:pPr>
        <w:pStyle w:val="ListParagraph"/>
        <w:numPr>
          <w:ilvl w:val="0"/>
          <w:numId w:val="4"/>
        </w:numPr>
        <w:jc w:val="both"/>
        <w:rPr>
          <w:rFonts w:ascii="Garamond" w:hAnsi="Garamond"/>
          <w:sz w:val="24"/>
          <w:szCs w:val="24"/>
        </w:rPr>
      </w:pPr>
      <w:r w:rsidRPr="003F7806">
        <w:rPr>
          <w:rFonts w:ascii="Garamond" w:hAnsi="Garamond"/>
          <w:sz w:val="24"/>
          <w:szCs w:val="24"/>
        </w:rPr>
        <w:t xml:space="preserve">Funds </w:t>
      </w:r>
      <w:r w:rsidR="004D1343" w:rsidRPr="003F7806">
        <w:rPr>
          <w:rFonts w:ascii="Garamond" w:hAnsi="Garamond"/>
          <w:sz w:val="24"/>
          <w:szCs w:val="24"/>
        </w:rPr>
        <w:t xml:space="preserve">in the amount of € 0.08 million were spent for the implementation of activities within the strategic </w:t>
      </w:r>
      <w:r>
        <w:rPr>
          <w:rFonts w:ascii="Garamond" w:hAnsi="Garamond"/>
          <w:sz w:val="24"/>
          <w:szCs w:val="24"/>
        </w:rPr>
        <w:t>objective</w:t>
      </w:r>
      <w:r w:rsidR="004D1343" w:rsidRPr="003F7806">
        <w:rPr>
          <w:rFonts w:ascii="Garamond" w:hAnsi="Garamond"/>
          <w:sz w:val="24"/>
          <w:szCs w:val="24"/>
        </w:rPr>
        <w:t xml:space="preserve"> Financial Reporting and Accounting;         </w:t>
      </w:r>
    </w:p>
    <w:p w:rsidR="004D1343" w:rsidRPr="00C32887" w:rsidRDefault="004D1343" w:rsidP="004D1343">
      <w:pPr>
        <w:rPr>
          <w:rFonts w:ascii="Garamond" w:hAnsi="Garamond"/>
          <w:sz w:val="24"/>
          <w:szCs w:val="24"/>
        </w:rPr>
      </w:pPr>
    </w:p>
    <w:p w:rsidR="004D1343" w:rsidRPr="003F7806" w:rsidRDefault="004D1343" w:rsidP="003F7806">
      <w:pPr>
        <w:pStyle w:val="ListParagraph"/>
        <w:numPr>
          <w:ilvl w:val="0"/>
          <w:numId w:val="4"/>
        </w:numPr>
        <w:jc w:val="both"/>
        <w:rPr>
          <w:rFonts w:ascii="Garamond" w:hAnsi="Garamond"/>
          <w:sz w:val="24"/>
          <w:szCs w:val="24"/>
        </w:rPr>
      </w:pPr>
      <w:r w:rsidRPr="003F7806">
        <w:rPr>
          <w:rFonts w:ascii="Garamond" w:hAnsi="Garamond"/>
          <w:sz w:val="24"/>
          <w:szCs w:val="24"/>
        </w:rPr>
        <w:t xml:space="preserve">Funds in the amount of € 0.64 million were spent for the implementation of activities within the strategic </w:t>
      </w:r>
      <w:r w:rsidR="003F7806">
        <w:rPr>
          <w:rFonts w:ascii="Garamond" w:hAnsi="Garamond"/>
          <w:sz w:val="24"/>
          <w:szCs w:val="24"/>
        </w:rPr>
        <w:t>objective</w:t>
      </w:r>
      <w:r w:rsidRPr="003F7806">
        <w:rPr>
          <w:rFonts w:ascii="Garamond" w:hAnsi="Garamond"/>
          <w:sz w:val="24"/>
          <w:szCs w:val="24"/>
        </w:rPr>
        <w:t xml:space="preserve"> </w:t>
      </w:r>
      <w:r w:rsidR="003F7806" w:rsidRPr="003F7806">
        <w:rPr>
          <w:rFonts w:ascii="Garamond" w:hAnsi="Garamond"/>
          <w:sz w:val="24"/>
          <w:szCs w:val="24"/>
        </w:rPr>
        <w:t xml:space="preserve">External Audit </w:t>
      </w:r>
      <w:r w:rsidRPr="003F7806">
        <w:rPr>
          <w:rFonts w:ascii="Garamond" w:hAnsi="Garamond"/>
          <w:sz w:val="24"/>
          <w:szCs w:val="24"/>
        </w:rPr>
        <w:t xml:space="preserve">Development and </w:t>
      </w:r>
      <w:r w:rsidR="003F7806" w:rsidRPr="003F7806">
        <w:rPr>
          <w:rFonts w:ascii="Garamond" w:hAnsi="Garamond"/>
          <w:sz w:val="24"/>
          <w:szCs w:val="24"/>
        </w:rPr>
        <w:t>Strengthening</w:t>
      </w:r>
      <w:r w:rsidRPr="003F7806">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3F7806" w:rsidRDefault="003F7806">
      <w:pPr>
        <w:rPr>
          <w:rFonts w:ascii="Garamond" w:hAnsi="Garamond"/>
          <w:sz w:val="24"/>
          <w:szCs w:val="24"/>
        </w:rPr>
      </w:pPr>
      <w:r>
        <w:rPr>
          <w:rFonts w:ascii="Garamond" w:hAnsi="Garamond"/>
          <w:sz w:val="24"/>
          <w:szCs w:val="24"/>
        </w:rPr>
        <w:br w:type="page"/>
      </w:r>
    </w:p>
    <w:p w:rsidR="004D1343" w:rsidRPr="00C32887" w:rsidRDefault="004D1343" w:rsidP="00443776">
      <w:pPr>
        <w:pStyle w:val="Heading1"/>
        <w:jc w:val="both"/>
        <w:rPr>
          <w:rFonts w:ascii="Garamond" w:hAnsi="Garamond"/>
          <w:sz w:val="24"/>
          <w:szCs w:val="24"/>
        </w:rPr>
      </w:pPr>
      <w:bookmarkStart w:id="31" w:name="_Toc77688208"/>
      <w:r w:rsidRPr="00C32887">
        <w:rPr>
          <w:rFonts w:ascii="Garamond" w:hAnsi="Garamond"/>
          <w:sz w:val="24"/>
          <w:szCs w:val="24"/>
        </w:rPr>
        <w:t xml:space="preserve">IV RECOMMENDATIONS FOR THE NEXT PHASES OF THE </w:t>
      </w:r>
      <w:r w:rsidR="00AB73F6" w:rsidRPr="00C32887">
        <w:rPr>
          <w:rFonts w:ascii="Garamond" w:hAnsi="Garamond"/>
          <w:sz w:val="24"/>
          <w:szCs w:val="24"/>
        </w:rPr>
        <w:t>PROGRAMME</w:t>
      </w:r>
      <w:r w:rsidRPr="00C32887">
        <w:rPr>
          <w:rFonts w:ascii="Garamond" w:hAnsi="Garamond"/>
          <w:sz w:val="24"/>
          <w:szCs w:val="24"/>
        </w:rPr>
        <w:t xml:space="preserve"> IMPLEMENTATION</w:t>
      </w:r>
      <w:bookmarkEnd w:id="31"/>
    </w:p>
    <w:p w:rsidR="004D1343" w:rsidRPr="00C32887" w:rsidRDefault="004D1343" w:rsidP="004D1343">
      <w:pPr>
        <w:rPr>
          <w:rFonts w:ascii="Garamond" w:hAnsi="Garamond"/>
          <w:sz w:val="24"/>
          <w:szCs w:val="24"/>
        </w:rPr>
      </w:pPr>
    </w:p>
    <w:p w:rsidR="004D1343" w:rsidRPr="00C32887" w:rsidRDefault="004D1343" w:rsidP="003F7806">
      <w:pPr>
        <w:jc w:val="both"/>
        <w:rPr>
          <w:rFonts w:ascii="Garamond" w:hAnsi="Garamond"/>
          <w:sz w:val="24"/>
          <w:szCs w:val="24"/>
        </w:rPr>
      </w:pPr>
      <w:r w:rsidRPr="00C32887">
        <w:rPr>
          <w:rFonts w:ascii="Garamond" w:hAnsi="Garamond"/>
          <w:sz w:val="24"/>
          <w:szCs w:val="24"/>
        </w:rPr>
        <w:t>2016-2020</w:t>
      </w:r>
      <w:r w:rsidR="003F7806" w:rsidRPr="003F7806">
        <w:rPr>
          <w:rFonts w:ascii="Garamond" w:hAnsi="Garamond"/>
          <w:sz w:val="24"/>
          <w:szCs w:val="24"/>
        </w:rPr>
        <w:t xml:space="preserve"> </w:t>
      </w:r>
      <w:r w:rsidR="00567E72">
        <w:rPr>
          <w:rFonts w:ascii="Garamond" w:hAnsi="Garamond"/>
          <w:sz w:val="24"/>
          <w:szCs w:val="24"/>
        </w:rPr>
        <w:t>Public Finance</w:t>
      </w:r>
      <w:r w:rsidR="003F7806" w:rsidRPr="00C32887">
        <w:rPr>
          <w:rFonts w:ascii="Garamond" w:hAnsi="Garamond"/>
          <w:sz w:val="24"/>
          <w:szCs w:val="24"/>
        </w:rPr>
        <w:t xml:space="preserve"> Management Reform Programme</w:t>
      </w:r>
      <w:r w:rsidR="003F7806" w:rsidRPr="003F7806">
        <w:rPr>
          <w:rFonts w:ascii="Garamond" w:hAnsi="Garamond"/>
          <w:sz w:val="24"/>
          <w:szCs w:val="24"/>
        </w:rPr>
        <w:t xml:space="preserve"> </w:t>
      </w:r>
      <w:r w:rsidR="003F7806" w:rsidRPr="00C32887">
        <w:rPr>
          <w:rFonts w:ascii="Garamond" w:hAnsi="Garamond"/>
          <w:sz w:val="24"/>
          <w:szCs w:val="24"/>
        </w:rPr>
        <w:t>Final Report</w:t>
      </w:r>
      <w:r w:rsidR="00567E72">
        <w:rPr>
          <w:rFonts w:ascii="Garamond" w:hAnsi="Garamond"/>
          <w:sz w:val="24"/>
          <w:szCs w:val="24"/>
        </w:rPr>
        <w:t xml:space="preserve"> </w:t>
      </w:r>
      <w:r w:rsidR="004E4DE4">
        <w:rPr>
          <w:rFonts w:ascii="Garamond" w:hAnsi="Garamond"/>
          <w:sz w:val="24"/>
          <w:szCs w:val="24"/>
        </w:rPr>
        <w:t>states that</w:t>
      </w:r>
      <w:r w:rsidRPr="00C32887">
        <w:rPr>
          <w:rFonts w:ascii="Garamond" w:hAnsi="Garamond"/>
          <w:sz w:val="24"/>
          <w:szCs w:val="24"/>
        </w:rPr>
        <w:t xml:space="preserve"> a certain number of activities </w:t>
      </w:r>
      <w:r w:rsidR="004E4DE4">
        <w:rPr>
          <w:rFonts w:ascii="Garamond" w:hAnsi="Garamond"/>
          <w:sz w:val="24"/>
          <w:szCs w:val="24"/>
        </w:rPr>
        <w:t>have been</w:t>
      </w:r>
      <w:r w:rsidRPr="00C32887">
        <w:rPr>
          <w:rFonts w:ascii="Garamond" w:hAnsi="Garamond"/>
          <w:sz w:val="24"/>
          <w:szCs w:val="24"/>
        </w:rPr>
        <w:t xml:space="preserve"> </w:t>
      </w:r>
      <w:r w:rsidR="00567E72">
        <w:rPr>
          <w:rFonts w:ascii="Garamond" w:hAnsi="Garamond"/>
          <w:sz w:val="24"/>
          <w:szCs w:val="24"/>
        </w:rPr>
        <w:t>implemented</w:t>
      </w:r>
      <w:r w:rsidRPr="00C32887">
        <w:rPr>
          <w:rFonts w:ascii="Garamond" w:hAnsi="Garamond"/>
          <w:sz w:val="24"/>
          <w:szCs w:val="24"/>
        </w:rPr>
        <w:t xml:space="preserve"> </w:t>
      </w:r>
      <w:r w:rsidR="00567E72">
        <w:rPr>
          <w:rFonts w:ascii="Garamond" w:hAnsi="Garamond"/>
          <w:sz w:val="24"/>
          <w:szCs w:val="24"/>
        </w:rPr>
        <w:t>or their implementation is in progress</w:t>
      </w:r>
      <w:r w:rsidRPr="00C32887">
        <w:rPr>
          <w:rFonts w:ascii="Garamond" w:hAnsi="Garamond"/>
          <w:sz w:val="24"/>
          <w:szCs w:val="24"/>
        </w:rPr>
        <w:t xml:space="preserve">, </w:t>
      </w:r>
      <w:r w:rsidR="004E4DE4">
        <w:rPr>
          <w:rFonts w:ascii="Garamond" w:hAnsi="Garamond"/>
          <w:sz w:val="24"/>
          <w:szCs w:val="24"/>
        </w:rPr>
        <w:t>while</w:t>
      </w:r>
      <w:r w:rsidRPr="00C32887">
        <w:rPr>
          <w:rFonts w:ascii="Garamond" w:hAnsi="Garamond"/>
          <w:sz w:val="24"/>
          <w:szCs w:val="24"/>
        </w:rPr>
        <w:t xml:space="preserve"> there are </w:t>
      </w:r>
      <w:r w:rsidR="00567E72">
        <w:rPr>
          <w:rFonts w:ascii="Garamond" w:hAnsi="Garamond"/>
          <w:sz w:val="24"/>
          <w:szCs w:val="24"/>
        </w:rPr>
        <w:t xml:space="preserve">also </w:t>
      </w:r>
      <w:r w:rsidRPr="00C32887">
        <w:rPr>
          <w:rFonts w:ascii="Garamond" w:hAnsi="Garamond"/>
          <w:sz w:val="24"/>
          <w:szCs w:val="24"/>
        </w:rPr>
        <w:t xml:space="preserve">activities constantly being </w:t>
      </w:r>
      <w:r w:rsidR="00567E72">
        <w:rPr>
          <w:rFonts w:ascii="Garamond" w:hAnsi="Garamond"/>
          <w:sz w:val="24"/>
          <w:szCs w:val="24"/>
        </w:rPr>
        <w:t>implemented</w:t>
      </w:r>
      <w:r w:rsidRPr="00C32887">
        <w:rPr>
          <w:rFonts w:ascii="Garamond" w:hAnsi="Garamond"/>
          <w:sz w:val="24"/>
          <w:szCs w:val="24"/>
        </w:rPr>
        <w:t xml:space="preserve">, as well as some not </w:t>
      </w:r>
      <w:r w:rsidR="00567E72">
        <w:rPr>
          <w:rFonts w:ascii="Garamond" w:hAnsi="Garamond"/>
          <w:sz w:val="24"/>
          <w:szCs w:val="24"/>
        </w:rPr>
        <w:t>implemented</w:t>
      </w:r>
      <w:r w:rsidR="00567E72" w:rsidRPr="00C32887">
        <w:rPr>
          <w:rFonts w:ascii="Garamond" w:hAnsi="Garamond"/>
          <w:sz w:val="24"/>
          <w:szCs w:val="24"/>
        </w:rPr>
        <w:t xml:space="preserve"> </w:t>
      </w:r>
      <w:r w:rsidRPr="00C32887">
        <w:rPr>
          <w:rFonts w:ascii="Garamond" w:hAnsi="Garamond"/>
          <w:sz w:val="24"/>
          <w:szCs w:val="24"/>
        </w:rPr>
        <w:t>during the planned period. Therefore, it is necessary to make additional efforts to implement them.</w:t>
      </w:r>
    </w:p>
    <w:p w:rsidR="004D1343" w:rsidRPr="00C32887" w:rsidRDefault="004D1343" w:rsidP="004D1343">
      <w:pPr>
        <w:rPr>
          <w:rFonts w:ascii="Garamond" w:hAnsi="Garamond"/>
          <w:sz w:val="24"/>
          <w:szCs w:val="24"/>
        </w:rPr>
      </w:pPr>
    </w:p>
    <w:p w:rsidR="004D1343" w:rsidRPr="00C32887" w:rsidRDefault="004D1343" w:rsidP="00567E72">
      <w:pPr>
        <w:jc w:val="both"/>
        <w:rPr>
          <w:rFonts w:ascii="Garamond" w:hAnsi="Garamond"/>
          <w:sz w:val="24"/>
          <w:szCs w:val="24"/>
        </w:rPr>
      </w:pPr>
      <w:r w:rsidRPr="00C32887">
        <w:rPr>
          <w:rFonts w:ascii="Garamond" w:hAnsi="Garamond"/>
          <w:sz w:val="24"/>
          <w:szCs w:val="24"/>
        </w:rPr>
        <w:t xml:space="preserve">Regarding the next period of the </w:t>
      </w:r>
      <w:r w:rsidR="00AB73F6" w:rsidRPr="00C32887">
        <w:rPr>
          <w:rFonts w:ascii="Garamond" w:hAnsi="Garamond"/>
          <w:sz w:val="24"/>
          <w:szCs w:val="24"/>
        </w:rPr>
        <w:t>Programme</w:t>
      </w:r>
      <w:r w:rsidRPr="00C32887">
        <w:rPr>
          <w:rFonts w:ascii="Garamond" w:hAnsi="Garamond"/>
          <w:sz w:val="24"/>
          <w:szCs w:val="24"/>
        </w:rPr>
        <w:t xml:space="preserve"> implementation, specific recommendations were given for certain areas:</w:t>
      </w:r>
    </w:p>
    <w:p w:rsidR="004D1343" w:rsidRPr="00C32887" w:rsidRDefault="004D1343" w:rsidP="004D1343">
      <w:pPr>
        <w:rPr>
          <w:rFonts w:ascii="Garamond" w:hAnsi="Garamond"/>
          <w:sz w:val="24"/>
          <w:szCs w:val="24"/>
        </w:rPr>
      </w:pPr>
    </w:p>
    <w:p w:rsidR="004D1343" w:rsidRPr="00567E72" w:rsidRDefault="00085702" w:rsidP="00567E72">
      <w:pPr>
        <w:pStyle w:val="ListParagraph"/>
        <w:numPr>
          <w:ilvl w:val="0"/>
          <w:numId w:val="25"/>
        </w:numPr>
        <w:jc w:val="both"/>
        <w:rPr>
          <w:rFonts w:ascii="Garamond" w:hAnsi="Garamond"/>
          <w:sz w:val="24"/>
          <w:szCs w:val="24"/>
        </w:rPr>
      </w:pPr>
      <w:r w:rsidRPr="00567E72">
        <w:rPr>
          <w:rFonts w:ascii="Garamond" w:hAnsi="Garamond"/>
          <w:sz w:val="24"/>
          <w:szCs w:val="24"/>
        </w:rPr>
        <w:t xml:space="preserve">The </w:t>
      </w:r>
      <w:r w:rsidR="004D1343" w:rsidRPr="00567E72">
        <w:rPr>
          <w:rFonts w:ascii="Garamond" w:hAnsi="Garamond"/>
          <w:sz w:val="24"/>
          <w:szCs w:val="24"/>
        </w:rPr>
        <w:t>Ministr</w:t>
      </w:r>
      <w:r>
        <w:rPr>
          <w:rFonts w:ascii="Garamond" w:hAnsi="Garamond"/>
          <w:sz w:val="24"/>
          <w:szCs w:val="24"/>
        </w:rPr>
        <w:t>y of Finance and Social Welfare</w:t>
      </w:r>
      <w:r w:rsidR="004D1343" w:rsidRPr="00567E72">
        <w:rPr>
          <w:rFonts w:ascii="Garamond" w:hAnsi="Garamond"/>
          <w:sz w:val="24"/>
          <w:szCs w:val="24"/>
        </w:rPr>
        <w:t xml:space="preserve"> </w:t>
      </w:r>
      <w:r>
        <w:rPr>
          <w:rFonts w:ascii="Garamond" w:hAnsi="Garamond"/>
          <w:sz w:val="24"/>
          <w:szCs w:val="24"/>
        </w:rPr>
        <w:t>needs</w:t>
      </w:r>
      <w:r w:rsidR="004D1343" w:rsidRPr="00567E72">
        <w:rPr>
          <w:rFonts w:ascii="Garamond" w:hAnsi="Garamond"/>
          <w:sz w:val="24"/>
          <w:szCs w:val="24"/>
        </w:rPr>
        <w:t xml:space="preserve"> to intensify activities on establishing full implementation of the </w:t>
      </w:r>
      <w:r w:rsidRPr="00567E72">
        <w:rPr>
          <w:rFonts w:ascii="Garamond" w:hAnsi="Garamond"/>
          <w:sz w:val="24"/>
          <w:szCs w:val="24"/>
        </w:rPr>
        <w:t>programme</w:t>
      </w:r>
      <w:r>
        <w:rPr>
          <w:rFonts w:ascii="Garamond" w:hAnsi="Garamond"/>
          <w:sz w:val="24"/>
          <w:szCs w:val="24"/>
        </w:rPr>
        <w:t>-based</w:t>
      </w:r>
      <w:r w:rsidR="004D1343" w:rsidRPr="00567E72">
        <w:rPr>
          <w:rFonts w:ascii="Garamond" w:hAnsi="Garamond"/>
          <w:sz w:val="24"/>
          <w:szCs w:val="24"/>
        </w:rPr>
        <w:t xml:space="preserve"> budget </w:t>
      </w:r>
      <w:r w:rsidR="00443776">
        <w:rPr>
          <w:rFonts w:ascii="Garamond" w:hAnsi="Garamond"/>
          <w:sz w:val="24"/>
          <w:szCs w:val="24"/>
        </w:rPr>
        <w:t>at</w:t>
      </w:r>
      <w:r w:rsidR="004D1343" w:rsidRPr="00567E72">
        <w:rPr>
          <w:rFonts w:ascii="Garamond" w:hAnsi="Garamond"/>
          <w:sz w:val="24"/>
          <w:szCs w:val="24"/>
        </w:rPr>
        <w:t xml:space="preserve"> the level of performance indicators</w:t>
      </w:r>
      <w:r w:rsidR="00567E72">
        <w:rPr>
          <w:rFonts w:ascii="Garamond" w:hAnsi="Garamond"/>
          <w:sz w:val="24"/>
          <w:szCs w:val="24"/>
        </w:rPr>
        <w:t>,</w:t>
      </w:r>
      <w:r w:rsidR="00F32140">
        <w:rPr>
          <w:rFonts w:ascii="Garamond" w:hAnsi="Garamond"/>
          <w:sz w:val="24"/>
          <w:szCs w:val="24"/>
        </w:rPr>
        <w:t xml:space="preserve"> and present</w:t>
      </w:r>
      <w:r w:rsidR="004D1343" w:rsidRPr="00567E72">
        <w:rPr>
          <w:rFonts w:ascii="Garamond" w:hAnsi="Garamond"/>
          <w:sz w:val="24"/>
          <w:szCs w:val="24"/>
        </w:rPr>
        <w:t xml:space="preserve"> </w:t>
      </w:r>
      <w:r w:rsidR="00F32140">
        <w:rPr>
          <w:rFonts w:ascii="Garamond" w:hAnsi="Garamond"/>
          <w:sz w:val="24"/>
          <w:szCs w:val="24"/>
        </w:rPr>
        <w:t>individual projects</w:t>
      </w:r>
      <w:r w:rsidR="00F32140" w:rsidRPr="00567E72">
        <w:rPr>
          <w:rFonts w:ascii="Garamond" w:hAnsi="Garamond"/>
          <w:sz w:val="24"/>
          <w:szCs w:val="24"/>
        </w:rPr>
        <w:t xml:space="preserve"> </w:t>
      </w:r>
      <w:r w:rsidR="00F32140">
        <w:rPr>
          <w:rFonts w:ascii="Garamond" w:hAnsi="Garamond"/>
          <w:sz w:val="24"/>
          <w:szCs w:val="24"/>
        </w:rPr>
        <w:t xml:space="preserve">in </w:t>
      </w:r>
      <w:r w:rsidR="004D1343" w:rsidRPr="00567E72">
        <w:rPr>
          <w:rFonts w:ascii="Garamond" w:hAnsi="Garamond"/>
          <w:sz w:val="24"/>
          <w:szCs w:val="24"/>
        </w:rPr>
        <w:t>the capital budget;</w:t>
      </w:r>
    </w:p>
    <w:p w:rsidR="004D1343" w:rsidRPr="00567E72" w:rsidRDefault="004D1343" w:rsidP="00567E72">
      <w:pPr>
        <w:pStyle w:val="ListParagraph"/>
        <w:numPr>
          <w:ilvl w:val="0"/>
          <w:numId w:val="25"/>
        </w:numPr>
        <w:rPr>
          <w:rFonts w:ascii="Garamond" w:hAnsi="Garamond"/>
          <w:sz w:val="24"/>
          <w:szCs w:val="24"/>
        </w:rPr>
      </w:pPr>
      <w:r w:rsidRPr="00567E72">
        <w:rPr>
          <w:rFonts w:ascii="Garamond" w:hAnsi="Garamond"/>
          <w:sz w:val="24"/>
          <w:szCs w:val="24"/>
        </w:rPr>
        <w:t>Intensify work on connecting software with the SAP system in order to excha</w:t>
      </w:r>
      <w:r w:rsidR="00567E72">
        <w:rPr>
          <w:rFonts w:ascii="Garamond" w:hAnsi="Garamond"/>
          <w:sz w:val="24"/>
          <w:szCs w:val="24"/>
        </w:rPr>
        <w:t>nge data and execute the budget</w:t>
      </w:r>
      <w:r w:rsidRPr="00567E72">
        <w:rPr>
          <w:rFonts w:ascii="Garamond" w:hAnsi="Garamond"/>
          <w:sz w:val="24"/>
          <w:szCs w:val="24"/>
        </w:rPr>
        <w:t>;</w:t>
      </w:r>
    </w:p>
    <w:p w:rsidR="004D1343" w:rsidRPr="00567E72" w:rsidRDefault="004D1343" w:rsidP="00567E72">
      <w:pPr>
        <w:pStyle w:val="ListParagraph"/>
        <w:numPr>
          <w:ilvl w:val="0"/>
          <w:numId w:val="25"/>
        </w:numPr>
        <w:jc w:val="both"/>
        <w:rPr>
          <w:rFonts w:ascii="Garamond" w:hAnsi="Garamond"/>
          <w:sz w:val="24"/>
          <w:szCs w:val="24"/>
        </w:rPr>
      </w:pPr>
      <w:r w:rsidRPr="00567E72">
        <w:rPr>
          <w:rFonts w:ascii="Garamond" w:hAnsi="Garamond"/>
          <w:sz w:val="24"/>
          <w:szCs w:val="24"/>
        </w:rPr>
        <w:t>Continue trainin</w:t>
      </w:r>
      <w:r w:rsidR="00443776">
        <w:rPr>
          <w:rFonts w:ascii="Garamond" w:hAnsi="Garamond"/>
          <w:sz w:val="24"/>
          <w:szCs w:val="24"/>
        </w:rPr>
        <w:t>g</w:t>
      </w:r>
      <w:r w:rsidR="00F32140">
        <w:rPr>
          <w:rFonts w:ascii="Garamond" w:hAnsi="Garamond"/>
          <w:sz w:val="24"/>
          <w:szCs w:val="24"/>
        </w:rPr>
        <w:t>s</w:t>
      </w:r>
      <w:r w:rsidR="00443776">
        <w:rPr>
          <w:rFonts w:ascii="Garamond" w:hAnsi="Garamond"/>
          <w:sz w:val="24"/>
          <w:szCs w:val="24"/>
        </w:rPr>
        <w:t xml:space="preserve"> for key users and a</w:t>
      </w:r>
      <w:r w:rsidRPr="00567E72">
        <w:rPr>
          <w:rFonts w:ascii="Garamond" w:hAnsi="Garamond"/>
          <w:sz w:val="24"/>
          <w:szCs w:val="24"/>
        </w:rPr>
        <w:t xml:space="preserve">dministrators of the new Budget Planning System and </w:t>
      </w:r>
      <w:r w:rsidR="00443776" w:rsidRPr="00567E72">
        <w:rPr>
          <w:rFonts w:ascii="Garamond" w:hAnsi="Garamond"/>
          <w:sz w:val="24"/>
          <w:szCs w:val="24"/>
        </w:rPr>
        <w:t>Centrali</w:t>
      </w:r>
      <w:r w:rsidR="00371F6C">
        <w:rPr>
          <w:rFonts w:ascii="Garamond" w:hAnsi="Garamond"/>
          <w:sz w:val="24"/>
          <w:szCs w:val="24"/>
        </w:rPr>
        <w:t>sed</w:t>
      </w:r>
      <w:r w:rsidR="00443776" w:rsidRPr="00567E72">
        <w:rPr>
          <w:rFonts w:ascii="Garamond" w:hAnsi="Garamond"/>
          <w:sz w:val="24"/>
          <w:szCs w:val="24"/>
        </w:rPr>
        <w:t xml:space="preserve"> Payroll System </w:t>
      </w:r>
      <w:r w:rsidRPr="00567E72">
        <w:rPr>
          <w:rFonts w:ascii="Garamond" w:hAnsi="Garamond"/>
          <w:sz w:val="24"/>
          <w:szCs w:val="24"/>
        </w:rPr>
        <w:t xml:space="preserve">for employees of the Ministry of Finance and Social Welfare, starting from the operational level of use </w:t>
      </w:r>
      <w:r w:rsidR="00443776">
        <w:rPr>
          <w:rFonts w:ascii="Garamond" w:hAnsi="Garamond"/>
          <w:sz w:val="24"/>
          <w:szCs w:val="24"/>
        </w:rPr>
        <w:t xml:space="preserve">by end users, </w:t>
      </w:r>
      <w:r w:rsidRPr="00567E72">
        <w:rPr>
          <w:rFonts w:ascii="Garamond" w:hAnsi="Garamond"/>
          <w:sz w:val="24"/>
          <w:szCs w:val="24"/>
        </w:rPr>
        <w:t>to the level of acquiring administrat</w:t>
      </w:r>
      <w:r w:rsidR="00567E72">
        <w:rPr>
          <w:rFonts w:ascii="Garamond" w:hAnsi="Garamond"/>
          <w:sz w:val="24"/>
          <w:szCs w:val="24"/>
        </w:rPr>
        <w:t>ive skills of system management</w:t>
      </w:r>
      <w:r w:rsidRPr="00567E72">
        <w:rPr>
          <w:rFonts w:ascii="Garamond" w:hAnsi="Garamond"/>
          <w:sz w:val="24"/>
          <w:szCs w:val="24"/>
        </w:rPr>
        <w:t>;</w:t>
      </w:r>
    </w:p>
    <w:p w:rsidR="004D1343" w:rsidRPr="00567E72" w:rsidRDefault="004D1343" w:rsidP="00567E72">
      <w:pPr>
        <w:pStyle w:val="ListParagraph"/>
        <w:numPr>
          <w:ilvl w:val="0"/>
          <w:numId w:val="25"/>
        </w:numPr>
        <w:jc w:val="both"/>
        <w:rPr>
          <w:rFonts w:ascii="Garamond" w:hAnsi="Garamond"/>
          <w:sz w:val="24"/>
          <w:szCs w:val="24"/>
        </w:rPr>
      </w:pPr>
      <w:r w:rsidRPr="00567E72">
        <w:rPr>
          <w:rFonts w:ascii="Garamond" w:hAnsi="Garamond"/>
          <w:sz w:val="24"/>
          <w:szCs w:val="24"/>
        </w:rPr>
        <w:t>Take action</w:t>
      </w:r>
      <w:r w:rsidR="00567E72">
        <w:rPr>
          <w:rFonts w:ascii="Garamond" w:hAnsi="Garamond"/>
          <w:sz w:val="24"/>
          <w:szCs w:val="24"/>
        </w:rPr>
        <w:t xml:space="preserve">s on continuous improvement of the </w:t>
      </w:r>
      <w:r w:rsidRPr="00567E72">
        <w:rPr>
          <w:rFonts w:ascii="Garamond" w:hAnsi="Garamond"/>
          <w:sz w:val="24"/>
          <w:szCs w:val="24"/>
        </w:rPr>
        <w:t xml:space="preserve">system and achieving goals after </w:t>
      </w:r>
      <w:r w:rsidR="00F32140">
        <w:rPr>
          <w:rFonts w:ascii="Garamond" w:hAnsi="Garamond"/>
          <w:sz w:val="24"/>
          <w:szCs w:val="24"/>
        </w:rPr>
        <w:t>the implementation</w:t>
      </w:r>
      <w:r w:rsidRPr="00567E72">
        <w:rPr>
          <w:rFonts w:ascii="Garamond" w:hAnsi="Garamond"/>
          <w:sz w:val="24"/>
          <w:szCs w:val="24"/>
        </w:rPr>
        <w:t xml:space="preserve"> </w:t>
      </w:r>
      <w:r w:rsidR="00F32140">
        <w:rPr>
          <w:rFonts w:ascii="Garamond" w:hAnsi="Garamond"/>
          <w:sz w:val="24"/>
          <w:szCs w:val="24"/>
        </w:rPr>
        <w:t xml:space="preserve">of </w:t>
      </w:r>
      <w:r w:rsidRPr="00567E72">
        <w:rPr>
          <w:rFonts w:ascii="Garamond" w:hAnsi="Garamond"/>
          <w:sz w:val="24"/>
          <w:szCs w:val="24"/>
        </w:rPr>
        <w:t xml:space="preserve">the </w:t>
      </w:r>
      <w:r w:rsidR="00AB73F6" w:rsidRPr="00567E72">
        <w:rPr>
          <w:rFonts w:ascii="Garamond" w:hAnsi="Garamond"/>
          <w:sz w:val="24"/>
          <w:szCs w:val="24"/>
        </w:rPr>
        <w:t>Programme</w:t>
      </w:r>
      <w:r w:rsidRPr="00567E72">
        <w:rPr>
          <w:rFonts w:ascii="Garamond" w:hAnsi="Garamond"/>
          <w:sz w:val="24"/>
          <w:szCs w:val="24"/>
        </w:rPr>
        <w:t xml:space="preserve"> and the expiration of the signed contract</w:t>
      </w:r>
      <w:r w:rsidR="00567E72">
        <w:rPr>
          <w:rFonts w:ascii="Garamond" w:hAnsi="Garamond"/>
          <w:sz w:val="24"/>
          <w:szCs w:val="24"/>
        </w:rPr>
        <w:t>s</w:t>
      </w:r>
      <w:r w:rsidRPr="00567E72">
        <w:rPr>
          <w:rFonts w:ascii="Garamond" w:hAnsi="Garamond"/>
          <w:sz w:val="24"/>
          <w:szCs w:val="24"/>
        </w:rPr>
        <w:t>;</w:t>
      </w:r>
    </w:p>
    <w:p w:rsidR="004D1343" w:rsidRPr="00567E72" w:rsidRDefault="004D1343" w:rsidP="00567E72">
      <w:pPr>
        <w:pStyle w:val="ListParagraph"/>
        <w:numPr>
          <w:ilvl w:val="0"/>
          <w:numId w:val="25"/>
        </w:numPr>
        <w:jc w:val="both"/>
        <w:rPr>
          <w:rFonts w:ascii="Garamond" w:hAnsi="Garamond"/>
          <w:sz w:val="24"/>
          <w:szCs w:val="24"/>
        </w:rPr>
      </w:pPr>
      <w:r w:rsidRPr="00567E72">
        <w:rPr>
          <w:rFonts w:ascii="Garamond" w:hAnsi="Garamond"/>
          <w:sz w:val="24"/>
          <w:szCs w:val="24"/>
        </w:rPr>
        <w:t xml:space="preserve">In line with the identified challenges </w:t>
      </w:r>
      <w:r w:rsidR="00F32140">
        <w:rPr>
          <w:rFonts w:ascii="Garamond" w:hAnsi="Garamond"/>
          <w:sz w:val="24"/>
          <w:szCs w:val="24"/>
        </w:rPr>
        <w:t>regarding</w:t>
      </w:r>
      <w:r w:rsidRPr="00567E72">
        <w:rPr>
          <w:rFonts w:ascii="Garamond" w:hAnsi="Garamond"/>
          <w:sz w:val="24"/>
          <w:szCs w:val="24"/>
        </w:rPr>
        <w:t xml:space="preserve"> macroeconomic </w:t>
      </w:r>
      <w:r w:rsidR="00567E72">
        <w:rPr>
          <w:rFonts w:ascii="Garamond" w:hAnsi="Garamond"/>
          <w:sz w:val="24"/>
          <w:szCs w:val="24"/>
        </w:rPr>
        <w:t>forecasting</w:t>
      </w:r>
      <w:r w:rsidRPr="00567E72">
        <w:rPr>
          <w:rFonts w:ascii="Garamond" w:hAnsi="Garamond"/>
          <w:sz w:val="24"/>
          <w:szCs w:val="24"/>
        </w:rPr>
        <w:t>, the employees working on the model adjusted the MMM model to the new situation in 2020 and used the expert assessment and experience from previous crises</w:t>
      </w:r>
      <w:r w:rsidR="00F32140" w:rsidRPr="00F32140">
        <w:rPr>
          <w:rFonts w:ascii="Garamond" w:hAnsi="Garamond"/>
          <w:sz w:val="24"/>
          <w:szCs w:val="24"/>
        </w:rPr>
        <w:t xml:space="preserve"> </w:t>
      </w:r>
      <w:r w:rsidR="00F32140" w:rsidRPr="00567E72">
        <w:rPr>
          <w:rFonts w:ascii="Garamond" w:hAnsi="Garamond"/>
          <w:sz w:val="24"/>
          <w:szCs w:val="24"/>
        </w:rPr>
        <w:t>to a greater extent</w:t>
      </w:r>
      <w:r w:rsidRPr="00567E72">
        <w:rPr>
          <w:rFonts w:ascii="Garamond" w:hAnsi="Garamond"/>
          <w:sz w:val="24"/>
          <w:szCs w:val="24"/>
        </w:rPr>
        <w:t xml:space="preserve">, as </w:t>
      </w:r>
      <w:r w:rsidR="008B6760">
        <w:rPr>
          <w:rFonts w:ascii="Garamond" w:hAnsi="Garamond"/>
          <w:sz w:val="24"/>
          <w:szCs w:val="24"/>
        </w:rPr>
        <w:t xml:space="preserve">well as </w:t>
      </w:r>
      <w:r w:rsidRPr="00567E72">
        <w:rPr>
          <w:rFonts w:ascii="Garamond" w:hAnsi="Garamond"/>
          <w:sz w:val="24"/>
          <w:szCs w:val="24"/>
        </w:rPr>
        <w:t>additional tools in macroeconomic forecast</w:t>
      </w:r>
      <w:r w:rsidR="00F32140">
        <w:rPr>
          <w:rFonts w:ascii="Garamond" w:hAnsi="Garamond"/>
          <w:sz w:val="24"/>
          <w:szCs w:val="24"/>
        </w:rPr>
        <w:t>ing</w:t>
      </w:r>
      <w:r w:rsidRPr="00567E72">
        <w:rPr>
          <w:rFonts w:ascii="Garamond" w:hAnsi="Garamond"/>
          <w:sz w:val="24"/>
          <w:szCs w:val="24"/>
        </w:rPr>
        <w:t xml:space="preserve">. The aim was to increase the consistency of the model and </w:t>
      </w:r>
      <w:r w:rsidR="00443776">
        <w:rPr>
          <w:rFonts w:ascii="Garamond" w:hAnsi="Garamond"/>
          <w:sz w:val="24"/>
          <w:szCs w:val="24"/>
        </w:rPr>
        <w:t xml:space="preserve">provide </w:t>
      </w:r>
      <w:r w:rsidRPr="00567E72">
        <w:rPr>
          <w:rFonts w:ascii="Garamond" w:hAnsi="Garamond"/>
          <w:sz w:val="24"/>
          <w:szCs w:val="24"/>
        </w:rPr>
        <w:t xml:space="preserve">more accurate projections of the most important economic indicators. In the forthcoming period, it is necessary to further improve the second module and include some of the structural reform measures listed in the </w:t>
      </w:r>
      <w:r w:rsidR="00AB73F6" w:rsidRPr="00567E72">
        <w:rPr>
          <w:rFonts w:ascii="Garamond" w:hAnsi="Garamond"/>
          <w:sz w:val="24"/>
          <w:szCs w:val="24"/>
        </w:rPr>
        <w:t>Programme</w:t>
      </w:r>
      <w:r w:rsidRPr="00567E72">
        <w:rPr>
          <w:rFonts w:ascii="Garamond" w:hAnsi="Garamond"/>
          <w:sz w:val="24"/>
          <w:szCs w:val="24"/>
        </w:rPr>
        <w:t xml:space="preserve"> itself and assess their impact on </w:t>
      </w:r>
      <w:r w:rsidR="00F32140">
        <w:rPr>
          <w:rFonts w:ascii="Garamond" w:hAnsi="Garamond"/>
          <w:sz w:val="24"/>
          <w:szCs w:val="24"/>
        </w:rPr>
        <w:t xml:space="preserve">the </w:t>
      </w:r>
      <w:r w:rsidRPr="00567E72">
        <w:rPr>
          <w:rFonts w:ascii="Garamond" w:hAnsi="Garamond"/>
          <w:sz w:val="24"/>
          <w:szCs w:val="24"/>
        </w:rPr>
        <w:t>economic growth and other relevant parameters. Therefore, in the following period, it is expected to intensify the new project cycle concluded with the Directorate, which refers to the development of greater knowledge and implementation of training by Slovak experts, in accordance with the epidemiological situation</w:t>
      </w:r>
      <w:r w:rsidR="008B6760">
        <w:rPr>
          <w:rFonts w:ascii="Garamond" w:hAnsi="Garamond"/>
          <w:sz w:val="24"/>
          <w:szCs w:val="24"/>
        </w:rPr>
        <w:t>;</w:t>
      </w:r>
    </w:p>
    <w:p w:rsidR="004D1343" w:rsidRPr="008B6760" w:rsidRDefault="004D1343" w:rsidP="008B6760">
      <w:pPr>
        <w:pStyle w:val="ListParagraph"/>
        <w:numPr>
          <w:ilvl w:val="0"/>
          <w:numId w:val="25"/>
        </w:numPr>
        <w:jc w:val="both"/>
        <w:rPr>
          <w:rFonts w:ascii="Garamond" w:hAnsi="Garamond"/>
          <w:sz w:val="24"/>
          <w:szCs w:val="24"/>
        </w:rPr>
      </w:pPr>
      <w:r w:rsidRPr="008B6760">
        <w:rPr>
          <w:rFonts w:ascii="Garamond" w:hAnsi="Garamond"/>
          <w:sz w:val="24"/>
          <w:szCs w:val="24"/>
        </w:rPr>
        <w:t>Strengthening the awareness of contracting authorities about the importance of the public procurement system and the ways of functioning of the same</w:t>
      </w:r>
      <w:r w:rsidR="00F32140">
        <w:rPr>
          <w:rFonts w:ascii="Garamond" w:hAnsi="Garamond"/>
          <w:sz w:val="24"/>
          <w:szCs w:val="24"/>
        </w:rPr>
        <w:t>, as well as</w:t>
      </w:r>
      <w:r w:rsidRPr="008B6760">
        <w:rPr>
          <w:rFonts w:ascii="Garamond" w:hAnsi="Garamond"/>
          <w:sz w:val="24"/>
          <w:szCs w:val="24"/>
        </w:rPr>
        <w:t xml:space="preserve"> other actors in public procurement</w:t>
      </w:r>
      <w:r w:rsidR="007F71C7">
        <w:rPr>
          <w:rFonts w:ascii="Garamond" w:hAnsi="Garamond"/>
          <w:sz w:val="24"/>
          <w:szCs w:val="24"/>
        </w:rPr>
        <w:t>,</w:t>
      </w:r>
      <w:r w:rsidRPr="008B6760">
        <w:rPr>
          <w:rFonts w:ascii="Garamond" w:hAnsi="Garamond"/>
          <w:sz w:val="24"/>
          <w:szCs w:val="24"/>
        </w:rPr>
        <w:t xml:space="preserve"> in order to properly apply regulations</w:t>
      </w:r>
      <w:r w:rsidR="007F71C7">
        <w:rPr>
          <w:rFonts w:ascii="Garamond" w:hAnsi="Garamond"/>
          <w:sz w:val="24"/>
          <w:szCs w:val="24"/>
        </w:rPr>
        <w:t xml:space="preserve"> in this area and professionalis</w:t>
      </w:r>
      <w:r w:rsidR="008B6760">
        <w:rPr>
          <w:rFonts w:ascii="Garamond" w:hAnsi="Garamond"/>
          <w:sz w:val="24"/>
          <w:szCs w:val="24"/>
        </w:rPr>
        <w:t>e pu</w:t>
      </w:r>
      <w:r w:rsidRPr="008B6760">
        <w:rPr>
          <w:rFonts w:ascii="Garamond" w:hAnsi="Garamond"/>
          <w:sz w:val="24"/>
          <w:szCs w:val="24"/>
        </w:rPr>
        <w:t>blic pr</w:t>
      </w:r>
      <w:r w:rsidR="008B6760">
        <w:rPr>
          <w:rFonts w:ascii="Garamond" w:hAnsi="Garamond"/>
          <w:sz w:val="24"/>
          <w:szCs w:val="24"/>
        </w:rPr>
        <w:t>ocurement employees and build</w:t>
      </w:r>
      <w:r w:rsidR="007F71C7">
        <w:rPr>
          <w:rFonts w:ascii="Garamond" w:hAnsi="Garamond"/>
          <w:sz w:val="24"/>
          <w:szCs w:val="24"/>
        </w:rPr>
        <w:t xml:space="preserve"> internal operational capacities</w:t>
      </w:r>
      <w:r w:rsidRPr="008B6760">
        <w:rPr>
          <w:rFonts w:ascii="Garamond" w:hAnsi="Garamond"/>
          <w:sz w:val="24"/>
          <w:szCs w:val="24"/>
        </w:rPr>
        <w:t xml:space="preserve"> of contracting authorities;</w:t>
      </w:r>
    </w:p>
    <w:p w:rsidR="004D1343" w:rsidRPr="008B6760" w:rsidRDefault="004D1343" w:rsidP="008B6760">
      <w:pPr>
        <w:pStyle w:val="ListParagraph"/>
        <w:numPr>
          <w:ilvl w:val="0"/>
          <w:numId w:val="25"/>
        </w:numPr>
        <w:jc w:val="both"/>
        <w:rPr>
          <w:rFonts w:ascii="Garamond" w:hAnsi="Garamond"/>
          <w:sz w:val="24"/>
          <w:szCs w:val="24"/>
        </w:rPr>
      </w:pPr>
      <w:r w:rsidRPr="008B6760">
        <w:rPr>
          <w:rFonts w:ascii="Garamond" w:hAnsi="Garamond"/>
          <w:sz w:val="24"/>
          <w:szCs w:val="24"/>
        </w:rPr>
        <w:t xml:space="preserve">Developing the role of the Ministry of Finance and Social Welfare in policy making and coordination, </w:t>
      </w:r>
      <w:r w:rsidR="007F71C7">
        <w:rPr>
          <w:rFonts w:ascii="Garamond" w:hAnsi="Garamond"/>
          <w:sz w:val="24"/>
          <w:szCs w:val="24"/>
        </w:rPr>
        <w:t xml:space="preserve">building </w:t>
      </w:r>
      <w:r w:rsidRPr="008B6760">
        <w:rPr>
          <w:rFonts w:ascii="Garamond" w:hAnsi="Garamond"/>
          <w:sz w:val="24"/>
          <w:szCs w:val="24"/>
        </w:rPr>
        <w:t>its administrative capacity and establishing effective mechanisms for coordination and consultative function;</w:t>
      </w:r>
    </w:p>
    <w:p w:rsidR="004D1343" w:rsidRPr="008B6760" w:rsidRDefault="004D1343" w:rsidP="008B6760">
      <w:pPr>
        <w:pStyle w:val="ListParagraph"/>
        <w:numPr>
          <w:ilvl w:val="0"/>
          <w:numId w:val="25"/>
        </w:numPr>
        <w:jc w:val="both"/>
        <w:rPr>
          <w:rFonts w:ascii="Garamond" w:hAnsi="Garamond"/>
          <w:sz w:val="24"/>
          <w:szCs w:val="24"/>
        </w:rPr>
      </w:pPr>
      <w:r w:rsidRPr="008B6760">
        <w:rPr>
          <w:rFonts w:ascii="Garamond" w:hAnsi="Garamond"/>
          <w:sz w:val="24"/>
          <w:szCs w:val="24"/>
        </w:rPr>
        <w:t>Improving the functionality of the public sector market and increasing its attractiveness to the private sector;</w:t>
      </w:r>
    </w:p>
    <w:p w:rsidR="004D1343" w:rsidRPr="008B6760" w:rsidRDefault="004D1343" w:rsidP="008B6760">
      <w:pPr>
        <w:pStyle w:val="ListParagraph"/>
        <w:numPr>
          <w:ilvl w:val="0"/>
          <w:numId w:val="25"/>
        </w:numPr>
        <w:jc w:val="both"/>
        <w:rPr>
          <w:rFonts w:ascii="Garamond" w:hAnsi="Garamond"/>
          <w:sz w:val="24"/>
          <w:szCs w:val="24"/>
        </w:rPr>
      </w:pPr>
      <w:r w:rsidRPr="008B6760">
        <w:rPr>
          <w:rFonts w:ascii="Garamond" w:hAnsi="Garamond"/>
          <w:sz w:val="24"/>
          <w:szCs w:val="24"/>
        </w:rPr>
        <w:t>Strengthening the institutional and operational capacity of key actors in the system to effectively support the implementation of the legal framework for concessions / PPPs;</w:t>
      </w:r>
    </w:p>
    <w:p w:rsidR="004D1343" w:rsidRPr="008B6760" w:rsidRDefault="004D1343" w:rsidP="008B6760">
      <w:pPr>
        <w:pStyle w:val="ListParagraph"/>
        <w:numPr>
          <w:ilvl w:val="0"/>
          <w:numId w:val="25"/>
        </w:numPr>
        <w:jc w:val="both"/>
        <w:rPr>
          <w:rFonts w:ascii="Garamond" w:hAnsi="Garamond"/>
          <w:sz w:val="24"/>
          <w:szCs w:val="24"/>
        </w:rPr>
      </w:pPr>
      <w:r w:rsidRPr="008B6760">
        <w:rPr>
          <w:rFonts w:ascii="Garamond" w:hAnsi="Garamond"/>
          <w:sz w:val="24"/>
          <w:szCs w:val="24"/>
        </w:rPr>
        <w:t>Continue the initiated reform of the Revenue and Customs Administration through development projects while fulfilling the obligations in accordance with the negotiating position from Chapter 16 - Taxation</w:t>
      </w:r>
      <w:r w:rsidR="008B6760" w:rsidRPr="008B6760">
        <w:rPr>
          <w:rFonts w:ascii="Garamond" w:hAnsi="Garamond"/>
          <w:sz w:val="24"/>
          <w:szCs w:val="24"/>
        </w:rPr>
        <w:t>;</w:t>
      </w:r>
    </w:p>
    <w:p w:rsidR="004D1343" w:rsidRPr="008B6760" w:rsidRDefault="004D1343" w:rsidP="008B6760">
      <w:pPr>
        <w:pStyle w:val="ListParagraph"/>
        <w:numPr>
          <w:ilvl w:val="0"/>
          <w:numId w:val="25"/>
        </w:numPr>
        <w:jc w:val="both"/>
        <w:rPr>
          <w:rFonts w:ascii="Garamond" w:hAnsi="Garamond"/>
          <w:sz w:val="24"/>
          <w:szCs w:val="24"/>
        </w:rPr>
      </w:pPr>
      <w:r w:rsidRPr="008B6760">
        <w:rPr>
          <w:rFonts w:ascii="Garamond" w:hAnsi="Garamond"/>
          <w:sz w:val="24"/>
          <w:szCs w:val="24"/>
        </w:rPr>
        <w:t>Continue activities towards the completion of the started projects of moderni</w:t>
      </w:r>
      <w:r w:rsidR="00F254DD">
        <w:rPr>
          <w:rFonts w:ascii="Garamond" w:hAnsi="Garamond"/>
          <w:sz w:val="24"/>
          <w:szCs w:val="24"/>
        </w:rPr>
        <w:t>sation</w:t>
      </w:r>
      <w:r w:rsidRPr="008B6760">
        <w:rPr>
          <w:rFonts w:ascii="Garamond" w:hAnsi="Garamond"/>
          <w:sz w:val="24"/>
          <w:szCs w:val="24"/>
        </w:rPr>
        <w:t xml:space="preserve"> of customs procedures, as well as activities o</w:t>
      </w:r>
      <w:r w:rsidR="00443776">
        <w:rPr>
          <w:rFonts w:ascii="Garamond" w:hAnsi="Garamond"/>
          <w:sz w:val="24"/>
          <w:szCs w:val="24"/>
        </w:rPr>
        <w:t xml:space="preserve">n </w:t>
      </w:r>
      <w:r w:rsidRPr="008B6760">
        <w:rPr>
          <w:rFonts w:ascii="Garamond" w:hAnsi="Garamond"/>
          <w:sz w:val="24"/>
          <w:szCs w:val="24"/>
        </w:rPr>
        <w:t xml:space="preserve">implementation of new projects in order to meet the requirements of the European </w:t>
      </w:r>
      <w:r w:rsidR="00443776" w:rsidRPr="008B6760">
        <w:rPr>
          <w:rFonts w:ascii="Garamond" w:hAnsi="Garamond"/>
          <w:sz w:val="24"/>
          <w:szCs w:val="24"/>
        </w:rPr>
        <w:t xml:space="preserve">Agenda </w:t>
      </w:r>
      <w:r w:rsidRPr="008B6760">
        <w:rPr>
          <w:rFonts w:ascii="Garamond" w:hAnsi="Garamond"/>
          <w:sz w:val="24"/>
          <w:szCs w:val="24"/>
        </w:rPr>
        <w:t xml:space="preserve">and the objectives of the </w:t>
      </w:r>
      <w:r w:rsidR="00AA793B" w:rsidRPr="008B6760">
        <w:rPr>
          <w:rFonts w:ascii="Garamond" w:hAnsi="Garamond"/>
          <w:sz w:val="24"/>
          <w:szCs w:val="24"/>
        </w:rPr>
        <w:t>2018-2022</w:t>
      </w:r>
      <w:r w:rsidR="00AA793B">
        <w:rPr>
          <w:rFonts w:ascii="Garamond" w:hAnsi="Garamond"/>
          <w:sz w:val="24"/>
          <w:szCs w:val="24"/>
        </w:rPr>
        <w:t xml:space="preserve"> </w:t>
      </w:r>
      <w:r w:rsidRPr="008B6760">
        <w:rPr>
          <w:rFonts w:ascii="Garamond" w:hAnsi="Garamond"/>
          <w:sz w:val="24"/>
          <w:szCs w:val="24"/>
        </w:rPr>
        <w:t>Trade Facilitation Strategy of Montenegro</w:t>
      </w:r>
      <w:r w:rsidR="008B6760" w:rsidRPr="008B6760">
        <w:rPr>
          <w:rFonts w:ascii="Garamond" w:hAnsi="Garamond"/>
          <w:sz w:val="24"/>
          <w:szCs w:val="24"/>
        </w:rPr>
        <w:t>;</w:t>
      </w:r>
    </w:p>
    <w:p w:rsidR="004D1343" w:rsidRPr="00AA793B" w:rsidRDefault="004D1343" w:rsidP="00AA793B">
      <w:pPr>
        <w:pStyle w:val="ListParagraph"/>
        <w:numPr>
          <w:ilvl w:val="0"/>
          <w:numId w:val="25"/>
        </w:numPr>
        <w:jc w:val="both"/>
        <w:rPr>
          <w:rFonts w:ascii="Garamond" w:hAnsi="Garamond"/>
          <w:sz w:val="24"/>
          <w:szCs w:val="24"/>
        </w:rPr>
      </w:pPr>
      <w:r w:rsidRPr="00AA793B">
        <w:rPr>
          <w:rFonts w:ascii="Garamond" w:hAnsi="Garamond"/>
          <w:sz w:val="24"/>
          <w:szCs w:val="24"/>
        </w:rPr>
        <w:t xml:space="preserve">The main activities in the coming period will be focused on improving the results </w:t>
      </w:r>
      <w:r w:rsidR="007F71C7">
        <w:rPr>
          <w:rFonts w:ascii="Garamond" w:hAnsi="Garamond"/>
          <w:sz w:val="24"/>
          <w:szCs w:val="24"/>
        </w:rPr>
        <w:t>of</w:t>
      </w:r>
      <w:r w:rsidRPr="00AA793B">
        <w:rPr>
          <w:rFonts w:ascii="Garamond" w:hAnsi="Garamond"/>
          <w:sz w:val="24"/>
          <w:szCs w:val="24"/>
        </w:rPr>
        <w:t xml:space="preserve"> competition policy and state aid control, with special emphasis on penal policy and specific cases of state aid. One of the key preconditions for progress in this chapter is capacity building for the implementation of legislation in this area</w:t>
      </w:r>
      <w:r w:rsidR="008B6760" w:rsidRPr="00AA793B">
        <w:rPr>
          <w:rFonts w:ascii="Garamond" w:hAnsi="Garamond"/>
          <w:sz w:val="24"/>
          <w:szCs w:val="24"/>
        </w:rPr>
        <w:t>;</w:t>
      </w:r>
    </w:p>
    <w:p w:rsidR="004D1343" w:rsidRPr="00AA793B" w:rsidRDefault="00AA793B" w:rsidP="00AA793B">
      <w:pPr>
        <w:pStyle w:val="ListParagraph"/>
        <w:numPr>
          <w:ilvl w:val="0"/>
          <w:numId w:val="25"/>
        </w:numPr>
        <w:jc w:val="both"/>
        <w:rPr>
          <w:rFonts w:ascii="Garamond" w:hAnsi="Garamond"/>
          <w:sz w:val="24"/>
          <w:szCs w:val="24"/>
        </w:rPr>
      </w:pPr>
      <w:r>
        <w:rPr>
          <w:rFonts w:ascii="Garamond" w:hAnsi="Garamond"/>
          <w:sz w:val="24"/>
          <w:szCs w:val="24"/>
        </w:rPr>
        <w:t>Continue to</w:t>
      </w:r>
      <w:r w:rsidR="004D1343" w:rsidRPr="00AA793B">
        <w:rPr>
          <w:rFonts w:ascii="Garamond" w:hAnsi="Garamond"/>
          <w:sz w:val="24"/>
          <w:szCs w:val="24"/>
        </w:rPr>
        <w:t xml:space="preserve"> strengthen the capacity of </w:t>
      </w:r>
      <w:r>
        <w:rPr>
          <w:rFonts w:ascii="Garamond" w:hAnsi="Garamond"/>
          <w:sz w:val="24"/>
          <w:szCs w:val="24"/>
        </w:rPr>
        <w:t>the Audit Authority</w:t>
      </w:r>
      <w:r w:rsidR="004D1343" w:rsidRPr="00AA793B">
        <w:rPr>
          <w:rFonts w:ascii="Garamond" w:hAnsi="Garamond"/>
          <w:sz w:val="24"/>
          <w:szCs w:val="24"/>
        </w:rPr>
        <w:t xml:space="preserve"> through the further training of staff and an increase in the number of employees. At the same time, it is necessary to make an analysis</w:t>
      </w:r>
      <w:r w:rsidR="007F71C7">
        <w:rPr>
          <w:rFonts w:ascii="Garamond" w:hAnsi="Garamond"/>
          <w:sz w:val="24"/>
          <w:szCs w:val="24"/>
        </w:rPr>
        <w:t xml:space="preserve"> of legislation </w:t>
      </w:r>
      <w:r w:rsidR="004D1343" w:rsidRPr="00AA793B">
        <w:rPr>
          <w:rFonts w:ascii="Garamond" w:hAnsi="Garamond"/>
          <w:sz w:val="24"/>
          <w:szCs w:val="24"/>
        </w:rPr>
        <w:t xml:space="preserve">and </w:t>
      </w:r>
      <w:r w:rsidR="007F71C7">
        <w:rPr>
          <w:rFonts w:ascii="Garamond" w:hAnsi="Garamond"/>
          <w:sz w:val="24"/>
          <w:szCs w:val="24"/>
        </w:rPr>
        <w:t>its</w:t>
      </w:r>
      <w:r w:rsidR="004D1343" w:rsidRPr="00AA793B">
        <w:rPr>
          <w:rFonts w:ascii="Garamond" w:hAnsi="Garamond"/>
          <w:sz w:val="24"/>
          <w:szCs w:val="24"/>
        </w:rPr>
        <w:t xml:space="preserve"> compliance with auditing standards and modern auditing trends, as well as work on strengthening the visibility of the work of </w:t>
      </w:r>
      <w:r w:rsidR="00A860AB">
        <w:rPr>
          <w:rFonts w:ascii="Garamond" w:hAnsi="Garamond"/>
          <w:sz w:val="24"/>
          <w:szCs w:val="24"/>
        </w:rPr>
        <w:t>the AA</w:t>
      </w:r>
      <w:r w:rsidR="004D1343" w:rsidRPr="00AA793B">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A860AB">
      <w:pPr>
        <w:jc w:val="both"/>
        <w:rPr>
          <w:rFonts w:ascii="Garamond" w:hAnsi="Garamond"/>
          <w:sz w:val="24"/>
          <w:szCs w:val="24"/>
        </w:rPr>
      </w:pPr>
      <w:r w:rsidRPr="00C32887">
        <w:rPr>
          <w:rFonts w:ascii="Garamond" w:hAnsi="Garamond"/>
          <w:sz w:val="24"/>
          <w:szCs w:val="24"/>
        </w:rPr>
        <w:t xml:space="preserve">Also, in accordance with the conclusions </w:t>
      </w:r>
      <w:r w:rsidR="007F71C7">
        <w:rPr>
          <w:rFonts w:ascii="Garamond" w:hAnsi="Garamond"/>
          <w:sz w:val="24"/>
          <w:szCs w:val="24"/>
        </w:rPr>
        <w:t>of</w:t>
      </w:r>
      <w:r w:rsidRPr="00C32887">
        <w:rPr>
          <w:rFonts w:ascii="Garamond" w:hAnsi="Garamond"/>
          <w:sz w:val="24"/>
          <w:szCs w:val="24"/>
        </w:rPr>
        <w:t xml:space="preserve"> the PFM Dialogue, the Ministry of Finance and Social Welfare submitted an application form </w:t>
      </w:r>
      <w:r w:rsidR="00C13A74">
        <w:rPr>
          <w:rFonts w:ascii="Garamond" w:hAnsi="Garamond"/>
          <w:sz w:val="24"/>
          <w:szCs w:val="24"/>
        </w:rPr>
        <w:t>‘</w:t>
      </w:r>
      <w:r w:rsidRPr="00C32887">
        <w:rPr>
          <w:rFonts w:ascii="Garamond" w:hAnsi="Garamond"/>
          <w:sz w:val="24"/>
          <w:szCs w:val="24"/>
        </w:rPr>
        <w:t>E</w:t>
      </w:r>
      <w:r w:rsidR="00A860AB">
        <w:rPr>
          <w:rFonts w:ascii="Garamond" w:hAnsi="Garamond"/>
          <w:sz w:val="24"/>
          <w:szCs w:val="24"/>
        </w:rPr>
        <w:t>valuation of the Public Finance</w:t>
      </w:r>
      <w:r w:rsidRPr="00C32887">
        <w:rPr>
          <w:rFonts w:ascii="Garamond" w:hAnsi="Garamond"/>
          <w:sz w:val="24"/>
          <w:szCs w:val="24"/>
        </w:rPr>
        <w:t xml:space="preserve"> Management Reform </w:t>
      </w:r>
      <w:r w:rsidR="00AB73F6" w:rsidRPr="00C32887">
        <w:rPr>
          <w:rFonts w:ascii="Garamond" w:hAnsi="Garamond"/>
          <w:sz w:val="24"/>
          <w:szCs w:val="24"/>
        </w:rPr>
        <w:t>Programme</w:t>
      </w:r>
      <w:r w:rsidR="00C13A74">
        <w:rPr>
          <w:rFonts w:ascii="Garamond" w:hAnsi="Garamond"/>
          <w:sz w:val="24"/>
          <w:szCs w:val="24"/>
        </w:rPr>
        <w:t>’</w:t>
      </w:r>
      <w:r w:rsidRPr="00C32887">
        <w:rPr>
          <w:rFonts w:ascii="Garamond" w:hAnsi="Garamond"/>
          <w:sz w:val="24"/>
          <w:szCs w:val="24"/>
        </w:rPr>
        <w:t xml:space="preserve"> support</w:t>
      </w:r>
      <w:r w:rsidR="00A860AB">
        <w:rPr>
          <w:rFonts w:ascii="Garamond" w:hAnsi="Garamond"/>
          <w:sz w:val="24"/>
          <w:szCs w:val="24"/>
        </w:rPr>
        <w:t>ed by</w:t>
      </w:r>
      <w:r w:rsidRPr="00C32887">
        <w:rPr>
          <w:rFonts w:ascii="Garamond" w:hAnsi="Garamond"/>
          <w:sz w:val="24"/>
          <w:szCs w:val="24"/>
        </w:rPr>
        <w:t xml:space="preserve"> the Delegation of the European Union (DEU) through the </w:t>
      </w:r>
      <w:r w:rsidR="00A860AB">
        <w:rPr>
          <w:rFonts w:ascii="Garamond" w:hAnsi="Garamond"/>
          <w:sz w:val="24"/>
          <w:szCs w:val="24"/>
        </w:rPr>
        <w:t>EU</w:t>
      </w:r>
      <w:r w:rsidR="00A860AB" w:rsidRPr="00C32887">
        <w:rPr>
          <w:rFonts w:ascii="Garamond" w:hAnsi="Garamond"/>
          <w:sz w:val="24"/>
          <w:szCs w:val="24"/>
        </w:rPr>
        <w:t xml:space="preserve"> </w:t>
      </w:r>
      <w:r w:rsidRPr="00C32887">
        <w:rPr>
          <w:rFonts w:ascii="Garamond" w:hAnsi="Garamond"/>
          <w:sz w:val="24"/>
          <w:szCs w:val="24"/>
        </w:rPr>
        <w:t>Integration</w:t>
      </w:r>
      <w:r w:rsidR="00A860AB">
        <w:rPr>
          <w:rFonts w:ascii="Garamond" w:hAnsi="Garamond"/>
          <w:sz w:val="24"/>
          <w:szCs w:val="24"/>
        </w:rPr>
        <w:t xml:space="preserve"> Facility</w:t>
      </w:r>
      <w:r w:rsidRPr="00C32887">
        <w:rPr>
          <w:rFonts w:ascii="Garamond" w:hAnsi="Garamond"/>
          <w:sz w:val="24"/>
          <w:szCs w:val="24"/>
        </w:rPr>
        <w:t xml:space="preserve"> (EUIF). To this end, on June 23, 2020, the Ministry of Finance and Social Welfare launched a tender procedure for the selection of an expert who will be responsible for conducting a comprehensive analysis of the achieved results of the </w:t>
      </w:r>
      <w:r w:rsidR="00AB73F6" w:rsidRPr="00C32887">
        <w:rPr>
          <w:rFonts w:ascii="Garamond" w:hAnsi="Garamond"/>
          <w:sz w:val="24"/>
          <w:szCs w:val="24"/>
        </w:rPr>
        <w:t>Programme</w:t>
      </w:r>
      <w:r w:rsidRPr="00C32887">
        <w:rPr>
          <w:rFonts w:ascii="Garamond" w:hAnsi="Garamond"/>
          <w:sz w:val="24"/>
          <w:szCs w:val="24"/>
        </w:rPr>
        <w:t xml:space="preserve">, including the current system of coordination and monitoring, and provide appropriate </w:t>
      </w:r>
      <w:r w:rsidR="00A860AB">
        <w:rPr>
          <w:rFonts w:ascii="Garamond" w:hAnsi="Garamond"/>
          <w:sz w:val="24"/>
          <w:szCs w:val="24"/>
        </w:rPr>
        <w:t>recommendations for the future</w:t>
      </w:r>
      <w:r w:rsidRPr="00C32887">
        <w:rPr>
          <w:rFonts w:ascii="Garamond" w:hAnsi="Garamond"/>
          <w:sz w:val="24"/>
          <w:szCs w:val="24"/>
        </w:rPr>
        <w:t>. The Inception Report was submitted to the Ministry of Finance and Social Welfare on December 30, 2020.</w:t>
      </w:r>
    </w:p>
    <w:p w:rsidR="004D1343" w:rsidRPr="00C32887" w:rsidRDefault="004D1343" w:rsidP="004D1343">
      <w:pPr>
        <w:rPr>
          <w:rFonts w:ascii="Garamond" w:hAnsi="Garamond"/>
          <w:sz w:val="24"/>
          <w:szCs w:val="24"/>
        </w:rPr>
      </w:pPr>
    </w:p>
    <w:p w:rsidR="004D1343" w:rsidRPr="00C32887" w:rsidRDefault="004D1343" w:rsidP="00A860AB">
      <w:pPr>
        <w:jc w:val="both"/>
        <w:rPr>
          <w:rFonts w:ascii="Garamond" w:hAnsi="Garamond"/>
          <w:sz w:val="24"/>
          <w:szCs w:val="24"/>
        </w:rPr>
      </w:pPr>
      <w:r w:rsidRPr="00C32887">
        <w:rPr>
          <w:rFonts w:ascii="Garamond" w:hAnsi="Garamond"/>
          <w:sz w:val="24"/>
          <w:szCs w:val="24"/>
        </w:rPr>
        <w:t>The draft Evaluation Report assessed the criteria related to: relevance, coherence, efficiency and effectiveness. In addition, t</w:t>
      </w:r>
      <w:r w:rsidR="00A860AB">
        <w:rPr>
          <w:rFonts w:ascii="Garamond" w:hAnsi="Garamond"/>
          <w:sz w:val="24"/>
          <w:szCs w:val="24"/>
        </w:rPr>
        <w:t>he importance of public finance</w:t>
      </w:r>
      <w:r w:rsidRPr="00C32887">
        <w:rPr>
          <w:rFonts w:ascii="Garamond" w:hAnsi="Garamond"/>
          <w:sz w:val="24"/>
          <w:szCs w:val="24"/>
        </w:rPr>
        <w:t xml:space="preserve"> management as an instrument</w:t>
      </w:r>
      <w:r w:rsidR="00A860AB">
        <w:rPr>
          <w:rFonts w:ascii="Garamond" w:hAnsi="Garamond"/>
          <w:sz w:val="24"/>
          <w:szCs w:val="24"/>
        </w:rPr>
        <w:t xml:space="preserve"> for coordinating public finance</w:t>
      </w:r>
      <w:r w:rsidRPr="00C32887">
        <w:rPr>
          <w:rFonts w:ascii="Garamond" w:hAnsi="Garamond"/>
          <w:sz w:val="24"/>
          <w:szCs w:val="24"/>
        </w:rPr>
        <w:t xml:space="preserve"> management reforms in Montenegro was discussed. Considering the reform goals of the </w:t>
      </w:r>
      <w:r w:rsidR="00AB73F6" w:rsidRPr="00C32887">
        <w:rPr>
          <w:rFonts w:ascii="Garamond" w:hAnsi="Garamond"/>
          <w:sz w:val="24"/>
          <w:szCs w:val="24"/>
        </w:rPr>
        <w:t>Programme</w:t>
      </w:r>
      <w:r w:rsidRPr="00C32887">
        <w:rPr>
          <w:rFonts w:ascii="Garamond" w:hAnsi="Garamond"/>
          <w:sz w:val="24"/>
          <w:szCs w:val="24"/>
        </w:rPr>
        <w:t xml:space="preserve">, the draft evaluation concluded that the </w:t>
      </w:r>
      <w:r w:rsidR="00AB73F6" w:rsidRPr="00C32887">
        <w:rPr>
          <w:rFonts w:ascii="Garamond" w:hAnsi="Garamond"/>
          <w:sz w:val="24"/>
          <w:szCs w:val="24"/>
        </w:rPr>
        <w:t>Programme</w:t>
      </w:r>
      <w:r w:rsidRPr="00C32887">
        <w:rPr>
          <w:rFonts w:ascii="Garamond" w:hAnsi="Garamond"/>
          <w:sz w:val="24"/>
          <w:szCs w:val="24"/>
        </w:rPr>
        <w:t xml:space="preserve"> accurately identified important priorities in the PFM system, the weaknesses of which are intended to be eliminated by relevant activities.</w:t>
      </w:r>
    </w:p>
    <w:p w:rsidR="004D1343" w:rsidRPr="00C32887" w:rsidRDefault="004D1343" w:rsidP="004D1343">
      <w:pPr>
        <w:rPr>
          <w:rFonts w:ascii="Garamond" w:hAnsi="Garamond"/>
          <w:sz w:val="24"/>
          <w:szCs w:val="24"/>
        </w:rPr>
      </w:pPr>
    </w:p>
    <w:p w:rsidR="004D1343" w:rsidRPr="00C32887" w:rsidRDefault="004D1343" w:rsidP="00A860AB">
      <w:pPr>
        <w:jc w:val="both"/>
        <w:rPr>
          <w:rFonts w:ascii="Garamond" w:hAnsi="Garamond"/>
          <w:sz w:val="24"/>
          <w:szCs w:val="24"/>
        </w:rPr>
      </w:pPr>
      <w:r w:rsidRPr="00C32887">
        <w:rPr>
          <w:rFonts w:ascii="Garamond" w:hAnsi="Garamond"/>
          <w:sz w:val="24"/>
          <w:szCs w:val="24"/>
        </w:rPr>
        <w:t xml:space="preserve">Also, internal, inter-ministerial coordination and cooperation with reform development partners was quite good, especially </w:t>
      </w:r>
      <w:r w:rsidR="00832BC3">
        <w:rPr>
          <w:rFonts w:ascii="Garamond" w:hAnsi="Garamond"/>
          <w:sz w:val="24"/>
          <w:szCs w:val="24"/>
        </w:rPr>
        <w:t>in</w:t>
      </w:r>
      <w:r w:rsidRPr="00C32887">
        <w:rPr>
          <w:rFonts w:ascii="Garamond" w:hAnsi="Garamond"/>
          <w:sz w:val="24"/>
          <w:szCs w:val="24"/>
        </w:rPr>
        <w:t xml:space="preserve"> those areas where the responsibility for implementation was limited to a single entity (e</w:t>
      </w:r>
      <w:r w:rsidR="00D30043">
        <w:rPr>
          <w:rFonts w:ascii="Garamond" w:hAnsi="Garamond"/>
          <w:sz w:val="24"/>
          <w:szCs w:val="24"/>
        </w:rPr>
        <w:t>.</w:t>
      </w:r>
      <w:r w:rsidRPr="00C32887">
        <w:rPr>
          <w:rFonts w:ascii="Garamond" w:hAnsi="Garamond"/>
          <w:sz w:val="24"/>
          <w:szCs w:val="24"/>
        </w:rPr>
        <w:t>g</w:t>
      </w:r>
      <w:r w:rsidR="00D30043">
        <w:rPr>
          <w:rFonts w:ascii="Garamond" w:hAnsi="Garamond"/>
          <w:sz w:val="24"/>
          <w:szCs w:val="24"/>
        </w:rPr>
        <w:t>.</w:t>
      </w:r>
      <w:r w:rsidRPr="00C32887">
        <w:rPr>
          <w:rFonts w:ascii="Garamond" w:hAnsi="Garamond"/>
          <w:sz w:val="24"/>
          <w:szCs w:val="24"/>
        </w:rPr>
        <w:t xml:space="preserve"> tax reform, customs administration, </w:t>
      </w:r>
      <w:proofErr w:type="gramStart"/>
      <w:r w:rsidRPr="00C32887">
        <w:rPr>
          <w:rFonts w:ascii="Garamond" w:hAnsi="Garamond"/>
          <w:sz w:val="24"/>
          <w:szCs w:val="24"/>
        </w:rPr>
        <w:t>audit</w:t>
      </w:r>
      <w:proofErr w:type="gramEnd"/>
      <w:r w:rsidRPr="00C32887">
        <w:rPr>
          <w:rFonts w:ascii="Garamond" w:hAnsi="Garamond"/>
          <w:sz w:val="24"/>
          <w:szCs w:val="24"/>
        </w:rPr>
        <w:t>). For more complex refo</w:t>
      </w:r>
      <w:r w:rsidR="00D30043">
        <w:rPr>
          <w:rFonts w:ascii="Garamond" w:hAnsi="Garamond"/>
          <w:sz w:val="24"/>
          <w:szCs w:val="24"/>
        </w:rPr>
        <w:t>rms, such as medium-term budgetary frameworks</w:t>
      </w:r>
      <w:r w:rsidRPr="00C32887">
        <w:rPr>
          <w:rFonts w:ascii="Garamond" w:hAnsi="Garamond"/>
          <w:sz w:val="24"/>
          <w:szCs w:val="24"/>
        </w:rPr>
        <w:t xml:space="preserve"> (MTBF), </w:t>
      </w:r>
      <w:r w:rsidR="0025284B">
        <w:rPr>
          <w:rFonts w:ascii="Garamond" w:hAnsi="Garamond"/>
          <w:sz w:val="24"/>
          <w:szCs w:val="24"/>
        </w:rPr>
        <w:t>p</w:t>
      </w:r>
      <w:r w:rsidR="00AB73F6" w:rsidRPr="00C32887">
        <w:rPr>
          <w:rFonts w:ascii="Garamond" w:hAnsi="Garamond"/>
          <w:sz w:val="24"/>
          <w:szCs w:val="24"/>
        </w:rPr>
        <w:t>rogramme</w:t>
      </w:r>
      <w:r w:rsidR="00D30043">
        <w:rPr>
          <w:rFonts w:ascii="Garamond" w:hAnsi="Garamond"/>
          <w:sz w:val="24"/>
          <w:szCs w:val="24"/>
        </w:rPr>
        <w:t>-based</w:t>
      </w:r>
      <w:r w:rsidRPr="00C32887">
        <w:rPr>
          <w:rFonts w:ascii="Garamond" w:hAnsi="Garamond"/>
          <w:sz w:val="24"/>
          <w:szCs w:val="24"/>
        </w:rPr>
        <w:t xml:space="preserve"> budgeting (PBB), and the transition to accrual accounting, there is further room for improvement. As regards external coordination, the reforms were found to benefit from a wide range of external support with a large share of EU-IPA-funded projects. However, the coherence </w:t>
      </w:r>
      <w:r w:rsidR="00D30043">
        <w:rPr>
          <w:rFonts w:ascii="Garamond" w:hAnsi="Garamond"/>
          <w:sz w:val="24"/>
          <w:szCs w:val="24"/>
        </w:rPr>
        <w:t>was</w:t>
      </w:r>
      <w:r w:rsidRPr="00C32887">
        <w:rPr>
          <w:rFonts w:ascii="Garamond" w:hAnsi="Garamond"/>
          <w:sz w:val="24"/>
          <w:szCs w:val="24"/>
        </w:rPr>
        <w:t xml:space="preserve"> negative</w:t>
      </w:r>
      <w:r w:rsidR="00D30043">
        <w:rPr>
          <w:rFonts w:ascii="Garamond" w:hAnsi="Garamond"/>
          <w:sz w:val="24"/>
          <w:szCs w:val="24"/>
        </w:rPr>
        <w:t>ly</w:t>
      </w:r>
      <w:r w:rsidRPr="00C32887">
        <w:rPr>
          <w:rFonts w:ascii="Garamond" w:hAnsi="Garamond"/>
          <w:sz w:val="24"/>
          <w:szCs w:val="24"/>
        </w:rPr>
        <w:t xml:space="preserve"> influence</w:t>
      </w:r>
      <w:r w:rsidR="00D30043">
        <w:rPr>
          <w:rFonts w:ascii="Garamond" w:hAnsi="Garamond"/>
          <w:sz w:val="24"/>
          <w:szCs w:val="24"/>
        </w:rPr>
        <w:t>d by</w:t>
      </w:r>
      <w:r w:rsidRPr="00C32887">
        <w:rPr>
          <w:rFonts w:ascii="Garamond" w:hAnsi="Garamond"/>
          <w:sz w:val="24"/>
          <w:szCs w:val="24"/>
        </w:rPr>
        <w:t xml:space="preserve"> delays in the process of contracting</w:t>
      </w:r>
      <w:r w:rsidR="0025284B">
        <w:rPr>
          <w:rFonts w:ascii="Garamond" w:hAnsi="Garamond"/>
          <w:sz w:val="24"/>
          <w:szCs w:val="24"/>
        </w:rPr>
        <w:t>,</w:t>
      </w:r>
      <w:r w:rsidRPr="00C32887">
        <w:rPr>
          <w:rFonts w:ascii="Garamond" w:hAnsi="Garamond"/>
          <w:sz w:val="24"/>
          <w:szCs w:val="24"/>
        </w:rPr>
        <w:t xml:space="preserve"> which resulted in mismatches between the time of project implementation and the timeframe in </w:t>
      </w:r>
      <w:r w:rsidR="00832BC3">
        <w:rPr>
          <w:rFonts w:ascii="Garamond" w:hAnsi="Garamond"/>
          <w:sz w:val="24"/>
          <w:szCs w:val="24"/>
        </w:rPr>
        <w:t xml:space="preserve">the </w:t>
      </w:r>
      <w:r w:rsidRPr="00C32887">
        <w:rPr>
          <w:rFonts w:ascii="Garamond" w:hAnsi="Garamond"/>
          <w:sz w:val="24"/>
          <w:szCs w:val="24"/>
        </w:rPr>
        <w:t>PFMRP-</w:t>
      </w:r>
      <w:r w:rsidR="00832BC3" w:rsidRPr="00C32887">
        <w:rPr>
          <w:rFonts w:ascii="Garamond" w:hAnsi="Garamond"/>
          <w:sz w:val="24"/>
          <w:szCs w:val="24"/>
        </w:rPr>
        <w:t xml:space="preserve">Action Plan </w:t>
      </w:r>
      <w:r w:rsidRPr="00C32887">
        <w:rPr>
          <w:rFonts w:ascii="Garamond" w:hAnsi="Garamond"/>
          <w:sz w:val="24"/>
          <w:szCs w:val="24"/>
        </w:rPr>
        <w:t>(AP).</w:t>
      </w:r>
    </w:p>
    <w:p w:rsidR="004D1343" w:rsidRPr="00C32887" w:rsidRDefault="004D1343" w:rsidP="004D1343">
      <w:pPr>
        <w:rPr>
          <w:rFonts w:ascii="Garamond" w:hAnsi="Garamond"/>
          <w:sz w:val="24"/>
          <w:szCs w:val="24"/>
        </w:rPr>
      </w:pPr>
    </w:p>
    <w:p w:rsidR="004D1343" w:rsidRPr="00C32887" w:rsidRDefault="004D1343" w:rsidP="00D30043">
      <w:pPr>
        <w:jc w:val="both"/>
        <w:rPr>
          <w:rFonts w:ascii="Garamond" w:hAnsi="Garamond"/>
          <w:sz w:val="24"/>
          <w:szCs w:val="24"/>
        </w:rPr>
      </w:pPr>
      <w:r w:rsidRPr="00C32887">
        <w:rPr>
          <w:rFonts w:ascii="Garamond" w:hAnsi="Garamond"/>
          <w:sz w:val="24"/>
          <w:szCs w:val="24"/>
        </w:rPr>
        <w:t xml:space="preserve">Some activities have been postponed due to the </w:t>
      </w:r>
      <w:r w:rsidR="00832BC3">
        <w:rPr>
          <w:rFonts w:ascii="Garamond" w:hAnsi="Garamond"/>
          <w:sz w:val="24"/>
          <w:szCs w:val="24"/>
        </w:rPr>
        <w:t>delayed</w:t>
      </w:r>
      <w:r w:rsidRPr="00C32887">
        <w:rPr>
          <w:rFonts w:ascii="Garamond" w:hAnsi="Garamond"/>
          <w:sz w:val="24"/>
          <w:szCs w:val="24"/>
        </w:rPr>
        <w:t xml:space="preserve"> start of related EU technical assistance projects. However, by the end of 2020</w:t>
      </w:r>
      <w:r w:rsidR="00832BC3">
        <w:rPr>
          <w:rFonts w:ascii="Garamond" w:hAnsi="Garamond"/>
          <w:sz w:val="24"/>
          <w:szCs w:val="24"/>
        </w:rPr>
        <w:t>,</w:t>
      </w:r>
      <w:r w:rsidRPr="00C32887">
        <w:rPr>
          <w:rFonts w:ascii="Garamond" w:hAnsi="Garamond"/>
          <w:sz w:val="24"/>
          <w:szCs w:val="24"/>
        </w:rPr>
        <w:t xml:space="preserve"> significant rate of implementation </w:t>
      </w:r>
      <w:r w:rsidR="00D30043">
        <w:rPr>
          <w:rFonts w:ascii="Garamond" w:hAnsi="Garamond"/>
          <w:sz w:val="24"/>
          <w:szCs w:val="24"/>
        </w:rPr>
        <w:t>was achieved</w:t>
      </w:r>
      <w:r w:rsidRPr="00C32887">
        <w:rPr>
          <w:rFonts w:ascii="Garamond" w:hAnsi="Garamond"/>
          <w:sz w:val="24"/>
          <w:szCs w:val="24"/>
        </w:rPr>
        <w:t xml:space="preserve">. Given that most (almost 70%) of the activities were completed in 2019 and 2020, despite the COVID </w:t>
      </w:r>
      <w:r w:rsidR="00832BC3">
        <w:rPr>
          <w:rFonts w:ascii="Garamond" w:hAnsi="Garamond"/>
          <w:sz w:val="24"/>
          <w:szCs w:val="24"/>
        </w:rPr>
        <w:t>outbreak</w:t>
      </w:r>
      <w:r w:rsidRPr="00C32887">
        <w:rPr>
          <w:rFonts w:ascii="Garamond" w:hAnsi="Garamond"/>
          <w:sz w:val="24"/>
          <w:szCs w:val="24"/>
        </w:rPr>
        <w:t xml:space="preserve">, there is reason to consider the last two years of the PFMR implementation period extremely successful. In order for the reform to be successfully implemented, more efforts are needed </w:t>
      </w:r>
      <w:r w:rsidR="0025284B">
        <w:rPr>
          <w:rFonts w:ascii="Garamond" w:hAnsi="Garamond"/>
          <w:sz w:val="24"/>
          <w:szCs w:val="24"/>
        </w:rPr>
        <w:t>in</w:t>
      </w:r>
      <w:r w:rsidRPr="00C32887">
        <w:rPr>
          <w:rFonts w:ascii="Garamond" w:hAnsi="Garamond"/>
          <w:sz w:val="24"/>
          <w:szCs w:val="24"/>
        </w:rPr>
        <w:t xml:space="preserve"> certain areas. However, it should be borne in mind that the evaluation was conducted </w:t>
      </w:r>
      <w:r w:rsidR="00335294">
        <w:rPr>
          <w:rFonts w:ascii="Garamond" w:hAnsi="Garamond"/>
          <w:sz w:val="24"/>
          <w:szCs w:val="24"/>
        </w:rPr>
        <w:t>until</w:t>
      </w:r>
      <w:r w:rsidRPr="00C32887">
        <w:rPr>
          <w:rFonts w:ascii="Garamond" w:hAnsi="Garamond"/>
          <w:sz w:val="24"/>
          <w:szCs w:val="24"/>
        </w:rPr>
        <w:t xml:space="preserve"> 2020, </w:t>
      </w:r>
      <w:r w:rsidR="00335294">
        <w:rPr>
          <w:rFonts w:ascii="Garamond" w:hAnsi="Garamond"/>
          <w:sz w:val="24"/>
          <w:szCs w:val="24"/>
        </w:rPr>
        <w:t xml:space="preserve">while </w:t>
      </w:r>
      <w:r w:rsidRPr="00C32887">
        <w:rPr>
          <w:rFonts w:ascii="Garamond" w:hAnsi="Garamond"/>
          <w:sz w:val="24"/>
          <w:szCs w:val="24"/>
        </w:rPr>
        <w:t xml:space="preserve">the </w:t>
      </w:r>
      <w:r w:rsidR="00335294">
        <w:rPr>
          <w:rFonts w:ascii="Garamond" w:hAnsi="Garamond"/>
          <w:sz w:val="24"/>
          <w:szCs w:val="24"/>
        </w:rPr>
        <w:t>implementation</w:t>
      </w:r>
      <w:r w:rsidRPr="00C32887">
        <w:rPr>
          <w:rFonts w:ascii="Garamond" w:hAnsi="Garamond"/>
          <w:sz w:val="24"/>
          <w:szCs w:val="24"/>
        </w:rPr>
        <w:t xml:space="preserve"> of the unfinished part of activities is expected</w:t>
      </w:r>
      <w:r w:rsidR="00335294" w:rsidRPr="00335294">
        <w:rPr>
          <w:rFonts w:ascii="Garamond" w:hAnsi="Garamond"/>
          <w:sz w:val="24"/>
          <w:szCs w:val="24"/>
        </w:rPr>
        <w:t xml:space="preserve"> </w:t>
      </w:r>
      <w:r w:rsidR="00335294" w:rsidRPr="00C32887">
        <w:rPr>
          <w:rFonts w:ascii="Garamond" w:hAnsi="Garamond"/>
          <w:sz w:val="24"/>
          <w:szCs w:val="24"/>
        </w:rPr>
        <w:t>during 2021</w:t>
      </w:r>
      <w:r w:rsidRPr="00C32887">
        <w:rPr>
          <w:rFonts w:ascii="Garamond" w:hAnsi="Garamond"/>
          <w:sz w:val="24"/>
          <w:szCs w:val="24"/>
        </w:rPr>
        <w:t>.</w:t>
      </w:r>
    </w:p>
    <w:p w:rsidR="004D1343" w:rsidRPr="00C32887" w:rsidRDefault="004D1343" w:rsidP="004D1343">
      <w:pPr>
        <w:rPr>
          <w:rFonts w:ascii="Garamond" w:hAnsi="Garamond"/>
          <w:sz w:val="24"/>
          <w:szCs w:val="24"/>
        </w:rPr>
      </w:pPr>
    </w:p>
    <w:p w:rsidR="004D1343" w:rsidRPr="00C32887" w:rsidRDefault="004D1343" w:rsidP="003646FC">
      <w:pPr>
        <w:jc w:val="both"/>
        <w:rPr>
          <w:rFonts w:ascii="Garamond" w:hAnsi="Garamond"/>
          <w:sz w:val="24"/>
          <w:szCs w:val="24"/>
        </w:rPr>
      </w:pPr>
      <w:r w:rsidRPr="00C32887">
        <w:rPr>
          <w:rFonts w:ascii="Garamond" w:hAnsi="Garamond"/>
          <w:sz w:val="24"/>
          <w:szCs w:val="24"/>
        </w:rPr>
        <w:t xml:space="preserve">The use of PFMRP as a comprehensive tool for initiating and linking reforms in the PFM system and monitoring their implementation has contributed to some positive findings </w:t>
      </w:r>
      <w:r w:rsidR="0025284B">
        <w:rPr>
          <w:rFonts w:ascii="Garamond" w:hAnsi="Garamond"/>
          <w:sz w:val="24"/>
          <w:szCs w:val="24"/>
        </w:rPr>
        <w:t>concerning</w:t>
      </w:r>
      <w:r w:rsidRPr="00C32887">
        <w:rPr>
          <w:rFonts w:ascii="Garamond" w:hAnsi="Garamond"/>
          <w:sz w:val="24"/>
          <w:szCs w:val="24"/>
        </w:rPr>
        <w:t xml:space="preserve"> the </w:t>
      </w:r>
      <w:r w:rsidR="0025284B">
        <w:rPr>
          <w:rFonts w:ascii="Garamond" w:hAnsi="Garamond"/>
          <w:sz w:val="24"/>
          <w:szCs w:val="24"/>
        </w:rPr>
        <w:t>set</w:t>
      </w:r>
      <w:r w:rsidRPr="00C32887">
        <w:rPr>
          <w:rFonts w:ascii="Garamond" w:hAnsi="Garamond"/>
          <w:sz w:val="24"/>
          <w:szCs w:val="24"/>
        </w:rPr>
        <w:t xml:space="preserve"> reform objectives. Thus, it contributed to: Initiating </w:t>
      </w:r>
      <w:r w:rsidR="0025284B">
        <w:rPr>
          <w:rFonts w:ascii="Garamond" w:hAnsi="Garamond"/>
          <w:sz w:val="24"/>
          <w:szCs w:val="24"/>
        </w:rPr>
        <w:t>reforms in areas where sector</w:t>
      </w:r>
      <w:r w:rsidRPr="00C32887">
        <w:rPr>
          <w:rFonts w:ascii="Garamond" w:hAnsi="Garamond"/>
          <w:sz w:val="24"/>
          <w:szCs w:val="24"/>
        </w:rPr>
        <w:t xml:space="preserve"> strategy did not yet exist; Uniformity and consistency in information in the whole domain of public finances; Establishment of a supervisory structure with two reporting </w:t>
      </w:r>
      <w:r w:rsidR="0025284B">
        <w:rPr>
          <w:rFonts w:ascii="Garamond" w:hAnsi="Garamond"/>
          <w:sz w:val="24"/>
          <w:szCs w:val="24"/>
        </w:rPr>
        <w:t>deadlines</w:t>
      </w:r>
      <w:r w:rsidRPr="00C32887">
        <w:rPr>
          <w:rFonts w:ascii="Garamond" w:hAnsi="Garamond"/>
          <w:sz w:val="24"/>
          <w:szCs w:val="24"/>
        </w:rPr>
        <w:t xml:space="preserve"> per year, which contributed to an additional incentive to implement activities within the given deadline.</w:t>
      </w:r>
    </w:p>
    <w:p w:rsidR="004D1343" w:rsidRPr="00C32887" w:rsidRDefault="004D1343" w:rsidP="004D1343">
      <w:pPr>
        <w:rPr>
          <w:rFonts w:ascii="Garamond" w:hAnsi="Garamond"/>
          <w:sz w:val="24"/>
          <w:szCs w:val="24"/>
        </w:rPr>
      </w:pPr>
    </w:p>
    <w:p w:rsidR="004D1343" w:rsidRPr="00C32887" w:rsidRDefault="004D1343" w:rsidP="003646FC">
      <w:pPr>
        <w:jc w:val="both"/>
        <w:rPr>
          <w:rFonts w:ascii="Garamond" w:hAnsi="Garamond"/>
          <w:sz w:val="24"/>
          <w:szCs w:val="24"/>
        </w:rPr>
      </w:pPr>
      <w:r w:rsidRPr="00C32887">
        <w:rPr>
          <w:rFonts w:ascii="Garamond" w:hAnsi="Garamond"/>
          <w:sz w:val="24"/>
          <w:szCs w:val="24"/>
        </w:rPr>
        <w:t>The implementation of reforms and the necessary funding relied heavily on donor support, resulting in delays in the implementation of the PFRMP when it comes to launching donor-funded projects; The implementation of public financ</w:t>
      </w:r>
      <w:r w:rsidR="003646FC">
        <w:rPr>
          <w:rFonts w:ascii="Garamond" w:hAnsi="Garamond"/>
          <w:sz w:val="24"/>
          <w:szCs w:val="24"/>
        </w:rPr>
        <w:t>e</w:t>
      </w:r>
      <w:r w:rsidRPr="00C32887">
        <w:rPr>
          <w:rFonts w:ascii="Garamond" w:hAnsi="Garamond"/>
          <w:sz w:val="24"/>
          <w:szCs w:val="24"/>
        </w:rPr>
        <w:t xml:space="preserve"> management reforms has been implemented as a series of highly </w:t>
      </w:r>
      <w:r w:rsidR="00937CB7">
        <w:rPr>
          <w:rFonts w:ascii="Garamond" w:hAnsi="Garamond"/>
          <w:sz w:val="24"/>
          <w:szCs w:val="24"/>
        </w:rPr>
        <w:t>separated</w:t>
      </w:r>
      <w:r w:rsidRPr="00C32887">
        <w:rPr>
          <w:rFonts w:ascii="Garamond" w:hAnsi="Garamond"/>
          <w:sz w:val="24"/>
          <w:szCs w:val="24"/>
        </w:rPr>
        <w:t xml:space="preserve"> activities; In certain reform areas, e.g. state property</w:t>
      </w:r>
      <w:r w:rsidR="003646FC" w:rsidRPr="003646FC">
        <w:rPr>
          <w:rFonts w:ascii="Garamond" w:hAnsi="Garamond"/>
          <w:sz w:val="24"/>
          <w:szCs w:val="24"/>
        </w:rPr>
        <w:t xml:space="preserve"> </w:t>
      </w:r>
      <w:r w:rsidR="003646FC" w:rsidRPr="00C32887">
        <w:rPr>
          <w:rFonts w:ascii="Garamond" w:hAnsi="Garamond"/>
          <w:sz w:val="24"/>
          <w:szCs w:val="24"/>
        </w:rPr>
        <w:t>register</w:t>
      </w:r>
      <w:r w:rsidRPr="00C32887">
        <w:rPr>
          <w:rFonts w:ascii="Garamond" w:hAnsi="Garamond"/>
          <w:sz w:val="24"/>
          <w:szCs w:val="24"/>
        </w:rPr>
        <w:t>, there was no high-level coordination; Limited progress in transparency, activities that required modification of the SAP system slowed down the implementation of certain PFMRP activities.</w:t>
      </w:r>
    </w:p>
    <w:p w:rsidR="004D1343" w:rsidRPr="00C32887" w:rsidRDefault="004D1343" w:rsidP="004D1343">
      <w:pPr>
        <w:rPr>
          <w:rFonts w:ascii="Garamond" w:hAnsi="Garamond"/>
          <w:sz w:val="24"/>
          <w:szCs w:val="24"/>
        </w:rPr>
      </w:pPr>
    </w:p>
    <w:p w:rsidR="004D1343" w:rsidRPr="00C32887" w:rsidRDefault="004D1343" w:rsidP="003646FC">
      <w:pPr>
        <w:jc w:val="both"/>
        <w:rPr>
          <w:rFonts w:ascii="Garamond" w:hAnsi="Garamond"/>
          <w:sz w:val="24"/>
          <w:szCs w:val="24"/>
        </w:rPr>
      </w:pPr>
      <w:r w:rsidRPr="00C32887">
        <w:rPr>
          <w:rFonts w:ascii="Garamond" w:hAnsi="Garamond"/>
          <w:sz w:val="24"/>
          <w:szCs w:val="24"/>
        </w:rPr>
        <w:t>Given the above, in many areas of public financ</w:t>
      </w:r>
      <w:r w:rsidR="003646FC">
        <w:rPr>
          <w:rFonts w:ascii="Garamond" w:hAnsi="Garamond"/>
          <w:sz w:val="24"/>
          <w:szCs w:val="24"/>
        </w:rPr>
        <w:t>e</w:t>
      </w:r>
      <w:r w:rsidRPr="00C32887">
        <w:rPr>
          <w:rFonts w:ascii="Garamond" w:hAnsi="Garamond"/>
          <w:sz w:val="24"/>
          <w:szCs w:val="24"/>
        </w:rPr>
        <w:t xml:space="preserve"> management, the reform objectives have not yet been fully achieved. Based on the findings and conclusions, the draft evaluations provide recommendations that should be useful </w:t>
      </w:r>
      <w:r w:rsidR="00B75FF8">
        <w:rPr>
          <w:rFonts w:ascii="Garamond" w:hAnsi="Garamond"/>
          <w:sz w:val="24"/>
          <w:szCs w:val="24"/>
        </w:rPr>
        <w:t>for</w:t>
      </w:r>
      <w:r w:rsidRPr="00C32887">
        <w:rPr>
          <w:rFonts w:ascii="Garamond" w:hAnsi="Garamond"/>
          <w:sz w:val="24"/>
          <w:szCs w:val="24"/>
        </w:rPr>
        <w:t xml:space="preserve"> the preparation of the new PFRMP for the period 2022-2026, which relate to the importance of time frame for development, analysis of the situation and use of internal knowledge to help identify measures; the necessary combination of modalities for the implementation of the new PFMRP to balance donor-supported activities and Government-funded activities</w:t>
      </w:r>
      <w:r w:rsidR="008B6760">
        <w:rPr>
          <w:rFonts w:ascii="Garamond" w:hAnsi="Garamond"/>
          <w:sz w:val="24"/>
          <w:szCs w:val="24"/>
        </w:rPr>
        <w:t>;</w:t>
      </w:r>
      <w:r w:rsidRPr="00C32887">
        <w:rPr>
          <w:rFonts w:ascii="Garamond" w:hAnsi="Garamond"/>
          <w:sz w:val="24"/>
          <w:szCs w:val="24"/>
        </w:rPr>
        <w:t xml:space="preserve"> engaging other development partners in formulating and implementing the new PFMRP; setting realistic ambitions for complex reforms; the possibility of including specific targets for cross-topics that are crucial for </w:t>
      </w:r>
      <w:r w:rsidR="00937CB7">
        <w:rPr>
          <w:rFonts w:ascii="Garamond" w:hAnsi="Garamond"/>
          <w:sz w:val="24"/>
          <w:szCs w:val="24"/>
        </w:rPr>
        <w:t xml:space="preserve">the </w:t>
      </w:r>
      <w:r w:rsidRPr="00C32887">
        <w:rPr>
          <w:rFonts w:ascii="Garamond" w:hAnsi="Garamond"/>
          <w:sz w:val="24"/>
          <w:szCs w:val="24"/>
        </w:rPr>
        <w:t>public finance management</w:t>
      </w:r>
      <w:r w:rsidR="00937CB7" w:rsidRPr="00937CB7">
        <w:rPr>
          <w:rFonts w:ascii="Garamond" w:hAnsi="Garamond"/>
          <w:sz w:val="24"/>
          <w:szCs w:val="24"/>
        </w:rPr>
        <w:t xml:space="preserve"> </w:t>
      </w:r>
      <w:r w:rsidR="00937CB7" w:rsidRPr="00C32887">
        <w:rPr>
          <w:rFonts w:ascii="Garamond" w:hAnsi="Garamond"/>
          <w:sz w:val="24"/>
          <w:szCs w:val="24"/>
        </w:rPr>
        <w:t>system</w:t>
      </w:r>
      <w:r w:rsidRPr="00C32887">
        <w:rPr>
          <w:rFonts w:ascii="Garamond" w:hAnsi="Garamond"/>
          <w:sz w:val="24"/>
          <w:szCs w:val="24"/>
        </w:rPr>
        <w:t xml:space="preserve">, including transparency, human resources </w:t>
      </w:r>
      <w:r w:rsidR="003646FC" w:rsidRPr="00C32887">
        <w:rPr>
          <w:rFonts w:ascii="Garamond" w:hAnsi="Garamond"/>
          <w:sz w:val="24"/>
          <w:szCs w:val="24"/>
        </w:rPr>
        <w:t xml:space="preserve">expertise </w:t>
      </w:r>
      <w:r w:rsidRPr="00C32887">
        <w:rPr>
          <w:rFonts w:ascii="Garamond" w:hAnsi="Garamond"/>
          <w:sz w:val="24"/>
          <w:szCs w:val="24"/>
        </w:rPr>
        <w:t xml:space="preserve">and IT systems; improving the oversight function of the PFMRP through a number of operational measures, greater parliamentary involvement and representing the importance of the PFM </w:t>
      </w:r>
      <w:r w:rsidR="00AB73F6" w:rsidRPr="00C32887">
        <w:rPr>
          <w:rFonts w:ascii="Garamond" w:hAnsi="Garamond"/>
          <w:sz w:val="24"/>
          <w:szCs w:val="24"/>
        </w:rPr>
        <w:t>Programme</w:t>
      </w: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3646FC" w:rsidRDefault="003646FC">
      <w:pPr>
        <w:rPr>
          <w:rFonts w:ascii="Garamond" w:hAnsi="Garamond"/>
          <w:sz w:val="24"/>
          <w:szCs w:val="24"/>
        </w:rPr>
      </w:pPr>
      <w:r>
        <w:rPr>
          <w:rFonts w:ascii="Garamond" w:hAnsi="Garamond"/>
          <w:sz w:val="24"/>
          <w:szCs w:val="24"/>
        </w:rPr>
        <w:br w:type="page"/>
      </w:r>
    </w:p>
    <w:p w:rsidR="004D1343" w:rsidRPr="00C32887" w:rsidRDefault="003646FC" w:rsidP="003646FC">
      <w:pPr>
        <w:pStyle w:val="Heading1"/>
        <w:jc w:val="both"/>
        <w:rPr>
          <w:rFonts w:ascii="Garamond" w:hAnsi="Garamond"/>
          <w:sz w:val="24"/>
          <w:szCs w:val="24"/>
        </w:rPr>
      </w:pPr>
      <w:bookmarkStart w:id="32" w:name="_Toc77688209"/>
      <w:r>
        <w:rPr>
          <w:rFonts w:ascii="Garamond" w:hAnsi="Garamond"/>
          <w:sz w:val="24"/>
          <w:szCs w:val="24"/>
        </w:rPr>
        <w:t xml:space="preserve">APPENDIX 1 </w:t>
      </w:r>
      <w:r w:rsidR="00BE5DBE">
        <w:rPr>
          <w:rFonts w:ascii="Garamond" w:hAnsi="Garamond"/>
          <w:sz w:val="24"/>
          <w:szCs w:val="24"/>
        </w:rPr>
        <w:t>–</w:t>
      </w:r>
      <w:r>
        <w:rPr>
          <w:rFonts w:ascii="Garamond" w:hAnsi="Garamond"/>
          <w:sz w:val="24"/>
          <w:szCs w:val="24"/>
        </w:rPr>
        <w:t xml:space="preserve"> </w:t>
      </w:r>
      <w:r w:rsidR="00BE5DBE">
        <w:rPr>
          <w:rFonts w:ascii="Garamond" w:hAnsi="Garamond"/>
          <w:sz w:val="24"/>
          <w:szCs w:val="24"/>
        </w:rPr>
        <w:t xml:space="preserve">PERFORMANCE </w:t>
      </w:r>
      <w:r>
        <w:rPr>
          <w:rFonts w:ascii="Garamond" w:hAnsi="Garamond"/>
          <w:sz w:val="24"/>
          <w:szCs w:val="24"/>
        </w:rPr>
        <w:t>INDICATOR</w:t>
      </w:r>
      <w:r w:rsidRPr="00C32887">
        <w:rPr>
          <w:rFonts w:ascii="Garamond" w:hAnsi="Garamond"/>
          <w:sz w:val="24"/>
          <w:szCs w:val="24"/>
        </w:rPr>
        <w:t xml:space="preserve"> </w:t>
      </w:r>
      <w:r>
        <w:rPr>
          <w:rFonts w:ascii="Garamond" w:hAnsi="Garamond"/>
          <w:sz w:val="24"/>
          <w:szCs w:val="24"/>
        </w:rPr>
        <w:t>PASSPORT</w:t>
      </w:r>
      <w:r w:rsidR="00937CB7">
        <w:rPr>
          <w:rFonts w:ascii="Garamond" w:hAnsi="Garamond"/>
          <w:sz w:val="24"/>
          <w:szCs w:val="24"/>
        </w:rPr>
        <w:t>S</w:t>
      </w:r>
      <w:r w:rsidRPr="00C32887">
        <w:rPr>
          <w:rFonts w:ascii="Garamond" w:hAnsi="Garamond"/>
          <w:sz w:val="24"/>
          <w:szCs w:val="24"/>
        </w:rPr>
        <w:t xml:space="preserve"> FOR THE 2016-2020</w:t>
      </w:r>
      <w:r>
        <w:rPr>
          <w:rFonts w:ascii="Garamond" w:hAnsi="Garamond"/>
          <w:sz w:val="24"/>
          <w:szCs w:val="24"/>
        </w:rPr>
        <w:t xml:space="preserve"> </w:t>
      </w:r>
      <w:r w:rsidRPr="00C32887">
        <w:rPr>
          <w:rFonts w:ascii="Garamond" w:hAnsi="Garamond"/>
          <w:sz w:val="24"/>
          <w:szCs w:val="24"/>
        </w:rPr>
        <w:t>PUBLIC FINANCE MANAGEMENT REFORM PROGRAMME</w:t>
      </w:r>
      <w:bookmarkEnd w:id="32"/>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C01962" w:rsidP="003646FC">
      <w:pPr>
        <w:jc w:val="both"/>
        <w:rPr>
          <w:rFonts w:ascii="Garamond" w:hAnsi="Garamond"/>
          <w:sz w:val="24"/>
          <w:szCs w:val="24"/>
        </w:rPr>
      </w:pPr>
      <w:r w:rsidRPr="00C32887">
        <w:rPr>
          <w:rFonts w:ascii="Garamond" w:hAnsi="Garamond"/>
          <w:sz w:val="24"/>
          <w:szCs w:val="24"/>
        </w:rPr>
        <w:t>Chapter 6</w:t>
      </w:r>
      <w:r>
        <w:rPr>
          <w:rFonts w:ascii="Garamond" w:hAnsi="Garamond"/>
          <w:sz w:val="24"/>
          <w:szCs w:val="24"/>
        </w:rPr>
        <w:t xml:space="preserve"> of the </w:t>
      </w:r>
      <w:r w:rsidRPr="00C32887">
        <w:rPr>
          <w:rFonts w:ascii="Garamond" w:hAnsi="Garamond"/>
          <w:sz w:val="24"/>
          <w:szCs w:val="24"/>
        </w:rPr>
        <w:t>2016-2020</w:t>
      </w:r>
      <w:r>
        <w:rPr>
          <w:rFonts w:ascii="Garamond" w:hAnsi="Garamond"/>
          <w:sz w:val="24"/>
          <w:szCs w:val="24"/>
        </w:rPr>
        <w:t xml:space="preserve"> </w:t>
      </w:r>
      <w:r w:rsidR="004D1343" w:rsidRPr="00C32887">
        <w:rPr>
          <w:rFonts w:ascii="Garamond" w:hAnsi="Garamond"/>
          <w:sz w:val="24"/>
          <w:szCs w:val="24"/>
        </w:rPr>
        <w:t>Public Financ</w:t>
      </w:r>
      <w:r>
        <w:rPr>
          <w:rFonts w:ascii="Garamond" w:hAnsi="Garamond"/>
          <w:sz w:val="24"/>
          <w:szCs w:val="24"/>
        </w:rPr>
        <w:t>e</w:t>
      </w:r>
      <w:r w:rsidR="004D1343" w:rsidRPr="00C32887">
        <w:rPr>
          <w:rFonts w:ascii="Garamond" w:hAnsi="Garamond"/>
          <w:sz w:val="24"/>
          <w:szCs w:val="24"/>
        </w:rPr>
        <w:t xml:space="preserve"> Management Reform </w:t>
      </w:r>
      <w:r w:rsidR="00AB73F6" w:rsidRPr="00C32887">
        <w:rPr>
          <w:rFonts w:ascii="Garamond" w:hAnsi="Garamond"/>
          <w:sz w:val="24"/>
          <w:szCs w:val="24"/>
        </w:rPr>
        <w:t>Programme</w:t>
      </w:r>
      <w:r w:rsidR="004D1343" w:rsidRPr="00C32887">
        <w:rPr>
          <w:rFonts w:ascii="Garamond" w:hAnsi="Garamond"/>
          <w:sz w:val="24"/>
          <w:szCs w:val="24"/>
        </w:rPr>
        <w:t xml:space="preserve"> elaborates a system of monitoring and evaluation during the implementation of the </w:t>
      </w:r>
      <w:r w:rsidR="00AB73F6" w:rsidRPr="00C32887">
        <w:rPr>
          <w:rFonts w:ascii="Garamond" w:hAnsi="Garamond"/>
          <w:sz w:val="24"/>
          <w:szCs w:val="24"/>
        </w:rPr>
        <w:t>Programme</w:t>
      </w:r>
      <w:r w:rsidR="004D1343" w:rsidRPr="00C32887">
        <w:rPr>
          <w:rFonts w:ascii="Garamond" w:hAnsi="Garamond"/>
          <w:sz w:val="24"/>
          <w:szCs w:val="24"/>
        </w:rPr>
        <w:t xml:space="preserve">, the aim of which is to assess the concrete progress achieved </w:t>
      </w:r>
      <w:r w:rsidR="00BE5DBE">
        <w:rPr>
          <w:rFonts w:ascii="Garamond" w:hAnsi="Garamond"/>
          <w:sz w:val="24"/>
          <w:szCs w:val="24"/>
        </w:rPr>
        <w:t>in</w:t>
      </w:r>
      <w:r w:rsidR="004D1343" w:rsidRPr="00C32887">
        <w:rPr>
          <w:rFonts w:ascii="Garamond" w:hAnsi="Garamond"/>
          <w:sz w:val="24"/>
          <w:szCs w:val="24"/>
        </w:rPr>
        <w:t xml:space="preserve"> the implementation of activities of the Action Plan for the implementation of the </w:t>
      </w:r>
      <w:r w:rsidR="00290B32" w:rsidRPr="00C32887">
        <w:rPr>
          <w:rFonts w:ascii="Garamond" w:hAnsi="Garamond"/>
          <w:sz w:val="24"/>
          <w:szCs w:val="24"/>
        </w:rPr>
        <w:t>2016-2020</w:t>
      </w:r>
      <w:r w:rsidR="00937CB7">
        <w:rPr>
          <w:rFonts w:ascii="Garamond" w:hAnsi="Garamond"/>
          <w:sz w:val="24"/>
          <w:szCs w:val="24"/>
        </w:rPr>
        <w:t xml:space="preserve"> </w:t>
      </w:r>
      <w:r w:rsidR="00AB73F6" w:rsidRPr="00C32887">
        <w:rPr>
          <w:rFonts w:ascii="Garamond" w:hAnsi="Garamond"/>
          <w:sz w:val="24"/>
          <w:szCs w:val="24"/>
        </w:rPr>
        <w:t>Programme</w:t>
      </w:r>
      <w:r w:rsidR="004D1343" w:rsidRPr="00C32887">
        <w:rPr>
          <w:rFonts w:ascii="Garamond" w:hAnsi="Garamond"/>
          <w:sz w:val="24"/>
          <w:szCs w:val="24"/>
        </w:rPr>
        <w:t xml:space="preserve"> (hereinafter: AP).</w:t>
      </w:r>
    </w:p>
    <w:p w:rsidR="004D1343" w:rsidRPr="00C32887" w:rsidRDefault="004D1343" w:rsidP="004D1343">
      <w:pPr>
        <w:rPr>
          <w:rFonts w:ascii="Garamond" w:hAnsi="Garamond"/>
          <w:sz w:val="24"/>
          <w:szCs w:val="24"/>
        </w:rPr>
      </w:pPr>
    </w:p>
    <w:p w:rsidR="00CF2B81" w:rsidRDefault="004D1343" w:rsidP="00290B32">
      <w:pPr>
        <w:jc w:val="both"/>
        <w:rPr>
          <w:rFonts w:ascii="Garamond" w:hAnsi="Garamond"/>
          <w:sz w:val="24"/>
          <w:szCs w:val="24"/>
        </w:rPr>
      </w:pPr>
      <w:r w:rsidRPr="00C32887">
        <w:rPr>
          <w:rFonts w:ascii="Garamond" w:hAnsi="Garamond"/>
          <w:sz w:val="24"/>
          <w:szCs w:val="24"/>
        </w:rPr>
        <w:t xml:space="preserve">The goal is to consolidate and unify information on all </w:t>
      </w:r>
      <w:r w:rsidR="00BE5DBE">
        <w:rPr>
          <w:rFonts w:ascii="Garamond" w:hAnsi="Garamond"/>
          <w:sz w:val="24"/>
          <w:szCs w:val="24"/>
        </w:rPr>
        <w:t>identified</w:t>
      </w:r>
      <w:r w:rsidRPr="00C32887">
        <w:rPr>
          <w:rFonts w:ascii="Garamond" w:hAnsi="Garamond"/>
          <w:sz w:val="24"/>
          <w:szCs w:val="24"/>
        </w:rPr>
        <w:t xml:space="preserve"> Performance Indicators, including some of their key institutional and</w:t>
      </w:r>
      <w:r w:rsidR="00290B32">
        <w:rPr>
          <w:rFonts w:ascii="Garamond" w:hAnsi="Garamond"/>
          <w:sz w:val="24"/>
          <w:szCs w:val="24"/>
        </w:rPr>
        <w:t xml:space="preserve"> methodological aspects such as</w:t>
      </w:r>
      <w:r w:rsidRPr="00C32887">
        <w:rPr>
          <w:rFonts w:ascii="Garamond" w:hAnsi="Garamond"/>
          <w:sz w:val="24"/>
          <w:szCs w:val="24"/>
        </w:rPr>
        <w:t xml:space="preserve"> which institution collects data, how often, what is th</w:t>
      </w:r>
      <w:r w:rsidR="00BE5DBE">
        <w:rPr>
          <w:rFonts w:ascii="Garamond" w:hAnsi="Garamond"/>
          <w:sz w:val="24"/>
          <w:szCs w:val="24"/>
        </w:rPr>
        <w:t>e equation for calculating the i</w:t>
      </w:r>
      <w:r w:rsidRPr="00C32887">
        <w:rPr>
          <w:rFonts w:ascii="Garamond" w:hAnsi="Garamond"/>
          <w:sz w:val="24"/>
          <w:szCs w:val="24"/>
        </w:rPr>
        <w:t>ndicator, what is the verification source, what are the initial m</w:t>
      </w:r>
      <w:r w:rsidR="00937CB7">
        <w:rPr>
          <w:rFonts w:ascii="Garamond" w:hAnsi="Garamond"/>
          <w:sz w:val="24"/>
          <w:szCs w:val="24"/>
        </w:rPr>
        <w:t>easurements for a given i</w:t>
      </w:r>
      <w:r w:rsidRPr="00C32887">
        <w:rPr>
          <w:rFonts w:ascii="Garamond" w:hAnsi="Garamond"/>
          <w:sz w:val="24"/>
          <w:szCs w:val="24"/>
        </w:rPr>
        <w:t xml:space="preserve">ndicator and what are the target values </w:t>
      </w:r>
      <w:r w:rsidRPr="00C32887">
        <w:rPr>
          <w:sz w:val="24"/>
          <w:szCs w:val="24"/>
        </w:rPr>
        <w:t>​​</w:t>
      </w:r>
      <w:r w:rsidRPr="00C32887">
        <w:rPr>
          <w:rFonts w:ascii="Garamond" w:hAnsi="Garamond"/>
          <w:sz w:val="24"/>
          <w:szCs w:val="24"/>
        </w:rPr>
        <w:t xml:space="preserve">designed to measure the success of the implementation of reform activities. The measurement and monitoring of indicators should start with the second planned </w:t>
      </w:r>
      <w:r w:rsidR="00937CB7" w:rsidRPr="00C32887">
        <w:rPr>
          <w:rFonts w:ascii="Garamond" w:hAnsi="Garamond"/>
          <w:sz w:val="24"/>
          <w:szCs w:val="24"/>
        </w:rPr>
        <w:t xml:space="preserve">implementation </w:t>
      </w:r>
      <w:r w:rsidRPr="00C32887">
        <w:rPr>
          <w:rFonts w:ascii="Garamond" w:hAnsi="Garamond"/>
          <w:sz w:val="24"/>
          <w:szCs w:val="24"/>
        </w:rPr>
        <w:t xml:space="preserve">report of the </w:t>
      </w:r>
      <w:r w:rsidR="00290B32" w:rsidRPr="00C32887">
        <w:rPr>
          <w:rFonts w:ascii="Garamond" w:hAnsi="Garamond"/>
          <w:sz w:val="24"/>
          <w:szCs w:val="24"/>
        </w:rPr>
        <w:t>2016-2020</w:t>
      </w:r>
      <w:r w:rsidR="00290B32">
        <w:rPr>
          <w:rFonts w:ascii="Garamond" w:hAnsi="Garamond"/>
          <w:sz w:val="24"/>
          <w:szCs w:val="24"/>
        </w:rPr>
        <w:t xml:space="preserve"> </w:t>
      </w:r>
      <w:r w:rsidR="00AB73F6" w:rsidRPr="00C32887">
        <w:rPr>
          <w:rFonts w:ascii="Garamond" w:hAnsi="Garamond"/>
          <w:sz w:val="24"/>
          <w:szCs w:val="24"/>
        </w:rPr>
        <w:t>Programme</w:t>
      </w:r>
      <w:r w:rsidRPr="00C32887">
        <w:rPr>
          <w:rFonts w:ascii="Garamond" w:hAnsi="Garamond"/>
          <w:sz w:val="24"/>
          <w:szCs w:val="24"/>
        </w:rPr>
        <w:t>.</w:t>
      </w:r>
    </w:p>
    <w:p w:rsidR="00CF2B81" w:rsidRDefault="00CF2B81">
      <w:pPr>
        <w:rPr>
          <w:rFonts w:ascii="Garamond" w:hAnsi="Garamond"/>
          <w:sz w:val="24"/>
          <w:szCs w:val="24"/>
        </w:rPr>
      </w:pPr>
      <w:r>
        <w:rPr>
          <w:rFonts w:ascii="Garamond" w:hAnsi="Garamond"/>
          <w:sz w:val="24"/>
          <w:szCs w:val="24"/>
        </w:rPr>
        <w:br w:type="page"/>
      </w:r>
    </w:p>
    <w:p w:rsidR="004D1343" w:rsidRPr="00C32887" w:rsidRDefault="004D1343" w:rsidP="00290B32">
      <w:pPr>
        <w:jc w:val="both"/>
        <w:rPr>
          <w:rFonts w:ascii="Garamond" w:hAnsi="Garamond"/>
          <w:sz w:val="24"/>
          <w:szCs w:val="24"/>
        </w:rPr>
      </w:pPr>
    </w:p>
    <w:p w:rsidR="004D1343" w:rsidRPr="00C32887" w:rsidRDefault="004D1343" w:rsidP="004D1343">
      <w:pPr>
        <w:rPr>
          <w:rFonts w:ascii="Garamond" w:hAnsi="Garamond"/>
          <w:sz w:val="24"/>
          <w:szCs w:val="24"/>
        </w:rPr>
      </w:pPr>
    </w:p>
    <w:p w:rsidR="004D1343" w:rsidRPr="00BE5DBE" w:rsidRDefault="00290B32" w:rsidP="00290B32">
      <w:pPr>
        <w:pStyle w:val="ListParagraph"/>
        <w:numPr>
          <w:ilvl w:val="0"/>
          <w:numId w:val="26"/>
        </w:numPr>
        <w:outlineLvl w:val="0"/>
        <w:rPr>
          <w:rFonts w:ascii="Garamond" w:hAnsi="Garamond"/>
          <w:color w:val="17365D" w:themeColor="text2" w:themeShade="BF"/>
          <w:sz w:val="24"/>
          <w:szCs w:val="24"/>
        </w:rPr>
      </w:pPr>
      <w:bookmarkStart w:id="33" w:name="_Toc77688210"/>
      <w:r w:rsidRPr="00BE5DBE">
        <w:rPr>
          <w:rFonts w:ascii="Garamond" w:hAnsi="Garamond"/>
          <w:color w:val="17365D" w:themeColor="text2" w:themeShade="BF"/>
          <w:sz w:val="24"/>
          <w:szCs w:val="24"/>
        </w:rPr>
        <w:t>SUSTAINABLE FISCAL FRAMEWORK, PUBLIC EXPENDITURE PLANNING AND BUDGETING</w:t>
      </w:r>
      <w:bookmarkEnd w:id="33"/>
    </w:p>
    <w:p w:rsidR="004D1343" w:rsidRPr="00C32887" w:rsidRDefault="004D1343" w:rsidP="004D1343">
      <w:pPr>
        <w:rPr>
          <w:rFonts w:ascii="Garamond" w:hAnsi="Garamond"/>
          <w:sz w:val="24"/>
          <w:szCs w:val="24"/>
        </w:rPr>
      </w:pPr>
    </w:p>
    <w:p w:rsidR="004D1343" w:rsidRPr="00C32887" w:rsidRDefault="004D1343" w:rsidP="00290B32">
      <w:pPr>
        <w:pStyle w:val="Heading2"/>
        <w:rPr>
          <w:rFonts w:ascii="Garamond" w:hAnsi="Garamond"/>
          <w:sz w:val="24"/>
          <w:szCs w:val="24"/>
        </w:rPr>
      </w:pPr>
      <w:bookmarkStart w:id="34" w:name="_Toc77688211"/>
      <w:r w:rsidRPr="00C32887">
        <w:rPr>
          <w:rFonts w:ascii="Garamond" w:hAnsi="Garamond"/>
          <w:sz w:val="24"/>
          <w:szCs w:val="24"/>
        </w:rPr>
        <w:t>1.1     Medium-term budgetary framework, including fiscal strategy</w:t>
      </w:r>
      <w:bookmarkEnd w:id="34"/>
    </w:p>
    <w:p w:rsidR="004D1343" w:rsidRPr="00C32887" w:rsidRDefault="004D1343" w:rsidP="004D1343">
      <w:pPr>
        <w:rPr>
          <w:rFonts w:ascii="Garamond" w:hAnsi="Garamond"/>
          <w:sz w:val="24"/>
          <w:szCs w:val="24"/>
        </w:rPr>
      </w:pPr>
    </w:p>
    <w:p w:rsidR="004D1343" w:rsidRPr="00C32887" w:rsidRDefault="004D1343" w:rsidP="00290B32">
      <w:pPr>
        <w:pStyle w:val="Heading3"/>
        <w:rPr>
          <w:rFonts w:ascii="Garamond" w:hAnsi="Garamond"/>
          <w:sz w:val="24"/>
          <w:szCs w:val="24"/>
        </w:rPr>
      </w:pPr>
      <w:bookmarkStart w:id="35" w:name="_Toc77688212"/>
      <w:r w:rsidRPr="00C32887">
        <w:rPr>
          <w:rFonts w:ascii="Garamond" w:hAnsi="Garamond"/>
          <w:sz w:val="24"/>
          <w:szCs w:val="24"/>
        </w:rPr>
        <w:t xml:space="preserve">1.1.1      </w:t>
      </w:r>
      <w:r w:rsidR="0056213B">
        <w:rPr>
          <w:rFonts w:ascii="Garamond" w:hAnsi="Garamond"/>
          <w:sz w:val="24"/>
          <w:szCs w:val="24"/>
        </w:rPr>
        <w:t xml:space="preserve">PERFORMANCE </w:t>
      </w:r>
      <w:r w:rsidR="00290B32" w:rsidRPr="00C32887">
        <w:rPr>
          <w:rFonts w:ascii="Garamond" w:hAnsi="Garamond"/>
          <w:sz w:val="24"/>
          <w:szCs w:val="24"/>
        </w:rPr>
        <w:t xml:space="preserve">INDICATOR </w:t>
      </w:r>
      <w:r w:rsidR="0056213B" w:rsidRPr="00C32887">
        <w:rPr>
          <w:rFonts w:ascii="Garamond" w:hAnsi="Garamond"/>
          <w:sz w:val="24"/>
          <w:szCs w:val="24"/>
        </w:rPr>
        <w:t>1</w:t>
      </w:r>
      <w:r w:rsidR="0056213B">
        <w:rPr>
          <w:rFonts w:ascii="Garamond" w:hAnsi="Garamond"/>
          <w:sz w:val="24"/>
          <w:szCs w:val="24"/>
        </w:rPr>
        <w:t xml:space="preserve"> </w:t>
      </w:r>
      <w:r w:rsidRPr="00C32887">
        <w:rPr>
          <w:rFonts w:ascii="Garamond" w:hAnsi="Garamond"/>
          <w:sz w:val="24"/>
          <w:szCs w:val="24"/>
        </w:rPr>
        <w:t>PASSPORT</w:t>
      </w:r>
      <w:bookmarkEnd w:id="35"/>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290B32" w:rsidRPr="00290B32" w:rsidTr="004D6BBE">
        <w:trPr>
          <w:jc w:val="center"/>
        </w:trPr>
        <w:tc>
          <w:tcPr>
            <w:tcW w:w="2657" w:type="dxa"/>
            <w:tcBorders>
              <w:right w:val="single" w:sz="4" w:space="0" w:color="FFFFFF"/>
            </w:tcBorders>
            <w:shd w:val="clear" w:color="auto" w:fill="BFBFBF"/>
            <w:vAlign w:val="center"/>
          </w:tcPr>
          <w:p w:rsidR="00290B32" w:rsidRPr="00290B32" w:rsidRDefault="00290B32" w:rsidP="00290B32">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performance indicator</w:t>
            </w:r>
          </w:p>
        </w:tc>
        <w:tc>
          <w:tcPr>
            <w:tcW w:w="6689" w:type="dxa"/>
            <w:gridSpan w:val="5"/>
            <w:tcBorders>
              <w:left w:val="single" w:sz="4" w:space="0" w:color="FFFFFF"/>
            </w:tcBorders>
            <w:shd w:val="clear" w:color="auto" w:fill="BFBFBF"/>
            <w:vAlign w:val="center"/>
          </w:tcPr>
          <w:p w:rsidR="00290B32" w:rsidRPr="00290B32" w:rsidRDefault="0035167E" w:rsidP="0056213B">
            <w:pPr>
              <w:pStyle w:val="Default"/>
              <w:jc w:val="both"/>
              <w:rPr>
                <w:rFonts w:ascii="Garamond" w:eastAsia="Calibri" w:hAnsi="Garamond"/>
                <w:b/>
                <w:sz w:val="16"/>
                <w:szCs w:val="16"/>
                <w:lang w:eastAsia="en-US"/>
              </w:rPr>
            </w:pPr>
            <w:r w:rsidRPr="0056213B">
              <w:rPr>
                <w:rFonts w:ascii="Garamond" w:hAnsi="Garamond"/>
                <w:iCs/>
                <w:sz w:val="16"/>
                <w:szCs w:val="16"/>
              </w:rPr>
              <w:t xml:space="preserve">Share of new medium-term sector strategies that include estimates of implementation costs, including potential donor funding </w:t>
            </w:r>
          </w:p>
        </w:tc>
      </w:tr>
      <w:tr w:rsidR="00290B32" w:rsidRPr="00290B32" w:rsidTr="004D6BBE">
        <w:trPr>
          <w:gridAfter w:val="1"/>
          <w:wAfter w:w="19" w:type="dxa"/>
          <w:jc w:val="center"/>
        </w:trPr>
        <w:tc>
          <w:tcPr>
            <w:tcW w:w="2657" w:type="dxa"/>
            <w:vAlign w:val="center"/>
          </w:tcPr>
          <w:p w:rsidR="00290B32" w:rsidRPr="00290B32" w:rsidRDefault="00290B32" w:rsidP="00290B32">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corresponding objective or activity</w:t>
            </w:r>
          </w:p>
        </w:tc>
        <w:tc>
          <w:tcPr>
            <w:tcW w:w="6670" w:type="dxa"/>
            <w:gridSpan w:val="4"/>
            <w:vAlign w:val="center"/>
          </w:tcPr>
          <w:p w:rsidR="0035167E" w:rsidRPr="0056213B" w:rsidRDefault="0035167E" w:rsidP="0035167E">
            <w:pPr>
              <w:rPr>
                <w:rFonts w:ascii="Garamond" w:hAnsi="Garamond"/>
                <w:color w:val="365F91" w:themeColor="accent1" w:themeShade="BF"/>
                <w:sz w:val="16"/>
                <w:szCs w:val="16"/>
              </w:rPr>
            </w:pPr>
            <w:r w:rsidRPr="0056213B">
              <w:rPr>
                <w:rFonts w:ascii="Garamond" w:hAnsi="Garamond"/>
                <w:color w:val="365F91" w:themeColor="accent1" w:themeShade="BF"/>
                <w:sz w:val="16"/>
                <w:szCs w:val="16"/>
              </w:rPr>
              <w:t xml:space="preserve">Sustainable fiscal framework, public </w:t>
            </w:r>
            <w:r w:rsidR="0056213B">
              <w:rPr>
                <w:rFonts w:ascii="Garamond" w:hAnsi="Garamond"/>
                <w:color w:val="365F91" w:themeColor="accent1" w:themeShade="BF"/>
                <w:sz w:val="16"/>
                <w:szCs w:val="16"/>
              </w:rPr>
              <w:t>expenditure</w:t>
            </w:r>
            <w:r w:rsidRPr="0056213B">
              <w:rPr>
                <w:rFonts w:ascii="Garamond" w:hAnsi="Garamond"/>
                <w:color w:val="365F91" w:themeColor="accent1" w:themeShade="BF"/>
                <w:sz w:val="16"/>
                <w:szCs w:val="16"/>
              </w:rPr>
              <w:t xml:space="preserve"> planning and budgeting</w:t>
            </w:r>
          </w:p>
          <w:p w:rsidR="0035167E" w:rsidRPr="0056213B" w:rsidRDefault="0035167E" w:rsidP="0056213B">
            <w:pPr>
              <w:pStyle w:val="ListParagraph"/>
              <w:numPr>
                <w:ilvl w:val="0"/>
                <w:numId w:val="28"/>
              </w:numPr>
              <w:rPr>
                <w:rFonts w:ascii="Garamond" w:hAnsi="Garamond"/>
                <w:color w:val="365F91" w:themeColor="accent1" w:themeShade="BF"/>
                <w:sz w:val="16"/>
                <w:szCs w:val="16"/>
                <w:u w:val="single"/>
              </w:rPr>
            </w:pPr>
            <w:r w:rsidRPr="0056213B">
              <w:rPr>
                <w:rFonts w:ascii="Garamond" w:hAnsi="Garamond"/>
                <w:color w:val="365F91" w:themeColor="accent1" w:themeShade="BF"/>
                <w:sz w:val="16"/>
                <w:szCs w:val="16"/>
                <w:u w:val="single"/>
              </w:rPr>
              <w:t xml:space="preserve">Medium-term budgetary framework, including fiscal strategy      </w:t>
            </w:r>
          </w:p>
          <w:p w:rsidR="0035167E" w:rsidRPr="0056213B" w:rsidRDefault="0035167E" w:rsidP="0035167E">
            <w:pPr>
              <w:rPr>
                <w:rFonts w:ascii="Garamond" w:hAnsi="Garamond"/>
                <w:sz w:val="16"/>
                <w:szCs w:val="16"/>
              </w:rPr>
            </w:pPr>
          </w:p>
          <w:p w:rsidR="00290B32" w:rsidRPr="00290B32" w:rsidRDefault="0035167E" w:rsidP="00E16F07">
            <w:pPr>
              <w:rPr>
                <w:rFonts w:ascii="Garamond" w:eastAsia="Calibri" w:hAnsi="Garamond"/>
                <w:i/>
                <w:sz w:val="16"/>
                <w:szCs w:val="16"/>
                <w:lang w:eastAsia="en-US" w:bidi="ar-SA"/>
              </w:rPr>
            </w:pPr>
            <w:r w:rsidRPr="0056213B">
              <w:rPr>
                <w:rFonts w:ascii="Garamond" w:hAnsi="Garamond"/>
                <w:sz w:val="16"/>
                <w:szCs w:val="16"/>
              </w:rPr>
              <w:t>Medium</w:t>
            </w:r>
            <w:r w:rsidR="00E16F07">
              <w:rPr>
                <w:rFonts w:ascii="Garamond" w:hAnsi="Garamond"/>
                <w:sz w:val="16"/>
                <w:szCs w:val="16"/>
              </w:rPr>
              <w:t>-term</w:t>
            </w:r>
            <w:r w:rsidRPr="0056213B">
              <w:rPr>
                <w:rFonts w:ascii="Garamond" w:hAnsi="Garamond"/>
                <w:sz w:val="16"/>
                <w:szCs w:val="16"/>
              </w:rPr>
              <w:t xml:space="preserve"> bud</w:t>
            </w:r>
            <w:r w:rsidR="00E16F07">
              <w:rPr>
                <w:rFonts w:ascii="Garamond" w:hAnsi="Garamond"/>
                <w:sz w:val="16"/>
                <w:szCs w:val="16"/>
              </w:rPr>
              <w:t xml:space="preserve">getary </w:t>
            </w:r>
            <w:r w:rsidRPr="0056213B">
              <w:rPr>
                <w:rFonts w:ascii="Garamond" w:hAnsi="Garamond"/>
                <w:sz w:val="16"/>
                <w:szCs w:val="16"/>
              </w:rPr>
              <w:t>framework reflects the Government</w:t>
            </w:r>
            <w:r w:rsidR="00C13A74">
              <w:rPr>
                <w:rFonts w:ascii="Garamond" w:hAnsi="Garamond"/>
                <w:sz w:val="16"/>
                <w:szCs w:val="16"/>
              </w:rPr>
              <w:t>’</w:t>
            </w:r>
            <w:r w:rsidRPr="0056213B">
              <w:rPr>
                <w:rFonts w:ascii="Garamond" w:hAnsi="Garamond"/>
                <w:sz w:val="16"/>
                <w:szCs w:val="16"/>
              </w:rPr>
              <w:t>s policy an</w:t>
            </w:r>
            <w:r w:rsidR="00E16F07">
              <w:rPr>
                <w:rFonts w:ascii="Garamond" w:hAnsi="Garamond"/>
                <w:sz w:val="16"/>
                <w:szCs w:val="16"/>
              </w:rPr>
              <w:t xml:space="preserve">d strategic objectives and contains </w:t>
            </w:r>
            <w:r w:rsidRPr="0056213B">
              <w:rPr>
                <w:rFonts w:ascii="Garamond" w:hAnsi="Garamond"/>
                <w:sz w:val="16"/>
                <w:szCs w:val="16"/>
              </w:rPr>
              <w:t>fixed spending limits for all first level</w:t>
            </w:r>
            <w:r w:rsidR="00E16F07">
              <w:rPr>
                <w:rFonts w:ascii="Garamond" w:hAnsi="Garamond"/>
                <w:sz w:val="16"/>
                <w:szCs w:val="16"/>
              </w:rPr>
              <w:t xml:space="preserve"> spending units</w:t>
            </w:r>
          </w:p>
        </w:tc>
      </w:tr>
      <w:tr w:rsidR="00290B32" w:rsidRPr="00290B32" w:rsidTr="004D6BBE">
        <w:trPr>
          <w:gridAfter w:val="1"/>
          <w:wAfter w:w="19" w:type="dxa"/>
          <w:jc w:val="center"/>
        </w:trPr>
        <w:tc>
          <w:tcPr>
            <w:tcW w:w="2657" w:type="dxa"/>
            <w:vAlign w:val="center"/>
          </w:tcPr>
          <w:p w:rsidR="00290B32" w:rsidRPr="00290B32" w:rsidRDefault="00290B32" w:rsidP="00290B3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SOURCE OF DATA FOR MONITORING PERFORMANCE INDICATORS</w:t>
            </w:r>
          </w:p>
        </w:tc>
        <w:tc>
          <w:tcPr>
            <w:tcW w:w="6670" w:type="dxa"/>
            <w:gridSpan w:val="4"/>
            <w:vAlign w:val="center"/>
          </w:tcPr>
          <w:p w:rsidR="00290B32" w:rsidRPr="00290B32" w:rsidRDefault="0035167E" w:rsidP="003C3A4E">
            <w:pPr>
              <w:jc w:val="both"/>
              <w:rPr>
                <w:rFonts w:ascii="Garamond" w:eastAsia="Calibri" w:hAnsi="Garamond"/>
                <w:sz w:val="16"/>
                <w:szCs w:val="16"/>
                <w:lang w:eastAsia="en-US" w:bidi="ar-SA"/>
              </w:rPr>
            </w:pPr>
            <w:r w:rsidRPr="0056213B">
              <w:rPr>
                <w:rFonts w:ascii="Garamond" w:hAnsi="Garamond"/>
                <w:sz w:val="16"/>
                <w:szCs w:val="16"/>
              </w:rPr>
              <w:t xml:space="preserve">In accordance with the PFM strategy, </w:t>
            </w:r>
            <w:r w:rsidR="003C3A4E">
              <w:rPr>
                <w:rFonts w:ascii="Garamond" w:hAnsi="Garamond"/>
                <w:sz w:val="16"/>
                <w:szCs w:val="16"/>
              </w:rPr>
              <w:t>an</w:t>
            </w:r>
            <w:r w:rsidRPr="0056213B">
              <w:rPr>
                <w:rFonts w:ascii="Garamond" w:hAnsi="Garamond"/>
                <w:sz w:val="16"/>
                <w:szCs w:val="16"/>
              </w:rPr>
              <w:t xml:space="preserve"> activity planned </w:t>
            </w:r>
            <w:r w:rsidR="003C3A4E" w:rsidRPr="0056213B">
              <w:rPr>
                <w:rFonts w:ascii="Garamond" w:hAnsi="Garamond"/>
                <w:sz w:val="16"/>
                <w:szCs w:val="16"/>
              </w:rPr>
              <w:t xml:space="preserve">is </w:t>
            </w:r>
            <w:r w:rsidRPr="0056213B">
              <w:rPr>
                <w:rFonts w:ascii="Garamond" w:hAnsi="Garamond"/>
                <w:sz w:val="16"/>
                <w:szCs w:val="16"/>
              </w:rPr>
              <w:t>related to the developm</w:t>
            </w:r>
            <w:r w:rsidR="00FC5247">
              <w:rPr>
                <w:rFonts w:ascii="Garamond" w:hAnsi="Garamond"/>
                <w:sz w:val="16"/>
                <w:szCs w:val="16"/>
              </w:rPr>
              <w:t>ent of the</w:t>
            </w:r>
            <w:r w:rsidRPr="0056213B">
              <w:rPr>
                <w:rFonts w:ascii="Garamond" w:hAnsi="Garamond"/>
                <w:sz w:val="16"/>
                <w:szCs w:val="16"/>
              </w:rPr>
              <w:t xml:space="preserve"> methodology for drafting strategic documents. According to the plan, one of the minimum requirements </w:t>
            </w:r>
            <w:r w:rsidR="00E16F07">
              <w:rPr>
                <w:rFonts w:ascii="Garamond" w:hAnsi="Garamond"/>
                <w:sz w:val="16"/>
                <w:szCs w:val="16"/>
              </w:rPr>
              <w:t xml:space="preserve">is predicted to </w:t>
            </w:r>
            <w:r w:rsidRPr="0056213B">
              <w:rPr>
                <w:rFonts w:ascii="Garamond" w:hAnsi="Garamond"/>
                <w:sz w:val="16"/>
                <w:szCs w:val="16"/>
              </w:rPr>
              <w:t xml:space="preserve">include an estimate of the fiscal impact, indicating that after the adoption of appropriate legislation, the strategies </w:t>
            </w:r>
            <w:r w:rsidR="00E16F07">
              <w:rPr>
                <w:rFonts w:ascii="Garamond" w:hAnsi="Garamond"/>
                <w:sz w:val="16"/>
                <w:szCs w:val="16"/>
              </w:rPr>
              <w:t xml:space="preserve">will </w:t>
            </w:r>
            <w:r w:rsidRPr="0056213B">
              <w:rPr>
                <w:rFonts w:ascii="Garamond" w:hAnsi="Garamond"/>
                <w:sz w:val="16"/>
                <w:szCs w:val="16"/>
              </w:rPr>
              <w:t>include the assessment of the fiscal impact. Data source for 20</w:t>
            </w:r>
            <w:r w:rsidR="00E16F07">
              <w:rPr>
                <w:rFonts w:ascii="Garamond" w:hAnsi="Garamond"/>
                <w:sz w:val="16"/>
                <w:szCs w:val="16"/>
              </w:rPr>
              <w:t>20 are</w:t>
            </w:r>
            <w:r w:rsidRPr="0056213B">
              <w:rPr>
                <w:rFonts w:ascii="Garamond" w:hAnsi="Garamond"/>
                <w:sz w:val="16"/>
                <w:szCs w:val="16"/>
              </w:rPr>
              <w:t xml:space="preserve"> the strategies adopted by the Governm</w:t>
            </w:r>
            <w:r w:rsidR="0056213B" w:rsidRPr="0056213B">
              <w:rPr>
                <w:rFonts w:ascii="Garamond" w:hAnsi="Garamond"/>
                <w:sz w:val="16"/>
                <w:szCs w:val="16"/>
              </w:rPr>
              <w:t>ent of Montenegro during 2020</w:t>
            </w:r>
            <w:r w:rsidRPr="0056213B">
              <w:rPr>
                <w:rFonts w:ascii="Garamond" w:hAnsi="Garamond"/>
                <w:sz w:val="16"/>
                <w:szCs w:val="16"/>
              </w:rPr>
              <w:t>, which were submitted for opinion to the Ministry of Finance.</w:t>
            </w:r>
          </w:p>
        </w:tc>
      </w:tr>
      <w:tr w:rsidR="00290B32" w:rsidRPr="00290B32" w:rsidTr="004D6BBE">
        <w:trPr>
          <w:gridAfter w:val="1"/>
          <w:wAfter w:w="19" w:type="dxa"/>
          <w:jc w:val="center"/>
        </w:trPr>
        <w:tc>
          <w:tcPr>
            <w:tcW w:w="2657" w:type="dxa"/>
            <w:vAlign w:val="center"/>
          </w:tcPr>
          <w:p w:rsidR="00290B32" w:rsidRPr="00290B32" w:rsidRDefault="00290B32" w:rsidP="00290B3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NAME OF DATA COLLECTION HOLDER</w:t>
            </w:r>
          </w:p>
        </w:tc>
        <w:tc>
          <w:tcPr>
            <w:tcW w:w="6670" w:type="dxa"/>
            <w:gridSpan w:val="4"/>
            <w:vAlign w:val="center"/>
          </w:tcPr>
          <w:p w:rsidR="0035167E" w:rsidRPr="0056213B" w:rsidRDefault="0035167E" w:rsidP="0035167E">
            <w:pPr>
              <w:rPr>
                <w:rFonts w:ascii="Garamond" w:hAnsi="Garamond"/>
                <w:sz w:val="16"/>
                <w:szCs w:val="16"/>
              </w:rPr>
            </w:pPr>
            <w:r w:rsidRPr="0056213B">
              <w:rPr>
                <w:rFonts w:ascii="Garamond" w:hAnsi="Garamond"/>
                <w:sz w:val="16"/>
                <w:szCs w:val="16"/>
              </w:rPr>
              <w:t>The Ministr</w:t>
            </w:r>
            <w:r w:rsidR="00E16F07">
              <w:rPr>
                <w:rFonts w:ascii="Garamond" w:hAnsi="Garamond"/>
                <w:sz w:val="16"/>
                <w:szCs w:val="16"/>
              </w:rPr>
              <w:t>y of Finance and Social Welfare</w:t>
            </w:r>
            <w:r w:rsidRPr="0056213B">
              <w:rPr>
                <w:rFonts w:ascii="Garamond" w:hAnsi="Garamond"/>
                <w:sz w:val="16"/>
                <w:szCs w:val="16"/>
              </w:rPr>
              <w:t>,</w:t>
            </w:r>
            <w:r w:rsidR="0056213B" w:rsidRPr="0056213B">
              <w:rPr>
                <w:rFonts w:ascii="Garamond" w:hAnsi="Garamond"/>
                <w:sz w:val="16"/>
                <w:szCs w:val="16"/>
              </w:rPr>
              <w:t xml:space="preserve"> Directorate for </w:t>
            </w:r>
            <w:r w:rsidR="003C3A4E">
              <w:rPr>
                <w:rFonts w:ascii="Garamond" w:hAnsi="Garamond"/>
                <w:sz w:val="16"/>
                <w:szCs w:val="16"/>
              </w:rPr>
              <w:t>State</w:t>
            </w:r>
            <w:r w:rsidR="003C3A4E" w:rsidRPr="0056213B">
              <w:rPr>
                <w:rFonts w:ascii="Garamond" w:hAnsi="Garamond"/>
                <w:sz w:val="16"/>
                <w:szCs w:val="16"/>
              </w:rPr>
              <w:t xml:space="preserve"> Budget</w:t>
            </w:r>
          </w:p>
          <w:p w:rsidR="0035167E" w:rsidRPr="0056213B" w:rsidRDefault="0035167E" w:rsidP="0035167E">
            <w:pPr>
              <w:rPr>
                <w:rFonts w:ascii="Garamond" w:hAnsi="Garamond"/>
                <w:sz w:val="16"/>
                <w:szCs w:val="16"/>
              </w:rPr>
            </w:pPr>
            <w:r w:rsidRPr="0056213B">
              <w:rPr>
                <w:rFonts w:ascii="Garamond" w:hAnsi="Garamond"/>
                <w:sz w:val="16"/>
                <w:szCs w:val="16"/>
              </w:rPr>
              <w:t>Tanja M</w:t>
            </w:r>
            <w:r w:rsidR="0056213B" w:rsidRPr="0056213B">
              <w:rPr>
                <w:rFonts w:ascii="Garamond" w:hAnsi="Garamond"/>
                <w:sz w:val="16"/>
                <w:szCs w:val="16"/>
              </w:rPr>
              <w:t>usterovi</w:t>
            </w:r>
            <w:r w:rsidRPr="0056213B">
              <w:rPr>
                <w:rFonts w:ascii="Garamond" w:hAnsi="Garamond"/>
                <w:sz w:val="16"/>
                <w:szCs w:val="16"/>
              </w:rPr>
              <w:t>ć</w:t>
            </w:r>
          </w:p>
          <w:p w:rsidR="00290B32" w:rsidRPr="00290B32" w:rsidRDefault="0035167E" w:rsidP="0056213B">
            <w:pPr>
              <w:rPr>
                <w:rFonts w:ascii="Garamond" w:eastAsia="Calibri" w:hAnsi="Garamond"/>
                <w:sz w:val="16"/>
                <w:szCs w:val="16"/>
                <w:lang w:eastAsia="en-US" w:bidi="ar-SA"/>
              </w:rPr>
            </w:pPr>
            <w:r w:rsidRPr="0056213B">
              <w:rPr>
                <w:rFonts w:ascii="Garamond" w:hAnsi="Garamond"/>
                <w:sz w:val="16"/>
                <w:szCs w:val="16"/>
              </w:rPr>
              <w:t>tanja.musterovic@mif.gov.me</w:t>
            </w:r>
          </w:p>
        </w:tc>
      </w:tr>
      <w:tr w:rsidR="00290B32" w:rsidRPr="00290B32" w:rsidTr="004D6BBE">
        <w:trPr>
          <w:gridAfter w:val="1"/>
          <w:wAfter w:w="19" w:type="dxa"/>
          <w:jc w:val="center"/>
        </w:trPr>
        <w:tc>
          <w:tcPr>
            <w:tcW w:w="2657" w:type="dxa"/>
            <w:vAlign w:val="center"/>
          </w:tcPr>
          <w:p w:rsidR="00290B32" w:rsidRPr="00290B32" w:rsidRDefault="00290B32" w:rsidP="00290B3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FREQUENCY OF DATA PUBLICATION</w:t>
            </w:r>
          </w:p>
        </w:tc>
        <w:tc>
          <w:tcPr>
            <w:tcW w:w="6670" w:type="dxa"/>
            <w:gridSpan w:val="4"/>
            <w:vAlign w:val="center"/>
          </w:tcPr>
          <w:p w:rsidR="00290B32" w:rsidRPr="00290B32" w:rsidRDefault="00FC5247" w:rsidP="00FC5247">
            <w:pPr>
              <w:rPr>
                <w:rFonts w:ascii="Garamond" w:eastAsia="Calibri" w:hAnsi="Garamond"/>
                <w:sz w:val="16"/>
                <w:szCs w:val="16"/>
                <w:lang w:eastAsia="en-US" w:bidi="ar-SA"/>
              </w:rPr>
            </w:pPr>
            <w:r>
              <w:rPr>
                <w:rFonts w:ascii="Garamond" w:hAnsi="Garamond"/>
                <w:sz w:val="16"/>
                <w:szCs w:val="16"/>
              </w:rPr>
              <w:t>1x</w:t>
            </w:r>
            <w:r w:rsidR="0035167E" w:rsidRPr="0056213B">
              <w:rPr>
                <w:rFonts w:ascii="Garamond" w:hAnsi="Garamond"/>
                <w:sz w:val="16"/>
                <w:szCs w:val="16"/>
              </w:rPr>
              <w:t xml:space="preserve"> per year, during </w:t>
            </w:r>
            <w:r>
              <w:rPr>
                <w:rFonts w:ascii="Garamond" w:hAnsi="Garamond"/>
                <w:sz w:val="16"/>
                <w:szCs w:val="16"/>
              </w:rPr>
              <w:t>Q1</w:t>
            </w:r>
            <w:r w:rsidR="0035167E" w:rsidRPr="0056213B">
              <w:rPr>
                <w:rFonts w:ascii="Garamond" w:hAnsi="Garamond"/>
                <w:sz w:val="16"/>
                <w:szCs w:val="16"/>
              </w:rPr>
              <w:t>.</w:t>
            </w:r>
          </w:p>
        </w:tc>
      </w:tr>
      <w:tr w:rsidR="00290B32" w:rsidRPr="00290B32" w:rsidTr="004D6BBE">
        <w:trPr>
          <w:gridAfter w:val="1"/>
          <w:wAfter w:w="19" w:type="dxa"/>
          <w:trHeight w:val="800"/>
          <w:jc w:val="center"/>
        </w:trPr>
        <w:tc>
          <w:tcPr>
            <w:tcW w:w="2657" w:type="dxa"/>
            <w:vMerge w:val="restart"/>
            <w:vAlign w:val="center"/>
          </w:tcPr>
          <w:p w:rsidR="00290B32" w:rsidRPr="00290B32" w:rsidRDefault="00290B32" w:rsidP="00290B3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 xml:space="preserve">BRIEF DESCRIPTION </w:t>
            </w:r>
            <w:r w:rsidRPr="0056213B">
              <w:rPr>
                <w:rFonts w:ascii="Garamond" w:eastAsia="Calibri" w:hAnsi="Garamond"/>
                <w:b/>
                <w:caps/>
                <w:sz w:val="16"/>
                <w:szCs w:val="16"/>
                <w:lang w:val="en-GB" w:eastAsia="en-US" w:bidi="ar-SA"/>
              </w:rPr>
              <w:t xml:space="preserve">OF </w:t>
            </w:r>
            <w:r w:rsidRPr="0056213B">
              <w:rPr>
                <w:rFonts w:ascii="Garamond" w:eastAsia="Calibri" w:hAnsi="Garamond"/>
                <w:b/>
                <w:caps/>
                <w:sz w:val="16"/>
                <w:szCs w:val="16"/>
                <w:lang w:val="uz-Cyrl-UZ" w:eastAsia="en-US" w:bidi="ar-SA"/>
              </w:rPr>
              <w:t>PERFORMANCE INDICATOR AND METHODOLOGY (FORMULAS / EQUATIONS)</w:t>
            </w:r>
          </w:p>
        </w:tc>
        <w:tc>
          <w:tcPr>
            <w:tcW w:w="6670" w:type="dxa"/>
            <w:gridSpan w:val="4"/>
            <w:vAlign w:val="center"/>
          </w:tcPr>
          <w:p w:rsidR="0035167E" w:rsidRPr="0056213B" w:rsidRDefault="00FC5247" w:rsidP="00E16F07">
            <w:pPr>
              <w:jc w:val="both"/>
              <w:rPr>
                <w:rFonts w:ascii="Garamond" w:hAnsi="Garamond"/>
                <w:sz w:val="16"/>
                <w:szCs w:val="16"/>
              </w:rPr>
            </w:pPr>
            <w:r w:rsidRPr="0056213B">
              <w:rPr>
                <w:rFonts w:ascii="Garamond" w:hAnsi="Garamond"/>
                <w:sz w:val="16"/>
                <w:szCs w:val="16"/>
              </w:rPr>
              <w:t>Accoun</w:t>
            </w:r>
            <w:r>
              <w:rPr>
                <w:rFonts w:ascii="Garamond" w:hAnsi="Garamond"/>
                <w:sz w:val="16"/>
                <w:szCs w:val="16"/>
              </w:rPr>
              <w:t xml:space="preserve">t </w:t>
            </w:r>
            <w:r w:rsidR="00E16F07">
              <w:rPr>
                <w:rFonts w:ascii="Garamond" w:hAnsi="Garamond"/>
                <w:sz w:val="16"/>
                <w:szCs w:val="16"/>
              </w:rPr>
              <w:t>has been taken of the strategies</w:t>
            </w:r>
            <w:r w:rsidR="0035167E" w:rsidRPr="0056213B">
              <w:rPr>
                <w:rFonts w:ascii="Garamond" w:hAnsi="Garamond"/>
                <w:sz w:val="16"/>
                <w:szCs w:val="16"/>
              </w:rPr>
              <w:t xml:space="preserve"> adopted for a period of 2 years and over, and data, </w:t>
            </w:r>
            <w:r>
              <w:rPr>
                <w:rFonts w:ascii="Garamond" w:hAnsi="Garamond"/>
                <w:sz w:val="16"/>
                <w:szCs w:val="16"/>
              </w:rPr>
              <w:t>until</w:t>
            </w:r>
            <w:r w:rsidR="00E16F07">
              <w:rPr>
                <w:rFonts w:ascii="Garamond" w:hAnsi="Garamond"/>
                <w:sz w:val="16"/>
                <w:szCs w:val="16"/>
              </w:rPr>
              <w:t xml:space="preserve"> their automatic calculation</w:t>
            </w:r>
            <w:r>
              <w:rPr>
                <w:rFonts w:ascii="Garamond" w:hAnsi="Garamond"/>
                <w:sz w:val="16"/>
                <w:szCs w:val="16"/>
              </w:rPr>
              <w:t xml:space="preserve"> based on</w:t>
            </w:r>
            <w:r w:rsidR="00E16F07" w:rsidRPr="0056213B">
              <w:rPr>
                <w:rFonts w:ascii="Garamond" w:hAnsi="Garamond"/>
                <w:sz w:val="16"/>
                <w:szCs w:val="16"/>
              </w:rPr>
              <w:t xml:space="preserve"> </w:t>
            </w:r>
            <w:r>
              <w:rPr>
                <w:rFonts w:ascii="Garamond" w:hAnsi="Garamond"/>
                <w:sz w:val="16"/>
                <w:szCs w:val="16"/>
              </w:rPr>
              <w:t>IT system</w:t>
            </w:r>
            <w:r w:rsidRPr="0056213B">
              <w:rPr>
                <w:rFonts w:ascii="Garamond" w:hAnsi="Garamond"/>
                <w:sz w:val="16"/>
                <w:szCs w:val="16"/>
              </w:rPr>
              <w:t xml:space="preserve"> </w:t>
            </w:r>
            <w:r w:rsidR="00E16F07" w:rsidRPr="0056213B">
              <w:rPr>
                <w:rFonts w:ascii="Garamond" w:hAnsi="Garamond"/>
                <w:sz w:val="16"/>
                <w:szCs w:val="16"/>
              </w:rPr>
              <w:t>database</w:t>
            </w:r>
            <w:r w:rsidR="00E16F07">
              <w:rPr>
                <w:rFonts w:ascii="Garamond" w:hAnsi="Garamond"/>
                <w:sz w:val="16"/>
                <w:szCs w:val="16"/>
              </w:rPr>
              <w:t>, will be</w:t>
            </w:r>
            <w:r w:rsidR="0035167E" w:rsidRPr="0056213B">
              <w:rPr>
                <w:rFonts w:ascii="Garamond" w:hAnsi="Garamond"/>
                <w:sz w:val="16"/>
                <w:szCs w:val="16"/>
              </w:rPr>
              <w:t xml:space="preserve"> calculat</w:t>
            </w:r>
            <w:r w:rsidR="00E16F07">
              <w:rPr>
                <w:rFonts w:ascii="Garamond" w:hAnsi="Garamond"/>
                <w:sz w:val="16"/>
                <w:szCs w:val="16"/>
              </w:rPr>
              <w:t xml:space="preserve">ed </w:t>
            </w:r>
            <w:r w:rsidR="0035167E" w:rsidRPr="0056213B">
              <w:rPr>
                <w:rFonts w:ascii="Garamond" w:hAnsi="Garamond"/>
                <w:sz w:val="16"/>
                <w:szCs w:val="16"/>
              </w:rPr>
              <w:t xml:space="preserve">on the basis of information from the </w:t>
            </w:r>
            <w:r w:rsidR="00A51CC4">
              <w:rPr>
                <w:rFonts w:ascii="Garamond" w:hAnsi="Garamond"/>
                <w:sz w:val="16"/>
                <w:szCs w:val="16"/>
              </w:rPr>
              <w:t xml:space="preserve">budget </w:t>
            </w:r>
            <w:r w:rsidR="0035167E" w:rsidRPr="0056213B">
              <w:rPr>
                <w:rFonts w:ascii="Garamond" w:hAnsi="Garamond"/>
                <w:sz w:val="16"/>
                <w:szCs w:val="16"/>
              </w:rPr>
              <w:t>sector</w:t>
            </w:r>
            <w:r w:rsidR="00A51CC4">
              <w:rPr>
                <w:rFonts w:ascii="Garamond" w:hAnsi="Garamond"/>
                <w:sz w:val="16"/>
                <w:szCs w:val="16"/>
              </w:rPr>
              <w:t>s</w:t>
            </w:r>
            <w:r w:rsidR="0035167E" w:rsidRPr="0056213B">
              <w:rPr>
                <w:rFonts w:ascii="Garamond" w:hAnsi="Garamond"/>
                <w:sz w:val="16"/>
                <w:szCs w:val="16"/>
              </w:rPr>
              <w:t xml:space="preserve"> on the assessment of the fiscal impact</w:t>
            </w:r>
            <w:r w:rsidR="00A51CC4">
              <w:rPr>
                <w:rFonts w:ascii="Garamond" w:hAnsi="Garamond"/>
                <w:sz w:val="16"/>
                <w:szCs w:val="16"/>
              </w:rPr>
              <w:t xml:space="preserve"> of the</w:t>
            </w:r>
            <w:r w:rsidR="0035167E" w:rsidRPr="0056213B">
              <w:rPr>
                <w:rFonts w:ascii="Garamond" w:hAnsi="Garamond"/>
                <w:sz w:val="16"/>
                <w:szCs w:val="16"/>
              </w:rPr>
              <w:t xml:space="preserve"> strate</w:t>
            </w:r>
            <w:r w:rsidR="00A51CC4">
              <w:rPr>
                <w:rFonts w:ascii="Garamond" w:hAnsi="Garamond"/>
                <w:sz w:val="16"/>
                <w:szCs w:val="16"/>
              </w:rPr>
              <w:t>gies</w:t>
            </w:r>
            <w:r w:rsidR="0035167E" w:rsidRPr="0056213B">
              <w:rPr>
                <w:rFonts w:ascii="Garamond" w:hAnsi="Garamond"/>
                <w:sz w:val="16"/>
                <w:szCs w:val="16"/>
              </w:rPr>
              <w:t xml:space="preserve"> wh</w:t>
            </w:r>
            <w:r w:rsidR="00A51CC4">
              <w:rPr>
                <w:rFonts w:ascii="Garamond" w:hAnsi="Garamond"/>
                <w:sz w:val="16"/>
                <w:szCs w:val="16"/>
              </w:rPr>
              <w:t>ich are submitted for opinion, that is,</w:t>
            </w:r>
            <w:r w:rsidR="0035167E" w:rsidRPr="0056213B">
              <w:rPr>
                <w:rFonts w:ascii="Garamond" w:hAnsi="Garamond"/>
                <w:sz w:val="16"/>
                <w:szCs w:val="16"/>
              </w:rPr>
              <w:t xml:space="preserve"> the </w:t>
            </w:r>
            <w:r w:rsidR="00A51CC4">
              <w:rPr>
                <w:rFonts w:ascii="Garamond" w:hAnsi="Garamond"/>
                <w:sz w:val="16"/>
                <w:szCs w:val="16"/>
              </w:rPr>
              <w:t>Regulatory Impact Analysis</w:t>
            </w:r>
            <w:r w:rsidR="0035167E" w:rsidRPr="0056213B">
              <w:rPr>
                <w:rFonts w:ascii="Garamond" w:hAnsi="Garamond"/>
                <w:sz w:val="16"/>
                <w:szCs w:val="16"/>
              </w:rPr>
              <w:t>. Data on the adopted strategies are taken over from the General Secretariat of the Government.</w:t>
            </w:r>
          </w:p>
          <w:p w:rsidR="0035167E" w:rsidRPr="0056213B" w:rsidRDefault="0035167E" w:rsidP="0035167E">
            <w:pPr>
              <w:rPr>
                <w:rFonts w:ascii="Garamond" w:hAnsi="Garamond"/>
                <w:sz w:val="16"/>
                <w:szCs w:val="16"/>
              </w:rPr>
            </w:pPr>
          </w:p>
          <w:p w:rsidR="00290B32" w:rsidRPr="00290B32" w:rsidRDefault="00A51CC4" w:rsidP="00CF2B81">
            <w:pPr>
              <w:jc w:val="both"/>
              <w:rPr>
                <w:rFonts w:ascii="Garamond" w:eastAsia="Calibri" w:hAnsi="Garamond"/>
                <w:sz w:val="16"/>
                <w:szCs w:val="16"/>
                <w:lang w:eastAsia="en-US" w:bidi="ar-SA"/>
              </w:rPr>
            </w:pPr>
            <w:r>
              <w:rPr>
                <w:rFonts w:ascii="Garamond" w:hAnsi="Garamond"/>
                <w:sz w:val="16"/>
                <w:szCs w:val="16"/>
              </w:rPr>
              <w:t>The</w:t>
            </w:r>
            <w:r w:rsidR="0035167E" w:rsidRPr="0056213B">
              <w:rPr>
                <w:rFonts w:ascii="Garamond" w:hAnsi="Garamond"/>
                <w:sz w:val="16"/>
                <w:szCs w:val="16"/>
              </w:rPr>
              <w:t xml:space="preserve"> effect is measured on the basis of the data </w:t>
            </w:r>
            <w:r w:rsidR="00FC5247">
              <w:rPr>
                <w:rFonts w:ascii="Garamond" w:hAnsi="Garamond"/>
                <w:sz w:val="16"/>
                <w:szCs w:val="16"/>
              </w:rPr>
              <w:t>on</w:t>
            </w:r>
            <w:r w:rsidR="0035167E" w:rsidRPr="0056213B">
              <w:rPr>
                <w:rFonts w:ascii="Garamond" w:hAnsi="Garamond"/>
                <w:sz w:val="16"/>
                <w:szCs w:val="16"/>
              </w:rPr>
              <w:t xml:space="preserve"> the strategies adopted in the year concerned</w:t>
            </w:r>
            <w:r w:rsidR="00CF2B81">
              <w:rPr>
                <w:rFonts w:ascii="Garamond" w:hAnsi="Garamond"/>
                <w:sz w:val="16"/>
                <w:szCs w:val="16"/>
              </w:rPr>
              <w:t>;</w:t>
            </w:r>
            <w:r w:rsidR="0035167E" w:rsidRPr="0056213B">
              <w:rPr>
                <w:rFonts w:ascii="Garamond" w:hAnsi="Garamond"/>
                <w:sz w:val="16"/>
                <w:szCs w:val="16"/>
              </w:rPr>
              <w:t xml:space="preserve"> </w:t>
            </w:r>
            <w:r w:rsidRPr="0056213B">
              <w:rPr>
                <w:rFonts w:ascii="Garamond" w:hAnsi="Garamond"/>
                <w:sz w:val="16"/>
                <w:szCs w:val="16"/>
              </w:rPr>
              <w:t>strateg</w:t>
            </w:r>
            <w:r>
              <w:rPr>
                <w:rFonts w:ascii="Garamond" w:hAnsi="Garamond"/>
                <w:sz w:val="16"/>
                <w:szCs w:val="16"/>
              </w:rPr>
              <w:t>ies</w:t>
            </w:r>
            <w:r w:rsidRPr="0056213B">
              <w:rPr>
                <w:rFonts w:ascii="Garamond" w:hAnsi="Garamond"/>
                <w:sz w:val="16"/>
                <w:szCs w:val="16"/>
              </w:rPr>
              <w:t xml:space="preserve"> adopted in the previous period </w:t>
            </w:r>
            <w:r>
              <w:rPr>
                <w:rFonts w:ascii="Garamond" w:hAnsi="Garamond"/>
                <w:sz w:val="16"/>
                <w:szCs w:val="16"/>
              </w:rPr>
              <w:t xml:space="preserve">will </w:t>
            </w:r>
            <w:r w:rsidR="0035167E" w:rsidRPr="0056213B">
              <w:rPr>
                <w:rFonts w:ascii="Garamond" w:hAnsi="Garamond"/>
                <w:sz w:val="16"/>
                <w:szCs w:val="16"/>
              </w:rPr>
              <w:t xml:space="preserve">not </w:t>
            </w:r>
            <w:r>
              <w:rPr>
                <w:rFonts w:ascii="Garamond" w:hAnsi="Garamond"/>
                <w:sz w:val="16"/>
                <w:szCs w:val="16"/>
              </w:rPr>
              <w:t xml:space="preserve">be the </w:t>
            </w:r>
            <w:r w:rsidR="0035167E" w:rsidRPr="0056213B">
              <w:rPr>
                <w:rFonts w:ascii="Garamond" w:hAnsi="Garamond"/>
                <w:sz w:val="16"/>
                <w:szCs w:val="16"/>
              </w:rPr>
              <w:t>subject to consideration. Target value in 2020, and for years afterwards, which is provided in the value of 100%</w:t>
            </w:r>
            <w:r>
              <w:rPr>
                <w:rFonts w:ascii="Garamond" w:hAnsi="Garamond"/>
                <w:sz w:val="16"/>
                <w:szCs w:val="16"/>
              </w:rPr>
              <w:t>,</w:t>
            </w:r>
            <w:r w:rsidR="0035167E" w:rsidRPr="0056213B">
              <w:rPr>
                <w:rFonts w:ascii="Garamond" w:hAnsi="Garamond"/>
                <w:sz w:val="16"/>
                <w:szCs w:val="16"/>
              </w:rPr>
              <w:t xml:space="preserve"> means that every strategy that was adopted in </w:t>
            </w:r>
            <w:proofErr w:type="gramStart"/>
            <w:r w:rsidR="0035167E" w:rsidRPr="0056213B">
              <w:rPr>
                <w:rFonts w:ascii="Garamond" w:hAnsi="Garamond"/>
                <w:sz w:val="16"/>
                <w:szCs w:val="16"/>
              </w:rPr>
              <w:t>2020,</w:t>
            </w:r>
            <w:proofErr w:type="gramEnd"/>
            <w:r w:rsidR="00CF2B81">
              <w:rPr>
                <w:rFonts w:ascii="Garamond" w:hAnsi="Garamond"/>
                <w:sz w:val="16"/>
                <w:szCs w:val="16"/>
              </w:rPr>
              <w:t xml:space="preserve"> </w:t>
            </w:r>
            <w:r w:rsidR="0062456A">
              <w:rPr>
                <w:rFonts w:ascii="Garamond" w:hAnsi="Garamond"/>
                <w:sz w:val="16"/>
                <w:szCs w:val="16"/>
              </w:rPr>
              <w:t xml:space="preserve">will </w:t>
            </w:r>
            <w:r w:rsidR="00CF2B81">
              <w:rPr>
                <w:rFonts w:ascii="Garamond" w:hAnsi="Garamond"/>
                <w:sz w:val="16"/>
                <w:szCs w:val="16"/>
              </w:rPr>
              <w:t>provide</w:t>
            </w:r>
            <w:r>
              <w:rPr>
                <w:rFonts w:ascii="Garamond" w:hAnsi="Garamond"/>
                <w:sz w:val="16"/>
                <w:szCs w:val="16"/>
              </w:rPr>
              <w:t xml:space="preserve"> the</w:t>
            </w:r>
            <w:r w:rsidR="0035167E" w:rsidRPr="0056213B">
              <w:rPr>
                <w:rFonts w:ascii="Garamond" w:hAnsi="Garamond"/>
                <w:sz w:val="16"/>
                <w:szCs w:val="16"/>
              </w:rPr>
              <w:t xml:space="preserve"> esti</w:t>
            </w:r>
            <w:r w:rsidR="0056213B">
              <w:rPr>
                <w:rFonts w:ascii="Garamond" w:hAnsi="Garamond"/>
                <w:sz w:val="16"/>
                <w:szCs w:val="16"/>
              </w:rPr>
              <w:t xml:space="preserve">mate </w:t>
            </w:r>
            <w:r>
              <w:rPr>
                <w:rFonts w:ascii="Garamond" w:hAnsi="Garamond"/>
                <w:sz w:val="16"/>
                <w:szCs w:val="16"/>
              </w:rPr>
              <w:t xml:space="preserve">of </w:t>
            </w:r>
            <w:r w:rsidR="0056213B">
              <w:rPr>
                <w:rFonts w:ascii="Garamond" w:hAnsi="Garamond"/>
                <w:sz w:val="16"/>
                <w:szCs w:val="16"/>
              </w:rPr>
              <w:t>the fiscal impact, while</w:t>
            </w:r>
            <w:r w:rsidR="0035167E" w:rsidRPr="0056213B">
              <w:rPr>
                <w:rFonts w:ascii="Garamond" w:hAnsi="Garamond"/>
                <w:sz w:val="16"/>
                <w:szCs w:val="16"/>
              </w:rPr>
              <w:t xml:space="preserve"> strategies adopted in the previous period should be considered if there is a need for changes and revision</w:t>
            </w:r>
            <w:r w:rsidR="0062456A">
              <w:rPr>
                <w:rFonts w:ascii="Garamond" w:hAnsi="Garamond"/>
                <w:sz w:val="16"/>
                <w:szCs w:val="16"/>
              </w:rPr>
              <w:t>s</w:t>
            </w:r>
            <w:r w:rsidR="0035167E" w:rsidRPr="0056213B">
              <w:rPr>
                <w:rFonts w:ascii="Garamond" w:hAnsi="Garamond"/>
                <w:sz w:val="16"/>
                <w:szCs w:val="16"/>
              </w:rPr>
              <w:t xml:space="preserve"> of the Strategy.</w:t>
            </w:r>
          </w:p>
        </w:tc>
      </w:tr>
      <w:tr w:rsidR="00290B32" w:rsidRPr="00290B32" w:rsidTr="004D6BBE">
        <w:trPr>
          <w:gridAfter w:val="1"/>
          <w:wAfter w:w="19" w:type="dxa"/>
          <w:trHeight w:val="620"/>
          <w:jc w:val="center"/>
        </w:trPr>
        <w:tc>
          <w:tcPr>
            <w:tcW w:w="2657" w:type="dxa"/>
            <w:vMerge/>
            <w:shd w:val="clear" w:color="auto" w:fill="auto"/>
            <w:vAlign w:val="center"/>
          </w:tcPr>
          <w:p w:rsidR="00290B32" w:rsidRPr="00290B32" w:rsidRDefault="00290B32" w:rsidP="00290B32">
            <w:pPr>
              <w:autoSpaceDE/>
              <w:autoSpaceDN/>
              <w:rPr>
                <w:rFonts w:ascii="Garamond" w:eastAsia="Calibri" w:hAnsi="Garamond"/>
                <w:b/>
                <w:i/>
                <w:caps/>
                <w:sz w:val="16"/>
                <w:szCs w:val="16"/>
                <w:lang w:val="uz-Cyrl-UZ" w:eastAsia="en-US" w:bidi="ar-SA"/>
              </w:rPr>
            </w:pPr>
          </w:p>
        </w:tc>
        <w:tc>
          <w:tcPr>
            <w:tcW w:w="6670" w:type="dxa"/>
            <w:gridSpan w:val="4"/>
            <w:shd w:val="clear" w:color="auto" w:fill="BFBFBF"/>
            <w:vAlign w:val="center"/>
          </w:tcPr>
          <w:p w:rsidR="0035167E" w:rsidRPr="004D6BBE" w:rsidRDefault="0035167E" w:rsidP="0056213B">
            <w:pPr>
              <w:jc w:val="center"/>
              <w:rPr>
                <w:rFonts w:ascii="Garamond" w:hAnsi="Garamond"/>
                <w:color w:val="365F91" w:themeColor="accent1" w:themeShade="BF"/>
                <w:sz w:val="16"/>
                <w:szCs w:val="16"/>
              </w:rPr>
            </w:pPr>
            <w:r w:rsidRPr="004D6BBE">
              <w:rPr>
                <w:rFonts w:ascii="Garamond" w:hAnsi="Garamond"/>
                <w:color w:val="365F91" w:themeColor="accent1" w:themeShade="BF"/>
                <w:sz w:val="16"/>
                <w:szCs w:val="16"/>
              </w:rPr>
              <w:t>FORMULA / EQUATION</w:t>
            </w:r>
          </w:p>
          <w:p w:rsidR="0035167E" w:rsidRPr="004D6BBE" w:rsidRDefault="004D6BBE" w:rsidP="004D6BBE">
            <w:pPr>
              <w:jc w:val="center"/>
              <w:rPr>
                <w:rFonts w:ascii="Garamond" w:hAnsi="Garamond"/>
                <w:i/>
                <w:sz w:val="16"/>
                <w:szCs w:val="16"/>
              </w:rPr>
            </w:pPr>
            <w:r w:rsidRPr="004D6BBE">
              <w:rPr>
                <w:rFonts w:ascii="Garamond" w:hAnsi="Garamond"/>
                <w:i/>
                <w:sz w:val="16"/>
                <w:szCs w:val="16"/>
              </w:rPr>
              <w:t>Number of adopted medium-term</w:t>
            </w:r>
            <w:r w:rsidR="0035167E" w:rsidRPr="004D6BBE">
              <w:rPr>
                <w:rFonts w:ascii="Garamond" w:hAnsi="Garamond"/>
                <w:i/>
                <w:sz w:val="16"/>
                <w:szCs w:val="16"/>
              </w:rPr>
              <w:t xml:space="preserve"> s</w:t>
            </w:r>
            <w:r w:rsidRPr="004D6BBE">
              <w:rPr>
                <w:rFonts w:ascii="Garamond" w:hAnsi="Garamond"/>
                <w:i/>
                <w:sz w:val="16"/>
                <w:szCs w:val="16"/>
              </w:rPr>
              <w:t>trategies that contain data on</w:t>
            </w:r>
            <w:r w:rsidR="0035167E" w:rsidRPr="004D6BBE">
              <w:rPr>
                <w:rFonts w:ascii="Garamond" w:hAnsi="Garamond"/>
                <w:i/>
                <w:sz w:val="16"/>
                <w:szCs w:val="16"/>
              </w:rPr>
              <w:t xml:space="preserve"> the total cost estimates for</w:t>
            </w:r>
            <w:r w:rsidR="00CF2B81">
              <w:rPr>
                <w:rFonts w:ascii="Garamond" w:hAnsi="Garamond"/>
                <w:i/>
                <w:sz w:val="16"/>
                <w:szCs w:val="16"/>
              </w:rPr>
              <w:t xml:space="preserve"> implementation in fiscal year </w:t>
            </w:r>
            <w:r w:rsidR="0035167E" w:rsidRPr="004D6BBE">
              <w:rPr>
                <w:rFonts w:ascii="Garamond" w:hAnsi="Garamond"/>
                <w:i/>
                <w:sz w:val="16"/>
                <w:szCs w:val="16"/>
              </w:rPr>
              <w:t>X100 /</w:t>
            </w:r>
          </w:p>
          <w:p w:rsidR="00290B32" w:rsidRPr="00290B32" w:rsidRDefault="0035167E" w:rsidP="004D6BBE">
            <w:pPr>
              <w:jc w:val="center"/>
              <w:rPr>
                <w:rFonts w:ascii="Garamond" w:eastAsia="Calibri" w:hAnsi="Garamond"/>
                <w:sz w:val="16"/>
                <w:szCs w:val="16"/>
                <w:lang w:eastAsia="en-US" w:bidi="ar-SA"/>
              </w:rPr>
            </w:pPr>
            <w:r w:rsidRPr="004D6BBE">
              <w:rPr>
                <w:rFonts w:ascii="Garamond" w:hAnsi="Garamond"/>
                <w:i/>
                <w:sz w:val="16"/>
                <w:szCs w:val="16"/>
              </w:rPr>
              <w:t xml:space="preserve">The </w:t>
            </w:r>
            <w:r w:rsidR="004D6BBE">
              <w:rPr>
                <w:rFonts w:ascii="Garamond" w:hAnsi="Garamond"/>
                <w:i/>
                <w:sz w:val="16"/>
                <w:szCs w:val="16"/>
              </w:rPr>
              <w:t>total number of medium-</w:t>
            </w:r>
            <w:r w:rsidRPr="004D6BBE">
              <w:rPr>
                <w:rFonts w:ascii="Garamond" w:hAnsi="Garamond"/>
                <w:i/>
                <w:sz w:val="16"/>
                <w:szCs w:val="16"/>
              </w:rPr>
              <w:t>term strateg</w:t>
            </w:r>
            <w:r w:rsidR="004D6BBE">
              <w:rPr>
                <w:rFonts w:ascii="Garamond" w:hAnsi="Garamond"/>
                <w:i/>
                <w:sz w:val="16"/>
                <w:szCs w:val="16"/>
              </w:rPr>
              <w:t>ies</w:t>
            </w:r>
            <w:r w:rsidRPr="004D6BBE">
              <w:rPr>
                <w:rFonts w:ascii="Garamond" w:hAnsi="Garamond"/>
                <w:i/>
                <w:sz w:val="16"/>
                <w:szCs w:val="16"/>
              </w:rPr>
              <w:t xml:space="preserve"> adopted in the fiscal year</w:t>
            </w:r>
          </w:p>
        </w:tc>
      </w:tr>
      <w:tr w:rsidR="00290B32" w:rsidRPr="00290B32" w:rsidTr="004D6BBE">
        <w:trPr>
          <w:gridAfter w:val="1"/>
          <w:wAfter w:w="19" w:type="dxa"/>
          <w:trHeight w:val="585"/>
          <w:jc w:val="center"/>
        </w:trPr>
        <w:tc>
          <w:tcPr>
            <w:tcW w:w="2657" w:type="dxa"/>
            <w:vAlign w:val="center"/>
          </w:tcPr>
          <w:p w:rsidR="00290B32" w:rsidRPr="00290B32" w:rsidRDefault="0035167E" w:rsidP="00290B32">
            <w:pPr>
              <w:autoSpaceDE/>
              <w:autoSpaceDN/>
              <w:rPr>
                <w:rFonts w:ascii="Garamond" w:eastAsia="Calibri" w:hAnsi="Garamond"/>
                <w:b/>
                <w:bCs/>
                <w:caps/>
                <w:sz w:val="16"/>
                <w:szCs w:val="16"/>
                <w:lang w:val="en-GB" w:eastAsia="en-US" w:bidi="ar-SA"/>
              </w:rPr>
            </w:pPr>
            <w:r w:rsidRPr="0056213B">
              <w:rPr>
                <w:rFonts w:ascii="Garamond" w:eastAsia="Calibri" w:hAnsi="Garamond"/>
                <w:b/>
                <w:caps/>
                <w:sz w:val="16"/>
                <w:szCs w:val="16"/>
                <w:lang w:val="uz-Cyrl-UZ" w:eastAsia="en-US" w:bidi="ar-SA"/>
              </w:rPr>
              <w:t>BASELINE</w:t>
            </w:r>
            <w:r w:rsidRPr="0056213B">
              <w:rPr>
                <w:rFonts w:ascii="Garamond" w:eastAsia="Calibri" w:hAnsi="Garamond"/>
                <w:b/>
                <w:caps/>
                <w:sz w:val="16"/>
                <w:szCs w:val="16"/>
                <w:lang w:val="en-GB" w:eastAsia="en-US" w:bidi="ar-SA"/>
              </w:rPr>
              <w:t xml:space="preserve"> DATA</w:t>
            </w:r>
          </w:p>
        </w:tc>
        <w:tc>
          <w:tcPr>
            <w:tcW w:w="6670" w:type="dxa"/>
            <w:gridSpan w:val="4"/>
            <w:vAlign w:val="center"/>
          </w:tcPr>
          <w:p w:rsidR="00290B32" w:rsidRPr="00290B32" w:rsidRDefault="00290B32" w:rsidP="00290B32">
            <w:pPr>
              <w:autoSpaceDE/>
              <w:autoSpaceDN/>
              <w:jc w:val="both"/>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PV (2014): 60%</w:t>
            </w:r>
          </w:p>
        </w:tc>
      </w:tr>
      <w:tr w:rsidR="00290B32" w:rsidRPr="00290B32" w:rsidTr="004D6BBE">
        <w:trPr>
          <w:gridAfter w:val="1"/>
          <w:wAfter w:w="19" w:type="dxa"/>
          <w:trHeight w:val="160"/>
          <w:jc w:val="center"/>
        </w:trPr>
        <w:tc>
          <w:tcPr>
            <w:tcW w:w="2657" w:type="dxa"/>
            <w:vMerge w:val="restart"/>
            <w:vAlign w:val="center"/>
          </w:tcPr>
          <w:p w:rsidR="00290B32" w:rsidRPr="00290B32" w:rsidRDefault="0035167E" w:rsidP="00290B32">
            <w:pPr>
              <w:autoSpaceDE/>
              <w:autoSpaceDN/>
              <w:rPr>
                <w:rFonts w:ascii="Garamond" w:eastAsia="Calibri" w:hAnsi="Garamond"/>
                <w:b/>
                <w:bCs/>
                <w:caps/>
                <w:sz w:val="16"/>
                <w:szCs w:val="16"/>
                <w:lang w:val="uz-Cyrl-UZ" w:eastAsia="en-US" w:bidi="ar-SA"/>
              </w:rPr>
            </w:pPr>
            <w:r w:rsidRPr="0056213B">
              <w:rPr>
                <w:rFonts w:ascii="Garamond" w:eastAsia="Calibri" w:hAnsi="Garamond"/>
                <w:b/>
                <w:caps/>
                <w:sz w:val="16"/>
                <w:szCs w:val="16"/>
                <w:lang w:val="uz-Cyrl-UZ" w:eastAsia="en-US" w:bidi="ar-SA"/>
              </w:rPr>
              <w:t>TARGET VALUE DATA</w:t>
            </w:r>
          </w:p>
        </w:tc>
        <w:tc>
          <w:tcPr>
            <w:tcW w:w="1728"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2017</w:t>
            </w:r>
          </w:p>
        </w:tc>
        <w:tc>
          <w:tcPr>
            <w:tcW w:w="1728"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2018</w:t>
            </w:r>
          </w:p>
        </w:tc>
        <w:tc>
          <w:tcPr>
            <w:tcW w:w="1728"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2019</w:t>
            </w:r>
          </w:p>
        </w:tc>
        <w:tc>
          <w:tcPr>
            <w:tcW w:w="1486"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2020</w:t>
            </w:r>
          </w:p>
        </w:tc>
      </w:tr>
      <w:tr w:rsidR="00290B32" w:rsidRPr="00290B32" w:rsidTr="004D6BBE">
        <w:trPr>
          <w:gridAfter w:val="1"/>
          <w:wAfter w:w="19" w:type="dxa"/>
          <w:trHeight w:val="160"/>
          <w:jc w:val="center"/>
        </w:trPr>
        <w:tc>
          <w:tcPr>
            <w:tcW w:w="2657" w:type="dxa"/>
            <w:vMerge/>
            <w:vAlign w:val="center"/>
          </w:tcPr>
          <w:p w:rsidR="00290B32" w:rsidRPr="00290B32" w:rsidRDefault="00290B32" w:rsidP="00290B32">
            <w:pPr>
              <w:autoSpaceDE/>
              <w:autoSpaceDN/>
              <w:rPr>
                <w:rFonts w:ascii="Garamond" w:eastAsia="Calibri" w:hAnsi="Garamond"/>
                <w:b/>
                <w:bCs/>
                <w:caps/>
                <w:sz w:val="16"/>
                <w:szCs w:val="16"/>
                <w:lang w:val="uz-Cyrl-UZ" w:eastAsia="en-US" w:bidi="ar-SA"/>
              </w:rPr>
            </w:pPr>
          </w:p>
        </w:tc>
        <w:tc>
          <w:tcPr>
            <w:tcW w:w="1728"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80%</w:t>
            </w:r>
          </w:p>
        </w:tc>
        <w:tc>
          <w:tcPr>
            <w:tcW w:w="1728"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85%</w:t>
            </w:r>
          </w:p>
        </w:tc>
        <w:tc>
          <w:tcPr>
            <w:tcW w:w="1728"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90%</w:t>
            </w:r>
          </w:p>
        </w:tc>
        <w:tc>
          <w:tcPr>
            <w:tcW w:w="1486"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100%</w:t>
            </w:r>
          </w:p>
        </w:tc>
      </w:tr>
      <w:tr w:rsidR="00290B32" w:rsidRPr="00290B32" w:rsidTr="004D6BBE">
        <w:trPr>
          <w:gridAfter w:val="1"/>
          <w:wAfter w:w="19" w:type="dxa"/>
          <w:trHeight w:val="160"/>
          <w:jc w:val="center"/>
        </w:trPr>
        <w:tc>
          <w:tcPr>
            <w:tcW w:w="2657" w:type="dxa"/>
            <w:vAlign w:val="center"/>
          </w:tcPr>
          <w:p w:rsidR="00290B32" w:rsidRPr="00290B32" w:rsidRDefault="0062456A" w:rsidP="00290B32">
            <w:pPr>
              <w:autoSpaceDE/>
              <w:autoSpaceDN/>
              <w:rPr>
                <w:rFonts w:ascii="Garamond" w:eastAsia="Calibri" w:hAnsi="Garamond"/>
                <w:b/>
                <w:bCs/>
                <w:caps/>
                <w:sz w:val="16"/>
                <w:szCs w:val="16"/>
                <w:lang w:val="uz-Cyrl-UZ" w:eastAsia="en-US" w:bidi="ar-SA"/>
              </w:rPr>
            </w:pPr>
            <w:r>
              <w:rPr>
                <w:rFonts w:ascii="Garamond" w:eastAsia="Calibri" w:hAnsi="Garamond"/>
                <w:b/>
                <w:bCs/>
                <w:caps/>
                <w:sz w:val="16"/>
                <w:szCs w:val="16"/>
                <w:lang w:val="uz-Cyrl-UZ" w:eastAsia="en-US" w:bidi="ar-SA"/>
              </w:rPr>
              <w:t>DATA ON VALUES ACHIEVED</w:t>
            </w:r>
          </w:p>
        </w:tc>
        <w:tc>
          <w:tcPr>
            <w:tcW w:w="1728"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70%</w:t>
            </w:r>
          </w:p>
        </w:tc>
        <w:tc>
          <w:tcPr>
            <w:tcW w:w="1728"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75%</w:t>
            </w:r>
          </w:p>
        </w:tc>
        <w:tc>
          <w:tcPr>
            <w:tcW w:w="1728" w:type="dxa"/>
            <w:vAlign w:val="center"/>
          </w:tcPr>
          <w:p w:rsidR="00290B32" w:rsidRPr="00290B32" w:rsidRDefault="00290B32" w:rsidP="00290B32">
            <w:pPr>
              <w:autoSpaceDE/>
              <w:autoSpaceDN/>
              <w:jc w:val="center"/>
              <w:rPr>
                <w:rFonts w:ascii="Garamond" w:eastAsia="Calibri" w:hAnsi="Garamond"/>
                <w:sz w:val="16"/>
                <w:szCs w:val="16"/>
                <w:lang w:val="sr-Latn-CS" w:eastAsia="en-US" w:bidi="ar-SA"/>
              </w:rPr>
            </w:pPr>
            <w:r w:rsidRPr="00290B32">
              <w:rPr>
                <w:rFonts w:ascii="Garamond" w:eastAsia="Calibri" w:hAnsi="Garamond"/>
                <w:sz w:val="16"/>
                <w:szCs w:val="16"/>
                <w:lang w:val="sr-Latn-CS" w:eastAsia="en-US" w:bidi="ar-SA"/>
              </w:rPr>
              <w:t>85%</w:t>
            </w:r>
          </w:p>
        </w:tc>
        <w:tc>
          <w:tcPr>
            <w:tcW w:w="1486" w:type="dxa"/>
            <w:vAlign w:val="center"/>
          </w:tcPr>
          <w:p w:rsidR="00290B32" w:rsidRPr="00290B32" w:rsidRDefault="00290B32" w:rsidP="00290B3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100%</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CF2B81" w:rsidRDefault="00CF2B81">
      <w:pPr>
        <w:rPr>
          <w:rFonts w:ascii="Garamond" w:hAnsi="Garamond"/>
          <w:sz w:val="24"/>
          <w:szCs w:val="24"/>
        </w:rPr>
      </w:pPr>
      <w:r>
        <w:rPr>
          <w:rFonts w:ascii="Garamond" w:hAnsi="Garamond"/>
          <w:sz w:val="24"/>
          <w:szCs w:val="24"/>
        </w:rPr>
        <w:br w:type="page"/>
      </w:r>
    </w:p>
    <w:p w:rsidR="004D1343" w:rsidRPr="00C32887" w:rsidRDefault="004D1343" w:rsidP="004D1343">
      <w:pPr>
        <w:rPr>
          <w:rFonts w:ascii="Garamond" w:hAnsi="Garamond"/>
          <w:sz w:val="24"/>
          <w:szCs w:val="24"/>
        </w:rPr>
      </w:pPr>
    </w:p>
    <w:p w:rsidR="004D1343" w:rsidRPr="00C32887" w:rsidRDefault="004D1343" w:rsidP="0056213B">
      <w:pPr>
        <w:pStyle w:val="Heading3"/>
        <w:rPr>
          <w:rFonts w:ascii="Garamond" w:hAnsi="Garamond"/>
          <w:sz w:val="24"/>
          <w:szCs w:val="24"/>
        </w:rPr>
      </w:pPr>
      <w:bookmarkStart w:id="36" w:name="_Toc77688213"/>
      <w:r w:rsidRPr="00C32887">
        <w:rPr>
          <w:rFonts w:ascii="Garamond" w:hAnsi="Garamond"/>
          <w:sz w:val="24"/>
          <w:szCs w:val="24"/>
        </w:rPr>
        <w:t xml:space="preserve">1.1.2      </w:t>
      </w:r>
      <w:r w:rsidR="0056213B">
        <w:rPr>
          <w:rFonts w:ascii="Garamond" w:hAnsi="Garamond"/>
          <w:sz w:val="24"/>
          <w:szCs w:val="24"/>
        </w:rPr>
        <w:t xml:space="preserve">PERFORMANCE </w:t>
      </w:r>
      <w:r w:rsidR="0035167E" w:rsidRPr="00C32887">
        <w:rPr>
          <w:rFonts w:ascii="Garamond" w:hAnsi="Garamond"/>
          <w:sz w:val="24"/>
          <w:szCs w:val="24"/>
        </w:rPr>
        <w:t xml:space="preserve">INDICATOR </w:t>
      </w:r>
      <w:r w:rsidR="0056213B">
        <w:rPr>
          <w:rFonts w:ascii="Garamond" w:hAnsi="Garamond"/>
          <w:sz w:val="24"/>
          <w:szCs w:val="24"/>
        </w:rPr>
        <w:t xml:space="preserve">2 </w:t>
      </w:r>
      <w:r w:rsidRPr="00C32887">
        <w:rPr>
          <w:rFonts w:ascii="Garamond" w:hAnsi="Garamond"/>
          <w:sz w:val="24"/>
          <w:szCs w:val="24"/>
        </w:rPr>
        <w:t>PASSPORT</w:t>
      </w:r>
      <w:bookmarkEnd w:id="36"/>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4D6BBE" w:rsidRPr="00290B32" w:rsidTr="002F13B0">
        <w:trPr>
          <w:jc w:val="center"/>
        </w:trPr>
        <w:tc>
          <w:tcPr>
            <w:tcW w:w="2721" w:type="dxa"/>
            <w:tcBorders>
              <w:right w:val="single" w:sz="4" w:space="0" w:color="FFFFFF"/>
            </w:tcBorders>
            <w:shd w:val="clear" w:color="auto" w:fill="BFBFBF"/>
            <w:vAlign w:val="center"/>
          </w:tcPr>
          <w:p w:rsidR="004D6BBE" w:rsidRPr="00290B32" w:rsidRDefault="004D6BBE" w:rsidP="004D6BBE">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4D6BBE" w:rsidRPr="00290B32" w:rsidRDefault="004D6BBE" w:rsidP="004D6BBE">
            <w:pPr>
              <w:pStyle w:val="Default"/>
              <w:jc w:val="both"/>
              <w:rPr>
                <w:rFonts w:ascii="Garamond" w:eastAsia="Calibri" w:hAnsi="Garamond"/>
                <w:b/>
                <w:sz w:val="16"/>
                <w:szCs w:val="16"/>
                <w:lang w:eastAsia="en-US"/>
              </w:rPr>
            </w:pPr>
            <w:r w:rsidRPr="004D6BBE">
              <w:rPr>
                <w:rFonts w:ascii="Garamond" w:hAnsi="Garamond"/>
                <w:iCs/>
                <w:sz w:val="16"/>
                <w:szCs w:val="16"/>
              </w:rPr>
              <w:t xml:space="preserve">Average deviation between MTBF budget ceilings and actual annual budget expenditure limits </w:t>
            </w:r>
          </w:p>
        </w:tc>
      </w:tr>
      <w:tr w:rsidR="004D6BBE" w:rsidRPr="00290B32" w:rsidTr="002F13B0">
        <w:trPr>
          <w:gridAfter w:val="1"/>
          <w:wAfter w:w="19" w:type="dxa"/>
          <w:jc w:val="center"/>
        </w:trPr>
        <w:tc>
          <w:tcPr>
            <w:tcW w:w="2721" w:type="dxa"/>
            <w:vAlign w:val="center"/>
          </w:tcPr>
          <w:p w:rsidR="004D6BBE" w:rsidRPr="00290B32" w:rsidRDefault="004D6BBE" w:rsidP="004D6BBE">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corresponding objective or activity</w:t>
            </w:r>
          </w:p>
        </w:tc>
        <w:tc>
          <w:tcPr>
            <w:tcW w:w="6836" w:type="dxa"/>
            <w:gridSpan w:val="4"/>
            <w:vAlign w:val="center"/>
          </w:tcPr>
          <w:p w:rsidR="004D6BBE" w:rsidRPr="0056213B" w:rsidRDefault="004D6BBE" w:rsidP="004D6BBE">
            <w:pPr>
              <w:rPr>
                <w:rFonts w:ascii="Garamond" w:hAnsi="Garamond"/>
                <w:color w:val="365F91" w:themeColor="accent1" w:themeShade="BF"/>
                <w:sz w:val="16"/>
                <w:szCs w:val="16"/>
              </w:rPr>
            </w:pPr>
            <w:r w:rsidRPr="0056213B">
              <w:rPr>
                <w:rFonts w:ascii="Garamond" w:hAnsi="Garamond"/>
                <w:color w:val="365F91" w:themeColor="accent1" w:themeShade="BF"/>
                <w:sz w:val="16"/>
                <w:szCs w:val="16"/>
              </w:rPr>
              <w:t xml:space="preserve">Sustainable fiscal framework, public </w:t>
            </w:r>
            <w:r>
              <w:rPr>
                <w:rFonts w:ascii="Garamond" w:hAnsi="Garamond"/>
                <w:color w:val="365F91" w:themeColor="accent1" w:themeShade="BF"/>
                <w:sz w:val="16"/>
                <w:szCs w:val="16"/>
              </w:rPr>
              <w:t>expenditure</w:t>
            </w:r>
            <w:r w:rsidRPr="0056213B">
              <w:rPr>
                <w:rFonts w:ascii="Garamond" w:hAnsi="Garamond"/>
                <w:color w:val="365F91" w:themeColor="accent1" w:themeShade="BF"/>
                <w:sz w:val="16"/>
                <w:szCs w:val="16"/>
              </w:rPr>
              <w:t xml:space="preserve"> planning and budgeting</w:t>
            </w:r>
          </w:p>
          <w:p w:rsidR="004D6BBE" w:rsidRPr="0056213B" w:rsidRDefault="004D6BBE" w:rsidP="004D6BBE">
            <w:pPr>
              <w:pStyle w:val="ListParagraph"/>
              <w:numPr>
                <w:ilvl w:val="0"/>
                <w:numId w:val="28"/>
              </w:numPr>
              <w:rPr>
                <w:rFonts w:ascii="Garamond" w:hAnsi="Garamond"/>
                <w:color w:val="365F91" w:themeColor="accent1" w:themeShade="BF"/>
                <w:sz w:val="16"/>
                <w:szCs w:val="16"/>
                <w:u w:val="single"/>
              </w:rPr>
            </w:pPr>
            <w:r w:rsidRPr="0056213B">
              <w:rPr>
                <w:rFonts w:ascii="Garamond" w:hAnsi="Garamond"/>
                <w:color w:val="365F91" w:themeColor="accent1" w:themeShade="BF"/>
                <w:sz w:val="16"/>
                <w:szCs w:val="16"/>
                <w:u w:val="single"/>
              </w:rPr>
              <w:t xml:space="preserve">Medium-term budgetary framework, including fiscal strategy      </w:t>
            </w:r>
          </w:p>
          <w:p w:rsidR="004D6BBE" w:rsidRPr="0056213B" w:rsidRDefault="004D6BBE" w:rsidP="004D6BBE">
            <w:pPr>
              <w:rPr>
                <w:rFonts w:ascii="Garamond" w:hAnsi="Garamond"/>
                <w:sz w:val="16"/>
                <w:szCs w:val="16"/>
              </w:rPr>
            </w:pPr>
          </w:p>
          <w:p w:rsidR="004D6BBE" w:rsidRPr="00290B32" w:rsidRDefault="004D6BBE" w:rsidP="004D6BBE">
            <w:pPr>
              <w:rPr>
                <w:rFonts w:ascii="Garamond" w:eastAsia="Calibri" w:hAnsi="Garamond"/>
                <w:i/>
                <w:sz w:val="16"/>
                <w:szCs w:val="16"/>
                <w:lang w:eastAsia="en-US" w:bidi="ar-SA"/>
              </w:rPr>
            </w:pPr>
            <w:r w:rsidRPr="0056213B">
              <w:rPr>
                <w:rFonts w:ascii="Garamond" w:hAnsi="Garamond"/>
                <w:sz w:val="16"/>
                <w:szCs w:val="16"/>
              </w:rPr>
              <w:t>Medium</w:t>
            </w:r>
            <w:r>
              <w:rPr>
                <w:rFonts w:ascii="Garamond" w:hAnsi="Garamond"/>
                <w:sz w:val="16"/>
                <w:szCs w:val="16"/>
              </w:rPr>
              <w:t>-term</w:t>
            </w:r>
            <w:r w:rsidRPr="0056213B">
              <w:rPr>
                <w:rFonts w:ascii="Garamond" w:hAnsi="Garamond"/>
                <w:sz w:val="16"/>
                <w:szCs w:val="16"/>
              </w:rPr>
              <w:t xml:space="preserve"> bud</w:t>
            </w:r>
            <w:r>
              <w:rPr>
                <w:rFonts w:ascii="Garamond" w:hAnsi="Garamond"/>
                <w:sz w:val="16"/>
                <w:szCs w:val="16"/>
              </w:rPr>
              <w:t xml:space="preserve">getary </w:t>
            </w:r>
            <w:r w:rsidRPr="0056213B">
              <w:rPr>
                <w:rFonts w:ascii="Garamond" w:hAnsi="Garamond"/>
                <w:sz w:val="16"/>
                <w:szCs w:val="16"/>
              </w:rPr>
              <w:t>framework reflects the Government</w:t>
            </w:r>
            <w:r w:rsidR="00C13A74">
              <w:rPr>
                <w:rFonts w:ascii="Garamond" w:hAnsi="Garamond"/>
                <w:sz w:val="16"/>
                <w:szCs w:val="16"/>
              </w:rPr>
              <w:t>’</w:t>
            </w:r>
            <w:r w:rsidRPr="0056213B">
              <w:rPr>
                <w:rFonts w:ascii="Garamond" w:hAnsi="Garamond"/>
                <w:sz w:val="16"/>
                <w:szCs w:val="16"/>
              </w:rPr>
              <w:t>s policy an</w:t>
            </w:r>
            <w:r>
              <w:rPr>
                <w:rFonts w:ascii="Garamond" w:hAnsi="Garamond"/>
                <w:sz w:val="16"/>
                <w:szCs w:val="16"/>
              </w:rPr>
              <w:t xml:space="preserve">d strategic objectives and contains </w:t>
            </w:r>
            <w:r w:rsidRPr="0056213B">
              <w:rPr>
                <w:rFonts w:ascii="Garamond" w:hAnsi="Garamond"/>
                <w:sz w:val="16"/>
                <w:szCs w:val="16"/>
              </w:rPr>
              <w:t>fixed spending limits for all first level</w:t>
            </w:r>
            <w:r>
              <w:rPr>
                <w:rFonts w:ascii="Garamond" w:hAnsi="Garamond"/>
                <w:sz w:val="16"/>
                <w:szCs w:val="16"/>
              </w:rPr>
              <w:t xml:space="preserve"> spending units</w:t>
            </w:r>
          </w:p>
        </w:tc>
      </w:tr>
      <w:tr w:rsidR="004D6BBE" w:rsidRPr="00290B32" w:rsidTr="002F13B0">
        <w:trPr>
          <w:gridAfter w:val="1"/>
          <w:wAfter w:w="19" w:type="dxa"/>
          <w:jc w:val="center"/>
        </w:trPr>
        <w:tc>
          <w:tcPr>
            <w:tcW w:w="2721" w:type="dxa"/>
            <w:vAlign w:val="center"/>
          </w:tcPr>
          <w:p w:rsidR="004D6BBE" w:rsidRPr="00290B32" w:rsidRDefault="004D6BBE" w:rsidP="004D6BBE">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7C41B1" w:rsidRPr="007C41B1" w:rsidRDefault="007C41B1" w:rsidP="007C41B1">
            <w:pPr>
              <w:jc w:val="both"/>
              <w:rPr>
                <w:rFonts w:ascii="Garamond" w:eastAsia="Calibri" w:hAnsi="Garamond"/>
                <w:sz w:val="16"/>
                <w:szCs w:val="16"/>
                <w:lang w:eastAsia="en-US" w:bidi="ar-SA"/>
              </w:rPr>
            </w:pPr>
            <w:r w:rsidRPr="007C41B1">
              <w:rPr>
                <w:rFonts w:ascii="Garamond" w:eastAsia="Calibri" w:hAnsi="Garamond"/>
                <w:sz w:val="16"/>
                <w:szCs w:val="16"/>
                <w:lang w:eastAsia="en-US" w:bidi="ar-SA"/>
              </w:rPr>
              <w:t>Official Gazette, Budget Law, (http://www.mf.gov.me/biblioteka/zakoni),</w:t>
            </w:r>
          </w:p>
          <w:p w:rsidR="004D6BBE" w:rsidRPr="00290B32" w:rsidRDefault="007C41B1" w:rsidP="007C41B1">
            <w:pPr>
              <w:jc w:val="both"/>
              <w:rPr>
                <w:rFonts w:ascii="Garamond" w:eastAsia="Calibri" w:hAnsi="Garamond"/>
                <w:sz w:val="16"/>
                <w:szCs w:val="16"/>
                <w:lang w:eastAsia="en-US" w:bidi="ar-SA"/>
              </w:rPr>
            </w:pPr>
            <w:r w:rsidRPr="007C41B1">
              <w:rPr>
                <w:rFonts w:ascii="Garamond" w:eastAsia="Calibri" w:hAnsi="Garamond"/>
                <w:sz w:val="16"/>
                <w:szCs w:val="16"/>
                <w:lang w:eastAsia="en-US" w:bidi="ar-SA"/>
              </w:rPr>
              <w:t>Macroeconomic and Fiscal Policy Guidelines for the three-year period</w:t>
            </w:r>
          </w:p>
        </w:tc>
      </w:tr>
      <w:tr w:rsidR="004D6BBE" w:rsidRPr="00290B32" w:rsidTr="002F13B0">
        <w:trPr>
          <w:gridAfter w:val="1"/>
          <w:wAfter w:w="19" w:type="dxa"/>
          <w:jc w:val="center"/>
        </w:trPr>
        <w:tc>
          <w:tcPr>
            <w:tcW w:w="2721" w:type="dxa"/>
            <w:vAlign w:val="center"/>
          </w:tcPr>
          <w:p w:rsidR="004D6BBE" w:rsidRPr="00290B32" w:rsidRDefault="004D6BBE" w:rsidP="004D6BBE">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NAME OF DATA COLLECTION HOLDER</w:t>
            </w:r>
          </w:p>
        </w:tc>
        <w:tc>
          <w:tcPr>
            <w:tcW w:w="6836" w:type="dxa"/>
            <w:gridSpan w:val="4"/>
            <w:vAlign w:val="center"/>
          </w:tcPr>
          <w:p w:rsidR="004D6BBE" w:rsidRPr="0056213B" w:rsidRDefault="004D6BBE" w:rsidP="004D6BBE">
            <w:pPr>
              <w:rPr>
                <w:rFonts w:ascii="Garamond" w:hAnsi="Garamond"/>
                <w:sz w:val="16"/>
                <w:szCs w:val="16"/>
              </w:rPr>
            </w:pPr>
            <w:r w:rsidRPr="0056213B">
              <w:rPr>
                <w:rFonts w:ascii="Garamond" w:hAnsi="Garamond"/>
                <w:sz w:val="16"/>
                <w:szCs w:val="16"/>
              </w:rPr>
              <w:t>The Ministr</w:t>
            </w:r>
            <w:r>
              <w:rPr>
                <w:rFonts w:ascii="Garamond" w:hAnsi="Garamond"/>
                <w:sz w:val="16"/>
                <w:szCs w:val="16"/>
              </w:rPr>
              <w:t>y of Finance and Social Welfare</w:t>
            </w:r>
            <w:r w:rsidRPr="0056213B">
              <w:rPr>
                <w:rFonts w:ascii="Garamond" w:hAnsi="Garamond"/>
                <w:sz w:val="16"/>
                <w:szCs w:val="16"/>
              </w:rPr>
              <w:t xml:space="preserve">, Directorate for </w:t>
            </w:r>
            <w:r w:rsidR="00CF2B81">
              <w:rPr>
                <w:rFonts w:ascii="Garamond" w:hAnsi="Garamond"/>
                <w:sz w:val="16"/>
                <w:szCs w:val="16"/>
              </w:rPr>
              <w:t>State</w:t>
            </w:r>
            <w:r w:rsidR="00CF2B81" w:rsidRPr="0056213B">
              <w:rPr>
                <w:rFonts w:ascii="Garamond" w:hAnsi="Garamond"/>
                <w:sz w:val="16"/>
                <w:szCs w:val="16"/>
              </w:rPr>
              <w:t xml:space="preserve"> Budget</w:t>
            </w:r>
          </w:p>
          <w:p w:rsidR="004D6BBE" w:rsidRPr="0056213B" w:rsidRDefault="004D6BBE" w:rsidP="004D6BBE">
            <w:pPr>
              <w:rPr>
                <w:rFonts w:ascii="Garamond" w:hAnsi="Garamond"/>
                <w:sz w:val="16"/>
                <w:szCs w:val="16"/>
              </w:rPr>
            </w:pPr>
            <w:r w:rsidRPr="0056213B">
              <w:rPr>
                <w:rFonts w:ascii="Garamond" w:hAnsi="Garamond"/>
                <w:sz w:val="16"/>
                <w:szCs w:val="16"/>
              </w:rPr>
              <w:t>Tanja Musterović</w:t>
            </w:r>
          </w:p>
          <w:p w:rsidR="004D6BBE" w:rsidRPr="00290B32" w:rsidRDefault="004D6BBE" w:rsidP="004D6BBE">
            <w:pPr>
              <w:rPr>
                <w:rFonts w:ascii="Garamond" w:eastAsia="Calibri" w:hAnsi="Garamond"/>
                <w:sz w:val="16"/>
                <w:szCs w:val="16"/>
                <w:lang w:eastAsia="en-US" w:bidi="ar-SA"/>
              </w:rPr>
            </w:pPr>
            <w:r w:rsidRPr="0056213B">
              <w:rPr>
                <w:rFonts w:ascii="Garamond" w:hAnsi="Garamond"/>
                <w:sz w:val="16"/>
                <w:szCs w:val="16"/>
              </w:rPr>
              <w:t>tanja.musterovic@mif.gov.me</w:t>
            </w:r>
          </w:p>
        </w:tc>
      </w:tr>
      <w:tr w:rsidR="004D6BBE" w:rsidRPr="00290B32" w:rsidTr="002F13B0">
        <w:trPr>
          <w:gridAfter w:val="1"/>
          <w:wAfter w:w="19" w:type="dxa"/>
          <w:jc w:val="center"/>
        </w:trPr>
        <w:tc>
          <w:tcPr>
            <w:tcW w:w="2721" w:type="dxa"/>
            <w:vAlign w:val="center"/>
          </w:tcPr>
          <w:p w:rsidR="004D6BBE" w:rsidRPr="00290B32" w:rsidRDefault="004D6BBE" w:rsidP="004D6BBE">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FREQUENCY OF DATA PUBLICATION</w:t>
            </w:r>
          </w:p>
        </w:tc>
        <w:tc>
          <w:tcPr>
            <w:tcW w:w="6836" w:type="dxa"/>
            <w:gridSpan w:val="4"/>
            <w:vAlign w:val="center"/>
          </w:tcPr>
          <w:p w:rsidR="004D6BBE" w:rsidRPr="00290B32" w:rsidRDefault="004D6BBE" w:rsidP="0062456A">
            <w:pPr>
              <w:rPr>
                <w:rFonts w:ascii="Garamond" w:eastAsia="Calibri" w:hAnsi="Garamond"/>
                <w:sz w:val="16"/>
                <w:szCs w:val="16"/>
                <w:lang w:eastAsia="en-US" w:bidi="ar-SA"/>
              </w:rPr>
            </w:pPr>
            <w:r w:rsidRPr="0056213B">
              <w:rPr>
                <w:rFonts w:ascii="Garamond" w:hAnsi="Garamond"/>
                <w:sz w:val="16"/>
                <w:szCs w:val="16"/>
              </w:rPr>
              <w:t xml:space="preserve">1 </w:t>
            </w:r>
            <w:r w:rsidR="0062456A">
              <w:rPr>
                <w:rFonts w:ascii="Garamond" w:hAnsi="Garamond"/>
                <w:sz w:val="16"/>
                <w:szCs w:val="16"/>
              </w:rPr>
              <w:t>x</w:t>
            </w:r>
            <w:r w:rsidRPr="0056213B">
              <w:rPr>
                <w:rFonts w:ascii="Garamond" w:hAnsi="Garamond"/>
                <w:sz w:val="16"/>
                <w:szCs w:val="16"/>
              </w:rPr>
              <w:t xml:space="preserve"> per year, </w:t>
            </w:r>
            <w:r w:rsidR="007C41B1">
              <w:rPr>
                <w:rFonts w:ascii="Garamond" w:hAnsi="Garamond"/>
                <w:sz w:val="16"/>
                <w:szCs w:val="16"/>
              </w:rPr>
              <w:t xml:space="preserve">Q1 of the previous year </w:t>
            </w:r>
          </w:p>
        </w:tc>
      </w:tr>
      <w:tr w:rsidR="004D6BBE" w:rsidRPr="00290B32" w:rsidTr="002F13B0">
        <w:trPr>
          <w:gridAfter w:val="1"/>
          <w:wAfter w:w="19" w:type="dxa"/>
          <w:trHeight w:val="800"/>
          <w:jc w:val="center"/>
        </w:trPr>
        <w:tc>
          <w:tcPr>
            <w:tcW w:w="2721" w:type="dxa"/>
            <w:vMerge w:val="restart"/>
            <w:vAlign w:val="center"/>
          </w:tcPr>
          <w:p w:rsidR="004D6BBE" w:rsidRPr="00290B32" w:rsidRDefault="004D6BBE" w:rsidP="004D6BBE">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 xml:space="preserve">BRIEF DESCRIPTION </w:t>
            </w:r>
            <w:r w:rsidRPr="0056213B">
              <w:rPr>
                <w:rFonts w:ascii="Garamond" w:eastAsia="Calibri" w:hAnsi="Garamond"/>
                <w:b/>
                <w:caps/>
                <w:sz w:val="16"/>
                <w:szCs w:val="16"/>
                <w:lang w:val="en-GB" w:eastAsia="en-US" w:bidi="ar-SA"/>
              </w:rPr>
              <w:t xml:space="preserve">OF </w:t>
            </w:r>
            <w:r w:rsidRPr="0056213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7C41B1" w:rsidRPr="007C41B1" w:rsidRDefault="007C41B1" w:rsidP="007C41B1">
            <w:pPr>
              <w:jc w:val="both"/>
              <w:rPr>
                <w:rFonts w:ascii="Garamond" w:hAnsi="Garamond"/>
                <w:sz w:val="16"/>
                <w:szCs w:val="16"/>
              </w:rPr>
            </w:pPr>
            <w:r w:rsidRPr="007C41B1">
              <w:rPr>
                <w:rFonts w:ascii="Garamond" w:hAnsi="Garamond"/>
                <w:sz w:val="16"/>
                <w:szCs w:val="16"/>
              </w:rPr>
              <w:t xml:space="preserve">The Macroeconomic and Fiscal Policy Guidelines are used to define </w:t>
            </w:r>
            <w:r w:rsidRPr="004D6BBE">
              <w:rPr>
                <w:rFonts w:ascii="Garamond" w:hAnsi="Garamond"/>
                <w:iCs/>
                <w:sz w:val="16"/>
                <w:szCs w:val="16"/>
              </w:rPr>
              <w:t xml:space="preserve">expenditure </w:t>
            </w:r>
            <w:r w:rsidRPr="007C41B1">
              <w:rPr>
                <w:rFonts w:ascii="Garamond" w:hAnsi="Garamond"/>
                <w:sz w:val="16"/>
                <w:szCs w:val="16"/>
              </w:rPr>
              <w:t xml:space="preserve">limits, which serve as the basis for the preparation of the Budget Law for the fiscal year. Fiscal Policy Guidelines </w:t>
            </w:r>
            <w:r>
              <w:rPr>
                <w:rFonts w:ascii="Garamond" w:hAnsi="Garamond"/>
                <w:sz w:val="16"/>
                <w:szCs w:val="16"/>
              </w:rPr>
              <w:t>are</w:t>
            </w:r>
            <w:r w:rsidRPr="007C41B1">
              <w:rPr>
                <w:rFonts w:ascii="Garamond" w:hAnsi="Garamond"/>
                <w:sz w:val="16"/>
                <w:szCs w:val="16"/>
              </w:rPr>
              <w:t xml:space="preserve"> adopted annually for a period of three years. </w:t>
            </w:r>
            <w:r>
              <w:rPr>
                <w:rFonts w:ascii="Garamond" w:hAnsi="Garamond"/>
                <w:sz w:val="16"/>
                <w:szCs w:val="16"/>
              </w:rPr>
              <w:t>Limits</w:t>
            </w:r>
            <w:r w:rsidRPr="007C41B1">
              <w:rPr>
                <w:rFonts w:ascii="Garamond" w:hAnsi="Garamond"/>
                <w:sz w:val="16"/>
                <w:szCs w:val="16"/>
              </w:rPr>
              <w:t xml:space="preserve"> are binding on the Budget Law for the first year and indicative for the second and third fiscal years.</w:t>
            </w:r>
          </w:p>
          <w:p w:rsidR="007C41B1" w:rsidRPr="007C41B1" w:rsidRDefault="007C41B1" w:rsidP="007C41B1">
            <w:pPr>
              <w:jc w:val="both"/>
              <w:rPr>
                <w:rFonts w:ascii="Garamond" w:hAnsi="Garamond"/>
                <w:sz w:val="16"/>
                <w:szCs w:val="16"/>
              </w:rPr>
            </w:pPr>
            <w:r w:rsidRPr="007C41B1">
              <w:rPr>
                <w:rFonts w:ascii="Garamond" w:hAnsi="Garamond"/>
                <w:sz w:val="16"/>
                <w:szCs w:val="16"/>
              </w:rPr>
              <w:t>The Guidelines are used as an indication of the budget</w:t>
            </w:r>
            <w:r>
              <w:rPr>
                <w:rFonts w:ascii="Garamond" w:hAnsi="Garamond"/>
                <w:sz w:val="16"/>
                <w:szCs w:val="16"/>
              </w:rPr>
              <w:t>ary</w:t>
            </w:r>
            <w:r w:rsidRPr="007C41B1">
              <w:rPr>
                <w:rFonts w:ascii="Garamond" w:hAnsi="Garamond"/>
                <w:sz w:val="16"/>
                <w:szCs w:val="16"/>
              </w:rPr>
              <w:t xml:space="preserve"> framework and limits on central government budget spending for the current budget, state fund budget, capital budget, budget reserves and budget </w:t>
            </w:r>
            <w:r>
              <w:rPr>
                <w:rFonts w:ascii="Garamond" w:hAnsi="Garamond"/>
                <w:sz w:val="16"/>
                <w:szCs w:val="16"/>
              </w:rPr>
              <w:t>expenditure</w:t>
            </w:r>
            <w:r w:rsidRPr="007C41B1">
              <w:rPr>
                <w:rFonts w:ascii="Garamond" w:hAnsi="Garamond"/>
                <w:sz w:val="16"/>
                <w:szCs w:val="16"/>
              </w:rPr>
              <w:t xml:space="preserve"> limit for </w:t>
            </w:r>
            <w:r w:rsidR="00EA7717">
              <w:rPr>
                <w:rFonts w:ascii="Garamond" w:hAnsi="Garamond"/>
                <w:sz w:val="16"/>
                <w:szCs w:val="16"/>
              </w:rPr>
              <w:t xml:space="preserve">first </w:t>
            </w:r>
            <w:r>
              <w:rPr>
                <w:rFonts w:ascii="Garamond" w:hAnsi="Garamond"/>
                <w:sz w:val="16"/>
                <w:szCs w:val="16"/>
              </w:rPr>
              <w:t>level</w:t>
            </w:r>
            <w:r w:rsidRPr="007C41B1">
              <w:rPr>
                <w:rFonts w:ascii="Garamond" w:hAnsi="Garamond"/>
                <w:sz w:val="16"/>
                <w:szCs w:val="16"/>
              </w:rPr>
              <w:t xml:space="preserve"> spending units, with the exception of de</w:t>
            </w:r>
            <w:r>
              <w:rPr>
                <w:rFonts w:ascii="Garamond" w:hAnsi="Garamond"/>
                <w:sz w:val="16"/>
                <w:szCs w:val="16"/>
              </w:rPr>
              <w:t>bt and interest repayment costs</w:t>
            </w:r>
            <w:r w:rsidRPr="007C41B1">
              <w:rPr>
                <w:rFonts w:ascii="Garamond" w:hAnsi="Garamond"/>
                <w:sz w:val="16"/>
                <w:szCs w:val="16"/>
              </w:rPr>
              <w:t xml:space="preserve">, </w:t>
            </w:r>
            <w:r w:rsidR="002F13B0">
              <w:rPr>
                <w:rFonts w:ascii="Garamond" w:hAnsi="Garamond"/>
                <w:sz w:val="16"/>
                <w:szCs w:val="16"/>
              </w:rPr>
              <w:t xml:space="preserve">donation costs, </w:t>
            </w:r>
            <w:r w:rsidRPr="007C41B1">
              <w:rPr>
                <w:rFonts w:ascii="Garamond" w:hAnsi="Garamond"/>
                <w:sz w:val="16"/>
                <w:szCs w:val="16"/>
              </w:rPr>
              <w:t xml:space="preserve">co-financing costs and costs for financing material damage caused by natural disasters and other emergencies and unforeseen </w:t>
            </w:r>
            <w:r w:rsidR="002F13B0">
              <w:rPr>
                <w:rFonts w:ascii="Garamond" w:hAnsi="Garamond"/>
                <w:sz w:val="16"/>
                <w:szCs w:val="16"/>
              </w:rPr>
              <w:t>events</w:t>
            </w:r>
            <w:r w:rsidRPr="007C41B1">
              <w:rPr>
                <w:rFonts w:ascii="Garamond" w:hAnsi="Garamond"/>
                <w:sz w:val="16"/>
                <w:szCs w:val="16"/>
              </w:rPr>
              <w:t>.</w:t>
            </w:r>
          </w:p>
          <w:p w:rsidR="004D6BBE" w:rsidRPr="00290B32" w:rsidRDefault="007C41B1" w:rsidP="002F13B0">
            <w:pPr>
              <w:jc w:val="both"/>
              <w:rPr>
                <w:rFonts w:ascii="Garamond" w:eastAsia="Calibri" w:hAnsi="Garamond"/>
                <w:sz w:val="16"/>
                <w:szCs w:val="16"/>
                <w:lang w:eastAsia="en-US" w:bidi="ar-SA"/>
              </w:rPr>
            </w:pPr>
            <w:r w:rsidRPr="007C41B1">
              <w:rPr>
                <w:rFonts w:ascii="Garamond" w:hAnsi="Garamond"/>
                <w:sz w:val="16"/>
                <w:szCs w:val="16"/>
              </w:rPr>
              <w:t xml:space="preserve">The </w:t>
            </w:r>
            <w:r w:rsidR="002F13B0">
              <w:rPr>
                <w:rFonts w:ascii="Garamond" w:hAnsi="Garamond"/>
                <w:sz w:val="16"/>
                <w:szCs w:val="16"/>
              </w:rPr>
              <w:t>expenditure</w:t>
            </w:r>
            <w:r w:rsidRPr="007C41B1">
              <w:rPr>
                <w:rFonts w:ascii="Garamond" w:hAnsi="Garamond"/>
                <w:sz w:val="16"/>
                <w:szCs w:val="16"/>
              </w:rPr>
              <w:t xml:space="preserve"> limit for the corresponding year is compared with the amounts planned in the Budget Law for the corresponding year, e. g. if we ask for deviations in 2020, the data from the Budget Law for 2020 are compared with the data on limits from the </w:t>
            </w:r>
            <w:r w:rsidR="002F13B0" w:rsidRPr="007C41B1">
              <w:rPr>
                <w:rFonts w:ascii="Garamond" w:hAnsi="Garamond"/>
                <w:sz w:val="16"/>
                <w:szCs w:val="16"/>
              </w:rPr>
              <w:t>2019-2022</w:t>
            </w:r>
            <w:r w:rsidR="002F13B0">
              <w:rPr>
                <w:rFonts w:ascii="Garamond" w:hAnsi="Garamond"/>
                <w:sz w:val="16"/>
                <w:szCs w:val="16"/>
              </w:rPr>
              <w:t xml:space="preserve"> </w:t>
            </w:r>
            <w:r w:rsidRPr="007C41B1">
              <w:rPr>
                <w:rFonts w:ascii="Garamond" w:hAnsi="Garamond"/>
                <w:sz w:val="16"/>
                <w:szCs w:val="16"/>
              </w:rPr>
              <w:t>Guidelines.</w:t>
            </w:r>
          </w:p>
        </w:tc>
      </w:tr>
      <w:tr w:rsidR="004D6BBE" w:rsidRPr="00290B32" w:rsidTr="002F13B0">
        <w:trPr>
          <w:gridAfter w:val="1"/>
          <w:wAfter w:w="19" w:type="dxa"/>
          <w:trHeight w:val="620"/>
          <w:jc w:val="center"/>
        </w:trPr>
        <w:tc>
          <w:tcPr>
            <w:tcW w:w="2721" w:type="dxa"/>
            <w:vMerge/>
            <w:shd w:val="clear" w:color="auto" w:fill="auto"/>
            <w:vAlign w:val="center"/>
          </w:tcPr>
          <w:p w:rsidR="004D6BBE" w:rsidRPr="00290B32" w:rsidRDefault="004D6BBE" w:rsidP="004D6BBE">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4D6BBE" w:rsidRPr="004D6BBE" w:rsidRDefault="004D6BBE" w:rsidP="004D6BBE">
            <w:pPr>
              <w:jc w:val="center"/>
              <w:rPr>
                <w:rFonts w:ascii="Garamond" w:hAnsi="Garamond"/>
                <w:color w:val="365F91" w:themeColor="accent1" w:themeShade="BF"/>
                <w:sz w:val="16"/>
                <w:szCs w:val="16"/>
              </w:rPr>
            </w:pPr>
            <w:r w:rsidRPr="004D6BBE">
              <w:rPr>
                <w:rFonts w:ascii="Garamond" w:hAnsi="Garamond"/>
                <w:color w:val="365F91" w:themeColor="accent1" w:themeShade="BF"/>
                <w:sz w:val="16"/>
                <w:szCs w:val="16"/>
              </w:rPr>
              <w:t>FORMULA / EQUATION</w:t>
            </w:r>
          </w:p>
          <w:p w:rsidR="004D6BBE" w:rsidRPr="00290B32" w:rsidRDefault="002F13B0" w:rsidP="002F13B0">
            <w:pPr>
              <w:jc w:val="center"/>
              <w:rPr>
                <w:rFonts w:ascii="Garamond" w:eastAsia="Calibri" w:hAnsi="Garamond"/>
                <w:sz w:val="16"/>
                <w:szCs w:val="16"/>
                <w:lang w:eastAsia="en-US" w:bidi="ar-SA"/>
              </w:rPr>
            </w:pPr>
            <w:r w:rsidRPr="002F13B0">
              <w:rPr>
                <w:rFonts w:ascii="Garamond" w:hAnsi="Garamond"/>
                <w:i/>
                <w:sz w:val="16"/>
                <w:szCs w:val="16"/>
              </w:rPr>
              <w:t xml:space="preserve">(amount according to the </w:t>
            </w:r>
            <w:r w:rsidR="00CF2B81" w:rsidRPr="002F13B0">
              <w:rPr>
                <w:rFonts w:ascii="Garamond" w:hAnsi="Garamond"/>
                <w:i/>
                <w:sz w:val="16"/>
                <w:szCs w:val="16"/>
              </w:rPr>
              <w:t xml:space="preserve">Budget Law </w:t>
            </w:r>
            <w:r w:rsidRPr="002F13B0">
              <w:rPr>
                <w:rFonts w:ascii="Garamond" w:hAnsi="Garamond"/>
                <w:i/>
                <w:sz w:val="16"/>
                <w:szCs w:val="16"/>
              </w:rPr>
              <w:t xml:space="preserve">- amount of </w:t>
            </w:r>
            <w:r>
              <w:rPr>
                <w:rFonts w:ascii="Garamond" w:hAnsi="Garamond"/>
                <w:i/>
                <w:sz w:val="16"/>
                <w:szCs w:val="16"/>
              </w:rPr>
              <w:t>expenditure</w:t>
            </w:r>
            <w:r w:rsidRPr="002F13B0">
              <w:rPr>
                <w:rFonts w:ascii="Garamond" w:hAnsi="Garamond"/>
                <w:i/>
                <w:sz w:val="16"/>
                <w:szCs w:val="16"/>
              </w:rPr>
              <w:t xml:space="preserve"> limit) / Amount according to the </w:t>
            </w:r>
            <w:r w:rsidR="00CF2B81" w:rsidRPr="002F13B0">
              <w:rPr>
                <w:rFonts w:ascii="Garamond" w:hAnsi="Garamond"/>
                <w:i/>
                <w:sz w:val="16"/>
                <w:szCs w:val="16"/>
              </w:rPr>
              <w:t xml:space="preserve">Budget Law </w:t>
            </w:r>
            <w:r w:rsidRPr="002F13B0">
              <w:rPr>
                <w:rFonts w:ascii="Garamond" w:hAnsi="Garamond"/>
                <w:i/>
                <w:sz w:val="16"/>
                <w:szCs w:val="16"/>
              </w:rPr>
              <w:t>* 100</w:t>
            </w:r>
          </w:p>
        </w:tc>
      </w:tr>
      <w:tr w:rsidR="004D6BBE" w:rsidRPr="00290B32" w:rsidTr="002F13B0">
        <w:trPr>
          <w:gridAfter w:val="1"/>
          <w:wAfter w:w="19" w:type="dxa"/>
          <w:trHeight w:val="585"/>
          <w:jc w:val="center"/>
        </w:trPr>
        <w:tc>
          <w:tcPr>
            <w:tcW w:w="2721" w:type="dxa"/>
            <w:vAlign w:val="center"/>
          </w:tcPr>
          <w:p w:rsidR="004D6BBE" w:rsidRPr="00290B32" w:rsidRDefault="004D6BBE" w:rsidP="004D6BBE">
            <w:pPr>
              <w:autoSpaceDE/>
              <w:autoSpaceDN/>
              <w:rPr>
                <w:rFonts w:ascii="Garamond" w:eastAsia="Calibri" w:hAnsi="Garamond"/>
                <w:b/>
                <w:bCs/>
                <w:caps/>
                <w:sz w:val="16"/>
                <w:szCs w:val="16"/>
                <w:lang w:val="en-GB" w:eastAsia="en-US" w:bidi="ar-SA"/>
              </w:rPr>
            </w:pPr>
            <w:r w:rsidRPr="0056213B">
              <w:rPr>
                <w:rFonts w:ascii="Garamond" w:eastAsia="Calibri" w:hAnsi="Garamond"/>
                <w:b/>
                <w:caps/>
                <w:sz w:val="16"/>
                <w:szCs w:val="16"/>
                <w:lang w:val="uz-Cyrl-UZ" w:eastAsia="en-US" w:bidi="ar-SA"/>
              </w:rPr>
              <w:t>BASELINE</w:t>
            </w:r>
            <w:r w:rsidRPr="0056213B">
              <w:rPr>
                <w:rFonts w:ascii="Garamond" w:eastAsia="Calibri" w:hAnsi="Garamond"/>
                <w:b/>
                <w:caps/>
                <w:sz w:val="16"/>
                <w:szCs w:val="16"/>
                <w:lang w:val="en-GB" w:eastAsia="en-US" w:bidi="ar-SA"/>
              </w:rPr>
              <w:t xml:space="preserve"> DATA</w:t>
            </w:r>
          </w:p>
        </w:tc>
        <w:tc>
          <w:tcPr>
            <w:tcW w:w="6836" w:type="dxa"/>
            <w:gridSpan w:val="4"/>
            <w:vAlign w:val="center"/>
          </w:tcPr>
          <w:p w:rsidR="004D6BBE" w:rsidRPr="00290B32" w:rsidRDefault="004D6BBE" w:rsidP="00BF1639">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 xml:space="preserve">PV (2014): </w:t>
            </w:r>
            <w:r w:rsidR="002F13B0">
              <w:rPr>
                <w:rFonts w:ascii="Garamond" w:eastAsia="Calibri" w:hAnsi="Garamond"/>
                <w:sz w:val="16"/>
                <w:szCs w:val="16"/>
                <w:lang w:val="en-GB" w:eastAsia="en-US" w:bidi="ar-SA"/>
              </w:rPr>
              <w:t>9</w:t>
            </w:r>
            <w:r w:rsidRPr="00290B32">
              <w:rPr>
                <w:rFonts w:ascii="Garamond" w:eastAsia="Calibri" w:hAnsi="Garamond"/>
                <w:sz w:val="16"/>
                <w:szCs w:val="16"/>
                <w:lang w:val="uz-Cyrl-UZ" w:eastAsia="en-US" w:bidi="ar-SA"/>
              </w:rPr>
              <w:t>%</w:t>
            </w:r>
          </w:p>
        </w:tc>
      </w:tr>
      <w:tr w:rsidR="004D6BBE" w:rsidRPr="00290B32" w:rsidTr="002F13B0">
        <w:trPr>
          <w:gridAfter w:val="1"/>
          <w:wAfter w:w="19" w:type="dxa"/>
          <w:trHeight w:val="160"/>
          <w:jc w:val="center"/>
        </w:trPr>
        <w:tc>
          <w:tcPr>
            <w:tcW w:w="2721" w:type="dxa"/>
            <w:vMerge w:val="restart"/>
            <w:vAlign w:val="center"/>
          </w:tcPr>
          <w:p w:rsidR="004D6BBE" w:rsidRPr="00290B32" w:rsidRDefault="004D6BBE" w:rsidP="004D6BBE">
            <w:pPr>
              <w:autoSpaceDE/>
              <w:autoSpaceDN/>
              <w:rPr>
                <w:rFonts w:ascii="Garamond" w:eastAsia="Calibri" w:hAnsi="Garamond"/>
                <w:b/>
                <w:bCs/>
                <w:caps/>
                <w:sz w:val="16"/>
                <w:szCs w:val="16"/>
                <w:lang w:val="uz-Cyrl-UZ" w:eastAsia="en-US" w:bidi="ar-SA"/>
              </w:rPr>
            </w:pPr>
            <w:r w:rsidRPr="0056213B">
              <w:rPr>
                <w:rFonts w:ascii="Garamond" w:eastAsia="Calibri" w:hAnsi="Garamond"/>
                <w:b/>
                <w:caps/>
                <w:sz w:val="16"/>
                <w:szCs w:val="16"/>
                <w:lang w:val="uz-Cyrl-UZ" w:eastAsia="en-US" w:bidi="ar-SA"/>
              </w:rPr>
              <w:t>TARGET VALUE DATA</w:t>
            </w:r>
          </w:p>
        </w:tc>
        <w:tc>
          <w:tcPr>
            <w:tcW w:w="1771" w:type="dxa"/>
            <w:vAlign w:val="center"/>
          </w:tcPr>
          <w:p w:rsidR="004D6BBE" w:rsidRPr="00290B32" w:rsidRDefault="004D6BBE" w:rsidP="004D6BBE">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2017</w:t>
            </w:r>
          </w:p>
        </w:tc>
        <w:tc>
          <w:tcPr>
            <w:tcW w:w="1771" w:type="dxa"/>
            <w:vAlign w:val="center"/>
          </w:tcPr>
          <w:p w:rsidR="004D6BBE" w:rsidRPr="00290B32" w:rsidRDefault="004D6BBE" w:rsidP="004D6BBE">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2018</w:t>
            </w:r>
          </w:p>
        </w:tc>
        <w:tc>
          <w:tcPr>
            <w:tcW w:w="1771" w:type="dxa"/>
            <w:vAlign w:val="center"/>
          </w:tcPr>
          <w:p w:rsidR="004D6BBE" w:rsidRPr="00290B32" w:rsidRDefault="004D6BBE" w:rsidP="004D6BBE">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2019</w:t>
            </w:r>
          </w:p>
        </w:tc>
        <w:tc>
          <w:tcPr>
            <w:tcW w:w="1523" w:type="dxa"/>
            <w:vAlign w:val="center"/>
          </w:tcPr>
          <w:p w:rsidR="004D6BBE" w:rsidRPr="00290B32" w:rsidRDefault="004D6BBE" w:rsidP="004D6BBE">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2020</w:t>
            </w:r>
          </w:p>
        </w:tc>
      </w:tr>
      <w:tr w:rsidR="002F13B0" w:rsidRPr="00290B32" w:rsidTr="002F13B0">
        <w:trPr>
          <w:gridAfter w:val="1"/>
          <w:wAfter w:w="19" w:type="dxa"/>
          <w:trHeight w:val="160"/>
          <w:jc w:val="center"/>
        </w:trPr>
        <w:tc>
          <w:tcPr>
            <w:tcW w:w="2721" w:type="dxa"/>
            <w:vMerge/>
            <w:vAlign w:val="center"/>
          </w:tcPr>
          <w:p w:rsidR="002F13B0" w:rsidRPr="00290B32" w:rsidRDefault="002F13B0" w:rsidP="004D6BBE">
            <w:pPr>
              <w:autoSpaceDE/>
              <w:autoSpaceDN/>
              <w:rPr>
                <w:rFonts w:ascii="Garamond" w:eastAsia="Calibri" w:hAnsi="Garamond"/>
                <w:b/>
                <w:bCs/>
                <w:caps/>
                <w:sz w:val="16"/>
                <w:szCs w:val="16"/>
                <w:lang w:val="uz-Cyrl-UZ" w:eastAsia="en-US" w:bidi="ar-SA"/>
              </w:rPr>
            </w:pPr>
          </w:p>
        </w:tc>
        <w:tc>
          <w:tcPr>
            <w:tcW w:w="1771" w:type="dxa"/>
            <w:vAlign w:val="center"/>
          </w:tcPr>
          <w:p w:rsidR="002F13B0" w:rsidRPr="00AE0CB3" w:rsidRDefault="002F13B0" w:rsidP="00D43372">
            <w:pPr>
              <w:pStyle w:val="TabelaTekst"/>
              <w:spacing w:before="0" w:after="0" w:line="240" w:lineRule="auto"/>
              <w:jc w:val="center"/>
              <w:rPr>
                <w:rFonts w:ascii="Garamond" w:hAnsi="Garamond"/>
              </w:rPr>
            </w:pPr>
            <w:r w:rsidRPr="00AE0CB3">
              <w:rPr>
                <w:rFonts w:ascii="Garamond" w:hAnsi="Garamond"/>
              </w:rPr>
              <w:t>7%</w:t>
            </w:r>
          </w:p>
        </w:tc>
        <w:tc>
          <w:tcPr>
            <w:tcW w:w="1771" w:type="dxa"/>
            <w:vAlign w:val="center"/>
          </w:tcPr>
          <w:p w:rsidR="002F13B0" w:rsidRPr="00AE0CB3" w:rsidRDefault="002F13B0" w:rsidP="00D43372">
            <w:pPr>
              <w:pStyle w:val="TabelaTekst"/>
              <w:spacing w:before="0" w:after="0" w:line="240" w:lineRule="auto"/>
              <w:jc w:val="center"/>
              <w:rPr>
                <w:rFonts w:ascii="Garamond" w:hAnsi="Garamond"/>
              </w:rPr>
            </w:pPr>
            <w:r w:rsidRPr="00AE0CB3">
              <w:rPr>
                <w:rFonts w:ascii="Garamond" w:hAnsi="Garamond"/>
              </w:rPr>
              <w:t>6%</w:t>
            </w:r>
          </w:p>
        </w:tc>
        <w:tc>
          <w:tcPr>
            <w:tcW w:w="1771" w:type="dxa"/>
            <w:vAlign w:val="center"/>
          </w:tcPr>
          <w:p w:rsidR="002F13B0" w:rsidRPr="00AE0CB3" w:rsidRDefault="002F13B0" w:rsidP="00D43372">
            <w:pPr>
              <w:pStyle w:val="TabelaTekst"/>
              <w:spacing w:before="0" w:after="0" w:line="240" w:lineRule="auto"/>
              <w:jc w:val="center"/>
              <w:rPr>
                <w:rFonts w:ascii="Garamond" w:hAnsi="Garamond"/>
              </w:rPr>
            </w:pPr>
            <w:r w:rsidRPr="00AE0CB3">
              <w:rPr>
                <w:rFonts w:ascii="Garamond" w:hAnsi="Garamond"/>
              </w:rPr>
              <w:t>5%</w:t>
            </w:r>
          </w:p>
        </w:tc>
        <w:tc>
          <w:tcPr>
            <w:tcW w:w="1523" w:type="dxa"/>
            <w:vAlign w:val="center"/>
          </w:tcPr>
          <w:p w:rsidR="002F13B0" w:rsidRPr="00AE0CB3" w:rsidRDefault="002F13B0" w:rsidP="00D43372">
            <w:pPr>
              <w:pStyle w:val="TabelaTekst"/>
              <w:spacing w:before="0" w:after="0" w:line="240" w:lineRule="auto"/>
              <w:jc w:val="center"/>
              <w:rPr>
                <w:rFonts w:ascii="Garamond" w:hAnsi="Garamond"/>
              </w:rPr>
            </w:pPr>
            <w:r w:rsidRPr="00AE0CB3">
              <w:rPr>
                <w:rFonts w:ascii="Garamond" w:hAnsi="Garamond"/>
              </w:rPr>
              <w:t>5%</w:t>
            </w:r>
          </w:p>
        </w:tc>
      </w:tr>
      <w:tr w:rsidR="002F13B0" w:rsidRPr="00290B32" w:rsidTr="002F13B0">
        <w:trPr>
          <w:gridAfter w:val="1"/>
          <w:wAfter w:w="19" w:type="dxa"/>
          <w:trHeight w:val="160"/>
          <w:jc w:val="center"/>
        </w:trPr>
        <w:tc>
          <w:tcPr>
            <w:tcW w:w="2721" w:type="dxa"/>
            <w:vAlign w:val="center"/>
          </w:tcPr>
          <w:p w:rsidR="002F13B0" w:rsidRPr="00290B32" w:rsidRDefault="0062456A" w:rsidP="004D6BBE">
            <w:pPr>
              <w:autoSpaceDE/>
              <w:autoSpaceDN/>
              <w:rPr>
                <w:rFonts w:ascii="Garamond" w:eastAsia="Calibri" w:hAnsi="Garamond"/>
                <w:b/>
                <w:bCs/>
                <w:caps/>
                <w:sz w:val="16"/>
                <w:szCs w:val="16"/>
                <w:lang w:val="uz-Cyrl-UZ" w:eastAsia="en-US" w:bidi="ar-SA"/>
              </w:rPr>
            </w:pPr>
            <w:r>
              <w:rPr>
                <w:rFonts w:ascii="Garamond" w:eastAsia="Calibri" w:hAnsi="Garamond"/>
                <w:b/>
                <w:bCs/>
                <w:caps/>
                <w:sz w:val="16"/>
                <w:szCs w:val="16"/>
                <w:lang w:val="uz-Cyrl-UZ" w:eastAsia="en-US" w:bidi="ar-SA"/>
              </w:rPr>
              <w:t>DATA ON VALUES ACHIEVED</w:t>
            </w:r>
          </w:p>
        </w:tc>
        <w:tc>
          <w:tcPr>
            <w:tcW w:w="1771" w:type="dxa"/>
            <w:vAlign w:val="center"/>
          </w:tcPr>
          <w:p w:rsidR="002F13B0" w:rsidRPr="00AE0CB3" w:rsidRDefault="002F13B0" w:rsidP="00D43372">
            <w:pPr>
              <w:pStyle w:val="TabelaTekst"/>
              <w:spacing w:before="0" w:after="0" w:line="240" w:lineRule="auto"/>
              <w:jc w:val="center"/>
              <w:rPr>
                <w:rFonts w:ascii="Garamond" w:hAnsi="Garamond"/>
              </w:rPr>
            </w:pPr>
            <w:r w:rsidRPr="00AE0CB3">
              <w:rPr>
                <w:rFonts w:ascii="Garamond" w:hAnsi="Garamond"/>
              </w:rPr>
              <w:t>6%</w:t>
            </w:r>
          </w:p>
        </w:tc>
        <w:tc>
          <w:tcPr>
            <w:tcW w:w="1771" w:type="dxa"/>
            <w:vAlign w:val="center"/>
          </w:tcPr>
          <w:p w:rsidR="002F13B0" w:rsidRPr="00AE0CB3" w:rsidRDefault="002F13B0" w:rsidP="00D43372">
            <w:pPr>
              <w:pStyle w:val="TabelaTekst"/>
              <w:spacing w:before="0" w:after="0" w:line="240" w:lineRule="auto"/>
              <w:jc w:val="center"/>
              <w:rPr>
                <w:rFonts w:ascii="Garamond" w:hAnsi="Garamond"/>
              </w:rPr>
            </w:pPr>
            <w:r w:rsidRPr="00AE0CB3">
              <w:rPr>
                <w:rFonts w:ascii="Garamond" w:hAnsi="Garamond"/>
              </w:rPr>
              <w:t>0</w:t>
            </w:r>
            <w:r>
              <w:rPr>
                <w:rFonts w:ascii="Garamond" w:hAnsi="Garamond"/>
              </w:rPr>
              <w:t>.</w:t>
            </w:r>
            <w:r w:rsidRPr="00AE0CB3">
              <w:rPr>
                <w:rFonts w:ascii="Garamond" w:hAnsi="Garamond"/>
              </w:rPr>
              <w:t>87%</w:t>
            </w:r>
          </w:p>
        </w:tc>
        <w:tc>
          <w:tcPr>
            <w:tcW w:w="1771" w:type="dxa"/>
            <w:vAlign w:val="center"/>
          </w:tcPr>
          <w:p w:rsidR="002F13B0" w:rsidRPr="00AE0CB3" w:rsidRDefault="002F13B0" w:rsidP="00D43372">
            <w:pPr>
              <w:pStyle w:val="TabelaTekst"/>
              <w:spacing w:before="0" w:after="0" w:line="240" w:lineRule="auto"/>
              <w:jc w:val="center"/>
              <w:rPr>
                <w:rFonts w:ascii="Garamond" w:hAnsi="Garamond"/>
                <w:lang w:val="sr-Latn-CS"/>
              </w:rPr>
            </w:pPr>
            <w:r w:rsidRPr="00AE0CB3">
              <w:rPr>
                <w:rFonts w:ascii="Garamond" w:hAnsi="Garamond"/>
                <w:lang w:val="sr-Latn-CS"/>
              </w:rPr>
              <w:t>0</w:t>
            </w:r>
            <w:r>
              <w:rPr>
                <w:rFonts w:ascii="Garamond" w:hAnsi="Garamond"/>
                <w:lang w:val="sr-Latn-CS"/>
              </w:rPr>
              <w:t>.</w:t>
            </w:r>
            <w:r w:rsidRPr="00AE0CB3">
              <w:rPr>
                <w:rFonts w:ascii="Garamond" w:hAnsi="Garamond"/>
                <w:lang w:val="sr-Latn-CS"/>
              </w:rPr>
              <w:t>11%</w:t>
            </w:r>
          </w:p>
        </w:tc>
        <w:tc>
          <w:tcPr>
            <w:tcW w:w="1523" w:type="dxa"/>
            <w:vAlign w:val="center"/>
          </w:tcPr>
          <w:p w:rsidR="002F13B0" w:rsidRPr="00AE0CB3" w:rsidRDefault="002F13B0" w:rsidP="00D43372">
            <w:pPr>
              <w:pStyle w:val="TabelaTekst"/>
              <w:spacing w:before="0" w:after="0" w:line="240" w:lineRule="auto"/>
              <w:jc w:val="center"/>
              <w:rPr>
                <w:rFonts w:ascii="Garamond" w:hAnsi="Garamond"/>
              </w:rPr>
            </w:pPr>
            <w:r w:rsidRPr="00AE0CB3">
              <w:rPr>
                <w:rFonts w:ascii="Garamond" w:hAnsi="Garamond"/>
                <w:szCs w:val="18"/>
              </w:rPr>
              <w:t>2</w:t>
            </w:r>
            <w:r>
              <w:rPr>
                <w:rFonts w:ascii="Garamond" w:hAnsi="Garamond"/>
                <w:szCs w:val="18"/>
              </w:rPr>
              <w:t>.</w:t>
            </w:r>
            <w:r w:rsidRPr="00AE0CB3">
              <w:rPr>
                <w:rFonts w:ascii="Garamond" w:hAnsi="Garamond"/>
                <w:szCs w:val="18"/>
              </w:rPr>
              <w:t>13%</w:t>
            </w:r>
          </w:p>
        </w:tc>
      </w:tr>
    </w:tbl>
    <w:p w:rsidR="004D6BBE" w:rsidRDefault="004D6BBE" w:rsidP="004D1343">
      <w:pPr>
        <w:rPr>
          <w:rFonts w:ascii="Garamond" w:hAnsi="Garamond"/>
          <w:sz w:val="24"/>
          <w:szCs w:val="24"/>
        </w:rPr>
      </w:pPr>
    </w:p>
    <w:p w:rsidR="004D1343" w:rsidRPr="00C32887" w:rsidRDefault="004D1343" w:rsidP="002F13B0">
      <w:pPr>
        <w:pStyle w:val="Heading3"/>
        <w:rPr>
          <w:rFonts w:ascii="Garamond" w:hAnsi="Garamond"/>
          <w:sz w:val="24"/>
          <w:szCs w:val="24"/>
        </w:rPr>
      </w:pPr>
      <w:bookmarkStart w:id="37" w:name="_Toc77688214"/>
      <w:r w:rsidRPr="00C32887">
        <w:rPr>
          <w:rFonts w:ascii="Garamond" w:hAnsi="Garamond"/>
          <w:sz w:val="24"/>
          <w:szCs w:val="24"/>
        </w:rPr>
        <w:t>1.1.3      PERFORMANCE INDICATOR 3</w:t>
      </w:r>
      <w:r w:rsidR="002F13B0" w:rsidRPr="002F13B0">
        <w:rPr>
          <w:rFonts w:ascii="Garamond" w:hAnsi="Garamond"/>
          <w:sz w:val="24"/>
          <w:szCs w:val="24"/>
        </w:rPr>
        <w:t xml:space="preserve"> </w:t>
      </w:r>
      <w:r w:rsidR="002F13B0" w:rsidRPr="00C32887">
        <w:rPr>
          <w:rFonts w:ascii="Garamond" w:hAnsi="Garamond"/>
          <w:sz w:val="24"/>
          <w:szCs w:val="24"/>
        </w:rPr>
        <w:t>PASSPORT</w:t>
      </w:r>
      <w:bookmarkEnd w:id="37"/>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2F13B0" w:rsidRPr="00290B32" w:rsidTr="00D43372">
        <w:trPr>
          <w:jc w:val="center"/>
        </w:trPr>
        <w:tc>
          <w:tcPr>
            <w:tcW w:w="2721" w:type="dxa"/>
            <w:tcBorders>
              <w:right w:val="single" w:sz="4" w:space="0" w:color="FFFFFF"/>
            </w:tcBorders>
            <w:shd w:val="clear" w:color="auto" w:fill="BFBFBF"/>
            <w:vAlign w:val="center"/>
          </w:tcPr>
          <w:p w:rsidR="002F13B0" w:rsidRPr="00290B32" w:rsidRDefault="002F13B0" w:rsidP="00D43372">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2F13B0" w:rsidRPr="002F13B0" w:rsidRDefault="002F13B0" w:rsidP="002F13B0">
            <w:pPr>
              <w:pStyle w:val="Default"/>
              <w:jc w:val="both"/>
              <w:rPr>
                <w:rFonts w:ascii="Garamond" w:eastAsia="Calibri" w:hAnsi="Garamond"/>
                <w:b/>
                <w:sz w:val="16"/>
                <w:szCs w:val="16"/>
                <w:lang w:eastAsia="en-US"/>
              </w:rPr>
            </w:pPr>
            <w:r w:rsidRPr="002F13B0">
              <w:rPr>
                <w:rFonts w:ascii="Garamond" w:hAnsi="Garamond"/>
                <w:iCs/>
                <w:sz w:val="18"/>
                <w:szCs w:val="18"/>
              </w:rPr>
              <w:t xml:space="preserve">Number of staff trained for top-down medium-term budget planning </w:t>
            </w:r>
          </w:p>
        </w:tc>
      </w:tr>
      <w:tr w:rsidR="002F13B0" w:rsidRPr="00290B32" w:rsidTr="00D43372">
        <w:trPr>
          <w:gridAfter w:val="1"/>
          <w:wAfter w:w="19" w:type="dxa"/>
          <w:jc w:val="center"/>
        </w:trPr>
        <w:tc>
          <w:tcPr>
            <w:tcW w:w="2721" w:type="dxa"/>
            <w:vAlign w:val="center"/>
          </w:tcPr>
          <w:p w:rsidR="002F13B0" w:rsidRPr="00290B32" w:rsidRDefault="002F13B0" w:rsidP="00D43372">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corresponding objective or activity</w:t>
            </w:r>
          </w:p>
        </w:tc>
        <w:tc>
          <w:tcPr>
            <w:tcW w:w="6836" w:type="dxa"/>
            <w:gridSpan w:val="4"/>
            <w:vAlign w:val="center"/>
          </w:tcPr>
          <w:p w:rsidR="002F13B0" w:rsidRPr="0056213B" w:rsidRDefault="002F13B0" w:rsidP="00D43372">
            <w:pPr>
              <w:rPr>
                <w:rFonts w:ascii="Garamond" w:hAnsi="Garamond"/>
                <w:color w:val="365F91" w:themeColor="accent1" w:themeShade="BF"/>
                <w:sz w:val="16"/>
                <w:szCs w:val="16"/>
              </w:rPr>
            </w:pPr>
            <w:r w:rsidRPr="0056213B">
              <w:rPr>
                <w:rFonts w:ascii="Garamond" w:hAnsi="Garamond"/>
                <w:color w:val="365F91" w:themeColor="accent1" w:themeShade="BF"/>
                <w:sz w:val="16"/>
                <w:szCs w:val="16"/>
              </w:rPr>
              <w:t xml:space="preserve">Sustainable fiscal framework, public </w:t>
            </w:r>
            <w:r>
              <w:rPr>
                <w:rFonts w:ascii="Garamond" w:hAnsi="Garamond"/>
                <w:color w:val="365F91" w:themeColor="accent1" w:themeShade="BF"/>
                <w:sz w:val="16"/>
                <w:szCs w:val="16"/>
              </w:rPr>
              <w:t>expenditure</w:t>
            </w:r>
            <w:r w:rsidRPr="0056213B">
              <w:rPr>
                <w:rFonts w:ascii="Garamond" w:hAnsi="Garamond"/>
                <w:color w:val="365F91" w:themeColor="accent1" w:themeShade="BF"/>
                <w:sz w:val="16"/>
                <w:szCs w:val="16"/>
              </w:rPr>
              <w:t xml:space="preserve"> planning and budgeting</w:t>
            </w:r>
          </w:p>
          <w:p w:rsidR="002F13B0" w:rsidRPr="0056213B" w:rsidRDefault="002F13B0" w:rsidP="00D43372">
            <w:pPr>
              <w:pStyle w:val="ListParagraph"/>
              <w:numPr>
                <w:ilvl w:val="0"/>
                <w:numId w:val="28"/>
              </w:numPr>
              <w:rPr>
                <w:rFonts w:ascii="Garamond" w:hAnsi="Garamond"/>
                <w:color w:val="365F91" w:themeColor="accent1" w:themeShade="BF"/>
                <w:sz w:val="16"/>
                <w:szCs w:val="16"/>
                <w:u w:val="single"/>
              </w:rPr>
            </w:pPr>
            <w:r w:rsidRPr="0056213B">
              <w:rPr>
                <w:rFonts w:ascii="Garamond" w:hAnsi="Garamond"/>
                <w:color w:val="365F91" w:themeColor="accent1" w:themeShade="BF"/>
                <w:sz w:val="16"/>
                <w:szCs w:val="16"/>
                <w:u w:val="single"/>
              </w:rPr>
              <w:t xml:space="preserve">Medium-term budgetary framework, including fiscal strategy      </w:t>
            </w:r>
          </w:p>
          <w:p w:rsidR="002F13B0" w:rsidRPr="0056213B" w:rsidRDefault="002F13B0" w:rsidP="00D43372">
            <w:pPr>
              <w:rPr>
                <w:rFonts w:ascii="Garamond" w:hAnsi="Garamond"/>
                <w:sz w:val="16"/>
                <w:szCs w:val="16"/>
              </w:rPr>
            </w:pPr>
          </w:p>
          <w:p w:rsidR="002F13B0" w:rsidRPr="00290B32" w:rsidRDefault="002F13B0" w:rsidP="00D43372">
            <w:pPr>
              <w:rPr>
                <w:rFonts w:ascii="Garamond" w:eastAsia="Calibri" w:hAnsi="Garamond"/>
                <w:i/>
                <w:sz w:val="16"/>
                <w:szCs w:val="16"/>
                <w:lang w:eastAsia="en-US" w:bidi="ar-SA"/>
              </w:rPr>
            </w:pPr>
            <w:r w:rsidRPr="0056213B">
              <w:rPr>
                <w:rFonts w:ascii="Garamond" w:hAnsi="Garamond"/>
                <w:sz w:val="16"/>
                <w:szCs w:val="16"/>
              </w:rPr>
              <w:t>Medium</w:t>
            </w:r>
            <w:r>
              <w:rPr>
                <w:rFonts w:ascii="Garamond" w:hAnsi="Garamond"/>
                <w:sz w:val="16"/>
                <w:szCs w:val="16"/>
              </w:rPr>
              <w:t>-term</w:t>
            </w:r>
            <w:r w:rsidRPr="0056213B">
              <w:rPr>
                <w:rFonts w:ascii="Garamond" w:hAnsi="Garamond"/>
                <w:sz w:val="16"/>
                <w:szCs w:val="16"/>
              </w:rPr>
              <w:t xml:space="preserve"> bud</w:t>
            </w:r>
            <w:r>
              <w:rPr>
                <w:rFonts w:ascii="Garamond" w:hAnsi="Garamond"/>
                <w:sz w:val="16"/>
                <w:szCs w:val="16"/>
              </w:rPr>
              <w:t xml:space="preserve">getary </w:t>
            </w:r>
            <w:r w:rsidRPr="0056213B">
              <w:rPr>
                <w:rFonts w:ascii="Garamond" w:hAnsi="Garamond"/>
                <w:sz w:val="16"/>
                <w:szCs w:val="16"/>
              </w:rPr>
              <w:t>framework reflects the Government</w:t>
            </w:r>
            <w:r w:rsidR="00C13A74">
              <w:rPr>
                <w:rFonts w:ascii="Garamond" w:hAnsi="Garamond"/>
                <w:sz w:val="16"/>
                <w:szCs w:val="16"/>
              </w:rPr>
              <w:t>’</w:t>
            </w:r>
            <w:r w:rsidRPr="0056213B">
              <w:rPr>
                <w:rFonts w:ascii="Garamond" w:hAnsi="Garamond"/>
                <w:sz w:val="16"/>
                <w:szCs w:val="16"/>
              </w:rPr>
              <w:t>s policy an</w:t>
            </w:r>
            <w:r>
              <w:rPr>
                <w:rFonts w:ascii="Garamond" w:hAnsi="Garamond"/>
                <w:sz w:val="16"/>
                <w:szCs w:val="16"/>
              </w:rPr>
              <w:t xml:space="preserve">d strategic objectives and contains </w:t>
            </w:r>
            <w:r w:rsidRPr="0056213B">
              <w:rPr>
                <w:rFonts w:ascii="Garamond" w:hAnsi="Garamond"/>
                <w:sz w:val="16"/>
                <w:szCs w:val="16"/>
              </w:rPr>
              <w:t>fixed spending limits for all first level</w:t>
            </w:r>
            <w:r>
              <w:rPr>
                <w:rFonts w:ascii="Garamond" w:hAnsi="Garamond"/>
                <w:sz w:val="16"/>
                <w:szCs w:val="16"/>
              </w:rPr>
              <w:t xml:space="preserve"> spending units</w:t>
            </w:r>
          </w:p>
        </w:tc>
      </w:tr>
      <w:tr w:rsidR="002F13B0" w:rsidRPr="00290B32" w:rsidTr="00D43372">
        <w:trPr>
          <w:gridAfter w:val="1"/>
          <w:wAfter w:w="19" w:type="dxa"/>
          <w:jc w:val="center"/>
        </w:trPr>
        <w:tc>
          <w:tcPr>
            <w:tcW w:w="2721" w:type="dxa"/>
            <w:vAlign w:val="center"/>
          </w:tcPr>
          <w:p w:rsidR="002F13B0" w:rsidRPr="00290B32" w:rsidRDefault="002F13B0"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2F13B0" w:rsidRPr="00290B32" w:rsidRDefault="005E24BA" w:rsidP="00D43372">
            <w:pPr>
              <w:jc w:val="both"/>
              <w:rPr>
                <w:rFonts w:ascii="Garamond" w:eastAsia="Calibri" w:hAnsi="Garamond"/>
                <w:sz w:val="16"/>
                <w:szCs w:val="16"/>
                <w:lang w:eastAsia="en-US" w:bidi="ar-SA"/>
              </w:rPr>
            </w:pPr>
            <w:r w:rsidRPr="005E24BA">
              <w:rPr>
                <w:rFonts w:ascii="Garamond" w:eastAsia="Calibri" w:hAnsi="Garamond"/>
                <w:sz w:val="16"/>
                <w:szCs w:val="16"/>
                <w:lang w:eastAsia="en-US" w:bidi="ar-SA"/>
              </w:rPr>
              <w:t xml:space="preserve">Ministry of Finance and Social Welfare, Directorate for State Budget and Spending Units, beneficiaries who attended the training, based on a database maintained by the Ministry of Finance and Social Welfare, Directorate for State Budget. </w:t>
            </w:r>
            <w:r w:rsidRPr="005E24BA">
              <w:rPr>
                <w:rFonts w:ascii="Garamond" w:eastAsia="Calibri" w:hAnsi="Garamond"/>
                <w:sz w:val="16"/>
                <w:szCs w:val="16"/>
                <w:u w:val="single"/>
                <w:lang w:eastAsia="en-US" w:bidi="ar-SA"/>
              </w:rPr>
              <w:t>The source of data is the Ministry of Finance and Social Welfare</w:t>
            </w:r>
          </w:p>
        </w:tc>
      </w:tr>
      <w:tr w:rsidR="002F13B0" w:rsidRPr="00290B32" w:rsidTr="00D43372">
        <w:trPr>
          <w:gridAfter w:val="1"/>
          <w:wAfter w:w="19" w:type="dxa"/>
          <w:jc w:val="center"/>
        </w:trPr>
        <w:tc>
          <w:tcPr>
            <w:tcW w:w="2721" w:type="dxa"/>
            <w:vAlign w:val="center"/>
          </w:tcPr>
          <w:p w:rsidR="002F13B0" w:rsidRPr="00290B32" w:rsidRDefault="002F13B0"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NAME OF DATA COLLECTION HOLDER</w:t>
            </w:r>
          </w:p>
        </w:tc>
        <w:tc>
          <w:tcPr>
            <w:tcW w:w="6836" w:type="dxa"/>
            <w:gridSpan w:val="4"/>
            <w:vAlign w:val="center"/>
          </w:tcPr>
          <w:p w:rsidR="002F13B0" w:rsidRPr="0056213B" w:rsidRDefault="002F13B0" w:rsidP="00D43372">
            <w:pPr>
              <w:rPr>
                <w:rFonts w:ascii="Garamond" w:hAnsi="Garamond"/>
                <w:sz w:val="16"/>
                <w:szCs w:val="16"/>
              </w:rPr>
            </w:pPr>
            <w:r w:rsidRPr="0056213B">
              <w:rPr>
                <w:rFonts w:ascii="Garamond" w:hAnsi="Garamond"/>
                <w:sz w:val="16"/>
                <w:szCs w:val="16"/>
              </w:rPr>
              <w:t>The Ministr</w:t>
            </w:r>
            <w:r>
              <w:rPr>
                <w:rFonts w:ascii="Garamond" w:hAnsi="Garamond"/>
                <w:sz w:val="16"/>
                <w:szCs w:val="16"/>
              </w:rPr>
              <w:t>y of Finance and Social Welfare</w:t>
            </w:r>
            <w:r w:rsidRPr="0056213B">
              <w:rPr>
                <w:rFonts w:ascii="Garamond" w:hAnsi="Garamond"/>
                <w:sz w:val="16"/>
                <w:szCs w:val="16"/>
              </w:rPr>
              <w:t xml:space="preserve">, Directorate for </w:t>
            </w:r>
            <w:r w:rsidR="005E24BA">
              <w:rPr>
                <w:rFonts w:ascii="Garamond" w:hAnsi="Garamond"/>
                <w:sz w:val="16"/>
                <w:szCs w:val="16"/>
              </w:rPr>
              <w:t>State</w:t>
            </w:r>
            <w:r w:rsidR="005E24BA" w:rsidRPr="0056213B">
              <w:rPr>
                <w:rFonts w:ascii="Garamond" w:hAnsi="Garamond"/>
                <w:sz w:val="16"/>
                <w:szCs w:val="16"/>
              </w:rPr>
              <w:t xml:space="preserve"> Budget</w:t>
            </w:r>
          </w:p>
          <w:p w:rsidR="002F13B0" w:rsidRPr="0056213B" w:rsidRDefault="002F13B0" w:rsidP="00D43372">
            <w:pPr>
              <w:rPr>
                <w:rFonts w:ascii="Garamond" w:hAnsi="Garamond"/>
                <w:sz w:val="16"/>
                <w:szCs w:val="16"/>
              </w:rPr>
            </w:pPr>
            <w:r w:rsidRPr="0056213B">
              <w:rPr>
                <w:rFonts w:ascii="Garamond" w:hAnsi="Garamond"/>
                <w:sz w:val="16"/>
                <w:szCs w:val="16"/>
              </w:rPr>
              <w:t>Tanja Musterović</w:t>
            </w:r>
          </w:p>
          <w:p w:rsidR="002F13B0" w:rsidRPr="00290B32" w:rsidRDefault="002F13B0" w:rsidP="00D43372">
            <w:pPr>
              <w:rPr>
                <w:rFonts w:ascii="Garamond" w:eastAsia="Calibri" w:hAnsi="Garamond"/>
                <w:sz w:val="16"/>
                <w:szCs w:val="16"/>
                <w:lang w:eastAsia="en-US" w:bidi="ar-SA"/>
              </w:rPr>
            </w:pPr>
            <w:r w:rsidRPr="0056213B">
              <w:rPr>
                <w:rFonts w:ascii="Garamond" w:hAnsi="Garamond"/>
                <w:sz w:val="16"/>
                <w:szCs w:val="16"/>
              </w:rPr>
              <w:t>tanja.musterovic@mif.gov.me</w:t>
            </w:r>
          </w:p>
        </w:tc>
      </w:tr>
      <w:tr w:rsidR="002F13B0" w:rsidRPr="00290B32" w:rsidTr="00D43372">
        <w:trPr>
          <w:gridAfter w:val="1"/>
          <w:wAfter w:w="19" w:type="dxa"/>
          <w:jc w:val="center"/>
        </w:trPr>
        <w:tc>
          <w:tcPr>
            <w:tcW w:w="2721" w:type="dxa"/>
            <w:vAlign w:val="center"/>
          </w:tcPr>
          <w:p w:rsidR="002F13B0" w:rsidRPr="00290B32" w:rsidRDefault="002F13B0"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FREQUENCY OF DATA PUBLICATION</w:t>
            </w:r>
          </w:p>
        </w:tc>
        <w:tc>
          <w:tcPr>
            <w:tcW w:w="6836" w:type="dxa"/>
            <w:gridSpan w:val="4"/>
            <w:vAlign w:val="center"/>
          </w:tcPr>
          <w:p w:rsidR="002F13B0" w:rsidRPr="00290B32" w:rsidRDefault="002F13B0" w:rsidP="00BF1639">
            <w:pPr>
              <w:rPr>
                <w:rFonts w:ascii="Garamond" w:eastAsia="Calibri" w:hAnsi="Garamond"/>
                <w:sz w:val="16"/>
                <w:szCs w:val="16"/>
                <w:lang w:eastAsia="en-US" w:bidi="ar-SA"/>
              </w:rPr>
            </w:pPr>
            <w:r w:rsidRPr="0056213B">
              <w:rPr>
                <w:rFonts w:ascii="Garamond" w:hAnsi="Garamond"/>
                <w:sz w:val="16"/>
                <w:szCs w:val="16"/>
              </w:rPr>
              <w:t xml:space="preserve">1 </w:t>
            </w:r>
            <w:r w:rsidR="00BF1639">
              <w:rPr>
                <w:rFonts w:ascii="Garamond" w:hAnsi="Garamond"/>
                <w:sz w:val="16"/>
                <w:szCs w:val="16"/>
              </w:rPr>
              <w:t>x</w:t>
            </w:r>
            <w:r w:rsidRPr="0056213B">
              <w:rPr>
                <w:rFonts w:ascii="Garamond" w:hAnsi="Garamond"/>
                <w:sz w:val="16"/>
                <w:szCs w:val="16"/>
              </w:rPr>
              <w:t xml:space="preserve"> per year, </w:t>
            </w:r>
            <w:r>
              <w:rPr>
                <w:rFonts w:ascii="Garamond" w:hAnsi="Garamond"/>
                <w:sz w:val="16"/>
                <w:szCs w:val="16"/>
              </w:rPr>
              <w:t xml:space="preserve">Q1 </w:t>
            </w:r>
            <w:r w:rsidR="005E24BA">
              <w:rPr>
                <w:rFonts w:ascii="Garamond" w:hAnsi="Garamond"/>
                <w:sz w:val="16"/>
                <w:szCs w:val="16"/>
              </w:rPr>
              <w:t>for the training delivered in</w:t>
            </w:r>
            <w:r>
              <w:rPr>
                <w:rFonts w:ascii="Garamond" w:hAnsi="Garamond"/>
                <w:sz w:val="16"/>
                <w:szCs w:val="16"/>
              </w:rPr>
              <w:t xml:space="preserve"> the previous year </w:t>
            </w:r>
          </w:p>
        </w:tc>
      </w:tr>
      <w:tr w:rsidR="002F13B0" w:rsidRPr="00290B32" w:rsidTr="00D43372">
        <w:trPr>
          <w:gridAfter w:val="1"/>
          <w:wAfter w:w="19" w:type="dxa"/>
          <w:trHeight w:val="800"/>
          <w:jc w:val="center"/>
        </w:trPr>
        <w:tc>
          <w:tcPr>
            <w:tcW w:w="2721" w:type="dxa"/>
            <w:vMerge w:val="restart"/>
            <w:vAlign w:val="center"/>
          </w:tcPr>
          <w:p w:rsidR="002F13B0" w:rsidRPr="00290B32" w:rsidRDefault="002F13B0"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 xml:space="preserve">BRIEF DESCRIPTION </w:t>
            </w:r>
            <w:r w:rsidRPr="0056213B">
              <w:rPr>
                <w:rFonts w:ascii="Garamond" w:eastAsia="Calibri" w:hAnsi="Garamond"/>
                <w:b/>
                <w:caps/>
                <w:sz w:val="16"/>
                <w:szCs w:val="16"/>
                <w:lang w:val="en-GB" w:eastAsia="en-US" w:bidi="ar-SA"/>
              </w:rPr>
              <w:t xml:space="preserve">OF </w:t>
            </w:r>
            <w:r w:rsidRPr="0056213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2F13B0" w:rsidRPr="00290B32" w:rsidRDefault="005E24BA" w:rsidP="00466ADE">
            <w:pPr>
              <w:jc w:val="both"/>
              <w:rPr>
                <w:rFonts w:ascii="Garamond" w:eastAsia="Calibri" w:hAnsi="Garamond"/>
                <w:sz w:val="16"/>
                <w:szCs w:val="16"/>
                <w:lang w:eastAsia="en-US" w:bidi="ar-SA"/>
              </w:rPr>
            </w:pPr>
            <w:r w:rsidRPr="005E24BA">
              <w:rPr>
                <w:rFonts w:ascii="Garamond" w:hAnsi="Garamond"/>
                <w:sz w:val="16"/>
                <w:szCs w:val="16"/>
              </w:rPr>
              <w:t>The Public Financ</w:t>
            </w:r>
            <w:r>
              <w:rPr>
                <w:rFonts w:ascii="Garamond" w:hAnsi="Garamond"/>
                <w:sz w:val="16"/>
                <w:szCs w:val="16"/>
              </w:rPr>
              <w:t xml:space="preserve">e </w:t>
            </w:r>
            <w:r w:rsidRPr="005E24BA">
              <w:rPr>
                <w:rFonts w:ascii="Garamond" w:hAnsi="Garamond"/>
                <w:sz w:val="16"/>
                <w:szCs w:val="16"/>
              </w:rPr>
              <w:t>Management Reform Program</w:t>
            </w:r>
            <w:r>
              <w:rPr>
                <w:rFonts w:ascii="Garamond" w:hAnsi="Garamond"/>
                <w:sz w:val="16"/>
                <w:szCs w:val="16"/>
              </w:rPr>
              <w:t>me</w:t>
            </w:r>
            <w:r w:rsidRPr="005E24BA">
              <w:rPr>
                <w:rFonts w:ascii="Garamond" w:hAnsi="Garamond"/>
                <w:sz w:val="16"/>
                <w:szCs w:val="16"/>
              </w:rPr>
              <w:t xml:space="preserve"> and Action Plan envisage training for multi-</w:t>
            </w:r>
            <w:r w:rsidR="00BF1639">
              <w:rPr>
                <w:rFonts w:ascii="Garamond" w:hAnsi="Garamond"/>
                <w:sz w:val="16"/>
                <w:szCs w:val="16"/>
              </w:rPr>
              <w:t>annual</w:t>
            </w:r>
            <w:r w:rsidRPr="005E24BA">
              <w:rPr>
                <w:rFonts w:ascii="Garamond" w:hAnsi="Garamond"/>
                <w:sz w:val="16"/>
                <w:szCs w:val="16"/>
              </w:rPr>
              <w:t xml:space="preserve"> budget planning with the aim of better linking program</w:t>
            </w:r>
            <w:r>
              <w:rPr>
                <w:rFonts w:ascii="Garamond" w:hAnsi="Garamond"/>
                <w:sz w:val="16"/>
                <w:szCs w:val="16"/>
              </w:rPr>
              <w:t>me</w:t>
            </w:r>
            <w:r w:rsidRPr="005E24BA">
              <w:rPr>
                <w:rFonts w:ascii="Garamond" w:hAnsi="Garamond"/>
                <w:sz w:val="16"/>
                <w:szCs w:val="16"/>
              </w:rPr>
              <w:t xml:space="preserve"> objectives to Government policies. The training is planned for the management level and the level of expert staff </w:t>
            </w:r>
            <w:r w:rsidR="00466ADE">
              <w:rPr>
                <w:rFonts w:ascii="Garamond" w:hAnsi="Garamond"/>
                <w:sz w:val="16"/>
                <w:szCs w:val="16"/>
              </w:rPr>
              <w:t>in</w:t>
            </w:r>
            <w:r w:rsidRPr="005E24BA">
              <w:rPr>
                <w:rFonts w:ascii="Garamond" w:hAnsi="Garamond"/>
                <w:sz w:val="16"/>
                <w:szCs w:val="16"/>
              </w:rPr>
              <w:t xml:space="preserve"> institutions determined </w:t>
            </w:r>
            <w:r w:rsidR="00466ADE">
              <w:rPr>
                <w:rFonts w:ascii="Garamond" w:hAnsi="Garamond"/>
                <w:sz w:val="16"/>
                <w:szCs w:val="16"/>
              </w:rPr>
              <w:t>to be</w:t>
            </w:r>
            <w:r w:rsidRPr="005E24BA">
              <w:rPr>
                <w:rFonts w:ascii="Garamond" w:hAnsi="Garamond"/>
                <w:sz w:val="16"/>
                <w:szCs w:val="16"/>
              </w:rPr>
              <w:t xml:space="preserve"> priorities, until 2020, when all institutions will be included. (President, </w:t>
            </w:r>
            <w:r>
              <w:rPr>
                <w:rFonts w:ascii="Garamond" w:hAnsi="Garamond"/>
                <w:sz w:val="16"/>
                <w:szCs w:val="16"/>
              </w:rPr>
              <w:t>Parliament</w:t>
            </w:r>
            <w:r w:rsidRPr="005E24BA">
              <w:rPr>
                <w:rFonts w:ascii="Garamond" w:hAnsi="Garamond"/>
                <w:sz w:val="16"/>
                <w:szCs w:val="16"/>
              </w:rPr>
              <w:t xml:space="preserve">, Judicial Bodies, Ministries and Independent Bodies). The performance indicator is measured on the basis of trainings completed in </w:t>
            </w:r>
            <w:r w:rsidR="00BF1639">
              <w:rPr>
                <w:rFonts w:ascii="Garamond" w:hAnsi="Garamond"/>
                <w:sz w:val="16"/>
                <w:szCs w:val="16"/>
              </w:rPr>
              <w:t>a</w:t>
            </w:r>
            <w:r w:rsidRPr="005E24BA">
              <w:rPr>
                <w:rFonts w:ascii="Garamond" w:hAnsi="Garamond"/>
                <w:sz w:val="16"/>
                <w:szCs w:val="16"/>
              </w:rPr>
              <w:t xml:space="preserve"> calendar year, </w:t>
            </w:r>
            <w:r>
              <w:rPr>
                <w:rFonts w:ascii="Garamond" w:hAnsi="Garamond"/>
                <w:sz w:val="16"/>
                <w:szCs w:val="16"/>
              </w:rPr>
              <w:t>that is,</w:t>
            </w:r>
            <w:r w:rsidRPr="005E24BA">
              <w:rPr>
                <w:rFonts w:ascii="Garamond" w:hAnsi="Garamond"/>
                <w:sz w:val="16"/>
                <w:szCs w:val="16"/>
              </w:rPr>
              <w:t xml:space="preserve"> the number of participants who attended the training. The trainings started with the trainings of the employees in the Directorate for State Budget in 2019, with the continuation during 2020.</w:t>
            </w:r>
          </w:p>
        </w:tc>
      </w:tr>
      <w:tr w:rsidR="002F13B0" w:rsidRPr="00290B32" w:rsidTr="00D43372">
        <w:trPr>
          <w:gridAfter w:val="1"/>
          <w:wAfter w:w="19" w:type="dxa"/>
          <w:trHeight w:val="620"/>
          <w:jc w:val="center"/>
        </w:trPr>
        <w:tc>
          <w:tcPr>
            <w:tcW w:w="2721" w:type="dxa"/>
            <w:vMerge/>
            <w:shd w:val="clear" w:color="auto" w:fill="auto"/>
            <w:vAlign w:val="center"/>
          </w:tcPr>
          <w:p w:rsidR="002F13B0" w:rsidRPr="00290B32" w:rsidRDefault="002F13B0" w:rsidP="00D43372">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2F13B0" w:rsidRPr="004D6BBE" w:rsidRDefault="002F13B0" w:rsidP="00D43372">
            <w:pPr>
              <w:jc w:val="center"/>
              <w:rPr>
                <w:rFonts w:ascii="Garamond" w:hAnsi="Garamond"/>
                <w:color w:val="365F91" w:themeColor="accent1" w:themeShade="BF"/>
                <w:sz w:val="16"/>
                <w:szCs w:val="16"/>
              </w:rPr>
            </w:pPr>
            <w:r w:rsidRPr="004D6BBE">
              <w:rPr>
                <w:rFonts w:ascii="Garamond" w:hAnsi="Garamond"/>
                <w:color w:val="365F91" w:themeColor="accent1" w:themeShade="BF"/>
                <w:sz w:val="16"/>
                <w:szCs w:val="16"/>
              </w:rPr>
              <w:t>FORMULA / EQUATION</w:t>
            </w:r>
          </w:p>
          <w:p w:rsidR="002F13B0" w:rsidRPr="00290B32" w:rsidRDefault="005E24BA" w:rsidP="00D43372">
            <w:pPr>
              <w:jc w:val="center"/>
              <w:rPr>
                <w:rFonts w:ascii="Garamond" w:eastAsia="Calibri" w:hAnsi="Garamond"/>
                <w:sz w:val="16"/>
                <w:szCs w:val="16"/>
                <w:lang w:eastAsia="en-US" w:bidi="ar-SA"/>
              </w:rPr>
            </w:pPr>
            <w:r w:rsidRPr="005E24BA">
              <w:rPr>
                <w:rFonts w:ascii="Garamond" w:hAnsi="Garamond"/>
                <w:i/>
                <w:sz w:val="16"/>
                <w:szCs w:val="16"/>
              </w:rPr>
              <w:t>Number of persons who completed the training in accordance with a predefined program</w:t>
            </w:r>
          </w:p>
        </w:tc>
      </w:tr>
      <w:tr w:rsidR="002F13B0" w:rsidRPr="00290B32" w:rsidTr="00D43372">
        <w:trPr>
          <w:gridAfter w:val="1"/>
          <w:wAfter w:w="19" w:type="dxa"/>
          <w:trHeight w:val="585"/>
          <w:jc w:val="center"/>
        </w:trPr>
        <w:tc>
          <w:tcPr>
            <w:tcW w:w="2721" w:type="dxa"/>
            <w:vAlign w:val="center"/>
          </w:tcPr>
          <w:p w:rsidR="002F13B0" w:rsidRPr="00290B32" w:rsidRDefault="002F13B0" w:rsidP="00D43372">
            <w:pPr>
              <w:autoSpaceDE/>
              <w:autoSpaceDN/>
              <w:rPr>
                <w:rFonts w:ascii="Garamond" w:eastAsia="Calibri" w:hAnsi="Garamond"/>
                <w:b/>
                <w:bCs/>
                <w:caps/>
                <w:sz w:val="16"/>
                <w:szCs w:val="16"/>
                <w:lang w:val="en-GB" w:eastAsia="en-US" w:bidi="ar-SA"/>
              </w:rPr>
            </w:pPr>
            <w:r w:rsidRPr="0056213B">
              <w:rPr>
                <w:rFonts w:ascii="Garamond" w:eastAsia="Calibri" w:hAnsi="Garamond"/>
                <w:b/>
                <w:caps/>
                <w:sz w:val="16"/>
                <w:szCs w:val="16"/>
                <w:lang w:val="uz-Cyrl-UZ" w:eastAsia="en-US" w:bidi="ar-SA"/>
              </w:rPr>
              <w:t>BASELINE</w:t>
            </w:r>
            <w:r w:rsidRPr="0056213B">
              <w:rPr>
                <w:rFonts w:ascii="Garamond" w:eastAsia="Calibri" w:hAnsi="Garamond"/>
                <w:b/>
                <w:caps/>
                <w:sz w:val="16"/>
                <w:szCs w:val="16"/>
                <w:lang w:val="en-GB" w:eastAsia="en-US" w:bidi="ar-SA"/>
              </w:rPr>
              <w:t xml:space="preserve"> DATA</w:t>
            </w:r>
          </w:p>
        </w:tc>
        <w:tc>
          <w:tcPr>
            <w:tcW w:w="6836" w:type="dxa"/>
            <w:gridSpan w:val="4"/>
            <w:vAlign w:val="center"/>
          </w:tcPr>
          <w:p w:rsidR="002F13B0" w:rsidRPr="00290B32" w:rsidRDefault="002F13B0" w:rsidP="005E24BA">
            <w:pPr>
              <w:autoSpaceDE/>
              <w:autoSpaceDN/>
              <w:jc w:val="both"/>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 xml:space="preserve">PV (2014): </w:t>
            </w:r>
            <w:r w:rsidR="005E24BA">
              <w:rPr>
                <w:rFonts w:ascii="Garamond" w:eastAsia="Calibri" w:hAnsi="Garamond"/>
                <w:sz w:val="16"/>
                <w:szCs w:val="16"/>
                <w:lang w:val="en-GB" w:eastAsia="en-US" w:bidi="ar-SA"/>
              </w:rPr>
              <w:t>0</w:t>
            </w:r>
          </w:p>
        </w:tc>
      </w:tr>
      <w:tr w:rsidR="002F13B0" w:rsidRPr="00290B32" w:rsidTr="00D43372">
        <w:trPr>
          <w:gridAfter w:val="1"/>
          <w:wAfter w:w="19" w:type="dxa"/>
          <w:trHeight w:val="160"/>
          <w:jc w:val="center"/>
        </w:trPr>
        <w:tc>
          <w:tcPr>
            <w:tcW w:w="2721" w:type="dxa"/>
            <w:vMerge w:val="restart"/>
            <w:vAlign w:val="center"/>
          </w:tcPr>
          <w:p w:rsidR="002F13B0" w:rsidRPr="00290B32" w:rsidRDefault="002F13B0" w:rsidP="00D43372">
            <w:pPr>
              <w:autoSpaceDE/>
              <w:autoSpaceDN/>
              <w:rPr>
                <w:rFonts w:ascii="Garamond" w:eastAsia="Calibri" w:hAnsi="Garamond"/>
                <w:b/>
                <w:bCs/>
                <w:caps/>
                <w:sz w:val="16"/>
                <w:szCs w:val="16"/>
                <w:lang w:val="uz-Cyrl-UZ" w:eastAsia="en-US" w:bidi="ar-SA"/>
              </w:rPr>
            </w:pPr>
            <w:r w:rsidRPr="0056213B">
              <w:rPr>
                <w:rFonts w:ascii="Garamond" w:eastAsia="Calibri" w:hAnsi="Garamond"/>
                <w:b/>
                <w:caps/>
                <w:sz w:val="16"/>
                <w:szCs w:val="16"/>
                <w:lang w:val="uz-Cyrl-UZ" w:eastAsia="en-US" w:bidi="ar-SA"/>
              </w:rPr>
              <w:t>TARGET VALUE DATA</w:t>
            </w:r>
          </w:p>
        </w:tc>
        <w:tc>
          <w:tcPr>
            <w:tcW w:w="1771" w:type="dxa"/>
            <w:vAlign w:val="center"/>
          </w:tcPr>
          <w:p w:rsidR="002F13B0" w:rsidRPr="00290B32" w:rsidRDefault="002F13B0"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2017</w:t>
            </w:r>
          </w:p>
        </w:tc>
        <w:tc>
          <w:tcPr>
            <w:tcW w:w="1771" w:type="dxa"/>
            <w:vAlign w:val="center"/>
          </w:tcPr>
          <w:p w:rsidR="002F13B0" w:rsidRPr="00290B32" w:rsidRDefault="002F13B0"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2018</w:t>
            </w:r>
          </w:p>
        </w:tc>
        <w:tc>
          <w:tcPr>
            <w:tcW w:w="1771" w:type="dxa"/>
            <w:vAlign w:val="center"/>
          </w:tcPr>
          <w:p w:rsidR="002F13B0" w:rsidRPr="00290B32" w:rsidRDefault="002F13B0"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2019</w:t>
            </w:r>
          </w:p>
        </w:tc>
        <w:tc>
          <w:tcPr>
            <w:tcW w:w="1523" w:type="dxa"/>
            <w:vAlign w:val="center"/>
          </w:tcPr>
          <w:p w:rsidR="002F13B0" w:rsidRPr="00290B32" w:rsidRDefault="002F13B0"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2020</w:t>
            </w:r>
          </w:p>
        </w:tc>
      </w:tr>
      <w:tr w:rsidR="005E24BA" w:rsidRPr="00290B32" w:rsidTr="00D43372">
        <w:trPr>
          <w:gridAfter w:val="1"/>
          <w:wAfter w:w="19" w:type="dxa"/>
          <w:trHeight w:val="160"/>
          <w:jc w:val="center"/>
        </w:trPr>
        <w:tc>
          <w:tcPr>
            <w:tcW w:w="2721" w:type="dxa"/>
            <w:vMerge/>
            <w:vAlign w:val="center"/>
          </w:tcPr>
          <w:p w:rsidR="005E24BA" w:rsidRPr="00290B32" w:rsidRDefault="005E24BA" w:rsidP="00D43372">
            <w:pPr>
              <w:autoSpaceDE/>
              <w:autoSpaceDN/>
              <w:rPr>
                <w:rFonts w:ascii="Garamond" w:eastAsia="Calibri" w:hAnsi="Garamond"/>
                <w:b/>
                <w:bCs/>
                <w:caps/>
                <w:sz w:val="16"/>
                <w:szCs w:val="16"/>
                <w:lang w:val="uz-Cyrl-UZ" w:eastAsia="en-US" w:bidi="ar-SA"/>
              </w:rPr>
            </w:pPr>
          </w:p>
        </w:tc>
        <w:tc>
          <w:tcPr>
            <w:tcW w:w="1771" w:type="dxa"/>
            <w:vAlign w:val="center"/>
          </w:tcPr>
          <w:p w:rsidR="005E24BA" w:rsidRPr="00AE0CB3" w:rsidRDefault="005E24BA" w:rsidP="00D43372">
            <w:pPr>
              <w:pStyle w:val="TabelaTekst"/>
              <w:spacing w:before="0" w:after="0" w:line="240" w:lineRule="auto"/>
              <w:jc w:val="center"/>
              <w:rPr>
                <w:rFonts w:ascii="Garamond" w:hAnsi="Garamond"/>
              </w:rPr>
            </w:pPr>
            <w:r w:rsidRPr="00AE0CB3">
              <w:rPr>
                <w:rFonts w:ascii="Garamond" w:hAnsi="Garamond"/>
              </w:rPr>
              <w:t>52</w:t>
            </w:r>
          </w:p>
        </w:tc>
        <w:tc>
          <w:tcPr>
            <w:tcW w:w="1771" w:type="dxa"/>
            <w:vAlign w:val="center"/>
          </w:tcPr>
          <w:p w:rsidR="005E24BA" w:rsidRPr="00AE0CB3" w:rsidRDefault="005E24BA" w:rsidP="00D43372">
            <w:pPr>
              <w:pStyle w:val="TabelaTekst"/>
              <w:spacing w:before="0" w:after="0" w:line="240" w:lineRule="auto"/>
              <w:jc w:val="center"/>
              <w:rPr>
                <w:rFonts w:ascii="Garamond" w:hAnsi="Garamond"/>
              </w:rPr>
            </w:pPr>
            <w:r w:rsidRPr="00AE0CB3">
              <w:rPr>
                <w:rFonts w:ascii="Garamond" w:hAnsi="Garamond"/>
              </w:rPr>
              <w:t>35</w:t>
            </w:r>
          </w:p>
        </w:tc>
        <w:tc>
          <w:tcPr>
            <w:tcW w:w="1771" w:type="dxa"/>
            <w:vAlign w:val="center"/>
          </w:tcPr>
          <w:p w:rsidR="005E24BA" w:rsidRPr="00AE0CB3" w:rsidRDefault="005E24BA" w:rsidP="00D43372">
            <w:pPr>
              <w:pStyle w:val="TabelaTekst"/>
              <w:spacing w:before="0" w:after="0" w:line="240" w:lineRule="auto"/>
              <w:jc w:val="center"/>
              <w:rPr>
                <w:rFonts w:ascii="Garamond" w:hAnsi="Garamond"/>
              </w:rPr>
            </w:pPr>
            <w:r w:rsidRPr="00AE0CB3">
              <w:rPr>
                <w:rFonts w:ascii="Garamond" w:hAnsi="Garamond"/>
              </w:rPr>
              <w:t>52</w:t>
            </w:r>
          </w:p>
        </w:tc>
        <w:tc>
          <w:tcPr>
            <w:tcW w:w="1523" w:type="dxa"/>
            <w:vAlign w:val="center"/>
          </w:tcPr>
          <w:p w:rsidR="005E24BA" w:rsidRPr="00AE0CB3" w:rsidRDefault="005E24BA" w:rsidP="00D43372">
            <w:pPr>
              <w:pStyle w:val="TabelaTekst"/>
              <w:spacing w:before="0" w:after="0" w:line="240" w:lineRule="auto"/>
              <w:jc w:val="center"/>
              <w:rPr>
                <w:rFonts w:ascii="Garamond" w:hAnsi="Garamond"/>
              </w:rPr>
            </w:pPr>
            <w:r w:rsidRPr="00AE0CB3">
              <w:rPr>
                <w:rFonts w:ascii="Garamond" w:hAnsi="Garamond"/>
              </w:rPr>
              <w:t>72</w:t>
            </w:r>
          </w:p>
        </w:tc>
      </w:tr>
      <w:tr w:rsidR="005E24BA" w:rsidRPr="00290B32" w:rsidTr="00D43372">
        <w:trPr>
          <w:gridAfter w:val="1"/>
          <w:wAfter w:w="19" w:type="dxa"/>
          <w:trHeight w:val="160"/>
          <w:jc w:val="center"/>
        </w:trPr>
        <w:tc>
          <w:tcPr>
            <w:tcW w:w="2721" w:type="dxa"/>
            <w:vAlign w:val="center"/>
          </w:tcPr>
          <w:p w:rsidR="005E24BA" w:rsidRPr="00290B32" w:rsidRDefault="0062456A" w:rsidP="00D43372">
            <w:pPr>
              <w:autoSpaceDE/>
              <w:autoSpaceDN/>
              <w:rPr>
                <w:rFonts w:ascii="Garamond" w:eastAsia="Calibri" w:hAnsi="Garamond"/>
                <w:b/>
                <w:bCs/>
                <w:caps/>
                <w:sz w:val="16"/>
                <w:szCs w:val="16"/>
                <w:lang w:val="uz-Cyrl-UZ" w:eastAsia="en-US" w:bidi="ar-SA"/>
              </w:rPr>
            </w:pPr>
            <w:r>
              <w:rPr>
                <w:rFonts w:ascii="Garamond" w:eastAsia="Calibri" w:hAnsi="Garamond"/>
                <w:b/>
                <w:bCs/>
                <w:caps/>
                <w:sz w:val="16"/>
                <w:szCs w:val="16"/>
                <w:lang w:val="uz-Cyrl-UZ" w:eastAsia="en-US" w:bidi="ar-SA"/>
              </w:rPr>
              <w:t>DATA ON VALUES ACHIEVED</w:t>
            </w:r>
          </w:p>
        </w:tc>
        <w:tc>
          <w:tcPr>
            <w:tcW w:w="1771" w:type="dxa"/>
            <w:vAlign w:val="center"/>
          </w:tcPr>
          <w:p w:rsidR="005E24BA" w:rsidRPr="00AE0CB3" w:rsidRDefault="005E24BA" w:rsidP="00D43372">
            <w:pPr>
              <w:pStyle w:val="TabelaTekst"/>
              <w:spacing w:before="0" w:after="0" w:line="240" w:lineRule="auto"/>
              <w:jc w:val="center"/>
              <w:rPr>
                <w:rFonts w:ascii="Garamond" w:hAnsi="Garamond"/>
              </w:rPr>
            </w:pPr>
            <w:r w:rsidRPr="00AE0CB3">
              <w:rPr>
                <w:rFonts w:ascii="Garamond" w:hAnsi="Garamond"/>
              </w:rPr>
              <w:t>0</w:t>
            </w:r>
          </w:p>
        </w:tc>
        <w:tc>
          <w:tcPr>
            <w:tcW w:w="1771" w:type="dxa"/>
            <w:vAlign w:val="center"/>
          </w:tcPr>
          <w:p w:rsidR="005E24BA" w:rsidRPr="00AE0CB3" w:rsidRDefault="005E24BA" w:rsidP="00D43372">
            <w:pPr>
              <w:pStyle w:val="TabelaTekst"/>
              <w:spacing w:before="0" w:after="0" w:line="240" w:lineRule="auto"/>
              <w:jc w:val="center"/>
              <w:rPr>
                <w:rFonts w:ascii="Garamond" w:hAnsi="Garamond"/>
              </w:rPr>
            </w:pPr>
            <w:r w:rsidRPr="00AE0CB3">
              <w:rPr>
                <w:rFonts w:ascii="Garamond" w:hAnsi="Garamond"/>
              </w:rPr>
              <w:t>0</w:t>
            </w:r>
          </w:p>
        </w:tc>
        <w:tc>
          <w:tcPr>
            <w:tcW w:w="1771" w:type="dxa"/>
            <w:vAlign w:val="center"/>
          </w:tcPr>
          <w:p w:rsidR="005E24BA" w:rsidRPr="00AE0CB3" w:rsidRDefault="005E24BA" w:rsidP="00D43372">
            <w:pPr>
              <w:pStyle w:val="TabelaTekst"/>
              <w:spacing w:before="0" w:after="0" w:line="240" w:lineRule="auto"/>
              <w:jc w:val="center"/>
              <w:rPr>
                <w:rFonts w:ascii="Garamond" w:hAnsi="Garamond"/>
                <w:lang w:val="sr-Latn-CS"/>
              </w:rPr>
            </w:pPr>
            <w:r w:rsidRPr="00AE0CB3">
              <w:rPr>
                <w:rFonts w:ascii="Garamond" w:hAnsi="Garamond"/>
                <w:lang w:val="sr-Latn-CS"/>
              </w:rPr>
              <w:t>17</w:t>
            </w:r>
          </w:p>
        </w:tc>
        <w:tc>
          <w:tcPr>
            <w:tcW w:w="1523" w:type="dxa"/>
            <w:vAlign w:val="center"/>
          </w:tcPr>
          <w:p w:rsidR="005E24BA" w:rsidRPr="00AE0CB3" w:rsidRDefault="005E24BA" w:rsidP="00D43372">
            <w:pPr>
              <w:pStyle w:val="TabelaTekst"/>
              <w:spacing w:before="0" w:after="0" w:line="240" w:lineRule="auto"/>
              <w:jc w:val="center"/>
              <w:rPr>
                <w:rFonts w:ascii="Garamond" w:hAnsi="Garamond"/>
              </w:rPr>
            </w:pPr>
            <w:r w:rsidRPr="00AE0CB3">
              <w:rPr>
                <w:rFonts w:ascii="Garamond" w:hAnsi="Garamond"/>
                <w:szCs w:val="18"/>
                <w:lang w:val="en-US"/>
              </w:rPr>
              <w:t>100</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264D25">
      <w:pPr>
        <w:pStyle w:val="Heading2"/>
        <w:rPr>
          <w:rFonts w:ascii="Garamond" w:hAnsi="Garamond"/>
          <w:sz w:val="24"/>
          <w:szCs w:val="24"/>
        </w:rPr>
      </w:pPr>
      <w:bookmarkStart w:id="38" w:name="_Toc77688215"/>
      <w:r w:rsidRPr="00C32887">
        <w:rPr>
          <w:rFonts w:ascii="Garamond" w:hAnsi="Garamond"/>
          <w:sz w:val="24"/>
          <w:szCs w:val="24"/>
        </w:rPr>
        <w:t xml:space="preserve">1.2     </w:t>
      </w:r>
      <w:r w:rsidR="00264D25" w:rsidRPr="00C32887">
        <w:rPr>
          <w:rFonts w:ascii="Garamond" w:hAnsi="Garamond"/>
          <w:sz w:val="24"/>
          <w:szCs w:val="24"/>
        </w:rPr>
        <w:t xml:space="preserve">Annual </w:t>
      </w:r>
      <w:r w:rsidRPr="00C32887">
        <w:rPr>
          <w:rFonts w:ascii="Garamond" w:hAnsi="Garamond"/>
          <w:sz w:val="24"/>
          <w:szCs w:val="24"/>
        </w:rPr>
        <w:t>budget</w:t>
      </w:r>
      <w:r w:rsidR="00264D25">
        <w:rPr>
          <w:rFonts w:ascii="Garamond" w:hAnsi="Garamond"/>
          <w:sz w:val="24"/>
          <w:szCs w:val="24"/>
        </w:rPr>
        <w:t>ing</w:t>
      </w:r>
      <w:bookmarkEnd w:id="38"/>
      <w:r w:rsidR="00264D25">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264D25">
      <w:pPr>
        <w:pStyle w:val="Heading3"/>
        <w:rPr>
          <w:rFonts w:ascii="Garamond" w:hAnsi="Garamond"/>
          <w:sz w:val="24"/>
          <w:szCs w:val="24"/>
        </w:rPr>
      </w:pPr>
      <w:bookmarkStart w:id="39" w:name="_Toc77688216"/>
      <w:r w:rsidRPr="00C32887">
        <w:rPr>
          <w:rFonts w:ascii="Garamond" w:hAnsi="Garamond"/>
          <w:sz w:val="24"/>
          <w:szCs w:val="24"/>
        </w:rPr>
        <w:t xml:space="preserve">1.2.1      </w:t>
      </w:r>
      <w:r w:rsidR="00264D25">
        <w:rPr>
          <w:rFonts w:ascii="Garamond" w:hAnsi="Garamond"/>
          <w:sz w:val="24"/>
          <w:szCs w:val="24"/>
        </w:rPr>
        <w:t>PERFORMANCE INDICATOR 4</w:t>
      </w:r>
      <w:r w:rsidR="00264D25" w:rsidRPr="00264D25">
        <w:rPr>
          <w:rFonts w:ascii="Garamond" w:hAnsi="Garamond"/>
          <w:sz w:val="24"/>
          <w:szCs w:val="24"/>
        </w:rPr>
        <w:t xml:space="preserve"> </w:t>
      </w:r>
      <w:r w:rsidR="00264D25" w:rsidRPr="00C32887">
        <w:rPr>
          <w:rFonts w:ascii="Garamond" w:hAnsi="Garamond"/>
          <w:sz w:val="24"/>
          <w:szCs w:val="24"/>
        </w:rPr>
        <w:t>PASSPORT</w:t>
      </w:r>
      <w:bookmarkEnd w:id="39"/>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264D25" w:rsidRPr="00290B32" w:rsidTr="00D43372">
        <w:trPr>
          <w:jc w:val="center"/>
        </w:trPr>
        <w:tc>
          <w:tcPr>
            <w:tcW w:w="2721" w:type="dxa"/>
            <w:tcBorders>
              <w:right w:val="single" w:sz="4" w:space="0" w:color="FFFFFF"/>
            </w:tcBorders>
            <w:shd w:val="clear" w:color="auto" w:fill="BFBFBF"/>
            <w:vAlign w:val="center"/>
          </w:tcPr>
          <w:p w:rsidR="00264D25" w:rsidRPr="00290B32" w:rsidRDefault="00264D25" w:rsidP="00D43372">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264D25" w:rsidRPr="00264D25" w:rsidRDefault="00264D25" w:rsidP="00264D25">
            <w:pPr>
              <w:pStyle w:val="Default"/>
              <w:jc w:val="both"/>
              <w:rPr>
                <w:rFonts w:ascii="Garamond" w:eastAsia="Calibri" w:hAnsi="Garamond"/>
                <w:b/>
                <w:sz w:val="18"/>
                <w:szCs w:val="18"/>
                <w:lang w:eastAsia="en-US"/>
              </w:rPr>
            </w:pPr>
            <w:r w:rsidRPr="00264D25">
              <w:rPr>
                <w:rFonts w:ascii="Garamond" w:hAnsi="Garamond"/>
                <w:sz w:val="18"/>
                <w:szCs w:val="18"/>
              </w:rPr>
              <w:t xml:space="preserve">Share of first level budget organisations that provide comprehensive information with their annual budget requests </w:t>
            </w:r>
          </w:p>
        </w:tc>
      </w:tr>
      <w:tr w:rsidR="00264D25" w:rsidRPr="00290B32" w:rsidTr="00D43372">
        <w:trPr>
          <w:gridAfter w:val="1"/>
          <w:wAfter w:w="19" w:type="dxa"/>
          <w:jc w:val="center"/>
        </w:trPr>
        <w:tc>
          <w:tcPr>
            <w:tcW w:w="2721" w:type="dxa"/>
            <w:vAlign w:val="center"/>
          </w:tcPr>
          <w:p w:rsidR="00264D25" w:rsidRPr="00290B32" w:rsidRDefault="00264D25" w:rsidP="00D43372">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corresponding objective or activity</w:t>
            </w:r>
          </w:p>
        </w:tc>
        <w:tc>
          <w:tcPr>
            <w:tcW w:w="6836" w:type="dxa"/>
            <w:gridSpan w:val="4"/>
            <w:vAlign w:val="center"/>
          </w:tcPr>
          <w:p w:rsidR="00264D25" w:rsidRPr="0056213B" w:rsidRDefault="00264D25" w:rsidP="00D43372">
            <w:pPr>
              <w:rPr>
                <w:rFonts w:ascii="Garamond" w:hAnsi="Garamond"/>
                <w:color w:val="365F91" w:themeColor="accent1" w:themeShade="BF"/>
                <w:sz w:val="16"/>
                <w:szCs w:val="16"/>
              </w:rPr>
            </w:pPr>
            <w:r w:rsidRPr="0056213B">
              <w:rPr>
                <w:rFonts w:ascii="Garamond" w:hAnsi="Garamond"/>
                <w:color w:val="365F91" w:themeColor="accent1" w:themeShade="BF"/>
                <w:sz w:val="16"/>
                <w:szCs w:val="16"/>
              </w:rPr>
              <w:t xml:space="preserve">Sustainable fiscal framework, public </w:t>
            </w:r>
            <w:r>
              <w:rPr>
                <w:rFonts w:ascii="Garamond" w:hAnsi="Garamond"/>
                <w:color w:val="365F91" w:themeColor="accent1" w:themeShade="BF"/>
                <w:sz w:val="16"/>
                <w:szCs w:val="16"/>
              </w:rPr>
              <w:t>expenditure</w:t>
            </w:r>
            <w:r w:rsidRPr="0056213B">
              <w:rPr>
                <w:rFonts w:ascii="Garamond" w:hAnsi="Garamond"/>
                <w:color w:val="365F91" w:themeColor="accent1" w:themeShade="BF"/>
                <w:sz w:val="16"/>
                <w:szCs w:val="16"/>
              </w:rPr>
              <w:t xml:space="preserve"> planning and budgeting</w:t>
            </w:r>
          </w:p>
          <w:p w:rsidR="00264D25" w:rsidRPr="00290B32" w:rsidRDefault="00264D25" w:rsidP="00264D25">
            <w:pPr>
              <w:pStyle w:val="ListParagraph"/>
              <w:numPr>
                <w:ilvl w:val="0"/>
                <w:numId w:val="28"/>
              </w:numPr>
              <w:rPr>
                <w:rFonts w:ascii="Garamond" w:eastAsia="Calibri" w:hAnsi="Garamond"/>
                <w:i/>
                <w:sz w:val="16"/>
                <w:szCs w:val="16"/>
                <w:lang w:eastAsia="en-US" w:bidi="ar-SA"/>
              </w:rPr>
            </w:pPr>
            <w:r w:rsidRPr="00264D25">
              <w:rPr>
                <w:rFonts w:ascii="Garamond" w:hAnsi="Garamond"/>
                <w:color w:val="365F91" w:themeColor="accent1" w:themeShade="BF"/>
                <w:sz w:val="16"/>
                <w:szCs w:val="16"/>
                <w:u w:val="single"/>
              </w:rPr>
              <w:t xml:space="preserve">Annual budgeting </w:t>
            </w:r>
          </w:p>
        </w:tc>
      </w:tr>
      <w:tr w:rsidR="00264D25" w:rsidRPr="00290B32" w:rsidTr="00D43372">
        <w:trPr>
          <w:gridAfter w:val="1"/>
          <w:wAfter w:w="19" w:type="dxa"/>
          <w:jc w:val="center"/>
        </w:trPr>
        <w:tc>
          <w:tcPr>
            <w:tcW w:w="2721" w:type="dxa"/>
            <w:vAlign w:val="center"/>
          </w:tcPr>
          <w:p w:rsidR="00264D25" w:rsidRPr="00290B32" w:rsidRDefault="00264D25"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264D25" w:rsidRPr="00290B32" w:rsidRDefault="00264D25" w:rsidP="00D43372">
            <w:pPr>
              <w:jc w:val="both"/>
              <w:rPr>
                <w:rFonts w:ascii="Garamond" w:eastAsia="Calibri" w:hAnsi="Garamond"/>
                <w:sz w:val="16"/>
                <w:szCs w:val="16"/>
                <w:lang w:eastAsia="en-US" w:bidi="ar-SA"/>
              </w:rPr>
            </w:pPr>
            <w:r w:rsidRPr="00264D25">
              <w:rPr>
                <w:rFonts w:ascii="Garamond" w:eastAsia="Calibri" w:hAnsi="Garamond"/>
                <w:sz w:val="16"/>
                <w:szCs w:val="16"/>
                <w:lang w:eastAsia="en-US" w:bidi="ar-SA"/>
              </w:rPr>
              <w:t>Requests for budget funds submitted to the Budget Directorate during the budget planning procedure</w:t>
            </w:r>
            <w:r>
              <w:rPr>
                <w:rStyle w:val="FootnoteReference"/>
                <w:rFonts w:ascii="Garamond" w:eastAsia="Calibri" w:hAnsi="Garamond"/>
                <w:sz w:val="16"/>
                <w:szCs w:val="16"/>
                <w:lang w:eastAsia="en-US" w:bidi="ar-SA"/>
              </w:rPr>
              <w:footnoteReference w:id="60"/>
            </w:r>
          </w:p>
        </w:tc>
      </w:tr>
      <w:tr w:rsidR="00264D25" w:rsidRPr="00290B32" w:rsidTr="00D43372">
        <w:trPr>
          <w:gridAfter w:val="1"/>
          <w:wAfter w:w="19" w:type="dxa"/>
          <w:jc w:val="center"/>
        </w:trPr>
        <w:tc>
          <w:tcPr>
            <w:tcW w:w="2721" w:type="dxa"/>
            <w:vAlign w:val="center"/>
          </w:tcPr>
          <w:p w:rsidR="00264D25" w:rsidRPr="00290B32" w:rsidRDefault="00264D25"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NAME OF DATA COLLECTION HOLDER</w:t>
            </w:r>
          </w:p>
        </w:tc>
        <w:tc>
          <w:tcPr>
            <w:tcW w:w="6836" w:type="dxa"/>
            <w:gridSpan w:val="4"/>
            <w:vAlign w:val="center"/>
          </w:tcPr>
          <w:p w:rsidR="00264D25" w:rsidRPr="0056213B" w:rsidRDefault="00264D25" w:rsidP="00D43372">
            <w:pPr>
              <w:rPr>
                <w:rFonts w:ascii="Garamond" w:hAnsi="Garamond"/>
                <w:sz w:val="16"/>
                <w:szCs w:val="16"/>
              </w:rPr>
            </w:pPr>
            <w:r w:rsidRPr="0056213B">
              <w:rPr>
                <w:rFonts w:ascii="Garamond" w:hAnsi="Garamond"/>
                <w:sz w:val="16"/>
                <w:szCs w:val="16"/>
              </w:rPr>
              <w:t>The Ministr</w:t>
            </w:r>
            <w:r>
              <w:rPr>
                <w:rFonts w:ascii="Garamond" w:hAnsi="Garamond"/>
                <w:sz w:val="16"/>
                <w:szCs w:val="16"/>
              </w:rPr>
              <w:t>y of Finance and Social Welfare</w:t>
            </w:r>
            <w:r w:rsidRPr="0056213B">
              <w:rPr>
                <w:rFonts w:ascii="Garamond" w:hAnsi="Garamond"/>
                <w:sz w:val="16"/>
                <w:szCs w:val="16"/>
              </w:rPr>
              <w:t xml:space="preserve">, Directorate for </w:t>
            </w:r>
            <w:r>
              <w:rPr>
                <w:rFonts w:ascii="Garamond" w:hAnsi="Garamond"/>
                <w:sz w:val="16"/>
                <w:szCs w:val="16"/>
              </w:rPr>
              <w:t>State</w:t>
            </w:r>
            <w:r w:rsidRPr="0056213B">
              <w:rPr>
                <w:rFonts w:ascii="Garamond" w:hAnsi="Garamond"/>
                <w:sz w:val="16"/>
                <w:szCs w:val="16"/>
              </w:rPr>
              <w:t xml:space="preserve"> Budget</w:t>
            </w:r>
          </w:p>
          <w:p w:rsidR="00264D25" w:rsidRPr="0056213B" w:rsidRDefault="00264D25" w:rsidP="00D43372">
            <w:pPr>
              <w:rPr>
                <w:rFonts w:ascii="Garamond" w:hAnsi="Garamond"/>
                <w:sz w:val="16"/>
                <w:szCs w:val="16"/>
              </w:rPr>
            </w:pPr>
            <w:r w:rsidRPr="0056213B">
              <w:rPr>
                <w:rFonts w:ascii="Garamond" w:hAnsi="Garamond"/>
                <w:sz w:val="16"/>
                <w:szCs w:val="16"/>
              </w:rPr>
              <w:t>Tanja Musterović</w:t>
            </w:r>
          </w:p>
          <w:p w:rsidR="00264D25" w:rsidRPr="00290B32" w:rsidRDefault="00264D25" w:rsidP="00D43372">
            <w:pPr>
              <w:rPr>
                <w:rFonts w:ascii="Garamond" w:eastAsia="Calibri" w:hAnsi="Garamond"/>
                <w:sz w:val="16"/>
                <w:szCs w:val="16"/>
                <w:lang w:eastAsia="en-US" w:bidi="ar-SA"/>
              </w:rPr>
            </w:pPr>
            <w:r w:rsidRPr="0056213B">
              <w:rPr>
                <w:rFonts w:ascii="Garamond" w:hAnsi="Garamond"/>
                <w:sz w:val="16"/>
                <w:szCs w:val="16"/>
              </w:rPr>
              <w:t>tanja.musterovic@mif.gov.me</w:t>
            </w:r>
          </w:p>
        </w:tc>
      </w:tr>
      <w:tr w:rsidR="00264D25" w:rsidRPr="00290B32" w:rsidTr="00D43372">
        <w:trPr>
          <w:gridAfter w:val="1"/>
          <w:wAfter w:w="19" w:type="dxa"/>
          <w:jc w:val="center"/>
        </w:trPr>
        <w:tc>
          <w:tcPr>
            <w:tcW w:w="2721" w:type="dxa"/>
            <w:vAlign w:val="center"/>
          </w:tcPr>
          <w:p w:rsidR="00264D25" w:rsidRPr="00290B32" w:rsidRDefault="00264D25"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FREQUENCY OF DATA PUBLICATION</w:t>
            </w:r>
          </w:p>
        </w:tc>
        <w:tc>
          <w:tcPr>
            <w:tcW w:w="6836" w:type="dxa"/>
            <w:gridSpan w:val="4"/>
            <w:vAlign w:val="center"/>
          </w:tcPr>
          <w:p w:rsidR="00264D25" w:rsidRPr="00290B32" w:rsidRDefault="007018D8" w:rsidP="007018D8">
            <w:pPr>
              <w:rPr>
                <w:rFonts w:ascii="Garamond" w:eastAsia="Calibri" w:hAnsi="Garamond"/>
                <w:sz w:val="16"/>
                <w:szCs w:val="16"/>
                <w:lang w:eastAsia="en-US" w:bidi="ar-SA"/>
              </w:rPr>
            </w:pPr>
            <w:r w:rsidRPr="007018D8">
              <w:rPr>
                <w:rFonts w:ascii="Garamond" w:hAnsi="Garamond"/>
                <w:sz w:val="16"/>
                <w:szCs w:val="16"/>
              </w:rPr>
              <w:t xml:space="preserve">1x per year, after requests for budget funds were sent by spending units, </w:t>
            </w:r>
            <w:r>
              <w:rPr>
                <w:rFonts w:ascii="Garamond" w:hAnsi="Garamond"/>
                <w:sz w:val="16"/>
                <w:szCs w:val="16"/>
              </w:rPr>
              <w:t>that is, Q3</w:t>
            </w:r>
          </w:p>
        </w:tc>
      </w:tr>
      <w:tr w:rsidR="00264D25" w:rsidRPr="00290B32" w:rsidTr="00D43372">
        <w:trPr>
          <w:gridAfter w:val="1"/>
          <w:wAfter w:w="19" w:type="dxa"/>
          <w:trHeight w:val="800"/>
          <w:jc w:val="center"/>
        </w:trPr>
        <w:tc>
          <w:tcPr>
            <w:tcW w:w="2721" w:type="dxa"/>
            <w:vMerge w:val="restart"/>
            <w:vAlign w:val="center"/>
          </w:tcPr>
          <w:p w:rsidR="00264D25" w:rsidRPr="00290B32" w:rsidRDefault="00264D25"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 xml:space="preserve">BRIEF DESCRIPTION </w:t>
            </w:r>
            <w:r w:rsidRPr="0056213B">
              <w:rPr>
                <w:rFonts w:ascii="Garamond" w:eastAsia="Calibri" w:hAnsi="Garamond"/>
                <w:b/>
                <w:caps/>
                <w:sz w:val="16"/>
                <w:szCs w:val="16"/>
                <w:lang w:val="en-GB" w:eastAsia="en-US" w:bidi="ar-SA"/>
              </w:rPr>
              <w:t xml:space="preserve">OF </w:t>
            </w:r>
            <w:r w:rsidRPr="0056213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264D25" w:rsidRPr="00290B32" w:rsidRDefault="007018D8" w:rsidP="00466ADE">
            <w:pPr>
              <w:jc w:val="both"/>
              <w:rPr>
                <w:rFonts w:ascii="Garamond" w:eastAsia="Calibri" w:hAnsi="Garamond"/>
                <w:sz w:val="16"/>
                <w:szCs w:val="16"/>
                <w:lang w:eastAsia="en-US" w:bidi="ar-SA"/>
              </w:rPr>
            </w:pPr>
            <w:r w:rsidRPr="007018D8">
              <w:rPr>
                <w:rFonts w:ascii="Garamond" w:hAnsi="Garamond"/>
                <w:sz w:val="16"/>
                <w:szCs w:val="16"/>
              </w:rPr>
              <w:t>A prerequisite for creating an efficient system for measuring the performance of budget program</w:t>
            </w:r>
            <w:r>
              <w:rPr>
                <w:rFonts w:ascii="Garamond" w:hAnsi="Garamond"/>
                <w:sz w:val="16"/>
                <w:szCs w:val="16"/>
              </w:rPr>
              <w:t>me</w:t>
            </w:r>
            <w:r w:rsidRPr="007018D8">
              <w:rPr>
                <w:rFonts w:ascii="Garamond" w:hAnsi="Garamond"/>
                <w:sz w:val="16"/>
                <w:szCs w:val="16"/>
              </w:rPr>
              <w:t>s is the comprehensiveness of information submitted for budget planning for all program</w:t>
            </w:r>
            <w:r>
              <w:rPr>
                <w:rFonts w:ascii="Garamond" w:hAnsi="Garamond"/>
                <w:sz w:val="16"/>
                <w:szCs w:val="16"/>
              </w:rPr>
              <w:t>me</w:t>
            </w:r>
            <w:r w:rsidRPr="007018D8">
              <w:rPr>
                <w:rFonts w:ascii="Garamond" w:hAnsi="Garamond"/>
                <w:sz w:val="16"/>
                <w:szCs w:val="16"/>
              </w:rPr>
              <w:t xml:space="preserve">s separately. In accordance with the Macroeconomic and Fiscal Policy Guidelines, the Ministry of Finance and Social Welfare sends expert instructions on budget preparation, with detailed instructions on financial and non-financial data. </w:t>
            </w:r>
            <w:r w:rsidR="00466ADE">
              <w:rPr>
                <w:rFonts w:ascii="Garamond" w:hAnsi="Garamond"/>
                <w:sz w:val="16"/>
                <w:szCs w:val="16"/>
              </w:rPr>
              <w:t>In</w:t>
            </w:r>
            <w:r w:rsidRPr="007018D8">
              <w:rPr>
                <w:rFonts w:ascii="Garamond" w:hAnsi="Garamond"/>
                <w:sz w:val="16"/>
                <w:szCs w:val="16"/>
              </w:rPr>
              <w:t xml:space="preserve"> 2020, during the preparation of the 2021</w:t>
            </w:r>
            <w:r>
              <w:rPr>
                <w:rFonts w:ascii="Garamond" w:hAnsi="Garamond"/>
                <w:sz w:val="16"/>
                <w:szCs w:val="16"/>
              </w:rPr>
              <w:t xml:space="preserve"> </w:t>
            </w:r>
            <w:r w:rsidRPr="007018D8">
              <w:rPr>
                <w:rFonts w:ascii="Garamond" w:hAnsi="Garamond"/>
                <w:sz w:val="16"/>
                <w:szCs w:val="16"/>
              </w:rPr>
              <w:t>Draft Budget</w:t>
            </w:r>
            <w:r w:rsidR="00BF1639" w:rsidRPr="007018D8">
              <w:rPr>
                <w:rFonts w:ascii="Garamond" w:hAnsi="Garamond"/>
                <w:sz w:val="16"/>
                <w:szCs w:val="16"/>
              </w:rPr>
              <w:t xml:space="preserve"> Law</w:t>
            </w:r>
            <w:r>
              <w:rPr>
                <w:rFonts w:ascii="Garamond" w:hAnsi="Garamond"/>
                <w:sz w:val="16"/>
                <w:szCs w:val="16"/>
              </w:rPr>
              <w:t xml:space="preserve">, budget requests were </w:t>
            </w:r>
            <w:r w:rsidRPr="007018D8">
              <w:rPr>
                <w:rFonts w:ascii="Garamond" w:hAnsi="Garamond"/>
                <w:sz w:val="16"/>
                <w:szCs w:val="16"/>
              </w:rPr>
              <w:t xml:space="preserve">filled </w:t>
            </w:r>
            <w:r>
              <w:rPr>
                <w:rFonts w:ascii="Garamond" w:hAnsi="Garamond"/>
                <w:sz w:val="16"/>
                <w:szCs w:val="16"/>
              </w:rPr>
              <w:t xml:space="preserve">in </w:t>
            </w:r>
            <w:r w:rsidRPr="007018D8">
              <w:rPr>
                <w:rFonts w:ascii="Garamond" w:hAnsi="Garamond"/>
                <w:sz w:val="16"/>
                <w:szCs w:val="16"/>
              </w:rPr>
              <w:t xml:space="preserve">and submitted electronically using the new IT system for budget planning in a </w:t>
            </w:r>
            <w:r w:rsidR="00BF1639">
              <w:rPr>
                <w:rFonts w:ascii="Garamond" w:hAnsi="Garamond"/>
                <w:sz w:val="16"/>
                <w:szCs w:val="16"/>
              </w:rPr>
              <w:t>pre</w:t>
            </w:r>
            <w:r w:rsidRPr="007018D8">
              <w:rPr>
                <w:rFonts w:ascii="Garamond" w:hAnsi="Garamond"/>
                <w:sz w:val="16"/>
                <w:szCs w:val="16"/>
              </w:rPr>
              <w:t xml:space="preserve">defined format, which the Ministry of Finance and Social Welfare </w:t>
            </w:r>
            <w:r w:rsidR="00466ADE">
              <w:rPr>
                <w:rFonts w:ascii="Garamond" w:hAnsi="Garamond"/>
                <w:sz w:val="16"/>
                <w:szCs w:val="16"/>
              </w:rPr>
              <w:t>was</w:t>
            </w:r>
            <w:r>
              <w:rPr>
                <w:rFonts w:ascii="Garamond" w:hAnsi="Garamond"/>
                <w:sz w:val="16"/>
                <w:szCs w:val="16"/>
              </w:rPr>
              <w:t xml:space="preserve"> </w:t>
            </w:r>
            <w:r w:rsidR="00B25D39">
              <w:rPr>
                <w:rFonts w:ascii="Garamond" w:hAnsi="Garamond"/>
                <w:sz w:val="16"/>
                <w:szCs w:val="16"/>
              </w:rPr>
              <w:t>return</w:t>
            </w:r>
            <w:r w:rsidR="00466ADE">
              <w:rPr>
                <w:rFonts w:ascii="Garamond" w:hAnsi="Garamond"/>
                <w:sz w:val="16"/>
                <w:szCs w:val="16"/>
              </w:rPr>
              <w:t>ing</w:t>
            </w:r>
            <w:r>
              <w:rPr>
                <w:rFonts w:ascii="Garamond" w:hAnsi="Garamond"/>
                <w:sz w:val="16"/>
                <w:szCs w:val="16"/>
              </w:rPr>
              <w:t xml:space="preserve"> back </w:t>
            </w:r>
            <w:r w:rsidR="00B25D39">
              <w:rPr>
                <w:rFonts w:ascii="Garamond" w:hAnsi="Garamond"/>
                <w:sz w:val="16"/>
                <w:szCs w:val="16"/>
              </w:rPr>
              <w:t xml:space="preserve">to spending units </w:t>
            </w:r>
            <w:r>
              <w:rPr>
                <w:rFonts w:ascii="Garamond" w:hAnsi="Garamond"/>
                <w:sz w:val="16"/>
                <w:szCs w:val="16"/>
              </w:rPr>
              <w:t>until full completio</w:t>
            </w:r>
            <w:r w:rsidR="00B25D39">
              <w:rPr>
                <w:rFonts w:ascii="Garamond" w:hAnsi="Garamond"/>
                <w:sz w:val="16"/>
                <w:szCs w:val="16"/>
              </w:rPr>
              <w:t>n</w:t>
            </w:r>
            <w:r w:rsidRPr="007018D8">
              <w:rPr>
                <w:rFonts w:ascii="Garamond" w:hAnsi="Garamond"/>
                <w:sz w:val="16"/>
                <w:szCs w:val="16"/>
              </w:rPr>
              <w:t xml:space="preserve"> and </w:t>
            </w:r>
            <w:r w:rsidR="00466ADE">
              <w:rPr>
                <w:rFonts w:ascii="Garamond" w:hAnsi="Garamond"/>
                <w:sz w:val="16"/>
                <w:szCs w:val="16"/>
              </w:rPr>
              <w:t>provision of</w:t>
            </w:r>
            <w:r w:rsidRPr="007018D8">
              <w:rPr>
                <w:rFonts w:ascii="Garamond" w:hAnsi="Garamond"/>
                <w:sz w:val="16"/>
                <w:szCs w:val="16"/>
              </w:rPr>
              <w:t xml:space="preserve"> quality information. Also, through meetings within the process of preparation and planning of the annual Budget Law, the Ministry of Finance and Social Welfare received additional information from </w:t>
            </w:r>
            <w:r w:rsidR="00B25D39">
              <w:rPr>
                <w:rFonts w:ascii="Garamond" w:hAnsi="Garamond"/>
                <w:sz w:val="16"/>
                <w:szCs w:val="16"/>
              </w:rPr>
              <w:t xml:space="preserve">the </w:t>
            </w:r>
            <w:r w:rsidRPr="007018D8">
              <w:rPr>
                <w:rFonts w:ascii="Garamond" w:hAnsi="Garamond"/>
                <w:sz w:val="16"/>
                <w:szCs w:val="16"/>
              </w:rPr>
              <w:t xml:space="preserve">spending units considered during the preparation process, which </w:t>
            </w:r>
            <w:r w:rsidR="00C90D2E">
              <w:rPr>
                <w:rFonts w:ascii="Garamond" w:hAnsi="Garamond"/>
                <w:sz w:val="16"/>
                <w:szCs w:val="16"/>
              </w:rPr>
              <w:t>makes</w:t>
            </w:r>
            <w:r w:rsidRPr="007018D8">
              <w:rPr>
                <w:rFonts w:ascii="Garamond" w:hAnsi="Garamond"/>
                <w:sz w:val="16"/>
                <w:szCs w:val="16"/>
              </w:rPr>
              <w:t xml:space="preserve"> the value of the </w:t>
            </w:r>
            <w:r w:rsidR="00B25D39" w:rsidRPr="007018D8">
              <w:rPr>
                <w:rFonts w:ascii="Garamond" w:hAnsi="Garamond"/>
                <w:sz w:val="16"/>
                <w:szCs w:val="16"/>
              </w:rPr>
              <w:t>performance indicator</w:t>
            </w:r>
            <w:r w:rsidRPr="007018D8">
              <w:rPr>
                <w:rFonts w:ascii="Garamond" w:hAnsi="Garamond"/>
                <w:sz w:val="16"/>
                <w:szCs w:val="16"/>
              </w:rPr>
              <w:t>, observed overall</w:t>
            </w:r>
            <w:r w:rsidR="00B25D39">
              <w:rPr>
                <w:rFonts w:ascii="Garamond" w:hAnsi="Garamond"/>
                <w:sz w:val="16"/>
                <w:szCs w:val="16"/>
              </w:rPr>
              <w:t>,</w:t>
            </w:r>
            <w:r w:rsidRPr="007018D8">
              <w:rPr>
                <w:rFonts w:ascii="Garamond" w:hAnsi="Garamond"/>
                <w:sz w:val="16"/>
                <w:szCs w:val="16"/>
              </w:rPr>
              <w:t xml:space="preserve"> at a satisfactory level.</w:t>
            </w:r>
          </w:p>
        </w:tc>
      </w:tr>
      <w:tr w:rsidR="00264D25" w:rsidRPr="00290B32" w:rsidTr="00D43372">
        <w:trPr>
          <w:gridAfter w:val="1"/>
          <w:wAfter w:w="19" w:type="dxa"/>
          <w:trHeight w:val="620"/>
          <w:jc w:val="center"/>
        </w:trPr>
        <w:tc>
          <w:tcPr>
            <w:tcW w:w="2721" w:type="dxa"/>
            <w:vMerge/>
            <w:shd w:val="clear" w:color="auto" w:fill="auto"/>
            <w:vAlign w:val="center"/>
          </w:tcPr>
          <w:p w:rsidR="00264D25" w:rsidRPr="00290B32" w:rsidRDefault="00264D25" w:rsidP="00D43372">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264D25" w:rsidRPr="004D6BBE" w:rsidRDefault="00264D25" w:rsidP="00D43372">
            <w:pPr>
              <w:jc w:val="center"/>
              <w:rPr>
                <w:rFonts w:ascii="Garamond" w:hAnsi="Garamond"/>
                <w:color w:val="365F91" w:themeColor="accent1" w:themeShade="BF"/>
                <w:sz w:val="16"/>
                <w:szCs w:val="16"/>
              </w:rPr>
            </w:pPr>
            <w:r w:rsidRPr="004D6BBE">
              <w:rPr>
                <w:rFonts w:ascii="Garamond" w:hAnsi="Garamond"/>
                <w:color w:val="365F91" w:themeColor="accent1" w:themeShade="BF"/>
                <w:sz w:val="16"/>
                <w:szCs w:val="16"/>
              </w:rPr>
              <w:t>FORMULA / EQUATION</w:t>
            </w:r>
          </w:p>
          <w:p w:rsidR="00264D25" w:rsidRPr="00290B32" w:rsidRDefault="00C90D2E" w:rsidP="00C90D2E">
            <w:pPr>
              <w:jc w:val="center"/>
              <w:rPr>
                <w:rFonts w:ascii="Garamond" w:eastAsia="Calibri" w:hAnsi="Garamond"/>
                <w:sz w:val="16"/>
                <w:szCs w:val="16"/>
                <w:lang w:eastAsia="en-US" w:bidi="ar-SA"/>
              </w:rPr>
            </w:pPr>
            <w:r w:rsidRPr="00C90D2E">
              <w:rPr>
                <w:rFonts w:ascii="Garamond" w:hAnsi="Garamond"/>
                <w:i/>
                <w:sz w:val="16"/>
                <w:szCs w:val="16"/>
              </w:rPr>
              <w:t xml:space="preserve">Number of </w:t>
            </w:r>
            <w:r>
              <w:rPr>
                <w:rFonts w:ascii="Garamond" w:hAnsi="Garamond"/>
                <w:i/>
                <w:sz w:val="16"/>
                <w:szCs w:val="16"/>
              </w:rPr>
              <w:t>spending</w:t>
            </w:r>
            <w:r w:rsidRPr="00C90D2E">
              <w:rPr>
                <w:rFonts w:ascii="Garamond" w:hAnsi="Garamond"/>
                <w:i/>
                <w:sz w:val="16"/>
                <w:szCs w:val="16"/>
              </w:rPr>
              <w:t xml:space="preserve"> units providing comprehensive information / Total number of </w:t>
            </w:r>
            <w:r>
              <w:rPr>
                <w:rFonts w:ascii="Garamond" w:hAnsi="Garamond"/>
                <w:i/>
                <w:sz w:val="16"/>
                <w:szCs w:val="16"/>
              </w:rPr>
              <w:t>spending</w:t>
            </w:r>
            <w:r w:rsidRPr="00C90D2E">
              <w:rPr>
                <w:rFonts w:ascii="Garamond" w:hAnsi="Garamond"/>
                <w:i/>
                <w:sz w:val="16"/>
                <w:szCs w:val="16"/>
              </w:rPr>
              <w:t xml:space="preserve"> units X 100</w:t>
            </w:r>
          </w:p>
        </w:tc>
      </w:tr>
      <w:tr w:rsidR="00264D25" w:rsidRPr="00290B32" w:rsidTr="00D43372">
        <w:trPr>
          <w:gridAfter w:val="1"/>
          <w:wAfter w:w="19" w:type="dxa"/>
          <w:trHeight w:val="585"/>
          <w:jc w:val="center"/>
        </w:trPr>
        <w:tc>
          <w:tcPr>
            <w:tcW w:w="2721" w:type="dxa"/>
            <w:vAlign w:val="center"/>
          </w:tcPr>
          <w:p w:rsidR="00264D25" w:rsidRPr="00290B32" w:rsidRDefault="00264D25" w:rsidP="00D43372">
            <w:pPr>
              <w:autoSpaceDE/>
              <w:autoSpaceDN/>
              <w:rPr>
                <w:rFonts w:ascii="Garamond" w:eastAsia="Calibri" w:hAnsi="Garamond"/>
                <w:b/>
                <w:bCs/>
                <w:caps/>
                <w:sz w:val="16"/>
                <w:szCs w:val="16"/>
                <w:lang w:val="en-GB" w:eastAsia="en-US" w:bidi="ar-SA"/>
              </w:rPr>
            </w:pPr>
            <w:r w:rsidRPr="0056213B">
              <w:rPr>
                <w:rFonts w:ascii="Garamond" w:eastAsia="Calibri" w:hAnsi="Garamond"/>
                <w:b/>
                <w:caps/>
                <w:sz w:val="16"/>
                <w:szCs w:val="16"/>
                <w:lang w:val="uz-Cyrl-UZ" w:eastAsia="en-US" w:bidi="ar-SA"/>
              </w:rPr>
              <w:t>BASELINE</w:t>
            </w:r>
            <w:r w:rsidRPr="0056213B">
              <w:rPr>
                <w:rFonts w:ascii="Garamond" w:eastAsia="Calibri" w:hAnsi="Garamond"/>
                <w:b/>
                <w:caps/>
                <w:sz w:val="16"/>
                <w:szCs w:val="16"/>
                <w:lang w:val="en-GB" w:eastAsia="en-US" w:bidi="ar-SA"/>
              </w:rPr>
              <w:t xml:space="preserve"> DATA</w:t>
            </w:r>
          </w:p>
        </w:tc>
        <w:tc>
          <w:tcPr>
            <w:tcW w:w="6836" w:type="dxa"/>
            <w:gridSpan w:val="4"/>
            <w:vAlign w:val="center"/>
          </w:tcPr>
          <w:p w:rsidR="00264D25" w:rsidRPr="00290B32" w:rsidRDefault="00264D25" w:rsidP="00B25D39">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 xml:space="preserve">PV (2014): </w:t>
            </w:r>
            <w:r w:rsidR="00C90D2E">
              <w:rPr>
                <w:rFonts w:ascii="Garamond" w:eastAsia="Calibri" w:hAnsi="Garamond"/>
                <w:sz w:val="16"/>
                <w:szCs w:val="16"/>
                <w:lang w:val="en-GB" w:eastAsia="en-US" w:bidi="ar-SA"/>
              </w:rPr>
              <w:t>40%</w:t>
            </w:r>
          </w:p>
        </w:tc>
      </w:tr>
      <w:tr w:rsidR="00264D25" w:rsidRPr="00290B32" w:rsidTr="00D43372">
        <w:trPr>
          <w:gridAfter w:val="1"/>
          <w:wAfter w:w="19" w:type="dxa"/>
          <w:trHeight w:val="160"/>
          <w:jc w:val="center"/>
        </w:trPr>
        <w:tc>
          <w:tcPr>
            <w:tcW w:w="2721" w:type="dxa"/>
            <w:vMerge w:val="restart"/>
            <w:vAlign w:val="center"/>
          </w:tcPr>
          <w:p w:rsidR="00264D25" w:rsidRPr="00290B32" w:rsidRDefault="00264D25" w:rsidP="00D43372">
            <w:pPr>
              <w:autoSpaceDE/>
              <w:autoSpaceDN/>
              <w:rPr>
                <w:rFonts w:ascii="Garamond" w:eastAsia="Calibri" w:hAnsi="Garamond"/>
                <w:b/>
                <w:bCs/>
                <w:caps/>
                <w:sz w:val="16"/>
                <w:szCs w:val="16"/>
                <w:lang w:val="uz-Cyrl-UZ" w:eastAsia="en-US" w:bidi="ar-SA"/>
              </w:rPr>
            </w:pPr>
            <w:r w:rsidRPr="0056213B">
              <w:rPr>
                <w:rFonts w:ascii="Garamond" w:eastAsia="Calibri" w:hAnsi="Garamond"/>
                <w:b/>
                <w:caps/>
                <w:sz w:val="16"/>
                <w:szCs w:val="16"/>
                <w:lang w:val="uz-Cyrl-UZ" w:eastAsia="en-US" w:bidi="ar-SA"/>
              </w:rPr>
              <w:t>TARGET VALUE DATA</w:t>
            </w:r>
          </w:p>
        </w:tc>
        <w:tc>
          <w:tcPr>
            <w:tcW w:w="1771" w:type="dxa"/>
            <w:vAlign w:val="center"/>
          </w:tcPr>
          <w:p w:rsidR="00264D25" w:rsidRPr="00290B32" w:rsidRDefault="00264D25"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2017</w:t>
            </w:r>
          </w:p>
        </w:tc>
        <w:tc>
          <w:tcPr>
            <w:tcW w:w="1771" w:type="dxa"/>
            <w:vAlign w:val="center"/>
          </w:tcPr>
          <w:p w:rsidR="00264D25" w:rsidRPr="00290B32" w:rsidRDefault="00264D25"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2018</w:t>
            </w:r>
          </w:p>
        </w:tc>
        <w:tc>
          <w:tcPr>
            <w:tcW w:w="1771" w:type="dxa"/>
            <w:vAlign w:val="center"/>
          </w:tcPr>
          <w:p w:rsidR="00264D25" w:rsidRPr="00290B32" w:rsidRDefault="00264D25"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2019</w:t>
            </w:r>
          </w:p>
        </w:tc>
        <w:tc>
          <w:tcPr>
            <w:tcW w:w="1523" w:type="dxa"/>
            <w:vAlign w:val="center"/>
          </w:tcPr>
          <w:p w:rsidR="00264D25" w:rsidRPr="00290B32" w:rsidRDefault="00264D25"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2020</w:t>
            </w:r>
          </w:p>
        </w:tc>
      </w:tr>
      <w:tr w:rsidR="00C90D2E" w:rsidRPr="00290B32" w:rsidTr="00D43372">
        <w:trPr>
          <w:gridAfter w:val="1"/>
          <w:wAfter w:w="19" w:type="dxa"/>
          <w:trHeight w:val="160"/>
          <w:jc w:val="center"/>
        </w:trPr>
        <w:tc>
          <w:tcPr>
            <w:tcW w:w="2721" w:type="dxa"/>
            <w:vMerge/>
            <w:vAlign w:val="center"/>
          </w:tcPr>
          <w:p w:rsidR="00C90D2E" w:rsidRPr="00290B32" w:rsidRDefault="00C90D2E" w:rsidP="00D43372">
            <w:pPr>
              <w:autoSpaceDE/>
              <w:autoSpaceDN/>
              <w:rPr>
                <w:rFonts w:ascii="Garamond" w:eastAsia="Calibri" w:hAnsi="Garamond"/>
                <w:b/>
                <w:bCs/>
                <w:caps/>
                <w:sz w:val="16"/>
                <w:szCs w:val="16"/>
                <w:lang w:val="uz-Cyrl-UZ" w:eastAsia="en-US" w:bidi="ar-SA"/>
              </w:rPr>
            </w:pPr>
          </w:p>
        </w:tc>
        <w:tc>
          <w:tcPr>
            <w:tcW w:w="1771" w:type="dxa"/>
            <w:vAlign w:val="center"/>
          </w:tcPr>
          <w:p w:rsidR="00C90D2E" w:rsidRPr="00AE0CB3" w:rsidRDefault="00C90D2E" w:rsidP="00D43372">
            <w:pPr>
              <w:pStyle w:val="TabelaTekst"/>
              <w:spacing w:before="0" w:after="0" w:line="240" w:lineRule="auto"/>
              <w:jc w:val="center"/>
              <w:rPr>
                <w:rFonts w:ascii="Garamond" w:hAnsi="Garamond"/>
              </w:rPr>
            </w:pPr>
            <w:r w:rsidRPr="00AE0CB3">
              <w:rPr>
                <w:rFonts w:ascii="Garamond" w:hAnsi="Garamond"/>
              </w:rPr>
              <w:t>75%</w:t>
            </w:r>
          </w:p>
        </w:tc>
        <w:tc>
          <w:tcPr>
            <w:tcW w:w="1771" w:type="dxa"/>
            <w:vAlign w:val="center"/>
          </w:tcPr>
          <w:p w:rsidR="00C90D2E" w:rsidRPr="00AE0CB3" w:rsidRDefault="00C90D2E" w:rsidP="00D43372">
            <w:pPr>
              <w:pStyle w:val="TabelaTekst"/>
              <w:spacing w:before="0" w:after="0" w:line="240" w:lineRule="auto"/>
              <w:jc w:val="center"/>
              <w:rPr>
                <w:rFonts w:ascii="Garamond" w:hAnsi="Garamond"/>
              </w:rPr>
            </w:pPr>
            <w:r w:rsidRPr="00AE0CB3">
              <w:rPr>
                <w:rFonts w:ascii="Garamond" w:hAnsi="Garamond"/>
              </w:rPr>
              <w:t>80%</w:t>
            </w:r>
          </w:p>
        </w:tc>
        <w:tc>
          <w:tcPr>
            <w:tcW w:w="1771" w:type="dxa"/>
            <w:vAlign w:val="center"/>
          </w:tcPr>
          <w:p w:rsidR="00C90D2E" w:rsidRPr="00AE0CB3" w:rsidRDefault="00C90D2E" w:rsidP="00D43372">
            <w:pPr>
              <w:pStyle w:val="TabelaTekst"/>
              <w:spacing w:before="0" w:after="0" w:line="240" w:lineRule="auto"/>
              <w:jc w:val="center"/>
              <w:rPr>
                <w:rFonts w:ascii="Garamond" w:hAnsi="Garamond"/>
              </w:rPr>
            </w:pPr>
            <w:r w:rsidRPr="00AE0CB3">
              <w:rPr>
                <w:rFonts w:ascii="Garamond" w:hAnsi="Garamond"/>
              </w:rPr>
              <w:t>90%</w:t>
            </w:r>
          </w:p>
        </w:tc>
        <w:tc>
          <w:tcPr>
            <w:tcW w:w="1523" w:type="dxa"/>
            <w:vAlign w:val="center"/>
          </w:tcPr>
          <w:p w:rsidR="00C90D2E" w:rsidRPr="00AE0CB3" w:rsidRDefault="00C90D2E" w:rsidP="00D43372">
            <w:pPr>
              <w:pStyle w:val="TabelaTekst"/>
              <w:spacing w:before="0" w:after="0" w:line="240" w:lineRule="auto"/>
              <w:jc w:val="center"/>
              <w:rPr>
                <w:rFonts w:ascii="Garamond" w:hAnsi="Garamond"/>
              </w:rPr>
            </w:pPr>
            <w:r w:rsidRPr="00AE0CB3">
              <w:rPr>
                <w:rFonts w:ascii="Garamond" w:hAnsi="Garamond"/>
              </w:rPr>
              <w:t>100%</w:t>
            </w:r>
          </w:p>
        </w:tc>
      </w:tr>
      <w:tr w:rsidR="00C90D2E" w:rsidRPr="00290B32" w:rsidTr="00D43372">
        <w:trPr>
          <w:gridAfter w:val="1"/>
          <w:wAfter w:w="19" w:type="dxa"/>
          <w:trHeight w:val="160"/>
          <w:jc w:val="center"/>
        </w:trPr>
        <w:tc>
          <w:tcPr>
            <w:tcW w:w="2721" w:type="dxa"/>
            <w:vAlign w:val="center"/>
          </w:tcPr>
          <w:p w:rsidR="00C90D2E" w:rsidRPr="00290B32" w:rsidRDefault="0062456A" w:rsidP="00D43372">
            <w:pPr>
              <w:autoSpaceDE/>
              <w:autoSpaceDN/>
              <w:rPr>
                <w:rFonts w:ascii="Garamond" w:eastAsia="Calibri" w:hAnsi="Garamond"/>
                <w:b/>
                <w:bCs/>
                <w:caps/>
                <w:sz w:val="16"/>
                <w:szCs w:val="16"/>
                <w:lang w:val="uz-Cyrl-UZ" w:eastAsia="en-US" w:bidi="ar-SA"/>
              </w:rPr>
            </w:pPr>
            <w:r>
              <w:rPr>
                <w:rFonts w:ascii="Garamond" w:eastAsia="Calibri" w:hAnsi="Garamond"/>
                <w:b/>
                <w:bCs/>
                <w:caps/>
                <w:sz w:val="16"/>
                <w:szCs w:val="16"/>
                <w:lang w:val="uz-Cyrl-UZ" w:eastAsia="en-US" w:bidi="ar-SA"/>
              </w:rPr>
              <w:t>DATA ON VALUES ACHIEVED</w:t>
            </w:r>
          </w:p>
        </w:tc>
        <w:tc>
          <w:tcPr>
            <w:tcW w:w="1771" w:type="dxa"/>
            <w:vAlign w:val="center"/>
          </w:tcPr>
          <w:p w:rsidR="00C90D2E" w:rsidRPr="00AE0CB3" w:rsidRDefault="00C90D2E" w:rsidP="00D43372">
            <w:pPr>
              <w:pStyle w:val="TabelaTekst"/>
              <w:spacing w:before="0" w:after="0" w:line="240" w:lineRule="auto"/>
              <w:jc w:val="center"/>
              <w:rPr>
                <w:rFonts w:ascii="Garamond" w:hAnsi="Garamond"/>
              </w:rPr>
            </w:pPr>
            <w:r w:rsidRPr="00AE0CB3">
              <w:rPr>
                <w:rFonts w:ascii="Garamond" w:hAnsi="Garamond"/>
              </w:rPr>
              <w:t>70%</w:t>
            </w:r>
          </w:p>
        </w:tc>
        <w:tc>
          <w:tcPr>
            <w:tcW w:w="1771" w:type="dxa"/>
            <w:vAlign w:val="center"/>
          </w:tcPr>
          <w:p w:rsidR="00C90D2E" w:rsidRPr="00AE0CB3" w:rsidRDefault="00C90D2E" w:rsidP="00D43372">
            <w:pPr>
              <w:pStyle w:val="TabelaTekst"/>
              <w:spacing w:before="0" w:after="0" w:line="240" w:lineRule="auto"/>
              <w:jc w:val="center"/>
              <w:rPr>
                <w:rFonts w:ascii="Garamond" w:hAnsi="Garamond"/>
              </w:rPr>
            </w:pPr>
            <w:r w:rsidRPr="00AE0CB3">
              <w:rPr>
                <w:rFonts w:ascii="Garamond" w:hAnsi="Garamond"/>
              </w:rPr>
              <w:t>80%</w:t>
            </w:r>
          </w:p>
        </w:tc>
        <w:tc>
          <w:tcPr>
            <w:tcW w:w="1771" w:type="dxa"/>
            <w:vAlign w:val="center"/>
          </w:tcPr>
          <w:p w:rsidR="00C90D2E" w:rsidRPr="00AE0CB3" w:rsidRDefault="00C90D2E" w:rsidP="00D43372">
            <w:pPr>
              <w:pStyle w:val="TabelaTekst"/>
              <w:spacing w:before="0" w:after="0" w:line="240" w:lineRule="auto"/>
              <w:jc w:val="center"/>
              <w:rPr>
                <w:rFonts w:ascii="Garamond" w:hAnsi="Garamond"/>
                <w:lang w:val="sr-Latn-CS"/>
              </w:rPr>
            </w:pPr>
            <w:r w:rsidRPr="00AE0CB3">
              <w:rPr>
                <w:rFonts w:ascii="Garamond" w:hAnsi="Garamond"/>
                <w:lang w:val="sr-Latn-CS"/>
              </w:rPr>
              <w:t>90%</w:t>
            </w:r>
          </w:p>
        </w:tc>
        <w:tc>
          <w:tcPr>
            <w:tcW w:w="1523" w:type="dxa"/>
            <w:vAlign w:val="center"/>
          </w:tcPr>
          <w:p w:rsidR="00C90D2E" w:rsidRPr="00AE0CB3" w:rsidRDefault="00C90D2E" w:rsidP="00D43372">
            <w:pPr>
              <w:pStyle w:val="TabelaTekst"/>
              <w:spacing w:before="0" w:after="0" w:line="240" w:lineRule="auto"/>
              <w:jc w:val="center"/>
              <w:rPr>
                <w:rFonts w:ascii="Garamond" w:hAnsi="Garamond"/>
              </w:rPr>
            </w:pPr>
            <w:r w:rsidRPr="00AE0CB3">
              <w:rPr>
                <w:rFonts w:ascii="Garamond" w:hAnsi="Garamond" w:cstheme="minorHAnsi"/>
                <w:szCs w:val="18"/>
                <w:lang w:val="en-US"/>
              </w:rPr>
              <w:t>100%</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C90D2E">
      <w:pPr>
        <w:pStyle w:val="Heading3"/>
        <w:rPr>
          <w:rFonts w:ascii="Garamond" w:hAnsi="Garamond"/>
          <w:sz w:val="24"/>
          <w:szCs w:val="24"/>
        </w:rPr>
      </w:pPr>
      <w:bookmarkStart w:id="40" w:name="_Toc77688217"/>
      <w:r w:rsidRPr="00C32887">
        <w:rPr>
          <w:rFonts w:ascii="Garamond" w:hAnsi="Garamond"/>
          <w:sz w:val="24"/>
          <w:szCs w:val="24"/>
        </w:rPr>
        <w:t xml:space="preserve">1.2.2      </w:t>
      </w:r>
      <w:r w:rsidR="00C90D2E">
        <w:rPr>
          <w:rFonts w:ascii="Garamond" w:hAnsi="Garamond"/>
          <w:sz w:val="24"/>
          <w:szCs w:val="24"/>
        </w:rPr>
        <w:t>PERFORMANCE INDICATOR 5</w:t>
      </w:r>
      <w:r w:rsidR="00C90D2E" w:rsidRPr="00C90D2E">
        <w:rPr>
          <w:rFonts w:ascii="Garamond" w:hAnsi="Garamond"/>
          <w:sz w:val="24"/>
          <w:szCs w:val="24"/>
        </w:rPr>
        <w:t xml:space="preserve"> </w:t>
      </w:r>
      <w:r w:rsidR="00C90D2E" w:rsidRPr="00C32887">
        <w:rPr>
          <w:rFonts w:ascii="Garamond" w:hAnsi="Garamond"/>
          <w:sz w:val="24"/>
          <w:szCs w:val="24"/>
        </w:rPr>
        <w:t>PASSPORT</w:t>
      </w:r>
      <w:bookmarkEnd w:id="40"/>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C90D2E" w:rsidRPr="003C5536" w:rsidTr="00D43372">
        <w:trPr>
          <w:jc w:val="center"/>
        </w:trPr>
        <w:tc>
          <w:tcPr>
            <w:tcW w:w="2721" w:type="dxa"/>
            <w:tcBorders>
              <w:right w:val="single" w:sz="4" w:space="0" w:color="FFFFFF"/>
            </w:tcBorders>
            <w:shd w:val="clear" w:color="auto" w:fill="BFBFBF"/>
            <w:vAlign w:val="center"/>
          </w:tcPr>
          <w:p w:rsidR="00C90D2E" w:rsidRPr="003C5536" w:rsidRDefault="00C90D2E" w:rsidP="00D43372">
            <w:pPr>
              <w:autoSpaceDE/>
              <w:autoSpaceDN/>
              <w:rPr>
                <w:rFonts w:ascii="Garamond" w:eastAsia="Calibri" w:hAnsi="Garamond"/>
                <w:b/>
                <w:caps/>
                <w:sz w:val="16"/>
                <w:szCs w:val="16"/>
                <w:lang w:val="en-GB" w:eastAsia="en-US" w:bidi="ar-SA"/>
              </w:rPr>
            </w:pPr>
            <w:r w:rsidRPr="003C5536">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C90D2E" w:rsidRPr="003C5536" w:rsidRDefault="00C90D2E" w:rsidP="00C90D2E">
            <w:pPr>
              <w:pStyle w:val="Default"/>
              <w:jc w:val="both"/>
              <w:rPr>
                <w:rFonts w:ascii="Garamond" w:eastAsia="Calibri" w:hAnsi="Garamond"/>
                <w:b/>
                <w:sz w:val="16"/>
                <w:szCs w:val="16"/>
                <w:lang w:eastAsia="en-US"/>
              </w:rPr>
            </w:pPr>
            <w:r w:rsidRPr="003C5536">
              <w:rPr>
                <w:rFonts w:ascii="Garamond" w:hAnsi="Garamond"/>
                <w:sz w:val="16"/>
                <w:szCs w:val="16"/>
              </w:rPr>
              <w:t xml:space="preserve">Level of performance information included in budget planning </w:t>
            </w:r>
          </w:p>
        </w:tc>
      </w:tr>
      <w:tr w:rsidR="00C90D2E" w:rsidRPr="003C5536" w:rsidTr="00D43372">
        <w:trPr>
          <w:gridAfter w:val="1"/>
          <w:wAfter w:w="19" w:type="dxa"/>
          <w:jc w:val="center"/>
        </w:trPr>
        <w:tc>
          <w:tcPr>
            <w:tcW w:w="2721" w:type="dxa"/>
            <w:vAlign w:val="center"/>
          </w:tcPr>
          <w:p w:rsidR="00C90D2E" w:rsidRPr="003C5536" w:rsidRDefault="00C90D2E" w:rsidP="00D43372">
            <w:pPr>
              <w:autoSpaceDE/>
              <w:autoSpaceDN/>
              <w:rPr>
                <w:rFonts w:ascii="Garamond" w:eastAsia="Calibri" w:hAnsi="Garamond"/>
                <w:b/>
                <w:caps/>
                <w:sz w:val="16"/>
                <w:szCs w:val="16"/>
                <w:lang w:val="en-GB" w:eastAsia="en-US" w:bidi="ar-SA"/>
              </w:rPr>
            </w:pPr>
            <w:r w:rsidRPr="003C5536">
              <w:rPr>
                <w:rFonts w:ascii="Garamond" w:eastAsia="Calibri" w:hAnsi="Garamond"/>
                <w:b/>
                <w:caps/>
                <w:sz w:val="16"/>
                <w:szCs w:val="16"/>
                <w:lang w:val="en-GB" w:eastAsia="en-US" w:bidi="ar-SA"/>
              </w:rPr>
              <w:t>corresponding objective or activity</w:t>
            </w:r>
          </w:p>
        </w:tc>
        <w:tc>
          <w:tcPr>
            <w:tcW w:w="6836" w:type="dxa"/>
            <w:gridSpan w:val="4"/>
            <w:vAlign w:val="center"/>
          </w:tcPr>
          <w:p w:rsidR="00C90D2E" w:rsidRPr="003C5536" w:rsidRDefault="00C90D2E" w:rsidP="00D43372">
            <w:pPr>
              <w:rPr>
                <w:rFonts w:ascii="Garamond" w:hAnsi="Garamond"/>
                <w:color w:val="365F91" w:themeColor="accent1" w:themeShade="BF"/>
                <w:sz w:val="16"/>
                <w:szCs w:val="16"/>
              </w:rPr>
            </w:pPr>
            <w:r w:rsidRPr="003C5536">
              <w:rPr>
                <w:rFonts w:ascii="Garamond" w:hAnsi="Garamond"/>
                <w:color w:val="365F91" w:themeColor="accent1" w:themeShade="BF"/>
                <w:sz w:val="16"/>
                <w:szCs w:val="16"/>
              </w:rPr>
              <w:t>Sustainable fiscal framework, public expenditure planning and budgeting</w:t>
            </w:r>
          </w:p>
          <w:p w:rsidR="00C90D2E" w:rsidRPr="003C5536" w:rsidRDefault="00C90D2E" w:rsidP="00D43372">
            <w:pPr>
              <w:pStyle w:val="ListParagraph"/>
              <w:numPr>
                <w:ilvl w:val="0"/>
                <w:numId w:val="28"/>
              </w:numPr>
              <w:rPr>
                <w:rFonts w:ascii="Garamond" w:eastAsia="Calibri" w:hAnsi="Garamond"/>
                <w:i/>
                <w:sz w:val="16"/>
                <w:szCs w:val="16"/>
                <w:lang w:eastAsia="en-US" w:bidi="ar-SA"/>
              </w:rPr>
            </w:pPr>
            <w:r w:rsidRPr="003C5536">
              <w:rPr>
                <w:rFonts w:ascii="Garamond" w:hAnsi="Garamond"/>
                <w:color w:val="365F91" w:themeColor="accent1" w:themeShade="BF"/>
                <w:sz w:val="16"/>
                <w:szCs w:val="16"/>
                <w:u w:val="single"/>
              </w:rPr>
              <w:t xml:space="preserve">Annual budgeting </w:t>
            </w:r>
          </w:p>
          <w:p w:rsidR="00C90D2E" w:rsidRPr="003C5536" w:rsidRDefault="00C90D2E" w:rsidP="00C90D2E">
            <w:pPr>
              <w:rPr>
                <w:rFonts w:ascii="Garamond" w:eastAsia="Calibri" w:hAnsi="Garamond"/>
                <w:color w:val="000000" w:themeColor="text1"/>
                <w:sz w:val="16"/>
                <w:szCs w:val="16"/>
                <w:lang w:eastAsia="en-US" w:bidi="ar-SA"/>
              </w:rPr>
            </w:pPr>
            <w:r w:rsidRPr="003C5536">
              <w:rPr>
                <w:rFonts w:ascii="Garamond" w:eastAsia="Calibri" w:hAnsi="Garamond"/>
                <w:color w:val="000000" w:themeColor="text1"/>
                <w:sz w:val="16"/>
                <w:szCs w:val="16"/>
                <w:lang w:eastAsia="en-US" w:bidi="ar-SA"/>
              </w:rPr>
              <w:t xml:space="preserve">Create an efficient system for measuring the performance of budget programmes in order to increase the efficiency and transparency of public expenditure </w:t>
            </w:r>
          </w:p>
        </w:tc>
      </w:tr>
      <w:tr w:rsidR="00C90D2E" w:rsidRPr="003C5536" w:rsidTr="00D43372">
        <w:trPr>
          <w:gridAfter w:val="1"/>
          <w:wAfter w:w="19" w:type="dxa"/>
          <w:jc w:val="center"/>
        </w:trPr>
        <w:tc>
          <w:tcPr>
            <w:tcW w:w="2721" w:type="dxa"/>
            <w:vAlign w:val="center"/>
          </w:tcPr>
          <w:p w:rsidR="00C90D2E" w:rsidRPr="003C5536" w:rsidRDefault="00C90D2E" w:rsidP="00D43372">
            <w:pPr>
              <w:autoSpaceDE/>
              <w:autoSpaceDN/>
              <w:rPr>
                <w:rFonts w:ascii="Garamond" w:eastAsia="Calibri" w:hAnsi="Garamond"/>
                <w:b/>
                <w:caps/>
                <w:sz w:val="16"/>
                <w:szCs w:val="16"/>
                <w:lang w:val="uz-Cyrl-UZ" w:eastAsia="en-US" w:bidi="ar-SA"/>
              </w:rPr>
            </w:pPr>
            <w:r w:rsidRPr="003C5536">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C90D2E" w:rsidRPr="003C5536" w:rsidRDefault="00C90D2E" w:rsidP="00362493">
            <w:pPr>
              <w:jc w:val="both"/>
              <w:rPr>
                <w:rFonts w:ascii="Garamond" w:eastAsia="Calibri" w:hAnsi="Garamond"/>
                <w:sz w:val="16"/>
                <w:szCs w:val="16"/>
                <w:lang w:eastAsia="en-US" w:bidi="ar-SA"/>
              </w:rPr>
            </w:pPr>
            <w:r w:rsidRPr="003C5536">
              <w:rPr>
                <w:rFonts w:ascii="Garamond" w:eastAsia="Calibri" w:hAnsi="Garamond"/>
                <w:sz w:val="16"/>
                <w:szCs w:val="16"/>
                <w:lang w:eastAsia="en-US" w:bidi="ar-SA"/>
              </w:rPr>
              <w:t xml:space="preserve">Law and </w:t>
            </w:r>
            <w:r w:rsidR="00A87926" w:rsidRPr="003C5536">
              <w:rPr>
                <w:rFonts w:ascii="Garamond" w:eastAsia="Calibri" w:hAnsi="Garamond"/>
                <w:sz w:val="16"/>
                <w:szCs w:val="16"/>
                <w:lang w:eastAsia="en-US" w:bidi="ar-SA"/>
              </w:rPr>
              <w:t xml:space="preserve">Explanatory Note </w:t>
            </w:r>
            <w:r w:rsidR="00362493" w:rsidRPr="003C5536">
              <w:rPr>
                <w:rFonts w:ascii="Garamond" w:eastAsia="Calibri" w:hAnsi="Garamond"/>
                <w:sz w:val="16"/>
                <w:szCs w:val="16"/>
                <w:lang w:eastAsia="en-US" w:bidi="ar-SA"/>
              </w:rPr>
              <w:t>to</w:t>
            </w:r>
            <w:r w:rsidRPr="003C5536">
              <w:rPr>
                <w:rFonts w:ascii="Garamond" w:eastAsia="Calibri" w:hAnsi="Garamond"/>
                <w:sz w:val="16"/>
                <w:szCs w:val="16"/>
                <w:lang w:eastAsia="en-US" w:bidi="ar-SA"/>
              </w:rPr>
              <w:t xml:space="preserve"> the Budget Law for the fiscal year</w:t>
            </w:r>
          </w:p>
        </w:tc>
      </w:tr>
      <w:tr w:rsidR="00C90D2E" w:rsidRPr="003C5536" w:rsidTr="00D43372">
        <w:trPr>
          <w:gridAfter w:val="1"/>
          <w:wAfter w:w="19" w:type="dxa"/>
          <w:jc w:val="center"/>
        </w:trPr>
        <w:tc>
          <w:tcPr>
            <w:tcW w:w="2721" w:type="dxa"/>
            <w:vAlign w:val="center"/>
          </w:tcPr>
          <w:p w:rsidR="00C90D2E" w:rsidRPr="003C5536" w:rsidRDefault="00C90D2E" w:rsidP="00D43372">
            <w:pPr>
              <w:autoSpaceDE/>
              <w:autoSpaceDN/>
              <w:rPr>
                <w:rFonts w:ascii="Garamond" w:eastAsia="Calibri" w:hAnsi="Garamond"/>
                <w:b/>
                <w:caps/>
                <w:sz w:val="16"/>
                <w:szCs w:val="16"/>
                <w:lang w:val="uz-Cyrl-UZ" w:eastAsia="en-US" w:bidi="ar-SA"/>
              </w:rPr>
            </w:pPr>
            <w:r w:rsidRPr="003C5536">
              <w:rPr>
                <w:rFonts w:ascii="Garamond" w:eastAsia="Calibri" w:hAnsi="Garamond"/>
                <w:b/>
                <w:caps/>
                <w:sz w:val="16"/>
                <w:szCs w:val="16"/>
                <w:lang w:val="uz-Cyrl-UZ" w:eastAsia="en-US" w:bidi="ar-SA"/>
              </w:rPr>
              <w:t>NAME OF DATA COLLECTION HOLDER</w:t>
            </w:r>
          </w:p>
        </w:tc>
        <w:tc>
          <w:tcPr>
            <w:tcW w:w="6836" w:type="dxa"/>
            <w:gridSpan w:val="4"/>
            <w:vAlign w:val="center"/>
          </w:tcPr>
          <w:p w:rsidR="00C90D2E" w:rsidRPr="003C5536" w:rsidRDefault="00C90D2E" w:rsidP="00D43372">
            <w:pPr>
              <w:rPr>
                <w:rFonts w:ascii="Garamond" w:hAnsi="Garamond"/>
                <w:sz w:val="16"/>
                <w:szCs w:val="16"/>
              </w:rPr>
            </w:pPr>
            <w:r w:rsidRPr="003C5536">
              <w:rPr>
                <w:rFonts w:ascii="Garamond" w:hAnsi="Garamond"/>
                <w:sz w:val="16"/>
                <w:szCs w:val="16"/>
              </w:rPr>
              <w:t>The Ministry of Finance and Social Welfare, Directorate for State Budget</w:t>
            </w:r>
          </w:p>
          <w:p w:rsidR="00C90D2E" w:rsidRPr="003C5536" w:rsidRDefault="00C90D2E" w:rsidP="00D43372">
            <w:pPr>
              <w:rPr>
                <w:rFonts w:ascii="Garamond" w:hAnsi="Garamond"/>
                <w:sz w:val="16"/>
                <w:szCs w:val="16"/>
              </w:rPr>
            </w:pPr>
            <w:r w:rsidRPr="003C5536">
              <w:rPr>
                <w:rFonts w:ascii="Garamond" w:hAnsi="Garamond"/>
                <w:sz w:val="16"/>
                <w:szCs w:val="16"/>
              </w:rPr>
              <w:t>Tanja Musterović</w:t>
            </w:r>
          </w:p>
          <w:p w:rsidR="00C90D2E" w:rsidRPr="003C5536" w:rsidRDefault="00613C2B" w:rsidP="00D43372">
            <w:pPr>
              <w:rPr>
                <w:rFonts w:ascii="Garamond" w:hAnsi="Garamond"/>
                <w:sz w:val="16"/>
                <w:szCs w:val="16"/>
              </w:rPr>
            </w:pPr>
            <w:hyperlink r:id="rId23" w:history="1">
              <w:r w:rsidR="00C90D2E" w:rsidRPr="003C5536">
                <w:rPr>
                  <w:rStyle w:val="Hyperlink"/>
                  <w:rFonts w:ascii="Garamond" w:hAnsi="Garamond"/>
                  <w:sz w:val="16"/>
                  <w:szCs w:val="16"/>
                </w:rPr>
                <w:t>tanja.musterovic@mif.gov.me</w:t>
              </w:r>
            </w:hyperlink>
          </w:p>
          <w:p w:rsidR="00C90D2E" w:rsidRPr="003C5536" w:rsidRDefault="00C90D2E" w:rsidP="00D43372">
            <w:pPr>
              <w:rPr>
                <w:rFonts w:ascii="Garamond" w:eastAsia="Calibri" w:hAnsi="Garamond"/>
                <w:sz w:val="16"/>
                <w:szCs w:val="16"/>
                <w:lang w:eastAsia="en-US" w:bidi="ar-SA"/>
              </w:rPr>
            </w:pPr>
            <w:r w:rsidRPr="003C5536">
              <w:rPr>
                <w:rFonts w:ascii="Garamond" w:eastAsia="Calibri" w:hAnsi="Garamond"/>
                <w:sz w:val="16"/>
                <w:szCs w:val="16"/>
                <w:lang w:eastAsia="en-US" w:bidi="ar-SA"/>
              </w:rPr>
              <w:t>phone number: 063262769</w:t>
            </w:r>
          </w:p>
        </w:tc>
      </w:tr>
      <w:tr w:rsidR="00C90D2E" w:rsidRPr="003C5536" w:rsidTr="00D43372">
        <w:trPr>
          <w:gridAfter w:val="1"/>
          <w:wAfter w:w="19" w:type="dxa"/>
          <w:jc w:val="center"/>
        </w:trPr>
        <w:tc>
          <w:tcPr>
            <w:tcW w:w="2721" w:type="dxa"/>
            <w:vAlign w:val="center"/>
          </w:tcPr>
          <w:p w:rsidR="00C90D2E" w:rsidRPr="003C5536" w:rsidRDefault="00C90D2E" w:rsidP="00D43372">
            <w:pPr>
              <w:autoSpaceDE/>
              <w:autoSpaceDN/>
              <w:rPr>
                <w:rFonts w:ascii="Garamond" w:eastAsia="Calibri" w:hAnsi="Garamond"/>
                <w:b/>
                <w:caps/>
                <w:sz w:val="16"/>
                <w:szCs w:val="16"/>
                <w:lang w:val="uz-Cyrl-UZ" w:eastAsia="en-US" w:bidi="ar-SA"/>
              </w:rPr>
            </w:pPr>
            <w:r w:rsidRPr="003C5536">
              <w:rPr>
                <w:rFonts w:ascii="Garamond" w:eastAsia="Calibri" w:hAnsi="Garamond"/>
                <w:b/>
                <w:caps/>
                <w:sz w:val="16"/>
                <w:szCs w:val="16"/>
                <w:lang w:val="uz-Cyrl-UZ" w:eastAsia="en-US" w:bidi="ar-SA"/>
              </w:rPr>
              <w:t>FREQUENCY OF DATA PUBLICATION</w:t>
            </w:r>
          </w:p>
        </w:tc>
        <w:tc>
          <w:tcPr>
            <w:tcW w:w="6836" w:type="dxa"/>
            <w:gridSpan w:val="4"/>
            <w:vAlign w:val="center"/>
          </w:tcPr>
          <w:p w:rsidR="00C90D2E" w:rsidRPr="003C5536" w:rsidRDefault="00C90D2E" w:rsidP="00C90D2E">
            <w:pPr>
              <w:rPr>
                <w:rFonts w:ascii="Garamond" w:eastAsia="Calibri" w:hAnsi="Garamond"/>
                <w:sz w:val="16"/>
                <w:szCs w:val="16"/>
                <w:lang w:eastAsia="en-US" w:bidi="ar-SA"/>
              </w:rPr>
            </w:pPr>
            <w:r w:rsidRPr="003C5536">
              <w:rPr>
                <w:rFonts w:ascii="Garamond" w:hAnsi="Garamond"/>
                <w:sz w:val="16"/>
                <w:szCs w:val="16"/>
              </w:rPr>
              <w:t>1x per year, Q1 of the current for the previous year</w:t>
            </w:r>
          </w:p>
        </w:tc>
      </w:tr>
      <w:tr w:rsidR="00C90D2E" w:rsidRPr="003C5536" w:rsidTr="00D43372">
        <w:trPr>
          <w:gridAfter w:val="1"/>
          <w:wAfter w:w="19" w:type="dxa"/>
          <w:trHeight w:val="800"/>
          <w:jc w:val="center"/>
        </w:trPr>
        <w:tc>
          <w:tcPr>
            <w:tcW w:w="2721" w:type="dxa"/>
            <w:vMerge w:val="restart"/>
            <w:vAlign w:val="center"/>
          </w:tcPr>
          <w:p w:rsidR="00C90D2E" w:rsidRPr="003C5536" w:rsidRDefault="00C90D2E" w:rsidP="00D43372">
            <w:pPr>
              <w:autoSpaceDE/>
              <w:autoSpaceDN/>
              <w:rPr>
                <w:rFonts w:ascii="Garamond" w:eastAsia="Calibri" w:hAnsi="Garamond"/>
                <w:b/>
                <w:caps/>
                <w:sz w:val="16"/>
                <w:szCs w:val="16"/>
                <w:lang w:val="uz-Cyrl-UZ" w:eastAsia="en-US" w:bidi="ar-SA"/>
              </w:rPr>
            </w:pPr>
            <w:r w:rsidRPr="003C5536">
              <w:rPr>
                <w:rFonts w:ascii="Garamond" w:eastAsia="Calibri" w:hAnsi="Garamond"/>
                <w:b/>
                <w:caps/>
                <w:sz w:val="16"/>
                <w:szCs w:val="16"/>
                <w:lang w:val="uz-Cyrl-UZ" w:eastAsia="en-US" w:bidi="ar-SA"/>
              </w:rPr>
              <w:t xml:space="preserve">BRIEF DESCRIPTION </w:t>
            </w:r>
            <w:r w:rsidRPr="003C5536">
              <w:rPr>
                <w:rFonts w:ascii="Garamond" w:eastAsia="Calibri" w:hAnsi="Garamond"/>
                <w:b/>
                <w:caps/>
                <w:sz w:val="16"/>
                <w:szCs w:val="16"/>
                <w:lang w:val="en-GB" w:eastAsia="en-US" w:bidi="ar-SA"/>
              </w:rPr>
              <w:t xml:space="preserve">OF </w:t>
            </w:r>
            <w:r w:rsidRPr="003C5536">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C90D2E" w:rsidRPr="003C5536" w:rsidRDefault="00C90D2E" w:rsidP="003F187F">
            <w:pPr>
              <w:jc w:val="both"/>
              <w:rPr>
                <w:rFonts w:ascii="Garamond" w:eastAsia="Calibri" w:hAnsi="Garamond"/>
                <w:sz w:val="16"/>
                <w:szCs w:val="16"/>
                <w:lang w:eastAsia="en-US" w:bidi="ar-SA"/>
              </w:rPr>
            </w:pPr>
            <w:r w:rsidRPr="003C5536">
              <w:rPr>
                <w:rFonts w:ascii="Garamond" w:hAnsi="Garamond"/>
                <w:sz w:val="16"/>
                <w:szCs w:val="16"/>
              </w:rPr>
              <w:t xml:space="preserve">The Public Finance Management Reform Programme envisages the definition of missions, objectives and descriptions of programmes and sub-programmes, while the definition of the </w:t>
            </w:r>
            <w:r w:rsidR="00A87926" w:rsidRPr="003C5536">
              <w:rPr>
                <w:rFonts w:ascii="Garamond" w:hAnsi="Garamond"/>
                <w:sz w:val="16"/>
                <w:szCs w:val="16"/>
              </w:rPr>
              <w:t>performance indicator</w:t>
            </w:r>
            <w:r w:rsidRPr="003C5536">
              <w:rPr>
                <w:rFonts w:ascii="Garamond" w:hAnsi="Garamond"/>
                <w:sz w:val="16"/>
                <w:szCs w:val="16"/>
              </w:rPr>
              <w:t xml:space="preserve"> for</w:t>
            </w:r>
            <w:r w:rsidR="00A87926" w:rsidRPr="003C5536">
              <w:rPr>
                <w:rFonts w:ascii="Garamond" w:hAnsi="Garamond"/>
                <w:sz w:val="16"/>
                <w:szCs w:val="16"/>
              </w:rPr>
              <w:t xml:space="preserve"> the effectiveness of</w:t>
            </w:r>
            <w:r w:rsidRPr="003C5536">
              <w:rPr>
                <w:rFonts w:ascii="Garamond" w:hAnsi="Garamond"/>
                <w:sz w:val="16"/>
                <w:szCs w:val="16"/>
              </w:rPr>
              <w:t xml:space="preserve"> program</w:t>
            </w:r>
            <w:r w:rsidR="00E254BF" w:rsidRPr="003C5536">
              <w:rPr>
                <w:rFonts w:ascii="Garamond" w:hAnsi="Garamond"/>
                <w:sz w:val="16"/>
                <w:szCs w:val="16"/>
              </w:rPr>
              <w:t>me</w:t>
            </w:r>
            <w:r w:rsidRPr="003C5536">
              <w:rPr>
                <w:rFonts w:ascii="Garamond" w:hAnsi="Garamond"/>
                <w:sz w:val="16"/>
                <w:szCs w:val="16"/>
              </w:rPr>
              <w:t>s and sub-program</w:t>
            </w:r>
            <w:r w:rsidR="00E254BF" w:rsidRPr="003C5536">
              <w:rPr>
                <w:rFonts w:ascii="Garamond" w:hAnsi="Garamond"/>
                <w:sz w:val="16"/>
                <w:szCs w:val="16"/>
              </w:rPr>
              <w:t>me</w:t>
            </w:r>
            <w:r w:rsidRPr="003C5536">
              <w:rPr>
                <w:rFonts w:ascii="Garamond" w:hAnsi="Garamond"/>
                <w:sz w:val="16"/>
                <w:szCs w:val="16"/>
              </w:rPr>
              <w:t>s is envisaged</w:t>
            </w:r>
            <w:r w:rsidR="00A87926" w:rsidRPr="003C5536">
              <w:rPr>
                <w:rFonts w:ascii="Garamond" w:hAnsi="Garamond"/>
                <w:sz w:val="16"/>
                <w:szCs w:val="16"/>
              </w:rPr>
              <w:t xml:space="preserve"> by 2020</w:t>
            </w:r>
            <w:r w:rsidRPr="003C5536">
              <w:rPr>
                <w:rFonts w:ascii="Garamond" w:hAnsi="Garamond"/>
                <w:sz w:val="16"/>
                <w:szCs w:val="16"/>
              </w:rPr>
              <w:t xml:space="preserve">. The legal basis is defined </w:t>
            </w:r>
            <w:r w:rsidR="00A87926" w:rsidRPr="003C5536">
              <w:rPr>
                <w:rFonts w:ascii="Garamond" w:hAnsi="Garamond"/>
                <w:sz w:val="16"/>
                <w:szCs w:val="16"/>
              </w:rPr>
              <w:t>under</w:t>
            </w:r>
            <w:r w:rsidRPr="003C5536">
              <w:rPr>
                <w:rFonts w:ascii="Garamond" w:hAnsi="Garamond"/>
                <w:sz w:val="16"/>
                <w:szCs w:val="16"/>
              </w:rPr>
              <w:t xml:space="preserve"> the Law on Budget and Fiscal Responsibility, while the content and manner of preparation is defin</w:t>
            </w:r>
            <w:r w:rsidR="00A87926" w:rsidRPr="003C5536">
              <w:rPr>
                <w:rFonts w:ascii="Garamond" w:hAnsi="Garamond"/>
                <w:sz w:val="16"/>
                <w:szCs w:val="16"/>
              </w:rPr>
              <w:t>ed by the Regulation. Increased</w:t>
            </w:r>
            <w:r w:rsidRPr="003C5536">
              <w:rPr>
                <w:rFonts w:ascii="Garamond" w:hAnsi="Garamond"/>
                <w:sz w:val="16"/>
                <w:szCs w:val="16"/>
              </w:rPr>
              <w:t xml:space="preserve"> level of information in the </w:t>
            </w:r>
            <w:r w:rsidR="00362493" w:rsidRPr="003C5536">
              <w:rPr>
                <w:rFonts w:ascii="Garamond" w:hAnsi="Garamond"/>
                <w:sz w:val="16"/>
                <w:szCs w:val="16"/>
              </w:rPr>
              <w:t xml:space="preserve">programme budget </w:t>
            </w:r>
            <w:r w:rsidRPr="003C5536">
              <w:rPr>
                <w:rFonts w:ascii="Garamond" w:hAnsi="Garamond"/>
                <w:sz w:val="16"/>
                <w:szCs w:val="16"/>
              </w:rPr>
              <w:t>is given through the target values. Level 1 (2017) includes the developed program</w:t>
            </w:r>
            <w:r w:rsidR="00E254BF" w:rsidRPr="003C5536">
              <w:rPr>
                <w:rFonts w:ascii="Garamond" w:hAnsi="Garamond"/>
                <w:sz w:val="16"/>
                <w:szCs w:val="16"/>
              </w:rPr>
              <w:t>me</w:t>
            </w:r>
            <w:r w:rsidRPr="003C5536">
              <w:rPr>
                <w:rFonts w:ascii="Garamond" w:hAnsi="Garamond"/>
                <w:sz w:val="16"/>
                <w:szCs w:val="16"/>
              </w:rPr>
              <w:t xml:space="preserve"> structure for all budget users, including missions of spending units, defined descriptions and </w:t>
            </w:r>
            <w:r w:rsidR="00E254BF" w:rsidRPr="003C5536">
              <w:rPr>
                <w:rFonts w:ascii="Garamond" w:hAnsi="Garamond"/>
                <w:sz w:val="16"/>
                <w:szCs w:val="16"/>
              </w:rPr>
              <w:t>objectives</w:t>
            </w:r>
            <w:r w:rsidRPr="003C5536">
              <w:rPr>
                <w:rFonts w:ascii="Garamond" w:hAnsi="Garamond"/>
                <w:sz w:val="16"/>
                <w:szCs w:val="16"/>
              </w:rPr>
              <w:t xml:space="preserve"> of the program</w:t>
            </w:r>
            <w:r w:rsidR="00E254BF" w:rsidRPr="003C5536">
              <w:rPr>
                <w:rFonts w:ascii="Garamond" w:hAnsi="Garamond"/>
                <w:sz w:val="16"/>
                <w:szCs w:val="16"/>
              </w:rPr>
              <w:t>me</w:t>
            </w:r>
            <w:r w:rsidRPr="003C5536">
              <w:rPr>
                <w:rFonts w:ascii="Garamond" w:hAnsi="Garamond"/>
                <w:sz w:val="16"/>
                <w:szCs w:val="16"/>
              </w:rPr>
              <w:t xml:space="preserve">; Level 2 (2019) includes an upgrade </w:t>
            </w:r>
            <w:r w:rsidR="003F187F" w:rsidRPr="003C5536">
              <w:rPr>
                <w:rFonts w:ascii="Garamond" w:hAnsi="Garamond"/>
                <w:sz w:val="16"/>
                <w:szCs w:val="16"/>
              </w:rPr>
              <w:t>to the</w:t>
            </w:r>
            <w:r w:rsidRPr="003C5536">
              <w:rPr>
                <w:rFonts w:ascii="Garamond" w:hAnsi="Garamond"/>
                <w:sz w:val="16"/>
                <w:szCs w:val="16"/>
              </w:rPr>
              <w:t xml:space="preserve"> Level 1 with the definition of a set of </w:t>
            </w:r>
            <w:r w:rsidR="00362493" w:rsidRPr="003C5536">
              <w:rPr>
                <w:rFonts w:ascii="Garamond" w:hAnsi="Garamond"/>
                <w:sz w:val="16"/>
                <w:szCs w:val="16"/>
              </w:rPr>
              <w:t xml:space="preserve">performance indicators </w:t>
            </w:r>
            <w:r w:rsidRPr="003C5536">
              <w:rPr>
                <w:rFonts w:ascii="Garamond" w:hAnsi="Garamond"/>
                <w:sz w:val="16"/>
                <w:szCs w:val="16"/>
              </w:rPr>
              <w:t xml:space="preserve">for pilot projects, while Level 3 (2020) includes a created set of </w:t>
            </w:r>
            <w:r w:rsidR="00362493" w:rsidRPr="003C5536">
              <w:rPr>
                <w:rFonts w:ascii="Garamond" w:hAnsi="Garamond"/>
                <w:sz w:val="16"/>
                <w:szCs w:val="16"/>
              </w:rPr>
              <w:t xml:space="preserve">performance indicators </w:t>
            </w:r>
            <w:r w:rsidRPr="003C5536">
              <w:rPr>
                <w:rFonts w:ascii="Garamond" w:hAnsi="Garamond"/>
                <w:sz w:val="16"/>
                <w:szCs w:val="16"/>
              </w:rPr>
              <w:t>for all program</w:t>
            </w:r>
            <w:r w:rsidR="00E254BF" w:rsidRPr="003C5536">
              <w:rPr>
                <w:rFonts w:ascii="Garamond" w:hAnsi="Garamond"/>
                <w:sz w:val="16"/>
                <w:szCs w:val="16"/>
              </w:rPr>
              <w:t>me</w:t>
            </w:r>
            <w:r w:rsidRPr="003C5536">
              <w:rPr>
                <w:rFonts w:ascii="Garamond" w:hAnsi="Garamond"/>
                <w:sz w:val="16"/>
                <w:szCs w:val="16"/>
              </w:rPr>
              <w:t xml:space="preserve">s in order to monitor the success </w:t>
            </w:r>
            <w:r w:rsidR="00E254BF" w:rsidRPr="003C5536">
              <w:rPr>
                <w:rFonts w:ascii="Garamond" w:hAnsi="Garamond"/>
                <w:sz w:val="16"/>
                <w:szCs w:val="16"/>
              </w:rPr>
              <w:t>in</w:t>
            </w:r>
            <w:r w:rsidRPr="003C5536">
              <w:rPr>
                <w:rFonts w:ascii="Garamond" w:hAnsi="Garamond"/>
                <w:sz w:val="16"/>
                <w:szCs w:val="16"/>
              </w:rPr>
              <w:t xml:space="preserve"> achieving the </w:t>
            </w:r>
            <w:r w:rsidR="00E254BF" w:rsidRPr="003C5536">
              <w:rPr>
                <w:rFonts w:ascii="Garamond" w:hAnsi="Garamond"/>
                <w:sz w:val="16"/>
                <w:szCs w:val="16"/>
              </w:rPr>
              <w:t>objectives</w:t>
            </w:r>
            <w:r w:rsidRPr="003C5536">
              <w:rPr>
                <w:rFonts w:ascii="Garamond" w:hAnsi="Garamond"/>
                <w:sz w:val="16"/>
                <w:szCs w:val="16"/>
              </w:rPr>
              <w:t>.</w:t>
            </w:r>
          </w:p>
        </w:tc>
      </w:tr>
      <w:tr w:rsidR="00C90D2E" w:rsidRPr="003C5536" w:rsidTr="00D43372">
        <w:trPr>
          <w:gridAfter w:val="1"/>
          <w:wAfter w:w="19" w:type="dxa"/>
          <w:trHeight w:val="620"/>
          <w:jc w:val="center"/>
        </w:trPr>
        <w:tc>
          <w:tcPr>
            <w:tcW w:w="2721" w:type="dxa"/>
            <w:vMerge/>
            <w:shd w:val="clear" w:color="auto" w:fill="auto"/>
            <w:vAlign w:val="center"/>
          </w:tcPr>
          <w:p w:rsidR="00C90D2E" w:rsidRPr="003C5536" w:rsidRDefault="00C90D2E" w:rsidP="00D43372">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C90D2E" w:rsidRPr="003C5536" w:rsidRDefault="00C90D2E" w:rsidP="00D43372">
            <w:pPr>
              <w:jc w:val="center"/>
              <w:rPr>
                <w:rFonts w:ascii="Garamond" w:hAnsi="Garamond"/>
                <w:color w:val="365F91" w:themeColor="accent1" w:themeShade="BF"/>
                <w:sz w:val="16"/>
                <w:szCs w:val="16"/>
              </w:rPr>
            </w:pPr>
            <w:r w:rsidRPr="003C5536">
              <w:rPr>
                <w:rFonts w:ascii="Garamond" w:hAnsi="Garamond"/>
                <w:color w:val="365F91" w:themeColor="accent1" w:themeShade="BF"/>
                <w:sz w:val="16"/>
                <w:szCs w:val="16"/>
              </w:rPr>
              <w:t>FORMULA / EQUATION</w:t>
            </w:r>
          </w:p>
          <w:p w:rsidR="00C90D2E" w:rsidRPr="003C5536" w:rsidRDefault="00E254BF" w:rsidP="00D43372">
            <w:pPr>
              <w:jc w:val="center"/>
              <w:rPr>
                <w:rFonts w:ascii="Garamond" w:eastAsia="Calibri" w:hAnsi="Garamond"/>
                <w:sz w:val="16"/>
                <w:szCs w:val="16"/>
                <w:lang w:eastAsia="en-US" w:bidi="ar-SA"/>
              </w:rPr>
            </w:pPr>
            <w:r w:rsidRPr="003C5536">
              <w:rPr>
                <w:rFonts w:ascii="Garamond" w:hAnsi="Garamond"/>
                <w:i/>
                <w:sz w:val="16"/>
                <w:szCs w:val="16"/>
              </w:rPr>
              <w:t>n/a</w:t>
            </w:r>
          </w:p>
        </w:tc>
      </w:tr>
      <w:tr w:rsidR="00C90D2E" w:rsidRPr="003C5536" w:rsidTr="00D43372">
        <w:trPr>
          <w:gridAfter w:val="1"/>
          <w:wAfter w:w="19" w:type="dxa"/>
          <w:trHeight w:val="585"/>
          <w:jc w:val="center"/>
        </w:trPr>
        <w:tc>
          <w:tcPr>
            <w:tcW w:w="2721" w:type="dxa"/>
            <w:vAlign w:val="center"/>
          </w:tcPr>
          <w:p w:rsidR="00C90D2E" w:rsidRPr="003C5536" w:rsidRDefault="00C90D2E" w:rsidP="00D43372">
            <w:pPr>
              <w:autoSpaceDE/>
              <w:autoSpaceDN/>
              <w:rPr>
                <w:rFonts w:ascii="Garamond" w:eastAsia="Calibri" w:hAnsi="Garamond"/>
                <w:b/>
                <w:bCs/>
                <w:caps/>
                <w:sz w:val="16"/>
                <w:szCs w:val="16"/>
                <w:lang w:val="en-GB" w:eastAsia="en-US" w:bidi="ar-SA"/>
              </w:rPr>
            </w:pPr>
            <w:r w:rsidRPr="003C5536">
              <w:rPr>
                <w:rFonts w:ascii="Garamond" w:eastAsia="Calibri" w:hAnsi="Garamond"/>
                <w:b/>
                <w:caps/>
                <w:sz w:val="16"/>
                <w:szCs w:val="16"/>
                <w:lang w:val="uz-Cyrl-UZ" w:eastAsia="en-US" w:bidi="ar-SA"/>
              </w:rPr>
              <w:t>BASELINE</w:t>
            </w:r>
            <w:r w:rsidRPr="003C5536">
              <w:rPr>
                <w:rFonts w:ascii="Garamond" w:eastAsia="Calibri" w:hAnsi="Garamond"/>
                <w:b/>
                <w:caps/>
                <w:sz w:val="16"/>
                <w:szCs w:val="16"/>
                <w:lang w:val="en-GB" w:eastAsia="en-US" w:bidi="ar-SA"/>
              </w:rPr>
              <w:t xml:space="preserve"> DATA</w:t>
            </w:r>
          </w:p>
        </w:tc>
        <w:tc>
          <w:tcPr>
            <w:tcW w:w="6836" w:type="dxa"/>
            <w:gridSpan w:val="4"/>
            <w:vAlign w:val="center"/>
          </w:tcPr>
          <w:p w:rsidR="00C90D2E" w:rsidRPr="003C5536" w:rsidRDefault="00C90D2E" w:rsidP="00E254BF">
            <w:pPr>
              <w:autoSpaceDE/>
              <w:autoSpaceDN/>
              <w:jc w:val="both"/>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 xml:space="preserve">PV (2014): </w:t>
            </w:r>
            <w:r w:rsidR="00E254BF" w:rsidRPr="003C5536">
              <w:rPr>
                <w:rFonts w:ascii="Garamond" w:eastAsia="Calibri" w:hAnsi="Garamond"/>
                <w:sz w:val="16"/>
                <w:szCs w:val="16"/>
                <w:lang w:val="en-GB" w:eastAsia="en-US" w:bidi="ar-SA"/>
              </w:rPr>
              <w:t>Defined programme headings of all spending units</w:t>
            </w:r>
          </w:p>
        </w:tc>
      </w:tr>
      <w:tr w:rsidR="00C90D2E" w:rsidRPr="003C5536" w:rsidTr="00D43372">
        <w:trPr>
          <w:gridAfter w:val="1"/>
          <w:wAfter w:w="19" w:type="dxa"/>
          <w:trHeight w:val="160"/>
          <w:jc w:val="center"/>
        </w:trPr>
        <w:tc>
          <w:tcPr>
            <w:tcW w:w="2721" w:type="dxa"/>
            <w:vMerge w:val="restart"/>
            <w:vAlign w:val="center"/>
          </w:tcPr>
          <w:p w:rsidR="00C90D2E" w:rsidRPr="003C5536" w:rsidRDefault="00C90D2E" w:rsidP="00D43372">
            <w:pPr>
              <w:autoSpaceDE/>
              <w:autoSpaceDN/>
              <w:rPr>
                <w:rFonts w:ascii="Garamond" w:eastAsia="Calibri" w:hAnsi="Garamond"/>
                <w:b/>
                <w:bCs/>
                <w:caps/>
                <w:sz w:val="16"/>
                <w:szCs w:val="16"/>
                <w:lang w:val="uz-Cyrl-UZ" w:eastAsia="en-US" w:bidi="ar-SA"/>
              </w:rPr>
            </w:pPr>
            <w:r w:rsidRPr="003C5536">
              <w:rPr>
                <w:rFonts w:ascii="Garamond" w:eastAsia="Calibri" w:hAnsi="Garamond"/>
                <w:b/>
                <w:caps/>
                <w:sz w:val="16"/>
                <w:szCs w:val="16"/>
                <w:lang w:val="uz-Cyrl-UZ" w:eastAsia="en-US" w:bidi="ar-SA"/>
              </w:rPr>
              <w:t>TARGET VALUE DATA</w:t>
            </w:r>
          </w:p>
        </w:tc>
        <w:tc>
          <w:tcPr>
            <w:tcW w:w="1771" w:type="dxa"/>
            <w:vAlign w:val="center"/>
          </w:tcPr>
          <w:p w:rsidR="00C90D2E" w:rsidRPr="003C5536" w:rsidRDefault="00C90D2E" w:rsidP="00D43372">
            <w:pPr>
              <w:autoSpaceDE/>
              <w:autoSpaceDN/>
              <w:jc w:val="center"/>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2017</w:t>
            </w:r>
          </w:p>
        </w:tc>
        <w:tc>
          <w:tcPr>
            <w:tcW w:w="1771" w:type="dxa"/>
            <w:vAlign w:val="center"/>
          </w:tcPr>
          <w:p w:rsidR="00C90D2E" w:rsidRPr="003C5536" w:rsidRDefault="00C90D2E" w:rsidP="00D43372">
            <w:pPr>
              <w:autoSpaceDE/>
              <w:autoSpaceDN/>
              <w:jc w:val="center"/>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2018</w:t>
            </w:r>
          </w:p>
        </w:tc>
        <w:tc>
          <w:tcPr>
            <w:tcW w:w="1771" w:type="dxa"/>
            <w:vAlign w:val="center"/>
          </w:tcPr>
          <w:p w:rsidR="00C90D2E" w:rsidRPr="003C5536" w:rsidRDefault="00C90D2E" w:rsidP="00D43372">
            <w:pPr>
              <w:autoSpaceDE/>
              <w:autoSpaceDN/>
              <w:jc w:val="center"/>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2019</w:t>
            </w:r>
          </w:p>
        </w:tc>
        <w:tc>
          <w:tcPr>
            <w:tcW w:w="1523" w:type="dxa"/>
            <w:vAlign w:val="center"/>
          </w:tcPr>
          <w:p w:rsidR="00C90D2E" w:rsidRPr="003C5536" w:rsidRDefault="00C90D2E" w:rsidP="00D43372">
            <w:pPr>
              <w:autoSpaceDE/>
              <w:autoSpaceDN/>
              <w:jc w:val="center"/>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2020</w:t>
            </w:r>
          </w:p>
        </w:tc>
      </w:tr>
      <w:tr w:rsidR="00C90D2E" w:rsidRPr="003C5536" w:rsidTr="00D43372">
        <w:trPr>
          <w:gridAfter w:val="1"/>
          <w:wAfter w:w="19" w:type="dxa"/>
          <w:trHeight w:val="160"/>
          <w:jc w:val="center"/>
        </w:trPr>
        <w:tc>
          <w:tcPr>
            <w:tcW w:w="2721" w:type="dxa"/>
            <w:vMerge/>
            <w:vAlign w:val="center"/>
          </w:tcPr>
          <w:p w:rsidR="00C90D2E" w:rsidRPr="003C5536" w:rsidRDefault="00C90D2E" w:rsidP="00D43372">
            <w:pPr>
              <w:autoSpaceDE/>
              <w:autoSpaceDN/>
              <w:rPr>
                <w:rFonts w:ascii="Garamond" w:eastAsia="Calibri" w:hAnsi="Garamond"/>
                <w:b/>
                <w:bCs/>
                <w:caps/>
                <w:sz w:val="16"/>
                <w:szCs w:val="16"/>
                <w:lang w:val="uz-Cyrl-UZ" w:eastAsia="en-US" w:bidi="ar-SA"/>
              </w:rPr>
            </w:pPr>
          </w:p>
        </w:tc>
        <w:tc>
          <w:tcPr>
            <w:tcW w:w="1771" w:type="dxa"/>
            <w:vAlign w:val="center"/>
          </w:tcPr>
          <w:p w:rsidR="00C90D2E" w:rsidRPr="003C5536" w:rsidRDefault="0054254C" w:rsidP="00D43372">
            <w:pPr>
              <w:pStyle w:val="TabelaTekst"/>
              <w:spacing w:before="0" w:after="0" w:line="240" w:lineRule="auto"/>
              <w:jc w:val="center"/>
              <w:rPr>
                <w:rFonts w:ascii="Garamond" w:hAnsi="Garamond"/>
                <w:sz w:val="16"/>
                <w:szCs w:val="16"/>
                <w:lang w:val="en-GB"/>
              </w:rPr>
            </w:pPr>
            <w:r w:rsidRPr="003C5536">
              <w:rPr>
                <w:rFonts w:ascii="Garamond" w:hAnsi="Garamond"/>
                <w:sz w:val="16"/>
                <w:szCs w:val="16"/>
                <w:lang w:val="en-GB"/>
              </w:rPr>
              <w:t>Level 1</w:t>
            </w:r>
          </w:p>
        </w:tc>
        <w:tc>
          <w:tcPr>
            <w:tcW w:w="1771" w:type="dxa"/>
            <w:vAlign w:val="center"/>
          </w:tcPr>
          <w:p w:rsidR="00C90D2E" w:rsidRPr="003C5536" w:rsidRDefault="0054254C" w:rsidP="00D43372">
            <w:pPr>
              <w:pStyle w:val="TabelaTekst"/>
              <w:spacing w:before="0" w:after="0" w:line="240" w:lineRule="auto"/>
              <w:jc w:val="center"/>
              <w:rPr>
                <w:rFonts w:ascii="Garamond" w:hAnsi="Garamond"/>
                <w:sz w:val="16"/>
                <w:szCs w:val="16"/>
              </w:rPr>
            </w:pPr>
            <w:r w:rsidRPr="003C5536">
              <w:rPr>
                <w:rFonts w:ascii="Garamond" w:hAnsi="Garamond"/>
                <w:sz w:val="16"/>
                <w:szCs w:val="16"/>
                <w:lang w:val="en-GB"/>
              </w:rPr>
              <w:t>Level 1</w:t>
            </w:r>
          </w:p>
        </w:tc>
        <w:tc>
          <w:tcPr>
            <w:tcW w:w="1771" w:type="dxa"/>
            <w:vAlign w:val="center"/>
          </w:tcPr>
          <w:p w:rsidR="00C90D2E" w:rsidRPr="003C5536" w:rsidRDefault="0054254C" w:rsidP="00D43372">
            <w:pPr>
              <w:pStyle w:val="TabelaTekst"/>
              <w:spacing w:before="0" w:after="0" w:line="240" w:lineRule="auto"/>
              <w:jc w:val="center"/>
              <w:rPr>
                <w:rFonts w:ascii="Garamond" w:hAnsi="Garamond"/>
                <w:sz w:val="16"/>
                <w:szCs w:val="16"/>
              </w:rPr>
            </w:pPr>
            <w:r w:rsidRPr="003C5536">
              <w:rPr>
                <w:rFonts w:ascii="Garamond" w:hAnsi="Garamond"/>
                <w:sz w:val="16"/>
                <w:szCs w:val="16"/>
                <w:lang w:val="en-GB"/>
              </w:rPr>
              <w:t>Level 2</w:t>
            </w:r>
          </w:p>
        </w:tc>
        <w:tc>
          <w:tcPr>
            <w:tcW w:w="1523" w:type="dxa"/>
            <w:vAlign w:val="center"/>
          </w:tcPr>
          <w:p w:rsidR="00C90D2E" w:rsidRPr="003C5536" w:rsidRDefault="0054254C" w:rsidP="00D43372">
            <w:pPr>
              <w:pStyle w:val="TabelaTekst"/>
              <w:spacing w:before="0" w:after="0" w:line="240" w:lineRule="auto"/>
              <w:jc w:val="center"/>
              <w:rPr>
                <w:rFonts w:ascii="Garamond" w:hAnsi="Garamond"/>
                <w:sz w:val="16"/>
                <w:szCs w:val="16"/>
              </w:rPr>
            </w:pPr>
            <w:r w:rsidRPr="003C5536">
              <w:rPr>
                <w:rFonts w:ascii="Garamond" w:hAnsi="Garamond"/>
                <w:sz w:val="16"/>
                <w:szCs w:val="16"/>
                <w:lang w:val="en-GB"/>
              </w:rPr>
              <w:t>Level 3</w:t>
            </w:r>
          </w:p>
        </w:tc>
      </w:tr>
      <w:tr w:rsidR="00C339D4" w:rsidRPr="003C5536" w:rsidTr="00D43372">
        <w:trPr>
          <w:gridAfter w:val="1"/>
          <w:wAfter w:w="19" w:type="dxa"/>
          <w:trHeight w:val="160"/>
          <w:jc w:val="center"/>
        </w:trPr>
        <w:tc>
          <w:tcPr>
            <w:tcW w:w="2721" w:type="dxa"/>
            <w:vAlign w:val="center"/>
          </w:tcPr>
          <w:p w:rsidR="00C339D4" w:rsidRPr="003C5536" w:rsidRDefault="00C339D4" w:rsidP="00D43372">
            <w:pPr>
              <w:autoSpaceDE/>
              <w:autoSpaceDN/>
              <w:rPr>
                <w:rFonts w:ascii="Garamond" w:eastAsia="Calibri" w:hAnsi="Garamond"/>
                <w:b/>
                <w:bCs/>
                <w:caps/>
                <w:sz w:val="16"/>
                <w:szCs w:val="16"/>
                <w:lang w:val="uz-Cyrl-UZ" w:eastAsia="en-US" w:bidi="ar-SA"/>
              </w:rPr>
            </w:pPr>
            <w:r w:rsidRPr="003C5536">
              <w:rPr>
                <w:rFonts w:ascii="Garamond" w:eastAsia="Calibri" w:hAnsi="Garamond"/>
                <w:b/>
                <w:bCs/>
                <w:caps/>
                <w:sz w:val="16"/>
                <w:szCs w:val="16"/>
                <w:lang w:val="uz-Cyrl-UZ" w:eastAsia="en-US" w:bidi="ar-SA"/>
              </w:rPr>
              <w:t>DATA ON VALUES ACHIEVED</w:t>
            </w:r>
          </w:p>
        </w:tc>
        <w:tc>
          <w:tcPr>
            <w:tcW w:w="1771" w:type="dxa"/>
            <w:vAlign w:val="center"/>
          </w:tcPr>
          <w:p w:rsidR="00C339D4" w:rsidRPr="003C5536" w:rsidRDefault="00C339D4" w:rsidP="003F187F">
            <w:pPr>
              <w:pStyle w:val="TabelaTekst"/>
              <w:spacing w:before="0" w:after="0" w:line="240" w:lineRule="auto"/>
              <w:jc w:val="center"/>
              <w:rPr>
                <w:rFonts w:ascii="Garamond" w:hAnsi="Garamond"/>
                <w:sz w:val="16"/>
                <w:szCs w:val="16"/>
              </w:rPr>
            </w:pPr>
            <w:r w:rsidRPr="003C5536">
              <w:rPr>
                <w:rFonts w:ascii="Garamond" w:hAnsi="Garamond"/>
                <w:sz w:val="16"/>
                <w:szCs w:val="16"/>
              </w:rPr>
              <w:t>Developed program</w:t>
            </w:r>
            <w:r w:rsidRPr="003C5536">
              <w:rPr>
                <w:rFonts w:ascii="Garamond" w:hAnsi="Garamond"/>
                <w:sz w:val="16"/>
                <w:szCs w:val="16"/>
                <w:lang w:val="en-GB"/>
              </w:rPr>
              <w:t>me</w:t>
            </w:r>
            <w:r w:rsidRPr="003C5536">
              <w:rPr>
                <w:rFonts w:ascii="Garamond" w:hAnsi="Garamond"/>
                <w:sz w:val="16"/>
                <w:szCs w:val="16"/>
              </w:rPr>
              <w:t xml:space="preserve"> structure </w:t>
            </w:r>
            <w:r w:rsidRPr="003C5536">
              <w:rPr>
                <w:rFonts w:ascii="Garamond" w:hAnsi="Garamond"/>
                <w:sz w:val="16"/>
                <w:szCs w:val="16"/>
                <w:lang w:val="en-GB"/>
              </w:rPr>
              <w:t>concerning</w:t>
            </w:r>
            <w:r w:rsidRPr="003C5536">
              <w:rPr>
                <w:rFonts w:ascii="Garamond" w:hAnsi="Garamond"/>
                <w:sz w:val="16"/>
                <w:szCs w:val="16"/>
              </w:rPr>
              <w:t xml:space="preserve"> </w:t>
            </w:r>
            <w:r w:rsidRPr="003C5536">
              <w:rPr>
                <w:rFonts w:ascii="Garamond" w:hAnsi="Garamond"/>
                <w:sz w:val="16"/>
                <w:szCs w:val="16"/>
                <w:lang w:val="en-GB"/>
              </w:rPr>
              <w:t>headings</w:t>
            </w:r>
            <w:r w:rsidRPr="003C5536">
              <w:rPr>
                <w:rFonts w:ascii="Garamond" w:hAnsi="Garamond"/>
                <w:sz w:val="16"/>
                <w:szCs w:val="16"/>
              </w:rPr>
              <w:t xml:space="preserve"> of the program</w:t>
            </w:r>
            <w:r w:rsidRPr="003C5536">
              <w:rPr>
                <w:rFonts w:ascii="Garamond" w:hAnsi="Garamond"/>
                <w:sz w:val="16"/>
                <w:szCs w:val="16"/>
                <w:lang w:val="en-GB"/>
              </w:rPr>
              <w:t>mes</w:t>
            </w:r>
            <w:r w:rsidRPr="003C5536">
              <w:rPr>
                <w:rFonts w:ascii="Garamond" w:hAnsi="Garamond"/>
                <w:sz w:val="16"/>
                <w:szCs w:val="16"/>
              </w:rPr>
              <w:t xml:space="preserve"> of all spending units</w:t>
            </w:r>
          </w:p>
        </w:tc>
        <w:tc>
          <w:tcPr>
            <w:tcW w:w="1771" w:type="dxa"/>
            <w:vAlign w:val="center"/>
          </w:tcPr>
          <w:p w:rsidR="00C339D4" w:rsidRPr="003C5536" w:rsidRDefault="00C339D4" w:rsidP="003F187F">
            <w:pPr>
              <w:pStyle w:val="TabelaTekst"/>
              <w:spacing w:before="0" w:after="0" w:line="240" w:lineRule="auto"/>
              <w:jc w:val="center"/>
              <w:rPr>
                <w:rFonts w:ascii="Garamond" w:hAnsi="Garamond"/>
                <w:sz w:val="16"/>
                <w:szCs w:val="16"/>
              </w:rPr>
            </w:pPr>
            <w:r w:rsidRPr="003C5536">
              <w:rPr>
                <w:rFonts w:ascii="Garamond" w:hAnsi="Garamond"/>
                <w:sz w:val="16"/>
                <w:szCs w:val="16"/>
              </w:rPr>
              <w:t>Developed program</w:t>
            </w:r>
            <w:r w:rsidRPr="003C5536">
              <w:rPr>
                <w:rFonts w:ascii="Garamond" w:hAnsi="Garamond"/>
                <w:sz w:val="16"/>
                <w:szCs w:val="16"/>
                <w:lang w:val="en-GB"/>
              </w:rPr>
              <w:t>me</w:t>
            </w:r>
            <w:r w:rsidRPr="003C5536">
              <w:rPr>
                <w:rFonts w:ascii="Garamond" w:hAnsi="Garamond"/>
                <w:sz w:val="16"/>
                <w:szCs w:val="16"/>
              </w:rPr>
              <w:t xml:space="preserve"> structure </w:t>
            </w:r>
            <w:r w:rsidRPr="003C5536">
              <w:rPr>
                <w:rFonts w:ascii="Garamond" w:hAnsi="Garamond"/>
                <w:sz w:val="16"/>
                <w:szCs w:val="16"/>
                <w:lang w:val="en-GB"/>
              </w:rPr>
              <w:t>concerning</w:t>
            </w:r>
            <w:r w:rsidRPr="003C5536">
              <w:rPr>
                <w:rFonts w:ascii="Garamond" w:hAnsi="Garamond"/>
                <w:sz w:val="16"/>
                <w:szCs w:val="16"/>
              </w:rPr>
              <w:t xml:space="preserve"> </w:t>
            </w:r>
            <w:r w:rsidRPr="003C5536">
              <w:rPr>
                <w:rFonts w:ascii="Garamond" w:hAnsi="Garamond"/>
                <w:sz w:val="16"/>
                <w:szCs w:val="16"/>
                <w:lang w:val="en-GB"/>
              </w:rPr>
              <w:t>headings</w:t>
            </w:r>
            <w:r w:rsidRPr="003C5536">
              <w:rPr>
                <w:rFonts w:ascii="Garamond" w:hAnsi="Garamond"/>
                <w:sz w:val="16"/>
                <w:szCs w:val="16"/>
              </w:rPr>
              <w:t xml:space="preserve"> of the program</w:t>
            </w:r>
            <w:r w:rsidRPr="003C5536">
              <w:rPr>
                <w:rFonts w:ascii="Garamond" w:hAnsi="Garamond"/>
                <w:sz w:val="16"/>
                <w:szCs w:val="16"/>
                <w:lang w:val="en-GB"/>
              </w:rPr>
              <w:t>mes</w:t>
            </w:r>
            <w:r w:rsidRPr="003C5536">
              <w:rPr>
                <w:rFonts w:ascii="Garamond" w:hAnsi="Garamond"/>
                <w:sz w:val="16"/>
                <w:szCs w:val="16"/>
              </w:rPr>
              <w:t xml:space="preserve"> of all spending units</w:t>
            </w:r>
          </w:p>
        </w:tc>
        <w:tc>
          <w:tcPr>
            <w:tcW w:w="1771" w:type="dxa"/>
            <w:vAlign w:val="center"/>
          </w:tcPr>
          <w:p w:rsidR="00C339D4" w:rsidRPr="003C5536" w:rsidRDefault="00C339D4" w:rsidP="00E254BF">
            <w:pPr>
              <w:pStyle w:val="TabelaTekst"/>
              <w:spacing w:before="0" w:after="0" w:line="240" w:lineRule="auto"/>
              <w:jc w:val="center"/>
              <w:rPr>
                <w:rFonts w:ascii="Garamond" w:hAnsi="Garamond"/>
                <w:sz w:val="16"/>
                <w:szCs w:val="16"/>
                <w:lang w:val="sr-Latn-CS"/>
              </w:rPr>
            </w:pPr>
            <w:r w:rsidRPr="003C5536">
              <w:rPr>
                <w:rFonts w:ascii="Garamond" w:hAnsi="Garamond"/>
                <w:sz w:val="16"/>
                <w:szCs w:val="16"/>
                <w:lang w:val="sr-Latn-CS"/>
              </w:rPr>
              <w:t>Defined programme headings of all spending units</w:t>
            </w:r>
          </w:p>
        </w:tc>
        <w:tc>
          <w:tcPr>
            <w:tcW w:w="1523" w:type="dxa"/>
            <w:vAlign w:val="center"/>
          </w:tcPr>
          <w:p w:rsidR="00C339D4" w:rsidRPr="003C5536" w:rsidRDefault="00C339D4" w:rsidP="00E254BF">
            <w:pPr>
              <w:pStyle w:val="TabelaTekst"/>
              <w:spacing w:before="0" w:after="0" w:line="240" w:lineRule="auto"/>
              <w:jc w:val="center"/>
              <w:rPr>
                <w:rFonts w:ascii="Garamond" w:hAnsi="Garamond"/>
                <w:sz w:val="16"/>
                <w:szCs w:val="16"/>
              </w:rPr>
            </w:pPr>
            <w:r w:rsidRPr="003C5536">
              <w:rPr>
                <w:rFonts w:ascii="Garamond" w:hAnsi="Garamond" w:cstheme="minorHAnsi"/>
                <w:sz w:val="16"/>
                <w:szCs w:val="16"/>
                <w:lang w:val="en-US"/>
              </w:rPr>
              <w:t>Defined headings of main programmes, programmes and subprogrammes</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54254C">
      <w:pPr>
        <w:pStyle w:val="Heading3"/>
        <w:rPr>
          <w:rFonts w:ascii="Garamond" w:hAnsi="Garamond"/>
          <w:sz w:val="24"/>
          <w:szCs w:val="24"/>
        </w:rPr>
      </w:pPr>
      <w:bookmarkStart w:id="41" w:name="_Toc77688218"/>
      <w:r w:rsidRPr="00C32887">
        <w:rPr>
          <w:rFonts w:ascii="Garamond" w:hAnsi="Garamond"/>
          <w:sz w:val="24"/>
          <w:szCs w:val="24"/>
        </w:rPr>
        <w:t xml:space="preserve">1.2.3      </w:t>
      </w:r>
      <w:r w:rsidR="0054254C">
        <w:rPr>
          <w:rFonts w:ascii="Garamond" w:hAnsi="Garamond"/>
          <w:sz w:val="24"/>
          <w:szCs w:val="24"/>
        </w:rPr>
        <w:t>PERFORMANCE INDICATOR 6</w:t>
      </w:r>
      <w:r w:rsidR="0054254C" w:rsidRPr="0054254C">
        <w:rPr>
          <w:rFonts w:ascii="Garamond" w:hAnsi="Garamond"/>
          <w:sz w:val="24"/>
          <w:szCs w:val="24"/>
        </w:rPr>
        <w:t xml:space="preserve"> </w:t>
      </w:r>
      <w:r w:rsidR="0054254C" w:rsidRPr="00C32887">
        <w:rPr>
          <w:rFonts w:ascii="Garamond" w:hAnsi="Garamond"/>
          <w:sz w:val="24"/>
          <w:szCs w:val="24"/>
        </w:rPr>
        <w:t>PASSPORT</w:t>
      </w:r>
      <w:bookmarkEnd w:id="41"/>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54254C" w:rsidRPr="00290B32" w:rsidTr="00D43372">
        <w:trPr>
          <w:jc w:val="center"/>
        </w:trPr>
        <w:tc>
          <w:tcPr>
            <w:tcW w:w="2721" w:type="dxa"/>
            <w:tcBorders>
              <w:right w:val="single" w:sz="4" w:space="0" w:color="FFFFFF"/>
            </w:tcBorders>
            <w:shd w:val="clear" w:color="auto" w:fill="BFBFBF"/>
            <w:vAlign w:val="center"/>
          </w:tcPr>
          <w:p w:rsidR="0054254C" w:rsidRPr="00290B32" w:rsidRDefault="0054254C" w:rsidP="00D43372">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54254C" w:rsidRPr="0054254C" w:rsidRDefault="0054254C" w:rsidP="0054254C">
            <w:pPr>
              <w:pStyle w:val="Default"/>
              <w:jc w:val="both"/>
              <w:rPr>
                <w:rFonts w:ascii="Garamond" w:eastAsia="Calibri" w:hAnsi="Garamond"/>
                <w:b/>
                <w:sz w:val="18"/>
                <w:szCs w:val="18"/>
                <w:lang w:eastAsia="en-US"/>
              </w:rPr>
            </w:pPr>
            <w:r w:rsidRPr="0054254C">
              <w:rPr>
                <w:rFonts w:ascii="Garamond" w:hAnsi="Garamond"/>
                <w:sz w:val="18"/>
                <w:szCs w:val="18"/>
              </w:rPr>
              <w:t xml:space="preserve">The number of staff trained for planning and monitoring expenditures in line with programme budgeting principles </w:t>
            </w:r>
          </w:p>
        </w:tc>
      </w:tr>
      <w:tr w:rsidR="0054254C" w:rsidRPr="00290B32" w:rsidTr="00D43372">
        <w:trPr>
          <w:gridAfter w:val="1"/>
          <w:wAfter w:w="19" w:type="dxa"/>
          <w:jc w:val="center"/>
        </w:trPr>
        <w:tc>
          <w:tcPr>
            <w:tcW w:w="2721" w:type="dxa"/>
            <w:vAlign w:val="center"/>
          </w:tcPr>
          <w:p w:rsidR="0054254C" w:rsidRPr="00290B32" w:rsidRDefault="0054254C" w:rsidP="00D43372">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corresponding objective or activity</w:t>
            </w:r>
          </w:p>
        </w:tc>
        <w:tc>
          <w:tcPr>
            <w:tcW w:w="6836" w:type="dxa"/>
            <w:gridSpan w:val="4"/>
            <w:vAlign w:val="center"/>
          </w:tcPr>
          <w:p w:rsidR="0054254C" w:rsidRPr="0056213B" w:rsidRDefault="0054254C" w:rsidP="00D43372">
            <w:pPr>
              <w:rPr>
                <w:rFonts w:ascii="Garamond" w:hAnsi="Garamond"/>
                <w:color w:val="365F91" w:themeColor="accent1" w:themeShade="BF"/>
                <w:sz w:val="16"/>
                <w:szCs w:val="16"/>
              </w:rPr>
            </w:pPr>
            <w:r w:rsidRPr="0056213B">
              <w:rPr>
                <w:rFonts w:ascii="Garamond" w:hAnsi="Garamond"/>
                <w:color w:val="365F91" w:themeColor="accent1" w:themeShade="BF"/>
                <w:sz w:val="16"/>
                <w:szCs w:val="16"/>
              </w:rPr>
              <w:t xml:space="preserve">Sustainable fiscal framework, public </w:t>
            </w:r>
            <w:r>
              <w:rPr>
                <w:rFonts w:ascii="Garamond" w:hAnsi="Garamond"/>
                <w:color w:val="365F91" w:themeColor="accent1" w:themeShade="BF"/>
                <w:sz w:val="16"/>
                <w:szCs w:val="16"/>
              </w:rPr>
              <w:t>expenditure</w:t>
            </w:r>
            <w:r w:rsidRPr="0056213B">
              <w:rPr>
                <w:rFonts w:ascii="Garamond" w:hAnsi="Garamond"/>
                <w:color w:val="365F91" w:themeColor="accent1" w:themeShade="BF"/>
                <w:sz w:val="16"/>
                <w:szCs w:val="16"/>
              </w:rPr>
              <w:t xml:space="preserve"> planning and budgeting</w:t>
            </w:r>
          </w:p>
          <w:p w:rsidR="0054254C" w:rsidRPr="00C90D2E" w:rsidRDefault="0054254C" w:rsidP="00D43372">
            <w:pPr>
              <w:pStyle w:val="ListParagraph"/>
              <w:numPr>
                <w:ilvl w:val="0"/>
                <w:numId w:val="28"/>
              </w:numPr>
              <w:rPr>
                <w:rFonts w:ascii="Garamond" w:eastAsia="Calibri" w:hAnsi="Garamond"/>
                <w:i/>
                <w:sz w:val="16"/>
                <w:szCs w:val="16"/>
                <w:lang w:eastAsia="en-US" w:bidi="ar-SA"/>
              </w:rPr>
            </w:pPr>
            <w:r w:rsidRPr="00264D25">
              <w:rPr>
                <w:rFonts w:ascii="Garamond" w:hAnsi="Garamond"/>
                <w:color w:val="365F91" w:themeColor="accent1" w:themeShade="BF"/>
                <w:sz w:val="16"/>
                <w:szCs w:val="16"/>
                <w:u w:val="single"/>
              </w:rPr>
              <w:t xml:space="preserve">Annual budgeting </w:t>
            </w:r>
          </w:p>
          <w:p w:rsidR="0054254C" w:rsidRPr="00C90D2E" w:rsidRDefault="0054254C" w:rsidP="00D43372">
            <w:pPr>
              <w:rPr>
                <w:rFonts w:ascii="Garamond" w:eastAsia="Calibri" w:hAnsi="Garamond"/>
                <w:color w:val="000000" w:themeColor="text1"/>
                <w:sz w:val="16"/>
                <w:szCs w:val="16"/>
                <w:lang w:eastAsia="en-US" w:bidi="ar-SA"/>
              </w:rPr>
            </w:pPr>
            <w:r w:rsidRPr="00C90D2E">
              <w:rPr>
                <w:rFonts w:ascii="Garamond" w:eastAsia="Calibri" w:hAnsi="Garamond"/>
                <w:color w:val="000000" w:themeColor="text1"/>
                <w:sz w:val="16"/>
                <w:szCs w:val="16"/>
                <w:lang w:eastAsia="en-US" w:bidi="ar-SA"/>
              </w:rPr>
              <w:t>Create an efficient system for measuring the performance of budget program</w:t>
            </w:r>
            <w:r>
              <w:rPr>
                <w:rFonts w:ascii="Garamond" w:eastAsia="Calibri" w:hAnsi="Garamond"/>
                <w:color w:val="000000" w:themeColor="text1"/>
                <w:sz w:val="16"/>
                <w:szCs w:val="16"/>
                <w:lang w:eastAsia="en-US" w:bidi="ar-SA"/>
              </w:rPr>
              <w:t>me</w:t>
            </w:r>
            <w:r w:rsidRPr="00C90D2E">
              <w:rPr>
                <w:rFonts w:ascii="Garamond" w:eastAsia="Calibri" w:hAnsi="Garamond"/>
                <w:color w:val="000000" w:themeColor="text1"/>
                <w:sz w:val="16"/>
                <w:szCs w:val="16"/>
                <w:lang w:eastAsia="en-US" w:bidi="ar-SA"/>
              </w:rPr>
              <w:t xml:space="preserve">s in order to increase the efficiency and transparency of public </w:t>
            </w:r>
            <w:r>
              <w:rPr>
                <w:rFonts w:ascii="Garamond" w:eastAsia="Calibri" w:hAnsi="Garamond"/>
                <w:color w:val="000000" w:themeColor="text1"/>
                <w:sz w:val="16"/>
                <w:szCs w:val="16"/>
                <w:lang w:eastAsia="en-US" w:bidi="ar-SA"/>
              </w:rPr>
              <w:t xml:space="preserve">expenditure </w:t>
            </w:r>
          </w:p>
        </w:tc>
      </w:tr>
      <w:tr w:rsidR="0054254C" w:rsidRPr="00290B32" w:rsidTr="00D43372">
        <w:trPr>
          <w:gridAfter w:val="1"/>
          <w:wAfter w:w="19" w:type="dxa"/>
          <w:jc w:val="center"/>
        </w:trPr>
        <w:tc>
          <w:tcPr>
            <w:tcW w:w="2721" w:type="dxa"/>
            <w:vAlign w:val="center"/>
          </w:tcPr>
          <w:p w:rsidR="0054254C" w:rsidRPr="00290B32" w:rsidRDefault="0054254C"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54254C" w:rsidRPr="0056213B" w:rsidRDefault="0054254C" w:rsidP="0054254C">
            <w:pPr>
              <w:rPr>
                <w:rFonts w:ascii="Garamond" w:hAnsi="Garamond"/>
                <w:sz w:val="16"/>
                <w:szCs w:val="16"/>
              </w:rPr>
            </w:pPr>
            <w:r w:rsidRPr="0056213B">
              <w:rPr>
                <w:rFonts w:ascii="Garamond" w:hAnsi="Garamond"/>
                <w:sz w:val="16"/>
                <w:szCs w:val="16"/>
              </w:rPr>
              <w:t>The Ministr</w:t>
            </w:r>
            <w:r>
              <w:rPr>
                <w:rFonts w:ascii="Garamond" w:hAnsi="Garamond"/>
                <w:sz w:val="16"/>
                <w:szCs w:val="16"/>
              </w:rPr>
              <w:t>y of Finance and Social Welfare</w:t>
            </w:r>
            <w:r w:rsidRPr="0056213B">
              <w:rPr>
                <w:rFonts w:ascii="Garamond" w:hAnsi="Garamond"/>
                <w:sz w:val="16"/>
                <w:szCs w:val="16"/>
              </w:rPr>
              <w:t xml:space="preserve">, Directorate for </w:t>
            </w:r>
            <w:r>
              <w:rPr>
                <w:rFonts w:ascii="Garamond" w:hAnsi="Garamond"/>
                <w:sz w:val="16"/>
                <w:szCs w:val="16"/>
              </w:rPr>
              <w:t>State</w:t>
            </w:r>
            <w:r w:rsidRPr="0056213B">
              <w:rPr>
                <w:rFonts w:ascii="Garamond" w:hAnsi="Garamond"/>
                <w:sz w:val="16"/>
                <w:szCs w:val="16"/>
              </w:rPr>
              <w:t xml:space="preserve"> Budget</w:t>
            </w:r>
          </w:p>
          <w:p w:rsidR="0054254C" w:rsidRPr="00290B32" w:rsidRDefault="0054254C" w:rsidP="00D43372">
            <w:pPr>
              <w:jc w:val="both"/>
              <w:rPr>
                <w:rFonts w:ascii="Garamond" w:eastAsia="Calibri" w:hAnsi="Garamond"/>
                <w:sz w:val="16"/>
                <w:szCs w:val="16"/>
                <w:lang w:eastAsia="en-US" w:bidi="ar-SA"/>
              </w:rPr>
            </w:pPr>
          </w:p>
        </w:tc>
      </w:tr>
      <w:tr w:rsidR="0054254C" w:rsidRPr="00290B32" w:rsidTr="00D43372">
        <w:trPr>
          <w:gridAfter w:val="1"/>
          <w:wAfter w:w="19" w:type="dxa"/>
          <w:jc w:val="center"/>
        </w:trPr>
        <w:tc>
          <w:tcPr>
            <w:tcW w:w="2721" w:type="dxa"/>
            <w:vAlign w:val="center"/>
          </w:tcPr>
          <w:p w:rsidR="0054254C" w:rsidRPr="00290B32" w:rsidRDefault="0054254C"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NAME OF DATA COLLECTION HOLDER</w:t>
            </w:r>
          </w:p>
        </w:tc>
        <w:tc>
          <w:tcPr>
            <w:tcW w:w="6836" w:type="dxa"/>
            <w:gridSpan w:val="4"/>
            <w:vAlign w:val="center"/>
          </w:tcPr>
          <w:p w:rsidR="0054254C" w:rsidRPr="0056213B" w:rsidRDefault="0054254C" w:rsidP="00D43372">
            <w:pPr>
              <w:rPr>
                <w:rFonts w:ascii="Garamond" w:hAnsi="Garamond"/>
                <w:sz w:val="16"/>
                <w:szCs w:val="16"/>
              </w:rPr>
            </w:pPr>
            <w:r w:rsidRPr="0056213B">
              <w:rPr>
                <w:rFonts w:ascii="Garamond" w:hAnsi="Garamond"/>
                <w:sz w:val="16"/>
                <w:szCs w:val="16"/>
              </w:rPr>
              <w:t>The Ministr</w:t>
            </w:r>
            <w:r>
              <w:rPr>
                <w:rFonts w:ascii="Garamond" w:hAnsi="Garamond"/>
                <w:sz w:val="16"/>
                <w:szCs w:val="16"/>
              </w:rPr>
              <w:t>y of Finance and Social Welfare</w:t>
            </w:r>
            <w:r w:rsidRPr="0056213B">
              <w:rPr>
                <w:rFonts w:ascii="Garamond" w:hAnsi="Garamond"/>
                <w:sz w:val="16"/>
                <w:szCs w:val="16"/>
              </w:rPr>
              <w:t xml:space="preserve">, Directorate for </w:t>
            </w:r>
            <w:r>
              <w:rPr>
                <w:rFonts w:ascii="Garamond" w:hAnsi="Garamond"/>
                <w:sz w:val="16"/>
                <w:szCs w:val="16"/>
              </w:rPr>
              <w:t>State</w:t>
            </w:r>
            <w:r w:rsidRPr="0056213B">
              <w:rPr>
                <w:rFonts w:ascii="Garamond" w:hAnsi="Garamond"/>
                <w:sz w:val="16"/>
                <w:szCs w:val="16"/>
              </w:rPr>
              <w:t xml:space="preserve"> Budget</w:t>
            </w:r>
          </w:p>
          <w:p w:rsidR="0054254C" w:rsidRPr="0056213B" w:rsidRDefault="0054254C" w:rsidP="00D43372">
            <w:pPr>
              <w:rPr>
                <w:rFonts w:ascii="Garamond" w:hAnsi="Garamond"/>
                <w:sz w:val="16"/>
                <w:szCs w:val="16"/>
              </w:rPr>
            </w:pPr>
            <w:r w:rsidRPr="0056213B">
              <w:rPr>
                <w:rFonts w:ascii="Garamond" w:hAnsi="Garamond"/>
                <w:sz w:val="16"/>
                <w:szCs w:val="16"/>
              </w:rPr>
              <w:t>Tanja Musterović</w:t>
            </w:r>
          </w:p>
          <w:p w:rsidR="0054254C" w:rsidRDefault="00613C2B" w:rsidP="00D43372">
            <w:pPr>
              <w:rPr>
                <w:rFonts w:ascii="Garamond" w:hAnsi="Garamond"/>
                <w:sz w:val="16"/>
                <w:szCs w:val="16"/>
              </w:rPr>
            </w:pPr>
            <w:hyperlink r:id="rId24" w:history="1">
              <w:r w:rsidR="0054254C" w:rsidRPr="00A638DE">
                <w:rPr>
                  <w:rStyle w:val="Hyperlink"/>
                  <w:rFonts w:ascii="Garamond" w:hAnsi="Garamond"/>
                  <w:sz w:val="16"/>
                  <w:szCs w:val="16"/>
                </w:rPr>
                <w:t>tanja.musterovic@mif.gov.me</w:t>
              </w:r>
            </w:hyperlink>
          </w:p>
          <w:p w:rsidR="0054254C" w:rsidRPr="00290B32" w:rsidRDefault="0054254C" w:rsidP="00D43372">
            <w:pPr>
              <w:rPr>
                <w:rFonts w:ascii="Garamond" w:eastAsia="Calibri" w:hAnsi="Garamond"/>
                <w:sz w:val="16"/>
                <w:szCs w:val="16"/>
                <w:lang w:eastAsia="en-US" w:bidi="ar-SA"/>
              </w:rPr>
            </w:pPr>
            <w:r>
              <w:rPr>
                <w:rFonts w:ascii="Garamond" w:eastAsia="Calibri" w:hAnsi="Garamond"/>
                <w:sz w:val="16"/>
                <w:szCs w:val="16"/>
                <w:lang w:eastAsia="en-US" w:bidi="ar-SA"/>
              </w:rPr>
              <w:t>phone number</w:t>
            </w:r>
            <w:r w:rsidRPr="00C90D2E">
              <w:rPr>
                <w:rFonts w:ascii="Garamond" w:eastAsia="Calibri" w:hAnsi="Garamond"/>
                <w:sz w:val="16"/>
                <w:szCs w:val="16"/>
                <w:lang w:eastAsia="en-US" w:bidi="ar-SA"/>
              </w:rPr>
              <w:t>: 063262769</w:t>
            </w:r>
          </w:p>
        </w:tc>
      </w:tr>
      <w:tr w:rsidR="0054254C" w:rsidRPr="00290B32" w:rsidTr="00D43372">
        <w:trPr>
          <w:gridAfter w:val="1"/>
          <w:wAfter w:w="19" w:type="dxa"/>
          <w:jc w:val="center"/>
        </w:trPr>
        <w:tc>
          <w:tcPr>
            <w:tcW w:w="2721" w:type="dxa"/>
            <w:vAlign w:val="center"/>
          </w:tcPr>
          <w:p w:rsidR="0054254C" w:rsidRPr="00290B32" w:rsidRDefault="0054254C"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FREQUENCY OF DATA PUBLICATION</w:t>
            </w:r>
          </w:p>
        </w:tc>
        <w:tc>
          <w:tcPr>
            <w:tcW w:w="6836" w:type="dxa"/>
            <w:gridSpan w:val="4"/>
            <w:vAlign w:val="center"/>
          </w:tcPr>
          <w:p w:rsidR="0054254C" w:rsidRPr="00290B32" w:rsidRDefault="0054254C" w:rsidP="00D43372">
            <w:pPr>
              <w:rPr>
                <w:rFonts w:ascii="Garamond" w:eastAsia="Calibri" w:hAnsi="Garamond"/>
                <w:sz w:val="16"/>
                <w:szCs w:val="16"/>
                <w:lang w:eastAsia="en-US" w:bidi="ar-SA"/>
              </w:rPr>
            </w:pPr>
            <w:r w:rsidRPr="007018D8">
              <w:rPr>
                <w:rFonts w:ascii="Garamond" w:hAnsi="Garamond"/>
                <w:sz w:val="16"/>
                <w:szCs w:val="16"/>
              </w:rPr>
              <w:t xml:space="preserve">1x per year, </w:t>
            </w:r>
            <w:r>
              <w:rPr>
                <w:rFonts w:ascii="Garamond" w:hAnsi="Garamond"/>
                <w:sz w:val="16"/>
                <w:szCs w:val="16"/>
              </w:rPr>
              <w:t>Q1 of the</w:t>
            </w:r>
            <w:r w:rsidRPr="00C90D2E">
              <w:rPr>
                <w:rFonts w:ascii="Garamond" w:hAnsi="Garamond"/>
                <w:sz w:val="16"/>
                <w:szCs w:val="16"/>
              </w:rPr>
              <w:t xml:space="preserve"> current for the previous year</w:t>
            </w:r>
          </w:p>
        </w:tc>
      </w:tr>
      <w:tr w:rsidR="0054254C" w:rsidRPr="00290B32" w:rsidTr="00D43372">
        <w:trPr>
          <w:gridAfter w:val="1"/>
          <w:wAfter w:w="19" w:type="dxa"/>
          <w:trHeight w:val="800"/>
          <w:jc w:val="center"/>
        </w:trPr>
        <w:tc>
          <w:tcPr>
            <w:tcW w:w="2721" w:type="dxa"/>
            <w:vMerge w:val="restart"/>
            <w:vAlign w:val="center"/>
          </w:tcPr>
          <w:p w:rsidR="0054254C" w:rsidRPr="00290B32" w:rsidRDefault="0054254C" w:rsidP="00D43372">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 xml:space="preserve">BRIEF DESCRIPTION </w:t>
            </w:r>
            <w:r w:rsidRPr="0056213B">
              <w:rPr>
                <w:rFonts w:ascii="Garamond" w:eastAsia="Calibri" w:hAnsi="Garamond"/>
                <w:b/>
                <w:caps/>
                <w:sz w:val="16"/>
                <w:szCs w:val="16"/>
                <w:lang w:val="en-GB" w:eastAsia="en-US" w:bidi="ar-SA"/>
              </w:rPr>
              <w:t xml:space="preserve">OF </w:t>
            </w:r>
            <w:r w:rsidRPr="0056213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54254C" w:rsidRPr="00290B32" w:rsidRDefault="0054254C" w:rsidP="003F187F">
            <w:pPr>
              <w:jc w:val="both"/>
              <w:rPr>
                <w:rFonts w:ascii="Garamond" w:eastAsia="Calibri" w:hAnsi="Garamond"/>
                <w:sz w:val="16"/>
                <w:szCs w:val="16"/>
                <w:lang w:eastAsia="en-US" w:bidi="ar-SA"/>
              </w:rPr>
            </w:pPr>
            <w:r w:rsidRPr="0054254C">
              <w:rPr>
                <w:rFonts w:ascii="Garamond" w:hAnsi="Garamond"/>
                <w:sz w:val="16"/>
                <w:szCs w:val="16"/>
              </w:rPr>
              <w:t>In accordance with the Public Financ</w:t>
            </w:r>
            <w:r>
              <w:rPr>
                <w:rFonts w:ascii="Garamond" w:hAnsi="Garamond"/>
                <w:sz w:val="16"/>
                <w:szCs w:val="16"/>
              </w:rPr>
              <w:t>e</w:t>
            </w:r>
            <w:r w:rsidRPr="0054254C">
              <w:rPr>
                <w:rFonts w:ascii="Garamond" w:hAnsi="Garamond"/>
                <w:sz w:val="16"/>
                <w:szCs w:val="16"/>
              </w:rPr>
              <w:t xml:space="preserve"> Management Reform Program</w:t>
            </w:r>
            <w:r>
              <w:rPr>
                <w:rFonts w:ascii="Garamond" w:hAnsi="Garamond"/>
                <w:sz w:val="16"/>
                <w:szCs w:val="16"/>
              </w:rPr>
              <w:t>me</w:t>
            </w:r>
            <w:r w:rsidRPr="0054254C">
              <w:rPr>
                <w:rFonts w:ascii="Garamond" w:hAnsi="Garamond"/>
                <w:sz w:val="16"/>
                <w:szCs w:val="16"/>
              </w:rPr>
              <w:t xml:space="preserve"> and the Action Plan</w:t>
            </w:r>
            <w:r w:rsidR="00FC5519">
              <w:rPr>
                <w:rFonts w:ascii="Garamond" w:hAnsi="Garamond"/>
                <w:sz w:val="16"/>
                <w:szCs w:val="16"/>
              </w:rPr>
              <w:t>,</w:t>
            </w:r>
            <w:r w:rsidRPr="0054254C">
              <w:rPr>
                <w:rFonts w:ascii="Garamond" w:hAnsi="Garamond"/>
                <w:sz w:val="16"/>
                <w:szCs w:val="16"/>
              </w:rPr>
              <w:t xml:space="preserve"> </w:t>
            </w:r>
            <w:r>
              <w:rPr>
                <w:rFonts w:ascii="Garamond" w:hAnsi="Garamond"/>
                <w:sz w:val="16"/>
                <w:szCs w:val="16"/>
              </w:rPr>
              <w:t>IPA II funds are</w:t>
            </w:r>
            <w:r w:rsidRPr="0054254C">
              <w:rPr>
                <w:rFonts w:ascii="Garamond" w:hAnsi="Garamond"/>
                <w:sz w:val="16"/>
                <w:szCs w:val="16"/>
              </w:rPr>
              <w:t xml:space="preserve"> planned to </w:t>
            </w:r>
            <w:r>
              <w:rPr>
                <w:rFonts w:ascii="Garamond" w:hAnsi="Garamond"/>
                <w:sz w:val="16"/>
                <w:szCs w:val="16"/>
              </w:rPr>
              <w:t xml:space="preserve">be used to </w:t>
            </w:r>
            <w:r w:rsidR="00FC5519">
              <w:rPr>
                <w:rFonts w:ascii="Garamond" w:hAnsi="Garamond"/>
                <w:sz w:val="16"/>
                <w:szCs w:val="16"/>
              </w:rPr>
              <w:t>organis</w:t>
            </w:r>
            <w:r w:rsidRPr="0054254C">
              <w:rPr>
                <w:rFonts w:ascii="Garamond" w:hAnsi="Garamond"/>
                <w:sz w:val="16"/>
                <w:szCs w:val="16"/>
              </w:rPr>
              <w:t>e training</w:t>
            </w:r>
            <w:r w:rsidR="003F187F">
              <w:rPr>
                <w:rFonts w:ascii="Garamond" w:hAnsi="Garamond"/>
                <w:sz w:val="16"/>
                <w:szCs w:val="16"/>
              </w:rPr>
              <w:t>s</w:t>
            </w:r>
            <w:r w:rsidRPr="0054254C">
              <w:rPr>
                <w:rFonts w:ascii="Garamond" w:hAnsi="Garamond"/>
                <w:sz w:val="16"/>
                <w:szCs w:val="16"/>
              </w:rPr>
              <w:t xml:space="preserve"> for employees of the Ministry of Finance and budget organi</w:t>
            </w:r>
            <w:r w:rsidR="00F254DD">
              <w:rPr>
                <w:rFonts w:ascii="Garamond" w:hAnsi="Garamond"/>
                <w:sz w:val="16"/>
                <w:szCs w:val="16"/>
              </w:rPr>
              <w:t>sation</w:t>
            </w:r>
            <w:r w:rsidRPr="0054254C">
              <w:rPr>
                <w:rFonts w:ascii="Garamond" w:hAnsi="Garamond"/>
                <w:sz w:val="16"/>
                <w:szCs w:val="16"/>
              </w:rPr>
              <w:t>s that will be involved in the implementation of the program</w:t>
            </w:r>
            <w:r>
              <w:rPr>
                <w:rFonts w:ascii="Garamond" w:hAnsi="Garamond"/>
                <w:sz w:val="16"/>
                <w:szCs w:val="16"/>
              </w:rPr>
              <w:t>me</w:t>
            </w:r>
            <w:r w:rsidRPr="0054254C">
              <w:rPr>
                <w:rFonts w:ascii="Garamond" w:hAnsi="Garamond"/>
                <w:sz w:val="16"/>
                <w:szCs w:val="16"/>
              </w:rPr>
              <w:t xml:space="preserve"> budget. The training is planned for the management level and </w:t>
            </w:r>
            <w:r w:rsidR="003F187F">
              <w:rPr>
                <w:rFonts w:ascii="Garamond" w:hAnsi="Garamond"/>
                <w:sz w:val="16"/>
                <w:szCs w:val="16"/>
              </w:rPr>
              <w:t xml:space="preserve">the </w:t>
            </w:r>
            <w:r w:rsidRPr="0054254C">
              <w:rPr>
                <w:rFonts w:ascii="Garamond" w:hAnsi="Garamond"/>
                <w:sz w:val="16"/>
                <w:szCs w:val="16"/>
              </w:rPr>
              <w:t xml:space="preserve">expert staff </w:t>
            </w:r>
            <w:r w:rsidR="003F187F">
              <w:rPr>
                <w:rFonts w:ascii="Garamond" w:hAnsi="Garamond"/>
                <w:sz w:val="16"/>
                <w:szCs w:val="16"/>
              </w:rPr>
              <w:t>in</w:t>
            </w:r>
            <w:r w:rsidRPr="0054254C">
              <w:rPr>
                <w:rFonts w:ascii="Garamond" w:hAnsi="Garamond"/>
                <w:sz w:val="16"/>
                <w:szCs w:val="16"/>
              </w:rPr>
              <w:t xml:space="preserve"> institutions determined </w:t>
            </w:r>
            <w:r w:rsidR="003F187F">
              <w:rPr>
                <w:rFonts w:ascii="Garamond" w:hAnsi="Garamond"/>
                <w:sz w:val="16"/>
                <w:szCs w:val="16"/>
              </w:rPr>
              <w:t>to be</w:t>
            </w:r>
            <w:r w:rsidRPr="0054254C">
              <w:rPr>
                <w:rFonts w:ascii="Garamond" w:hAnsi="Garamond"/>
                <w:sz w:val="16"/>
                <w:szCs w:val="16"/>
              </w:rPr>
              <w:t xml:space="preserve"> priorities, until 2020, when all institutions will be included. The performance indicator is measured on the basis of trainings completed in one calendar year, </w:t>
            </w:r>
            <w:r>
              <w:rPr>
                <w:rFonts w:ascii="Garamond" w:hAnsi="Garamond"/>
                <w:sz w:val="16"/>
                <w:szCs w:val="16"/>
              </w:rPr>
              <w:t>that is,</w:t>
            </w:r>
            <w:r w:rsidRPr="0054254C">
              <w:rPr>
                <w:rFonts w:ascii="Garamond" w:hAnsi="Garamond"/>
                <w:sz w:val="16"/>
                <w:szCs w:val="16"/>
              </w:rPr>
              <w:t xml:space="preserve"> the number of participants who attended the training. During 2019, training for employees </w:t>
            </w:r>
            <w:r w:rsidR="00FC5519">
              <w:rPr>
                <w:rFonts w:ascii="Garamond" w:hAnsi="Garamond"/>
                <w:sz w:val="16"/>
                <w:szCs w:val="16"/>
              </w:rPr>
              <w:t>of</w:t>
            </w:r>
            <w:r w:rsidRPr="0054254C">
              <w:rPr>
                <w:rFonts w:ascii="Garamond" w:hAnsi="Garamond"/>
                <w:sz w:val="16"/>
                <w:szCs w:val="16"/>
              </w:rPr>
              <w:t xml:space="preserve"> the Directorate for State Budget was held, while in 2020, training for employees in budget spending units and other planned institutions was </w:t>
            </w:r>
            <w:r w:rsidR="000F7712">
              <w:rPr>
                <w:rFonts w:ascii="Garamond" w:hAnsi="Garamond"/>
                <w:sz w:val="16"/>
                <w:szCs w:val="16"/>
              </w:rPr>
              <w:t>implemented</w:t>
            </w:r>
            <w:r w:rsidRPr="0054254C">
              <w:rPr>
                <w:rFonts w:ascii="Garamond" w:hAnsi="Garamond"/>
                <w:sz w:val="16"/>
                <w:szCs w:val="16"/>
              </w:rPr>
              <w:t>, which will continue in 2021.</w:t>
            </w:r>
          </w:p>
        </w:tc>
      </w:tr>
      <w:tr w:rsidR="0054254C" w:rsidRPr="00290B32" w:rsidTr="00D43372">
        <w:trPr>
          <w:gridAfter w:val="1"/>
          <w:wAfter w:w="19" w:type="dxa"/>
          <w:trHeight w:val="620"/>
          <w:jc w:val="center"/>
        </w:trPr>
        <w:tc>
          <w:tcPr>
            <w:tcW w:w="2721" w:type="dxa"/>
            <w:vMerge/>
            <w:shd w:val="clear" w:color="auto" w:fill="auto"/>
            <w:vAlign w:val="center"/>
          </w:tcPr>
          <w:p w:rsidR="0054254C" w:rsidRPr="00290B32" w:rsidRDefault="0054254C" w:rsidP="00D43372">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54254C" w:rsidRPr="004D6BBE" w:rsidRDefault="0054254C" w:rsidP="00D43372">
            <w:pPr>
              <w:jc w:val="center"/>
              <w:rPr>
                <w:rFonts w:ascii="Garamond" w:hAnsi="Garamond"/>
                <w:color w:val="365F91" w:themeColor="accent1" w:themeShade="BF"/>
                <w:sz w:val="16"/>
                <w:szCs w:val="16"/>
              </w:rPr>
            </w:pPr>
            <w:r w:rsidRPr="004D6BBE">
              <w:rPr>
                <w:rFonts w:ascii="Garamond" w:hAnsi="Garamond"/>
                <w:color w:val="365F91" w:themeColor="accent1" w:themeShade="BF"/>
                <w:sz w:val="16"/>
                <w:szCs w:val="16"/>
              </w:rPr>
              <w:t>FORMULA / EQUATION</w:t>
            </w:r>
          </w:p>
          <w:p w:rsidR="0054254C" w:rsidRPr="00290B32" w:rsidRDefault="000F7712" w:rsidP="00D43372">
            <w:pPr>
              <w:jc w:val="center"/>
              <w:rPr>
                <w:rFonts w:ascii="Garamond" w:eastAsia="Calibri" w:hAnsi="Garamond"/>
                <w:sz w:val="16"/>
                <w:szCs w:val="16"/>
                <w:lang w:eastAsia="en-US" w:bidi="ar-SA"/>
              </w:rPr>
            </w:pPr>
            <w:r w:rsidRPr="000F7712">
              <w:rPr>
                <w:rFonts w:ascii="Garamond" w:hAnsi="Garamond"/>
                <w:i/>
                <w:sz w:val="16"/>
                <w:szCs w:val="16"/>
              </w:rPr>
              <w:t>The total number of employees who attended the trainings that began and ended during one calendar year</w:t>
            </w:r>
          </w:p>
        </w:tc>
      </w:tr>
      <w:tr w:rsidR="0054254C" w:rsidRPr="00290B32" w:rsidTr="00D43372">
        <w:trPr>
          <w:gridAfter w:val="1"/>
          <w:wAfter w:w="19" w:type="dxa"/>
          <w:trHeight w:val="585"/>
          <w:jc w:val="center"/>
        </w:trPr>
        <w:tc>
          <w:tcPr>
            <w:tcW w:w="2721" w:type="dxa"/>
            <w:vAlign w:val="center"/>
          </w:tcPr>
          <w:p w:rsidR="0054254C" w:rsidRPr="00290B32" w:rsidRDefault="0054254C" w:rsidP="00D43372">
            <w:pPr>
              <w:autoSpaceDE/>
              <w:autoSpaceDN/>
              <w:rPr>
                <w:rFonts w:ascii="Garamond" w:eastAsia="Calibri" w:hAnsi="Garamond"/>
                <w:b/>
                <w:bCs/>
                <w:caps/>
                <w:sz w:val="16"/>
                <w:szCs w:val="16"/>
                <w:lang w:val="en-GB" w:eastAsia="en-US" w:bidi="ar-SA"/>
              </w:rPr>
            </w:pPr>
            <w:r w:rsidRPr="0056213B">
              <w:rPr>
                <w:rFonts w:ascii="Garamond" w:eastAsia="Calibri" w:hAnsi="Garamond"/>
                <w:b/>
                <w:caps/>
                <w:sz w:val="16"/>
                <w:szCs w:val="16"/>
                <w:lang w:val="uz-Cyrl-UZ" w:eastAsia="en-US" w:bidi="ar-SA"/>
              </w:rPr>
              <w:t>BASELINE</w:t>
            </w:r>
            <w:r w:rsidRPr="0056213B">
              <w:rPr>
                <w:rFonts w:ascii="Garamond" w:eastAsia="Calibri" w:hAnsi="Garamond"/>
                <w:b/>
                <w:caps/>
                <w:sz w:val="16"/>
                <w:szCs w:val="16"/>
                <w:lang w:val="en-GB" w:eastAsia="en-US" w:bidi="ar-SA"/>
              </w:rPr>
              <w:t xml:space="preserve"> DATA</w:t>
            </w:r>
          </w:p>
        </w:tc>
        <w:tc>
          <w:tcPr>
            <w:tcW w:w="6836" w:type="dxa"/>
            <w:gridSpan w:val="4"/>
            <w:vAlign w:val="center"/>
          </w:tcPr>
          <w:p w:rsidR="0054254C" w:rsidRPr="00290B32" w:rsidRDefault="0054254C" w:rsidP="000F7712">
            <w:pPr>
              <w:autoSpaceDE/>
              <w:autoSpaceDN/>
              <w:jc w:val="both"/>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 xml:space="preserve">PV (2014): </w:t>
            </w:r>
            <w:r w:rsidR="000F7712">
              <w:rPr>
                <w:rFonts w:ascii="Garamond" w:eastAsia="Calibri" w:hAnsi="Garamond"/>
                <w:sz w:val="16"/>
                <w:szCs w:val="16"/>
                <w:lang w:val="en-GB" w:eastAsia="en-US" w:bidi="ar-SA"/>
              </w:rPr>
              <w:t>0</w:t>
            </w:r>
          </w:p>
        </w:tc>
      </w:tr>
      <w:tr w:rsidR="0054254C" w:rsidRPr="00290B32" w:rsidTr="00D43372">
        <w:trPr>
          <w:gridAfter w:val="1"/>
          <w:wAfter w:w="19" w:type="dxa"/>
          <w:trHeight w:val="160"/>
          <w:jc w:val="center"/>
        </w:trPr>
        <w:tc>
          <w:tcPr>
            <w:tcW w:w="2721" w:type="dxa"/>
            <w:vMerge w:val="restart"/>
            <w:vAlign w:val="center"/>
          </w:tcPr>
          <w:p w:rsidR="0054254C" w:rsidRPr="00290B32" w:rsidRDefault="0054254C" w:rsidP="00D43372">
            <w:pPr>
              <w:autoSpaceDE/>
              <w:autoSpaceDN/>
              <w:rPr>
                <w:rFonts w:ascii="Garamond" w:eastAsia="Calibri" w:hAnsi="Garamond"/>
                <w:b/>
                <w:bCs/>
                <w:caps/>
                <w:sz w:val="16"/>
                <w:szCs w:val="16"/>
                <w:lang w:val="uz-Cyrl-UZ" w:eastAsia="en-US" w:bidi="ar-SA"/>
              </w:rPr>
            </w:pPr>
            <w:r w:rsidRPr="0056213B">
              <w:rPr>
                <w:rFonts w:ascii="Garamond" w:eastAsia="Calibri" w:hAnsi="Garamond"/>
                <w:b/>
                <w:caps/>
                <w:sz w:val="16"/>
                <w:szCs w:val="16"/>
                <w:lang w:val="uz-Cyrl-UZ" w:eastAsia="en-US" w:bidi="ar-SA"/>
              </w:rPr>
              <w:t>TARGET VALUE DATA</w:t>
            </w:r>
          </w:p>
        </w:tc>
        <w:tc>
          <w:tcPr>
            <w:tcW w:w="1771" w:type="dxa"/>
            <w:vAlign w:val="center"/>
          </w:tcPr>
          <w:p w:rsidR="0054254C" w:rsidRPr="00290B32" w:rsidRDefault="0054254C"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2017</w:t>
            </w:r>
          </w:p>
        </w:tc>
        <w:tc>
          <w:tcPr>
            <w:tcW w:w="1771" w:type="dxa"/>
            <w:vAlign w:val="center"/>
          </w:tcPr>
          <w:p w:rsidR="0054254C" w:rsidRPr="00290B32" w:rsidRDefault="0054254C"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2018</w:t>
            </w:r>
          </w:p>
        </w:tc>
        <w:tc>
          <w:tcPr>
            <w:tcW w:w="1771" w:type="dxa"/>
            <w:vAlign w:val="center"/>
          </w:tcPr>
          <w:p w:rsidR="0054254C" w:rsidRPr="00290B32" w:rsidRDefault="0054254C"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2019</w:t>
            </w:r>
          </w:p>
        </w:tc>
        <w:tc>
          <w:tcPr>
            <w:tcW w:w="1523" w:type="dxa"/>
            <w:vAlign w:val="center"/>
          </w:tcPr>
          <w:p w:rsidR="0054254C" w:rsidRPr="00290B32" w:rsidRDefault="0054254C" w:rsidP="00D43372">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2020</w:t>
            </w:r>
          </w:p>
        </w:tc>
      </w:tr>
      <w:tr w:rsidR="000F7712" w:rsidRPr="00290B32" w:rsidTr="00D43372">
        <w:trPr>
          <w:gridAfter w:val="1"/>
          <w:wAfter w:w="19" w:type="dxa"/>
          <w:trHeight w:val="160"/>
          <w:jc w:val="center"/>
        </w:trPr>
        <w:tc>
          <w:tcPr>
            <w:tcW w:w="2721" w:type="dxa"/>
            <w:vMerge/>
            <w:vAlign w:val="center"/>
          </w:tcPr>
          <w:p w:rsidR="000F7712" w:rsidRPr="00290B32" w:rsidRDefault="000F7712" w:rsidP="00D43372">
            <w:pPr>
              <w:autoSpaceDE/>
              <w:autoSpaceDN/>
              <w:rPr>
                <w:rFonts w:ascii="Garamond" w:eastAsia="Calibri" w:hAnsi="Garamond"/>
                <w:b/>
                <w:bCs/>
                <w:caps/>
                <w:sz w:val="16"/>
                <w:szCs w:val="16"/>
                <w:lang w:val="uz-Cyrl-UZ" w:eastAsia="en-US" w:bidi="ar-SA"/>
              </w:rPr>
            </w:pPr>
          </w:p>
        </w:tc>
        <w:tc>
          <w:tcPr>
            <w:tcW w:w="1771" w:type="dxa"/>
            <w:vAlign w:val="center"/>
          </w:tcPr>
          <w:p w:rsidR="000F7712" w:rsidRPr="00AE0CB3" w:rsidRDefault="000F7712" w:rsidP="00D43372">
            <w:pPr>
              <w:pStyle w:val="TabelaTekst"/>
              <w:spacing w:before="0" w:after="0" w:line="240" w:lineRule="auto"/>
              <w:jc w:val="center"/>
              <w:rPr>
                <w:rFonts w:ascii="Garamond" w:hAnsi="Garamond"/>
              </w:rPr>
            </w:pPr>
            <w:r w:rsidRPr="00AE0CB3">
              <w:rPr>
                <w:rFonts w:ascii="Garamond" w:hAnsi="Garamond"/>
              </w:rPr>
              <w:t>20</w:t>
            </w:r>
          </w:p>
        </w:tc>
        <w:tc>
          <w:tcPr>
            <w:tcW w:w="1771" w:type="dxa"/>
            <w:vAlign w:val="center"/>
          </w:tcPr>
          <w:p w:rsidR="000F7712" w:rsidRPr="00AE0CB3" w:rsidRDefault="000F7712" w:rsidP="00D43372">
            <w:pPr>
              <w:pStyle w:val="TabelaTekst"/>
              <w:spacing w:before="0" w:after="0" w:line="240" w:lineRule="auto"/>
              <w:jc w:val="center"/>
              <w:rPr>
                <w:rFonts w:ascii="Garamond" w:hAnsi="Garamond"/>
              </w:rPr>
            </w:pPr>
            <w:r w:rsidRPr="00AE0CB3">
              <w:rPr>
                <w:rFonts w:ascii="Garamond" w:hAnsi="Garamond"/>
              </w:rPr>
              <w:t>35</w:t>
            </w:r>
          </w:p>
        </w:tc>
        <w:tc>
          <w:tcPr>
            <w:tcW w:w="1771" w:type="dxa"/>
            <w:vAlign w:val="center"/>
          </w:tcPr>
          <w:p w:rsidR="000F7712" w:rsidRPr="00AE0CB3" w:rsidRDefault="000F7712" w:rsidP="00D43372">
            <w:pPr>
              <w:pStyle w:val="TabelaTekst"/>
              <w:spacing w:before="0" w:after="0" w:line="240" w:lineRule="auto"/>
              <w:jc w:val="center"/>
              <w:rPr>
                <w:rFonts w:ascii="Garamond" w:hAnsi="Garamond"/>
              </w:rPr>
            </w:pPr>
            <w:r w:rsidRPr="00AE0CB3">
              <w:rPr>
                <w:rFonts w:ascii="Garamond" w:hAnsi="Garamond"/>
              </w:rPr>
              <w:t>70</w:t>
            </w:r>
          </w:p>
        </w:tc>
        <w:tc>
          <w:tcPr>
            <w:tcW w:w="1523" w:type="dxa"/>
            <w:vAlign w:val="center"/>
          </w:tcPr>
          <w:p w:rsidR="000F7712" w:rsidRPr="00AE0CB3" w:rsidRDefault="000F7712" w:rsidP="00D43372">
            <w:pPr>
              <w:pStyle w:val="TabelaTekst"/>
              <w:spacing w:before="0" w:after="0" w:line="240" w:lineRule="auto"/>
              <w:jc w:val="center"/>
              <w:rPr>
                <w:rFonts w:ascii="Garamond" w:hAnsi="Garamond"/>
              </w:rPr>
            </w:pPr>
            <w:r w:rsidRPr="00AE0CB3">
              <w:rPr>
                <w:rFonts w:ascii="Garamond" w:hAnsi="Garamond"/>
              </w:rPr>
              <w:t>130</w:t>
            </w:r>
          </w:p>
        </w:tc>
      </w:tr>
      <w:tr w:rsidR="000F7712" w:rsidRPr="00290B32" w:rsidTr="00D43372">
        <w:trPr>
          <w:gridAfter w:val="1"/>
          <w:wAfter w:w="19" w:type="dxa"/>
          <w:trHeight w:val="160"/>
          <w:jc w:val="center"/>
        </w:trPr>
        <w:tc>
          <w:tcPr>
            <w:tcW w:w="2721" w:type="dxa"/>
            <w:vAlign w:val="center"/>
          </w:tcPr>
          <w:p w:rsidR="000F7712" w:rsidRPr="00290B32" w:rsidRDefault="0062456A" w:rsidP="00D43372">
            <w:pPr>
              <w:autoSpaceDE/>
              <w:autoSpaceDN/>
              <w:rPr>
                <w:rFonts w:ascii="Garamond" w:eastAsia="Calibri" w:hAnsi="Garamond"/>
                <w:b/>
                <w:bCs/>
                <w:caps/>
                <w:sz w:val="16"/>
                <w:szCs w:val="16"/>
                <w:lang w:val="uz-Cyrl-UZ" w:eastAsia="en-US" w:bidi="ar-SA"/>
              </w:rPr>
            </w:pPr>
            <w:r>
              <w:rPr>
                <w:rFonts w:ascii="Garamond" w:eastAsia="Calibri" w:hAnsi="Garamond"/>
                <w:b/>
                <w:bCs/>
                <w:caps/>
                <w:sz w:val="16"/>
                <w:szCs w:val="16"/>
                <w:lang w:val="uz-Cyrl-UZ" w:eastAsia="en-US" w:bidi="ar-SA"/>
              </w:rPr>
              <w:t>DATA ON VALUES ACHIEVED</w:t>
            </w:r>
          </w:p>
        </w:tc>
        <w:tc>
          <w:tcPr>
            <w:tcW w:w="1771" w:type="dxa"/>
            <w:vAlign w:val="center"/>
          </w:tcPr>
          <w:p w:rsidR="000F7712" w:rsidRPr="00AE0CB3" w:rsidRDefault="000F7712" w:rsidP="00D43372">
            <w:pPr>
              <w:pStyle w:val="TabelaTekst"/>
              <w:spacing w:before="0" w:after="0" w:line="240" w:lineRule="auto"/>
              <w:jc w:val="center"/>
              <w:rPr>
                <w:rFonts w:ascii="Garamond" w:hAnsi="Garamond"/>
              </w:rPr>
            </w:pPr>
            <w:r w:rsidRPr="00AE0CB3">
              <w:rPr>
                <w:rFonts w:ascii="Garamond" w:hAnsi="Garamond"/>
              </w:rPr>
              <w:t>0</w:t>
            </w:r>
          </w:p>
        </w:tc>
        <w:tc>
          <w:tcPr>
            <w:tcW w:w="1771" w:type="dxa"/>
            <w:vAlign w:val="center"/>
          </w:tcPr>
          <w:p w:rsidR="000F7712" w:rsidRPr="00AE0CB3" w:rsidRDefault="000F7712" w:rsidP="00D43372">
            <w:pPr>
              <w:pStyle w:val="TabelaTekst"/>
              <w:spacing w:before="0" w:after="0" w:line="240" w:lineRule="auto"/>
              <w:jc w:val="center"/>
              <w:rPr>
                <w:rFonts w:ascii="Garamond" w:hAnsi="Garamond"/>
              </w:rPr>
            </w:pPr>
            <w:r w:rsidRPr="00AE0CB3">
              <w:rPr>
                <w:rFonts w:ascii="Garamond" w:hAnsi="Garamond"/>
              </w:rPr>
              <w:t>0</w:t>
            </w:r>
          </w:p>
        </w:tc>
        <w:tc>
          <w:tcPr>
            <w:tcW w:w="1771" w:type="dxa"/>
            <w:vAlign w:val="center"/>
          </w:tcPr>
          <w:p w:rsidR="000F7712" w:rsidRPr="00AE0CB3" w:rsidRDefault="000F7712" w:rsidP="00D43372">
            <w:pPr>
              <w:pStyle w:val="TabelaTekst"/>
              <w:spacing w:before="0" w:after="0" w:line="240" w:lineRule="auto"/>
              <w:jc w:val="center"/>
              <w:rPr>
                <w:rFonts w:ascii="Garamond" w:hAnsi="Garamond"/>
                <w:lang w:val="sr-Latn-CS"/>
              </w:rPr>
            </w:pPr>
            <w:r w:rsidRPr="00AE0CB3">
              <w:rPr>
                <w:rFonts w:ascii="Garamond" w:hAnsi="Garamond"/>
                <w:lang w:val="sr-Latn-CS"/>
              </w:rPr>
              <w:t>17</w:t>
            </w:r>
          </w:p>
        </w:tc>
        <w:tc>
          <w:tcPr>
            <w:tcW w:w="1523" w:type="dxa"/>
            <w:vAlign w:val="center"/>
          </w:tcPr>
          <w:p w:rsidR="000F7712" w:rsidRPr="00AE0CB3" w:rsidRDefault="000F7712" w:rsidP="00D43372">
            <w:pPr>
              <w:pStyle w:val="TabelaTekst"/>
              <w:spacing w:before="0" w:after="0" w:line="240" w:lineRule="auto"/>
              <w:jc w:val="center"/>
              <w:rPr>
                <w:rFonts w:ascii="Garamond" w:hAnsi="Garamond"/>
              </w:rPr>
            </w:pPr>
            <w:r w:rsidRPr="00AE0CB3">
              <w:rPr>
                <w:rFonts w:ascii="Garamond" w:hAnsi="Garamond" w:cstheme="minorHAnsi"/>
                <w:szCs w:val="18"/>
                <w:lang w:val="en-US"/>
              </w:rPr>
              <w:t>100</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0F7712">
      <w:pPr>
        <w:pStyle w:val="Heading2"/>
        <w:rPr>
          <w:rFonts w:ascii="Garamond" w:hAnsi="Garamond"/>
          <w:sz w:val="24"/>
          <w:szCs w:val="24"/>
        </w:rPr>
      </w:pPr>
      <w:bookmarkStart w:id="42" w:name="_Toc77688219"/>
      <w:r w:rsidRPr="00C32887">
        <w:rPr>
          <w:rFonts w:ascii="Garamond" w:hAnsi="Garamond"/>
          <w:sz w:val="24"/>
          <w:szCs w:val="24"/>
        </w:rPr>
        <w:t>1.3     Capital budget</w:t>
      </w:r>
      <w:bookmarkEnd w:id="42"/>
    </w:p>
    <w:p w:rsidR="004D1343" w:rsidRPr="00C32887" w:rsidRDefault="004D1343" w:rsidP="004D1343">
      <w:pPr>
        <w:rPr>
          <w:rFonts w:ascii="Garamond" w:hAnsi="Garamond"/>
          <w:sz w:val="24"/>
          <w:szCs w:val="24"/>
        </w:rPr>
      </w:pPr>
    </w:p>
    <w:p w:rsidR="004D1343" w:rsidRPr="00C32887" w:rsidRDefault="004D1343" w:rsidP="000F7712">
      <w:pPr>
        <w:pStyle w:val="Heading3"/>
        <w:rPr>
          <w:rFonts w:ascii="Garamond" w:hAnsi="Garamond"/>
          <w:sz w:val="24"/>
          <w:szCs w:val="24"/>
        </w:rPr>
      </w:pPr>
      <w:bookmarkStart w:id="43" w:name="_Toc77688220"/>
      <w:r w:rsidRPr="00C32887">
        <w:rPr>
          <w:rFonts w:ascii="Garamond" w:hAnsi="Garamond"/>
          <w:sz w:val="24"/>
          <w:szCs w:val="24"/>
        </w:rPr>
        <w:t xml:space="preserve">1.3.1      </w:t>
      </w:r>
      <w:r w:rsidR="000F7712">
        <w:rPr>
          <w:rFonts w:ascii="Garamond" w:hAnsi="Garamond"/>
          <w:sz w:val="24"/>
          <w:szCs w:val="24"/>
        </w:rPr>
        <w:t>PERFORMANCE INDICATOR 7</w:t>
      </w:r>
      <w:r w:rsidR="000F7712" w:rsidRPr="000F7712">
        <w:rPr>
          <w:rFonts w:ascii="Garamond" w:hAnsi="Garamond"/>
          <w:sz w:val="24"/>
          <w:szCs w:val="24"/>
        </w:rPr>
        <w:t xml:space="preserve"> </w:t>
      </w:r>
      <w:r w:rsidR="000F7712" w:rsidRPr="00C32887">
        <w:rPr>
          <w:rFonts w:ascii="Garamond" w:hAnsi="Garamond"/>
          <w:sz w:val="24"/>
          <w:szCs w:val="24"/>
        </w:rPr>
        <w:t>PASSPORT</w:t>
      </w:r>
      <w:bookmarkEnd w:id="43"/>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0F7712" w:rsidRPr="00FD53E3" w:rsidTr="00D43372">
        <w:trPr>
          <w:jc w:val="center"/>
        </w:trPr>
        <w:tc>
          <w:tcPr>
            <w:tcW w:w="2721" w:type="dxa"/>
            <w:tcBorders>
              <w:right w:val="single" w:sz="4" w:space="0" w:color="FFFFFF"/>
            </w:tcBorders>
            <w:shd w:val="clear" w:color="auto" w:fill="BFBFBF"/>
            <w:vAlign w:val="center"/>
          </w:tcPr>
          <w:p w:rsidR="000F7712" w:rsidRPr="00FD53E3" w:rsidRDefault="000F7712" w:rsidP="00D43372">
            <w:pPr>
              <w:autoSpaceDE/>
              <w:autoSpaceDN/>
              <w:rPr>
                <w:rFonts w:ascii="Garamond" w:eastAsia="Calibri" w:hAnsi="Garamond"/>
                <w:b/>
                <w:caps/>
                <w:sz w:val="16"/>
                <w:szCs w:val="16"/>
                <w:lang w:val="en-GB" w:eastAsia="en-US" w:bidi="ar-SA"/>
              </w:rPr>
            </w:pPr>
            <w:r w:rsidRPr="00FD53E3">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0F7712" w:rsidRPr="00FD53E3" w:rsidRDefault="000F7712" w:rsidP="000F7712">
            <w:pPr>
              <w:pStyle w:val="Default"/>
              <w:jc w:val="both"/>
              <w:rPr>
                <w:rFonts w:ascii="Garamond" w:eastAsia="Calibri" w:hAnsi="Garamond"/>
                <w:b/>
                <w:sz w:val="16"/>
                <w:szCs w:val="16"/>
                <w:lang w:eastAsia="en-US"/>
              </w:rPr>
            </w:pPr>
            <w:r w:rsidRPr="00FD53E3">
              <w:rPr>
                <w:rFonts w:ascii="Garamond" w:hAnsi="Garamond"/>
                <w:sz w:val="16"/>
                <w:szCs w:val="16"/>
              </w:rPr>
              <w:t xml:space="preserve">Level of detail in public presentation of capital budget </w:t>
            </w:r>
          </w:p>
        </w:tc>
      </w:tr>
      <w:tr w:rsidR="000F7712" w:rsidRPr="00FD53E3" w:rsidTr="00D43372">
        <w:trPr>
          <w:gridAfter w:val="1"/>
          <w:wAfter w:w="19" w:type="dxa"/>
          <w:jc w:val="center"/>
        </w:trPr>
        <w:tc>
          <w:tcPr>
            <w:tcW w:w="2721" w:type="dxa"/>
            <w:vAlign w:val="center"/>
          </w:tcPr>
          <w:p w:rsidR="000F7712" w:rsidRPr="00FD53E3" w:rsidRDefault="000F7712" w:rsidP="00D43372">
            <w:pPr>
              <w:autoSpaceDE/>
              <w:autoSpaceDN/>
              <w:rPr>
                <w:rFonts w:ascii="Garamond" w:eastAsia="Calibri" w:hAnsi="Garamond"/>
                <w:b/>
                <w:caps/>
                <w:sz w:val="16"/>
                <w:szCs w:val="16"/>
                <w:lang w:val="en-GB" w:eastAsia="en-US" w:bidi="ar-SA"/>
              </w:rPr>
            </w:pPr>
            <w:r w:rsidRPr="00FD53E3">
              <w:rPr>
                <w:rFonts w:ascii="Garamond" w:eastAsia="Calibri" w:hAnsi="Garamond"/>
                <w:b/>
                <w:caps/>
                <w:sz w:val="16"/>
                <w:szCs w:val="16"/>
                <w:lang w:val="en-GB" w:eastAsia="en-US" w:bidi="ar-SA"/>
              </w:rPr>
              <w:t>corresponding objective or activity</w:t>
            </w:r>
          </w:p>
        </w:tc>
        <w:tc>
          <w:tcPr>
            <w:tcW w:w="6836" w:type="dxa"/>
            <w:gridSpan w:val="4"/>
            <w:vAlign w:val="center"/>
          </w:tcPr>
          <w:p w:rsidR="000F7712" w:rsidRPr="00FD53E3" w:rsidRDefault="000F7712" w:rsidP="00D43372">
            <w:pPr>
              <w:rPr>
                <w:rFonts w:ascii="Garamond" w:hAnsi="Garamond"/>
                <w:color w:val="365F91" w:themeColor="accent1" w:themeShade="BF"/>
                <w:sz w:val="16"/>
                <w:szCs w:val="16"/>
              </w:rPr>
            </w:pPr>
            <w:r w:rsidRPr="00FD53E3">
              <w:rPr>
                <w:rFonts w:ascii="Garamond" w:hAnsi="Garamond"/>
                <w:color w:val="365F91" w:themeColor="accent1" w:themeShade="BF"/>
                <w:sz w:val="16"/>
                <w:szCs w:val="16"/>
              </w:rPr>
              <w:t>Sustainable fiscal framework, public expenditure planning and budgeting</w:t>
            </w:r>
          </w:p>
          <w:p w:rsidR="000F7712" w:rsidRPr="00FD53E3" w:rsidRDefault="000F7712" w:rsidP="00D43372">
            <w:pPr>
              <w:pStyle w:val="ListParagraph"/>
              <w:numPr>
                <w:ilvl w:val="0"/>
                <w:numId w:val="28"/>
              </w:numPr>
              <w:rPr>
                <w:rFonts w:ascii="Garamond" w:eastAsia="Calibri" w:hAnsi="Garamond"/>
                <w:i/>
                <w:sz w:val="16"/>
                <w:szCs w:val="16"/>
                <w:lang w:eastAsia="en-US" w:bidi="ar-SA"/>
              </w:rPr>
            </w:pPr>
            <w:r w:rsidRPr="00FD53E3">
              <w:rPr>
                <w:rFonts w:ascii="Garamond" w:hAnsi="Garamond"/>
                <w:color w:val="365F91" w:themeColor="accent1" w:themeShade="BF"/>
                <w:sz w:val="16"/>
                <w:szCs w:val="16"/>
                <w:u w:val="single"/>
              </w:rPr>
              <w:t xml:space="preserve">Capital budget </w:t>
            </w:r>
          </w:p>
          <w:p w:rsidR="000F7712" w:rsidRPr="00FD53E3" w:rsidRDefault="00E019FF" w:rsidP="00D43372">
            <w:pPr>
              <w:rPr>
                <w:rFonts w:ascii="Garamond" w:eastAsia="Calibri" w:hAnsi="Garamond"/>
                <w:color w:val="000000" w:themeColor="text1"/>
                <w:sz w:val="16"/>
                <w:szCs w:val="16"/>
                <w:lang w:eastAsia="en-US" w:bidi="ar-SA"/>
              </w:rPr>
            </w:pPr>
            <w:r w:rsidRPr="00FD53E3">
              <w:rPr>
                <w:rFonts w:ascii="Garamond" w:eastAsia="Calibri" w:hAnsi="Garamond"/>
                <w:color w:val="000000" w:themeColor="text1"/>
                <w:sz w:val="16"/>
                <w:szCs w:val="16"/>
                <w:lang w:eastAsia="en-US" w:bidi="ar-SA"/>
              </w:rPr>
              <w:t>Improve capital budget planning and progress reporting for capital projects</w:t>
            </w:r>
          </w:p>
        </w:tc>
      </w:tr>
      <w:tr w:rsidR="000F7712" w:rsidRPr="00FD53E3" w:rsidTr="00D43372">
        <w:trPr>
          <w:gridAfter w:val="1"/>
          <w:wAfter w:w="19" w:type="dxa"/>
          <w:jc w:val="center"/>
        </w:trPr>
        <w:tc>
          <w:tcPr>
            <w:tcW w:w="2721" w:type="dxa"/>
            <w:vAlign w:val="center"/>
          </w:tcPr>
          <w:p w:rsidR="000F7712" w:rsidRPr="00FD53E3" w:rsidRDefault="000F7712" w:rsidP="00D43372">
            <w:pPr>
              <w:autoSpaceDE/>
              <w:autoSpaceDN/>
              <w:rPr>
                <w:rFonts w:ascii="Garamond" w:eastAsia="Calibri" w:hAnsi="Garamond"/>
                <w:b/>
                <w:caps/>
                <w:sz w:val="16"/>
                <w:szCs w:val="16"/>
                <w:lang w:val="uz-Cyrl-UZ" w:eastAsia="en-US" w:bidi="ar-SA"/>
              </w:rPr>
            </w:pPr>
            <w:r w:rsidRPr="00FD53E3">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0F7712" w:rsidRPr="00FD53E3" w:rsidRDefault="00E019FF" w:rsidP="00A013A3">
            <w:pPr>
              <w:jc w:val="both"/>
              <w:rPr>
                <w:rFonts w:ascii="Garamond" w:eastAsia="Calibri" w:hAnsi="Garamond"/>
                <w:sz w:val="16"/>
                <w:szCs w:val="16"/>
                <w:lang w:eastAsia="en-US" w:bidi="ar-SA"/>
              </w:rPr>
            </w:pPr>
            <w:r w:rsidRPr="00FD53E3">
              <w:rPr>
                <w:rFonts w:ascii="Garamond" w:hAnsi="Garamond"/>
                <w:sz w:val="16"/>
                <w:szCs w:val="16"/>
              </w:rPr>
              <w:t>At present, the source of data is the annual Budget Law and the Official Gazette. Presentation of the capital budget</w:t>
            </w:r>
            <w:r w:rsidR="00A013A3" w:rsidRPr="00FD53E3">
              <w:rPr>
                <w:rFonts w:ascii="Garamond" w:hAnsi="Garamond"/>
                <w:sz w:val="16"/>
                <w:szCs w:val="16"/>
              </w:rPr>
              <w:t xml:space="preserve"> </w:t>
            </w:r>
            <w:r w:rsidRPr="00FD53E3">
              <w:rPr>
                <w:rFonts w:ascii="Garamond" w:hAnsi="Garamond"/>
                <w:sz w:val="16"/>
                <w:szCs w:val="16"/>
              </w:rPr>
              <w:t>will be in accordance with the project for improving the planning and reporting on the implementation of the capital budget, that is, the data will be presented on the website of the Ministry of Finance and Social Welfare in the form of excel tables and corresponding diagrams. The register will present in more detail the data on the capital budget from the annual budget law. www.mf.gov.me</w:t>
            </w:r>
          </w:p>
        </w:tc>
      </w:tr>
      <w:tr w:rsidR="000F7712" w:rsidRPr="00FD53E3" w:rsidTr="00D43372">
        <w:trPr>
          <w:gridAfter w:val="1"/>
          <w:wAfter w:w="19" w:type="dxa"/>
          <w:jc w:val="center"/>
        </w:trPr>
        <w:tc>
          <w:tcPr>
            <w:tcW w:w="2721" w:type="dxa"/>
            <w:vAlign w:val="center"/>
          </w:tcPr>
          <w:p w:rsidR="000F7712" w:rsidRPr="00FD53E3" w:rsidRDefault="000F7712" w:rsidP="00D43372">
            <w:pPr>
              <w:autoSpaceDE/>
              <w:autoSpaceDN/>
              <w:rPr>
                <w:rFonts w:ascii="Garamond" w:eastAsia="Calibri" w:hAnsi="Garamond"/>
                <w:b/>
                <w:caps/>
                <w:sz w:val="16"/>
                <w:szCs w:val="16"/>
                <w:lang w:val="uz-Cyrl-UZ" w:eastAsia="en-US" w:bidi="ar-SA"/>
              </w:rPr>
            </w:pPr>
            <w:r w:rsidRPr="00FD53E3">
              <w:rPr>
                <w:rFonts w:ascii="Garamond" w:eastAsia="Calibri" w:hAnsi="Garamond"/>
                <w:b/>
                <w:caps/>
                <w:sz w:val="16"/>
                <w:szCs w:val="16"/>
                <w:lang w:val="uz-Cyrl-UZ" w:eastAsia="en-US" w:bidi="ar-SA"/>
              </w:rPr>
              <w:t>NAME OF DATA COLLECTION HOLDER</w:t>
            </w:r>
          </w:p>
        </w:tc>
        <w:tc>
          <w:tcPr>
            <w:tcW w:w="6836" w:type="dxa"/>
            <w:gridSpan w:val="4"/>
            <w:vAlign w:val="center"/>
          </w:tcPr>
          <w:p w:rsidR="000F7712" w:rsidRPr="00FD53E3" w:rsidRDefault="000F7712" w:rsidP="00D43372">
            <w:pPr>
              <w:rPr>
                <w:rFonts w:ascii="Garamond" w:hAnsi="Garamond"/>
                <w:sz w:val="16"/>
                <w:szCs w:val="16"/>
              </w:rPr>
            </w:pPr>
            <w:r w:rsidRPr="00FD53E3">
              <w:rPr>
                <w:rFonts w:ascii="Garamond" w:hAnsi="Garamond"/>
                <w:sz w:val="16"/>
                <w:szCs w:val="16"/>
              </w:rPr>
              <w:t>The Ministry of Finance and Social Welfare, Directorate for State Budget</w:t>
            </w:r>
          </w:p>
          <w:p w:rsidR="00E019FF" w:rsidRPr="00FD53E3" w:rsidRDefault="00E019FF" w:rsidP="00E019FF">
            <w:pPr>
              <w:rPr>
                <w:rFonts w:ascii="Garamond" w:hAnsi="Garamond"/>
                <w:sz w:val="16"/>
                <w:szCs w:val="16"/>
              </w:rPr>
            </w:pPr>
            <w:r w:rsidRPr="00FD53E3">
              <w:rPr>
                <w:rFonts w:ascii="Garamond" w:hAnsi="Garamond"/>
                <w:sz w:val="16"/>
                <w:szCs w:val="16"/>
              </w:rPr>
              <w:t>Slobodanka Burić</w:t>
            </w:r>
          </w:p>
          <w:p w:rsidR="00E019FF" w:rsidRPr="00FD53E3" w:rsidRDefault="00E019FF" w:rsidP="00E019FF">
            <w:pPr>
              <w:rPr>
                <w:rFonts w:ascii="Garamond" w:hAnsi="Garamond"/>
                <w:sz w:val="16"/>
                <w:szCs w:val="16"/>
              </w:rPr>
            </w:pPr>
            <w:r w:rsidRPr="00FD53E3">
              <w:rPr>
                <w:rFonts w:ascii="Garamond" w:hAnsi="Garamond"/>
                <w:sz w:val="16"/>
                <w:szCs w:val="16"/>
              </w:rPr>
              <w:t xml:space="preserve">slobodanka.buric@mif.gov.me </w:t>
            </w:r>
          </w:p>
          <w:p w:rsidR="000F7712" w:rsidRPr="00FD53E3" w:rsidRDefault="00E019FF" w:rsidP="00E019FF">
            <w:pPr>
              <w:rPr>
                <w:rFonts w:ascii="Garamond" w:eastAsia="Calibri" w:hAnsi="Garamond"/>
                <w:sz w:val="16"/>
                <w:szCs w:val="16"/>
                <w:lang w:eastAsia="en-US" w:bidi="ar-SA"/>
              </w:rPr>
            </w:pPr>
            <w:r w:rsidRPr="00FD53E3">
              <w:rPr>
                <w:rFonts w:ascii="Garamond" w:eastAsia="Calibri" w:hAnsi="Garamond"/>
                <w:sz w:val="16"/>
                <w:szCs w:val="16"/>
                <w:lang w:eastAsia="en-US" w:bidi="ar-SA"/>
              </w:rPr>
              <w:t>P</w:t>
            </w:r>
            <w:r w:rsidR="000F7712" w:rsidRPr="00FD53E3">
              <w:rPr>
                <w:rFonts w:ascii="Garamond" w:eastAsia="Calibri" w:hAnsi="Garamond"/>
                <w:sz w:val="16"/>
                <w:szCs w:val="16"/>
                <w:lang w:eastAsia="en-US" w:bidi="ar-SA"/>
              </w:rPr>
              <w:t xml:space="preserve">hone number: </w:t>
            </w:r>
            <w:r w:rsidRPr="00FD53E3">
              <w:rPr>
                <w:rFonts w:ascii="Garamond" w:hAnsi="Garamond"/>
                <w:sz w:val="16"/>
                <w:szCs w:val="16"/>
              </w:rPr>
              <w:t>063202933</w:t>
            </w:r>
          </w:p>
        </w:tc>
      </w:tr>
      <w:tr w:rsidR="000F7712" w:rsidRPr="00FD53E3" w:rsidTr="00D43372">
        <w:trPr>
          <w:gridAfter w:val="1"/>
          <w:wAfter w:w="19" w:type="dxa"/>
          <w:jc w:val="center"/>
        </w:trPr>
        <w:tc>
          <w:tcPr>
            <w:tcW w:w="2721" w:type="dxa"/>
            <w:vAlign w:val="center"/>
          </w:tcPr>
          <w:p w:rsidR="000F7712" w:rsidRPr="00FD53E3" w:rsidRDefault="000F7712" w:rsidP="00D43372">
            <w:pPr>
              <w:autoSpaceDE/>
              <w:autoSpaceDN/>
              <w:rPr>
                <w:rFonts w:ascii="Garamond" w:eastAsia="Calibri" w:hAnsi="Garamond"/>
                <w:b/>
                <w:caps/>
                <w:sz w:val="16"/>
                <w:szCs w:val="16"/>
                <w:lang w:val="uz-Cyrl-UZ" w:eastAsia="en-US" w:bidi="ar-SA"/>
              </w:rPr>
            </w:pPr>
            <w:r w:rsidRPr="00FD53E3">
              <w:rPr>
                <w:rFonts w:ascii="Garamond" w:eastAsia="Calibri" w:hAnsi="Garamond"/>
                <w:b/>
                <w:caps/>
                <w:sz w:val="16"/>
                <w:szCs w:val="16"/>
                <w:lang w:val="uz-Cyrl-UZ" w:eastAsia="en-US" w:bidi="ar-SA"/>
              </w:rPr>
              <w:t>FREQUENCY OF DATA PUBLICATION</w:t>
            </w:r>
          </w:p>
        </w:tc>
        <w:tc>
          <w:tcPr>
            <w:tcW w:w="6836" w:type="dxa"/>
            <w:gridSpan w:val="4"/>
            <w:vAlign w:val="center"/>
          </w:tcPr>
          <w:p w:rsidR="000F7712" w:rsidRPr="00FD53E3" w:rsidRDefault="000F7712" w:rsidP="00E019FF">
            <w:pPr>
              <w:rPr>
                <w:rFonts w:ascii="Garamond" w:eastAsia="Calibri" w:hAnsi="Garamond"/>
                <w:sz w:val="16"/>
                <w:szCs w:val="16"/>
                <w:lang w:eastAsia="en-US" w:bidi="ar-SA"/>
              </w:rPr>
            </w:pPr>
            <w:r w:rsidRPr="00FD53E3">
              <w:rPr>
                <w:rFonts w:ascii="Garamond" w:hAnsi="Garamond"/>
                <w:sz w:val="16"/>
                <w:szCs w:val="16"/>
              </w:rPr>
              <w:t xml:space="preserve">1x per year, </w:t>
            </w:r>
            <w:r w:rsidR="00E019FF" w:rsidRPr="00FD53E3">
              <w:rPr>
                <w:rFonts w:ascii="Garamond" w:hAnsi="Garamond"/>
                <w:sz w:val="16"/>
                <w:szCs w:val="16"/>
              </w:rPr>
              <w:t xml:space="preserve">in </w:t>
            </w:r>
            <w:r w:rsidRPr="00FD53E3">
              <w:rPr>
                <w:rFonts w:ascii="Garamond" w:hAnsi="Garamond"/>
                <w:sz w:val="16"/>
                <w:szCs w:val="16"/>
              </w:rPr>
              <w:t xml:space="preserve">Q1 </w:t>
            </w:r>
          </w:p>
        </w:tc>
      </w:tr>
      <w:tr w:rsidR="000F7712" w:rsidRPr="00FD53E3" w:rsidTr="00E019FF">
        <w:trPr>
          <w:gridAfter w:val="1"/>
          <w:wAfter w:w="19" w:type="dxa"/>
          <w:trHeight w:val="458"/>
          <w:jc w:val="center"/>
        </w:trPr>
        <w:tc>
          <w:tcPr>
            <w:tcW w:w="2721" w:type="dxa"/>
            <w:vMerge w:val="restart"/>
            <w:vAlign w:val="center"/>
          </w:tcPr>
          <w:p w:rsidR="000F7712" w:rsidRPr="00FD53E3" w:rsidRDefault="000F7712" w:rsidP="00D43372">
            <w:pPr>
              <w:autoSpaceDE/>
              <w:autoSpaceDN/>
              <w:rPr>
                <w:rFonts w:ascii="Garamond" w:eastAsia="Calibri" w:hAnsi="Garamond"/>
                <w:b/>
                <w:caps/>
                <w:sz w:val="16"/>
                <w:szCs w:val="16"/>
                <w:lang w:val="uz-Cyrl-UZ" w:eastAsia="en-US" w:bidi="ar-SA"/>
              </w:rPr>
            </w:pPr>
            <w:r w:rsidRPr="00FD53E3">
              <w:rPr>
                <w:rFonts w:ascii="Garamond" w:eastAsia="Calibri" w:hAnsi="Garamond"/>
                <w:b/>
                <w:caps/>
                <w:sz w:val="16"/>
                <w:szCs w:val="16"/>
                <w:lang w:val="uz-Cyrl-UZ" w:eastAsia="en-US" w:bidi="ar-SA"/>
              </w:rPr>
              <w:t xml:space="preserve">BRIEF DESCRIPTION </w:t>
            </w:r>
            <w:r w:rsidRPr="00FD53E3">
              <w:rPr>
                <w:rFonts w:ascii="Garamond" w:eastAsia="Calibri" w:hAnsi="Garamond"/>
                <w:b/>
                <w:caps/>
                <w:sz w:val="16"/>
                <w:szCs w:val="16"/>
                <w:lang w:val="en-GB" w:eastAsia="en-US" w:bidi="ar-SA"/>
              </w:rPr>
              <w:t xml:space="preserve">OF </w:t>
            </w:r>
            <w:r w:rsidRPr="00FD53E3">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0F7712" w:rsidRPr="00FD53E3" w:rsidRDefault="00A013A3" w:rsidP="00FD53E3">
            <w:pPr>
              <w:jc w:val="both"/>
              <w:rPr>
                <w:rFonts w:ascii="Garamond" w:eastAsia="Calibri" w:hAnsi="Garamond"/>
                <w:sz w:val="16"/>
                <w:szCs w:val="16"/>
                <w:lang w:eastAsia="en-US" w:bidi="ar-SA"/>
              </w:rPr>
            </w:pPr>
            <w:r w:rsidRPr="00FD53E3">
              <w:rPr>
                <w:rFonts w:ascii="Garamond" w:hAnsi="Garamond"/>
                <w:sz w:val="16"/>
                <w:szCs w:val="16"/>
              </w:rPr>
              <w:t xml:space="preserve">Capital </w:t>
            </w:r>
            <w:r w:rsidR="00E019FF" w:rsidRPr="00FD53E3">
              <w:rPr>
                <w:rFonts w:ascii="Garamond" w:hAnsi="Garamond"/>
                <w:sz w:val="16"/>
                <w:szCs w:val="16"/>
              </w:rPr>
              <w:t xml:space="preserve">budget is an integral part of the annual Budget Law and contains an overview of capital projects </w:t>
            </w:r>
            <w:r w:rsidRPr="00FD53E3">
              <w:rPr>
                <w:rFonts w:ascii="Garamond" w:hAnsi="Garamond"/>
                <w:sz w:val="16"/>
                <w:szCs w:val="16"/>
              </w:rPr>
              <w:t>to</w:t>
            </w:r>
            <w:r w:rsidR="00E019FF" w:rsidRPr="00FD53E3">
              <w:rPr>
                <w:rFonts w:ascii="Garamond" w:hAnsi="Garamond"/>
                <w:sz w:val="16"/>
                <w:szCs w:val="16"/>
              </w:rPr>
              <w:t xml:space="preserve"> be implemented the next fiscal year. In order to implement a comprehensive reform of the budgeting process, it is necessary to improve the process of </w:t>
            </w:r>
            <w:r w:rsidRPr="00FD53E3">
              <w:rPr>
                <w:rFonts w:ascii="Garamond" w:hAnsi="Garamond"/>
                <w:sz w:val="16"/>
                <w:szCs w:val="16"/>
              </w:rPr>
              <w:t xml:space="preserve">capital projects </w:t>
            </w:r>
            <w:r w:rsidR="00E019FF" w:rsidRPr="00FD53E3">
              <w:rPr>
                <w:rFonts w:ascii="Garamond" w:hAnsi="Garamond"/>
                <w:sz w:val="16"/>
                <w:szCs w:val="16"/>
              </w:rPr>
              <w:t>planning by improving the presentation and coverage of information on planned projects in the budget</w:t>
            </w:r>
            <w:r w:rsidR="00FC5519" w:rsidRPr="00FD53E3">
              <w:rPr>
                <w:rFonts w:ascii="Garamond" w:hAnsi="Garamond"/>
                <w:sz w:val="16"/>
                <w:szCs w:val="16"/>
              </w:rPr>
              <w:t>, as well as</w:t>
            </w:r>
            <w:r w:rsidR="00E019FF" w:rsidRPr="00FD53E3">
              <w:rPr>
                <w:rFonts w:ascii="Garamond" w:hAnsi="Garamond"/>
                <w:sz w:val="16"/>
                <w:szCs w:val="16"/>
              </w:rPr>
              <w:t xml:space="preserve"> report</w:t>
            </w:r>
            <w:r w:rsidR="00FC5519" w:rsidRPr="00FD53E3">
              <w:rPr>
                <w:rFonts w:ascii="Garamond" w:hAnsi="Garamond"/>
                <w:sz w:val="16"/>
                <w:szCs w:val="16"/>
              </w:rPr>
              <w:t>s</w:t>
            </w:r>
            <w:r w:rsidR="00E019FF" w:rsidRPr="00FD53E3">
              <w:rPr>
                <w:rFonts w:ascii="Garamond" w:hAnsi="Garamond"/>
                <w:sz w:val="16"/>
                <w:szCs w:val="16"/>
              </w:rPr>
              <w:t xml:space="preserve"> on their implementation. In accordance </w:t>
            </w:r>
            <w:r w:rsidR="00BF0175" w:rsidRPr="00FD53E3">
              <w:rPr>
                <w:rFonts w:ascii="Garamond" w:hAnsi="Garamond"/>
                <w:sz w:val="16"/>
                <w:szCs w:val="16"/>
              </w:rPr>
              <w:t>with the Public Finance</w:t>
            </w:r>
            <w:r w:rsidR="00E019FF" w:rsidRPr="00FD53E3">
              <w:rPr>
                <w:rFonts w:ascii="Garamond" w:hAnsi="Garamond"/>
                <w:sz w:val="16"/>
                <w:szCs w:val="16"/>
              </w:rPr>
              <w:t xml:space="preserve"> Management Reform Program</w:t>
            </w:r>
            <w:r w:rsidR="00BF0175" w:rsidRPr="00FD53E3">
              <w:rPr>
                <w:rFonts w:ascii="Garamond" w:hAnsi="Garamond"/>
                <w:sz w:val="16"/>
                <w:szCs w:val="16"/>
              </w:rPr>
              <w:t>me</w:t>
            </w:r>
            <w:r w:rsidR="00FC5519" w:rsidRPr="00FD53E3">
              <w:rPr>
                <w:rFonts w:ascii="Garamond" w:hAnsi="Garamond"/>
                <w:sz w:val="16"/>
                <w:szCs w:val="16"/>
              </w:rPr>
              <w:t>,</w:t>
            </w:r>
            <w:r w:rsidR="00BF0175" w:rsidRPr="00FD53E3">
              <w:rPr>
                <w:rFonts w:ascii="Garamond" w:hAnsi="Garamond"/>
                <w:sz w:val="16"/>
                <w:szCs w:val="16"/>
              </w:rPr>
              <w:t xml:space="preserve"> IPA II funds </w:t>
            </w:r>
            <w:r w:rsidRPr="00FD53E3">
              <w:rPr>
                <w:rFonts w:ascii="Garamond" w:hAnsi="Garamond"/>
                <w:sz w:val="16"/>
                <w:szCs w:val="16"/>
              </w:rPr>
              <w:t xml:space="preserve">will be used </w:t>
            </w:r>
            <w:r w:rsidR="00E019FF" w:rsidRPr="00FD53E3">
              <w:rPr>
                <w:rFonts w:ascii="Garamond" w:hAnsi="Garamond"/>
                <w:sz w:val="16"/>
                <w:szCs w:val="16"/>
              </w:rPr>
              <w:t xml:space="preserve">to establish a public register of all projects financed </w:t>
            </w:r>
            <w:r w:rsidRPr="00FD53E3">
              <w:rPr>
                <w:rFonts w:ascii="Garamond" w:hAnsi="Garamond"/>
                <w:sz w:val="16"/>
                <w:szCs w:val="16"/>
              </w:rPr>
              <w:t>under</w:t>
            </w:r>
            <w:r w:rsidR="00E019FF" w:rsidRPr="00FD53E3">
              <w:rPr>
                <w:rFonts w:ascii="Garamond" w:hAnsi="Garamond"/>
                <w:sz w:val="16"/>
                <w:szCs w:val="16"/>
              </w:rPr>
              <w:t xml:space="preserve"> the capital budget. Namely, in the first phase, </w:t>
            </w:r>
            <w:r w:rsidRPr="00FD53E3">
              <w:rPr>
                <w:rFonts w:ascii="Garamond" w:hAnsi="Garamond"/>
                <w:sz w:val="16"/>
                <w:szCs w:val="16"/>
              </w:rPr>
              <w:t>the plan is to</w:t>
            </w:r>
            <w:r w:rsidR="00E019FF" w:rsidRPr="00FD53E3">
              <w:rPr>
                <w:rFonts w:ascii="Garamond" w:hAnsi="Garamond"/>
                <w:sz w:val="16"/>
                <w:szCs w:val="16"/>
              </w:rPr>
              <w:t xml:space="preserve"> present all individual projects, while in the following period, projects </w:t>
            </w:r>
            <w:r w:rsidRPr="00FD53E3">
              <w:rPr>
                <w:rFonts w:ascii="Garamond" w:hAnsi="Garamond"/>
                <w:sz w:val="16"/>
                <w:szCs w:val="16"/>
              </w:rPr>
              <w:t xml:space="preserve">will be separated </w:t>
            </w:r>
            <w:r w:rsidR="00E019FF" w:rsidRPr="00FD53E3">
              <w:rPr>
                <w:rFonts w:ascii="Garamond" w:hAnsi="Garamond"/>
                <w:sz w:val="16"/>
                <w:szCs w:val="16"/>
              </w:rPr>
              <w:t>by phases of implementation (preparation phase and construction phase). At this</w:t>
            </w:r>
            <w:r w:rsidRPr="00FD53E3">
              <w:rPr>
                <w:rFonts w:ascii="Garamond" w:hAnsi="Garamond"/>
                <w:sz w:val="16"/>
                <w:szCs w:val="16"/>
              </w:rPr>
              <w:t xml:space="preserve"> moment, a detailed overview of all individual projects is provided through the explanatory note of the Budget Law,</w:t>
            </w:r>
            <w:r w:rsidR="00E019FF" w:rsidRPr="00FD53E3">
              <w:rPr>
                <w:rFonts w:ascii="Garamond" w:hAnsi="Garamond"/>
                <w:sz w:val="16"/>
                <w:szCs w:val="16"/>
              </w:rPr>
              <w:t xml:space="preserve"> while the improve</w:t>
            </w:r>
            <w:r w:rsidR="00FD53E3" w:rsidRPr="00FD53E3">
              <w:rPr>
                <w:rFonts w:ascii="Garamond" w:hAnsi="Garamond"/>
                <w:sz w:val="16"/>
                <w:szCs w:val="16"/>
              </w:rPr>
              <w:t>d</w:t>
            </w:r>
            <w:r w:rsidR="00BF0175" w:rsidRPr="00FD53E3">
              <w:rPr>
                <w:rFonts w:ascii="Garamond" w:hAnsi="Garamond"/>
                <w:sz w:val="16"/>
                <w:szCs w:val="16"/>
              </w:rPr>
              <w:t xml:space="preserve"> presentation of </w:t>
            </w:r>
            <w:r w:rsidR="00E019FF" w:rsidRPr="00FD53E3">
              <w:rPr>
                <w:rFonts w:ascii="Garamond" w:hAnsi="Garamond"/>
                <w:sz w:val="16"/>
                <w:szCs w:val="16"/>
              </w:rPr>
              <w:t>capital projects in the coming period, through the improve</w:t>
            </w:r>
            <w:r w:rsidR="00FD53E3" w:rsidRPr="00FD53E3">
              <w:rPr>
                <w:rFonts w:ascii="Garamond" w:hAnsi="Garamond"/>
                <w:sz w:val="16"/>
                <w:szCs w:val="16"/>
              </w:rPr>
              <w:t xml:space="preserve">d </w:t>
            </w:r>
            <w:r w:rsidR="00BF0175" w:rsidRPr="00FD53E3">
              <w:rPr>
                <w:rFonts w:ascii="Garamond" w:hAnsi="Garamond"/>
                <w:sz w:val="16"/>
                <w:szCs w:val="16"/>
              </w:rPr>
              <w:t xml:space="preserve">presentation of the </w:t>
            </w:r>
            <w:r w:rsidR="00FD53E3" w:rsidRPr="00FD53E3">
              <w:rPr>
                <w:rFonts w:ascii="Garamond" w:hAnsi="Garamond"/>
                <w:sz w:val="16"/>
                <w:szCs w:val="16"/>
              </w:rPr>
              <w:t>Budget Law</w:t>
            </w:r>
            <w:r w:rsidR="00484477" w:rsidRPr="00FD53E3">
              <w:rPr>
                <w:rFonts w:ascii="Garamond" w:hAnsi="Garamond"/>
                <w:sz w:val="16"/>
                <w:szCs w:val="16"/>
              </w:rPr>
              <w:t>,</w:t>
            </w:r>
            <w:r w:rsidR="00E019FF" w:rsidRPr="00FD53E3">
              <w:rPr>
                <w:rFonts w:ascii="Garamond" w:hAnsi="Garamond"/>
                <w:sz w:val="16"/>
                <w:szCs w:val="16"/>
              </w:rPr>
              <w:t xml:space="preserve"> will be </w:t>
            </w:r>
            <w:r w:rsidR="00FD53E3" w:rsidRPr="00FD53E3">
              <w:rPr>
                <w:rFonts w:ascii="Garamond" w:hAnsi="Garamond"/>
                <w:sz w:val="16"/>
                <w:szCs w:val="16"/>
              </w:rPr>
              <w:t>given</w:t>
            </w:r>
            <w:r w:rsidR="00E019FF" w:rsidRPr="00FD53E3">
              <w:rPr>
                <w:rFonts w:ascii="Garamond" w:hAnsi="Garamond"/>
                <w:sz w:val="16"/>
                <w:szCs w:val="16"/>
              </w:rPr>
              <w:t xml:space="preserve"> in a public presentation on the website of the Ministry of Fina</w:t>
            </w:r>
            <w:r w:rsidR="00FD53E3" w:rsidRPr="00FD53E3">
              <w:rPr>
                <w:rFonts w:ascii="Garamond" w:hAnsi="Garamond"/>
                <w:sz w:val="16"/>
                <w:szCs w:val="16"/>
              </w:rPr>
              <w:t>nce and Social Welfare. Increased</w:t>
            </w:r>
            <w:r w:rsidR="00E019FF" w:rsidRPr="00FD53E3">
              <w:rPr>
                <w:rFonts w:ascii="Garamond" w:hAnsi="Garamond"/>
                <w:sz w:val="16"/>
                <w:szCs w:val="16"/>
              </w:rPr>
              <w:t xml:space="preserve"> level of information in the public presentation of the capital budget is </w:t>
            </w:r>
            <w:r w:rsidR="00FD53E3" w:rsidRPr="00FD53E3">
              <w:rPr>
                <w:rFonts w:ascii="Garamond" w:hAnsi="Garamond"/>
                <w:sz w:val="16"/>
                <w:szCs w:val="16"/>
              </w:rPr>
              <w:t>provided</w:t>
            </w:r>
            <w:r w:rsidR="00E019FF" w:rsidRPr="00FD53E3">
              <w:rPr>
                <w:rFonts w:ascii="Garamond" w:hAnsi="Garamond"/>
                <w:sz w:val="16"/>
                <w:szCs w:val="16"/>
              </w:rPr>
              <w:t xml:space="preserve"> through target values. Level 1 (2017 and 2018) includes: Overview of all individual projects implemented in the budget year. Level 2 (2019) includes: Overview of all individual projects implemented in the budget year and the implementation of selected pilot projects in phases. Level 3 (2020) includes: Overview by individual projects and phases of project implementation</w:t>
            </w:r>
          </w:p>
        </w:tc>
      </w:tr>
      <w:tr w:rsidR="000F7712" w:rsidRPr="00FD53E3" w:rsidTr="00D43372">
        <w:trPr>
          <w:gridAfter w:val="1"/>
          <w:wAfter w:w="19" w:type="dxa"/>
          <w:trHeight w:val="620"/>
          <w:jc w:val="center"/>
        </w:trPr>
        <w:tc>
          <w:tcPr>
            <w:tcW w:w="2721" w:type="dxa"/>
            <w:vMerge/>
            <w:shd w:val="clear" w:color="auto" w:fill="auto"/>
            <w:vAlign w:val="center"/>
          </w:tcPr>
          <w:p w:rsidR="000F7712" w:rsidRPr="00FD53E3" w:rsidRDefault="000F7712" w:rsidP="00D43372">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0F7712" w:rsidRPr="00FD53E3" w:rsidRDefault="000F7712" w:rsidP="00D43372">
            <w:pPr>
              <w:jc w:val="center"/>
              <w:rPr>
                <w:rFonts w:ascii="Garamond" w:hAnsi="Garamond"/>
                <w:color w:val="365F91" w:themeColor="accent1" w:themeShade="BF"/>
                <w:sz w:val="16"/>
                <w:szCs w:val="16"/>
              </w:rPr>
            </w:pPr>
            <w:r w:rsidRPr="00FD53E3">
              <w:rPr>
                <w:rFonts w:ascii="Garamond" w:hAnsi="Garamond"/>
                <w:color w:val="365F91" w:themeColor="accent1" w:themeShade="BF"/>
                <w:sz w:val="16"/>
                <w:szCs w:val="16"/>
              </w:rPr>
              <w:t>FORMULA / EQUATION</w:t>
            </w:r>
          </w:p>
          <w:p w:rsidR="000F7712" w:rsidRPr="00FD53E3" w:rsidRDefault="00BF0175" w:rsidP="00D43372">
            <w:pPr>
              <w:jc w:val="center"/>
              <w:rPr>
                <w:rFonts w:ascii="Garamond" w:eastAsia="Calibri" w:hAnsi="Garamond"/>
                <w:sz w:val="16"/>
                <w:szCs w:val="16"/>
                <w:lang w:eastAsia="en-US" w:bidi="ar-SA"/>
              </w:rPr>
            </w:pPr>
            <w:r w:rsidRPr="00FD53E3">
              <w:rPr>
                <w:rFonts w:ascii="Garamond" w:hAnsi="Garamond"/>
                <w:i/>
                <w:sz w:val="16"/>
                <w:szCs w:val="16"/>
              </w:rPr>
              <w:t>n/a</w:t>
            </w:r>
          </w:p>
        </w:tc>
      </w:tr>
      <w:tr w:rsidR="000F7712" w:rsidRPr="00FD53E3" w:rsidTr="00D43372">
        <w:trPr>
          <w:gridAfter w:val="1"/>
          <w:wAfter w:w="19" w:type="dxa"/>
          <w:trHeight w:val="585"/>
          <w:jc w:val="center"/>
        </w:trPr>
        <w:tc>
          <w:tcPr>
            <w:tcW w:w="2721" w:type="dxa"/>
            <w:vAlign w:val="center"/>
          </w:tcPr>
          <w:p w:rsidR="000F7712" w:rsidRPr="00FD53E3" w:rsidRDefault="000F7712" w:rsidP="00D43372">
            <w:pPr>
              <w:autoSpaceDE/>
              <w:autoSpaceDN/>
              <w:rPr>
                <w:rFonts w:ascii="Garamond" w:eastAsia="Calibri" w:hAnsi="Garamond"/>
                <w:b/>
                <w:bCs/>
                <w:caps/>
                <w:sz w:val="16"/>
                <w:szCs w:val="16"/>
                <w:lang w:val="en-GB" w:eastAsia="en-US" w:bidi="ar-SA"/>
              </w:rPr>
            </w:pPr>
            <w:r w:rsidRPr="00FD53E3">
              <w:rPr>
                <w:rFonts w:ascii="Garamond" w:eastAsia="Calibri" w:hAnsi="Garamond"/>
                <w:b/>
                <w:caps/>
                <w:sz w:val="16"/>
                <w:szCs w:val="16"/>
                <w:lang w:val="uz-Cyrl-UZ" w:eastAsia="en-US" w:bidi="ar-SA"/>
              </w:rPr>
              <w:t>BASELINE</w:t>
            </w:r>
            <w:r w:rsidRPr="00FD53E3">
              <w:rPr>
                <w:rFonts w:ascii="Garamond" w:eastAsia="Calibri" w:hAnsi="Garamond"/>
                <w:b/>
                <w:caps/>
                <w:sz w:val="16"/>
                <w:szCs w:val="16"/>
                <w:lang w:val="en-GB" w:eastAsia="en-US" w:bidi="ar-SA"/>
              </w:rPr>
              <w:t xml:space="preserve"> DATA</w:t>
            </w:r>
          </w:p>
        </w:tc>
        <w:tc>
          <w:tcPr>
            <w:tcW w:w="6836" w:type="dxa"/>
            <w:gridSpan w:val="4"/>
            <w:vAlign w:val="center"/>
          </w:tcPr>
          <w:p w:rsidR="000F7712" w:rsidRPr="00FD53E3" w:rsidRDefault="000F7712" w:rsidP="00D43372">
            <w:pPr>
              <w:autoSpaceDE/>
              <w:autoSpaceDN/>
              <w:jc w:val="both"/>
              <w:rPr>
                <w:rFonts w:ascii="Garamond" w:eastAsia="Calibri" w:hAnsi="Garamond"/>
                <w:sz w:val="16"/>
                <w:szCs w:val="16"/>
                <w:lang w:val="uz-Cyrl-UZ" w:eastAsia="en-US" w:bidi="ar-SA"/>
              </w:rPr>
            </w:pPr>
            <w:r w:rsidRPr="00FD53E3">
              <w:rPr>
                <w:rFonts w:ascii="Garamond" w:eastAsia="Calibri" w:hAnsi="Garamond"/>
                <w:sz w:val="16"/>
                <w:szCs w:val="16"/>
                <w:lang w:val="uz-Cyrl-UZ" w:eastAsia="en-US" w:bidi="ar-SA"/>
              </w:rPr>
              <w:t xml:space="preserve">PV (2014): </w:t>
            </w:r>
            <w:r w:rsidR="00BF0175" w:rsidRPr="00FD53E3">
              <w:rPr>
                <w:rFonts w:ascii="Garamond" w:eastAsia="Calibri" w:hAnsi="Garamond"/>
                <w:sz w:val="16"/>
                <w:szCs w:val="16"/>
                <w:lang w:val="en-GB" w:eastAsia="en-US" w:bidi="ar-SA"/>
              </w:rPr>
              <w:t>Projects in the capital budget presented grouped by areas (education, health, culture, sports…)</w:t>
            </w:r>
          </w:p>
        </w:tc>
      </w:tr>
      <w:tr w:rsidR="000F7712" w:rsidRPr="00FD53E3" w:rsidTr="00D43372">
        <w:trPr>
          <w:gridAfter w:val="1"/>
          <w:wAfter w:w="19" w:type="dxa"/>
          <w:trHeight w:val="160"/>
          <w:jc w:val="center"/>
        </w:trPr>
        <w:tc>
          <w:tcPr>
            <w:tcW w:w="2721" w:type="dxa"/>
            <w:vMerge w:val="restart"/>
            <w:vAlign w:val="center"/>
          </w:tcPr>
          <w:p w:rsidR="000F7712" w:rsidRPr="00FD53E3" w:rsidRDefault="000F7712" w:rsidP="00D43372">
            <w:pPr>
              <w:autoSpaceDE/>
              <w:autoSpaceDN/>
              <w:rPr>
                <w:rFonts w:ascii="Garamond" w:eastAsia="Calibri" w:hAnsi="Garamond"/>
                <w:b/>
                <w:bCs/>
                <w:caps/>
                <w:sz w:val="16"/>
                <w:szCs w:val="16"/>
                <w:lang w:val="uz-Cyrl-UZ" w:eastAsia="en-US" w:bidi="ar-SA"/>
              </w:rPr>
            </w:pPr>
            <w:r w:rsidRPr="00FD53E3">
              <w:rPr>
                <w:rFonts w:ascii="Garamond" w:eastAsia="Calibri" w:hAnsi="Garamond"/>
                <w:b/>
                <w:caps/>
                <w:sz w:val="16"/>
                <w:szCs w:val="16"/>
                <w:lang w:val="uz-Cyrl-UZ" w:eastAsia="en-US" w:bidi="ar-SA"/>
              </w:rPr>
              <w:t>TARGET VALUE DATA</w:t>
            </w:r>
          </w:p>
        </w:tc>
        <w:tc>
          <w:tcPr>
            <w:tcW w:w="1771" w:type="dxa"/>
            <w:vAlign w:val="center"/>
          </w:tcPr>
          <w:p w:rsidR="000F7712" w:rsidRPr="00FD53E3" w:rsidRDefault="000F7712" w:rsidP="00D43372">
            <w:pPr>
              <w:autoSpaceDE/>
              <w:autoSpaceDN/>
              <w:jc w:val="center"/>
              <w:rPr>
                <w:rFonts w:ascii="Garamond" w:eastAsia="Calibri" w:hAnsi="Garamond"/>
                <w:sz w:val="16"/>
                <w:szCs w:val="16"/>
                <w:lang w:val="uz-Cyrl-UZ" w:eastAsia="en-US" w:bidi="ar-SA"/>
              </w:rPr>
            </w:pPr>
            <w:r w:rsidRPr="00FD53E3">
              <w:rPr>
                <w:rFonts w:ascii="Garamond" w:eastAsia="Calibri" w:hAnsi="Garamond"/>
                <w:sz w:val="16"/>
                <w:szCs w:val="16"/>
                <w:lang w:val="uz-Cyrl-UZ" w:eastAsia="en-US" w:bidi="ar-SA"/>
              </w:rPr>
              <w:t>2017</w:t>
            </w:r>
          </w:p>
        </w:tc>
        <w:tc>
          <w:tcPr>
            <w:tcW w:w="1771" w:type="dxa"/>
            <w:vAlign w:val="center"/>
          </w:tcPr>
          <w:p w:rsidR="000F7712" w:rsidRPr="00FD53E3" w:rsidRDefault="000F7712" w:rsidP="00D43372">
            <w:pPr>
              <w:autoSpaceDE/>
              <w:autoSpaceDN/>
              <w:jc w:val="center"/>
              <w:rPr>
                <w:rFonts w:ascii="Garamond" w:eastAsia="Calibri" w:hAnsi="Garamond"/>
                <w:sz w:val="16"/>
                <w:szCs w:val="16"/>
                <w:lang w:val="uz-Cyrl-UZ" w:eastAsia="en-US" w:bidi="ar-SA"/>
              </w:rPr>
            </w:pPr>
            <w:r w:rsidRPr="00FD53E3">
              <w:rPr>
                <w:rFonts w:ascii="Garamond" w:eastAsia="Calibri" w:hAnsi="Garamond"/>
                <w:sz w:val="16"/>
                <w:szCs w:val="16"/>
                <w:lang w:val="uz-Cyrl-UZ" w:eastAsia="en-US" w:bidi="ar-SA"/>
              </w:rPr>
              <w:t>2018</w:t>
            </w:r>
          </w:p>
        </w:tc>
        <w:tc>
          <w:tcPr>
            <w:tcW w:w="1771" w:type="dxa"/>
            <w:vAlign w:val="center"/>
          </w:tcPr>
          <w:p w:rsidR="000F7712" w:rsidRPr="00FD53E3" w:rsidRDefault="000F7712" w:rsidP="00D43372">
            <w:pPr>
              <w:autoSpaceDE/>
              <w:autoSpaceDN/>
              <w:jc w:val="center"/>
              <w:rPr>
                <w:rFonts w:ascii="Garamond" w:eastAsia="Calibri" w:hAnsi="Garamond"/>
                <w:sz w:val="16"/>
                <w:szCs w:val="16"/>
                <w:lang w:val="uz-Cyrl-UZ" w:eastAsia="en-US" w:bidi="ar-SA"/>
              </w:rPr>
            </w:pPr>
            <w:r w:rsidRPr="00FD53E3">
              <w:rPr>
                <w:rFonts w:ascii="Garamond" w:eastAsia="Calibri" w:hAnsi="Garamond"/>
                <w:sz w:val="16"/>
                <w:szCs w:val="16"/>
                <w:lang w:val="uz-Cyrl-UZ" w:eastAsia="en-US" w:bidi="ar-SA"/>
              </w:rPr>
              <w:t>2019</w:t>
            </w:r>
          </w:p>
        </w:tc>
        <w:tc>
          <w:tcPr>
            <w:tcW w:w="1523" w:type="dxa"/>
            <w:vAlign w:val="center"/>
          </w:tcPr>
          <w:p w:rsidR="000F7712" w:rsidRPr="00FD53E3" w:rsidRDefault="000F7712" w:rsidP="00D43372">
            <w:pPr>
              <w:autoSpaceDE/>
              <w:autoSpaceDN/>
              <w:jc w:val="center"/>
              <w:rPr>
                <w:rFonts w:ascii="Garamond" w:eastAsia="Calibri" w:hAnsi="Garamond"/>
                <w:sz w:val="16"/>
                <w:szCs w:val="16"/>
                <w:lang w:val="uz-Cyrl-UZ" w:eastAsia="en-US" w:bidi="ar-SA"/>
              </w:rPr>
            </w:pPr>
            <w:r w:rsidRPr="00FD53E3">
              <w:rPr>
                <w:rFonts w:ascii="Garamond" w:eastAsia="Calibri" w:hAnsi="Garamond"/>
                <w:sz w:val="16"/>
                <w:szCs w:val="16"/>
                <w:lang w:val="uz-Cyrl-UZ" w:eastAsia="en-US" w:bidi="ar-SA"/>
              </w:rPr>
              <w:t>2020</w:t>
            </w:r>
          </w:p>
        </w:tc>
      </w:tr>
      <w:tr w:rsidR="000F7712" w:rsidRPr="00FD53E3" w:rsidTr="00D43372">
        <w:trPr>
          <w:gridAfter w:val="1"/>
          <w:wAfter w:w="19" w:type="dxa"/>
          <w:trHeight w:val="160"/>
          <w:jc w:val="center"/>
        </w:trPr>
        <w:tc>
          <w:tcPr>
            <w:tcW w:w="2721" w:type="dxa"/>
            <w:vMerge/>
            <w:vAlign w:val="center"/>
          </w:tcPr>
          <w:p w:rsidR="000F7712" w:rsidRPr="00FD53E3" w:rsidRDefault="000F7712" w:rsidP="00D43372">
            <w:pPr>
              <w:autoSpaceDE/>
              <w:autoSpaceDN/>
              <w:rPr>
                <w:rFonts w:ascii="Garamond" w:eastAsia="Calibri" w:hAnsi="Garamond"/>
                <w:b/>
                <w:bCs/>
                <w:caps/>
                <w:sz w:val="16"/>
                <w:szCs w:val="16"/>
                <w:lang w:val="uz-Cyrl-UZ" w:eastAsia="en-US" w:bidi="ar-SA"/>
              </w:rPr>
            </w:pPr>
          </w:p>
        </w:tc>
        <w:tc>
          <w:tcPr>
            <w:tcW w:w="1771" w:type="dxa"/>
            <w:vAlign w:val="center"/>
          </w:tcPr>
          <w:p w:rsidR="000F7712" w:rsidRPr="00FD53E3" w:rsidRDefault="005F205E" w:rsidP="005F205E">
            <w:pPr>
              <w:pStyle w:val="TabelaTekst"/>
              <w:spacing w:before="0" w:after="0" w:line="240" w:lineRule="auto"/>
              <w:jc w:val="center"/>
              <w:rPr>
                <w:rFonts w:ascii="Garamond" w:hAnsi="Garamond"/>
                <w:sz w:val="16"/>
                <w:szCs w:val="16"/>
              </w:rPr>
            </w:pPr>
            <w:r w:rsidRPr="00FD53E3">
              <w:rPr>
                <w:rFonts w:ascii="Garamond" w:hAnsi="Garamond"/>
                <w:sz w:val="16"/>
                <w:szCs w:val="16"/>
                <w:lang w:val="en-GB"/>
              </w:rPr>
              <w:t>Level 1</w:t>
            </w:r>
          </w:p>
        </w:tc>
        <w:tc>
          <w:tcPr>
            <w:tcW w:w="1771" w:type="dxa"/>
            <w:vAlign w:val="center"/>
          </w:tcPr>
          <w:p w:rsidR="000F7712" w:rsidRPr="00FD53E3" w:rsidRDefault="005F205E" w:rsidP="00D43372">
            <w:pPr>
              <w:pStyle w:val="TabelaTekst"/>
              <w:spacing w:before="0" w:after="0" w:line="240" w:lineRule="auto"/>
              <w:jc w:val="center"/>
              <w:rPr>
                <w:rFonts w:ascii="Garamond" w:hAnsi="Garamond"/>
                <w:sz w:val="16"/>
                <w:szCs w:val="16"/>
              </w:rPr>
            </w:pPr>
            <w:r w:rsidRPr="00FD53E3">
              <w:rPr>
                <w:rFonts w:ascii="Garamond" w:hAnsi="Garamond"/>
                <w:sz w:val="16"/>
                <w:szCs w:val="16"/>
                <w:lang w:val="en-GB"/>
              </w:rPr>
              <w:t>Level 1</w:t>
            </w:r>
          </w:p>
        </w:tc>
        <w:tc>
          <w:tcPr>
            <w:tcW w:w="1771" w:type="dxa"/>
            <w:vAlign w:val="center"/>
          </w:tcPr>
          <w:p w:rsidR="000F7712" w:rsidRPr="00FD53E3" w:rsidRDefault="005F205E" w:rsidP="00D43372">
            <w:pPr>
              <w:pStyle w:val="TabelaTekst"/>
              <w:spacing w:before="0" w:after="0" w:line="240" w:lineRule="auto"/>
              <w:jc w:val="center"/>
              <w:rPr>
                <w:rFonts w:ascii="Garamond" w:hAnsi="Garamond"/>
                <w:sz w:val="16"/>
                <w:szCs w:val="16"/>
              </w:rPr>
            </w:pPr>
            <w:r w:rsidRPr="00FD53E3">
              <w:rPr>
                <w:rFonts w:ascii="Garamond" w:hAnsi="Garamond"/>
                <w:sz w:val="16"/>
                <w:szCs w:val="16"/>
                <w:lang w:val="en-GB"/>
              </w:rPr>
              <w:t>Level 2</w:t>
            </w:r>
          </w:p>
        </w:tc>
        <w:tc>
          <w:tcPr>
            <w:tcW w:w="1523" w:type="dxa"/>
            <w:vAlign w:val="center"/>
          </w:tcPr>
          <w:p w:rsidR="000F7712" w:rsidRPr="00FD53E3" w:rsidRDefault="005F205E" w:rsidP="00D43372">
            <w:pPr>
              <w:pStyle w:val="TabelaTekst"/>
              <w:spacing w:before="0" w:after="0" w:line="240" w:lineRule="auto"/>
              <w:jc w:val="center"/>
              <w:rPr>
                <w:rFonts w:ascii="Garamond" w:hAnsi="Garamond"/>
                <w:sz w:val="16"/>
                <w:szCs w:val="16"/>
              </w:rPr>
            </w:pPr>
            <w:r w:rsidRPr="00FD53E3">
              <w:rPr>
                <w:rFonts w:ascii="Garamond" w:hAnsi="Garamond"/>
                <w:sz w:val="16"/>
                <w:szCs w:val="16"/>
                <w:lang w:val="en-GB"/>
              </w:rPr>
              <w:t>Level 3</w:t>
            </w:r>
          </w:p>
        </w:tc>
      </w:tr>
      <w:tr w:rsidR="005F205E" w:rsidRPr="00FD53E3" w:rsidTr="00D43372">
        <w:trPr>
          <w:gridAfter w:val="1"/>
          <w:wAfter w:w="19" w:type="dxa"/>
          <w:trHeight w:val="160"/>
          <w:jc w:val="center"/>
        </w:trPr>
        <w:tc>
          <w:tcPr>
            <w:tcW w:w="2721" w:type="dxa"/>
            <w:vAlign w:val="center"/>
          </w:tcPr>
          <w:p w:rsidR="005F205E" w:rsidRPr="00FD53E3" w:rsidRDefault="0062456A" w:rsidP="00D43372">
            <w:pPr>
              <w:autoSpaceDE/>
              <w:autoSpaceDN/>
              <w:rPr>
                <w:rFonts w:ascii="Garamond" w:eastAsia="Calibri" w:hAnsi="Garamond"/>
                <w:b/>
                <w:bCs/>
                <w:caps/>
                <w:sz w:val="16"/>
                <w:szCs w:val="16"/>
                <w:lang w:val="uz-Cyrl-UZ" w:eastAsia="en-US" w:bidi="ar-SA"/>
              </w:rPr>
            </w:pPr>
            <w:r w:rsidRPr="00FD53E3">
              <w:rPr>
                <w:rFonts w:ascii="Garamond" w:eastAsia="Calibri" w:hAnsi="Garamond"/>
                <w:b/>
                <w:bCs/>
                <w:caps/>
                <w:sz w:val="16"/>
                <w:szCs w:val="16"/>
                <w:lang w:val="uz-Cyrl-UZ" w:eastAsia="en-US" w:bidi="ar-SA"/>
              </w:rPr>
              <w:t>DATA ON VALUES ACHIEVED</w:t>
            </w:r>
          </w:p>
        </w:tc>
        <w:tc>
          <w:tcPr>
            <w:tcW w:w="1771" w:type="dxa"/>
            <w:vAlign w:val="center"/>
          </w:tcPr>
          <w:p w:rsidR="005F205E" w:rsidRPr="00FD53E3" w:rsidRDefault="005F205E" w:rsidP="005F205E">
            <w:pPr>
              <w:pStyle w:val="TabelaTekst"/>
              <w:spacing w:before="0" w:after="0" w:line="240" w:lineRule="auto"/>
              <w:jc w:val="center"/>
              <w:rPr>
                <w:rFonts w:ascii="Garamond" w:hAnsi="Garamond"/>
                <w:sz w:val="16"/>
                <w:szCs w:val="16"/>
              </w:rPr>
            </w:pPr>
            <w:r w:rsidRPr="00FD53E3">
              <w:rPr>
                <w:rFonts w:ascii="Garamond" w:hAnsi="Garamond"/>
                <w:sz w:val="16"/>
                <w:szCs w:val="16"/>
              </w:rPr>
              <w:t>Projects in the Budget Law are presented grouped by</w:t>
            </w:r>
            <w:r w:rsidR="00FD53E3">
              <w:rPr>
                <w:rFonts w:ascii="Garamond" w:hAnsi="Garamond"/>
                <w:sz w:val="16"/>
                <w:szCs w:val="16"/>
              </w:rPr>
              <w:t xml:space="preserve"> areas, while in the Explanat</w:t>
            </w:r>
            <w:r w:rsidR="00FD53E3">
              <w:rPr>
                <w:rFonts w:ascii="Garamond" w:hAnsi="Garamond"/>
                <w:sz w:val="16"/>
                <w:szCs w:val="16"/>
                <w:lang w:val="en-US"/>
              </w:rPr>
              <w:t>ory Note</w:t>
            </w:r>
            <w:r w:rsidRPr="00FD53E3">
              <w:rPr>
                <w:rFonts w:ascii="Garamond" w:hAnsi="Garamond"/>
                <w:sz w:val="16"/>
                <w:szCs w:val="16"/>
              </w:rPr>
              <w:t xml:space="preserve"> of the Law they are presented by individual projects</w:t>
            </w:r>
          </w:p>
        </w:tc>
        <w:tc>
          <w:tcPr>
            <w:tcW w:w="1771" w:type="dxa"/>
            <w:vAlign w:val="center"/>
          </w:tcPr>
          <w:p w:rsidR="005F205E" w:rsidRPr="00FD53E3" w:rsidRDefault="005F205E" w:rsidP="00D43372">
            <w:pPr>
              <w:pStyle w:val="TabelaTekst"/>
              <w:spacing w:before="0" w:after="0" w:line="240" w:lineRule="auto"/>
              <w:jc w:val="center"/>
              <w:rPr>
                <w:rFonts w:ascii="Garamond" w:hAnsi="Garamond"/>
                <w:sz w:val="16"/>
                <w:szCs w:val="16"/>
              </w:rPr>
            </w:pPr>
            <w:r w:rsidRPr="00FD53E3">
              <w:rPr>
                <w:rFonts w:ascii="Garamond" w:hAnsi="Garamond"/>
                <w:sz w:val="16"/>
                <w:szCs w:val="16"/>
              </w:rPr>
              <w:t xml:space="preserve">Projects in the Budget Law are presented grouped by areas, while in the </w:t>
            </w:r>
            <w:r w:rsidR="00FD53E3">
              <w:rPr>
                <w:rFonts w:ascii="Garamond" w:hAnsi="Garamond"/>
                <w:sz w:val="16"/>
                <w:szCs w:val="16"/>
              </w:rPr>
              <w:t>Explanat</w:t>
            </w:r>
            <w:r w:rsidR="00FD53E3">
              <w:rPr>
                <w:rFonts w:ascii="Garamond" w:hAnsi="Garamond"/>
                <w:sz w:val="16"/>
                <w:szCs w:val="16"/>
                <w:lang w:val="en-US"/>
              </w:rPr>
              <w:t>ory Note</w:t>
            </w:r>
            <w:r w:rsidR="00FD53E3" w:rsidRPr="00FD53E3">
              <w:rPr>
                <w:rFonts w:ascii="Garamond" w:hAnsi="Garamond"/>
                <w:sz w:val="16"/>
                <w:szCs w:val="16"/>
              </w:rPr>
              <w:t xml:space="preserve"> </w:t>
            </w:r>
            <w:r w:rsidRPr="00FD53E3">
              <w:rPr>
                <w:rFonts w:ascii="Garamond" w:hAnsi="Garamond"/>
                <w:sz w:val="16"/>
                <w:szCs w:val="16"/>
              </w:rPr>
              <w:t>of the Law they are presented by individual projects</w:t>
            </w:r>
          </w:p>
        </w:tc>
        <w:tc>
          <w:tcPr>
            <w:tcW w:w="1771" w:type="dxa"/>
            <w:vAlign w:val="center"/>
          </w:tcPr>
          <w:p w:rsidR="005F205E" w:rsidRPr="00FD53E3" w:rsidRDefault="005F205E" w:rsidP="00D43372">
            <w:pPr>
              <w:pStyle w:val="TabelaTekst"/>
              <w:spacing w:before="0" w:after="0" w:line="240" w:lineRule="auto"/>
              <w:jc w:val="center"/>
              <w:rPr>
                <w:rFonts w:ascii="Garamond" w:hAnsi="Garamond"/>
                <w:sz w:val="16"/>
                <w:szCs w:val="16"/>
              </w:rPr>
            </w:pPr>
            <w:r w:rsidRPr="00FD53E3">
              <w:rPr>
                <w:rFonts w:ascii="Garamond" w:hAnsi="Garamond"/>
                <w:sz w:val="16"/>
                <w:szCs w:val="16"/>
              </w:rPr>
              <w:t xml:space="preserve">Projects in the Budget Law are presented grouped by areas, while in the </w:t>
            </w:r>
            <w:r w:rsidR="00FD53E3">
              <w:rPr>
                <w:rFonts w:ascii="Garamond" w:hAnsi="Garamond"/>
                <w:sz w:val="16"/>
                <w:szCs w:val="16"/>
              </w:rPr>
              <w:t>Explanat</w:t>
            </w:r>
            <w:r w:rsidR="00FD53E3">
              <w:rPr>
                <w:rFonts w:ascii="Garamond" w:hAnsi="Garamond"/>
                <w:sz w:val="16"/>
                <w:szCs w:val="16"/>
                <w:lang w:val="en-US"/>
              </w:rPr>
              <w:t>ory Note</w:t>
            </w:r>
            <w:r w:rsidR="00FD53E3" w:rsidRPr="00FD53E3">
              <w:rPr>
                <w:rFonts w:ascii="Garamond" w:hAnsi="Garamond"/>
                <w:sz w:val="16"/>
                <w:szCs w:val="16"/>
              </w:rPr>
              <w:t xml:space="preserve"> </w:t>
            </w:r>
            <w:r w:rsidRPr="00FD53E3">
              <w:rPr>
                <w:rFonts w:ascii="Garamond" w:hAnsi="Garamond"/>
                <w:sz w:val="16"/>
                <w:szCs w:val="16"/>
              </w:rPr>
              <w:t>of the Law they are presented by individual projects</w:t>
            </w:r>
          </w:p>
        </w:tc>
        <w:tc>
          <w:tcPr>
            <w:tcW w:w="1523" w:type="dxa"/>
            <w:vAlign w:val="center"/>
          </w:tcPr>
          <w:p w:rsidR="005F205E" w:rsidRPr="00FD53E3" w:rsidRDefault="005F205E" w:rsidP="00D43372">
            <w:pPr>
              <w:pStyle w:val="TabelaTekst"/>
              <w:spacing w:before="0" w:after="0" w:line="240" w:lineRule="auto"/>
              <w:jc w:val="center"/>
              <w:rPr>
                <w:rFonts w:ascii="Garamond" w:hAnsi="Garamond"/>
                <w:sz w:val="16"/>
                <w:szCs w:val="16"/>
              </w:rPr>
            </w:pPr>
            <w:r w:rsidRPr="00FD53E3">
              <w:rPr>
                <w:rFonts w:ascii="Garamond" w:hAnsi="Garamond" w:cstheme="minorHAnsi"/>
                <w:sz w:val="16"/>
                <w:szCs w:val="16"/>
                <w:lang w:val="en-US"/>
              </w:rPr>
              <w:t>View by individual projects</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5F205E">
      <w:pPr>
        <w:pStyle w:val="Heading3"/>
        <w:rPr>
          <w:rFonts w:ascii="Garamond" w:hAnsi="Garamond"/>
          <w:sz w:val="24"/>
          <w:szCs w:val="24"/>
        </w:rPr>
      </w:pPr>
      <w:bookmarkStart w:id="44" w:name="_Toc77688221"/>
      <w:r w:rsidRPr="00C32887">
        <w:rPr>
          <w:rFonts w:ascii="Garamond" w:hAnsi="Garamond"/>
          <w:sz w:val="24"/>
          <w:szCs w:val="24"/>
        </w:rPr>
        <w:t xml:space="preserve">1.3.2      </w:t>
      </w:r>
      <w:r w:rsidR="005F205E">
        <w:rPr>
          <w:rFonts w:ascii="Garamond" w:hAnsi="Garamond"/>
          <w:sz w:val="24"/>
          <w:szCs w:val="24"/>
        </w:rPr>
        <w:t>PERFORMANCE INDICATOR 8</w:t>
      </w:r>
      <w:r w:rsidR="005F205E" w:rsidRPr="005F205E">
        <w:rPr>
          <w:rFonts w:ascii="Garamond" w:hAnsi="Garamond"/>
          <w:sz w:val="24"/>
          <w:szCs w:val="24"/>
        </w:rPr>
        <w:t xml:space="preserve"> </w:t>
      </w:r>
      <w:r w:rsidR="005F205E" w:rsidRPr="00C32887">
        <w:rPr>
          <w:rFonts w:ascii="Garamond" w:hAnsi="Garamond"/>
          <w:sz w:val="24"/>
          <w:szCs w:val="24"/>
        </w:rPr>
        <w:t>PASSPORT</w:t>
      </w:r>
      <w:bookmarkEnd w:id="44"/>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5F205E" w:rsidRPr="003C5536" w:rsidTr="00D43372">
        <w:trPr>
          <w:jc w:val="center"/>
        </w:trPr>
        <w:tc>
          <w:tcPr>
            <w:tcW w:w="2721" w:type="dxa"/>
            <w:tcBorders>
              <w:right w:val="single" w:sz="4" w:space="0" w:color="FFFFFF"/>
            </w:tcBorders>
            <w:shd w:val="clear" w:color="auto" w:fill="BFBFBF"/>
            <w:vAlign w:val="center"/>
          </w:tcPr>
          <w:p w:rsidR="005F205E" w:rsidRPr="003C5536" w:rsidRDefault="005F205E" w:rsidP="00D43372">
            <w:pPr>
              <w:autoSpaceDE/>
              <w:autoSpaceDN/>
              <w:rPr>
                <w:rFonts w:ascii="Garamond" w:eastAsia="Calibri" w:hAnsi="Garamond"/>
                <w:b/>
                <w:caps/>
                <w:sz w:val="16"/>
                <w:szCs w:val="16"/>
                <w:lang w:val="en-GB" w:eastAsia="en-US" w:bidi="ar-SA"/>
              </w:rPr>
            </w:pPr>
            <w:r w:rsidRPr="003C5536">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5F205E" w:rsidRPr="003C5536" w:rsidRDefault="005F205E" w:rsidP="005F205E">
            <w:pPr>
              <w:pStyle w:val="Default"/>
              <w:jc w:val="both"/>
              <w:rPr>
                <w:rFonts w:ascii="Garamond" w:eastAsia="Calibri" w:hAnsi="Garamond"/>
                <w:b/>
                <w:sz w:val="16"/>
                <w:szCs w:val="16"/>
                <w:lang w:eastAsia="en-US"/>
              </w:rPr>
            </w:pPr>
            <w:r w:rsidRPr="003C5536">
              <w:rPr>
                <w:rFonts w:ascii="Garamond" w:hAnsi="Garamond"/>
                <w:sz w:val="16"/>
                <w:szCs w:val="16"/>
              </w:rPr>
              <w:t xml:space="preserve">Actual capital spending in the current year as a share of the capital budget plan </w:t>
            </w:r>
          </w:p>
        </w:tc>
      </w:tr>
      <w:tr w:rsidR="005F205E" w:rsidRPr="003C5536" w:rsidTr="00D43372">
        <w:trPr>
          <w:gridAfter w:val="1"/>
          <w:wAfter w:w="19" w:type="dxa"/>
          <w:jc w:val="center"/>
        </w:trPr>
        <w:tc>
          <w:tcPr>
            <w:tcW w:w="2721" w:type="dxa"/>
            <w:vAlign w:val="center"/>
          </w:tcPr>
          <w:p w:rsidR="005F205E" w:rsidRPr="003C5536" w:rsidRDefault="005F205E" w:rsidP="00D43372">
            <w:pPr>
              <w:autoSpaceDE/>
              <w:autoSpaceDN/>
              <w:rPr>
                <w:rFonts w:ascii="Garamond" w:eastAsia="Calibri" w:hAnsi="Garamond"/>
                <w:b/>
                <w:caps/>
                <w:sz w:val="16"/>
                <w:szCs w:val="16"/>
                <w:lang w:val="en-GB" w:eastAsia="en-US" w:bidi="ar-SA"/>
              </w:rPr>
            </w:pPr>
            <w:r w:rsidRPr="003C5536">
              <w:rPr>
                <w:rFonts w:ascii="Garamond" w:eastAsia="Calibri" w:hAnsi="Garamond"/>
                <w:b/>
                <w:caps/>
                <w:sz w:val="16"/>
                <w:szCs w:val="16"/>
                <w:lang w:val="en-GB" w:eastAsia="en-US" w:bidi="ar-SA"/>
              </w:rPr>
              <w:t>corresponding objective or activity</w:t>
            </w:r>
          </w:p>
        </w:tc>
        <w:tc>
          <w:tcPr>
            <w:tcW w:w="6836" w:type="dxa"/>
            <w:gridSpan w:val="4"/>
            <w:vAlign w:val="center"/>
          </w:tcPr>
          <w:p w:rsidR="005F205E" w:rsidRPr="003C5536" w:rsidRDefault="005F205E" w:rsidP="00D43372">
            <w:pPr>
              <w:rPr>
                <w:rFonts w:ascii="Garamond" w:hAnsi="Garamond"/>
                <w:color w:val="365F91" w:themeColor="accent1" w:themeShade="BF"/>
                <w:sz w:val="16"/>
                <w:szCs w:val="16"/>
              </w:rPr>
            </w:pPr>
            <w:r w:rsidRPr="003C5536">
              <w:rPr>
                <w:rFonts w:ascii="Garamond" w:hAnsi="Garamond"/>
                <w:color w:val="365F91" w:themeColor="accent1" w:themeShade="BF"/>
                <w:sz w:val="16"/>
                <w:szCs w:val="16"/>
              </w:rPr>
              <w:t>Sustainable fiscal framework, public expenditure planning and budgeting</w:t>
            </w:r>
          </w:p>
          <w:p w:rsidR="005F205E" w:rsidRPr="003C5536" w:rsidRDefault="005F205E" w:rsidP="00D43372">
            <w:pPr>
              <w:pStyle w:val="ListParagraph"/>
              <w:numPr>
                <w:ilvl w:val="0"/>
                <w:numId w:val="28"/>
              </w:numPr>
              <w:rPr>
                <w:rFonts w:ascii="Garamond" w:eastAsia="Calibri" w:hAnsi="Garamond"/>
                <w:i/>
                <w:sz w:val="16"/>
                <w:szCs w:val="16"/>
                <w:lang w:eastAsia="en-US" w:bidi="ar-SA"/>
              </w:rPr>
            </w:pPr>
            <w:r w:rsidRPr="003C5536">
              <w:rPr>
                <w:rFonts w:ascii="Garamond" w:hAnsi="Garamond"/>
                <w:color w:val="365F91" w:themeColor="accent1" w:themeShade="BF"/>
                <w:sz w:val="16"/>
                <w:szCs w:val="16"/>
                <w:u w:val="single"/>
              </w:rPr>
              <w:t xml:space="preserve">Capital budget </w:t>
            </w:r>
          </w:p>
          <w:p w:rsidR="005F205E" w:rsidRPr="003C5536" w:rsidRDefault="005F205E" w:rsidP="00D43372">
            <w:pPr>
              <w:rPr>
                <w:rFonts w:ascii="Garamond" w:eastAsia="Calibri" w:hAnsi="Garamond"/>
                <w:color w:val="000000" w:themeColor="text1"/>
                <w:sz w:val="16"/>
                <w:szCs w:val="16"/>
                <w:lang w:eastAsia="en-US" w:bidi="ar-SA"/>
              </w:rPr>
            </w:pPr>
            <w:r w:rsidRPr="003C5536">
              <w:rPr>
                <w:rFonts w:ascii="Garamond" w:eastAsia="Calibri" w:hAnsi="Garamond"/>
                <w:color w:val="000000" w:themeColor="text1"/>
                <w:sz w:val="16"/>
                <w:szCs w:val="16"/>
                <w:lang w:eastAsia="en-US" w:bidi="ar-SA"/>
              </w:rPr>
              <w:t>Improve capital budget planning and progress reporting for capital projects</w:t>
            </w:r>
          </w:p>
        </w:tc>
      </w:tr>
      <w:tr w:rsidR="005F205E" w:rsidRPr="003C5536" w:rsidTr="00D43372">
        <w:trPr>
          <w:gridAfter w:val="1"/>
          <w:wAfter w:w="19" w:type="dxa"/>
          <w:jc w:val="center"/>
        </w:trPr>
        <w:tc>
          <w:tcPr>
            <w:tcW w:w="2721" w:type="dxa"/>
            <w:vAlign w:val="center"/>
          </w:tcPr>
          <w:p w:rsidR="005F205E" w:rsidRPr="003C5536" w:rsidRDefault="005F205E" w:rsidP="00D43372">
            <w:pPr>
              <w:autoSpaceDE/>
              <w:autoSpaceDN/>
              <w:rPr>
                <w:rFonts w:ascii="Garamond" w:eastAsia="Calibri" w:hAnsi="Garamond"/>
                <w:b/>
                <w:caps/>
                <w:sz w:val="16"/>
                <w:szCs w:val="16"/>
                <w:lang w:val="uz-Cyrl-UZ" w:eastAsia="en-US" w:bidi="ar-SA"/>
              </w:rPr>
            </w:pPr>
            <w:r w:rsidRPr="003C5536">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5F205E" w:rsidRPr="003C5536" w:rsidRDefault="005F205E" w:rsidP="00FD53E3">
            <w:pPr>
              <w:rPr>
                <w:rFonts w:ascii="Garamond" w:eastAsia="Calibri" w:hAnsi="Garamond"/>
                <w:sz w:val="16"/>
                <w:szCs w:val="16"/>
                <w:lang w:eastAsia="en-US" w:bidi="ar-SA"/>
              </w:rPr>
            </w:pPr>
            <w:r w:rsidRPr="003C5536">
              <w:rPr>
                <w:rFonts w:ascii="Garamond" w:hAnsi="Garamond"/>
                <w:sz w:val="16"/>
                <w:szCs w:val="16"/>
              </w:rPr>
              <w:t xml:space="preserve">Official Gazette, Law on Final </w:t>
            </w:r>
            <w:r w:rsidR="00484477" w:rsidRPr="003C5536">
              <w:rPr>
                <w:rFonts w:ascii="Garamond" w:hAnsi="Garamond"/>
                <w:sz w:val="16"/>
                <w:szCs w:val="16"/>
              </w:rPr>
              <w:t xml:space="preserve">Budget </w:t>
            </w:r>
            <w:r w:rsidRPr="003C5536">
              <w:rPr>
                <w:rFonts w:ascii="Garamond" w:hAnsi="Garamond"/>
                <w:sz w:val="16"/>
                <w:szCs w:val="16"/>
              </w:rPr>
              <w:t>Account</w:t>
            </w:r>
            <w:r w:rsidR="00EF6AE6" w:rsidRPr="003C5536">
              <w:rPr>
                <w:rFonts w:ascii="Garamond" w:hAnsi="Garamond"/>
                <w:sz w:val="16"/>
                <w:szCs w:val="16"/>
              </w:rPr>
              <w:t>s</w:t>
            </w:r>
            <w:r w:rsidRPr="003C5536">
              <w:rPr>
                <w:rFonts w:ascii="Garamond" w:hAnsi="Garamond"/>
                <w:sz w:val="16"/>
                <w:szCs w:val="16"/>
              </w:rPr>
              <w:t xml:space="preserve">, </w:t>
            </w:r>
            <w:r w:rsidR="00484477" w:rsidRPr="003C5536">
              <w:rPr>
                <w:rFonts w:ascii="Garamond" w:hAnsi="Garamond"/>
                <w:sz w:val="16"/>
                <w:szCs w:val="16"/>
              </w:rPr>
              <w:t xml:space="preserve">Budget </w:t>
            </w:r>
            <w:r w:rsidRPr="003C5536">
              <w:rPr>
                <w:rFonts w:ascii="Garamond" w:hAnsi="Garamond"/>
                <w:sz w:val="16"/>
                <w:szCs w:val="16"/>
              </w:rPr>
              <w:t xml:space="preserve">Law for </w:t>
            </w:r>
            <w:r w:rsidR="00FD53E3" w:rsidRPr="003C5536">
              <w:rPr>
                <w:rFonts w:ascii="Garamond" w:hAnsi="Garamond"/>
                <w:sz w:val="16"/>
                <w:szCs w:val="16"/>
              </w:rPr>
              <w:t>the fiscal year</w:t>
            </w:r>
            <w:r w:rsidRPr="003C5536">
              <w:rPr>
                <w:rFonts w:ascii="Garamond" w:hAnsi="Garamond"/>
                <w:sz w:val="16"/>
                <w:szCs w:val="16"/>
              </w:rPr>
              <w:t xml:space="preserve"> </w:t>
            </w:r>
            <w:hyperlink r:id="rId25" w:history="1">
              <w:r w:rsidRPr="003C5536">
                <w:rPr>
                  <w:rStyle w:val="Hyperlink"/>
                  <w:rFonts w:ascii="Garamond" w:hAnsi="Garamond"/>
                  <w:sz w:val="16"/>
                  <w:szCs w:val="16"/>
                </w:rPr>
                <w:t>http://www.mf.gov.me/biblioteka/zakoni</w:t>
              </w:r>
            </w:hyperlink>
            <w:r w:rsidRPr="003C5536">
              <w:rPr>
                <w:rFonts w:ascii="Garamond" w:hAnsi="Garamond"/>
                <w:sz w:val="16"/>
                <w:szCs w:val="16"/>
              </w:rPr>
              <w:t xml:space="preserve">), </w:t>
            </w:r>
          </w:p>
        </w:tc>
      </w:tr>
      <w:tr w:rsidR="005F205E" w:rsidRPr="003C5536" w:rsidTr="00D43372">
        <w:trPr>
          <w:gridAfter w:val="1"/>
          <w:wAfter w:w="19" w:type="dxa"/>
          <w:jc w:val="center"/>
        </w:trPr>
        <w:tc>
          <w:tcPr>
            <w:tcW w:w="2721" w:type="dxa"/>
            <w:vAlign w:val="center"/>
          </w:tcPr>
          <w:p w:rsidR="005F205E" w:rsidRPr="003C5536" w:rsidRDefault="005F205E" w:rsidP="00D43372">
            <w:pPr>
              <w:autoSpaceDE/>
              <w:autoSpaceDN/>
              <w:rPr>
                <w:rFonts w:ascii="Garamond" w:eastAsia="Calibri" w:hAnsi="Garamond"/>
                <w:b/>
                <w:caps/>
                <w:sz w:val="16"/>
                <w:szCs w:val="16"/>
                <w:lang w:val="uz-Cyrl-UZ" w:eastAsia="en-US" w:bidi="ar-SA"/>
              </w:rPr>
            </w:pPr>
            <w:r w:rsidRPr="003C5536">
              <w:rPr>
                <w:rFonts w:ascii="Garamond" w:eastAsia="Calibri" w:hAnsi="Garamond"/>
                <w:b/>
                <w:caps/>
                <w:sz w:val="16"/>
                <w:szCs w:val="16"/>
                <w:lang w:val="uz-Cyrl-UZ" w:eastAsia="en-US" w:bidi="ar-SA"/>
              </w:rPr>
              <w:t>NAME OF DATA COLLECTION HOLDER</w:t>
            </w:r>
          </w:p>
        </w:tc>
        <w:tc>
          <w:tcPr>
            <w:tcW w:w="6836" w:type="dxa"/>
            <w:gridSpan w:val="4"/>
            <w:vAlign w:val="center"/>
          </w:tcPr>
          <w:p w:rsidR="005F205E" w:rsidRPr="003C5536" w:rsidRDefault="005F205E" w:rsidP="00D43372">
            <w:pPr>
              <w:rPr>
                <w:rFonts w:ascii="Garamond" w:hAnsi="Garamond"/>
                <w:sz w:val="16"/>
                <w:szCs w:val="16"/>
              </w:rPr>
            </w:pPr>
            <w:r w:rsidRPr="003C5536">
              <w:rPr>
                <w:rFonts w:ascii="Garamond" w:hAnsi="Garamond"/>
                <w:sz w:val="16"/>
                <w:szCs w:val="16"/>
              </w:rPr>
              <w:t>The Ministry of Finance and Social Welfare, Directorate for State Budget</w:t>
            </w:r>
          </w:p>
          <w:p w:rsidR="005F205E" w:rsidRPr="003C5536" w:rsidRDefault="005F205E" w:rsidP="00D43372">
            <w:pPr>
              <w:rPr>
                <w:rFonts w:ascii="Garamond" w:hAnsi="Garamond"/>
                <w:sz w:val="16"/>
                <w:szCs w:val="16"/>
              </w:rPr>
            </w:pPr>
            <w:r w:rsidRPr="003C5536">
              <w:rPr>
                <w:rFonts w:ascii="Garamond" w:hAnsi="Garamond"/>
                <w:sz w:val="16"/>
                <w:szCs w:val="16"/>
              </w:rPr>
              <w:t>Slobodanka Burić</w:t>
            </w:r>
          </w:p>
          <w:p w:rsidR="005F205E" w:rsidRPr="003C5536" w:rsidRDefault="005F205E" w:rsidP="00D43372">
            <w:pPr>
              <w:rPr>
                <w:rFonts w:ascii="Garamond" w:hAnsi="Garamond"/>
                <w:sz w:val="16"/>
                <w:szCs w:val="16"/>
              </w:rPr>
            </w:pPr>
            <w:r w:rsidRPr="003C5536">
              <w:rPr>
                <w:rFonts w:ascii="Garamond" w:hAnsi="Garamond"/>
                <w:sz w:val="16"/>
                <w:szCs w:val="16"/>
              </w:rPr>
              <w:t xml:space="preserve">slobodanka.buric@mif.gov.me </w:t>
            </w:r>
          </w:p>
          <w:p w:rsidR="005F205E" w:rsidRPr="003C5536" w:rsidRDefault="005F205E" w:rsidP="00D43372">
            <w:pPr>
              <w:rPr>
                <w:rFonts w:ascii="Garamond" w:eastAsia="Calibri" w:hAnsi="Garamond"/>
                <w:sz w:val="16"/>
                <w:szCs w:val="16"/>
                <w:lang w:eastAsia="en-US" w:bidi="ar-SA"/>
              </w:rPr>
            </w:pPr>
            <w:r w:rsidRPr="003C5536">
              <w:rPr>
                <w:rFonts w:ascii="Garamond" w:eastAsia="Calibri" w:hAnsi="Garamond"/>
                <w:sz w:val="16"/>
                <w:szCs w:val="16"/>
                <w:lang w:eastAsia="en-US" w:bidi="ar-SA"/>
              </w:rPr>
              <w:t xml:space="preserve">Phone number: </w:t>
            </w:r>
            <w:r w:rsidRPr="003C5536">
              <w:rPr>
                <w:rFonts w:ascii="Garamond" w:hAnsi="Garamond"/>
                <w:sz w:val="16"/>
                <w:szCs w:val="16"/>
              </w:rPr>
              <w:t>063202933</w:t>
            </w:r>
          </w:p>
        </w:tc>
      </w:tr>
      <w:tr w:rsidR="005F205E" w:rsidRPr="003C5536" w:rsidTr="00D43372">
        <w:trPr>
          <w:gridAfter w:val="1"/>
          <w:wAfter w:w="19" w:type="dxa"/>
          <w:jc w:val="center"/>
        </w:trPr>
        <w:tc>
          <w:tcPr>
            <w:tcW w:w="2721" w:type="dxa"/>
            <w:vAlign w:val="center"/>
          </w:tcPr>
          <w:p w:rsidR="005F205E" w:rsidRPr="003C5536" w:rsidRDefault="005F205E" w:rsidP="00D43372">
            <w:pPr>
              <w:autoSpaceDE/>
              <w:autoSpaceDN/>
              <w:rPr>
                <w:rFonts w:ascii="Garamond" w:eastAsia="Calibri" w:hAnsi="Garamond"/>
                <w:b/>
                <w:caps/>
                <w:sz w:val="16"/>
                <w:szCs w:val="16"/>
                <w:lang w:val="uz-Cyrl-UZ" w:eastAsia="en-US" w:bidi="ar-SA"/>
              </w:rPr>
            </w:pPr>
            <w:r w:rsidRPr="003C5536">
              <w:rPr>
                <w:rFonts w:ascii="Garamond" w:eastAsia="Calibri" w:hAnsi="Garamond"/>
                <w:b/>
                <w:caps/>
                <w:sz w:val="16"/>
                <w:szCs w:val="16"/>
                <w:lang w:val="uz-Cyrl-UZ" w:eastAsia="en-US" w:bidi="ar-SA"/>
              </w:rPr>
              <w:t>FREQUENCY OF DATA PUBLICATION</w:t>
            </w:r>
          </w:p>
        </w:tc>
        <w:tc>
          <w:tcPr>
            <w:tcW w:w="6836" w:type="dxa"/>
            <w:gridSpan w:val="4"/>
            <w:vAlign w:val="center"/>
          </w:tcPr>
          <w:p w:rsidR="005F205E" w:rsidRPr="003C5536" w:rsidRDefault="005F205E" w:rsidP="00484477">
            <w:pPr>
              <w:rPr>
                <w:rFonts w:ascii="Garamond" w:eastAsia="Calibri" w:hAnsi="Garamond"/>
                <w:sz w:val="16"/>
                <w:szCs w:val="16"/>
                <w:lang w:eastAsia="en-US" w:bidi="ar-SA"/>
              </w:rPr>
            </w:pPr>
            <w:r w:rsidRPr="003C5536">
              <w:rPr>
                <w:rFonts w:ascii="Garamond" w:hAnsi="Garamond"/>
                <w:sz w:val="16"/>
                <w:szCs w:val="16"/>
              </w:rPr>
              <w:t xml:space="preserve">1x per year, in </w:t>
            </w:r>
            <w:r w:rsidR="00484477" w:rsidRPr="003C5536">
              <w:rPr>
                <w:rFonts w:ascii="Garamond" w:hAnsi="Garamond"/>
                <w:sz w:val="16"/>
                <w:szCs w:val="16"/>
              </w:rPr>
              <w:t xml:space="preserve">Q2 </w:t>
            </w:r>
            <w:r w:rsidRPr="003C5536">
              <w:rPr>
                <w:rFonts w:ascii="Garamond" w:hAnsi="Garamond"/>
                <w:sz w:val="16"/>
                <w:szCs w:val="16"/>
              </w:rPr>
              <w:t xml:space="preserve">of the current year, after the adoption of the Law on the </w:t>
            </w:r>
            <w:r w:rsidR="00484477" w:rsidRPr="003C5536">
              <w:rPr>
                <w:rFonts w:ascii="Garamond" w:hAnsi="Garamond"/>
                <w:sz w:val="16"/>
                <w:szCs w:val="16"/>
              </w:rPr>
              <w:t>Final Budget Account</w:t>
            </w:r>
            <w:r w:rsidR="00FD53E3" w:rsidRPr="003C5536">
              <w:rPr>
                <w:rFonts w:ascii="Garamond" w:hAnsi="Garamond"/>
                <w:sz w:val="16"/>
                <w:szCs w:val="16"/>
              </w:rPr>
              <w:t>s</w:t>
            </w:r>
            <w:r w:rsidR="00484477" w:rsidRPr="003C5536">
              <w:rPr>
                <w:rFonts w:ascii="Garamond" w:hAnsi="Garamond"/>
                <w:sz w:val="16"/>
                <w:szCs w:val="16"/>
              </w:rPr>
              <w:t>. In Q1</w:t>
            </w:r>
            <w:r w:rsidRPr="003C5536">
              <w:rPr>
                <w:rFonts w:ascii="Garamond" w:hAnsi="Garamond"/>
                <w:sz w:val="16"/>
                <w:szCs w:val="16"/>
              </w:rPr>
              <w:t>, we may have preliminary data, that is, data that are not official.</w:t>
            </w:r>
          </w:p>
        </w:tc>
      </w:tr>
      <w:tr w:rsidR="005F205E" w:rsidRPr="003C5536" w:rsidTr="00D43372">
        <w:trPr>
          <w:gridAfter w:val="1"/>
          <w:wAfter w:w="19" w:type="dxa"/>
          <w:trHeight w:val="458"/>
          <w:jc w:val="center"/>
        </w:trPr>
        <w:tc>
          <w:tcPr>
            <w:tcW w:w="2721" w:type="dxa"/>
            <w:vMerge w:val="restart"/>
            <w:vAlign w:val="center"/>
          </w:tcPr>
          <w:p w:rsidR="005F205E" w:rsidRPr="003C5536" w:rsidRDefault="005F205E" w:rsidP="00D43372">
            <w:pPr>
              <w:autoSpaceDE/>
              <w:autoSpaceDN/>
              <w:rPr>
                <w:rFonts w:ascii="Garamond" w:eastAsia="Calibri" w:hAnsi="Garamond"/>
                <w:b/>
                <w:caps/>
                <w:sz w:val="16"/>
                <w:szCs w:val="16"/>
                <w:lang w:val="uz-Cyrl-UZ" w:eastAsia="en-US" w:bidi="ar-SA"/>
              </w:rPr>
            </w:pPr>
            <w:r w:rsidRPr="003C5536">
              <w:rPr>
                <w:rFonts w:ascii="Garamond" w:eastAsia="Calibri" w:hAnsi="Garamond"/>
                <w:b/>
                <w:caps/>
                <w:sz w:val="16"/>
                <w:szCs w:val="16"/>
                <w:lang w:val="uz-Cyrl-UZ" w:eastAsia="en-US" w:bidi="ar-SA"/>
              </w:rPr>
              <w:t xml:space="preserve">BRIEF DESCRIPTION </w:t>
            </w:r>
            <w:r w:rsidRPr="003C5536">
              <w:rPr>
                <w:rFonts w:ascii="Garamond" w:eastAsia="Calibri" w:hAnsi="Garamond"/>
                <w:b/>
                <w:caps/>
                <w:sz w:val="16"/>
                <w:szCs w:val="16"/>
                <w:lang w:val="en-GB" w:eastAsia="en-US" w:bidi="ar-SA"/>
              </w:rPr>
              <w:t xml:space="preserve">OF </w:t>
            </w:r>
            <w:r w:rsidRPr="003C5536">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5F205E" w:rsidRPr="003C5536" w:rsidRDefault="00FD53E3" w:rsidP="00FD53E3">
            <w:pPr>
              <w:jc w:val="both"/>
              <w:rPr>
                <w:rFonts w:ascii="Garamond" w:eastAsia="Calibri" w:hAnsi="Garamond"/>
                <w:sz w:val="16"/>
                <w:szCs w:val="16"/>
                <w:lang w:eastAsia="en-US" w:bidi="ar-SA"/>
              </w:rPr>
            </w:pPr>
            <w:r w:rsidRPr="003C5536">
              <w:rPr>
                <w:rFonts w:ascii="Garamond" w:hAnsi="Garamond"/>
                <w:sz w:val="16"/>
                <w:szCs w:val="16"/>
              </w:rPr>
              <w:t xml:space="preserve">Capital </w:t>
            </w:r>
            <w:r w:rsidR="005F205E" w:rsidRPr="003C5536">
              <w:rPr>
                <w:rFonts w:ascii="Garamond" w:hAnsi="Garamond"/>
                <w:sz w:val="16"/>
                <w:szCs w:val="16"/>
              </w:rPr>
              <w:t xml:space="preserve">budget is an integral part of the annual Budget Law, the implementation of which is the responsibility of the Transport Directorate and the Public Works Directorate in cooperation with the Ministry of Finance and Social Welfare. Data on the actual costs of the capital budget are contained in the Law on the </w:t>
            </w:r>
            <w:r w:rsidR="00EF6AE6" w:rsidRPr="003C5536">
              <w:rPr>
                <w:rFonts w:ascii="Garamond" w:hAnsi="Garamond"/>
                <w:sz w:val="16"/>
                <w:szCs w:val="16"/>
              </w:rPr>
              <w:t xml:space="preserve">Final </w:t>
            </w:r>
            <w:r w:rsidR="00F15F2D" w:rsidRPr="003C5536">
              <w:rPr>
                <w:rFonts w:ascii="Garamond" w:hAnsi="Garamond"/>
                <w:sz w:val="16"/>
                <w:szCs w:val="16"/>
              </w:rPr>
              <w:t xml:space="preserve">Budget </w:t>
            </w:r>
            <w:r w:rsidR="00EF6AE6" w:rsidRPr="003C5536">
              <w:rPr>
                <w:rFonts w:ascii="Garamond" w:hAnsi="Garamond"/>
                <w:sz w:val="16"/>
                <w:szCs w:val="16"/>
              </w:rPr>
              <w:t>Accounts</w:t>
            </w:r>
            <w:r w:rsidR="005F205E" w:rsidRPr="003C5536">
              <w:rPr>
                <w:rFonts w:ascii="Garamond" w:hAnsi="Garamond"/>
                <w:sz w:val="16"/>
                <w:szCs w:val="16"/>
              </w:rPr>
              <w:t xml:space="preserve">, while the amount of planned funds is defined </w:t>
            </w:r>
            <w:r w:rsidRPr="003C5536">
              <w:rPr>
                <w:rFonts w:ascii="Garamond" w:hAnsi="Garamond"/>
                <w:sz w:val="16"/>
                <w:szCs w:val="16"/>
              </w:rPr>
              <w:t>under</w:t>
            </w:r>
            <w:r w:rsidR="005F205E" w:rsidRPr="003C5536">
              <w:rPr>
                <w:rFonts w:ascii="Garamond" w:hAnsi="Garamond"/>
                <w:sz w:val="16"/>
                <w:szCs w:val="16"/>
              </w:rPr>
              <w:t xml:space="preserve"> the </w:t>
            </w:r>
            <w:r w:rsidR="00F15F2D" w:rsidRPr="003C5536">
              <w:rPr>
                <w:rFonts w:ascii="Garamond" w:hAnsi="Garamond"/>
                <w:sz w:val="16"/>
                <w:szCs w:val="16"/>
              </w:rPr>
              <w:t xml:space="preserve">Budget </w:t>
            </w:r>
            <w:r w:rsidR="005F205E" w:rsidRPr="003C5536">
              <w:rPr>
                <w:rFonts w:ascii="Garamond" w:hAnsi="Garamond"/>
                <w:sz w:val="16"/>
                <w:szCs w:val="16"/>
              </w:rPr>
              <w:t xml:space="preserve">Law for the respective year. The performance indicator is calculated as a share of the actual expenditure of the capital budget in accordance with the Law on the </w:t>
            </w:r>
            <w:r w:rsidR="00EF6AE6" w:rsidRPr="003C5536">
              <w:rPr>
                <w:rFonts w:ascii="Garamond" w:hAnsi="Garamond"/>
                <w:sz w:val="16"/>
                <w:szCs w:val="16"/>
              </w:rPr>
              <w:t xml:space="preserve">Final </w:t>
            </w:r>
            <w:r w:rsidR="00F15F2D" w:rsidRPr="003C5536">
              <w:rPr>
                <w:rFonts w:ascii="Garamond" w:hAnsi="Garamond"/>
                <w:sz w:val="16"/>
                <w:szCs w:val="16"/>
              </w:rPr>
              <w:t xml:space="preserve">Budget </w:t>
            </w:r>
            <w:r w:rsidR="00EF6AE6" w:rsidRPr="003C5536">
              <w:rPr>
                <w:rFonts w:ascii="Garamond" w:hAnsi="Garamond"/>
                <w:sz w:val="16"/>
                <w:szCs w:val="16"/>
              </w:rPr>
              <w:t xml:space="preserve">Accounts </w:t>
            </w:r>
            <w:r w:rsidR="005F205E" w:rsidRPr="003C5536">
              <w:rPr>
                <w:rFonts w:ascii="Garamond" w:hAnsi="Garamond"/>
                <w:sz w:val="16"/>
                <w:szCs w:val="16"/>
              </w:rPr>
              <w:t xml:space="preserve">for the fiscal year in the amount of the capital budget planned by the </w:t>
            </w:r>
            <w:r w:rsidR="00EF6AE6" w:rsidRPr="003C5536">
              <w:rPr>
                <w:rFonts w:ascii="Garamond" w:hAnsi="Garamond"/>
                <w:sz w:val="16"/>
                <w:szCs w:val="16"/>
              </w:rPr>
              <w:t xml:space="preserve">Budget </w:t>
            </w:r>
            <w:r w:rsidR="005F205E" w:rsidRPr="003C5536">
              <w:rPr>
                <w:rFonts w:ascii="Garamond" w:hAnsi="Garamond"/>
                <w:sz w:val="16"/>
                <w:szCs w:val="16"/>
              </w:rPr>
              <w:t>Law for the fiscal year.</w:t>
            </w:r>
          </w:p>
        </w:tc>
      </w:tr>
      <w:tr w:rsidR="005F205E" w:rsidRPr="003C5536" w:rsidTr="00D43372">
        <w:trPr>
          <w:gridAfter w:val="1"/>
          <w:wAfter w:w="19" w:type="dxa"/>
          <w:trHeight w:val="620"/>
          <w:jc w:val="center"/>
        </w:trPr>
        <w:tc>
          <w:tcPr>
            <w:tcW w:w="2721" w:type="dxa"/>
            <w:vMerge/>
            <w:shd w:val="clear" w:color="auto" w:fill="auto"/>
            <w:vAlign w:val="center"/>
          </w:tcPr>
          <w:p w:rsidR="005F205E" w:rsidRPr="003C5536" w:rsidRDefault="005F205E" w:rsidP="00D43372">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5F205E" w:rsidRPr="003C5536" w:rsidRDefault="005F205E" w:rsidP="00D43372">
            <w:pPr>
              <w:jc w:val="center"/>
              <w:rPr>
                <w:rFonts w:ascii="Garamond" w:hAnsi="Garamond"/>
                <w:color w:val="365F91" w:themeColor="accent1" w:themeShade="BF"/>
                <w:sz w:val="16"/>
                <w:szCs w:val="16"/>
              </w:rPr>
            </w:pPr>
            <w:r w:rsidRPr="003C5536">
              <w:rPr>
                <w:rFonts w:ascii="Garamond" w:hAnsi="Garamond"/>
                <w:color w:val="365F91" w:themeColor="accent1" w:themeShade="BF"/>
                <w:sz w:val="16"/>
                <w:szCs w:val="16"/>
              </w:rPr>
              <w:t>FORMULA / EQUATION</w:t>
            </w:r>
          </w:p>
          <w:p w:rsidR="005F205E" w:rsidRPr="003C5536" w:rsidRDefault="00613C2B" w:rsidP="00EF6AE6">
            <w:pPr>
              <w:jc w:val="center"/>
              <w:rPr>
                <w:rFonts w:ascii="Garamond" w:eastAsia="Calibri" w:hAnsi="Garamond"/>
                <w:sz w:val="16"/>
                <w:szCs w:val="16"/>
                <w:lang w:eastAsia="en-US" w:bidi="ar-SA"/>
              </w:rPr>
            </w:pPr>
            <m:oMath>
              <m:f>
                <m:fPr>
                  <m:ctrlPr>
                    <w:rPr>
                      <w:rFonts w:ascii="Cambria Math" w:eastAsia="游明朝" w:hAnsi="Cambria Math" w:cs="Times New Roman"/>
                      <w:i/>
                      <w:sz w:val="16"/>
                      <w:szCs w:val="16"/>
                      <w:lang w:val="sr-Latn-CS" w:eastAsia="en-US" w:bidi="ar-SA"/>
                    </w:rPr>
                  </m:ctrlPr>
                </m:fPr>
                <m:num>
                  <m:r>
                    <w:rPr>
                      <w:rFonts w:ascii="Cambria Math" w:eastAsia="游明朝" w:hAnsi="Cambria Math" w:cs="Times New Roman"/>
                      <w:sz w:val="16"/>
                      <w:szCs w:val="16"/>
                      <w:lang w:eastAsia="en-US" w:bidi="ar-SA"/>
                    </w:rPr>
                    <m:t>Amount of actual spending in the capital budget</m:t>
                  </m:r>
                  <m:r>
                    <w:rPr>
                      <w:rFonts w:ascii="Cambria Math" w:eastAsia="游明朝" w:hAnsi="Cambria Math" w:cs="Times New Roman"/>
                      <w:sz w:val="16"/>
                      <w:szCs w:val="16"/>
                      <w:lang w:val="sr-Latn-CS" w:eastAsia="en-US" w:bidi="ar-SA"/>
                    </w:rPr>
                    <m:t xml:space="preserve"> </m:t>
                  </m:r>
                </m:num>
                <m:den>
                  <m:r>
                    <w:rPr>
                      <w:rFonts w:ascii="Cambria Math" w:eastAsia="游明朝" w:hAnsi="Cambria Math" w:cs="Times New Roman"/>
                      <w:sz w:val="16"/>
                      <w:szCs w:val="16"/>
                      <w:lang w:eastAsia="en-US" w:bidi="ar-SA"/>
                    </w:rPr>
                    <m:t>Amount of capital budget planned by the Budget Law</m:t>
                  </m:r>
                </m:den>
              </m:f>
            </m:oMath>
            <w:r w:rsidR="00EF6AE6" w:rsidRPr="003C5536">
              <w:rPr>
                <w:rFonts w:ascii="Garamond" w:eastAsia="游明朝" w:hAnsi="Garamond" w:cs="Times New Roman"/>
                <w:sz w:val="16"/>
                <w:szCs w:val="16"/>
                <w:lang w:val="sr-Latn-CS" w:eastAsia="en-US" w:bidi="ar-SA"/>
              </w:rPr>
              <w:t xml:space="preserve">  </w:t>
            </w:r>
            <w:r w:rsidR="00EF6AE6" w:rsidRPr="003C5536">
              <w:rPr>
                <w:rFonts w:ascii="Garamond" w:eastAsia="游明朝" w:hAnsi="Garamond" w:cs="Times New Roman"/>
                <w:i/>
                <w:sz w:val="16"/>
                <w:szCs w:val="16"/>
                <w:lang w:val="sr-Latn-CS" w:eastAsia="en-US" w:bidi="ar-SA"/>
              </w:rPr>
              <w:t>x100=%</w:t>
            </w:r>
          </w:p>
        </w:tc>
      </w:tr>
      <w:tr w:rsidR="005F205E" w:rsidRPr="003C5536" w:rsidTr="00D43372">
        <w:trPr>
          <w:gridAfter w:val="1"/>
          <w:wAfter w:w="19" w:type="dxa"/>
          <w:trHeight w:val="585"/>
          <w:jc w:val="center"/>
        </w:trPr>
        <w:tc>
          <w:tcPr>
            <w:tcW w:w="2721" w:type="dxa"/>
            <w:vAlign w:val="center"/>
          </w:tcPr>
          <w:p w:rsidR="005F205E" w:rsidRPr="003C5536" w:rsidRDefault="005F205E" w:rsidP="00D43372">
            <w:pPr>
              <w:autoSpaceDE/>
              <w:autoSpaceDN/>
              <w:rPr>
                <w:rFonts w:ascii="Garamond" w:eastAsia="Calibri" w:hAnsi="Garamond"/>
                <w:b/>
                <w:bCs/>
                <w:caps/>
                <w:sz w:val="16"/>
                <w:szCs w:val="16"/>
                <w:lang w:val="en-GB" w:eastAsia="en-US" w:bidi="ar-SA"/>
              </w:rPr>
            </w:pPr>
            <w:r w:rsidRPr="003C5536">
              <w:rPr>
                <w:rFonts w:ascii="Garamond" w:eastAsia="Calibri" w:hAnsi="Garamond"/>
                <w:b/>
                <w:caps/>
                <w:sz w:val="16"/>
                <w:szCs w:val="16"/>
                <w:lang w:val="uz-Cyrl-UZ" w:eastAsia="en-US" w:bidi="ar-SA"/>
              </w:rPr>
              <w:t>BASELINE</w:t>
            </w:r>
            <w:r w:rsidRPr="003C5536">
              <w:rPr>
                <w:rFonts w:ascii="Garamond" w:eastAsia="Calibri" w:hAnsi="Garamond"/>
                <w:b/>
                <w:caps/>
                <w:sz w:val="16"/>
                <w:szCs w:val="16"/>
                <w:lang w:val="en-GB" w:eastAsia="en-US" w:bidi="ar-SA"/>
              </w:rPr>
              <w:t xml:space="preserve"> DATA</w:t>
            </w:r>
          </w:p>
        </w:tc>
        <w:tc>
          <w:tcPr>
            <w:tcW w:w="6836" w:type="dxa"/>
            <w:gridSpan w:val="4"/>
            <w:vAlign w:val="center"/>
          </w:tcPr>
          <w:p w:rsidR="005F205E" w:rsidRPr="003C5536" w:rsidRDefault="005F205E" w:rsidP="00EF6AE6">
            <w:pPr>
              <w:autoSpaceDE/>
              <w:autoSpaceDN/>
              <w:jc w:val="both"/>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 xml:space="preserve">PV (2014): </w:t>
            </w:r>
            <w:r w:rsidR="00EF6AE6" w:rsidRPr="003C5536">
              <w:rPr>
                <w:rFonts w:ascii="Garamond" w:eastAsia="Calibri" w:hAnsi="Garamond"/>
                <w:sz w:val="16"/>
                <w:szCs w:val="16"/>
                <w:lang w:val="en-GB" w:eastAsia="en-US" w:bidi="ar-SA"/>
              </w:rPr>
              <w:t>70%</w:t>
            </w:r>
          </w:p>
        </w:tc>
      </w:tr>
      <w:tr w:rsidR="005F205E" w:rsidRPr="003C5536" w:rsidTr="00D43372">
        <w:trPr>
          <w:gridAfter w:val="1"/>
          <w:wAfter w:w="19" w:type="dxa"/>
          <w:trHeight w:val="160"/>
          <w:jc w:val="center"/>
        </w:trPr>
        <w:tc>
          <w:tcPr>
            <w:tcW w:w="2721" w:type="dxa"/>
            <w:vMerge w:val="restart"/>
            <w:vAlign w:val="center"/>
          </w:tcPr>
          <w:p w:rsidR="005F205E" w:rsidRPr="003C5536" w:rsidRDefault="005F205E" w:rsidP="00D43372">
            <w:pPr>
              <w:autoSpaceDE/>
              <w:autoSpaceDN/>
              <w:rPr>
                <w:rFonts w:ascii="Garamond" w:eastAsia="Calibri" w:hAnsi="Garamond"/>
                <w:b/>
                <w:bCs/>
                <w:caps/>
                <w:sz w:val="16"/>
                <w:szCs w:val="16"/>
                <w:lang w:val="uz-Cyrl-UZ" w:eastAsia="en-US" w:bidi="ar-SA"/>
              </w:rPr>
            </w:pPr>
            <w:r w:rsidRPr="003C5536">
              <w:rPr>
                <w:rFonts w:ascii="Garamond" w:eastAsia="Calibri" w:hAnsi="Garamond"/>
                <w:b/>
                <w:caps/>
                <w:sz w:val="16"/>
                <w:szCs w:val="16"/>
                <w:lang w:val="uz-Cyrl-UZ" w:eastAsia="en-US" w:bidi="ar-SA"/>
              </w:rPr>
              <w:t>TARGET VALUE DATA</w:t>
            </w:r>
          </w:p>
        </w:tc>
        <w:tc>
          <w:tcPr>
            <w:tcW w:w="1771" w:type="dxa"/>
            <w:vAlign w:val="center"/>
          </w:tcPr>
          <w:p w:rsidR="005F205E" w:rsidRPr="003C5536" w:rsidRDefault="005F205E" w:rsidP="00D43372">
            <w:pPr>
              <w:autoSpaceDE/>
              <w:autoSpaceDN/>
              <w:jc w:val="center"/>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2017</w:t>
            </w:r>
          </w:p>
        </w:tc>
        <w:tc>
          <w:tcPr>
            <w:tcW w:w="1771" w:type="dxa"/>
            <w:vAlign w:val="center"/>
          </w:tcPr>
          <w:p w:rsidR="005F205E" w:rsidRPr="003C5536" w:rsidRDefault="005F205E" w:rsidP="00D43372">
            <w:pPr>
              <w:autoSpaceDE/>
              <w:autoSpaceDN/>
              <w:jc w:val="center"/>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2018</w:t>
            </w:r>
          </w:p>
        </w:tc>
        <w:tc>
          <w:tcPr>
            <w:tcW w:w="1771" w:type="dxa"/>
            <w:vAlign w:val="center"/>
          </w:tcPr>
          <w:p w:rsidR="005F205E" w:rsidRPr="003C5536" w:rsidRDefault="005F205E" w:rsidP="00D43372">
            <w:pPr>
              <w:autoSpaceDE/>
              <w:autoSpaceDN/>
              <w:jc w:val="center"/>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2019</w:t>
            </w:r>
          </w:p>
        </w:tc>
        <w:tc>
          <w:tcPr>
            <w:tcW w:w="1523" w:type="dxa"/>
            <w:vAlign w:val="center"/>
          </w:tcPr>
          <w:p w:rsidR="005F205E" w:rsidRPr="003C5536" w:rsidRDefault="005F205E" w:rsidP="00D43372">
            <w:pPr>
              <w:autoSpaceDE/>
              <w:autoSpaceDN/>
              <w:jc w:val="center"/>
              <w:rPr>
                <w:rFonts w:ascii="Garamond" w:eastAsia="Calibri" w:hAnsi="Garamond"/>
                <w:sz w:val="16"/>
                <w:szCs w:val="16"/>
                <w:lang w:val="uz-Cyrl-UZ" w:eastAsia="en-US" w:bidi="ar-SA"/>
              </w:rPr>
            </w:pPr>
            <w:r w:rsidRPr="003C5536">
              <w:rPr>
                <w:rFonts w:ascii="Garamond" w:eastAsia="Calibri" w:hAnsi="Garamond"/>
                <w:sz w:val="16"/>
                <w:szCs w:val="16"/>
                <w:lang w:val="uz-Cyrl-UZ" w:eastAsia="en-US" w:bidi="ar-SA"/>
              </w:rPr>
              <w:t>2020</w:t>
            </w:r>
          </w:p>
        </w:tc>
      </w:tr>
      <w:tr w:rsidR="00EF6AE6" w:rsidRPr="003C5536" w:rsidTr="00D43372">
        <w:trPr>
          <w:gridAfter w:val="1"/>
          <w:wAfter w:w="19" w:type="dxa"/>
          <w:trHeight w:val="160"/>
          <w:jc w:val="center"/>
        </w:trPr>
        <w:tc>
          <w:tcPr>
            <w:tcW w:w="2721" w:type="dxa"/>
            <w:vMerge/>
            <w:vAlign w:val="center"/>
          </w:tcPr>
          <w:p w:rsidR="00EF6AE6" w:rsidRPr="003C5536" w:rsidRDefault="00EF6AE6" w:rsidP="00D43372">
            <w:pPr>
              <w:autoSpaceDE/>
              <w:autoSpaceDN/>
              <w:rPr>
                <w:rFonts w:ascii="Garamond" w:eastAsia="Calibri" w:hAnsi="Garamond"/>
                <w:b/>
                <w:bCs/>
                <w:caps/>
                <w:sz w:val="16"/>
                <w:szCs w:val="16"/>
                <w:lang w:val="uz-Cyrl-UZ" w:eastAsia="en-US" w:bidi="ar-SA"/>
              </w:rPr>
            </w:pPr>
          </w:p>
        </w:tc>
        <w:tc>
          <w:tcPr>
            <w:tcW w:w="1771" w:type="dxa"/>
            <w:vAlign w:val="center"/>
          </w:tcPr>
          <w:p w:rsidR="00EF6AE6" w:rsidRPr="003C5536" w:rsidRDefault="00EF6AE6" w:rsidP="00D43372">
            <w:pPr>
              <w:pStyle w:val="TabelaTekst"/>
              <w:spacing w:before="0" w:after="0" w:line="240" w:lineRule="auto"/>
              <w:jc w:val="center"/>
              <w:rPr>
                <w:rFonts w:ascii="Garamond" w:hAnsi="Garamond"/>
                <w:sz w:val="16"/>
                <w:szCs w:val="16"/>
              </w:rPr>
            </w:pPr>
            <w:r w:rsidRPr="003C5536">
              <w:rPr>
                <w:rFonts w:ascii="Garamond" w:hAnsi="Garamond"/>
                <w:sz w:val="16"/>
                <w:szCs w:val="16"/>
              </w:rPr>
              <w:t>80%</w:t>
            </w:r>
          </w:p>
        </w:tc>
        <w:tc>
          <w:tcPr>
            <w:tcW w:w="1771" w:type="dxa"/>
            <w:vAlign w:val="center"/>
          </w:tcPr>
          <w:p w:rsidR="00EF6AE6" w:rsidRPr="003C5536" w:rsidRDefault="00EF6AE6" w:rsidP="00D43372">
            <w:pPr>
              <w:pStyle w:val="TabelaTekst"/>
              <w:spacing w:before="0" w:after="0" w:line="240" w:lineRule="auto"/>
              <w:jc w:val="center"/>
              <w:rPr>
                <w:rFonts w:ascii="Garamond" w:hAnsi="Garamond"/>
                <w:sz w:val="16"/>
                <w:szCs w:val="16"/>
              </w:rPr>
            </w:pPr>
            <w:r w:rsidRPr="003C5536">
              <w:rPr>
                <w:rFonts w:ascii="Garamond" w:hAnsi="Garamond"/>
                <w:sz w:val="16"/>
                <w:szCs w:val="16"/>
              </w:rPr>
              <w:t>83</w:t>
            </w:r>
          </w:p>
        </w:tc>
        <w:tc>
          <w:tcPr>
            <w:tcW w:w="1771" w:type="dxa"/>
            <w:vAlign w:val="center"/>
          </w:tcPr>
          <w:p w:rsidR="00EF6AE6" w:rsidRPr="003C5536" w:rsidRDefault="00EF6AE6" w:rsidP="00D43372">
            <w:pPr>
              <w:pStyle w:val="TabelaTekst"/>
              <w:spacing w:before="0" w:after="0" w:line="240" w:lineRule="auto"/>
              <w:jc w:val="center"/>
              <w:rPr>
                <w:rFonts w:ascii="Garamond" w:hAnsi="Garamond"/>
                <w:sz w:val="16"/>
                <w:szCs w:val="16"/>
              </w:rPr>
            </w:pPr>
            <w:r w:rsidRPr="003C5536">
              <w:rPr>
                <w:rFonts w:ascii="Garamond" w:hAnsi="Garamond"/>
                <w:sz w:val="16"/>
                <w:szCs w:val="16"/>
              </w:rPr>
              <w:t>86%</w:t>
            </w:r>
          </w:p>
        </w:tc>
        <w:tc>
          <w:tcPr>
            <w:tcW w:w="1523" w:type="dxa"/>
            <w:vAlign w:val="center"/>
          </w:tcPr>
          <w:p w:rsidR="00EF6AE6" w:rsidRPr="003C5536" w:rsidRDefault="00EF6AE6" w:rsidP="00D43372">
            <w:pPr>
              <w:pStyle w:val="TabelaTekst"/>
              <w:spacing w:before="0" w:after="0" w:line="240" w:lineRule="auto"/>
              <w:jc w:val="center"/>
              <w:rPr>
                <w:rFonts w:ascii="Garamond" w:hAnsi="Garamond"/>
                <w:sz w:val="16"/>
                <w:szCs w:val="16"/>
              </w:rPr>
            </w:pPr>
            <w:r w:rsidRPr="003C5536">
              <w:rPr>
                <w:rFonts w:ascii="Garamond" w:hAnsi="Garamond"/>
                <w:sz w:val="16"/>
                <w:szCs w:val="16"/>
              </w:rPr>
              <w:t>90%</w:t>
            </w:r>
          </w:p>
        </w:tc>
      </w:tr>
      <w:tr w:rsidR="00EF6AE6" w:rsidRPr="003C5536" w:rsidTr="00D43372">
        <w:trPr>
          <w:gridAfter w:val="1"/>
          <w:wAfter w:w="19" w:type="dxa"/>
          <w:trHeight w:val="160"/>
          <w:jc w:val="center"/>
        </w:trPr>
        <w:tc>
          <w:tcPr>
            <w:tcW w:w="2721" w:type="dxa"/>
            <w:vAlign w:val="center"/>
          </w:tcPr>
          <w:p w:rsidR="00EF6AE6" w:rsidRPr="003C5536" w:rsidRDefault="0062456A" w:rsidP="00D43372">
            <w:pPr>
              <w:autoSpaceDE/>
              <w:autoSpaceDN/>
              <w:rPr>
                <w:rFonts w:ascii="Garamond" w:eastAsia="Calibri" w:hAnsi="Garamond"/>
                <w:b/>
                <w:bCs/>
                <w:caps/>
                <w:sz w:val="16"/>
                <w:szCs w:val="16"/>
                <w:lang w:val="uz-Cyrl-UZ" w:eastAsia="en-US" w:bidi="ar-SA"/>
              </w:rPr>
            </w:pPr>
            <w:r w:rsidRPr="003C5536">
              <w:rPr>
                <w:rFonts w:ascii="Garamond" w:eastAsia="Calibri" w:hAnsi="Garamond"/>
                <w:b/>
                <w:bCs/>
                <w:caps/>
                <w:sz w:val="16"/>
                <w:szCs w:val="16"/>
                <w:lang w:val="uz-Cyrl-UZ" w:eastAsia="en-US" w:bidi="ar-SA"/>
              </w:rPr>
              <w:t>DATA ON VALUES ACHIEVED</w:t>
            </w:r>
          </w:p>
        </w:tc>
        <w:tc>
          <w:tcPr>
            <w:tcW w:w="1771" w:type="dxa"/>
            <w:vAlign w:val="center"/>
          </w:tcPr>
          <w:p w:rsidR="00EF6AE6" w:rsidRPr="003C5536" w:rsidRDefault="00EF6AE6" w:rsidP="00D43372">
            <w:pPr>
              <w:pStyle w:val="TabelaTekst"/>
              <w:spacing w:before="0" w:after="0" w:line="240" w:lineRule="auto"/>
              <w:jc w:val="center"/>
              <w:rPr>
                <w:rFonts w:ascii="Garamond" w:hAnsi="Garamond"/>
                <w:sz w:val="16"/>
                <w:szCs w:val="16"/>
              </w:rPr>
            </w:pPr>
            <w:r w:rsidRPr="003C5536">
              <w:rPr>
                <w:rFonts w:ascii="Garamond" w:hAnsi="Garamond"/>
                <w:sz w:val="16"/>
                <w:szCs w:val="16"/>
              </w:rPr>
              <w:t>82</w:t>
            </w:r>
          </w:p>
        </w:tc>
        <w:tc>
          <w:tcPr>
            <w:tcW w:w="1771" w:type="dxa"/>
            <w:vAlign w:val="center"/>
          </w:tcPr>
          <w:p w:rsidR="00EF6AE6" w:rsidRPr="003C5536" w:rsidRDefault="00EF6AE6" w:rsidP="00D43372">
            <w:pPr>
              <w:pStyle w:val="TabelaTekst"/>
              <w:spacing w:before="0" w:after="0" w:line="240" w:lineRule="auto"/>
              <w:jc w:val="center"/>
              <w:rPr>
                <w:rFonts w:ascii="Garamond" w:hAnsi="Garamond"/>
                <w:sz w:val="16"/>
                <w:szCs w:val="16"/>
              </w:rPr>
            </w:pPr>
            <w:r w:rsidRPr="003C5536">
              <w:rPr>
                <w:rFonts w:ascii="Garamond" w:hAnsi="Garamond"/>
                <w:sz w:val="16"/>
                <w:szCs w:val="16"/>
              </w:rPr>
              <w:t>91%</w:t>
            </w:r>
          </w:p>
          <w:p w:rsidR="00EF6AE6" w:rsidRPr="003C5536" w:rsidRDefault="00EF6AE6" w:rsidP="00D43372">
            <w:pPr>
              <w:pStyle w:val="TabelaTekst"/>
              <w:spacing w:before="0" w:after="0" w:line="240" w:lineRule="auto"/>
              <w:jc w:val="center"/>
              <w:rPr>
                <w:rFonts w:ascii="Garamond" w:hAnsi="Garamond"/>
                <w:sz w:val="16"/>
                <w:szCs w:val="16"/>
              </w:rPr>
            </w:pPr>
            <w:r w:rsidRPr="003C5536">
              <w:rPr>
                <w:rFonts w:ascii="Garamond" w:hAnsi="Garamond"/>
                <w:sz w:val="16"/>
                <w:szCs w:val="16"/>
              </w:rPr>
              <w:t>111%</w:t>
            </w:r>
            <w:r w:rsidRPr="003C5536">
              <w:rPr>
                <w:rStyle w:val="FootnoteReference"/>
                <w:rFonts w:ascii="Garamond" w:hAnsi="Garamond"/>
                <w:sz w:val="16"/>
                <w:szCs w:val="16"/>
              </w:rPr>
              <w:footnoteReference w:id="61"/>
            </w:r>
          </w:p>
        </w:tc>
        <w:tc>
          <w:tcPr>
            <w:tcW w:w="1771" w:type="dxa"/>
            <w:vAlign w:val="center"/>
          </w:tcPr>
          <w:p w:rsidR="00EF6AE6" w:rsidRPr="003C5536" w:rsidRDefault="00EF6AE6" w:rsidP="00D43372">
            <w:pPr>
              <w:pStyle w:val="TabelaTekst"/>
              <w:spacing w:before="0" w:after="0" w:line="240" w:lineRule="auto"/>
              <w:jc w:val="center"/>
              <w:rPr>
                <w:rFonts w:ascii="Garamond" w:hAnsi="Garamond"/>
                <w:sz w:val="16"/>
                <w:szCs w:val="16"/>
                <w:lang w:val="sr-Latn-CS"/>
              </w:rPr>
            </w:pPr>
            <w:r w:rsidRPr="003C5536">
              <w:rPr>
                <w:rFonts w:ascii="Garamond" w:hAnsi="Garamond"/>
                <w:sz w:val="16"/>
                <w:szCs w:val="16"/>
                <w:lang w:val="sr-Latn-CS"/>
              </w:rPr>
              <w:t>92%</w:t>
            </w:r>
          </w:p>
          <w:p w:rsidR="00EF6AE6" w:rsidRPr="003C5536" w:rsidRDefault="00F15F2D" w:rsidP="00D43372">
            <w:pPr>
              <w:pStyle w:val="TabelaTekst"/>
              <w:spacing w:before="0" w:after="0" w:line="240" w:lineRule="auto"/>
              <w:jc w:val="center"/>
              <w:rPr>
                <w:rFonts w:ascii="Garamond" w:hAnsi="Garamond"/>
                <w:sz w:val="16"/>
                <w:szCs w:val="16"/>
                <w:lang w:val="sr-Latn-CS"/>
              </w:rPr>
            </w:pPr>
            <w:r w:rsidRPr="003C5536">
              <w:rPr>
                <w:rFonts w:ascii="Garamond" w:hAnsi="Garamond"/>
                <w:sz w:val="16"/>
                <w:szCs w:val="16"/>
                <w:lang w:val="sr-Latn-CS"/>
              </w:rPr>
              <w:t>112.</w:t>
            </w:r>
            <w:r w:rsidR="00EF6AE6" w:rsidRPr="003C5536">
              <w:rPr>
                <w:rFonts w:ascii="Garamond" w:hAnsi="Garamond"/>
                <w:sz w:val="16"/>
                <w:szCs w:val="16"/>
                <w:lang w:val="sr-Latn-CS"/>
              </w:rPr>
              <w:t>3%</w:t>
            </w:r>
          </w:p>
        </w:tc>
        <w:tc>
          <w:tcPr>
            <w:tcW w:w="1523" w:type="dxa"/>
            <w:vAlign w:val="center"/>
          </w:tcPr>
          <w:p w:rsidR="00EF6AE6" w:rsidRPr="003C5536" w:rsidRDefault="00EF6AE6" w:rsidP="00D43372">
            <w:pPr>
              <w:pStyle w:val="TabelaTekst"/>
              <w:spacing w:before="0" w:after="0" w:line="240" w:lineRule="auto"/>
              <w:jc w:val="center"/>
              <w:rPr>
                <w:rFonts w:ascii="Garamond" w:hAnsi="Garamond" w:cstheme="minorHAnsi"/>
                <w:sz w:val="16"/>
                <w:szCs w:val="16"/>
                <w:lang w:val="en-US"/>
              </w:rPr>
            </w:pPr>
            <w:r w:rsidRPr="003C5536">
              <w:rPr>
                <w:rFonts w:ascii="Garamond" w:hAnsi="Garamond" w:cstheme="minorHAnsi"/>
                <w:sz w:val="16"/>
                <w:szCs w:val="16"/>
                <w:lang w:val="en-US"/>
              </w:rPr>
              <w:t>180.60%</w:t>
            </w:r>
          </w:p>
          <w:p w:rsidR="00EF6AE6" w:rsidRPr="003C5536" w:rsidRDefault="00EF6AE6" w:rsidP="00D43372">
            <w:pPr>
              <w:pStyle w:val="TabelaTekst"/>
              <w:spacing w:before="0" w:after="0" w:line="240" w:lineRule="auto"/>
              <w:jc w:val="center"/>
              <w:rPr>
                <w:rFonts w:ascii="Garamond" w:hAnsi="Garamond"/>
                <w:sz w:val="16"/>
                <w:szCs w:val="16"/>
              </w:rPr>
            </w:pPr>
            <w:r w:rsidRPr="003C5536">
              <w:rPr>
                <w:rFonts w:ascii="Garamond" w:hAnsi="Garamond" w:cstheme="minorHAnsi"/>
                <w:sz w:val="16"/>
                <w:szCs w:val="16"/>
                <w:lang w:val="en-US"/>
              </w:rPr>
              <w:t>107.6%</w:t>
            </w:r>
            <w:r w:rsidRPr="003C5536">
              <w:rPr>
                <w:rStyle w:val="FootnoteReference"/>
                <w:rFonts w:ascii="Garamond" w:hAnsi="Garamond" w:cstheme="minorHAnsi"/>
                <w:sz w:val="16"/>
                <w:szCs w:val="16"/>
                <w:lang w:val="en-US"/>
              </w:rPr>
              <w:footnoteReference w:id="62"/>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EF6AE6">
      <w:pPr>
        <w:pStyle w:val="Heading2"/>
        <w:rPr>
          <w:rFonts w:ascii="Garamond" w:hAnsi="Garamond"/>
          <w:sz w:val="24"/>
          <w:szCs w:val="24"/>
        </w:rPr>
      </w:pPr>
      <w:bookmarkStart w:id="45" w:name="_Toc77688222"/>
      <w:r w:rsidRPr="00C32887">
        <w:rPr>
          <w:rFonts w:ascii="Garamond" w:hAnsi="Garamond"/>
          <w:sz w:val="24"/>
          <w:szCs w:val="24"/>
        </w:rPr>
        <w:t>1.4     Improving models for macroeconomic projections</w:t>
      </w:r>
      <w:bookmarkEnd w:id="45"/>
    </w:p>
    <w:p w:rsidR="004D1343" w:rsidRPr="00C32887" w:rsidRDefault="004D1343" w:rsidP="004D1343">
      <w:pPr>
        <w:rPr>
          <w:rFonts w:ascii="Garamond" w:hAnsi="Garamond"/>
          <w:sz w:val="24"/>
          <w:szCs w:val="24"/>
        </w:rPr>
      </w:pPr>
    </w:p>
    <w:p w:rsidR="004D1343" w:rsidRPr="00C32887" w:rsidRDefault="004D1343" w:rsidP="00EF6AE6">
      <w:pPr>
        <w:pStyle w:val="Heading3"/>
        <w:rPr>
          <w:rFonts w:ascii="Garamond" w:hAnsi="Garamond"/>
          <w:sz w:val="24"/>
          <w:szCs w:val="24"/>
        </w:rPr>
      </w:pPr>
      <w:bookmarkStart w:id="46" w:name="_Toc77688223"/>
      <w:r w:rsidRPr="00C32887">
        <w:rPr>
          <w:rFonts w:ascii="Garamond" w:hAnsi="Garamond"/>
          <w:sz w:val="24"/>
          <w:szCs w:val="24"/>
        </w:rPr>
        <w:t>1.4.1      PERFORMANCE INDICATOR 9</w:t>
      </w:r>
      <w:r w:rsidR="00EF6AE6" w:rsidRPr="00EF6AE6">
        <w:rPr>
          <w:rFonts w:ascii="Garamond" w:hAnsi="Garamond"/>
          <w:sz w:val="24"/>
          <w:szCs w:val="24"/>
        </w:rPr>
        <w:t xml:space="preserve"> </w:t>
      </w:r>
      <w:r w:rsidR="00EF6AE6" w:rsidRPr="00C32887">
        <w:rPr>
          <w:rFonts w:ascii="Garamond" w:hAnsi="Garamond"/>
          <w:sz w:val="24"/>
          <w:szCs w:val="24"/>
        </w:rPr>
        <w:t>PASSPORT</w:t>
      </w:r>
      <w:bookmarkEnd w:id="46"/>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D43372" w:rsidRPr="00A42076" w:rsidTr="00D43372">
        <w:trPr>
          <w:jc w:val="center"/>
        </w:trPr>
        <w:tc>
          <w:tcPr>
            <w:tcW w:w="2721" w:type="dxa"/>
            <w:tcBorders>
              <w:right w:val="single" w:sz="4" w:space="0" w:color="FFFFFF"/>
            </w:tcBorders>
            <w:shd w:val="clear" w:color="auto" w:fill="BFBFBF"/>
            <w:vAlign w:val="center"/>
          </w:tcPr>
          <w:p w:rsidR="00D43372" w:rsidRPr="00A42076" w:rsidRDefault="00D43372" w:rsidP="00D43372">
            <w:pPr>
              <w:autoSpaceDE/>
              <w:autoSpaceDN/>
              <w:rPr>
                <w:rFonts w:ascii="Garamond" w:eastAsia="Calibri" w:hAnsi="Garamond"/>
                <w:b/>
                <w:caps/>
                <w:sz w:val="16"/>
                <w:szCs w:val="16"/>
                <w:lang w:val="en-GB" w:eastAsia="en-US" w:bidi="ar-SA"/>
              </w:rPr>
            </w:pPr>
            <w:r w:rsidRPr="00A42076">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D43372" w:rsidRPr="00A42076" w:rsidRDefault="00D43372" w:rsidP="00D43372">
            <w:pPr>
              <w:pStyle w:val="Default"/>
              <w:jc w:val="both"/>
              <w:rPr>
                <w:rFonts w:ascii="Garamond" w:eastAsia="Calibri" w:hAnsi="Garamond"/>
                <w:b/>
                <w:sz w:val="16"/>
                <w:szCs w:val="16"/>
                <w:lang w:eastAsia="en-US"/>
              </w:rPr>
            </w:pPr>
            <w:r w:rsidRPr="00A42076">
              <w:rPr>
                <w:rFonts w:ascii="Garamond" w:hAnsi="Garamond"/>
                <w:iCs/>
                <w:sz w:val="16"/>
                <w:szCs w:val="16"/>
              </w:rPr>
              <w:t xml:space="preserve">Staged implementation of the upgraded model for macroeconomic projections and structural reform impacts </w:t>
            </w:r>
          </w:p>
        </w:tc>
      </w:tr>
      <w:tr w:rsidR="00D43372" w:rsidRPr="00A42076" w:rsidTr="00D43372">
        <w:trPr>
          <w:gridAfter w:val="1"/>
          <w:wAfter w:w="19" w:type="dxa"/>
          <w:jc w:val="center"/>
        </w:trPr>
        <w:tc>
          <w:tcPr>
            <w:tcW w:w="2721" w:type="dxa"/>
            <w:vAlign w:val="center"/>
          </w:tcPr>
          <w:p w:rsidR="00D43372" w:rsidRPr="00A42076" w:rsidRDefault="00D43372" w:rsidP="00D43372">
            <w:pPr>
              <w:autoSpaceDE/>
              <w:autoSpaceDN/>
              <w:rPr>
                <w:rFonts w:ascii="Garamond" w:eastAsia="Calibri" w:hAnsi="Garamond"/>
                <w:b/>
                <w:caps/>
                <w:sz w:val="16"/>
                <w:szCs w:val="16"/>
                <w:lang w:val="en-GB" w:eastAsia="en-US" w:bidi="ar-SA"/>
              </w:rPr>
            </w:pPr>
            <w:r w:rsidRPr="00A42076">
              <w:rPr>
                <w:rFonts w:ascii="Garamond" w:eastAsia="Calibri" w:hAnsi="Garamond"/>
                <w:b/>
                <w:caps/>
                <w:sz w:val="16"/>
                <w:szCs w:val="16"/>
                <w:lang w:val="en-GB" w:eastAsia="en-US" w:bidi="ar-SA"/>
              </w:rPr>
              <w:t>corresponding objective or activity</w:t>
            </w:r>
          </w:p>
        </w:tc>
        <w:tc>
          <w:tcPr>
            <w:tcW w:w="6836" w:type="dxa"/>
            <w:gridSpan w:val="4"/>
            <w:vAlign w:val="center"/>
          </w:tcPr>
          <w:p w:rsidR="00D43372" w:rsidRPr="00A42076" w:rsidRDefault="00D43372" w:rsidP="00D43372">
            <w:pPr>
              <w:rPr>
                <w:rFonts w:ascii="Garamond" w:hAnsi="Garamond"/>
                <w:color w:val="365F91" w:themeColor="accent1" w:themeShade="BF"/>
                <w:sz w:val="16"/>
                <w:szCs w:val="16"/>
              </w:rPr>
            </w:pPr>
            <w:r w:rsidRPr="00A42076">
              <w:rPr>
                <w:rFonts w:ascii="Garamond" w:hAnsi="Garamond"/>
                <w:color w:val="365F91" w:themeColor="accent1" w:themeShade="BF"/>
                <w:sz w:val="16"/>
                <w:szCs w:val="16"/>
              </w:rPr>
              <w:t>Sustainable fiscal framework, public expenditure planning and budgeting</w:t>
            </w:r>
          </w:p>
          <w:p w:rsidR="00BA23F0" w:rsidRPr="00A42076" w:rsidRDefault="00BA23F0" w:rsidP="00BA23F0">
            <w:pPr>
              <w:pStyle w:val="ListParagraph"/>
              <w:numPr>
                <w:ilvl w:val="0"/>
                <w:numId w:val="28"/>
              </w:numPr>
              <w:rPr>
                <w:rFonts w:ascii="Garamond" w:hAnsi="Garamond"/>
                <w:color w:val="365F91" w:themeColor="accent1" w:themeShade="BF"/>
                <w:sz w:val="16"/>
                <w:szCs w:val="16"/>
                <w:u w:val="single"/>
              </w:rPr>
            </w:pPr>
            <w:r w:rsidRPr="00A42076">
              <w:rPr>
                <w:rFonts w:ascii="Garamond" w:hAnsi="Garamond"/>
                <w:color w:val="365F91" w:themeColor="accent1" w:themeShade="BF"/>
                <w:sz w:val="16"/>
                <w:szCs w:val="16"/>
                <w:u w:val="single"/>
              </w:rPr>
              <w:t>Upgrade the model for macroeconomic projections</w:t>
            </w:r>
          </w:p>
          <w:p w:rsidR="00D43372" w:rsidRPr="00A42076" w:rsidRDefault="00BA23F0" w:rsidP="00D43372">
            <w:pPr>
              <w:rPr>
                <w:rFonts w:ascii="Garamond" w:eastAsia="Calibri" w:hAnsi="Garamond"/>
                <w:color w:val="000000" w:themeColor="text1"/>
                <w:sz w:val="16"/>
                <w:szCs w:val="16"/>
                <w:lang w:eastAsia="en-US" w:bidi="ar-SA"/>
              </w:rPr>
            </w:pPr>
            <w:r w:rsidRPr="00A42076">
              <w:rPr>
                <w:rFonts w:ascii="Garamond" w:eastAsia="Calibri" w:hAnsi="Garamond"/>
                <w:color w:val="000000" w:themeColor="text1"/>
                <w:sz w:val="16"/>
                <w:szCs w:val="16"/>
                <w:lang w:eastAsia="en-US" w:bidi="ar-SA"/>
              </w:rPr>
              <w:t>Improved projections of macroeconomic indicators as the basis for public finance projections and drafting the Budget Law, as well as other significant strategic documents.</w:t>
            </w:r>
          </w:p>
        </w:tc>
      </w:tr>
      <w:tr w:rsidR="00D43372" w:rsidRPr="00A42076" w:rsidTr="00D43372">
        <w:trPr>
          <w:gridAfter w:val="1"/>
          <w:wAfter w:w="19" w:type="dxa"/>
          <w:jc w:val="center"/>
        </w:trPr>
        <w:tc>
          <w:tcPr>
            <w:tcW w:w="2721" w:type="dxa"/>
            <w:vAlign w:val="center"/>
          </w:tcPr>
          <w:p w:rsidR="00D43372" w:rsidRPr="00A42076" w:rsidRDefault="00D43372" w:rsidP="00D43372">
            <w:pPr>
              <w:autoSpaceDE/>
              <w:autoSpaceDN/>
              <w:rPr>
                <w:rFonts w:ascii="Garamond" w:eastAsia="Calibri" w:hAnsi="Garamond"/>
                <w:b/>
                <w:caps/>
                <w:sz w:val="16"/>
                <w:szCs w:val="16"/>
                <w:lang w:val="uz-Cyrl-UZ" w:eastAsia="en-US" w:bidi="ar-SA"/>
              </w:rPr>
            </w:pPr>
            <w:r w:rsidRPr="00A42076">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BA23F0" w:rsidRPr="00A42076" w:rsidRDefault="00BA23F0" w:rsidP="00BA23F0">
            <w:pPr>
              <w:jc w:val="both"/>
              <w:rPr>
                <w:rFonts w:ascii="Garamond" w:hAnsi="Garamond"/>
                <w:sz w:val="16"/>
                <w:szCs w:val="16"/>
              </w:rPr>
            </w:pPr>
            <w:r w:rsidRPr="00A42076">
              <w:rPr>
                <w:rFonts w:ascii="Garamond" w:hAnsi="Garamond"/>
                <w:sz w:val="16"/>
                <w:szCs w:val="16"/>
              </w:rPr>
              <w:t xml:space="preserve">Data for </w:t>
            </w:r>
            <w:r w:rsidR="00A42076">
              <w:rPr>
                <w:rFonts w:ascii="Garamond" w:hAnsi="Garamond"/>
                <w:sz w:val="16"/>
                <w:szCs w:val="16"/>
              </w:rPr>
              <w:t>indicator</w:t>
            </w:r>
            <w:r w:rsidRPr="00A42076">
              <w:rPr>
                <w:rFonts w:ascii="Garamond" w:hAnsi="Garamond"/>
                <w:sz w:val="16"/>
                <w:szCs w:val="16"/>
              </w:rPr>
              <w:t xml:space="preserve"> </w:t>
            </w:r>
            <w:r w:rsidR="00A42076" w:rsidRPr="00A42076">
              <w:rPr>
                <w:rFonts w:ascii="Garamond" w:hAnsi="Garamond"/>
                <w:sz w:val="16"/>
                <w:szCs w:val="16"/>
              </w:rPr>
              <w:t xml:space="preserve">monitoring </w:t>
            </w:r>
            <w:r w:rsidRPr="00A42076">
              <w:rPr>
                <w:rFonts w:ascii="Garamond" w:hAnsi="Garamond"/>
                <w:sz w:val="16"/>
                <w:szCs w:val="16"/>
              </w:rPr>
              <w:t>are collected at the national level, through the implementation of projections incorporated in documents of national importance:</w:t>
            </w:r>
          </w:p>
          <w:p w:rsidR="00BA23F0" w:rsidRPr="00A42076" w:rsidRDefault="00BA23F0" w:rsidP="00BA23F0">
            <w:pPr>
              <w:jc w:val="both"/>
              <w:rPr>
                <w:rFonts w:ascii="Garamond" w:hAnsi="Garamond"/>
                <w:sz w:val="16"/>
                <w:szCs w:val="16"/>
              </w:rPr>
            </w:pPr>
            <w:r w:rsidRPr="00A42076">
              <w:rPr>
                <w:rFonts w:ascii="Garamond" w:hAnsi="Garamond"/>
                <w:sz w:val="16"/>
                <w:szCs w:val="16"/>
              </w:rPr>
              <w:t>Economic Reform Programme;</w:t>
            </w:r>
          </w:p>
          <w:p w:rsidR="00BA23F0" w:rsidRPr="00A42076" w:rsidRDefault="00BA23F0" w:rsidP="00BA23F0">
            <w:pPr>
              <w:jc w:val="both"/>
              <w:rPr>
                <w:rFonts w:ascii="Garamond" w:hAnsi="Garamond"/>
                <w:sz w:val="16"/>
                <w:szCs w:val="16"/>
              </w:rPr>
            </w:pPr>
            <w:r w:rsidRPr="00A42076">
              <w:rPr>
                <w:rFonts w:ascii="Garamond" w:hAnsi="Garamond"/>
                <w:sz w:val="16"/>
                <w:szCs w:val="16"/>
              </w:rPr>
              <w:t>Macroeconomic and Fiscal Policy Guidelines:</w:t>
            </w:r>
          </w:p>
          <w:p w:rsidR="00D43372" w:rsidRPr="00A42076" w:rsidRDefault="00BA23F0" w:rsidP="00BA23F0">
            <w:pPr>
              <w:jc w:val="both"/>
              <w:rPr>
                <w:rFonts w:ascii="Garamond" w:eastAsia="Calibri" w:hAnsi="Garamond"/>
                <w:sz w:val="16"/>
                <w:szCs w:val="16"/>
                <w:lang w:eastAsia="en-US" w:bidi="ar-SA"/>
              </w:rPr>
            </w:pPr>
            <w:r w:rsidRPr="00A42076">
              <w:rPr>
                <w:rFonts w:ascii="Garamond" w:hAnsi="Garamond"/>
                <w:sz w:val="16"/>
                <w:szCs w:val="16"/>
              </w:rPr>
              <w:t>Updated Macroeconomic and Fiscal Indicator Projections</w:t>
            </w:r>
          </w:p>
        </w:tc>
      </w:tr>
      <w:tr w:rsidR="00D43372" w:rsidRPr="00A42076" w:rsidTr="00D43372">
        <w:trPr>
          <w:gridAfter w:val="1"/>
          <w:wAfter w:w="19" w:type="dxa"/>
          <w:jc w:val="center"/>
        </w:trPr>
        <w:tc>
          <w:tcPr>
            <w:tcW w:w="2721" w:type="dxa"/>
            <w:vAlign w:val="center"/>
          </w:tcPr>
          <w:p w:rsidR="00D43372" w:rsidRPr="00A42076" w:rsidRDefault="00D43372" w:rsidP="00D43372">
            <w:pPr>
              <w:autoSpaceDE/>
              <w:autoSpaceDN/>
              <w:rPr>
                <w:rFonts w:ascii="Garamond" w:eastAsia="Calibri" w:hAnsi="Garamond"/>
                <w:b/>
                <w:caps/>
                <w:sz w:val="16"/>
                <w:szCs w:val="16"/>
                <w:lang w:val="uz-Cyrl-UZ" w:eastAsia="en-US" w:bidi="ar-SA"/>
              </w:rPr>
            </w:pPr>
            <w:r w:rsidRPr="00A42076">
              <w:rPr>
                <w:rFonts w:ascii="Garamond" w:eastAsia="Calibri" w:hAnsi="Garamond"/>
                <w:b/>
                <w:caps/>
                <w:sz w:val="16"/>
                <w:szCs w:val="16"/>
                <w:lang w:val="uz-Cyrl-UZ" w:eastAsia="en-US" w:bidi="ar-SA"/>
              </w:rPr>
              <w:t>NAME OF DATA COLLECTION HOLDER</w:t>
            </w:r>
          </w:p>
        </w:tc>
        <w:tc>
          <w:tcPr>
            <w:tcW w:w="6836" w:type="dxa"/>
            <w:gridSpan w:val="4"/>
            <w:vAlign w:val="center"/>
          </w:tcPr>
          <w:p w:rsidR="00BA23F0" w:rsidRPr="00A42076" w:rsidRDefault="00BA23F0" w:rsidP="00BA23F0">
            <w:pPr>
              <w:rPr>
                <w:rFonts w:ascii="Garamond" w:hAnsi="Garamond"/>
                <w:sz w:val="16"/>
                <w:szCs w:val="16"/>
              </w:rPr>
            </w:pPr>
            <w:r w:rsidRPr="00A42076">
              <w:rPr>
                <w:rFonts w:ascii="Garamond" w:hAnsi="Garamond"/>
                <w:sz w:val="16"/>
                <w:szCs w:val="16"/>
              </w:rPr>
              <w:t>Ministry of Finance and Social Welfare, Directorate for Economic Policy and Development</w:t>
            </w:r>
          </w:p>
          <w:p w:rsidR="00BA23F0" w:rsidRPr="00A42076" w:rsidRDefault="00BA23F0" w:rsidP="00BA23F0">
            <w:pPr>
              <w:rPr>
                <w:rFonts w:ascii="Garamond" w:hAnsi="Garamond"/>
                <w:sz w:val="16"/>
                <w:szCs w:val="16"/>
              </w:rPr>
            </w:pPr>
            <w:r w:rsidRPr="00A42076">
              <w:rPr>
                <w:rFonts w:ascii="Garamond" w:hAnsi="Garamond"/>
                <w:sz w:val="16"/>
                <w:szCs w:val="16"/>
              </w:rPr>
              <w:t>Iva Vuković, Director General of the Directorate for Economic Policy and Development</w:t>
            </w:r>
          </w:p>
          <w:p w:rsidR="00BA23F0" w:rsidRPr="00A42076" w:rsidRDefault="00BA23F0" w:rsidP="00BA23F0">
            <w:pPr>
              <w:rPr>
                <w:rFonts w:ascii="Garamond" w:hAnsi="Garamond"/>
                <w:sz w:val="16"/>
                <w:szCs w:val="16"/>
              </w:rPr>
            </w:pPr>
            <w:r w:rsidRPr="00A42076">
              <w:rPr>
                <w:rFonts w:ascii="Garamond" w:hAnsi="Garamond"/>
                <w:sz w:val="16"/>
                <w:szCs w:val="16"/>
              </w:rPr>
              <w:t>iva.vukovic@mif.gov.me</w:t>
            </w:r>
          </w:p>
          <w:p w:rsidR="00D43372" w:rsidRPr="00A42076" w:rsidRDefault="00BA23F0" w:rsidP="00BA23F0">
            <w:pPr>
              <w:rPr>
                <w:rFonts w:ascii="Garamond" w:eastAsia="Calibri" w:hAnsi="Garamond"/>
                <w:sz w:val="16"/>
                <w:szCs w:val="16"/>
                <w:lang w:eastAsia="en-US" w:bidi="ar-SA"/>
              </w:rPr>
            </w:pPr>
            <w:r w:rsidRPr="00A42076">
              <w:rPr>
                <w:rFonts w:ascii="Garamond" w:hAnsi="Garamond"/>
                <w:sz w:val="16"/>
                <w:szCs w:val="16"/>
              </w:rPr>
              <w:t>Phone: 069820921</w:t>
            </w:r>
          </w:p>
        </w:tc>
      </w:tr>
      <w:tr w:rsidR="00D43372" w:rsidRPr="00A42076" w:rsidTr="00D43372">
        <w:trPr>
          <w:gridAfter w:val="1"/>
          <w:wAfter w:w="19" w:type="dxa"/>
          <w:jc w:val="center"/>
        </w:trPr>
        <w:tc>
          <w:tcPr>
            <w:tcW w:w="2721" w:type="dxa"/>
            <w:vAlign w:val="center"/>
          </w:tcPr>
          <w:p w:rsidR="00D43372" w:rsidRPr="00A42076" w:rsidRDefault="00D43372" w:rsidP="00D43372">
            <w:pPr>
              <w:autoSpaceDE/>
              <w:autoSpaceDN/>
              <w:rPr>
                <w:rFonts w:ascii="Garamond" w:eastAsia="Calibri" w:hAnsi="Garamond"/>
                <w:b/>
                <w:caps/>
                <w:sz w:val="16"/>
                <w:szCs w:val="16"/>
                <w:lang w:val="uz-Cyrl-UZ" w:eastAsia="en-US" w:bidi="ar-SA"/>
              </w:rPr>
            </w:pPr>
            <w:r w:rsidRPr="00A42076">
              <w:rPr>
                <w:rFonts w:ascii="Garamond" w:eastAsia="Calibri" w:hAnsi="Garamond"/>
                <w:b/>
                <w:caps/>
                <w:sz w:val="16"/>
                <w:szCs w:val="16"/>
                <w:lang w:val="uz-Cyrl-UZ" w:eastAsia="en-US" w:bidi="ar-SA"/>
              </w:rPr>
              <w:t>FREQUENCY OF DATA PUBLICATION</w:t>
            </w:r>
          </w:p>
        </w:tc>
        <w:tc>
          <w:tcPr>
            <w:tcW w:w="6836" w:type="dxa"/>
            <w:gridSpan w:val="4"/>
            <w:vAlign w:val="center"/>
          </w:tcPr>
          <w:p w:rsidR="00D43372" w:rsidRPr="00A42076" w:rsidRDefault="00BA23F0" w:rsidP="00D43372">
            <w:pPr>
              <w:rPr>
                <w:rFonts w:ascii="Garamond" w:eastAsia="Calibri" w:hAnsi="Garamond"/>
                <w:sz w:val="16"/>
                <w:szCs w:val="16"/>
                <w:lang w:eastAsia="en-US" w:bidi="ar-SA"/>
              </w:rPr>
            </w:pPr>
            <w:r w:rsidRPr="00A42076">
              <w:rPr>
                <w:rFonts w:ascii="Garamond" w:hAnsi="Garamond"/>
                <w:sz w:val="16"/>
                <w:szCs w:val="16"/>
              </w:rPr>
              <w:t>Each of these documents is published once a year, and refers to the medium term.</w:t>
            </w:r>
          </w:p>
        </w:tc>
      </w:tr>
      <w:tr w:rsidR="00D43372" w:rsidRPr="00A42076" w:rsidTr="00D43372">
        <w:trPr>
          <w:gridAfter w:val="1"/>
          <w:wAfter w:w="19" w:type="dxa"/>
          <w:trHeight w:val="458"/>
          <w:jc w:val="center"/>
        </w:trPr>
        <w:tc>
          <w:tcPr>
            <w:tcW w:w="2721" w:type="dxa"/>
            <w:vMerge w:val="restart"/>
            <w:vAlign w:val="center"/>
          </w:tcPr>
          <w:p w:rsidR="00D43372" w:rsidRPr="00A42076" w:rsidRDefault="00D43372" w:rsidP="00D43372">
            <w:pPr>
              <w:autoSpaceDE/>
              <w:autoSpaceDN/>
              <w:rPr>
                <w:rFonts w:ascii="Garamond" w:eastAsia="Calibri" w:hAnsi="Garamond"/>
                <w:b/>
                <w:caps/>
                <w:sz w:val="16"/>
                <w:szCs w:val="16"/>
                <w:lang w:val="uz-Cyrl-UZ" w:eastAsia="en-US" w:bidi="ar-SA"/>
              </w:rPr>
            </w:pPr>
            <w:r w:rsidRPr="00A42076">
              <w:rPr>
                <w:rFonts w:ascii="Garamond" w:eastAsia="Calibri" w:hAnsi="Garamond"/>
                <w:b/>
                <w:caps/>
                <w:sz w:val="16"/>
                <w:szCs w:val="16"/>
                <w:lang w:val="uz-Cyrl-UZ" w:eastAsia="en-US" w:bidi="ar-SA"/>
              </w:rPr>
              <w:t xml:space="preserve">BRIEF DESCRIPTION </w:t>
            </w:r>
            <w:r w:rsidRPr="00A42076">
              <w:rPr>
                <w:rFonts w:ascii="Garamond" w:eastAsia="Calibri" w:hAnsi="Garamond"/>
                <w:b/>
                <w:caps/>
                <w:sz w:val="16"/>
                <w:szCs w:val="16"/>
                <w:lang w:val="en-GB" w:eastAsia="en-US" w:bidi="ar-SA"/>
              </w:rPr>
              <w:t xml:space="preserve">OF </w:t>
            </w:r>
            <w:r w:rsidRPr="00A42076">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BA23F0" w:rsidRPr="00A42076" w:rsidRDefault="00BA23F0" w:rsidP="00BA23F0">
            <w:pPr>
              <w:jc w:val="both"/>
              <w:rPr>
                <w:rFonts w:ascii="Garamond" w:hAnsi="Garamond"/>
                <w:sz w:val="16"/>
                <w:szCs w:val="16"/>
              </w:rPr>
            </w:pPr>
            <w:r w:rsidRPr="00A42076">
              <w:rPr>
                <w:rFonts w:ascii="Garamond" w:hAnsi="Garamond"/>
                <w:sz w:val="16"/>
                <w:szCs w:val="16"/>
              </w:rPr>
              <w:t xml:space="preserve">A new macroeconomic model has been developed </w:t>
            </w:r>
            <w:r w:rsidR="00793320" w:rsidRPr="00A42076">
              <w:rPr>
                <w:rFonts w:ascii="Garamond" w:hAnsi="Garamond"/>
                <w:sz w:val="16"/>
                <w:szCs w:val="16"/>
              </w:rPr>
              <w:t xml:space="preserve">based </w:t>
            </w:r>
            <w:r w:rsidRPr="00A42076">
              <w:rPr>
                <w:rFonts w:ascii="Garamond" w:hAnsi="Garamond"/>
                <w:sz w:val="16"/>
                <w:szCs w:val="16"/>
              </w:rPr>
              <w:t>on an econometric approach and the economy is viewed through four sectors: real, external, monetary and fiscal. The model will contain mechanisms that enable the inclusion of long-term effects of structural policies on aggregate supply, as well as the short-term impact on demand.</w:t>
            </w:r>
          </w:p>
          <w:p w:rsidR="00D43372" w:rsidRPr="00A42076" w:rsidRDefault="00BA23F0" w:rsidP="00BA23F0">
            <w:pPr>
              <w:jc w:val="both"/>
              <w:rPr>
                <w:rFonts w:ascii="Garamond" w:eastAsia="Calibri" w:hAnsi="Garamond"/>
                <w:sz w:val="16"/>
                <w:szCs w:val="16"/>
                <w:lang w:eastAsia="en-US" w:bidi="ar-SA"/>
              </w:rPr>
            </w:pPr>
            <w:r w:rsidRPr="00A42076">
              <w:rPr>
                <w:rFonts w:ascii="Garamond" w:hAnsi="Garamond"/>
                <w:sz w:val="16"/>
                <w:szCs w:val="16"/>
              </w:rPr>
              <w:t>The developed Montenegrin macroeconomic model will consist of: 1) a forecasting module, which will be used to generate projected values of macroeconomic indicators for the purpose of developing the baseline scenario; 2) impact assessment modules to be used for policy simulations based on different policy scenarios (what if analysis)</w:t>
            </w:r>
          </w:p>
        </w:tc>
      </w:tr>
      <w:tr w:rsidR="00D43372" w:rsidRPr="00A42076" w:rsidTr="00D43372">
        <w:trPr>
          <w:gridAfter w:val="1"/>
          <w:wAfter w:w="19" w:type="dxa"/>
          <w:trHeight w:val="620"/>
          <w:jc w:val="center"/>
        </w:trPr>
        <w:tc>
          <w:tcPr>
            <w:tcW w:w="2721" w:type="dxa"/>
            <w:vMerge/>
            <w:shd w:val="clear" w:color="auto" w:fill="auto"/>
            <w:vAlign w:val="center"/>
          </w:tcPr>
          <w:p w:rsidR="00D43372" w:rsidRPr="00A42076" w:rsidRDefault="00D43372" w:rsidP="00D43372">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D43372" w:rsidRPr="00A42076" w:rsidRDefault="00D43372" w:rsidP="00D43372">
            <w:pPr>
              <w:jc w:val="center"/>
              <w:rPr>
                <w:rFonts w:ascii="Garamond" w:hAnsi="Garamond"/>
                <w:color w:val="365F91" w:themeColor="accent1" w:themeShade="BF"/>
                <w:sz w:val="16"/>
                <w:szCs w:val="16"/>
              </w:rPr>
            </w:pPr>
            <w:r w:rsidRPr="00A42076">
              <w:rPr>
                <w:rFonts w:ascii="Garamond" w:hAnsi="Garamond"/>
                <w:color w:val="365F91" w:themeColor="accent1" w:themeShade="BF"/>
                <w:sz w:val="16"/>
                <w:szCs w:val="16"/>
              </w:rPr>
              <w:t>FORMULA / EQUATION</w:t>
            </w:r>
          </w:p>
          <w:p w:rsidR="00D43372" w:rsidRPr="00A42076" w:rsidRDefault="00BA23F0" w:rsidP="00BA23F0">
            <w:pPr>
              <w:jc w:val="center"/>
              <w:rPr>
                <w:rFonts w:ascii="Garamond" w:eastAsia="Calibri" w:hAnsi="Garamond"/>
                <w:sz w:val="16"/>
                <w:szCs w:val="16"/>
                <w:lang w:eastAsia="en-US" w:bidi="ar-SA"/>
              </w:rPr>
            </w:pPr>
            <w:r w:rsidRPr="00A42076">
              <w:rPr>
                <w:rFonts w:ascii="Garamond" w:eastAsia="游明朝" w:hAnsi="Garamond" w:cs="Times New Roman"/>
                <w:sz w:val="16"/>
                <w:szCs w:val="16"/>
                <w:lang w:val="sr-Latn-CS" w:eastAsia="en-US" w:bidi="ar-SA"/>
              </w:rPr>
              <w:t>n/a</w:t>
            </w:r>
          </w:p>
        </w:tc>
      </w:tr>
      <w:tr w:rsidR="00D43372" w:rsidRPr="00A42076" w:rsidTr="00D43372">
        <w:trPr>
          <w:gridAfter w:val="1"/>
          <w:wAfter w:w="19" w:type="dxa"/>
          <w:trHeight w:val="585"/>
          <w:jc w:val="center"/>
        </w:trPr>
        <w:tc>
          <w:tcPr>
            <w:tcW w:w="2721" w:type="dxa"/>
            <w:vAlign w:val="center"/>
          </w:tcPr>
          <w:p w:rsidR="00D43372" w:rsidRPr="00A42076" w:rsidRDefault="00D43372" w:rsidP="00D43372">
            <w:pPr>
              <w:autoSpaceDE/>
              <w:autoSpaceDN/>
              <w:rPr>
                <w:rFonts w:ascii="Garamond" w:eastAsia="Calibri" w:hAnsi="Garamond"/>
                <w:b/>
                <w:bCs/>
                <w:caps/>
                <w:sz w:val="16"/>
                <w:szCs w:val="16"/>
                <w:lang w:val="en-GB" w:eastAsia="en-US" w:bidi="ar-SA"/>
              </w:rPr>
            </w:pPr>
            <w:r w:rsidRPr="00A42076">
              <w:rPr>
                <w:rFonts w:ascii="Garamond" w:eastAsia="Calibri" w:hAnsi="Garamond"/>
                <w:b/>
                <w:caps/>
                <w:sz w:val="16"/>
                <w:szCs w:val="16"/>
                <w:lang w:val="uz-Cyrl-UZ" w:eastAsia="en-US" w:bidi="ar-SA"/>
              </w:rPr>
              <w:t>BASELINE</w:t>
            </w:r>
            <w:r w:rsidRPr="00A42076">
              <w:rPr>
                <w:rFonts w:ascii="Garamond" w:eastAsia="Calibri" w:hAnsi="Garamond"/>
                <w:b/>
                <w:caps/>
                <w:sz w:val="16"/>
                <w:szCs w:val="16"/>
                <w:lang w:val="en-GB" w:eastAsia="en-US" w:bidi="ar-SA"/>
              </w:rPr>
              <w:t xml:space="preserve"> DATA</w:t>
            </w:r>
          </w:p>
        </w:tc>
        <w:tc>
          <w:tcPr>
            <w:tcW w:w="6836" w:type="dxa"/>
            <w:gridSpan w:val="4"/>
            <w:vAlign w:val="center"/>
          </w:tcPr>
          <w:p w:rsidR="00D43372" w:rsidRPr="00A42076" w:rsidRDefault="00D43372" w:rsidP="00BA23F0">
            <w:pPr>
              <w:autoSpaceDE/>
              <w:autoSpaceDN/>
              <w:jc w:val="both"/>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 xml:space="preserve">PV (2014): </w:t>
            </w:r>
            <w:r w:rsidR="00BA23F0" w:rsidRPr="00A42076">
              <w:rPr>
                <w:rFonts w:ascii="Garamond" w:eastAsia="Calibri" w:hAnsi="Garamond"/>
                <w:sz w:val="16"/>
                <w:szCs w:val="16"/>
                <w:lang w:val="uz-Cyrl-UZ" w:eastAsia="en-US" w:bidi="ar-SA"/>
              </w:rPr>
              <w:t>The existing model used in the Directorate for Economic and Development Policy is based on the financial programming model, and the projection of certain parameters is based on expert assessment.</w:t>
            </w:r>
          </w:p>
        </w:tc>
      </w:tr>
      <w:tr w:rsidR="00D43372" w:rsidRPr="00A42076" w:rsidTr="00D43372">
        <w:trPr>
          <w:gridAfter w:val="1"/>
          <w:wAfter w:w="19" w:type="dxa"/>
          <w:trHeight w:val="160"/>
          <w:jc w:val="center"/>
        </w:trPr>
        <w:tc>
          <w:tcPr>
            <w:tcW w:w="2721" w:type="dxa"/>
            <w:vMerge w:val="restart"/>
            <w:vAlign w:val="center"/>
          </w:tcPr>
          <w:p w:rsidR="00D43372" w:rsidRPr="00A42076" w:rsidRDefault="00D43372" w:rsidP="00D43372">
            <w:pPr>
              <w:autoSpaceDE/>
              <w:autoSpaceDN/>
              <w:rPr>
                <w:rFonts w:ascii="Garamond" w:eastAsia="Calibri" w:hAnsi="Garamond"/>
                <w:b/>
                <w:bCs/>
                <w:caps/>
                <w:sz w:val="16"/>
                <w:szCs w:val="16"/>
                <w:lang w:val="uz-Cyrl-UZ" w:eastAsia="en-US" w:bidi="ar-SA"/>
              </w:rPr>
            </w:pPr>
            <w:r w:rsidRPr="00A42076">
              <w:rPr>
                <w:rFonts w:ascii="Garamond" w:eastAsia="Calibri" w:hAnsi="Garamond"/>
                <w:b/>
                <w:caps/>
                <w:sz w:val="16"/>
                <w:szCs w:val="16"/>
                <w:lang w:val="uz-Cyrl-UZ" w:eastAsia="en-US" w:bidi="ar-SA"/>
              </w:rPr>
              <w:t>TARGET VALUE DATA</w:t>
            </w:r>
          </w:p>
        </w:tc>
        <w:tc>
          <w:tcPr>
            <w:tcW w:w="1771" w:type="dxa"/>
            <w:vAlign w:val="center"/>
          </w:tcPr>
          <w:p w:rsidR="00D43372" w:rsidRPr="00A42076" w:rsidRDefault="00D43372" w:rsidP="00D43372">
            <w:pPr>
              <w:autoSpaceDE/>
              <w:autoSpaceDN/>
              <w:jc w:val="center"/>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2017</w:t>
            </w:r>
          </w:p>
        </w:tc>
        <w:tc>
          <w:tcPr>
            <w:tcW w:w="1771" w:type="dxa"/>
            <w:vAlign w:val="center"/>
          </w:tcPr>
          <w:p w:rsidR="00D43372" w:rsidRPr="00A42076" w:rsidRDefault="00D43372" w:rsidP="00D43372">
            <w:pPr>
              <w:autoSpaceDE/>
              <w:autoSpaceDN/>
              <w:jc w:val="center"/>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2018</w:t>
            </w:r>
          </w:p>
        </w:tc>
        <w:tc>
          <w:tcPr>
            <w:tcW w:w="1771" w:type="dxa"/>
            <w:vAlign w:val="center"/>
          </w:tcPr>
          <w:p w:rsidR="00D43372" w:rsidRPr="00A42076" w:rsidRDefault="00D43372" w:rsidP="00D43372">
            <w:pPr>
              <w:autoSpaceDE/>
              <w:autoSpaceDN/>
              <w:jc w:val="center"/>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2019</w:t>
            </w:r>
          </w:p>
        </w:tc>
        <w:tc>
          <w:tcPr>
            <w:tcW w:w="1523" w:type="dxa"/>
            <w:vAlign w:val="center"/>
          </w:tcPr>
          <w:p w:rsidR="00D43372" w:rsidRPr="00A42076" w:rsidRDefault="00D43372" w:rsidP="00D43372">
            <w:pPr>
              <w:autoSpaceDE/>
              <w:autoSpaceDN/>
              <w:jc w:val="center"/>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2020</w:t>
            </w:r>
          </w:p>
        </w:tc>
      </w:tr>
      <w:tr w:rsidR="00D43372" w:rsidRPr="00A42076" w:rsidTr="00D43372">
        <w:trPr>
          <w:gridAfter w:val="1"/>
          <w:wAfter w:w="19" w:type="dxa"/>
          <w:trHeight w:val="160"/>
          <w:jc w:val="center"/>
        </w:trPr>
        <w:tc>
          <w:tcPr>
            <w:tcW w:w="2721" w:type="dxa"/>
            <w:vMerge/>
            <w:vAlign w:val="center"/>
          </w:tcPr>
          <w:p w:rsidR="00D43372" w:rsidRPr="00A42076" w:rsidRDefault="00D43372" w:rsidP="00D43372">
            <w:pPr>
              <w:autoSpaceDE/>
              <w:autoSpaceDN/>
              <w:rPr>
                <w:rFonts w:ascii="Garamond" w:eastAsia="Calibri" w:hAnsi="Garamond"/>
                <w:b/>
                <w:bCs/>
                <w:caps/>
                <w:sz w:val="16"/>
                <w:szCs w:val="16"/>
                <w:lang w:val="uz-Cyrl-UZ" w:eastAsia="en-US" w:bidi="ar-SA"/>
              </w:rPr>
            </w:pPr>
          </w:p>
        </w:tc>
        <w:tc>
          <w:tcPr>
            <w:tcW w:w="1771" w:type="dxa"/>
            <w:vAlign w:val="center"/>
          </w:tcPr>
          <w:p w:rsidR="00F056F9" w:rsidRPr="00A42076" w:rsidRDefault="00F056F9" w:rsidP="00F056F9">
            <w:pPr>
              <w:pStyle w:val="Default"/>
              <w:jc w:val="center"/>
              <w:rPr>
                <w:rFonts w:ascii="Garamond" w:hAnsi="Garamond"/>
                <w:sz w:val="16"/>
                <w:szCs w:val="16"/>
              </w:rPr>
            </w:pPr>
            <w:r w:rsidRPr="00A42076">
              <w:rPr>
                <w:rFonts w:ascii="Garamond" w:hAnsi="Garamond"/>
                <w:iCs/>
                <w:sz w:val="16"/>
                <w:szCs w:val="16"/>
              </w:rPr>
              <w:t xml:space="preserve">Analysis and upgrade of the existing macro-economic projections model </w:t>
            </w:r>
          </w:p>
          <w:p w:rsidR="00D43372" w:rsidRPr="00A42076" w:rsidRDefault="00D43372" w:rsidP="00D43372">
            <w:pPr>
              <w:pStyle w:val="TabelaTekst"/>
              <w:spacing w:before="0" w:after="0" w:line="240" w:lineRule="auto"/>
              <w:jc w:val="center"/>
              <w:rPr>
                <w:rFonts w:ascii="Garamond" w:hAnsi="Garamond"/>
                <w:sz w:val="16"/>
                <w:szCs w:val="16"/>
                <w:lang w:val="en-US"/>
              </w:rPr>
            </w:pPr>
          </w:p>
        </w:tc>
        <w:tc>
          <w:tcPr>
            <w:tcW w:w="1771" w:type="dxa"/>
            <w:vAlign w:val="center"/>
          </w:tcPr>
          <w:p w:rsidR="00D43372" w:rsidRPr="00A42076" w:rsidRDefault="00F056F9" w:rsidP="00D43372">
            <w:pPr>
              <w:pStyle w:val="TabelaTekst"/>
              <w:spacing w:before="0" w:after="0" w:line="240" w:lineRule="auto"/>
              <w:jc w:val="center"/>
              <w:rPr>
                <w:rFonts w:ascii="Garamond" w:hAnsi="Garamond"/>
                <w:sz w:val="16"/>
                <w:szCs w:val="16"/>
              </w:rPr>
            </w:pPr>
            <w:r w:rsidRPr="00A42076">
              <w:rPr>
                <w:rFonts w:ascii="Garamond" w:hAnsi="Garamond"/>
                <w:sz w:val="16"/>
                <w:szCs w:val="16"/>
              </w:rPr>
              <w:t xml:space="preserve">New model built for projections of macroeconomic </w:t>
            </w:r>
            <w:r w:rsidRPr="00A42076">
              <w:rPr>
                <w:rFonts w:ascii="Garamond" w:hAnsi="Garamond"/>
                <w:sz w:val="16"/>
                <w:szCs w:val="16"/>
                <w:lang w:val="en-GB"/>
              </w:rPr>
              <w:t>i</w:t>
            </w:r>
            <w:r w:rsidRPr="00A42076">
              <w:rPr>
                <w:rFonts w:ascii="Garamond" w:hAnsi="Garamond"/>
                <w:sz w:val="16"/>
                <w:szCs w:val="16"/>
              </w:rPr>
              <w:t>ndicators and impact of structural reforms and trained employees</w:t>
            </w:r>
          </w:p>
        </w:tc>
        <w:tc>
          <w:tcPr>
            <w:tcW w:w="1771" w:type="dxa"/>
            <w:vAlign w:val="center"/>
          </w:tcPr>
          <w:p w:rsidR="00D43372" w:rsidRPr="00A42076" w:rsidRDefault="00F056F9" w:rsidP="00D43372">
            <w:pPr>
              <w:pStyle w:val="TabelaTekst"/>
              <w:spacing w:before="0" w:after="0" w:line="240" w:lineRule="auto"/>
              <w:jc w:val="center"/>
              <w:rPr>
                <w:rFonts w:ascii="Garamond" w:hAnsi="Garamond"/>
                <w:sz w:val="16"/>
                <w:szCs w:val="16"/>
              </w:rPr>
            </w:pPr>
            <w:r w:rsidRPr="00A42076">
              <w:rPr>
                <w:rFonts w:ascii="Garamond" w:hAnsi="Garamond"/>
                <w:sz w:val="16"/>
                <w:szCs w:val="16"/>
              </w:rPr>
              <w:t>Preconditions for the use of the new model by employees in the Directorate for Economic Policy and Development have been met</w:t>
            </w:r>
          </w:p>
        </w:tc>
        <w:tc>
          <w:tcPr>
            <w:tcW w:w="1523" w:type="dxa"/>
            <w:vAlign w:val="center"/>
          </w:tcPr>
          <w:p w:rsidR="00F056F9" w:rsidRPr="00A42076" w:rsidRDefault="00F056F9" w:rsidP="00F056F9">
            <w:pPr>
              <w:pStyle w:val="Default"/>
              <w:jc w:val="center"/>
              <w:rPr>
                <w:rFonts w:ascii="Garamond" w:hAnsi="Garamond"/>
                <w:sz w:val="16"/>
                <w:szCs w:val="16"/>
              </w:rPr>
            </w:pPr>
            <w:r w:rsidRPr="00A42076">
              <w:rPr>
                <w:rFonts w:ascii="Garamond" w:hAnsi="Garamond"/>
                <w:iCs/>
                <w:sz w:val="16"/>
                <w:szCs w:val="16"/>
              </w:rPr>
              <w:t xml:space="preserve">Full implementation and staff competent </w:t>
            </w:r>
            <w:r w:rsidR="00927F4D" w:rsidRPr="00A42076">
              <w:rPr>
                <w:rFonts w:ascii="Garamond" w:hAnsi="Garamond"/>
                <w:iCs/>
                <w:sz w:val="16"/>
                <w:szCs w:val="16"/>
              </w:rPr>
              <w:t>to use</w:t>
            </w:r>
            <w:r w:rsidRPr="00A42076">
              <w:rPr>
                <w:rFonts w:ascii="Garamond" w:hAnsi="Garamond"/>
                <w:iCs/>
                <w:sz w:val="16"/>
                <w:szCs w:val="16"/>
              </w:rPr>
              <w:t xml:space="preserve"> the new model </w:t>
            </w:r>
          </w:p>
          <w:p w:rsidR="00D43372" w:rsidRPr="00A42076" w:rsidRDefault="00D43372" w:rsidP="00D43372">
            <w:pPr>
              <w:pStyle w:val="TabelaTekst"/>
              <w:spacing w:before="0" w:after="0" w:line="240" w:lineRule="auto"/>
              <w:jc w:val="center"/>
              <w:rPr>
                <w:rFonts w:ascii="Garamond" w:hAnsi="Garamond"/>
                <w:sz w:val="16"/>
                <w:szCs w:val="16"/>
                <w:lang w:val="en-US"/>
              </w:rPr>
            </w:pPr>
          </w:p>
        </w:tc>
      </w:tr>
      <w:tr w:rsidR="00D43372" w:rsidRPr="00A42076" w:rsidTr="00D43372">
        <w:trPr>
          <w:gridAfter w:val="1"/>
          <w:wAfter w:w="19" w:type="dxa"/>
          <w:trHeight w:val="160"/>
          <w:jc w:val="center"/>
        </w:trPr>
        <w:tc>
          <w:tcPr>
            <w:tcW w:w="2721" w:type="dxa"/>
            <w:vAlign w:val="center"/>
          </w:tcPr>
          <w:p w:rsidR="00D43372" w:rsidRPr="00A42076" w:rsidRDefault="0062456A" w:rsidP="00D43372">
            <w:pPr>
              <w:autoSpaceDE/>
              <w:autoSpaceDN/>
              <w:rPr>
                <w:rFonts w:ascii="Garamond" w:eastAsia="Calibri" w:hAnsi="Garamond"/>
                <w:b/>
                <w:bCs/>
                <w:caps/>
                <w:sz w:val="16"/>
                <w:szCs w:val="16"/>
                <w:lang w:val="uz-Cyrl-UZ" w:eastAsia="en-US" w:bidi="ar-SA"/>
              </w:rPr>
            </w:pPr>
            <w:r w:rsidRPr="00A42076">
              <w:rPr>
                <w:rFonts w:ascii="Garamond" w:eastAsia="Calibri" w:hAnsi="Garamond"/>
                <w:b/>
                <w:bCs/>
                <w:caps/>
                <w:sz w:val="16"/>
                <w:szCs w:val="16"/>
                <w:lang w:val="uz-Cyrl-UZ" w:eastAsia="en-US" w:bidi="ar-SA"/>
              </w:rPr>
              <w:t>DATA ON VALUES ACHIEVED</w:t>
            </w:r>
          </w:p>
        </w:tc>
        <w:tc>
          <w:tcPr>
            <w:tcW w:w="1771" w:type="dxa"/>
            <w:vAlign w:val="center"/>
          </w:tcPr>
          <w:p w:rsidR="00D43372" w:rsidRPr="00A42076" w:rsidRDefault="00F056F9" w:rsidP="00F056F9">
            <w:pPr>
              <w:pStyle w:val="TabelaTekst"/>
              <w:spacing w:before="0" w:after="0" w:line="240" w:lineRule="auto"/>
              <w:jc w:val="center"/>
              <w:rPr>
                <w:rFonts w:ascii="Garamond" w:hAnsi="Garamond"/>
                <w:sz w:val="16"/>
                <w:szCs w:val="16"/>
              </w:rPr>
            </w:pPr>
            <w:r w:rsidRPr="00A42076">
              <w:rPr>
                <w:rFonts w:ascii="Garamond" w:hAnsi="Garamond"/>
                <w:sz w:val="16"/>
                <w:szCs w:val="16"/>
              </w:rPr>
              <w:t>Target value for 201</w:t>
            </w:r>
            <w:r w:rsidRPr="00A42076">
              <w:rPr>
                <w:rFonts w:ascii="Garamond" w:hAnsi="Garamond"/>
                <w:sz w:val="16"/>
                <w:szCs w:val="16"/>
                <w:lang w:val="en-GB"/>
              </w:rPr>
              <w:t>7</w:t>
            </w:r>
            <w:r w:rsidRPr="00A42076">
              <w:rPr>
                <w:rFonts w:ascii="Garamond" w:hAnsi="Garamond"/>
                <w:sz w:val="16"/>
                <w:szCs w:val="16"/>
              </w:rPr>
              <w:t xml:space="preserve"> met</w:t>
            </w:r>
          </w:p>
        </w:tc>
        <w:tc>
          <w:tcPr>
            <w:tcW w:w="1771" w:type="dxa"/>
            <w:vAlign w:val="center"/>
          </w:tcPr>
          <w:p w:rsidR="00D43372" w:rsidRPr="00A42076" w:rsidRDefault="00F056F9" w:rsidP="00D43372">
            <w:pPr>
              <w:pStyle w:val="TabelaTekst"/>
              <w:spacing w:before="0" w:after="0" w:line="240" w:lineRule="auto"/>
              <w:jc w:val="center"/>
              <w:rPr>
                <w:rFonts w:ascii="Garamond" w:hAnsi="Garamond"/>
                <w:sz w:val="16"/>
                <w:szCs w:val="16"/>
              </w:rPr>
            </w:pPr>
            <w:r w:rsidRPr="00A42076">
              <w:rPr>
                <w:rFonts w:ascii="Garamond" w:hAnsi="Garamond"/>
                <w:sz w:val="16"/>
                <w:szCs w:val="16"/>
              </w:rPr>
              <w:t>Target value for 2018 met</w:t>
            </w:r>
          </w:p>
        </w:tc>
        <w:tc>
          <w:tcPr>
            <w:tcW w:w="1771" w:type="dxa"/>
            <w:vAlign w:val="center"/>
          </w:tcPr>
          <w:p w:rsidR="00D43372" w:rsidRPr="00A42076" w:rsidRDefault="00F056F9" w:rsidP="00D43372">
            <w:pPr>
              <w:pStyle w:val="TabelaTekst"/>
              <w:spacing w:before="0" w:after="0" w:line="240" w:lineRule="auto"/>
              <w:jc w:val="center"/>
              <w:rPr>
                <w:rFonts w:ascii="Garamond" w:hAnsi="Garamond"/>
                <w:sz w:val="16"/>
                <w:szCs w:val="16"/>
                <w:lang w:val="sr-Latn-CS"/>
              </w:rPr>
            </w:pPr>
            <w:r w:rsidRPr="00A42076">
              <w:rPr>
                <w:rFonts w:ascii="Garamond" w:hAnsi="Garamond"/>
                <w:sz w:val="16"/>
                <w:szCs w:val="16"/>
                <w:lang w:val="sr-Latn-CS"/>
              </w:rPr>
              <w:t>Preconditions for the use of the new model by employees in the Directorate for Economic Policy and Development have been met</w:t>
            </w:r>
          </w:p>
        </w:tc>
        <w:tc>
          <w:tcPr>
            <w:tcW w:w="1523" w:type="dxa"/>
            <w:vAlign w:val="center"/>
          </w:tcPr>
          <w:p w:rsidR="00D43372" w:rsidRPr="00A42076" w:rsidRDefault="00F056F9" w:rsidP="00D43372">
            <w:pPr>
              <w:pStyle w:val="TabelaTekst"/>
              <w:spacing w:before="0" w:after="0" w:line="240" w:lineRule="auto"/>
              <w:jc w:val="center"/>
              <w:rPr>
                <w:rFonts w:ascii="Garamond" w:hAnsi="Garamond"/>
                <w:sz w:val="16"/>
                <w:szCs w:val="16"/>
              </w:rPr>
            </w:pPr>
            <w:r w:rsidRPr="00A42076">
              <w:rPr>
                <w:rFonts w:ascii="Garamond" w:hAnsi="Garamond" w:cstheme="minorHAnsi"/>
                <w:sz w:val="16"/>
                <w:szCs w:val="16"/>
                <w:lang w:val="en-US"/>
              </w:rPr>
              <w:t xml:space="preserve">The project has not been fully implemented due to the epidemiological </w:t>
            </w:r>
            <w:proofErr w:type="gramStart"/>
            <w:r w:rsidRPr="00A42076">
              <w:rPr>
                <w:rFonts w:ascii="Garamond" w:hAnsi="Garamond" w:cstheme="minorHAnsi"/>
                <w:sz w:val="16"/>
                <w:szCs w:val="16"/>
                <w:lang w:val="en-US"/>
              </w:rPr>
              <w:t>situation,</w:t>
            </w:r>
            <w:proofErr w:type="gramEnd"/>
            <w:r w:rsidRPr="00A42076">
              <w:rPr>
                <w:rFonts w:ascii="Garamond" w:hAnsi="Garamond" w:cstheme="minorHAnsi"/>
                <w:sz w:val="16"/>
                <w:szCs w:val="16"/>
                <w:lang w:val="en-US"/>
              </w:rPr>
              <w:t xml:space="preserve"> implementation is expected by the end of 2022.</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E72584">
      <w:pPr>
        <w:pStyle w:val="Heading3"/>
        <w:rPr>
          <w:rFonts w:ascii="Garamond" w:hAnsi="Garamond"/>
          <w:sz w:val="24"/>
          <w:szCs w:val="24"/>
        </w:rPr>
      </w:pPr>
      <w:bookmarkStart w:id="47" w:name="_Toc77688224"/>
      <w:r w:rsidRPr="00C32887">
        <w:rPr>
          <w:rFonts w:ascii="Garamond" w:hAnsi="Garamond"/>
          <w:sz w:val="24"/>
          <w:szCs w:val="24"/>
        </w:rPr>
        <w:t xml:space="preserve">1.4.2      </w:t>
      </w:r>
      <w:r w:rsidR="00F056F9">
        <w:rPr>
          <w:rFonts w:ascii="Garamond" w:hAnsi="Garamond"/>
          <w:sz w:val="24"/>
          <w:szCs w:val="24"/>
        </w:rPr>
        <w:t>PERFORMANCE INDICATOR 10</w:t>
      </w:r>
      <w:r w:rsidR="00F056F9" w:rsidRPr="00F056F9">
        <w:rPr>
          <w:rFonts w:ascii="Garamond" w:hAnsi="Garamond"/>
          <w:sz w:val="24"/>
          <w:szCs w:val="24"/>
        </w:rPr>
        <w:t xml:space="preserve"> </w:t>
      </w:r>
      <w:r w:rsidR="00F056F9" w:rsidRPr="00C32887">
        <w:rPr>
          <w:rFonts w:ascii="Garamond" w:hAnsi="Garamond"/>
          <w:sz w:val="24"/>
          <w:szCs w:val="24"/>
        </w:rPr>
        <w:t>PASSPORT</w:t>
      </w:r>
      <w:bookmarkEnd w:id="47"/>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F056F9" w:rsidRPr="00A42076" w:rsidTr="003D6441">
        <w:trPr>
          <w:jc w:val="center"/>
        </w:trPr>
        <w:tc>
          <w:tcPr>
            <w:tcW w:w="2721" w:type="dxa"/>
            <w:tcBorders>
              <w:right w:val="single" w:sz="4" w:space="0" w:color="FFFFFF"/>
            </w:tcBorders>
            <w:shd w:val="clear" w:color="auto" w:fill="BFBFBF"/>
            <w:vAlign w:val="center"/>
          </w:tcPr>
          <w:p w:rsidR="00F056F9" w:rsidRPr="00A42076" w:rsidRDefault="00F056F9" w:rsidP="003D6441">
            <w:pPr>
              <w:autoSpaceDE/>
              <w:autoSpaceDN/>
              <w:rPr>
                <w:rFonts w:ascii="Garamond" w:eastAsia="Calibri" w:hAnsi="Garamond"/>
                <w:b/>
                <w:caps/>
                <w:sz w:val="16"/>
                <w:szCs w:val="16"/>
                <w:lang w:val="en-GB" w:eastAsia="en-US" w:bidi="ar-SA"/>
              </w:rPr>
            </w:pPr>
            <w:r w:rsidRPr="00A42076">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F056F9" w:rsidRPr="00A547EF" w:rsidRDefault="00F056F9" w:rsidP="00F056F9">
            <w:pPr>
              <w:pStyle w:val="Default"/>
              <w:jc w:val="both"/>
              <w:rPr>
                <w:rFonts w:ascii="Garamond" w:eastAsia="Calibri" w:hAnsi="Garamond"/>
                <w:b/>
                <w:sz w:val="16"/>
                <w:szCs w:val="16"/>
                <w:lang w:eastAsia="en-US"/>
              </w:rPr>
            </w:pPr>
            <w:r w:rsidRPr="00A547EF">
              <w:rPr>
                <w:rFonts w:ascii="Garamond" w:hAnsi="Garamond"/>
                <w:iCs/>
                <w:sz w:val="16"/>
                <w:szCs w:val="16"/>
              </w:rPr>
              <w:t xml:space="preserve">The difference between actual and projected real GDP growth rate </w:t>
            </w:r>
          </w:p>
        </w:tc>
      </w:tr>
      <w:tr w:rsidR="00F056F9" w:rsidRPr="00A42076" w:rsidTr="003D6441">
        <w:trPr>
          <w:gridAfter w:val="1"/>
          <w:wAfter w:w="19" w:type="dxa"/>
          <w:jc w:val="center"/>
        </w:trPr>
        <w:tc>
          <w:tcPr>
            <w:tcW w:w="2721" w:type="dxa"/>
            <w:vAlign w:val="center"/>
          </w:tcPr>
          <w:p w:rsidR="00F056F9" w:rsidRPr="00A42076" w:rsidRDefault="00F056F9" w:rsidP="003D6441">
            <w:pPr>
              <w:autoSpaceDE/>
              <w:autoSpaceDN/>
              <w:rPr>
                <w:rFonts w:ascii="Garamond" w:eastAsia="Calibri" w:hAnsi="Garamond"/>
                <w:b/>
                <w:caps/>
                <w:sz w:val="16"/>
                <w:szCs w:val="16"/>
                <w:lang w:val="en-GB" w:eastAsia="en-US" w:bidi="ar-SA"/>
              </w:rPr>
            </w:pPr>
            <w:r w:rsidRPr="00A42076">
              <w:rPr>
                <w:rFonts w:ascii="Garamond" w:eastAsia="Calibri" w:hAnsi="Garamond"/>
                <w:b/>
                <w:caps/>
                <w:sz w:val="16"/>
                <w:szCs w:val="16"/>
                <w:lang w:val="en-GB" w:eastAsia="en-US" w:bidi="ar-SA"/>
              </w:rPr>
              <w:t>corresponding objective or activity</w:t>
            </w:r>
          </w:p>
        </w:tc>
        <w:tc>
          <w:tcPr>
            <w:tcW w:w="6836" w:type="dxa"/>
            <w:gridSpan w:val="4"/>
            <w:vAlign w:val="center"/>
          </w:tcPr>
          <w:p w:rsidR="00F056F9" w:rsidRPr="00A42076" w:rsidRDefault="00F056F9" w:rsidP="003D6441">
            <w:pPr>
              <w:rPr>
                <w:rFonts w:ascii="Garamond" w:hAnsi="Garamond"/>
                <w:color w:val="365F91" w:themeColor="accent1" w:themeShade="BF"/>
                <w:sz w:val="16"/>
                <w:szCs w:val="16"/>
              </w:rPr>
            </w:pPr>
            <w:r w:rsidRPr="00A42076">
              <w:rPr>
                <w:rFonts w:ascii="Garamond" w:hAnsi="Garamond"/>
                <w:color w:val="365F91" w:themeColor="accent1" w:themeShade="BF"/>
                <w:sz w:val="16"/>
                <w:szCs w:val="16"/>
              </w:rPr>
              <w:t>Sustainable fiscal framework, public expenditure planning and budgeting</w:t>
            </w:r>
          </w:p>
          <w:p w:rsidR="00F056F9" w:rsidRPr="00A42076" w:rsidRDefault="00F056F9" w:rsidP="003D6441">
            <w:pPr>
              <w:pStyle w:val="ListParagraph"/>
              <w:numPr>
                <w:ilvl w:val="0"/>
                <w:numId w:val="28"/>
              </w:numPr>
              <w:rPr>
                <w:rFonts w:ascii="Garamond" w:hAnsi="Garamond"/>
                <w:color w:val="365F91" w:themeColor="accent1" w:themeShade="BF"/>
                <w:sz w:val="16"/>
                <w:szCs w:val="16"/>
                <w:u w:val="single"/>
              </w:rPr>
            </w:pPr>
            <w:r w:rsidRPr="00A42076">
              <w:rPr>
                <w:rFonts w:ascii="Garamond" w:hAnsi="Garamond"/>
                <w:color w:val="365F91" w:themeColor="accent1" w:themeShade="BF"/>
                <w:sz w:val="16"/>
                <w:szCs w:val="16"/>
                <w:u w:val="single"/>
              </w:rPr>
              <w:t>Upgrade the model for macroeconomic projections</w:t>
            </w:r>
          </w:p>
          <w:p w:rsidR="00F056F9" w:rsidRPr="00A42076" w:rsidRDefault="00D2081E" w:rsidP="003D6441">
            <w:pPr>
              <w:rPr>
                <w:rFonts w:ascii="Garamond" w:eastAsia="Calibri" w:hAnsi="Garamond"/>
                <w:color w:val="000000" w:themeColor="text1"/>
                <w:sz w:val="16"/>
                <w:szCs w:val="16"/>
                <w:lang w:eastAsia="en-US" w:bidi="ar-SA"/>
              </w:rPr>
            </w:pPr>
            <w:r w:rsidRPr="00A42076">
              <w:rPr>
                <w:rFonts w:ascii="Garamond" w:eastAsia="Calibri" w:hAnsi="Garamond"/>
                <w:color w:val="000000" w:themeColor="text1"/>
                <w:sz w:val="16"/>
                <w:szCs w:val="16"/>
                <w:lang w:eastAsia="en-US" w:bidi="ar-SA"/>
              </w:rPr>
              <w:t>Improved projections of macroeconomic indicators as the basis for public finance projections and drafting the Budget Law, as well as other significant strategic documents. At the same time, it will lead to compliance with Chapter III of the EU Directive 2011/85 concerning forecasting.</w:t>
            </w:r>
          </w:p>
          <w:p w:rsidR="00D2081E" w:rsidRPr="00A42076" w:rsidRDefault="00927F4D" w:rsidP="00D2081E">
            <w:pPr>
              <w:rPr>
                <w:rFonts w:ascii="Garamond" w:eastAsia="Calibri" w:hAnsi="Garamond"/>
                <w:color w:val="000000" w:themeColor="text1"/>
                <w:sz w:val="16"/>
                <w:szCs w:val="16"/>
                <w:lang w:eastAsia="en-US" w:bidi="ar-SA"/>
              </w:rPr>
            </w:pPr>
            <w:r w:rsidRPr="00A42076">
              <w:rPr>
                <w:rFonts w:ascii="Garamond" w:eastAsia="Calibri" w:hAnsi="Garamond"/>
                <w:color w:val="000000" w:themeColor="text1"/>
                <w:sz w:val="16"/>
                <w:szCs w:val="16"/>
                <w:lang w:eastAsia="en-US" w:bidi="ar-SA"/>
              </w:rPr>
              <w:t>The new model will allow minimis</w:t>
            </w:r>
            <w:r w:rsidR="00D2081E" w:rsidRPr="00A42076">
              <w:rPr>
                <w:rFonts w:ascii="Garamond" w:eastAsia="Calibri" w:hAnsi="Garamond"/>
                <w:color w:val="000000" w:themeColor="text1"/>
                <w:sz w:val="16"/>
                <w:szCs w:val="16"/>
                <w:lang w:eastAsia="en-US" w:bidi="ar-SA"/>
              </w:rPr>
              <w:t xml:space="preserve">ing the difference between the plan and the </w:t>
            </w:r>
            <w:r w:rsidRPr="00A42076">
              <w:rPr>
                <w:rFonts w:ascii="Garamond" w:eastAsia="Calibri" w:hAnsi="Garamond"/>
                <w:color w:val="000000" w:themeColor="text1"/>
                <w:sz w:val="16"/>
                <w:szCs w:val="16"/>
                <w:lang w:eastAsia="en-US" w:bidi="ar-SA"/>
              </w:rPr>
              <w:t>implementation</w:t>
            </w:r>
            <w:r w:rsidR="00D2081E" w:rsidRPr="00A42076">
              <w:rPr>
                <w:rFonts w:ascii="Garamond" w:eastAsia="Calibri" w:hAnsi="Garamond"/>
                <w:color w:val="000000" w:themeColor="text1"/>
                <w:sz w:val="16"/>
                <w:szCs w:val="16"/>
                <w:lang w:eastAsia="en-US" w:bidi="ar-SA"/>
              </w:rPr>
              <w:t>, and thus will contribute to the creation of preconditions for more realistic planning of the revenue side of the budget, which largely depends on the growth of economic activity.</w:t>
            </w:r>
          </w:p>
        </w:tc>
      </w:tr>
      <w:tr w:rsidR="00F056F9" w:rsidRPr="00A42076" w:rsidTr="003D6441">
        <w:trPr>
          <w:gridAfter w:val="1"/>
          <w:wAfter w:w="19" w:type="dxa"/>
          <w:jc w:val="center"/>
        </w:trPr>
        <w:tc>
          <w:tcPr>
            <w:tcW w:w="2721" w:type="dxa"/>
            <w:vAlign w:val="center"/>
          </w:tcPr>
          <w:p w:rsidR="00F056F9" w:rsidRPr="00A42076" w:rsidRDefault="00F056F9" w:rsidP="003D6441">
            <w:pPr>
              <w:autoSpaceDE/>
              <w:autoSpaceDN/>
              <w:rPr>
                <w:rFonts w:ascii="Garamond" w:eastAsia="Calibri" w:hAnsi="Garamond"/>
                <w:b/>
                <w:caps/>
                <w:sz w:val="16"/>
                <w:szCs w:val="16"/>
                <w:lang w:val="uz-Cyrl-UZ" w:eastAsia="en-US" w:bidi="ar-SA"/>
              </w:rPr>
            </w:pPr>
            <w:r w:rsidRPr="00A42076">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F056F9" w:rsidRPr="00A42076" w:rsidRDefault="00F056F9" w:rsidP="00D2081E">
            <w:pPr>
              <w:jc w:val="both"/>
              <w:rPr>
                <w:rFonts w:ascii="Garamond" w:hAnsi="Garamond"/>
                <w:sz w:val="16"/>
                <w:szCs w:val="16"/>
              </w:rPr>
            </w:pPr>
            <w:r w:rsidRPr="00A42076">
              <w:rPr>
                <w:rFonts w:ascii="Garamond" w:hAnsi="Garamond"/>
                <w:sz w:val="16"/>
                <w:szCs w:val="16"/>
              </w:rPr>
              <w:t>Data for monitoring indicators are collected at the national level</w:t>
            </w:r>
            <w:r w:rsidR="00D2081E" w:rsidRPr="00A42076">
              <w:rPr>
                <w:rFonts w:ascii="Garamond" w:hAnsi="Garamond"/>
                <w:sz w:val="16"/>
                <w:szCs w:val="16"/>
              </w:rPr>
              <w:t>.</w:t>
            </w:r>
          </w:p>
          <w:p w:rsidR="00D2081E" w:rsidRPr="00A42076" w:rsidRDefault="00D2081E" w:rsidP="00D2081E">
            <w:pPr>
              <w:jc w:val="both"/>
              <w:rPr>
                <w:rFonts w:ascii="Garamond" w:hAnsi="Garamond"/>
                <w:sz w:val="16"/>
                <w:szCs w:val="16"/>
              </w:rPr>
            </w:pPr>
            <w:r w:rsidRPr="00A42076">
              <w:rPr>
                <w:rFonts w:ascii="Garamond" w:hAnsi="Garamond"/>
                <w:sz w:val="16"/>
                <w:szCs w:val="16"/>
              </w:rPr>
              <w:t>The estimate for the current year is published in the document Mac</w:t>
            </w:r>
            <w:r w:rsidR="00927F4D" w:rsidRPr="00A42076">
              <w:rPr>
                <w:rFonts w:ascii="Garamond" w:hAnsi="Garamond"/>
                <w:sz w:val="16"/>
                <w:szCs w:val="16"/>
              </w:rPr>
              <w:t>roeconomic and Fiscal Indicator Forecasting</w:t>
            </w:r>
            <w:r w:rsidRPr="00A42076">
              <w:rPr>
                <w:rFonts w:ascii="Garamond" w:hAnsi="Garamond"/>
                <w:sz w:val="16"/>
                <w:szCs w:val="16"/>
              </w:rPr>
              <w:t>.</w:t>
            </w:r>
          </w:p>
          <w:p w:rsidR="00D2081E" w:rsidRPr="00A42076" w:rsidRDefault="00D2081E" w:rsidP="00D2081E">
            <w:pPr>
              <w:jc w:val="both"/>
              <w:rPr>
                <w:rFonts w:ascii="Garamond" w:hAnsi="Garamond"/>
                <w:sz w:val="16"/>
                <w:szCs w:val="16"/>
              </w:rPr>
            </w:pPr>
            <w:r w:rsidRPr="00A42076">
              <w:rPr>
                <w:rFonts w:ascii="Garamond" w:hAnsi="Garamond"/>
                <w:sz w:val="16"/>
                <w:szCs w:val="16"/>
              </w:rPr>
              <w:t>The implementation is published by the Statistical Office on the website:</w:t>
            </w:r>
          </w:p>
          <w:p w:rsidR="00F056F9" w:rsidRPr="00A42076" w:rsidRDefault="00613C2B" w:rsidP="00D2081E">
            <w:pPr>
              <w:jc w:val="both"/>
              <w:rPr>
                <w:rFonts w:ascii="Garamond" w:eastAsia="Calibri" w:hAnsi="Garamond"/>
                <w:sz w:val="16"/>
                <w:szCs w:val="16"/>
                <w:lang w:eastAsia="en-US" w:bidi="ar-SA"/>
              </w:rPr>
            </w:pPr>
            <w:hyperlink r:id="rId26" w:history="1">
              <w:r w:rsidR="00D2081E" w:rsidRPr="00A42076">
                <w:rPr>
                  <w:rStyle w:val="Hyperlink"/>
                  <w:rFonts w:ascii="Garamond" w:hAnsi="Garamond"/>
                  <w:sz w:val="16"/>
                  <w:szCs w:val="16"/>
                </w:rPr>
                <w:t>http://monstat.org/cg/page.php?id=166&amp;pageid=19</w:t>
              </w:r>
            </w:hyperlink>
            <w:r w:rsidR="00D2081E" w:rsidRPr="00A42076">
              <w:rPr>
                <w:rFonts w:ascii="Garamond" w:hAnsi="Garamond"/>
                <w:sz w:val="16"/>
                <w:szCs w:val="16"/>
              </w:rPr>
              <w:t xml:space="preserve"> </w:t>
            </w:r>
          </w:p>
        </w:tc>
      </w:tr>
      <w:tr w:rsidR="00F056F9" w:rsidRPr="00A42076" w:rsidTr="003D6441">
        <w:trPr>
          <w:gridAfter w:val="1"/>
          <w:wAfter w:w="19" w:type="dxa"/>
          <w:jc w:val="center"/>
        </w:trPr>
        <w:tc>
          <w:tcPr>
            <w:tcW w:w="2721" w:type="dxa"/>
            <w:vAlign w:val="center"/>
          </w:tcPr>
          <w:p w:rsidR="00F056F9" w:rsidRPr="00A42076" w:rsidRDefault="00F056F9" w:rsidP="003D6441">
            <w:pPr>
              <w:autoSpaceDE/>
              <w:autoSpaceDN/>
              <w:rPr>
                <w:rFonts w:ascii="Garamond" w:eastAsia="Calibri" w:hAnsi="Garamond"/>
                <w:b/>
                <w:caps/>
                <w:sz w:val="16"/>
                <w:szCs w:val="16"/>
                <w:lang w:val="uz-Cyrl-UZ" w:eastAsia="en-US" w:bidi="ar-SA"/>
              </w:rPr>
            </w:pPr>
            <w:r w:rsidRPr="00A42076">
              <w:rPr>
                <w:rFonts w:ascii="Garamond" w:eastAsia="Calibri" w:hAnsi="Garamond"/>
                <w:b/>
                <w:caps/>
                <w:sz w:val="16"/>
                <w:szCs w:val="16"/>
                <w:lang w:val="uz-Cyrl-UZ" w:eastAsia="en-US" w:bidi="ar-SA"/>
              </w:rPr>
              <w:t>NAME OF DATA COLLECTION HOLDER</w:t>
            </w:r>
          </w:p>
        </w:tc>
        <w:tc>
          <w:tcPr>
            <w:tcW w:w="6836" w:type="dxa"/>
            <w:gridSpan w:val="4"/>
            <w:vAlign w:val="center"/>
          </w:tcPr>
          <w:p w:rsidR="00F056F9" w:rsidRPr="00A42076" w:rsidRDefault="00F056F9" w:rsidP="003D6441">
            <w:pPr>
              <w:rPr>
                <w:rFonts w:ascii="Garamond" w:hAnsi="Garamond"/>
                <w:sz w:val="16"/>
                <w:szCs w:val="16"/>
              </w:rPr>
            </w:pPr>
            <w:r w:rsidRPr="00A42076">
              <w:rPr>
                <w:rFonts w:ascii="Garamond" w:hAnsi="Garamond"/>
                <w:sz w:val="16"/>
                <w:szCs w:val="16"/>
              </w:rPr>
              <w:t xml:space="preserve">Ministry of Finance and Social Welfare, </w:t>
            </w:r>
          </w:p>
          <w:p w:rsidR="00F056F9" w:rsidRPr="00A42076" w:rsidRDefault="00F056F9" w:rsidP="003D6441">
            <w:pPr>
              <w:rPr>
                <w:rFonts w:ascii="Garamond" w:hAnsi="Garamond"/>
                <w:sz w:val="16"/>
                <w:szCs w:val="16"/>
              </w:rPr>
            </w:pPr>
            <w:r w:rsidRPr="00A42076">
              <w:rPr>
                <w:rFonts w:ascii="Garamond" w:hAnsi="Garamond"/>
                <w:sz w:val="16"/>
                <w:szCs w:val="16"/>
              </w:rPr>
              <w:t>Iva Vuković, Director General of the Directorate for Economic Policy and Development</w:t>
            </w:r>
          </w:p>
          <w:p w:rsidR="00F056F9" w:rsidRPr="00A42076" w:rsidRDefault="00F056F9" w:rsidP="003D6441">
            <w:pPr>
              <w:rPr>
                <w:rFonts w:ascii="Garamond" w:hAnsi="Garamond"/>
                <w:sz w:val="16"/>
                <w:szCs w:val="16"/>
              </w:rPr>
            </w:pPr>
            <w:r w:rsidRPr="00A42076">
              <w:rPr>
                <w:rFonts w:ascii="Garamond" w:hAnsi="Garamond"/>
                <w:sz w:val="16"/>
                <w:szCs w:val="16"/>
              </w:rPr>
              <w:t>iva.vukovic@mif.gov.me</w:t>
            </w:r>
          </w:p>
          <w:p w:rsidR="00F056F9" w:rsidRPr="00A42076" w:rsidRDefault="00F056F9" w:rsidP="003D6441">
            <w:pPr>
              <w:rPr>
                <w:rFonts w:ascii="Garamond" w:eastAsia="Calibri" w:hAnsi="Garamond"/>
                <w:sz w:val="16"/>
                <w:szCs w:val="16"/>
                <w:lang w:eastAsia="en-US" w:bidi="ar-SA"/>
              </w:rPr>
            </w:pPr>
            <w:r w:rsidRPr="00A42076">
              <w:rPr>
                <w:rFonts w:ascii="Garamond" w:hAnsi="Garamond"/>
                <w:sz w:val="16"/>
                <w:szCs w:val="16"/>
              </w:rPr>
              <w:t>Phone: 069820921</w:t>
            </w:r>
          </w:p>
        </w:tc>
      </w:tr>
      <w:tr w:rsidR="00F056F9" w:rsidRPr="00A42076" w:rsidTr="003D6441">
        <w:trPr>
          <w:gridAfter w:val="1"/>
          <w:wAfter w:w="19" w:type="dxa"/>
          <w:jc w:val="center"/>
        </w:trPr>
        <w:tc>
          <w:tcPr>
            <w:tcW w:w="2721" w:type="dxa"/>
            <w:vAlign w:val="center"/>
          </w:tcPr>
          <w:p w:rsidR="00F056F9" w:rsidRPr="00A42076" w:rsidRDefault="00F056F9" w:rsidP="003D6441">
            <w:pPr>
              <w:autoSpaceDE/>
              <w:autoSpaceDN/>
              <w:rPr>
                <w:rFonts w:ascii="Garamond" w:eastAsia="Calibri" w:hAnsi="Garamond"/>
                <w:b/>
                <w:caps/>
                <w:sz w:val="16"/>
                <w:szCs w:val="16"/>
                <w:lang w:val="uz-Cyrl-UZ" w:eastAsia="en-US" w:bidi="ar-SA"/>
              </w:rPr>
            </w:pPr>
            <w:r w:rsidRPr="00A42076">
              <w:rPr>
                <w:rFonts w:ascii="Garamond" w:eastAsia="Calibri" w:hAnsi="Garamond"/>
                <w:b/>
                <w:caps/>
                <w:sz w:val="16"/>
                <w:szCs w:val="16"/>
                <w:lang w:val="uz-Cyrl-UZ" w:eastAsia="en-US" w:bidi="ar-SA"/>
              </w:rPr>
              <w:t>FREQUENCY OF DATA PUBLICATION</w:t>
            </w:r>
          </w:p>
        </w:tc>
        <w:tc>
          <w:tcPr>
            <w:tcW w:w="6836" w:type="dxa"/>
            <w:gridSpan w:val="4"/>
            <w:vAlign w:val="center"/>
          </w:tcPr>
          <w:p w:rsidR="00D2081E" w:rsidRPr="00A42076" w:rsidRDefault="00D2081E" w:rsidP="00D2081E">
            <w:pPr>
              <w:rPr>
                <w:rFonts w:ascii="Garamond" w:hAnsi="Garamond"/>
                <w:sz w:val="16"/>
                <w:szCs w:val="16"/>
              </w:rPr>
            </w:pPr>
            <w:r w:rsidRPr="00A42076">
              <w:rPr>
                <w:rFonts w:ascii="Garamond" w:hAnsi="Garamond"/>
                <w:sz w:val="16"/>
                <w:szCs w:val="16"/>
              </w:rPr>
              <w:t>Once a year</w:t>
            </w:r>
          </w:p>
          <w:p w:rsidR="00D2081E" w:rsidRPr="00A42076" w:rsidRDefault="00D2081E" w:rsidP="00D2081E">
            <w:pPr>
              <w:rPr>
                <w:rFonts w:ascii="Garamond" w:hAnsi="Garamond"/>
                <w:sz w:val="16"/>
                <w:szCs w:val="16"/>
              </w:rPr>
            </w:pPr>
            <w:r w:rsidRPr="00A42076">
              <w:rPr>
                <w:rFonts w:ascii="Garamond" w:hAnsi="Garamond"/>
                <w:sz w:val="16"/>
                <w:szCs w:val="16"/>
              </w:rPr>
              <w:t>An updated estimate is published in October</w:t>
            </w:r>
          </w:p>
          <w:p w:rsidR="00F056F9" w:rsidRPr="00A42076" w:rsidRDefault="00D2081E" w:rsidP="00D2081E">
            <w:pPr>
              <w:rPr>
                <w:rFonts w:ascii="Garamond" w:eastAsia="Calibri" w:hAnsi="Garamond"/>
                <w:sz w:val="16"/>
                <w:szCs w:val="16"/>
                <w:lang w:eastAsia="en-US" w:bidi="ar-SA"/>
              </w:rPr>
            </w:pPr>
            <w:r w:rsidRPr="00A42076">
              <w:rPr>
                <w:rFonts w:ascii="Garamond" w:hAnsi="Garamond"/>
                <w:sz w:val="16"/>
                <w:szCs w:val="16"/>
              </w:rPr>
              <w:t>The implementation is published in September of the current year for the previous year</w:t>
            </w:r>
          </w:p>
        </w:tc>
      </w:tr>
      <w:tr w:rsidR="00F056F9" w:rsidRPr="00A42076" w:rsidTr="003D6441">
        <w:trPr>
          <w:gridAfter w:val="1"/>
          <w:wAfter w:w="19" w:type="dxa"/>
          <w:trHeight w:val="458"/>
          <w:jc w:val="center"/>
        </w:trPr>
        <w:tc>
          <w:tcPr>
            <w:tcW w:w="2721" w:type="dxa"/>
            <w:vMerge w:val="restart"/>
            <w:vAlign w:val="center"/>
          </w:tcPr>
          <w:p w:rsidR="00F056F9" w:rsidRPr="00A42076" w:rsidRDefault="00F056F9" w:rsidP="003D6441">
            <w:pPr>
              <w:autoSpaceDE/>
              <w:autoSpaceDN/>
              <w:rPr>
                <w:rFonts w:ascii="Garamond" w:eastAsia="Calibri" w:hAnsi="Garamond"/>
                <w:b/>
                <w:caps/>
                <w:sz w:val="16"/>
                <w:szCs w:val="16"/>
                <w:lang w:val="uz-Cyrl-UZ" w:eastAsia="en-US" w:bidi="ar-SA"/>
              </w:rPr>
            </w:pPr>
            <w:r w:rsidRPr="00A42076">
              <w:rPr>
                <w:rFonts w:ascii="Garamond" w:eastAsia="Calibri" w:hAnsi="Garamond"/>
                <w:b/>
                <w:caps/>
                <w:sz w:val="16"/>
                <w:szCs w:val="16"/>
                <w:lang w:val="uz-Cyrl-UZ" w:eastAsia="en-US" w:bidi="ar-SA"/>
              </w:rPr>
              <w:t xml:space="preserve">BRIEF DESCRIPTION </w:t>
            </w:r>
            <w:r w:rsidRPr="00A42076">
              <w:rPr>
                <w:rFonts w:ascii="Garamond" w:eastAsia="Calibri" w:hAnsi="Garamond"/>
                <w:b/>
                <w:caps/>
                <w:sz w:val="16"/>
                <w:szCs w:val="16"/>
                <w:lang w:val="en-GB" w:eastAsia="en-US" w:bidi="ar-SA"/>
              </w:rPr>
              <w:t xml:space="preserve">OF </w:t>
            </w:r>
            <w:r w:rsidRPr="00A42076">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D2081E" w:rsidRPr="00A42076" w:rsidRDefault="00D2081E" w:rsidP="00D2081E">
            <w:pPr>
              <w:jc w:val="both"/>
              <w:rPr>
                <w:rFonts w:ascii="Garamond" w:hAnsi="Garamond"/>
                <w:sz w:val="16"/>
                <w:szCs w:val="16"/>
              </w:rPr>
            </w:pPr>
            <w:r w:rsidRPr="00A42076">
              <w:rPr>
                <w:rFonts w:ascii="Garamond" w:hAnsi="Garamond"/>
                <w:sz w:val="16"/>
                <w:szCs w:val="16"/>
              </w:rPr>
              <w:t>GDP is estimated on the basis of a new econometric model based on the principles of the System of National Accounts (SNA 2008) and the European System of National Accounts (ESA2010).</w:t>
            </w:r>
          </w:p>
          <w:p w:rsidR="00D2081E" w:rsidRPr="00A42076" w:rsidRDefault="00D2081E" w:rsidP="00D2081E">
            <w:pPr>
              <w:jc w:val="both"/>
              <w:rPr>
                <w:rFonts w:ascii="Garamond" w:hAnsi="Garamond"/>
                <w:sz w:val="16"/>
                <w:szCs w:val="16"/>
              </w:rPr>
            </w:pPr>
            <w:r w:rsidRPr="00A42076">
              <w:rPr>
                <w:rFonts w:ascii="Garamond" w:hAnsi="Garamond"/>
                <w:sz w:val="16"/>
                <w:szCs w:val="16"/>
              </w:rPr>
              <w:t>Also, the reali</w:t>
            </w:r>
            <w:r w:rsidR="00F254DD" w:rsidRPr="00A42076">
              <w:rPr>
                <w:rFonts w:ascii="Garamond" w:hAnsi="Garamond"/>
                <w:sz w:val="16"/>
                <w:szCs w:val="16"/>
              </w:rPr>
              <w:t>sation</w:t>
            </w:r>
            <w:r w:rsidRPr="00A42076">
              <w:rPr>
                <w:rFonts w:ascii="Garamond" w:hAnsi="Garamond"/>
                <w:sz w:val="16"/>
                <w:szCs w:val="16"/>
              </w:rPr>
              <w:t xml:space="preserve"> is based on the mentioned methodologies.</w:t>
            </w:r>
          </w:p>
          <w:p w:rsidR="00D2081E" w:rsidRPr="00A42076" w:rsidRDefault="00D2081E" w:rsidP="00D2081E">
            <w:pPr>
              <w:jc w:val="both"/>
              <w:rPr>
                <w:rFonts w:ascii="Garamond" w:hAnsi="Garamond"/>
                <w:sz w:val="16"/>
                <w:szCs w:val="16"/>
              </w:rPr>
            </w:pPr>
            <w:r w:rsidRPr="00A42076">
              <w:rPr>
                <w:rFonts w:ascii="Garamond" w:hAnsi="Garamond"/>
                <w:sz w:val="16"/>
                <w:szCs w:val="16"/>
              </w:rPr>
              <w:t>ESA 2010 defines the concepts, definitions and accounting rules that apply to the calculation of national accounts data in order to achieve international comparability. ESA 2010 is a set of interconnected and consistent tables, accounts, classifications and balance sheets that represent the statistical and documentary basis for monitoring economic activities.</w:t>
            </w:r>
          </w:p>
          <w:p w:rsidR="00F056F9" w:rsidRPr="00A42076" w:rsidRDefault="00D2081E" w:rsidP="00D2081E">
            <w:pPr>
              <w:jc w:val="both"/>
              <w:rPr>
                <w:rFonts w:ascii="Garamond" w:eastAsia="Calibri" w:hAnsi="Garamond"/>
                <w:sz w:val="16"/>
                <w:szCs w:val="16"/>
                <w:lang w:eastAsia="en-US" w:bidi="ar-SA"/>
              </w:rPr>
            </w:pPr>
            <w:r w:rsidRPr="00A42076">
              <w:rPr>
                <w:rFonts w:ascii="Garamond" w:hAnsi="Garamond"/>
                <w:sz w:val="16"/>
                <w:szCs w:val="16"/>
              </w:rPr>
              <w:t>Gross domestic product (GDP) measures the total value of goods and services provided by resident institutional units.</w:t>
            </w:r>
          </w:p>
        </w:tc>
      </w:tr>
      <w:tr w:rsidR="00F056F9" w:rsidRPr="00A42076" w:rsidTr="003D6441">
        <w:trPr>
          <w:gridAfter w:val="1"/>
          <w:wAfter w:w="19" w:type="dxa"/>
          <w:trHeight w:val="620"/>
          <w:jc w:val="center"/>
        </w:trPr>
        <w:tc>
          <w:tcPr>
            <w:tcW w:w="2721" w:type="dxa"/>
            <w:vMerge/>
            <w:shd w:val="clear" w:color="auto" w:fill="auto"/>
            <w:vAlign w:val="center"/>
          </w:tcPr>
          <w:p w:rsidR="00F056F9" w:rsidRPr="00A42076" w:rsidRDefault="00F056F9" w:rsidP="003D6441">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F056F9" w:rsidRPr="00A42076" w:rsidRDefault="00F056F9" w:rsidP="003D6441">
            <w:pPr>
              <w:jc w:val="center"/>
              <w:rPr>
                <w:rFonts w:ascii="Garamond" w:hAnsi="Garamond"/>
                <w:color w:val="365F91" w:themeColor="accent1" w:themeShade="BF"/>
                <w:sz w:val="16"/>
                <w:szCs w:val="16"/>
              </w:rPr>
            </w:pPr>
            <w:r w:rsidRPr="00A42076">
              <w:rPr>
                <w:rFonts w:ascii="Garamond" w:hAnsi="Garamond"/>
                <w:color w:val="365F91" w:themeColor="accent1" w:themeShade="BF"/>
                <w:sz w:val="16"/>
                <w:szCs w:val="16"/>
              </w:rPr>
              <w:t>FORMULA / EQUATION</w:t>
            </w:r>
          </w:p>
          <w:p w:rsidR="00F056F9" w:rsidRPr="00A42076" w:rsidRDefault="00E568CA" w:rsidP="00927F4D">
            <w:pPr>
              <w:jc w:val="center"/>
              <w:rPr>
                <w:rFonts w:ascii="Garamond" w:eastAsia="Calibri" w:hAnsi="Garamond"/>
                <w:sz w:val="16"/>
                <w:szCs w:val="16"/>
                <w:lang w:eastAsia="en-US" w:bidi="ar-SA"/>
              </w:rPr>
            </w:pPr>
            <w:r w:rsidRPr="00A42076">
              <w:rPr>
                <w:rFonts w:ascii="Garamond" w:eastAsia="游明朝" w:hAnsi="Garamond" w:cs="Times New Roman"/>
                <w:sz w:val="16"/>
                <w:szCs w:val="16"/>
                <w:lang w:val="sr-Latn-CS" w:eastAsia="en-US" w:bidi="ar-SA"/>
              </w:rPr>
              <w:t xml:space="preserve">X p.p. = </w:t>
            </w:r>
            <w:r w:rsidR="00927F4D" w:rsidRPr="00A42076">
              <w:rPr>
                <w:rFonts w:ascii="Garamond" w:eastAsia="游明朝" w:hAnsi="Garamond" w:cs="Times New Roman"/>
                <w:sz w:val="16"/>
                <w:szCs w:val="16"/>
                <w:lang w:val="sr-Latn-CS" w:eastAsia="en-US" w:bidi="ar-SA"/>
              </w:rPr>
              <w:t>achieved</w:t>
            </w:r>
            <w:r w:rsidRPr="00A42076">
              <w:rPr>
                <w:rFonts w:ascii="Garamond" w:eastAsia="游明朝" w:hAnsi="Garamond" w:cs="Times New Roman"/>
                <w:sz w:val="16"/>
                <w:szCs w:val="16"/>
                <w:lang w:val="sr-Latn-CS" w:eastAsia="en-US" w:bidi="ar-SA"/>
              </w:rPr>
              <w:t xml:space="preserve"> real growth rate - projected real growth rate</w:t>
            </w:r>
          </w:p>
        </w:tc>
      </w:tr>
      <w:tr w:rsidR="00F056F9" w:rsidRPr="00A42076" w:rsidTr="003D6441">
        <w:trPr>
          <w:gridAfter w:val="1"/>
          <w:wAfter w:w="19" w:type="dxa"/>
          <w:trHeight w:val="585"/>
          <w:jc w:val="center"/>
        </w:trPr>
        <w:tc>
          <w:tcPr>
            <w:tcW w:w="2721" w:type="dxa"/>
            <w:vAlign w:val="center"/>
          </w:tcPr>
          <w:p w:rsidR="00F056F9" w:rsidRPr="00A42076" w:rsidRDefault="00F056F9" w:rsidP="003D6441">
            <w:pPr>
              <w:autoSpaceDE/>
              <w:autoSpaceDN/>
              <w:rPr>
                <w:rFonts w:ascii="Garamond" w:eastAsia="Calibri" w:hAnsi="Garamond"/>
                <w:b/>
                <w:bCs/>
                <w:caps/>
                <w:sz w:val="16"/>
                <w:szCs w:val="16"/>
                <w:lang w:val="en-GB" w:eastAsia="en-US" w:bidi="ar-SA"/>
              </w:rPr>
            </w:pPr>
            <w:r w:rsidRPr="00A42076">
              <w:rPr>
                <w:rFonts w:ascii="Garamond" w:eastAsia="Calibri" w:hAnsi="Garamond"/>
                <w:b/>
                <w:caps/>
                <w:sz w:val="16"/>
                <w:szCs w:val="16"/>
                <w:lang w:val="uz-Cyrl-UZ" w:eastAsia="en-US" w:bidi="ar-SA"/>
              </w:rPr>
              <w:t>BASELINE</w:t>
            </w:r>
            <w:r w:rsidRPr="00A42076">
              <w:rPr>
                <w:rFonts w:ascii="Garamond" w:eastAsia="Calibri" w:hAnsi="Garamond"/>
                <w:b/>
                <w:caps/>
                <w:sz w:val="16"/>
                <w:szCs w:val="16"/>
                <w:lang w:val="en-GB" w:eastAsia="en-US" w:bidi="ar-SA"/>
              </w:rPr>
              <w:t xml:space="preserve"> DATA</w:t>
            </w:r>
          </w:p>
        </w:tc>
        <w:tc>
          <w:tcPr>
            <w:tcW w:w="6836" w:type="dxa"/>
            <w:gridSpan w:val="4"/>
            <w:vAlign w:val="center"/>
          </w:tcPr>
          <w:p w:rsidR="00F056F9" w:rsidRPr="00A42076" w:rsidRDefault="00F056F9" w:rsidP="00E568CA">
            <w:pPr>
              <w:autoSpaceDE/>
              <w:autoSpaceDN/>
              <w:jc w:val="both"/>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 xml:space="preserve">PV (2014): </w:t>
            </w:r>
            <w:r w:rsidR="00E568CA" w:rsidRPr="00A42076">
              <w:rPr>
                <w:rFonts w:ascii="Garamond" w:eastAsia="Calibri" w:hAnsi="Garamond"/>
                <w:sz w:val="16"/>
                <w:szCs w:val="16"/>
                <w:lang w:val="en-GB" w:eastAsia="en-US" w:bidi="ar-SA"/>
              </w:rPr>
              <w:t>1.8 p.p.</w:t>
            </w:r>
          </w:p>
        </w:tc>
      </w:tr>
      <w:tr w:rsidR="00F056F9" w:rsidRPr="00A42076" w:rsidTr="003D6441">
        <w:trPr>
          <w:gridAfter w:val="1"/>
          <w:wAfter w:w="19" w:type="dxa"/>
          <w:trHeight w:val="160"/>
          <w:jc w:val="center"/>
        </w:trPr>
        <w:tc>
          <w:tcPr>
            <w:tcW w:w="2721" w:type="dxa"/>
            <w:vMerge w:val="restart"/>
            <w:vAlign w:val="center"/>
          </w:tcPr>
          <w:p w:rsidR="00F056F9" w:rsidRPr="00A42076" w:rsidRDefault="00F056F9" w:rsidP="003D6441">
            <w:pPr>
              <w:autoSpaceDE/>
              <w:autoSpaceDN/>
              <w:rPr>
                <w:rFonts w:ascii="Garamond" w:eastAsia="Calibri" w:hAnsi="Garamond"/>
                <w:b/>
                <w:bCs/>
                <w:caps/>
                <w:sz w:val="16"/>
                <w:szCs w:val="16"/>
                <w:lang w:val="uz-Cyrl-UZ" w:eastAsia="en-US" w:bidi="ar-SA"/>
              </w:rPr>
            </w:pPr>
            <w:r w:rsidRPr="00A42076">
              <w:rPr>
                <w:rFonts w:ascii="Garamond" w:eastAsia="Calibri" w:hAnsi="Garamond"/>
                <w:b/>
                <w:caps/>
                <w:sz w:val="16"/>
                <w:szCs w:val="16"/>
                <w:lang w:val="uz-Cyrl-UZ" w:eastAsia="en-US" w:bidi="ar-SA"/>
              </w:rPr>
              <w:t>TARGET VALUE DATA</w:t>
            </w:r>
          </w:p>
        </w:tc>
        <w:tc>
          <w:tcPr>
            <w:tcW w:w="1771" w:type="dxa"/>
            <w:vAlign w:val="center"/>
          </w:tcPr>
          <w:p w:rsidR="00F056F9" w:rsidRPr="00A42076" w:rsidRDefault="00F056F9" w:rsidP="003D6441">
            <w:pPr>
              <w:autoSpaceDE/>
              <w:autoSpaceDN/>
              <w:jc w:val="center"/>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2017</w:t>
            </w:r>
          </w:p>
        </w:tc>
        <w:tc>
          <w:tcPr>
            <w:tcW w:w="1771" w:type="dxa"/>
            <w:vAlign w:val="center"/>
          </w:tcPr>
          <w:p w:rsidR="00F056F9" w:rsidRPr="00A42076" w:rsidRDefault="00F056F9" w:rsidP="003D6441">
            <w:pPr>
              <w:autoSpaceDE/>
              <w:autoSpaceDN/>
              <w:jc w:val="center"/>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2018</w:t>
            </w:r>
          </w:p>
        </w:tc>
        <w:tc>
          <w:tcPr>
            <w:tcW w:w="1771" w:type="dxa"/>
            <w:vAlign w:val="center"/>
          </w:tcPr>
          <w:p w:rsidR="00F056F9" w:rsidRPr="00A42076" w:rsidRDefault="00F056F9" w:rsidP="003D6441">
            <w:pPr>
              <w:autoSpaceDE/>
              <w:autoSpaceDN/>
              <w:jc w:val="center"/>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2019</w:t>
            </w:r>
          </w:p>
        </w:tc>
        <w:tc>
          <w:tcPr>
            <w:tcW w:w="1523" w:type="dxa"/>
            <w:vAlign w:val="center"/>
          </w:tcPr>
          <w:p w:rsidR="00F056F9" w:rsidRPr="00A42076" w:rsidRDefault="00F056F9" w:rsidP="003D6441">
            <w:pPr>
              <w:autoSpaceDE/>
              <w:autoSpaceDN/>
              <w:jc w:val="center"/>
              <w:rPr>
                <w:rFonts w:ascii="Garamond" w:eastAsia="Calibri" w:hAnsi="Garamond"/>
                <w:sz w:val="16"/>
                <w:szCs w:val="16"/>
                <w:lang w:val="uz-Cyrl-UZ" w:eastAsia="en-US" w:bidi="ar-SA"/>
              </w:rPr>
            </w:pPr>
            <w:r w:rsidRPr="00A42076">
              <w:rPr>
                <w:rFonts w:ascii="Garamond" w:eastAsia="Calibri" w:hAnsi="Garamond"/>
                <w:sz w:val="16"/>
                <w:szCs w:val="16"/>
                <w:lang w:val="uz-Cyrl-UZ" w:eastAsia="en-US" w:bidi="ar-SA"/>
              </w:rPr>
              <w:t>2020</w:t>
            </w:r>
          </w:p>
        </w:tc>
      </w:tr>
      <w:tr w:rsidR="00F056F9" w:rsidRPr="00A42076" w:rsidTr="003D6441">
        <w:trPr>
          <w:gridAfter w:val="1"/>
          <w:wAfter w:w="19" w:type="dxa"/>
          <w:trHeight w:val="160"/>
          <w:jc w:val="center"/>
        </w:trPr>
        <w:tc>
          <w:tcPr>
            <w:tcW w:w="2721" w:type="dxa"/>
            <w:vMerge/>
            <w:vAlign w:val="center"/>
          </w:tcPr>
          <w:p w:rsidR="00F056F9" w:rsidRPr="00A42076" w:rsidRDefault="00F056F9" w:rsidP="003D6441">
            <w:pPr>
              <w:autoSpaceDE/>
              <w:autoSpaceDN/>
              <w:rPr>
                <w:rFonts w:ascii="Garamond" w:eastAsia="Calibri" w:hAnsi="Garamond"/>
                <w:b/>
                <w:bCs/>
                <w:caps/>
                <w:sz w:val="16"/>
                <w:szCs w:val="16"/>
                <w:lang w:val="uz-Cyrl-UZ" w:eastAsia="en-US" w:bidi="ar-SA"/>
              </w:rPr>
            </w:pPr>
          </w:p>
        </w:tc>
        <w:tc>
          <w:tcPr>
            <w:tcW w:w="1771" w:type="dxa"/>
            <w:vAlign w:val="center"/>
          </w:tcPr>
          <w:p w:rsidR="00F056F9" w:rsidRPr="00A42076" w:rsidRDefault="00E568CA" w:rsidP="003D6441">
            <w:pPr>
              <w:pStyle w:val="TabelaTekst"/>
              <w:spacing w:before="0" w:after="0" w:line="240" w:lineRule="auto"/>
              <w:jc w:val="center"/>
              <w:rPr>
                <w:rFonts w:ascii="Garamond" w:hAnsi="Garamond"/>
                <w:sz w:val="16"/>
                <w:szCs w:val="16"/>
                <w:lang w:val="en-US"/>
              </w:rPr>
            </w:pPr>
            <w:r w:rsidRPr="00A42076">
              <w:rPr>
                <w:rFonts w:ascii="Garamond" w:hAnsi="Garamond"/>
                <w:sz w:val="16"/>
                <w:szCs w:val="16"/>
                <w:lang w:val="en-US"/>
              </w:rPr>
              <w:t>Less than 0.5 p.p.</w:t>
            </w:r>
          </w:p>
        </w:tc>
        <w:tc>
          <w:tcPr>
            <w:tcW w:w="1771" w:type="dxa"/>
            <w:vAlign w:val="center"/>
          </w:tcPr>
          <w:p w:rsidR="00F056F9" w:rsidRPr="00A42076" w:rsidRDefault="00E568CA" w:rsidP="003D6441">
            <w:pPr>
              <w:pStyle w:val="TabelaTekst"/>
              <w:spacing w:before="0" w:after="0" w:line="240" w:lineRule="auto"/>
              <w:jc w:val="center"/>
              <w:rPr>
                <w:rFonts w:ascii="Garamond" w:hAnsi="Garamond"/>
                <w:sz w:val="16"/>
                <w:szCs w:val="16"/>
              </w:rPr>
            </w:pPr>
            <w:r w:rsidRPr="00A42076">
              <w:rPr>
                <w:rFonts w:ascii="Garamond" w:hAnsi="Garamond"/>
                <w:sz w:val="16"/>
                <w:szCs w:val="16"/>
                <w:lang w:val="en-US"/>
              </w:rPr>
              <w:t>Less than 0.3 p.p.</w:t>
            </w:r>
          </w:p>
        </w:tc>
        <w:tc>
          <w:tcPr>
            <w:tcW w:w="1771" w:type="dxa"/>
            <w:vAlign w:val="center"/>
          </w:tcPr>
          <w:p w:rsidR="00F056F9" w:rsidRPr="00A42076" w:rsidRDefault="00E568CA" w:rsidP="003D6441">
            <w:pPr>
              <w:pStyle w:val="TabelaTekst"/>
              <w:spacing w:before="0" w:after="0" w:line="240" w:lineRule="auto"/>
              <w:jc w:val="center"/>
              <w:rPr>
                <w:rFonts w:ascii="Garamond" w:hAnsi="Garamond"/>
                <w:sz w:val="16"/>
                <w:szCs w:val="16"/>
              </w:rPr>
            </w:pPr>
            <w:r w:rsidRPr="00A42076">
              <w:rPr>
                <w:rFonts w:ascii="Garamond" w:hAnsi="Garamond"/>
                <w:sz w:val="16"/>
                <w:szCs w:val="16"/>
                <w:lang w:val="en-US"/>
              </w:rPr>
              <w:t>Less than 0.2 p.p.</w:t>
            </w:r>
          </w:p>
        </w:tc>
        <w:tc>
          <w:tcPr>
            <w:tcW w:w="1523" w:type="dxa"/>
            <w:vAlign w:val="center"/>
          </w:tcPr>
          <w:p w:rsidR="00F056F9" w:rsidRPr="00A42076" w:rsidRDefault="00E568CA" w:rsidP="003D6441">
            <w:pPr>
              <w:pStyle w:val="TabelaTekst"/>
              <w:spacing w:before="0" w:after="0" w:line="240" w:lineRule="auto"/>
              <w:jc w:val="center"/>
              <w:rPr>
                <w:rFonts w:ascii="Garamond" w:hAnsi="Garamond"/>
                <w:sz w:val="16"/>
                <w:szCs w:val="16"/>
                <w:lang w:val="en-US"/>
              </w:rPr>
            </w:pPr>
            <w:r w:rsidRPr="00A42076">
              <w:rPr>
                <w:rFonts w:ascii="Garamond" w:hAnsi="Garamond"/>
                <w:sz w:val="16"/>
                <w:szCs w:val="16"/>
                <w:lang w:val="en-US"/>
              </w:rPr>
              <w:t>Less than 0.2 p.p.</w:t>
            </w:r>
          </w:p>
        </w:tc>
      </w:tr>
      <w:tr w:rsidR="00F056F9" w:rsidRPr="00A42076" w:rsidTr="003D6441">
        <w:trPr>
          <w:gridAfter w:val="1"/>
          <w:wAfter w:w="19" w:type="dxa"/>
          <w:trHeight w:val="160"/>
          <w:jc w:val="center"/>
        </w:trPr>
        <w:tc>
          <w:tcPr>
            <w:tcW w:w="2721" w:type="dxa"/>
            <w:vAlign w:val="center"/>
          </w:tcPr>
          <w:p w:rsidR="00F056F9" w:rsidRPr="00A42076" w:rsidRDefault="0062456A" w:rsidP="003D6441">
            <w:pPr>
              <w:autoSpaceDE/>
              <w:autoSpaceDN/>
              <w:rPr>
                <w:rFonts w:ascii="Garamond" w:eastAsia="Calibri" w:hAnsi="Garamond"/>
                <w:b/>
                <w:bCs/>
                <w:caps/>
                <w:sz w:val="16"/>
                <w:szCs w:val="16"/>
                <w:lang w:val="uz-Cyrl-UZ" w:eastAsia="en-US" w:bidi="ar-SA"/>
              </w:rPr>
            </w:pPr>
            <w:r w:rsidRPr="00A42076">
              <w:rPr>
                <w:rFonts w:ascii="Garamond" w:eastAsia="Calibri" w:hAnsi="Garamond"/>
                <w:b/>
                <w:bCs/>
                <w:caps/>
                <w:sz w:val="16"/>
                <w:szCs w:val="16"/>
                <w:lang w:val="uz-Cyrl-UZ" w:eastAsia="en-US" w:bidi="ar-SA"/>
              </w:rPr>
              <w:t>DATA ON VALUES ACHIEVED</w:t>
            </w:r>
          </w:p>
        </w:tc>
        <w:tc>
          <w:tcPr>
            <w:tcW w:w="1771" w:type="dxa"/>
            <w:vAlign w:val="center"/>
          </w:tcPr>
          <w:p w:rsidR="00F056F9" w:rsidRPr="00A42076" w:rsidRDefault="00F056F9" w:rsidP="003D6441">
            <w:pPr>
              <w:pStyle w:val="TabelaTekst"/>
              <w:spacing w:before="0" w:after="0" w:line="240" w:lineRule="auto"/>
              <w:jc w:val="center"/>
              <w:rPr>
                <w:rFonts w:ascii="Garamond" w:hAnsi="Garamond"/>
                <w:sz w:val="16"/>
                <w:szCs w:val="16"/>
              </w:rPr>
            </w:pPr>
            <w:r w:rsidRPr="00A42076">
              <w:rPr>
                <w:rFonts w:ascii="Garamond" w:hAnsi="Garamond"/>
                <w:sz w:val="16"/>
                <w:szCs w:val="16"/>
              </w:rPr>
              <w:t>Target value for 201</w:t>
            </w:r>
            <w:r w:rsidRPr="00A42076">
              <w:rPr>
                <w:rFonts w:ascii="Garamond" w:hAnsi="Garamond"/>
                <w:sz w:val="16"/>
                <w:szCs w:val="16"/>
                <w:lang w:val="en-GB"/>
              </w:rPr>
              <w:t>7</w:t>
            </w:r>
            <w:r w:rsidRPr="00A42076">
              <w:rPr>
                <w:rFonts w:ascii="Garamond" w:hAnsi="Garamond"/>
                <w:sz w:val="16"/>
                <w:szCs w:val="16"/>
              </w:rPr>
              <w:t xml:space="preserve"> </w:t>
            </w:r>
            <w:r w:rsidR="00E568CA" w:rsidRPr="00A42076">
              <w:rPr>
                <w:rFonts w:ascii="Garamond" w:hAnsi="Garamond"/>
                <w:sz w:val="16"/>
                <w:szCs w:val="16"/>
                <w:lang w:val="en-GB"/>
              </w:rPr>
              <w:t xml:space="preserve">is not </w:t>
            </w:r>
            <w:r w:rsidRPr="00A42076">
              <w:rPr>
                <w:rFonts w:ascii="Garamond" w:hAnsi="Garamond"/>
                <w:sz w:val="16"/>
                <w:szCs w:val="16"/>
              </w:rPr>
              <w:t>met</w:t>
            </w:r>
          </w:p>
        </w:tc>
        <w:tc>
          <w:tcPr>
            <w:tcW w:w="1771" w:type="dxa"/>
            <w:vAlign w:val="center"/>
          </w:tcPr>
          <w:p w:rsidR="00F056F9" w:rsidRPr="00A42076" w:rsidRDefault="00E568CA" w:rsidP="003D6441">
            <w:pPr>
              <w:pStyle w:val="TabelaTekst"/>
              <w:spacing w:before="0" w:after="0" w:line="240" w:lineRule="auto"/>
              <w:jc w:val="center"/>
              <w:rPr>
                <w:rFonts w:ascii="Garamond" w:hAnsi="Garamond"/>
                <w:sz w:val="16"/>
                <w:szCs w:val="16"/>
                <w:lang w:val="en-GB"/>
              </w:rPr>
            </w:pPr>
            <w:proofErr w:type="gramStart"/>
            <w:r w:rsidRPr="00A42076">
              <w:rPr>
                <w:rFonts w:ascii="Garamond" w:hAnsi="Garamond"/>
                <w:sz w:val="16"/>
                <w:szCs w:val="16"/>
                <w:lang w:val="en-GB"/>
              </w:rPr>
              <w:t>0.8 p.p.</w:t>
            </w:r>
            <w:proofErr w:type="gramEnd"/>
            <w:r w:rsidRPr="00A42076">
              <w:rPr>
                <w:rStyle w:val="FootnoteReference"/>
                <w:rFonts w:ascii="Garamond" w:hAnsi="Garamond"/>
                <w:sz w:val="16"/>
                <w:szCs w:val="16"/>
                <w:lang w:val="en-GB"/>
              </w:rPr>
              <w:footnoteReference w:id="63"/>
            </w:r>
          </w:p>
        </w:tc>
        <w:tc>
          <w:tcPr>
            <w:tcW w:w="1771" w:type="dxa"/>
            <w:vAlign w:val="center"/>
          </w:tcPr>
          <w:p w:rsidR="00F056F9" w:rsidRPr="00A42076" w:rsidRDefault="00F329D5" w:rsidP="00F329D5">
            <w:pPr>
              <w:pStyle w:val="TabelaTekst"/>
              <w:spacing w:before="0" w:after="0" w:line="240" w:lineRule="auto"/>
              <w:jc w:val="center"/>
              <w:rPr>
                <w:rFonts w:ascii="Garamond" w:hAnsi="Garamond"/>
                <w:sz w:val="16"/>
                <w:szCs w:val="16"/>
                <w:lang w:val="sr-Latn-CS"/>
              </w:rPr>
            </w:pPr>
            <w:r w:rsidRPr="00A42076">
              <w:rPr>
                <w:rFonts w:ascii="Garamond" w:hAnsi="Garamond"/>
                <w:sz w:val="16"/>
                <w:szCs w:val="16"/>
                <w:lang w:val="sr-Latn-CS"/>
              </w:rPr>
              <w:t>Target value for 2019 part</w:t>
            </w:r>
            <w:r w:rsidR="00E568CA" w:rsidRPr="00A42076">
              <w:rPr>
                <w:rFonts w:ascii="Garamond" w:hAnsi="Garamond"/>
                <w:sz w:val="16"/>
                <w:szCs w:val="16"/>
                <w:lang w:val="sr-Latn-CS"/>
              </w:rPr>
              <w:t>ly met, further recommendations given</w:t>
            </w:r>
          </w:p>
        </w:tc>
        <w:tc>
          <w:tcPr>
            <w:tcW w:w="1523" w:type="dxa"/>
            <w:vAlign w:val="center"/>
          </w:tcPr>
          <w:p w:rsidR="00F056F9" w:rsidRPr="00A42076" w:rsidRDefault="00E568CA" w:rsidP="00F329D5">
            <w:pPr>
              <w:pStyle w:val="TabelaTekst"/>
              <w:spacing w:before="0" w:after="0" w:line="240" w:lineRule="auto"/>
              <w:jc w:val="center"/>
              <w:rPr>
                <w:rFonts w:ascii="Garamond" w:hAnsi="Garamond"/>
                <w:sz w:val="16"/>
                <w:szCs w:val="16"/>
              </w:rPr>
            </w:pPr>
            <w:r w:rsidRPr="00A42076">
              <w:rPr>
                <w:rFonts w:ascii="Garamond" w:hAnsi="Garamond" w:cstheme="minorHAnsi"/>
                <w:sz w:val="16"/>
                <w:szCs w:val="16"/>
                <w:lang w:val="en-US"/>
              </w:rPr>
              <w:t xml:space="preserve">The target value of the </w:t>
            </w:r>
            <w:r w:rsidR="00A547EF">
              <w:rPr>
                <w:rFonts w:ascii="Garamond" w:hAnsi="Garamond" w:cstheme="minorHAnsi"/>
                <w:sz w:val="16"/>
                <w:szCs w:val="16"/>
                <w:lang w:val="en-US"/>
              </w:rPr>
              <w:t>f</w:t>
            </w:r>
            <w:r w:rsidR="00F329D5" w:rsidRPr="00A42076">
              <w:rPr>
                <w:rFonts w:ascii="Garamond" w:hAnsi="Garamond" w:cstheme="minorHAnsi"/>
                <w:sz w:val="16"/>
                <w:szCs w:val="16"/>
                <w:lang w:val="en-US"/>
              </w:rPr>
              <w:t>orecast</w:t>
            </w:r>
            <w:r w:rsidRPr="00A42076">
              <w:rPr>
                <w:rFonts w:ascii="Garamond" w:hAnsi="Garamond" w:cstheme="minorHAnsi"/>
                <w:sz w:val="16"/>
                <w:szCs w:val="16"/>
                <w:lang w:val="en-US"/>
              </w:rPr>
              <w:t xml:space="preserve"> could not be achieved due to market disruptions and external shocks</w:t>
            </w:r>
          </w:p>
        </w:tc>
      </w:tr>
    </w:tbl>
    <w:p w:rsidR="004D1343" w:rsidRPr="00C32887" w:rsidRDefault="004D1343" w:rsidP="004D1343">
      <w:pPr>
        <w:rPr>
          <w:rFonts w:ascii="Garamond" w:hAnsi="Garamond"/>
          <w:sz w:val="24"/>
          <w:szCs w:val="24"/>
        </w:rPr>
      </w:pPr>
    </w:p>
    <w:p w:rsidR="004D1343" w:rsidRPr="00C32887" w:rsidRDefault="00E568CA" w:rsidP="00E568CA">
      <w:pPr>
        <w:pStyle w:val="Heading1"/>
        <w:rPr>
          <w:rFonts w:ascii="Garamond" w:hAnsi="Garamond"/>
          <w:sz w:val="24"/>
          <w:szCs w:val="24"/>
        </w:rPr>
      </w:pPr>
      <w:bookmarkStart w:id="48" w:name="_Toc77688225"/>
      <w:r>
        <w:rPr>
          <w:rFonts w:ascii="Garamond" w:hAnsi="Garamond"/>
          <w:sz w:val="24"/>
          <w:szCs w:val="24"/>
        </w:rPr>
        <w:t>2.</w:t>
      </w:r>
      <w:r w:rsidRPr="00C32887">
        <w:rPr>
          <w:rFonts w:ascii="Garamond" w:hAnsi="Garamond"/>
          <w:sz w:val="24"/>
          <w:szCs w:val="24"/>
        </w:rPr>
        <w:t xml:space="preserve">    BUDGET EXECUTION</w:t>
      </w:r>
      <w:bookmarkEnd w:id="48"/>
    </w:p>
    <w:p w:rsidR="004D1343" w:rsidRPr="00C32887" w:rsidRDefault="004D1343" w:rsidP="004D1343">
      <w:pPr>
        <w:rPr>
          <w:rFonts w:ascii="Garamond" w:hAnsi="Garamond"/>
          <w:sz w:val="24"/>
          <w:szCs w:val="24"/>
        </w:rPr>
      </w:pPr>
    </w:p>
    <w:p w:rsidR="004D1343" w:rsidRPr="00C32887" w:rsidRDefault="004D1343" w:rsidP="00E568CA">
      <w:pPr>
        <w:pStyle w:val="Heading2"/>
        <w:rPr>
          <w:rFonts w:ascii="Garamond" w:hAnsi="Garamond"/>
          <w:sz w:val="24"/>
          <w:szCs w:val="24"/>
        </w:rPr>
      </w:pPr>
      <w:bookmarkStart w:id="49" w:name="_Toc77688226"/>
      <w:r w:rsidRPr="00C32887">
        <w:rPr>
          <w:rFonts w:ascii="Garamond" w:hAnsi="Garamond"/>
          <w:sz w:val="24"/>
          <w:szCs w:val="24"/>
        </w:rPr>
        <w:t xml:space="preserve">2.1     </w:t>
      </w:r>
      <w:r w:rsidR="007D73B4" w:rsidRPr="007D73B4">
        <w:rPr>
          <w:rFonts w:ascii="Garamond" w:hAnsi="Garamond"/>
          <w:sz w:val="24"/>
          <w:szCs w:val="24"/>
        </w:rPr>
        <w:t>Revenue collection</w:t>
      </w:r>
      <w:r w:rsidRPr="00C32887">
        <w:rPr>
          <w:rFonts w:ascii="Garamond" w:hAnsi="Garamond"/>
          <w:sz w:val="24"/>
          <w:szCs w:val="24"/>
        </w:rPr>
        <w:t>- Tax Administration</w:t>
      </w:r>
      <w:bookmarkEnd w:id="49"/>
    </w:p>
    <w:p w:rsidR="004D1343" w:rsidRPr="00C32887" w:rsidRDefault="004D1343" w:rsidP="004D1343">
      <w:pPr>
        <w:rPr>
          <w:rFonts w:ascii="Garamond" w:hAnsi="Garamond"/>
          <w:sz w:val="24"/>
          <w:szCs w:val="24"/>
        </w:rPr>
      </w:pPr>
    </w:p>
    <w:p w:rsidR="004D1343" w:rsidRPr="00C32887" w:rsidRDefault="004D1343" w:rsidP="00E568CA">
      <w:pPr>
        <w:pStyle w:val="Heading3"/>
        <w:rPr>
          <w:rFonts w:ascii="Garamond" w:hAnsi="Garamond"/>
          <w:sz w:val="24"/>
          <w:szCs w:val="24"/>
        </w:rPr>
      </w:pPr>
      <w:bookmarkStart w:id="50" w:name="_Toc77688227"/>
      <w:r w:rsidRPr="00C32887">
        <w:rPr>
          <w:rFonts w:ascii="Garamond" w:hAnsi="Garamond"/>
          <w:sz w:val="24"/>
          <w:szCs w:val="24"/>
        </w:rPr>
        <w:t xml:space="preserve">2.1.1      </w:t>
      </w:r>
      <w:r w:rsidR="00E568CA">
        <w:rPr>
          <w:rFonts w:ascii="Garamond" w:hAnsi="Garamond"/>
          <w:sz w:val="24"/>
          <w:szCs w:val="24"/>
        </w:rPr>
        <w:t>PERFORMANCE INDICATOR 11</w:t>
      </w:r>
      <w:r w:rsidR="00E568CA" w:rsidRPr="00E568CA">
        <w:rPr>
          <w:rFonts w:ascii="Garamond" w:hAnsi="Garamond"/>
          <w:sz w:val="24"/>
          <w:szCs w:val="24"/>
        </w:rPr>
        <w:t xml:space="preserve"> </w:t>
      </w:r>
      <w:r w:rsidR="00E568CA" w:rsidRPr="00C32887">
        <w:rPr>
          <w:rFonts w:ascii="Garamond" w:hAnsi="Garamond"/>
          <w:sz w:val="24"/>
          <w:szCs w:val="24"/>
        </w:rPr>
        <w:t>PASSPORT</w:t>
      </w:r>
      <w:bookmarkEnd w:id="50"/>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7D73B4" w:rsidRPr="00A547EF" w:rsidTr="003D6441">
        <w:trPr>
          <w:jc w:val="center"/>
        </w:trPr>
        <w:tc>
          <w:tcPr>
            <w:tcW w:w="2721" w:type="dxa"/>
            <w:tcBorders>
              <w:right w:val="single" w:sz="4" w:space="0" w:color="FFFFFF"/>
            </w:tcBorders>
            <w:shd w:val="clear" w:color="auto" w:fill="BFBFBF"/>
            <w:vAlign w:val="center"/>
          </w:tcPr>
          <w:p w:rsidR="007D73B4" w:rsidRPr="00A547EF" w:rsidRDefault="007D73B4" w:rsidP="003D6441">
            <w:pPr>
              <w:autoSpaceDE/>
              <w:autoSpaceDN/>
              <w:rPr>
                <w:rFonts w:ascii="Garamond" w:eastAsia="Calibri" w:hAnsi="Garamond"/>
                <w:b/>
                <w:caps/>
                <w:sz w:val="16"/>
                <w:szCs w:val="16"/>
                <w:lang w:val="en-GB" w:eastAsia="en-US" w:bidi="ar-SA"/>
              </w:rPr>
            </w:pPr>
            <w:r w:rsidRPr="00A547EF">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7D73B4" w:rsidRPr="00A547EF" w:rsidRDefault="00B8392E" w:rsidP="00B8392E">
            <w:pPr>
              <w:pStyle w:val="Default"/>
              <w:jc w:val="both"/>
              <w:rPr>
                <w:rFonts w:ascii="Garamond" w:eastAsia="Calibri" w:hAnsi="Garamond"/>
                <w:b/>
                <w:sz w:val="16"/>
                <w:szCs w:val="16"/>
                <w:lang w:eastAsia="en-US"/>
              </w:rPr>
            </w:pPr>
            <w:r w:rsidRPr="00A547EF">
              <w:rPr>
                <w:rFonts w:ascii="Garamond" w:hAnsi="Garamond"/>
                <w:sz w:val="16"/>
                <w:szCs w:val="16"/>
              </w:rPr>
              <w:t xml:space="preserve">Share of submitted e-returns (Profit tax, VAT) in comparison to total number of submissions </w:t>
            </w:r>
          </w:p>
        </w:tc>
      </w:tr>
      <w:tr w:rsidR="007D73B4" w:rsidRPr="00A547EF" w:rsidTr="003D6441">
        <w:trPr>
          <w:gridAfter w:val="1"/>
          <w:wAfter w:w="19" w:type="dxa"/>
          <w:jc w:val="center"/>
        </w:trPr>
        <w:tc>
          <w:tcPr>
            <w:tcW w:w="2721" w:type="dxa"/>
            <w:vAlign w:val="center"/>
          </w:tcPr>
          <w:p w:rsidR="007D73B4" w:rsidRPr="00A547EF" w:rsidRDefault="007D73B4" w:rsidP="003D6441">
            <w:pPr>
              <w:autoSpaceDE/>
              <w:autoSpaceDN/>
              <w:rPr>
                <w:rFonts w:ascii="Garamond" w:eastAsia="Calibri" w:hAnsi="Garamond"/>
                <w:b/>
                <w:caps/>
                <w:sz w:val="16"/>
                <w:szCs w:val="16"/>
                <w:lang w:val="en-GB" w:eastAsia="en-US" w:bidi="ar-SA"/>
              </w:rPr>
            </w:pPr>
            <w:r w:rsidRPr="00A547EF">
              <w:rPr>
                <w:rFonts w:ascii="Garamond" w:eastAsia="Calibri" w:hAnsi="Garamond"/>
                <w:b/>
                <w:caps/>
                <w:sz w:val="16"/>
                <w:szCs w:val="16"/>
                <w:lang w:val="en-GB" w:eastAsia="en-US" w:bidi="ar-SA"/>
              </w:rPr>
              <w:t>corresponding objective or activity</w:t>
            </w:r>
          </w:p>
        </w:tc>
        <w:tc>
          <w:tcPr>
            <w:tcW w:w="6836" w:type="dxa"/>
            <w:gridSpan w:val="4"/>
            <w:vAlign w:val="center"/>
          </w:tcPr>
          <w:p w:rsidR="007D73B4" w:rsidRPr="00A547EF" w:rsidRDefault="007D73B4" w:rsidP="003D6441">
            <w:pPr>
              <w:rPr>
                <w:rFonts w:ascii="Garamond" w:hAnsi="Garamond"/>
                <w:color w:val="365F91" w:themeColor="accent1" w:themeShade="BF"/>
                <w:sz w:val="16"/>
                <w:szCs w:val="16"/>
              </w:rPr>
            </w:pPr>
            <w:r w:rsidRPr="00A547EF">
              <w:rPr>
                <w:rFonts w:ascii="Garamond" w:hAnsi="Garamond"/>
                <w:color w:val="365F91" w:themeColor="accent1" w:themeShade="BF"/>
                <w:sz w:val="16"/>
                <w:szCs w:val="16"/>
              </w:rPr>
              <w:t xml:space="preserve">Budget execution </w:t>
            </w:r>
          </w:p>
          <w:p w:rsidR="007D73B4" w:rsidRPr="00A547EF" w:rsidRDefault="007D73B4" w:rsidP="003D6441">
            <w:pPr>
              <w:pStyle w:val="ListParagraph"/>
              <w:numPr>
                <w:ilvl w:val="0"/>
                <w:numId w:val="28"/>
              </w:numPr>
              <w:rPr>
                <w:rFonts w:ascii="Garamond" w:hAnsi="Garamond"/>
                <w:color w:val="365F91" w:themeColor="accent1" w:themeShade="BF"/>
                <w:sz w:val="16"/>
                <w:szCs w:val="16"/>
                <w:u w:val="single"/>
              </w:rPr>
            </w:pPr>
            <w:r w:rsidRPr="00A547EF">
              <w:rPr>
                <w:rFonts w:ascii="Garamond" w:hAnsi="Garamond"/>
                <w:color w:val="365F91" w:themeColor="accent1" w:themeShade="BF"/>
                <w:sz w:val="16"/>
                <w:szCs w:val="16"/>
                <w:u w:val="single"/>
              </w:rPr>
              <w:t>Revenue collection - Tax Administration</w:t>
            </w:r>
          </w:p>
          <w:p w:rsidR="007D73B4" w:rsidRPr="00A547EF" w:rsidRDefault="007D73B4" w:rsidP="003D6441">
            <w:pPr>
              <w:rPr>
                <w:rFonts w:ascii="Garamond" w:eastAsia="Calibri" w:hAnsi="Garamond"/>
                <w:color w:val="000000" w:themeColor="text1"/>
                <w:sz w:val="16"/>
                <w:szCs w:val="16"/>
                <w:lang w:eastAsia="en-US" w:bidi="ar-SA"/>
              </w:rPr>
            </w:pPr>
            <w:r w:rsidRPr="00A547EF">
              <w:rPr>
                <w:rFonts w:ascii="Garamond" w:eastAsia="Calibri" w:hAnsi="Garamond"/>
                <w:color w:val="000000" w:themeColor="text1"/>
                <w:sz w:val="16"/>
                <w:szCs w:val="16"/>
                <w:lang w:eastAsia="en-US" w:bidi="ar-SA"/>
              </w:rPr>
              <w:t>Strengthening the administrative capacity of the Tax Administration of Montenegro to increase tax collection thus contributing to maximising the government</w:t>
            </w:r>
            <w:r w:rsidR="00C13A74" w:rsidRPr="00A547EF">
              <w:rPr>
                <w:rFonts w:ascii="Garamond" w:eastAsia="Calibri" w:hAnsi="Garamond"/>
                <w:color w:val="000000" w:themeColor="text1"/>
                <w:sz w:val="16"/>
                <w:szCs w:val="16"/>
                <w:lang w:eastAsia="en-US" w:bidi="ar-SA"/>
              </w:rPr>
              <w:t>’</w:t>
            </w:r>
            <w:r w:rsidRPr="00A547EF">
              <w:rPr>
                <w:rFonts w:ascii="Garamond" w:eastAsia="Calibri" w:hAnsi="Garamond"/>
                <w:color w:val="000000" w:themeColor="text1"/>
                <w:sz w:val="16"/>
                <w:szCs w:val="16"/>
                <w:lang w:eastAsia="en-US" w:bidi="ar-SA"/>
              </w:rPr>
              <w:t>s fiscal revenues</w:t>
            </w:r>
          </w:p>
        </w:tc>
      </w:tr>
      <w:tr w:rsidR="007D73B4" w:rsidRPr="00A547EF" w:rsidTr="003D6441">
        <w:trPr>
          <w:gridAfter w:val="1"/>
          <w:wAfter w:w="19" w:type="dxa"/>
          <w:jc w:val="center"/>
        </w:trPr>
        <w:tc>
          <w:tcPr>
            <w:tcW w:w="2721" w:type="dxa"/>
            <w:vAlign w:val="center"/>
          </w:tcPr>
          <w:p w:rsidR="007D73B4" w:rsidRPr="00A547EF" w:rsidRDefault="007D73B4" w:rsidP="003D6441">
            <w:pPr>
              <w:autoSpaceDE/>
              <w:autoSpaceDN/>
              <w:rPr>
                <w:rFonts w:ascii="Garamond" w:eastAsia="Calibri" w:hAnsi="Garamond"/>
                <w:b/>
                <w:caps/>
                <w:sz w:val="16"/>
                <w:szCs w:val="16"/>
                <w:lang w:val="uz-Cyrl-UZ" w:eastAsia="en-US" w:bidi="ar-SA"/>
              </w:rPr>
            </w:pPr>
            <w:r w:rsidRPr="00A547EF">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7D73B4" w:rsidRPr="00A547EF" w:rsidRDefault="007D73B4" w:rsidP="007D73B4">
            <w:pPr>
              <w:jc w:val="both"/>
              <w:rPr>
                <w:rFonts w:ascii="Garamond" w:hAnsi="Garamond"/>
                <w:sz w:val="16"/>
                <w:szCs w:val="16"/>
              </w:rPr>
            </w:pPr>
            <w:r w:rsidRPr="00A547EF">
              <w:rPr>
                <w:rFonts w:ascii="Garamond" w:hAnsi="Garamond"/>
                <w:sz w:val="16"/>
                <w:szCs w:val="16"/>
              </w:rPr>
              <w:t>Data for monitoring indicators are collected at the national level</w:t>
            </w:r>
          </w:p>
          <w:p w:rsidR="007D73B4" w:rsidRPr="00A547EF" w:rsidRDefault="007D73B4" w:rsidP="007D73B4">
            <w:pPr>
              <w:jc w:val="both"/>
              <w:rPr>
                <w:rFonts w:ascii="Garamond" w:hAnsi="Garamond"/>
                <w:sz w:val="16"/>
                <w:szCs w:val="16"/>
              </w:rPr>
            </w:pPr>
            <w:r w:rsidRPr="00A547EF">
              <w:rPr>
                <w:rFonts w:ascii="Garamond" w:hAnsi="Garamond"/>
                <w:sz w:val="16"/>
                <w:szCs w:val="16"/>
              </w:rPr>
              <w:t>https://eprijava.tax.gov.me/TaxisPortal (only f</w:t>
            </w:r>
            <w:r w:rsidR="00A547EF">
              <w:rPr>
                <w:rFonts w:ascii="Garamond" w:hAnsi="Garamond"/>
                <w:sz w:val="16"/>
                <w:szCs w:val="16"/>
              </w:rPr>
              <w:t xml:space="preserve">inancial statements can be viewed, </w:t>
            </w:r>
            <w:r w:rsidRPr="00A547EF">
              <w:rPr>
                <w:rFonts w:ascii="Garamond" w:hAnsi="Garamond"/>
                <w:sz w:val="16"/>
                <w:szCs w:val="16"/>
              </w:rPr>
              <w:t xml:space="preserve">not </w:t>
            </w:r>
            <w:r w:rsidR="00A547EF">
              <w:rPr>
                <w:rFonts w:ascii="Garamond" w:hAnsi="Garamond"/>
                <w:sz w:val="16"/>
                <w:szCs w:val="16"/>
              </w:rPr>
              <w:t xml:space="preserve">the </w:t>
            </w:r>
            <w:r w:rsidRPr="00A547EF">
              <w:rPr>
                <w:rFonts w:ascii="Garamond" w:hAnsi="Garamond"/>
                <w:sz w:val="16"/>
                <w:szCs w:val="16"/>
              </w:rPr>
              <w:t>statistics on the growth or decline of submitted e-returns)</w:t>
            </w:r>
          </w:p>
          <w:p w:rsidR="007D73B4" w:rsidRPr="00A547EF" w:rsidRDefault="007D73B4" w:rsidP="007D73B4">
            <w:pPr>
              <w:jc w:val="both"/>
              <w:rPr>
                <w:rFonts w:ascii="Garamond" w:hAnsi="Garamond"/>
                <w:sz w:val="16"/>
                <w:szCs w:val="16"/>
              </w:rPr>
            </w:pPr>
            <w:r w:rsidRPr="00A547EF">
              <w:rPr>
                <w:rFonts w:ascii="Garamond" w:hAnsi="Garamond"/>
                <w:sz w:val="16"/>
                <w:szCs w:val="16"/>
              </w:rPr>
              <w:t>- Annual Report of the Tax Administration: www.poreskauprava.gov.me</w:t>
            </w:r>
          </w:p>
          <w:p w:rsidR="007D73B4" w:rsidRPr="00A547EF" w:rsidRDefault="007D73B4" w:rsidP="00287ACF">
            <w:pPr>
              <w:jc w:val="both"/>
              <w:rPr>
                <w:rFonts w:ascii="Garamond" w:eastAsia="Calibri" w:hAnsi="Garamond"/>
                <w:sz w:val="16"/>
                <w:szCs w:val="16"/>
                <w:lang w:eastAsia="en-US" w:bidi="ar-SA"/>
              </w:rPr>
            </w:pPr>
            <w:r w:rsidRPr="00A547EF">
              <w:rPr>
                <w:rFonts w:ascii="Garamond" w:hAnsi="Garamond"/>
                <w:sz w:val="16"/>
                <w:szCs w:val="16"/>
              </w:rPr>
              <w:t>- Internal quarterly and semi-annual reports of the competent department for e-</w:t>
            </w:r>
            <w:r w:rsidR="00287ACF" w:rsidRPr="00A547EF">
              <w:rPr>
                <w:rFonts w:ascii="Garamond" w:hAnsi="Garamond"/>
                <w:sz w:val="16"/>
                <w:szCs w:val="16"/>
              </w:rPr>
              <w:t>returns</w:t>
            </w:r>
            <w:r w:rsidRPr="00A547EF">
              <w:rPr>
                <w:rFonts w:ascii="Garamond" w:hAnsi="Garamond"/>
                <w:sz w:val="16"/>
                <w:szCs w:val="16"/>
              </w:rPr>
              <w:t xml:space="preserve"> (not published on the website)</w:t>
            </w:r>
          </w:p>
        </w:tc>
      </w:tr>
      <w:tr w:rsidR="007D73B4" w:rsidRPr="00A547EF" w:rsidTr="003D6441">
        <w:trPr>
          <w:gridAfter w:val="1"/>
          <w:wAfter w:w="19" w:type="dxa"/>
          <w:jc w:val="center"/>
        </w:trPr>
        <w:tc>
          <w:tcPr>
            <w:tcW w:w="2721" w:type="dxa"/>
            <w:vAlign w:val="center"/>
          </w:tcPr>
          <w:p w:rsidR="007D73B4" w:rsidRPr="00A547EF" w:rsidRDefault="007D73B4" w:rsidP="003D6441">
            <w:pPr>
              <w:autoSpaceDE/>
              <w:autoSpaceDN/>
              <w:rPr>
                <w:rFonts w:ascii="Garamond" w:eastAsia="Calibri" w:hAnsi="Garamond"/>
                <w:b/>
                <w:caps/>
                <w:sz w:val="16"/>
                <w:szCs w:val="16"/>
                <w:lang w:val="uz-Cyrl-UZ" w:eastAsia="en-US" w:bidi="ar-SA"/>
              </w:rPr>
            </w:pPr>
            <w:r w:rsidRPr="00A547EF">
              <w:rPr>
                <w:rFonts w:ascii="Garamond" w:eastAsia="Calibri" w:hAnsi="Garamond"/>
                <w:b/>
                <w:caps/>
                <w:sz w:val="16"/>
                <w:szCs w:val="16"/>
                <w:lang w:val="uz-Cyrl-UZ" w:eastAsia="en-US" w:bidi="ar-SA"/>
              </w:rPr>
              <w:t>NAME OF DATA COLLECTION HOLDER</w:t>
            </w:r>
          </w:p>
        </w:tc>
        <w:tc>
          <w:tcPr>
            <w:tcW w:w="6836" w:type="dxa"/>
            <w:gridSpan w:val="4"/>
            <w:vAlign w:val="center"/>
          </w:tcPr>
          <w:p w:rsidR="00287ACF" w:rsidRPr="00A547EF" w:rsidRDefault="00287ACF" w:rsidP="00287ACF">
            <w:pPr>
              <w:rPr>
                <w:rFonts w:ascii="Garamond" w:hAnsi="Garamond"/>
                <w:sz w:val="16"/>
                <w:szCs w:val="16"/>
              </w:rPr>
            </w:pPr>
            <w:r w:rsidRPr="00A547EF">
              <w:rPr>
                <w:rFonts w:ascii="Garamond" w:hAnsi="Garamond"/>
                <w:sz w:val="16"/>
                <w:szCs w:val="16"/>
              </w:rPr>
              <w:t>Revenue &amp; Customs Administration</w:t>
            </w:r>
          </w:p>
          <w:p w:rsidR="007D73B4" w:rsidRPr="00A547EF" w:rsidRDefault="00287ACF" w:rsidP="00287ACF">
            <w:pPr>
              <w:rPr>
                <w:rFonts w:ascii="Garamond" w:eastAsia="Calibri" w:hAnsi="Garamond"/>
                <w:sz w:val="16"/>
                <w:szCs w:val="16"/>
                <w:lang w:eastAsia="en-US" w:bidi="ar-SA"/>
              </w:rPr>
            </w:pPr>
            <w:r w:rsidRPr="00A547EF">
              <w:rPr>
                <w:rFonts w:ascii="Garamond" w:hAnsi="Garamond"/>
                <w:sz w:val="16"/>
                <w:szCs w:val="16"/>
              </w:rPr>
              <w:t>Phone: 020 - 448 -232</w:t>
            </w:r>
          </w:p>
        </w:tc>
      </w:tr>
      <w:tr w:rsidR="007D73B4" w:rsidRPr="00A547EF" w:rsidTr="003D6441">
        <w:trPr>
          <w:gridAfter w:val="1"/>
          <w:wAfter w:w="19" w:type="dxa"/>
          <w:jc w:val="center"/>
        </w:trPr>
        <w:tc>
          <w:tcPr>
            <w:tcW w:w="2721" w:type="dxa"/>
            <w:vAlign w:val="center"/>
          </w:tcPr>
          <w:p w:rsidR="007D73B4" w:rsidRPr="00A547EF" w:rsidRDefault="007D73B4" w:rsidP="003D6441">
            <w:pPr>
              <w:autoSpaceDE/>
              <w:autoSpaceDN/>
              <w:rPr>
                <w:rFonts w:ascii="Garamond" w:eastAsia="Calibri" w:hAnsi="Garamond"/>
                <w:b/>
                <w:caps/>
                <w:sz w:val="16"/>
                <w:szCs w:val="16"/>
                <w:lang w:val="uz-Cyrl-UZ" w:eastAsia="en-US" w:bidi="ar-SA"/>
              </w:rPr>
            </w:pPr>
            <w:r w:rsidRPr="00A547EF">
              <w:rPr>
                <w:rFonts w:ascii="Garamond" w:eastAsia="Calibri" w:hAnsi="Garamond"/>
                <w:b/>
                <w:caps/>
                <w:sz w:val="16"/>
                <w:szCs w:val="16"/>
                <w:lang w:val="uz-Cyrl-UZ" w:eastAsia="en-US" w:bidi="ar-SA"/>
              </w:rPr>
              <w:t>FREQUENCY OF DATA PUBLICATION</w:t>
            </w:r>
          </w:p>
        </w:tc>
        <w:tc>
          <w:tcPr>
            <w:tcW w:w="6836" w:type="dxa"/>
            <w:gridSpan w:val="4"/>
            <w:vAlign w:val="center"/>
          </w:tcPr>
          <w:p w:rsidR="007D73B4" w:rsidRPr="00A547EF" w:rsidRDefault="00287ACF" w:rsidP="003D6441">
            <w:pPr>
              <w:rPr>
                <w:rFonts w:ascii="Garamond" w:eastAsia="Calibri" w:hAnsi="Garamond"/>
                <w:sz w:val="16"/>
                <w:szCs w:val="16"/>
                <w:lang w:eastAsia="en-US" w:bidi="ar-SA"/>
              </w:rPr>
            </w:pPr>
            <w:r w:rsidRPr="00A547EF">
              <w:rPr>
                <w:rFonts w:ascii="Garamond" w:hAnsi="Garamond"/>
                <w:sz w:val="16"/>
                <w:szCs w:val="16"/>
              </w:rPr>
              <w:t>Quarterly</w:t>
            </w:r>
          </w:p>
        </w:tc>
      </w:tr>
      <w:tr w:rsidR="007D73B4" w:rsidRPr="00A547EF" w:rsidTr="003D6441">
        <w:trPr>
          <w:gridAfter w:val="1"/>
          <w:wAfter w:w="19" w:type="dxa"/>
          <w:trHeight w:val="458"/>
          <w:jc w:val="center"/>
        </w:trPr>
        <w:tc>
          <w:tcPr>
            <w:tcW w:w="2721" w:type="dxa"/>
            <w:vMerge w:val="restart"/>
            <w:vAlign w:val="center"/>
          </w:tcPr>
          <w:p w:rsidR="007D73B4" w:rsidRPr="00A547EF" w:rsidRDefault="007D73B4" w:rsidP="003D6441">
            <w:pPr>
              <w:autoSpaceDE/>
              <w:autoSpaceDN/>
              <w:rPr>
                <w:rFonts w:ascii="Garamond" w:eastAsia="Calibri" w:hAnsi="Garamond"/>
                <w:b/>
                <w:caps/>
                <w:sz w:val="16"/>
                <w:szCs w:val="16"/>
                <w:lang w:val="uz-Cyrl-UZ" w:eastAsia="en-US" w:bidi="ar-SA"/>
              </w:rPr>
            </w:pPr>
            <w:r w:rsidRPr="00A547EF">
              <w:rPr>
                <w:rFonts w:ascii="Garamond" w:eastAsia="Calibri" w:hAnsi="Garamond"/>
                <w:b/>
                <w:caps/>
                <w:sz w:val="16"/>
                <w:szCs w:val="16"/>
                <w:lang w:val="uz-Cyrl-UZ" w:eastAsia="en-US" w:bidi="ar-SA"/>
              </w:rPr>
              <w:t xml:space="preserve">BRIEF DESCRIPTION </w:t>
            </w:r>
            <w:r w:rsidRPr="00A547EF">
              <w:rPr>
                <w:rFonts w:ascii="Garamond" w:eastAsia="Calibri" w:hAnsi="Garamond"/>
                <w:b/>
                <w:caps/>
                <w:sz w:val="16"/>
                <w:szCs w:val="16"/>
                <w:lang w:val="en-GB" w:eastAsia="en-US" w:bidi="ar-SA"/>
              </w:rPr>
              <w:t xml:space="preserve">OF </w:t>
            </w:r>
            <w:r w:rsidRPr="00A547EF">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7D73B4" w:rsidRPr="00A547EF" w:rsidRDefault="00287ACF" w:rsidP="00F329D5">
            <w:pPr>
              <w:jc w:val="both"/>
              <w:rPr>
                <w:rFonts w:ascii="Garamond" w:eastAsia="Calibri" w:hAnsi="Garamond"/>
                <w:sz w:val="16"/>
                <w:szCs w:val="16"/>
                <w:lang w:eastAsia="en-US" w:bidi="ar-SA"/>
              </w:rPr>
            </w:pPr>
            <w:r w:rsidRPr="00A547EF">
              <w:rPr>
                <w:rFonts w:ascii="Garamond" w:hAnsi="Garamond"/>
                <w:sz w:val="16"/>
                <w:szCs w:val="16"/>
              </w:rPr>
              <w:t xml:space="preserve">For the 2017 calendar year, data are given for the 2016 fiscal year when it comes to income, because the </w:t>
            </w:r>
            <w:r w:rsidR="00F329D5" w:rsidRPr="00A547EF">
              <w:rPr>
                <w:rFonts w:ascii="Garamond" w:hAnsi="Garamond"/>
                <w:sz w:val="16"/>
                <w:szCs w:val="16"/>
              </w:rPr>
              <w:t>due</w:t>
            </w:r>
            <w:r w:rsidRPr="00A547EF">
              <w:rPr>
                <w:rFonts w:ascii="Garamond" w:hAnsi="Garamond"/>
                <w:sz w:val="16"/>
                <w:szCs w:val="16"/>
              </w:rPr>
              <w:t xml:space="preserve"> date is 31 March 2017, and when it comes to VAT, data are given for accounting periods </w:t>
            </w:r>
            <w:r w:rsidR="00F329D5" w:rsidRPr="00A547EF">
              <w:rPr>
                <w:rFonts w:ascii="Garamond" w:hAnsi="Garamond"/>
                <w:sz w:val="16"/>
                <w:szCs w:val="16"/>
              </w:rPr>
              <w:t>becoming due</w:t>
            </w:r>
            <w:r w:rsidRPr="00A547EF">
              <w:rPr>
                <w:rFonts w:ascii="Garamond" w:hAnsi="Garamond"/>
                <w:sz w:val="16"/>
                <w:szCs w:val="16"/>
              </w:rPr>
              <w:t xml:space="preserve"> in 2017. VAT is submitted up to 15</w:t>
            </w:r>
            <w:r w:rsidR="00F329D5" w:rsidRPr="00A547EF">
              <w:rPr>
                <w:rFonts w:ascii="Garamond" w:hAnsi="Garamond"/>
                <w:sz w:val="16"/>
                <w:szCs w:val="16"/>
                <w:vertAlign w:val="superscript"/>
              </w:rPr>
              <w:t>th</w:t>
            </w:r>
            <w:r w:rsidR="00F329D5" w:rsidRPr="00A547EF">
              <w:rPr>
                <w:rFonts w:ascii="Garamond" w:hAnsi="Garamond"/>
                <w:sz w:val="16"/>
                <w:szCs w:val="16"/>
              </w:rPr>
              <w:t xml:space="preserve"> day of the </w:t>
            </w:r>
            <w:r w:rsidRPr="00A547EF">
              <w:rPr>
                <w:rFonts w:ascii="Garamond" w:hAnsi="Garamond"/>
                <w:sz w:val="16"/>
                <w:szCs w:val="16"/>
              </w:rPr>
              <w:t xml:space="preserve">month for </w:t>
            </w:r>
            <w:r w:rsidR="00F329D5" w:rsidRPr="00A547EF">
              <w:rPr>
                <w:rFonts w:ascii="Garamond" w:hAnsi="Garamond"/>
                <w:sz w:val="16"/>
                <w:szCs w:val="16"/>
              </w:rPr>
              <w:t xml:space="preserve">the </w:t>
            </w:r>
            <w:r w:rsidRPr="00A547EF">
              <w:rPr>
                <w:rFonts w:ascii="Garamond" w:hAnsi="Garamond"/>
                <w:sz w:val="16"/>
                <w:szCs w:val="16"/>
              </w:rPr>
              <w:t>previous month.</w:t>
            </w:r>
          </w:p>
        </w:tc>
      </w:tr>
      <w:tr w:rsidR="007D73B4" w:rsidRPr="00A547EF" w:rsidTr="003D6441">
        <w:trPr>
          <w:gridAfter w:val="1"/>
          <w:wAfter w:w="19" w:type="dxa"/>
          <w:trHeight w:val="620"/>
          <w:jc w:val="center"/>
        </w:trPr>
        <w:tc>
          <w:tcPr>
            <w:tcW w:w="2721" w:type="dxa"/>
            <w:vMerge/>
            <w:shd w:val="clear" w:color="auto" w:fill="auto"/>
            <w:vAlign w:val="center"/>
          </w:tcPr>
          <w:p w:rsidR="007D73B4" w:rsidRPr="00A547EF" w:rsidRDefault="007D73B4" w:rsidP="003D6441">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7D73B4" w:rsidRPr="00A547EF" w:rsidRDefault="007D73B4" w:rsidP="00287ACF">
            <w:pPr>
              <w:jc w:val="center"/>
              <w:rPr>
                <w:rFonts w:ascii="Garamond" w:hAnsi="Garamond"/>
                <w:color w:val="365F91" w:themeColor="accent1" w:themeShade="BF"/>
                <w:sz w:val="16"/>
                <w:szCs w:val="16"/>
              </w:rPr>
            </w:pPr>
            <w:r w:rsidRPr="00A547EF">
              <w:rPr>
                <w:rFonts w:ascii="Garamond" w:hAnsi="Garamond"/>
                <w:color w:val="365F91" w:themeColor="accent1" w:themeShade="BF"/>
                <w:sz w:val="16"/>
                <w:szCs w:val="16"/>
              </w:rPr>
              <w:t>FORMULA / EQUATION</w:t>
            </w:r>
          </w:p>
          <w:p w:rsidR="00287ACF" w:rsidRPr="00A547EF" w:rsidRDefault="00287ACF" w:rsidP="00287ACF">
            <w:pPr>
              <w:jc w:val="both"/>
              <w:rPr>
                <w:rFonts w:ascii="Garamond" w:eastAsia="游明朝" w:hAnsi="Garamond" w:cs="Times New Roman"/>
                <w:sz w:val="16"/>
                <w:szCs w:val="16"/>
                <w:lang w:val="sr-Latn-CS" w:eastAsia="en-US" w:bidi="ar-SA"/>
              </w:rPr>
            </w:pPr>
            <w:r w:rsidRPr="00A547EF">
              <w:rPr>
                <w:rFonts w:ascii="Garamond" w:eastAsia="游明朝" w:hAnsi="Garamond" w:cs="Times New Roman"/>
                <w:sz w:val="16"/>
                <w:szCs w:val="16"/>
                <w:lang w:val="sr-Latn-CS" w:eastAsia="en-US" w:bidi="ar-SA"/>
              </w:rPr>
              <w:t xml:space="preserve">The total number of </w:t>
            </w:r>
            <w:r w:rsidR="00F329D5" w:rsidRPr="00A547EF">
              <w:rPr>
                <w:rFonts w:ascii="Garamond" w:eastAsia="游明朝" w:hAnsi="Garamond" w:cs="Times New Roman"/>
                <w:sz w:val="16"/>
                <w:szCs w:val="16"/>
                <w:lang w:val="sr-Latn-CS" w:eastAsia="en-US" w:bidi="ar-SA"/>
              </w:rPr>
              <w:t xml:space="preserve">electronically </w:t>
            </w:r>
            <w:r w:rsidRPr="00A547EF">
              <w:rPr>
                <w:rFonts w:ascii="Garamond" w:eastAsia="游明朝" w:hAnsi="Garamond" w:cs="Times New Roman"/>
                <w:sz w:val="16"/>
                <w:szCs w:val="16"/>
                <w:lang w:val="sr-Latn-CS" w:eastAsia="en-US" w:bidi="ar-SA"/>
              </w:rPr>
              <w:t xml:space="preserve">submitted VAT returns </w:t>
            </w:r>
            <w:r w:rsidR="00F329D5" w:rsidRPr="00A547EF">
              <w:rPr>
                <w:rFonts w:ascii="Garamond" w:eastAsia="游明朝" w:hAnsi="Garamond" w:cs="Times New Roman"/>
                <w:sz w:val="16"/>
                <w:szCs w:val="16"/>
                <w:lang w:val="sr-Latn-CS" w:eastAsia="en-US" w:bidi="ar-SA"/>
              </w:rPr>
              <w:t>delivered</w:t>
            </w:r>
            <w:r w:rsidRPr="00A547EF">
              <w:rPr>
                <w:rFonts w:ascii="Garamond" w:eastAsia="游明朝" w:hAnsi="Garamond" w:cs="Times New Roman"/>
                <w:sz w:val="16"/>
                <w:szCs w:val="16"/>
                <w:lang w:val="sr-Latn-CS" w:eastAsia="en-US" w:bidi="ar-SA"/>
              </w:rPr>
              <w:t xml:space="preserve"> for the accounting periods of the calendar year</w:t>
            </w:r>
          </w:p>
          <w:p w:rsidR="00287ACF" w:rsidRPr="00A547EF" w:rsidRDefault="00287ACF" w:rsidP="00287ACF">
            <w:pPr>
              <w:jc w:val="both"/>
              <w:rPr>
                <w:rFonts w:ascii="Garamond" w:eastAsia="游明朝" w:hAnsi="Garamond" w:cs="Times New Roman"/>
                <w:sz w:val="16"/>
                <w:szCs w:val="16"/>
                <w:lang w:val="sr-Latn-CS" w:eastAsia="en-US" w:bidi="ar-SA"/>
              </w:rPr>
            </w:pPr>
            <w:r w:rsidRPr="00A547EF">
              <w:rPr>
                <w:rFonts w:ascii="Garamond" w:eastAsia="游明朝" w:hAnsi="Garamond" w:cs="Times New Roman"/>
                <w:sz w:val="16"/>
                <w:szCs w:val="16"/>
                <w:lang w:val="sr-Latn-CS" w:eastAsia="en-US" w:bidi="ar-SA"/>
              </w:rPr>
              <w:t>Total number of submitted VAT returns for accounting periods of the calendar year</w:t>
            </w:r>
          </w:p>
          <w:p w:rsidR="00287ACF" w:rsidRPr="00A547EF" w:rsidRDefault="00287ACF" w:rsidP="00287ACF">
            <w:pPr>
              <w:jc w:val="both"/>
              <w:rPr>
                <w:rFonts w:ascii="Garamond" w:eastAsia="游明朝" w:hAnsi="Garamond" w:cs="Times New Roman"/>
                <w:sz w:val="16"/>
                <w:szCs w:val="16"/>
                <w:lang w:val="sr-Latn-CS" w:eastAsia="en-US" w:bidi="ar-SA"/>
              </w:rPr>
            </w:pPr>
            <w:r w:rsidRPr="00A547EF">
              <w:rPr>
                <w:rFonts w:ascii="Garamond" w:eastAsia="游明朝" w:hAnsi="Garamond" w:cs="Times New Roman"/>
                <w:sz w:val="16"/>
                <w:szCs w:val="16"/>
                <w:lang w:val="sr-Latn-CS" w:eastAsia="en-US" w:bidi="ar-SA"/>
              </w:rPr>
              <w:t>x100</w:t>
            </w:r>
          </w:p>
          <w:p w:rsidR="00287ACF" w:rsidRPr="00A547EF" w:rsidRDefault="00287ACF" w:rsidP="00287ACF">
            <w:pPr>
              <w:jc w:val="both"/>
              <w:rPr>
                <w:rFonts w:ascii="Garamond" w:eastAsia="游明朝" w:hAnsi="Garamond" w:cs="Times New Roman"/>
                <w:sz w:val="16"/>
                <w:szCs w:val="16"/>
                <w:lang w:val="sr-Latn-CS" w:eastAsia="en-US" w:bidi="ar-SA"/>
              </w:rPr>
            </w:pPr>
            <w:r w:rsidRPr="00A547EF">
              <w:rPr>
                <w:rFonts w:ascii="Garamond" w:eastAsia="游明朝" w:hAnsi="Garamond" w:cs="Times New Roman"/>
                <w:sz w:val="16"/>
                <w:szCs w:val="16"/>
                <w:lang w:val="sr-Latn-CS" w:eastAsia="en-US" w:bidi="ar-SA"/>
              </w:rPr>
              <w:t xml:space="preserve">Total number of </w:t>
            </w:r>
            <w:r w:rsidR="00F329D5" w:rsidRPr="00A547EF">
              <w:rPr>
                <w:rFonts w:ascii="Garamond" w:eastAsia="游明朝" w:hAnsi="Garamond" w:cs="Times New Roman"/>
                <w:sz w:val="16"/>
                <w:szCs w:val="16"/>
                <w:lang w:val="sr-Latn-CS" w:eastAsia="en-US" w:bidi="ar-SA"/>
              </w:rPr>
              <w:t xml:space="preserve">electronically </w:t>
            </w:r>
            <w:r w:rsidRPr="00A547EF">
              <w:rPr>
                <w:rFonts w:ascii="Garamond" w:eastAsia="游明朝" w:hAnsi="Garamond" w:cs="Times New Roman"/>
                <w:sz w:val="16"/>
                <w:szCs w:val="16"/>
                <w:lang w:val="sr-Latn-CS" w:eastAsia="en-US" w:bidi="ar-SA"/>
              </w:rPr>
              <w:t>submitted income tax returns for the accounting periods of the calendar year</w:t>
            </w:r>
          </w:p>
          <w:p w:rsidR="007D73B4" w:rsidRPr="00A547EF" w:rsidRDefault="00287ACF" w:rsidP="00287ACF">
            <w:pPr>
              <w:jc w:val="both"/>
              <w:rPr>
                <w:rFonts w:ascii="Garamond" w:eastAsia="Calibri" w:hAnsi="Garamond"/>
                <w:sz w:val="16"/>
                <w:szCs w:val="16"/>
                <w:lang w:eastAsia="en-US" w:bidi="ar-SA"/>
              </w:rPr>
            </w:pPr>
            <w:r w:rsidRPr="00A547EF">
              <w:rPr>
                <w:rFonts w:ascii="Garamond" w:eastAsia="游明朝" w:hAnsi="Garamond" w:cs="Times New Roman"/>
                <w:sz w:val="16"/>
                <w:szCs w:val="16"/>
                <w:lang w:val="sr-Latn-CS" w:eastAsia="en-US" w:bidi="ar-SA"/>
              </w:rPr>
              <w:t>Total number of submitted income tax returns for the accounting periods of the calendar year</w:t>
            </w:r>
          </w:p>
        </w:tc>
      </w:tr>
      <w:tr w:rsidR="007D73B4" w:rsidRPr="00A547EF" w:rsidTr="003D6441">
        <w:trPr>
          <w:gridAfter w:val="1"/>
          <w:wAfter w:w="19" w:type="dxa"/>
          <w:trHeight w:val="585"/>
          <w:jc w:val="center"/>
        </w:trPr>
        <w:tc>
          <w:tcPr>
            <w:tcW w:w="2721" w:type="dxa"/>
            <w:vAlign w:val="center"/>
          </w:tcPr>
          <w:p w:rsidR="007D73B4" w:rsidRPr="00A547EF" w:rsidRDefault="007D73B4" w:rsidP="003D6441">
            <w:pPr>
              <w:autoSpaceDE/>
              <w:autoSpaceDN/>
              <w:rPr>
                <w:rFonts w:ascii="Garamond" w:eastAsia="Calibri" w:hAnsi="Garamond"/>
                <w:b/>
                <w:bCs/>
                <w:caps/>
                <w:sz w:val="16"/>
                <w:szCs w:val="16"/>
                <w:lang w:val="en-GB" w:eastAsia="en-US" w:bidi="ar-SA"/>
              </w:rPr>
            </w:pPr>
            <w:r w:rsidRPr="00A547EF">
              <w:rPr>
                <w:rFonts w:ascii="Garamond" w:eastAsia="Calibri" w:hAnsi="Garamond"/>
                <w:b/>
                <w:caps/>
                <w:sz w:val="16"/>
                <w:szCs w:val="16"/>
                <w:lang w:val="uz-Cyrl-UZ" w:eastAsia="en-US" w:bidi="ar-SA"/>
              </w:rPr>
              <w:t>BASELINE</w:t>
            </w:r>
            <w:r w:rsidRPr="00A547EF">
              <w:rPr>
                <w:rFonts w:ascii="Garamond" w:eastAsia="Calibri" w:hAnsi="Garamond"/>
                <w:b/>
                <w:caps/>
                <w:sz w:val="16"/>
                <w:szCs w:val="16"/>
                <w:lang w:val="en-GB" w:eastAsia="en-US" w:bidi="ar-SA"/>
              </w:rPr>
              <w:t xml:space="preserve"> DATA</w:t>
            </w:r>
          </w:p>
        </w:tc>
        <w:tc>
          <w:tcPr>
            <w:tcW w:w="6836" w:type="dxa"/>
            <w:gridSpan w:val="4"/>
            <w:vAlign w:val="center"/>
          </w:tcPr>
          <w:p w:rsidR="007D73B4" w:rsidRPr="00A547EF" w:rsidRDefault="007D73B4" w:rsidP="006F04E8">
            <w:pPr>
              <w:autoSpaceDE/>
              <w:autoSpaceDN/>
              <w:jc w:val="both"/>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 xml:space="preserve">PV (2014): </w:t>
            </w:r>
            <w:r w:rsidR="00287ACF" w:rsidRPr="00A547EF">
              <w:rPr>
                <w:rFonts w:ascii="Garamond" w:eastAsia="Calibri" w:hAnsi="Garamond"/>
                <w:sz w:val="16"/>
                <w:szCs w:val="16"/>
                <w:lang w:val="en-GB" w:eastAsia="en-US" w:bidi="ar-SA"/>
              </w:rPr>
              <w:t>27% not in total because it is a paper way o</w:t>
            </w:r>
            <w:r w:rsidR="006F04E8" w:rsidRPr="00A547EF">
              <w:rPr>
                <w:rFonts w:ascii="Garamond" w:eastAsia="Calibri" w:hAnsi="Garamond"/>
                <w:sz w:val="16"/>
                <w:szCs w:val="16"/>
                <w:lang w:val="en-GB" w:eastAsia="en-US" w:bidi="ar-SA"/>
              </w:rPr>
              <w:t>f</w:t>
            </w:r>
            <w:r w:rsidR="00287ACF" w:rsidRPr="00A547EF">
              <w:rPr>
                <w:rFonts w:ascii="Garamond" w:eastAsia="Calibri" w:hAnsi="Garamond"/>
                <w:sz w:val="16"/>
                <w:szCs w:val="16"/>
                <w:lang w:val="en-GB" w:eastAsia="en-US" w:bidi="ar-SA"/>
              </w:rPr>
              <w:t xml:space="preserve"> submission </w:t>
            </w:r>
          </w:p>
        </w:tc>
      </w:tr>
      <w:tr w:rsidR="007D73B4" w:rsidRPr="00A547EF" w:rsidTr="003D6441">
        <w:trPr>
          <w:gridAfter w:val="1"/>
          <w:wAfter w:w="19" w:type="dxa"/>
          <w:trHeight w:val="160"/>
          <w:jc w:val="center"/>
        </w:trPr>
        <w:tc>
          <w:tcPr>
            <w:tcW w:w="2721" w:type="dxa"/>
            <w:vMerge w:val="restart"/>
            <w:vAlign w:val="center"/>
          </w:tcPr>
          <w:p w:rsidR="007D73B4" w:rsidRPr="00A547EF" w:rsidRDefault="007D73B4" w:rsidP="003D6441">
            <w:pPr>
              <w:autoSpaceDE/>
              <w:autoSpaceDN/>
              <w:rPr>
                <w:rFonts w:ascii="Garamond" w:eastAsia="Calibri" w:hAnsi="Garamond"/>
                <w:b/>
                <w:bCs/>
                <w:caps/>
                <w:sz w:val="16"/>
                <w:szCs w:val="16"/>
                <w:lang w:val="uz-Cyrl-UZ" w:eastAsia="en-US" w:bidi="ar-SA"/>
              </w:rPr>
            </w:pPr>
            <w:r w:rsidRPr="00A547EF">
              <w:rPr>
                <w:rFonts w:ascii="Garamond" w:eastAsia="Calibri" w:hAnsi="Garamond"/>
                <w:b/>
                <w:caps/>
                <w:sz w:val="16"/>
                <w:szCs w:val="16"/>
                <w:lang w:val="uz-Cyrl-UZ" w:eastAsia="en-US" w:bidi="ar-SA"/>
              </w:rPr>
              <w:t>TARGET VALUE DATA</w:t>
            </w:r>
          </w:p>
        </w:tc>
        <w:tc>
          <w:tcPr>
            <w:tcW w:w="1771" w:type="dxa"/>
            <w:vAlign w:val="center"/>
          </w:tcPr>
          <w:p w:rsidR="007D73B4" w:rsidRPr="00A547EF" w:rsidRDefault="007D73B4" w:rsidP="003D6441">
            <w:pPr>
              <w:autoSpaceDE/>
              <w:autoSpaceDN/>
              <w:jc w:val="center"/>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2017</w:t>
            </w:r>
          </w:p>
        </w:tc>
        <w:tc>
          <w:tcPr>
            <w:tcW w:w="1771" w:type="dxa"/>
            <w:vAlign w:val="center"/>
          </w:tcPr>
          <w:p w:rsidR="007D73B4" w:rsidRPr="00A547EF" w:rsidRDefault="007D73B4" w:rsidP="003D6441">
            <w:pPr>
              <w:autoSpaceDE/>
              <w:autoSpaceDN/>
              <w:jc w:val="center"/>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2018</w:t>
            </w:r>
          </w:p>
        </w:tc>
        <w:tc>
          <w:tcPr>
            <w:tcW w:w="1771" w:type="dxa"/>
            <w:vAlign w:val="center"/>
          </w:tcPr>
          <w:p w:rsidR="007D73B4" w:rsidRPr="00A547EF" w:rsidRDefault="007D73B4" w:rsidP="003D6441">
            <w:pPr>
              <w:autoSpaceDE/>
              <w:autoSpaceDN/>
              <w:jc w:val="center"/>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2019</w:t>
            </w:r>
          </w:p>
        </w:tc>
        <w:tc>
          <w:tcPr>
            <w:tcW w:w="1523" w:type="dxa"/>
            <w:vAlign w:val="center"/>
          </w:tcPr>
          <w:p w:rsidR="007D73B4" w:rsidRPr="00A547EF" w:rsidRDefault="007D73B4" w:rsidP="003D6441">
            <w:pPr>
              <w:autoSpaceDE/>
              <w:autoSpaceDN/>
              <w:jc w:val="center"/>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2020</w:t>
            </w:r>
            <w:r w:rsidR="00F57E98" w:rsidRPr="00A547EF">
              <w:rPr>
                <w:rStyle w:val="FootnoteReference"/>
                <w:rFonts w:ascii="Garamond" w:eastAsia="Calibri" w:hAnsi="Garamond"/>
                <w:sz w:val="16"/>
                <w:szCs w:val="16"/>
                <w:lang w:val="uz-Cyrl-UZ" w:eastAsia="en-US" w:bidi="ar-SA"/>
              </w:rPr>
              <w:footnoteReference w:id="64"/>
            </w:r>
          </w:p>
        </w:tc>
      </w:tr>
      <w:tr w:rsidR="00287ACF" w:rsidRPr="00A547EF" w:rsidTr="003D6441">
        <w:trPr>
          <w:gridAfter w:val="1"/>
          <w:wAfter w:w="19" w:type="dxa"/>
          <w:trHeight w:val="160"/>
          <w:jc w:val="center"/>
        </w:trPr>
        <w:tc>
          <w:tcPr>
            <w:tcW w:w="2721" w:type="dxa"/>
            <w:vMerge/>
            <w:vAlign w:val="center"/>
          </w:tcPr>
          <w:p w:rsidR="00287ACF" w:rsidRPr="00A547EF" w:rsidRDefault="00287ACF" w:rsidP="003D6441">
            <w:pPr>
              <w:autoSpaceDE/>
              <w:autoSpaceDN/>
              <w:rPr>
                <w:rFonts w:ascii="Garamond" w:eastAsia="Calibri" w:hAnsi="Garamond"/>
                <w:b/>
                <w:bCs/>
                <w:caps/>
                <w:sz w:val="16"/>
                <w:szCs w:val="16"/>
                <w:lang w:val="uz-Cyrl-UZ" w:eastAsia="en-US" w:bidi="ar-SA"/>
              </w:rPr>
            </w:pPr>
          </w:p>
        </w:tc>
        <w:tc>
          <w:tcPr>
            <w:tcW w:w="1771" w:type="dxa"/>
            <w:vAlign w:val="center"/>
          </w:tcPr>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VAT     50%</w:t>
            </w:r>
          </w:p>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INCOME  95%</w:t>
            </w:r>
          </w:p>
        </w:tc>
        <w:tc>
          <w:tcPr>
            <w:tcW w:w="1771" w:type="dxa"/>
            <w:vAlign w:val="center"/>
          </w:tcPr>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VAT     65%</w:t>
            </w:r>
          </w:p>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INCOME  97%</w:t>
            </w:r>
          </w:p>
        </w:tc>
        <w:tc>
          <w:tcPr>
            <w:tcW w:w="1771" w:type="dxa"/>
            <w:vAlign w:val="center"/>
          </w:tcPr>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VAT    75%</w:t>
            </w:r>
          </w:p>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INCOME 97%</w:t>
            </w:r>
          </w:p>
        </w:tc>
        <w:tc>
          <w:tcPr>
            <w:tcW w:w="1523" w:type="dxa"/>
            <w:vAlign w:val="center"/>
          </w:tcPr>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 xml:space="preserve">VAT     </w:t>
            </w:r>
            <w:r w:rsidRPr="00A547EF">
              <w:rPr>
                <w:rFonts w:ascii="Garamond" w:hAnsi="Garamond"/>
                <w:sz w:val="16"/>
                <w:szCs w:val="16"/>
                <w:lang w:val="en-US"/>
              </w:rPr>
              <w:t xml:space="preserve">  </w:t>
            </w:r>
            <w:r w:rsidRPr="00A547EF">
              <w:rPr>
                <w:rFonts w:ascii="Garamond" w:hAnsi="Garamond"/>
                <w:sz w:val="16"/>
                <w:szCs w:val="16"/>
              </w:rPr>
              <w:t>80%</w:t>
            </w:r>
          </w:p>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INCOME  99%</w:t>
            </w:r>
          </w:p>
        </w:tc>
      </w:tr>
      <w:tr w:rsidR="00287ACF" w:rsidRPr="00A547EF" w:rsidTr="003D6441">
        <w:trPr>
          <w:gridAfter w:val="1"/>
          <w:wAfter w:w="19" w:type="dxa"/>
          <w:trHeight w:val="160"/>
          <w:jc w:val="center"/>
        </w:trPr>
        <w:tc>
          <w:tcPr>
            <w:tcW w:w="2721" w:type="dxa"/>
            <w:vAlign w:val="center"/>
          </w:tcPr>
          <w:p w:rsidR="00287ACF" w:rsidRPr="00A547EF" w:rsidRDefault="0062456A" w:rsidP="003D6441">
            <w:pPr>
              <w:autoSpaceDE/>
              <w:autoSpaceDN/>
              <w:rPr>
                <w:rFonts w:ascii="Garamond" w:eastAsia="Calibri" w:hAnsi="Garamond"/>
                <w:b/>
                <w:bCs/>
                <w:caps/>
                <w:sz w:val="16"/>
                <w:szCs w:val="16"/>
                <w:lang w:val="uz-Cyrl-UZ" w:eastAsia="en-US" w:bidi="ar-SA"/>
              </w:rPr>
            </w:pPr>
            <w:r w:rsidRPr="00A547EF">
              <w:rPr>
                <w:rFonts w:ascii="Garamond" w:eastAsia="Calibri" w:hAnsi="Garamond"/>
                <w:b/>
                <w:bCs/>
                <w:caps/>
                <w:sz w:val="16"/>
                <w:szCs w:val="16"/>
                <w:lang w:val="uz-Cyrl-UZ" w:eastAsia="en-US" w:bidi="ar-SA"/>
              </w:rPr>
              <w:t>DATA ON VALUES ACHIEVED</w:t>
            </w:r>
          </w:p>
        </w:tc>
        <w:tc>
          <w:tcPr>
            <w:tcW w:w="1771" w:type="dxa"/>
            <w:vAlign w:val="center"/>
          </w:tcPr>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VAT     50%</w:t>
            </w:r>
          </w:p>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INCOME  95%</w:t>
            </w:r>
          </w:p>
        </w:tc>
        <w:tc>
          <w:tcPr>
            <w:tcW w:w="1771" w:type="dxa"/>
            <w:vAlign w:val="center"/>
          </w:tcPr>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VAT 70%</w:t>
            </w:r>
          </w:p>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INCOME 99%</w:t>
            </w:r>
          </w:p>
        </w:tc>
        <w:tc>
          <w:tcPr>
            <w:tcW w:w="1771" w:type="dxa"/>
            <w:vAlign w:val="center"/>
          </w:tcPr>
          <w:p w:rsidR="00287ACF" w:rsidRPr="00A547EF" w:rsidRDefault="00287ACF" w:rsidP="003D6441">
            <w:pPr>
              <w:pStyle w:val="TabelaTekst"/>
              <w:spacing w:before="0" w:after="0" w:line="240" w:lineRule="auto"/>
              <w:rPr>
                <w:rFonts w:ascii="Garamond" w:eastAsia="Times New Roman" w:hAnsi="Garamond"/>
                <w:sz w:val="16"/>
                <w:szCs w:val="16"/>
                <w:lang w:eastAsia="hr-HR"/>
              </w:rPr>
            </w:pPr>
            <w:r w:rsidRPr="00A547EF">
              <w:rPr>
                <w:rFonts w:ascii="Garamond" w:hAnsi="Garamond"/>
                <w:sz w:val="16"/>
                <w:szCs w:val="16"/>
              </w:rPr>
              <w:t>VAT</w:t>
            </w:r>
            <w:r w:rsidR="00F329D5" w:rsidRPr="00A547EF">
              <w:rPr>
                <w:rFonts w:ascii="Garamond" w:eastAsia="Times New Roman" w:hAnsi="Garamond"/>
                <w:sz w:val="16"/>
                <w:szCs w:val="16"/>
                <w:lang w:eastAsia="hr-HR"/>
              </w:rPr>
              <w:t xml:space="preserve">  77</w:t>
            </w:r>
            <w:r w:rsidR="00F329D5" w:rsidRPr="00A547EF">
              <w:rPr>
                <w:rFonts w:ascii="Garamond" w:eastAsia="Times New Roman" w:hAnsi="Garamond"/>
                <w:sz w:val="16"/>
                <w:szCs w:val="16"/>
                <w:lang w:val="en-GB" w:eastAsia="hr-HR"/>
              </w:rPr>
              <w:t>.</w:t>
            </w:r>
            <w:r w:rsidRPr="00A547EF">
              <w:rPr>
                <w:rFonts w:ascii="Garamond" w:eastAsia="Times New Roman" w:hAnsi="Garamond"/>
                <w:sz w:val="16"/>
                <w:szCs w:val="16"/>
                <w:lang w:eastAsia="hr-HR"/>
              </w:rPr>
              <w:t>37 %</w:t>
            </w:r>
          </w:p>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INCOME</w:t>
            </w:r>
            <w:r w:rsidR="00F329D5" w:rsidRPr="00A547EF">
              <w:rPr>
                <w:rFonts w:ascii="Garamond" w:eastAsia="Times New Roman" w:hAnsi="Garamond"/>
                <w:sz w:val="16"/>
                <w:szCs w:val="16"/>
                <w:lang w:eastAsia="hr-HR"/>
              </w:rPr>
              <w:t xml:space="preserve"> 99.</w:t>
            </w:r>
            <w:r w:rsidRPr="00A547EF">
              <w:rPr>
                <w:rFonts w:ascii="Garamond" w:eastAsia="Times New Roman" w:hAnsi="Garamond"/>
                <w:sz w:val="16"/>
                <w:szCs w:val="16"/>
                <w:lang w:eastAsia="hr-HR"/>
              </w:rPr>
              <w:t>5%</w:t>
            </w:r>
          </w:p>
        </w:tc>
        <w:tc>
          <w:tcPr>
            <w:tcW w:w="1523" w:type="dxa"/>
            <w:vAlign w:val="center"/>
          </w:tcPr>
          <w:p w:rsidR="00287ACF" w:rsidRPr="00A547EF" w:rsidRDefault="00287ACF" w:rsidP="003D6441">
            <w:pPr>
              <w:rPr>
                <w:rFonts w:ascii="Garamond" w:eastAsia="Times New Roman" w:hAnsi="Garamond" w:cstheme="minorHAnsi"/>
                <w:sz w:val="16"/>
                <w:szCs w:val="16"/>
                <w:lang w:eastAsia="hr-HR"/>
              </w:rPr>
            </w:pPr>
            <w:r w:rsidRPr="00A547EF">
              <w:rPr>
                <w:rFonts w:ascii="Garamond" w:eastAsia="Times New Roman" w:hAnsi="Garamond" w:cstheme="minorHAnsi"/>
                <w:sz w:val="16"/>
                <w:szCs w:val="16"/>
                <w:lang w:eastAsia="hr-HR"/>
              </w:rPr>
              <w:t>VAT       89%</w:t>
            </w:r>
          </w:p>
          <w:p w:rsidR="00287ACF" w:rsidRPr="00A547EF" w:rsidRDefault="00287ACF" w:rsidP="003D6441">
            <w:pPr>
              <w:pStyle w:val="TabelaTekst"/>
              <w:spacing w:before="0" w:after="0" w:line="240" w:lineRule="auto"/>
              <w:rPr>
                <w:rFonts w:ascii="Garamond" w:hAnsi="Garamond"/>
                <w:sz w:val="16"/>
                <w:szCs w:val="16"/>
              </w:rPr>
            </w:pPr>
            <w:r w:rsidRPr="00A547EF">
              <w:rPr>
                <w:rFonts w:ascii="Garamond" w:hAnsi="Garamond"/>
                <w:sz w:val="16"/>
                <w:szCs w:val="16"/>
              </w:rPr>
              <w:t>INCOME</w:t>
            </w:r>
            <w:r w:rsidRPr="00A547EF">
              <w:rPr>
                <w:rFonts w:ascii="Garamond" w:eastAsia="Times New Roman" w:hAnsi="Garamond" w:cstheme="minorHAnsi"/>
                <w:sz w:val="16"/>
                <w:szCs w:val="16"/>
                <w:lang w:eastAsia="hr-HR"/>
              </w:rPr>
              <w:t xml:space="preserve"> </w:t>
            </w:r>
            <w:r w:rsidRPr="00A547EF">
              <w:rPr>
                <w:rFonts w:ascii="Garamond" w:eastAsia="Times New Roman" w:hAnsi="Garamond" w:cstheme="minorHAnsi"/>
                <w:sz w:val="16"/>
                <w:szCs w:val="16"/>
                <w:lang w:val="en-US" w:eastAsia="hr-HR"/>
              </w:rPr>
              <w:t xml:space="preserve"> </w:t>
            </w:r>
            <w:r w:rsidR="00F329D5" w:rsidRPr="00A547EF">
              <w:rPr>
                <w:rFonts w:ascii="Garamond" w:eastAsia="Times New Roman" w:hAnsi="Garamond" w:cstheme="minorHAnsi"/>
                <w:sz w:val="16"/>
                <w:szCs w:val="16"/>
                <w:lang w:eastAsia="hr-HR"/>
              </w:rPr>
              <w:t>99</w:t>
            </w:r>
            <w:r w:rsidR="00F329D5" w:rsidRPr="00A547EF">
              <w:rPr>
                <w:rFonts w:ascii="Garamond" w:eastAsia="Times New Roman" w:hAnsi="Garamond" w:cstheme="minorHAnsi"/>
                <w:sz w:val="16"/>
                <w:szCs w:val="16"/>
                <w:lang w:val="en-GB" w:eastAsia="hr-HR"/>
              </w:rPr>
              <w:t>.</w:t>
            </w:r>
            <w:r w:rsidRPr="00A547EF">
              <w:rPr>
                <w:rFonts w:ascii="Garamond" w:eastAsia="Times New Roman" w:hAnsi="Garamond" w:cstheme="minorHAnsi"/>
                <w:sz w:val="16"/>
                <w:szCs w:val="16"/>
                <w:lang w:eastAsia="hr-HR"/>
              </w:rPr>
              <w:t>6%</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287ACF">
      <w:pPr>
        <w:pStyle w:val="Heading3"/>
        <w:rPr>
          <w:rFonts w:ascii="Garamond" w:hAnsi="Garamond"/>
          <w:sz w:val="24"/>
          <w:szCs w:val="24"/>
        </w:rPr>
      </w:pPr>
      <w:bookmarkStart w:id="51" w:name="_Toc77688228"/>
      <w:r w:rsidRPr="00C32887">
        <w:rPr>
          <w:rFonts w:ascii="Garamond" w:hAnsi="Garamond"/>
          <w:sz w:val="24"/>
          <w:szCs w:val="24"/>
        </w:rPr>
        <w:t xml:space="preserve">2.1.2      </w:t>
      </w:r>
      <w:r w:rsidR="00287ACF">
        <w:rPr>
          <w:rFonts w:ascii="Garamond" w:hAnsi="Garamond"/>
          <w:sz w:val="24"/>
          <w:szCs w:val="24"/>
        </w:rPr>
        <w:t>PERFORMANCE INDICATOR 12</w:t>
      </w:r>
      <w:r w:rsidR="00287ACF" w:rsidRPr="00287ACF">
        <w:rPr>
          <w:rFonts w:ascii="Garamond" w:hAnsi="Garamond"/>
          <w:sz w:val="24"/>
          <w:szCs w:val="24"/>
        </w:rPr>
        <w:t xml:space="preserve"> </w:t>
      </w:r>
      <w:r w:rsidR="00287ACF" w:rsidRPr="00C32887">
        <w:rPr>
          <w:rFonts w:ascii="Garamond" w:hAnsi="Garamond"/>
          <w:sz w:val="24"/>
          <w:szCs w:val="24"/>
        </w:rPr>
        <w:t>PASSPORT</w:t>
      </w:r>
      <w:bookmarkEnd w:id="51"/>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287ACF" w:rsidRPr="00A547EF" w:rsidTr="003D6441">
        <w:trPr>
          <w:jc w:val="center"/>
        </w:trPr>
        <w:tc>
          <w:tcPr>
            <w:tcW w:w="2721" w:type="dxa"/>
            <w:tcBorders>
              <w:right w:val="single" w:sz="4" w:space="0" w:color="FFFFFF"/>
            </w:tcBorders>
            <w:shd w:val="clear" w:color="auto" w:fill="BFBFBF"/>
            <w:vAlign w:val="center"/>
          </w:tcPr>
          <w:p w:rsidR="00287ACF" w:rsidRPr="00A547EF" w:rsidRDefault="00287ACF" w:rsidP="003D6441">
            <w:pPr>
              <w:autoSpaceDE/>
              <w:autoSpaceDN/>
              <w:rPr>
                <w:rFonts w:ascii="Garamond" w:eastAsia="Calibri" w:hAnsi="Garamond"/>
                <w:b/>
                <w:caps/>
                <w:sz w:val="16"/>
                <w:szCs w:val="16"/>
                <w:lang w:val="en-GB" w:eastAsia="en-US" w:bidi="ar-SA"/>
              </w:rPr>
            </w:pPr>
            <w:r w:rsidRPr="00A547EF">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287ACF" w:rsidRPr="00A547EF" w:rsidRDefault="00B8392E" w:rsidP="00B8392E">
            <w:pPr>
              <w:pStyle w:val="Default"/>
              <w:jc w:val="both"/>
              <w:rPr>
                <w:rFonts w:ascii="Garamond" w:eastAsia="Calibri" w:hAnsi="Garamond"/>
                <w:b/>
                <w:sz w:val="16"/>
                <w:szCs w:val="16"/>
                <w:lang w:eastAsia="en-US"/>
              </w:rPr>
            </w:pPr>
            <w:r w:rsidRPr="00A547EF">
              <w:rPr>
                <w:rFonts w:ascii="Garamond" w:hAnsi="Garamond"/>
                <w:sz w:val="16"/>
                <w:szCs w:val="16"/>
              </w:rPr>
              <w:t xml:space="preserve">EU VAT regulations concerning EU common market successfully implemented </w:t>
            </w:r>
          </w:p>
        </w:tc>
      </w:tr>
      <w:tr w:rsidR="00287ACF" w:rsidRPr="00A547EF" w:rsidTr="003D6441">
        <w:trPr>
          <w:gridAfter w:val="1"/>
          <w:wAfter w:w="19" w:type="dxa"/>
          <w:jc w:val="center"/>
        </w:trPr>
        <w:tc>
          <w:tcPr>
            <w:tcW w:w="2721" w:type="dxa"/>
            <w:vAlign w:val="center"/>
          </w:tcPr>
          <w:p w:rsidR="00287ACF" w:rsidRPr="00A547EF" w:rsidRDefault="00287ACF" w:rsidP="003D6441">
            <w:pPr>
              <w:autoSpaceDE/>
              <w:autoSpaceDN/>
              <w:rPr>
                <w:rFonts w:ascii="Garamond" w:eastAsia="Calibri" w:hAnsi="Garamond"/>
                <w:b/>
                <w:caps/>
                <w:sz w:val="16"/>
                <w:szCs w:val="16"/>
                <w:lang w:val="en-GB" w:eastAsia="en-US" w:bidi="ar-SA"/>
              </w:rPr>
            </w:pPr>
            <w:r w:rsidRPr="00A547EF">
              <w:rPr>
                <w:rFonts w:ascii="Garamond" w:eastAsia="Calibri" w:hAnsi="Garamond"/>
                <w:b/>
                <w:caps/>
                <w:sz w:val="16"/>
                <w:szCs w:val="16"/>
                <w:lang w:val="en-GB" w:eastAsia="en-US" w:bidi="ar-SA"/>
              </w:rPr>
              <w:t>corresponding objective or activity</w:t>
            </w:r>
          </w:p>
        </w:tc>
        <w:tc>
          <w:tcPr>
            <w:tcW w:w="6836" w:type="dxa"/>
            <w:gridSpan w:val="4"/>
            <w:vAlign w:val="center"/>
          </w:tcPr>
          <w:p w:rsidR="00287ACF" w:rsidRPr="00A547EF" w:rsidRDefault="00287ACF" w:rsidP="003D6441">
            <w:pPr>
              <w:rPr>
                <w:rFonts w:ascii="Garamond" w:hAnsi="Garamond"/>
                <w:color w:val="365F91" w:themeColor="accent1" w:themeShade="BF"/>
                <w:sz w:val="16"/>
                <w:szCs w:val="16"/>
              </w:rPr>
            </w:pPr>
            <w:r w:rsidRPr="00A547EF">
              <w:rPr>
                <w:rFonts w:ascii="Garamond" w:hAnsi="Garamond"/>
                <w:color w:val="365F91" w:themeColor="accent1" w:themeShade="BF"/>
                <w:sz w:val="16"/>
                <w:szCs w:val="16"/>
              </w:rPr>
              <w:t xml:space="preserve">Budget execution </w:t>
            </w:r>
          </w:p>
          <w:p w:rsidR="00287ACF" w:rsidRPr="00A547EF" w:rsidRDefault="00287ACF" w:rsidP="003D6441">
            <w:pPr>
              <w:pStyle w:val="ListParagraph"/>
              <w:numPr>
                <w:ilvl w:val="0"/>
                <w:numId w:val="28"/>
              </w:numPr>
              <w:rPr>
                <w:rFonts w:ascii="Garamond" w:hAnsi="Garamond"/>
                <w:color w:val="365F91" w:themeColor="accent1" w:themeShade="BF"/>
                <w:sz w:val="16"/>
                <w:szCs w:val="16"/>
                <w:u w:val="single"/>
              </w:rPr>
            </w:pPr>
            <w:r w:rsidRPr="00A547EF">
              <w:rPr>
                <w:rFonts w:ascii="Garamond" w:hAnsi="Garamond"/>
                <w:color w:val="365F91" w:themeColor="accent1" w:themeShade="BF"/>
                <w:sz w:val="16"/>
                <w:szCs w:val="16"/>
                <w:u w:val="single"/>
              </w:rPr>
              <w:t>Revenue collection - Tax Administration</w:t>
            </w:r>
          </w:p>
          <w:p w:rsidR="00287ACF" w:rsidRPr="00A547EF" w:rsidRDefault="00287ACF" w:rsidP="003D6441">
            <w:pPr>
              <w:rPr>
                <w:rFonts w:ascii="Garamond" w:eastAsia="Calibri" w:hAnsi="Garamond"/>
                <w:color w:val="000000" w:themeColor="text1"/>
                <w:sz w:val="16"/>
                <w:szCs w:val="16"/>
                <w:lang w:eastAsia="en-US" w:bidi="ar-SA"/>
              </w:rPr>
            </w:pPr>
            <w:r w:rsidRPr="00A547EF">
              <w:rPr>
                <w:rFonts w:ascii="Garamond" w:eastAsia="Calibri" w:hAnsi="Garamond"/>
                <w:color w:val="000000" w:themeColor="text1"/>
                <w:sz w:val="16"/>
                <w:szCs w:val="16"/>
                <w:lang w:eastAsia="en-US" w:bidi="ar-SA"/>
              </w:rPr>
              <w:t>Strengthening the administrative capacity of the Tax Administration of Montenegro to increase tax collection thus contributing to maximising the government</w:t>
            </w:r>
            <w:r w:rsidR="00C13A74" w:rsidRPr="00A547EF">
              <w:rPr>
                <w:rFonts w:ascii="Garamond" w:eastAsia="Calibri" w:hAnsi="Garamond"/>
                <w:color w:val="000000" w:themeColor="text1"/>
                <w:sz w:val="16"/>
                <w:szCs w:val="16"/>
                <w:lang w:eastAsia="en-US" w:bidi="ar-SA"/>
              </w:rPr>
              <w:t>’</w:t>
            </w:r>
            <w:r w:rsidRPr="00A547EF">
              <w:rPr>
                <w:rFonts w:ascii="Garamond" w:eastAsia="Calibri" w:hAnsi="Garamond"/>
                <w:color w:val="000000" w:themeColor="text1"/>
                <w:sz w:val="16"/>
                <w:szCs w:val="16"/>
                <w:lang w:eastAsia="en-US" w:bidi="ar-SA"/>
              </w:rPr>
              <w:t>s fiscal revenues</w:t>
            </w:r>
          </w:p>
        </w:tc>
      </w:tr>
      <w:tr w:rsidR="00287ACF" w:rsidRPr="00A547EF" w:rsidTr="003D6441">
        <w:trPr>
          <w:gridAfter w:val="1"/>
          <w:wAfter w:w="19" w:type="dxa"/>
          <w:jc w:val="center"/>
        </w:trPr>
        <w:tc>
          <w:tcPr>
            <w:tcW w:w="2721" w:type="dxa"/>
            <w:vAlign w:val="center"/>
          </w:tcPr>
          <w:p w:rsidR="00287ACF" w:rsidRPr="00A547EF" w:rsidRDefault="00287ACF" w:rsidP="003D6441">
            <w:pPr>
              <w:autoSpaceDE/>
              <w:autoSpaceDN/>
              <w:rPr>
                <w:rFonts w:ascii="Garamond" w:eastAsia="Calibri" w:hAnsi="Garamond"/>
                <w:b/>
                <w:caps/>
                <w:sz w:val="16"/>
                <w:szCs w:val="16"/>
                <w:lang w:val="uz-Cyrl-UZ" w:eastAsia="en-US" w:bidi="ar-SA"/>
              </w:rPr>
            </w:pPr>
            <w:r w:rsidRPr="00A547EF">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B8392E" w:rsidRPr="00A547EF" w:rsidRDefault="00B8392E" w:rsidP="00B8392E">
            <w:pPr>
              <w:jc w:val="both"/>
              <w:rPr>
                <w:rFonts w:ascii="Garamond" w:hAnsi="Garamond"/>
                <w:sz w:val="16"/>
                <w:szCs w:val="16"/>
              </w:rPr>
            </w:pPr>
            <w:r w:rsidRPr="00A547EF">
              <w:rPr>
                <w:rFonts w:ascii="Garamond" w:hAnsi="Garamond"/>
                <w:sz w:val="16"/>
                <w:szCs w:val="16"/>
              </w:rPr>
              <w:t>At the national and international level</w:t>
            </w:r>
          </w:p>
          <w:p w:rsidR="00B8392E" w:rsidRPr="00A547EF" w:rsidRDefault="00B8392E" w:rsidP="00B8392E">
            <w:pPr>
              <w:jc w:val="both"/>
              <w:rPr>
                <w:rFonts w:ascii="Garamond" w:hAnsi="Garamond"/>
                <w:sz w:val="16"/>
                <w:szCs w:val="16"/>
              </w:rPr>
            </w:pPr>
            <w:r w:rsidRPr="00A547EF">
              <w:rPr>
                <w:rFonts w:ascii="Garamond" w:hAnsi="Garamond"/>
                <w:sz w:val="16"/>
                <w:szCs w:val="16"/>
              </w:rPr>
              <w:t>-Official Gazette of Montenegro</w:t>
            </w:r>
          </w:p>
          <w:p w:rsidR="00B8392E" w:rsidRPr="00A547EF" w:rsidRDefault="00B8392E" w:rsidP="00B8392E">
            <w:pPr>
              <w:jc w:val="both"/>
              <w:rPr>
                <w:rFonts w:ascii="Garamond" w:hAnsi="Garamond"/>
                <w:sz w:val="16"/>
                <w:szCs w:val="16"/>
              </w:rPr>
            </w:pPr>
            <w:r w:rsidRPr="00A547EF">
              <w:rPr>
                <w:rFonts w:ascii="Garamond" w:hAnsi="Garamond"/>
                <w:sz w:val="16"/>
                <w:szCs w:val="16"/>
              </w:rPr>
              <w:t>- Official Gazette of Montenegro</w:t>
            </w:r>
          </w:p>
          <w:p w:rsidR="00B8392E" w:rsidRPr="00A547EF" w:rsidRDefault="00B8392E" w:rsidP="00B8392E">
            <w:pPr>
              <w:jc w:val="both"/>
              <w:rPr>
                <w:rFonts w:ascii="Garamond" w:hAnsi="Garamond"/>
                <w:sz w:val="16"/>
                <w:szCs w:val="16"/>
              </w:rPr>
            </w:pPr>
            <w:r w:rsidRPr="00A547EF">
              <w:rPr>
                <w:rFonts w:ascii="Garamond" w:hAnsi="Garamond"/>
                <w:sz w:val="16"/>
                <w:szCs w:val="16"/>
              </w:rPr>
              <w:t>- Project progress report (quarterly): www.poreskauprava.gov.me</w:t>
            </w:r>
          </w:p>
          <w:p w:rsidR="00B8392E" w:rsidRPr="00A547EF" w:rsidRDefault="00B8392E" w:rsidP="00B8392E">
            <w:pPr>
              <w:jc w:val="both"/>
              <w:rPr>
                <w:rFonts w:ascii="Garamond" w:hAnsi="Garamond"/>
                <w:sz w:val="16"/>
                <w:szCs w:val="16"/>
              </w:rPr>
            </w:pPr>
            <w:r w:rsidRPr="00A547EF">
              <w:rPr>
                <w:rFonts w:ascii="Garamond" w:hAnsi="Garamond"/>
                <w:sz w:val="16"/>
                <w:szCs w:val="16"/>
              </w:rPr>
              <w:t>- EC report</w:t>
            </w:r>
          </w:p>
          <w:p w:rsidR="00B8392E" w:rsidRPr="00A547EF" w:rsidRDefault="00B8392E" w:rsidP="00B8392E">
            <w:pPr>
              <w:jc w:val="both"/>
              <w:rPr>
                <w:rFonts w:ascii="Garamond" w:hAnsi="Garamond"/>
                <w:sz w:val="16"/>
                <w:szCs w:val="16"/>
              </w:rPr>
            </w:pPr>
            <w:r w:rsidRPr="00A547EF">
              <w:rPr>
                <w:rFonts w:ascii="Garamond" w:hAnsi="Garamond"/>
                <w:sz w:val="16"/>
                <w:szCs w:val="16"/>
              </w:rPr>
              <w:t>- Preparation of benchmark assessment reports</w:t>
            </w:r>
          </w:p>
          <w:p w:rsidR="00B8392E" w:rsidRPr="00A547EF" w:rsidRDefault="00B8392E" w:rsidP="00B8392E">
            <w:pPr>
              <w:jc w:val="both"/>
              <w:rPr>
                <w:rFonts w:ascii="Garamond" w:hAnsi="Garamond"/>
                <w:sz w:val="16"/>
                <w:szCs w:val="16"/>
              </w:rPr>
            </w:pPr>
            <w:r w:rsidRPr="00A547EF">
              <w:rPr>
                <w:rFonts w:ascii="Garamond" w:hAnsi="Garamond"/>
                <w:sz w:val="16"/>
                <w:szCs w:val="16"/>
              </w:rPr>
              <w:t>- DG TAXUD report</w:t>
            </w:r>
          </w:p>
          <w:p w:rsidR="00B8392E" w:rsidRPr="00A547EF" w:rsidRDefault="00B8392E" w:rsidP="00B8392E">
            <w:pPr>
              <w:jc w:val="both"/>
              <w:rPr>
                <w:rFonts w:ascii="Garamond" w:hAnsi="Garamond"/>
                <w:sz w:val="16"/>
                <w:szCs w:val="16"/>
              </w:rPr>
            </w:pPr>
            <w:r w:rsidRPr="00A547EF">
              <w:rPr>
                <w:rFonts w:ascii="Garamond" w:hAnsi="Garamond"/>
                <w:sz w:val="16"/>
                <w:szCs w:val="16"/>
              </w:rPr>
              <w:t>-Reports from the sessions of the Government published on the website of the Government of Montenegro on the adopted proposals:</w:t>
            </w:r>
          </w:p>
          <w:p w:rsidR="00287ACF" w:rsidRPr="00A547EF" w:rsidRDefault="00B8392E" w:rsidP="00B8392E">
            <w:pPr>
              <w:jc w:val="both"/>
              <w:rPr>
                <w:rFonts w:ascii="Garamond" w:eastAsia="Calibri" w:hAnsi="Garamond"/>
                <w:sz w:val="16"/>
                <w:szCs w:val="16"/>
                <w:lang w:eastAsia="en-US" w:bidi="ar-SA"/>
              </w:rPr>
            </w:pPr>
            <w:r w:rsidRPr="00A547EF">
              <w:rPr>
                <w:rFonts w:ascii="Garamond" w:hAnsi="Garamond"/>
                <w:sz w:val="16"/>
                <w:szCs w:val="16"/>
              </w:rPr>
              <w:t>www.gov.me</w:t>
            </w:r>
          </w:p>
        </w:tc>
      </w:tr>
      <w:tr w:rsidR="00287ACF" w:rsidRPr="00A547EF" w:rsidTr="003D6441">
        <w:trPr>
          <w:gridAfter w:val="1"/>
          <w:wAfter w:w="19" w:type="dxa"/>
          <w:jc w:val="center"/>
        </w:trPr>
        <w:tc>
          <w:tcPr>
            <w:tcW w:w="2721" w:type="dxa"/>
            <w:vAlign w:val="center"/>
          </w:tcPr>
          <w:p w:rsidR="00287ACF" w:rsidRPr="00A547EF" w:rsidRDefault="00287ACF" w:rsidP="003D6441">
            <w:pPr>
              <w:autoSpaceDE/>
              <w:autoSpaceDN/>
              <w:rPr>
                <w:rFonts w:ascii="Garamond" w:eastAsia="Calibri" w:hAnsi="Garamond"/>
                <w:b/>
                <w:caps/>
                <w:sz w:val="16"/>
                <w:szCs w:val="16"/>
                <w:lang w:val="uz-Cyrl-UZ" w:eastAsia="en-US" w:bidi="ar-SA"/>
              </w:rPr>
            </w:pPr>
            <w:r w:rsidRPr="00A547EF">
              <w:rPr>
                <w:rFonts w:ascii="Garamond" w:eastAsia="Calibri" w:hAnsi="Garamond"/>
                <w:b/>
                <w:caps/>
                <w:sz w:val="16"/>
                <w:szCs w:val="16"/>
                <w:lang w:val="uz-Cyrl-UZ" w:eastAsia="en-US" w:bidi="ar-SA"/>
              </w:rPr>
              <w:t>NAME OF DATA COLLECTION HOLDER</w:t>
            </w:r>
          </w:p>
        </w:tc>
        <w:tc>
          <w:tcPr>
            <w:tcW w:w="6836" w:type="dxa"/>
            <w:gridSpan w:val="4"/>
            <w:vAlign w:val="center"/>
          </w:tcPr>
          <w:p w:rsidR="00287ACF" w:rsidRPr="00A547EF" w:rsidRDefault="00287ACF" w:rsidP="003D6441">
            <w:pPr>
              <w:rPr>
                <w:rFonts w:ascii="Garamond" w:hAnsi="Garamond"/>
                <w:sz w:val="16"/>
                <w:szCs w:val="16"/>
              </w:rPr>
            </w:pPr>
            <w:r w:rsidRPr="00A547EF">
              <w:rPr>
                <w:rFonts w:ascii="Garamond" w:hAnsi="Garamond"/>
                <w:sz w:val="16"/>
                <w:szCs w:val="16"/>
              </w:rPr>
              <w:t>Revenue &amp; Customs Administration</w:t>
            </w:r>
          </w:p>
          <w:p w:rsidR="00287ACF" w:rsidRPr="00A547EF" w:rsidRDefault="00287ACF" w:rsidP="003D6441">
            <w:pPr>
              <w:rPr>
                <w:rFonts w:ascii="Garamond" w:eastAsia="Calibri" w:hAnsi="Garamond"/>
                <w:sz w:val="16"/>
                <w:szCs w:val="16"/>
                <w:lang w:eastAsia="en-US" w:bidi="ar-SA"/>
              </w:rPr>
            </w:pPr>
            <w:r w:rsidRPr="00A547EF">
              <w:rPr>
                <w:rFonts w:ascii="Garamond" w:hAnsi="Garamond"/>
                <w:sz w:val="16"/>
                <w:szCs w:val="16"/>
              </w:rPr>
              <w:t>Phone: 020 - 448 -232</w:t>
            </w:r>
          </w:p>
        </w:tc>
      </w:tr>
      <w:tr w:rsidR="00287ACF" w:rsidRPr="00A547EF" w:rsidTr="003D6441">
        <w:trPr>
          <w:gridAfter w:val="1"/>
          <w:wAfter w:w="19" w:type="dxa"/>
          <w:jc w:val="center"/>
        </w:trPr>
        <w:tc>
          <w:tcPr>
            <w:tcW w:w="2721" w:type="dxa"/>
            <w:vAlign w:val="center"/>
          </w:tcPr>
          <w:p w:rsidR="00287ACF" w:rsidRPr="00A547EF" w:rsidRDefault="00287ACF" w:rsidP="003D6441">
            <w:pPr>
              <w:autoSpaceDE/>
              <w:autoSpaceDN/>
              <w:rPr>
                <w:rFonts w:ascii="Garamond" w:eastAsia="Calibri" w:hAnsi="Garamond"/>
                <w:b/>
                <w:caps/>
                <w:sz w:val="16"/>
                <w:szCs w:val="16"/>
                <w:lang w:val="uz-Cyrl-UZ" w:eastAsia="en-US" w:bidi="ar-SA"/>
              </w:rPr>
            </w:pPr>
            <w:r w:rsidRPr="00A547EF">
              <w:rPr>
                <w:rFonts w:ascii="Garamond" w:eastAsia="Calibri" w:hAnsi="Garamond"/>
                <w:b/>
                <w:caps/>
                <w:sz w:val="16"/>
                <w:szCs w:val="16"/>
                <w:lang w:val="uz-Cyrl-UZ" w:eastAsia="en-US" w:bidi="ar-SA"/>
              </w:rPr>
              <w:t>FREQUENCY OF DATA PUBLICATION</w:t>
            </w:r>
          </w:p>
        </w:tc>
        <w:tc>
          <w:tcPr>
            <w:tcW w:w="6836" w:type="dxa"/>
            <w:gridSpan w:val="4"/>
            <w:vAlign w:val="center"/>
          </w:tcPr>
          <w:p w:rsidR="00287ACF" w:rsidRPr="00A547EF" w:rsidRDefault="00287ACF" w:rsidP="003D6441">
            <w:pPr>
              <w:rPr>
                <w:rFonts w:ascii="Garamond" w:eastAsia="Calibri" w:hAnsi="Garamond"/>
                <w:sz w:val="16"/>
                <w:szCs w:val="16"/>
                <w:lang w:eastAsia="en-US" w:bidi="ar-SA"/>
              </w:rPr>
            </w:pPr>
            <w:r w:rsidRPr="00A547EF">
              <w:rPr>
                <w:rFonts w:ascii="Garamond" w:hAnsi="Garamond"/>
                <w:sz w:val="16"/>
                <w:szCs w:val="16"/>
              </w:rPr>
              <w:t>Quarterly</w:t>
            </w:r>
            <w:r w:rsidR="00B8392E" w:rsidRPr="00A547EF">
              <w:rPr>
                <w:sz w:val="16"/>
                <w:szCs w:val="16"/>
              </w:rPr>
              <w:t xml:space="preserve"> </w:t>
            </w:r>
            <w:r w:rsidR="00B8392E" w:rsidRPr="00A547EF">
              <w:rPr>
                <w:rFonts w:ascii="Garamond" w:hAnsi="Garamond"/>
                <w:sz w:val="16"/>
                <w:szCs w:val="16"/>
              </w:rPr>
              <w:t>at the request of the European Delegation to Montenegro</w:t>
            </w:r>
          </w:p>
        </w:tc>
      </w:tr>
      <w:tr w:rsidR="00287ACF" w:rsidRPr="00A547EF" w:rsidTr="003D6441">
        <w:trPr>
          <w:gridAfter w:val="1"/>
          <w:wAfter w:w="19" w:type="dxa"/>
          <w:trHeight w:val="458"/>
          <w:jc w:val="center"/>
        </w:trPr>
        <w:tc>
          <w:tcPr>
            <w:tcW w:w="2721" w:type="dxa"/>
            <w:vMerge w:val="restart"/>
            <w:vAlign w:val="center"/>
          </w:tcPr>
          <w:p w:rsidR="00287ACF" w:rsidRPr="00A547EF" w:rsidRDefault="00287ACF" w:rsidP="003D6441">
            <w:pPr>
              <w:autoSpaceDE/>
              <w:autoSpaceDN/>
              <w:rPr>
                <w:rFonts w:ascii="Garamond" w:eastAsia="Calibri" w:hAnsi="Garamond"/>
                <w:b/>
                <w:caps/>
                <w:sz w:val="16"/>
                <w:szCs w:val="16"/>
                <w:lang w:val="uz-Cyrl-UZ" w:eastAsia="en-US" w:bidi="ar-SA"/>
              </w:rPr>
            </w:pPr>
            <w:r w:rsidRPr="00A547EF">
              <w:rPr>
                <w:rFonts w:ascii="Garamond" w:eastAsia="Calibri" w:hAnsi="Garamond"/>
                <w:b/>
                <w:caps/>
                <w:sz w:val="16"/>
                <w:szCs w:val="16"/>
                <w:lang w:val="uz-Cyrl-UZ" w:eastAsia="en-US" w:bidi="ar-SA"/>
              </w:rPr>
              <w:t xml:space="preserve">BRIEF DESCRIPTION </w:t>
            </w:r>
            <w:r w:rsidRPr="00A547EF">
              <w:rPr>
                <w:rFonts w:ascii="Garamond" w:eastAsia="Calibri" w:hAnsi="Garamond"/>
                <w:b/>
                <w:caps/>
                <w:sz w:val="16"/>
                <w:szCs w:val="16"/>
                <w:lang w:val="en-GB" w:eastAsia="en-US" w:bidi="ar-SA"/>
              </w:rPr>
              <w:t xml:space="preserve">OF </w:t>
            </w:r>
            <w:r w:rsidRPr="00A547EF">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B8392E" w:rsidRPr="00A547EF" w:rsidRDefault="00B8392E" w:rsidP="00B8392E">
            <w:pPr>
              <w:jc w:val="both"/>
              <w:rPr>
                <w:rFonts w:ascii="Garamond" w:hAnsi="Garamond"/>
                <w:sz w:val="16"/>
                <w:szCs w:val="16"/>
              </w:rPr>
            </w:pPr>
            <w:r w:rsidRPr="00A547EF">
              <w:rPr>
                <w:rFonts w:ascii="Garamond" w:hAnsi="Garamond"/>
                <w:sz w:val="16"/>
                <w:szCs w:val="16"/>
              </w:rPr>
              <w:t xml:space="preserve">PPCG document showing the status of compliance 1. </w:t>
            </w:r>
            <w:r w:rsidR="00BC2377" w:rsidRPr="00A547EF">
              <w:rPr>
                <w:rFonts w:ascii="Garamond" w:hAnsi="Garamond"/>
                <w:sz w:val="16"/>
                <w:szCs w:val="16"/>
              </w:rPr>
              <w:t xml:space="preserve">Status </w:t>
            </w:r>
            <w:r w:rsidRPr="00A547EF">
              <w:rPr>
                <w:rFonts w:ascii="Garamond" w:hAnsi="Garamond"/>
                <w:sz w:val="16"/>
                <w:szCs w:val="16"/>
              </w:rPr>
              <w:t xml:space="preserve">a) Strategic </w:t>
            </w:r>
            <w:r w:rsidR="00BC2377" w:rsidRPr="00A547EF">
              <w:rPr>
                <w:rFonts w:ascii="Garamond" w:hAnsi="Garamond"/>
                <w:sz w:val="16"/>
                <w:szCs w:val="16"/>
              </w:rPr>
              <w:t>Framework</w:t>
            </w:r>
            <w:r w:rsidRPr="00A547EF">
              <w:rPr>
                <w:rFonts w:ascii="Garamond" w:hAnsi="Garamond"/>
                <w:sz w:val="16"/>
                <w:szCs w:val="16"/>
              </w:rPr>
              <w:t xml:space="preserve">, b) </w:t>
            </w:r>
            <w:r w:rsidR="00BC2377" w:rsidRPr="00A547EF">
              <w:rPr>
                <w:rFonts w:ascii="Garamond" w:hAnsi="Garamond"/>
                <w:sz w:val="16"/>
                <w:szCs w:val="16"/>
              </w:rPr>
              <w:t xml:space="preserve">Legislative </w:t>
            </w:r>
            <w:r w:rsidRPr="00A547EF">
              <w:rPr>
                <w:rFonts w:ascii="Garamond" w:hAnsi="Garamond"/>
                <w:sz w:val="16"/>
                <w:szCs w:val="16"/>
              </w:rPr>
              <w:t xml:space="preserve">framework c) </w:t>
            </w:r>
            <w:r w:rsidR="00BC2377" w:rsidRPr="00A547EF">
              <w:rPr>
                <w:rFonts w:ascii="Garamond" w:hAnsi="Garamond"/>
                <w:sz w:val="16"/>
                <w:szCs w:val="16"/>
              </w:rPr>
              <w:t xml:space="preserve">Administrative Cooperation </w:t>
            </w:r>
            <w:r w:rsidRPr="00A547EF">
              <w:rPr>
                <w:rFonts w:ascii="Garamond" w:hAnsi="Garamond"/>
                <w:sz w:val="16"/>
                <w:szCs w:val="16"/>
              </w:rPr>
              <w:t xml:space="preserve">and </w:t>
            </w:r>
            <w:r w:rsidR="00BC2377" w:rsidRPr="00A547EF">
              <w:rPr>
                <w:rFonts w:ascii="Garamond" w:hAnsi="Garamond"/>
                <w:sz w:val="16"/>
                <w:szCs w:val="16"/>
              </w:rPr>
              <w:t>Mutual Assistance</w:t>
            </w:r>
            <w:r w:rsidRPr="00A547EF">
              <w:rPr>
                <w:rFonts w:ascii="Garamond" w:hAnsi="Garamond"/>
                <w:sz w:val="16"/>
                <w:szCs w:val="16"/>
              </w:rPr>
              <w:t xml:space="preserve">. 2. Plans and </w:t>
            </w:r>
            <w:r w:rsidR="00BC2377" w:rsidRPr="00A547EF">
              <w:rPr>
                <w:rFonts w:ascii="Garamond" w:hAnsi="Garamond"/>
                <w:sz w:val="16"/>
                <w:szCs w:val="16"/>
              </w:rPr>
              <w:t xml:space="preserve">needs </w:t>
            </w:r>
            <w:r w:rsidRPr="00A547EF">
              <w:rPr>
                <w:rFonts w:ascii="Garamond" w:hAnsi="Garamond"/>
                <w:sz w:val="16"/>
                <w:szCs w:val="16"/>
              </w:rPr>
              <w:t>for all</w:t>
            </w:r>
            <w:r w:rsidR="00BC2377" w:rsidRPr="00A547EF">
              <w:rPr>
                <w:rFonts w:ascii="Garamond" w:hAnsi="Garamond"/>
                <w:sz w:val="16"/>
                <w:szCs w:val="16"/>
              </w:rPr>
              <w:t xml:space="preserve"> the</w:t>
            </w:r>
            <w:r w:rsidRPr="00A547EF">
              <w:rPr>
                <w:rFonts w:ascii="Garamond" w:hAnsi="Garamond"/>
                <w:sz w:val="16"/>
                <w:szCs w:val="16"/>
              </w:rPr>
              <w:t xml:space="preserve"> three above areas 3. Administrative </w:t>
            </w:r>
            <w:r w:rsidR="00BC2377" w:rsidRPr="00A547EF">
              <w:rPr>
                <w:rFonts w:ascii="Garamond" w:hAnsi="Garamond"/>
                <w:sz w:val="16"/>
                <w:szCs w:val="16"/>
              </w:rPr>
              <w:t>Framework</w:t>
            </w:r>
            <w:r w:rsidRPr="00A547EF">
              <w:rPr>
                <w:rFonts w:ascii="Garamond" w:hAnsi="Garamond"/>
                <w:sz w:val="16"/>
                <w:szCs w:val="16"/>
              </w:rPr>
              <w:t>-</w:t>
            </w:r>
            <w:r w:rsidR="00A547EF" w:rsidRPr="00A547EF">
              <w:rPr>
                <w:rFonts w:ascii="Garamond" w:hAnsi="Garamond"/>
                <w:sz w:val="16"/>
                <w:szCs w:val="16"/>
              </w:rPr>
              <w:t>New Institutions</w:t>
            </w:r>
            <w:r w:rsidRPr="00A547EF">
              <w:rPr>
                <w:rFonts w:ascii="Garamond" w:hAnsi="Garamond"/>
                <w:sz w:val="16"/>
                <w:szCs w:val="16"/>
              </w:rPr>
              <w:t>. The level of implementation of plans and needs given in the document is monitored through reporting (the document can be found on the website of the Ministry of Foreign Affairs).</w:t>
            </w:r>
          </w:p>
          <w:p w:rsidR="00B8392E" w:rsidRPr="00A547EF" w:rsidRDefault="00B8392E" w:rsidP="00B8392E">
            <w:pPr>
              <w:jc w:val="both"/>
              <w:rPr>
                <w:rFonts w:ascii="Garamond" w:hAnsi="Garamond"/>
                <w:sz w:val="16"/>
                <w:szCs w:val="16"/>
              </w:rPr>
            </w:pPr>
            <w:r w:rsidRPr="00A547EF">
              <w:rPr>
                <w:rFonts w:ascii="Garamond" w:hAnsi="Garamond"/>
                <w:sz w:val="16"/>
                <w:szCs w:val="16"/>
              </w:rPr>
              <w:t>www.mvp.gov.me</w:t>
            </w:r>
          </w:p>
          <w:p w:rsidR="00B8392E" w:rsidRPr="00A547EF" w:rsidRDefault="00B8392E" w:rsidP="00B8392E">
            <w:pPr>
              <w:jc w:val="both"/>
              <w:rPr>
                <w:rFonts w:ascii="Garamond" w:hAnsi="Garamond"/>
                <w:sz w:val="16"/>
                <w:szCs w:val="16"/>
              </w:rPr>
            </w:pPr>
            <w:r w:rsidRPr="00A547EF">
              <w:rPr>
                <w:rFonts w:ascii="Garamond" w:hAnsi="Garamond"/>
                <w:sz w:val="16"/>
                <w:szCs w:val="16"/>
              </w:rPr>
              <w:t xml:space="preserve">The PPCG document sets deadlines for the adoption of </w:t>
            </w:r>
            <w:r w:rsidR="00BC2377" w:rsidRPr="00A547EF">
              <w:rPr>
                <w:rFonts w:ascii="Garamond" w:hAnsi="Garamond"/>
                <w:sz w:val="16"/>
                <w:szCs w:val="16"/>
              </w:rPr>
              <w:t>CELEX</w:t>
            </w:r>
            <w:r w:rsidRPr="00A547EF">
              <w:rPr>
                <w:rFonts w:ascii="Garamond" w:hAnsi="Garamond"/>
                <w:sz w:val="16"/>
                <w:szCs w:val="16"/>
              </w:rPr>
              <w:t>. This document contains everything, on the basis of which the degree of harmoni</w:t>
            </w:r>
            <w:r w:rsidR="00F254DD" w:rsidRPr="00A547EF">
              <w:rPr>
                <w:rFonts w:ascii="Garamond" w:hAnsi="Garamond"/>
                <w:sz w:val="16"/>
                <w:szCs w:val="16"/>
              </w:rPr>
              <w:t>sation</w:t>
            </w:r>
            <w:r w:rsidRPr="00A547EF">
              <w:rPr>
                <w:rFonts w:ascii="Garamond" w:hAnsi="Garamond"/>
                <w:sz w:val="16"/>
                <w:szCs w:val="16"/>
              </w:rPr>
              <w:t xml:space="preserve"> of tax regulations by years can be measured, related to three basic laws: the Law on VAT, the Law on </w:t>
            </w:r>
            <w:r w:rsidR="006F04E8" w:rsidRPr="00A547EF">
              <w:rPr>
                <w:rFonts w:ascii="Garamond" w:hAnsi="Garamond"/>
                <w:sz w:val="16"/>
                <w:szCs w:val="16"/>
              </w:rPr>
              <w:t>Income</w:t>
            </w:r>
            <w:r w:rsidRPr="00A547EF">
              <w:rPr>
                <w:rFonts w:ascii="Garamond" w:hAnsi="Garamond"/>
                <w:sz w:val="16"/>
                <w:szCs w:val="16"/>
              </w:rPr>
              <w:t xml:space="preserve"> Tax and the Law on Tax Administration.</w:t>
            </w:r>
          </w:p>
          <w:p w:rsidR="00B8392E" w:rsidRPr="00A547EF" w:rsidRDefault="00B8392E" w:rsidP="00B8392E">
            <w:pPr>
              <w:jc w:val="both"/>
              <w:rPr>
                <w:rFonts w:ascii="Garamond" w:hAnsi="Garamond"/>
                <w:sz w:val="16"/>
                <w:szCs w:val="16"/>
              </w:rPr>
            </w:pPr>
            <w:r w:rsidRPr="00A547EF">
              <w:rPr>
                <w:rFonts w:ascii="Garamond" w:hAnsi="Garamond"/>
                <w:sz w:val="16"/>
                <w:szCs w:val="16"/>
              </w:rPr>
              <w:t>-Degree of legislative harmoni</w:t>
            </w:r>
            <w:r w:rsidR="00F254DD" w:rsidRPr="00A547EF">
              <w:rPr>
                <w:rFonts w:ascii="Garamond" w:hAnsi="Garamond"/>
                <w:sz w:val="16"/>
                <w:szCs w:val="16"/>
              </w:rPr>
              <w:t>sation</w:t>
            </w:r>
            <w:r w:rsidRPr="00A547EF">
              <w:rPr>
                <w:rFonts w:ascii="Garamond" w:hAnsi="Garamond"/>
                <w:sz w:val="16"/>
                <w:szCs w:val="16"/>
              </w:rPr>
              <w:t xml:space="preserve"> with the acquis</w:t>
            </w:r>
            <w:r w:rsidR="00BC2377" w:rsidRPr="00A547EF">
              <w:rPr>
                <w:rFonts w:ascii="Garamond" w:hAnsi="Garamond"/>
                <w:sz w:val="16"/>
                <w:szCs w:val="16"/>
              </w:rPr>
              <w:t>,</w:t>
            </w:r>
            <w:r w:rsidRPr="00A547EF">
              <w:rPr>
                <w:rFonts w:ascii="Garamond" w:hAnsi="Garamond"/>
                <w:sz w:val="16"/>
                <w:szCs w:val="16"/>
              </w:rPr>
              <w:t xml:space="preserve"> based on the assessment at the beginning of the implementation of IPA 2014 draft versions of prepared laws and bylaws for adoption in order to </w:t>
            </w:r>
            <w:r w:rsidR="00BC2377" w:rsidRPr="00A547EF">
              <w:rPr>
                <w:rFonts w:ascii="Garamond" w:hAnsi="Garamond"/>
                <w:sz w:val="16"/>
                <w:szCs w:val="16"/>
              </w:rPr>
              <w:t>further harmonis</w:t>
            </w:r>
            <w:r w:rsidRPr="00A547EF">
              <w:rPr>
                <w:rFonts w:ascii="Garamond" w:hAnsi="Garamond"/>
                <w:sz w:val="16"/>
                <w:szCs w:val="16"/>
              </w:rPr>
              <w:t>e</w:t>
            </w:r>
            <w:r w:rsidR="00BC2377" w:rsidRPr="00A547EF">
              <w:rPr>
                <w:rFonts w:ascii="Garamond" w:hAnsi="Garamond"/>
                <w:sz w:val="16"/>
                <w:szCs w:val="16"/>
              </w:rPr>
              <w:t xml:space="preserve"> them</w:t>
            </w:r>
          </w:p>
          <w:p w:rsidR="00B8392E" w:rsidRPr="00A547EF" w:rsidRDefault="00B8392E" w:rsidP="00B8392E">
            <w:pPr>
              <w:jc w:val="both"/>
              <w:rPr>
                <w:rFonts w:ascii="Garamond" w:hAnsi="Garamond"/>
                <w:sz w:val="16"/>
                <w:szCs w:val="16"/>
              </w:rPr>
            </w:pPr>
            <w:r w:rsidRPr="00A547EF">
              <w:rPr>
                <w:rFonts w:ascii="Garamond" w:hAnsi="Garamond"/>
                <w:sz w:val="16"/>
                <w:szCs w:val="16"/>
              </w:rPr>
              <w:t>Basic directives when it comes to direct and indirect taxation:</w:t>
            </w:r>
          </w:p>
          <w:p w:rsidR="00B8392E" w:rsidRPr="00A547EF" w:rsidRDefault="00B8392E" w:rsidP="00B8392E">
            <w:pPr>
              <w:jc w:val="both"/>
              <w:rPr>
                <w:rFonts w:ascii="Garamond" w:hAnsi="Garamond"/>
                <w:sz w:val="16"/>
                <w:szCs w:val="16"/>
              </w:rPr>
            </w:pPr>
            <w:r w:rsidRPr="00A547EF">
              <w:rPr>
                <w:rFonts w:ascii="Garamond" w:hAnsi="Garamond"/>
                <w:sz w:val="16"/>
                <w:szCs w:val="16"/>
              </w:rPr>
              <w:t>-Directive 20</w:t>
            </w:r>
            <w:r w:rsidR="006F04E8" w:rsidRPr="00A547EF">
              <w:rPr>
                <w:rFonts w:ascii="Garamond" w:hAnsi="Garamond"/>
                <w:sz w:val="16"/>
                <w:szCs w:val="16"/>
              </w:rPr>
              <w:t>11/16</w:t>
            </w:r>
            <w:r w:rsidRPr="00A547EF">
              <w:rPr>
                <w:rFonts w:ascii="Garamond" w:hAnsi="Garamond"/>
                <w:sz w:val="16"/>
                <w:szCs w:val="16"/>
              </w:rPr>
              <w:t xml:space="preserve">/EU </w:t>
            </w:r>
            <w:r w:rsidR="006F04E8" w:rsidRPr="00A547EF">
              <w:rPr>
                <w:rFonts w:ascii="Garamond" w:hAnsi="Garamond"/>
                <w:sz w:val="16"/>
                <w:szCs w:val="16"/>
              </w:rPr>
              <w:t>as regards</w:t>
            </w:r>
            <w:r w:rsidRPr="00A547EF">
              <w:rPr>
                <w:rFonts w:ascii="Garamond" w:hAnsi="Garamond"/>
                <w:sz w:val="16"/>
                <w:szCs w:val="16"/>
              </w:rPr>
              <w:t xml:space="preserve"> mandatory automatic exchange of information in the field of taxation;</w:t>
            </w:r>
          </w:p>
          <w:p w:rsidR="00B8392E" w:rsidRPr="00A547EF" w:rsidRDefault="00B8392E" w:rsidP="00B8392E">
            <w:pPr>
              <w:jc w:val="both"/>
              <w:rPr>
                <w:rFonts w:ascii="Garamond" w:hAnsi="Garamond"/>
                <w:sz w:val="16"/>
                <w:szCs w:val="16"/>
              </w:rPr>
            </w:pPr>
            <w:r w:rsidRPr="00A547EF">
              <w:rPr>
                <w:rFonts w:ascii="Garamond" w:hAnsi="Garamond"/>
                <w:sz w:val="16"/>
                <w:szCs w:val="16"/>
              </w:rPr>
              <w:t>VAT Directive;</w:t>
            </w:r>
          </w:p>
          <w:p w:rsidR="00B8392E" w:rsidRPr="00A547EF" w:rsidRDefault="006F04E8" w:rsidP="00B8392E">
            <w:pPr>
              <w:jc w:val="both"/>
              <w:rPr>
                <w:rFonts w:ascii="Garamond" w:hAnsi="Garamond"/>
                <w:sz w:val="16"/>
                <w:szCs w:val="16"/>
              </w:rPr>
            </w:pPr>
            <w:r w:rsidRPr="00A547EF">
              <w:rPr>
                <w:rFonts w:ascii="Garamond" w:hAnsi="Garamond"/>
                <w:sz w:val="16"/>
                <w:szCs w:val="16"/>
              </w:rPr>
              <w:t>Directive 2006/112/</w:t>
            </w:r>
            <w:r w:rsidR="00B8392E" w:rsidRPr="00A547EF">
              <w:rPr>
                <w:rFonts w:ascii="Garamond" w:hAnsi="Garamond"/>
                <w:sz w:val="16"/>
                <w:szCs w:val="16"/>
              </w:rPr>
              <w:t>EC common system of VAT as amended;</w:t>
            </w:r>
          </w:p>
          <w:p w:rsidR="00B8392E" w:rsidRPr="00A547EF" w:rsidRDefault="006F04E8" w:rsidP="00B8392E">
            <w:pPr>
              <w:jc w:val="both"/>
              <w:rPr>
                <w:rFonts w:ascii="Garamond" w:hAnsi="Garamond"/>
                <w:sz w:val="16"/>
                <w:szCs w:val="16"/>
              </w:rPr>
            </w:pPr>
            <w:r w:rsidRPr="00A547EF">
              <w:rPr>
                <w:rFonts w:ascii="Garamond" w:hAnsi="Garamond"/>
                <w:sz w:val="16"/>
                <w:szCs w:val="16"/>
              </w:rPr>
              <w:t>Council Directive 2008/9</w:t>
            </w:r>
            <w:r w:rsidR="00B8392E" w:rsidRPr="00A547EF">
              <w:rPr>
                <w:rFonts w:ascii="Garamond" w:hAnsi="Garamond"/>
                <w:sz w:val="16"/>
                <w:szCs w:val="16"/>
              </w:rPr>
              <w:t>/EC as amended with regard to VAT refunds.</w:t>
            </w:r>
          </w:p>
          <w:p w:rsidR="00B8392E" w:rsidRPr="00A547EF" w:rsidRDefault="006F04E8" w:rsidP="00B8392E">
            <w:pPr>
              <w:jc w:val="both"/>
              <w:rPr>
                <w:rFonts w:ascii="Garamond" w:hAnsi="Garamond"/>
                <w:sz w:val="16"/>
                <w:szCs w:val="16"/>
              </w:rPr>
            </w:pPr>
            <w:r w:rsidRPr="00A547EF">
              <w:rPr>
                <w:rFonts w:ascii="Garamond" w:hAnsi="Garamond"/>
                <w:sz w:val="16"/>
                <w:szCs w:val="16"/>
              </w:rPr>
              <w:t>Inome</w:t>
            </w:r>
            <w:r w:rsidR="00B8392E" w:rsidRPr="00A547EF">
              <w:rPr>
                <w:rFonts w:ascii="Garamond" w:hAnsi="Garamond"/>
                <w:sz w:val="16"/>
                <w:szCs w:val="16"/>
              </w:rPr>
              <w:t xml:space="preserve"> tax directives;</w:t>
            </w:r>
          </w:p>
          <w:p w:rsidR="00B8392E" w:rsidRPr="00A547EF" w:rsidRDefault="006F04E8" w:rsidP="00B8392E">
            <w:pPr>
              <w:jc w:val="both"/>
              <w:rPr>
                <w:rFonts w:ascii="Garamond" w:hAnsi="Garamond"/>
                <w:sz w:val="16"/>
                <w:szCs w:val="16"/>
              </w:rPr>
            </w:pPr>
            <w:r w:rsidRPr="00A547EF">
              <w:rPr>
                <w:rFonts w:ascii="Garamond" w:hAnsi="Garamond"/>
                <w:sz w:val="16"/>
                <w:szCs w:val="16"/>
              </w:rPr>
              <w:t>Directive 2003/49</w:t>
            </w:r>
            <w:r w:rsidR="00B8392E" w:rsidRPr="00A547EF">
              <w:rPr>
                <w:rFonts w:ascii="Garamond" w:hAnsi="Garamond"/>
                <w:sz w:val="16"/>
                <w:szCs w:val="16"/>
              </w:rPr>
              <w:t xml:space="preserve">/EU on </w:t>
            </w:r>
            <w:r w:rsidRPr="00A547EF">
              <w:rPr>
                <w:rFonts w:ascii="Garamond" w:hAnsi="Garamond"/>
                <w:sz w:val="16"/>
                <w:szCs w:val="16"/>
              </w:rPr>
              <w:t>a</w:t>
            </w:r>
            <w:r w:rsidR="00B8392E" w:rsidRPr="00A547EF">
              <w:rPr>
                <w:rFonts w:ascii="Garamond" w:hAnsi="Garamond"/>
                <w:sz w:val="16"/>
                <w:szCs w:val="16"/>
              </w:rPr>
              <w:t xml:space="preserve"> common syste</w:t>
            </w:r>
            <w:r w:rsidR="0066669E">
              <w:rPr>
                <w:rFonts w:ascii="Garamond" w:hAnsi="Garamond"/>
                <w:sz w:val="16"/>
                <w:szCs w:val="16"/>
              </w:rPr>
              <w:t xml:space="preserve">m of taxation applicable in different </w:t>
            </w:r>
            <w:r w:rsidR="00B8392E" w:rsidRPr="00A547EF">
              <w:rPr>
                <w:rFonts w:ascii="Garamond" w:hAnsi="Garamond"/>
                <w:sz w:val="16"/>
                <w:szCs w:val="16"/>
              </w:rPr>
              <w:t>Member States;</w:t>
            </w:r>
          </w:p>
          <w:p w:rsidR="00B8392E" w:rsidRPr="00A547EF" w:rsidRDefault="006F04E8" w:rsidP="00B8392E">
            <w:pPr>
              <w:jc w:val="both"/>
              <w:rPr>
                <w:rFonts w:ascii="Garamond" w:hAnsi="Garamond"/>
                <w:sz w:val="16"/>
                <w:szCs w:val="16"/>
              </w:rPr>
            </w:pPr>
            <w:r w:rsidRPr="00A547EF">
              <w:rPr>
                <w:rFonts w:ascii="Garamond" w:hAnsi="Garamond"/>
                <w:sz w:val="16"/>
                <w:szCs w:val="16"/>
              </w:rPr>
              <w:t>Directive 2011/96</w:t>
            </w:r>
            <w:r w:rsidR="00B8392E" w:rsidRPr="00A547EF">
              <w:rPr>
                <w:rFonts w:ascii="Garamond" w:hAnsi="Garamond"/>
                <w:sz w:val="16"/>
                <w:szCs w:val="16"/>
              </w:rPr>
              <w:t>/</w:t>
            </w:r>
            <w:r w:rsidRPr="00A547EF">
              <w:rPr>
                <w:rFonts w:ascii="Garamond" w:hAnsi="Garamond"/>
                <w:sz w:val="16"/>
                <w:szCs w:val="16"/>
              </w:rPr>
              <w:t xml:space="preserve">EU </w:t>
            </w:r>
            <w:r w:rsidR="00B8392E" w:rsidRPr="00A547EF">
              <w:rPr>
                <w:rFonts w:ascii="Garamond" w:hAnsi="Garamond"/>
                <w:sz w:val="16"/>
                <w:szCs w:val="16"/>
              </w:rPr>
              <w:t xml:space="preserve">on </w:t>
            </w:r>
            <w:r w:rsidRPr="00A547EF">
              <w:rPr>
                <w:rFonts w:ascii="Garamond" w:hAnsi="Garamond"/>
                <w:sz w:val="16"/>
                <w:szCs w:val="16"/>
              </w:rPr>
              <w:t>a</w:t>
            </w:r>
            <w:r w:rsidR="00B8392E" w:rsidRPr="00A547EF">
              <w:rPr>
                <w:rFonts w:ascii="Garamond" w:hAnsi="Garamond"/>
                <w:sz w:val="16"/>
                <w:szCs w:val="16"/>
              </w:rPr>
              <w:t xml:space="preserve"> common system of taxation applicable to a Directive of the Council of the European Union;</w:t>
            </w:r>
          </w:p>
          <w:p w:rsidR="00287ACF" w:rsidRPr="00A547EF" w:rsidRDefault="006F04E8" w:rsidP="006F04E8">
            <w:pPr>
              <w:jc w:val="both"/>
              <w:rPr>
                <w:rFonts w:ascii="Garamond" w:eastAsia="Calibri" w:hAnsi="Garamond"/>
                <w:sz w:val="16"/>
                <w:szCs w:val="16"/>
                <w:lang w:eastAsia="en-US" w:bidi="ar-SA"/>
              </w:rPr>
            </w:pPr>
            <w:r w:rsidRPr="00A547EF">
              <w:rPr>
                <w:rFonts w:ascii="Garamond" w:hAnsi="Garamond"/>
                <w:sz w:val="16"/>
                <w:szCs w:val="16"/>
              </w:rPr>
              <w:t>Council Directive 2009/133</w:t>
            </w:r>
            <w:r w:rsidR="00B8392E" w:rsidRPr="00A547EF">
              <w:rPr>
                <w:rFonts w:ascii="Garamond" w:hAnsi="Garamond"/>
                <w:sz w:val="16"/>
                <w:szCs w:val="16"/>
              </w:rPr>
              <w:t>/EC.</w:t>
            </w:r>
          </w:p>
        </w:tc>
      </w:tr>
      <w:tr w:rsidR="00287ACF" w:rsidRPr="00A547EF" w:rsidTr="003D6441">
        <w:trPr>
          <w:gridAfter w:val="1"/>
          <w:wAfter w:w="19" w:type="dxa"/>
          <w:trHeight w:val="620"/>
          <w:jc w:val="center"/>
        </w:trPr>
        <w:tc>
          <w:tcPr>
            <w:tcW w:w="2721" w:type="dxa"/>
            <w:vMerge/>
            <w:shd w:val="clear" w:color="auto" w:fill="auto"/>
            <w:vAlign w:val="center"/>
          </w:tcPr>
          <w:p w:rsidR="00287ACF" w:rsidRPr="00A547EF" w:rsidRDefault="00287ACF" w:rsidP="003D6441">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287ACF" w:rsidRPr="00A547EF" w:rsidRDefault="00287ACF" w:rsidP="003D6441">
            <w:pPr>
              <w:jc w:val="center"/>
              <w:rPr>
                <w:rFonts w:ascii="Garamond" w:hAnsi="Garamond"/>
                <w:color w:val="365F91" w:themeColor="accent1" w:themeShade="BF"/>
                <w:sz w:val="16"/>
                <w:szCs w:val="16"/>
              </w:rPr>
            </w:pPr>
            <w:r w:rsidRPr="00A547EF">
              <w:rPr>
                <w:rFonts w:ascii="Garamond" w:hAnsi="Garamond"/>
                <w:color w:val="365F91" w:themeColor="accent1" w:themeShade="BF"/>
                <w:sz w:val="16"/>
                <w:szCs w:val="16"/>
              </w:rPr>
              <w:t>FORMULA / EQUATION</w:t>
            </w:r>
          </w:p>
          <w:p w:rsidR="00287ACF" w:rsidRPr="00A547EF" w:rsidRDefault="006F04E8" w:rsidP="006F04E8">
            <w:pPr>
              <w:jc w:val="center"/>
              <w:rPr>
                <w:rFonts w:ascii="Garamond" w:eastAsia="Calibri" w:hAnsi="Garamond"/>
                <w:sz w:val="16"/>
                <w:szCs w:val="16"/>
                <w:lang w:eastAsia="en-US" w:bidi="ar-SA"/>
              </w:rPr>
            </w:pPr>
            <w:r w:rsidRPr="00A547EF">
              <w:rPr>
                <w:rFonts w:ascii="Garamond" w:eastAsia="游明朝" w:hAnsi="Garamond" w:cs="Times New Roman"/>
                <w:sz w:val="16"/>
                <w:szCs w:val="16"/>
                <w:lang w:val="sr-Latn-CS" w:eastAsia="en-US" w:bidi="ar-SA"/>
              </w:rPr>
              <w:t>n/a</w:t>
            </w:r>
          </w:p>
        </w:tc>
      </w:tr>
      <w:tr w:rsidR="00287ACF" w:rsidRPr="00A547EF" w:rsidTr="003D6441">
        <w:trPr>
          <w:gridAfter w:val="1"/>
          <w:wAfter w:w="19" w:type="dxa"/>
          <w:trHeight w:val="585"/>
          <w:jc w:val="center"/>
        </w:trPr>
        <w:tc>
          <w:tcPr>
            <w:tcW w:w="2721" w:type="dxa"/>
            <w:vAlign w:val="center"/>
          </w:tcPr>
          <w:p w:rsidR="00287ACF" w:rsidRPr="00A547EF" w:rsidRDefault="00287ACF" w:rsidP="003D6441">
            <w:pPr>
              <w:autoSpaceDE/>
              <w:autoSpaceDN/>
              <w:rPr>
                <w:rFonts w:ascii="Garamond" w:eastAsia="Calibri" w:hAnsi="Garamond"/>
                <w:b/>
                <w:bCs/>
                <w:caps/>
                <w:sz w:val="16"/>
                <w:szCs w:val="16"/>
                <w:lang w:val="en-GB" w:eastAsia="en-US" w:bidi="ar-SA"/>
              </w:rPr>
            </w:pPr>
            <w:r w:rsidRPr="00A547EF">
              <w:rPr>
                <w:rFonts w:ascii="Garamond" w:eastAsia="Calibri" w:hAnsi="Garamond"/>
                <w:b/>
                <w:caps/>
                <w:sz w:val="16"/>
                <w:szCs w:val="16"/>
                <w:lang w:val="uz-Cyrl-UZ" w:eastAsia="en-US" w:bidi="ar-SA"/>
              </w:rPr>
              <w:t>BASELINE</w:t>
            </w:r>
            <w:r w:rsidRPr="00A547EF">
              <w:rPr>
                <w:rFonts w:ascii="Garamond" w:eastAsia="Calibri" w:hAnsi="Garamond"/>
                <w:b/>
                <w:caps/>
                <w:sz w:val="16"/>
                <w:szCs w:val="16"/>
                <w:lang w:val="en-GB" w:eastAsia="en-US" w:bidi="ar-SA"/>
              </w:rPr>
              <w:t xml:space="preserve"> DATA</w:t>
            </w:r>
          </w:p>
        </w:tc>
        <w:tc>
          <w:tcPr>
            <w:tcW w:w="6836" w:type="dxa"/>
            <w:gridSpan w:val="4"/>
            <w:vAlign w:val="center"/>
          </w:tcPr>
          <w:p w:rsidR="00287ACF" w:rsidRPr="00A547EF" w:rsidRDefault="00287ACF" w:rsidP="006F04E8">
            <w:pPr>
              <w:autoSpaceDE/>
              <w:autoSpaceDN/>
              <w:jc w:val="both"/>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 xml:space="preserve">PV (2014): </w:t>
            </w:r>
            <w:r w:rsidR="006F04E8" w:rsidRPr="00A547EF">
              <w:rPr>
                <w:rFonts w:ascii="Garamond" w:eastAsia="Calibri" w:hAnsi="Garamond"/>
                <w:sz w:val="16"/>
                <w:szCs w:val="16"/>
                <w:lang w:val="en-GB" w:eastAsia="en-US" w:bidi="ar-SA"/>
              </w:rPr>
              <w:t xml:space="preserve">screening process completed </w:t>
            </w:r>
          </w:p>
        </w:tc>
      </w:tr>
      <w:tr w:rsidR="00287ACF" w:rsidRPr="00A547EF" w:rsidTr="003D6441">
        <w:trPr>
          <w:gridAfter w:val="1"/>
          <w:wAfter w:w="19" w:type="dxa"/>
          <w:trHeight w:val="160"/>
          <w:jc w:val="center"/>
        </w:trPr>
        <w:tc>
          <w:tcPr>
            <w:tcW w:w="2721" w:type="dxa"/>
            <w:vMerge w:val="restart"/>
            <w:vAlign w:val="center"/>
          </w:tcPr>
          <w:p w:rsidR="00287ACF" w:rsidRPr="00A547EF" w:rsidRDefault="00287ACF" w:rsidP="003D6441">
            <w:pPr>
              <w:autoSpaceDE/>
              <w:autoSpaceDN/>
              <w:rPr>
                <w:rFonts w:ascii="Garamond" w:eastAsia="Calibri" w:hAnsi="Garamond"/>
                <w:b/>
                <w:bCs/>
                <w:caps/>
                <w:sz w:val="16"/>
                <w:szCs w:val="16"/>
                <w:lang w:val="uz-Cyrl-UZ" w:eastAsia="en-US" w:bidi="ar-SA"/>
              </w:rPr>
            </w:pPr>
            <w:r w:rsidRPr="00A547EF">
              <w:rPr>
                <w:rFonts w:ascii="Garamond" w:eastAsia="Calibri" w:hAnsi="Garamond"/>
                <w:b/>
                <w:caps/>
                <w:sz w:val="16"/>
                <w:szCs w:val="16"/>
                <w:lang w:val="uz-Cyrl-UZ" w:eastAsia="en-US" w:bidi="ar-SA"/>
              </w:rPr>
              <w:t>TARGET VALUE DATA</w:t>
            </w:r>
          </w:p>
        </w:tc>
        <w:tc>
          <w:tcPr>
            <w:tcW w:w="1771" w:type="dxa"/>
            <w:vAlign w:val="center"/>
          </w:tcPr>
          <w:p w:rsidR="00287ACF" w:rsidRPr="00A547EF" w:rsidRDefault="00287ACF" w:rsidP="003D6441">
            <w:pPr>
              <w:autoSpaceDE/>
              <w:autoSpaceDN/>
              <w:jc w:val="center"/>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2017</w:t>
            </w:r>
          </w:p>
        </w:tc>
        <w:tc>
          <w:tcPr>
            <w:tcW w:w="1771" w:type="dxa"/>
            <w:vAlign w:val="center"/>
          </w:tcPr>
          <w:p w:rsidR="00287ACF" w:rsidRPr="00A547EF" w:rsidRDefault="00287ACF" w:rsidP="003D6441">
            <w:pPr>
              <w:autoSpaceDE/>
              <w:autoSpaceDN/>
              <w:jc w:val="center"/>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2018</w:t>
            </w:r>
          </w:p>
        </w:tc>
        <w:tc>
          <w:tcPr>
            <w:tcW w:w="1771" w:type="dxa"/>
            <w:vAlign w:val="center"/>
          </w:tcPr>
          <w:p w:rsidR="00287ACF" w:rsidRPr="00A547EF" w:rsidRDefault="00287ACF" w:rsidP="003D6441">
            <w:pPr>
              <w:autoSpaceDE/>
              <w:autoSpaceDN/>
              <w:jc w:val="center"/>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2019</w:t>
            </w:r>
          </w:p>
        </w:tc>
        <w:tc>
          <w:tcPr>
            <w:tcW w:w="1523" w:type="dxa"/>
            <w:vAlign w:val="center"/>
          </w:tcPr>
          <w:p w:rsidR="00287ACF" w:rsidRPr="00A547EF" w:rsidRDefault="00287ACF" w:rsidP="003D6441">
            <w:pPr>
              <w:autoSpaceDE/>
              <w:autoSpaceDN/>
              <w:jc w:val="center"/>
              <w:rPr>
                <w:rFonts w:ascii="Garamond" w:eastAsia="Calibri" w:hAnsi="Garamond"/>
                <w:sz w:val="16"/>
                <w:szCs w:val="16"/>
                <w:lang w:val="uz-Cyrl-UZ" w:eastAsia="en-US" w:bidi="ar-SA"/>
              </w:rPr>
            </w:pPr>
            <w:r w:rsidRPr="00A547EF">
              <w:rPr>
                <w:rFonts w:ascii="Garamond" w:eastAsia="Calibri" w:hAnsi="Garamond"/>
                <w:sz w:val="16"/>
                <w:szCs w:val="16"/>
                <w:lang w:val="uz-Cyrl-UZ" w:eastAsia="en-US" w:bidi="ar-SA"/>
              </w:rPr>
              <w:t>2020</w:t>
            </w:r>
          </w:p>
        </w:tc>
      </w:tr>
      <w:tr w:rsidR="00287ACF" w:rsidRPr="00A547EF" w:rsidTr="003D6441">
        <w:trPr>
          <w:gridAfter w:val="1"/>
          <w:wAfter w:w="19" w:type="dxa"/>
          <w:trHeight w:val="160"/>
          <w:jc w:val="center"/>
        </w:trPr>
        <w:tc>
          <w:tcPr>
            <w:tcW w:w="2721" w:type="dxa"/>
            <w:vMerge/>
            <w:vAlign w:val="center"/>
          </w:tcPr>
          <w:p w:rsidR="00287ACF" w:rsidRPr="00A547EF" w:rsidRDefault="00287ACF" w:rsidP="003D6441">
            <w:pPr>
              <w:autoSpaceDE/>
              <w:autoSpaceDN/>
              <w:rPr>
                <w:rFonts w:ascii="Garamond" w:eastAsia="Calibri" w:hAnsi="Garamond"/>
                <w:b/>
                <w:bCs/>
                <w:caps/>
                <w:sz w:val="16"/>
                <w:szCs w:val="16"/>
                <w:lang w:val="uz-Cyrl-UZ" w:eastAsia="en-US" w:bidi="ar-SA"/>
              </w:rPr>
            </w:pPr>
          </w:p>
        </w:tc>
        <w:tc>
          <w:tcPr>
            <w:tcW w:w="1771" w:type="dxa"/>
            <w:vAlign w:val="center"/>
          </w:tcPr>
          <w:p w:rsidR="00287ACF" w:rsidRPr="00A547EF" w:rsidRDefault="006F04E8" w:rsidP="00F57E98">
            <w:pPr>
              <w:pStyle w:val="TabelaTekst"/>
              <w:spacing w:before="0" w:after="0" w:line="240" w:lineRule="auto"/>
              <w:rPr>
                <w:rFonts w:ascii="Garamond" w:hAnsi="Garamond"/>
                <w:sz w:val="16"/>
                <w:szCs w:val="16"/>
              </w:rPr>
            </w:pPr>
            <w:r w:rsidRPr="00A547EF">
              <w:rPr>
                <w:rFonts w:ascii="Garamond" w:hAnsi="Garamond"/>
                <w:sz w:val="16"/>
                <w:szCs w:val="16"/>
              </w:rPr>
              <w:t>Negotiations in Chapter 16 - Taxation open, activities undertaken for the purpose of harmoni</w:t>
            </w:r>
            <w:r w:rsidR="00F254DD" w:rsidRPr="00A547EF">
              <w:rPr>
                <w:rFonts w:ascii="Garamond" w:hAnsi="Garamond"/>
                <w:sz w:val="16"/>
                <w:szCs w:val="16"/>
              </w:rPr>
              <w:t>sation</w:t>
            </w:r>
            <w:r w:rsidRPr="00A547EF">
              <w:rPr>
                <w:rFonts w:ascii="Garamond" w:hAnsi="Garamond"/>
                <w:sz w:val="16"/>
                <w:szCs w:val="16"/>
              </w:rPr>
              <w:t xml:space="preserve"> (assessment of the relevance of the </w:t>
            </w:r>
            <w:r w:rsidR="00F57E98" w:rsidRPr="00A547EF">
              <w:rPr>
                <w:rFonts w:ascii="Garamond" w:hAnsi="Garamond"/>
                <w:sz w:val="16"/>
                <w:szCs w:val="16"/>
                <w:lang w:val="en-GB"/>
              </w:rPr>
              <w:t>CELEX</w:t>
            </w:r>
            <w:r w:rsidRPr="00A547EF">
              <w:rPr>
                <w:rFonts w:ascii="Garamond" w:hAnsi="Garamond"/>
                <w:sz w:val="16"/>
                <w:szCs w:val="16"/>
              </w:rPr>
              <w:t>, responsible persons)</w:t>
            </w:r>
          </w:p>
        </w:tc>
        <w:tc>
          <w:tcPr>
            <w:tcW w:w="1771" w:type="dxa"/>
            <w:vAlign w:val="center"/>
          </w:tcPr>
          <w:p w:rsidR="006F04E8" w:rsidRPr="00A547EF" w:rsidRDefault="006F04E8" w:rsidP="006F04E8">
            <w:pPr>
              <w:pStyle w:val="TabelaTekst"/>
              <w:rPr>
                <w:rFonts w:ascii="Garamond" w:hAnsi="Garamond"/>
                <w:sz w:val="16"/>
                <w:szCs w:val="16"/>
              </w:rPr>
            </w:pPr>
            <w:r w:rsidRPr="00A547EF">
              <w:rPr>
                <w:rFonts w:ascii="Garamond" w:hAnsi="Garamond"/>
                <w:sz w:val="16"/>
                <w:szCs w:val="16"/>
              </w:rPr>
              <w:t>-Law on Amendments to the Law on Corporate Income Tax (</w:t>
            </w:r>
            <w:r w:rsidR="00F57E98" w:rsidRPr="00A547EF">
              <w:rPr>
                <w:rFonts w:ascii="Garamond" w:hAnsi="Garamond"/>
                <w:sz w:val="16"/>
                <w:szCs w:val="16"/>
                <w:lang w:val="en-GB"/>
              </w:rPr>
              <w:t>Q4</w:t>
            </w:r>
            <w:r w:rsidRPr="00A547EF">
              <w:rPr>
                <w:rFonts w:ascii="Garamond" w:hAnsi="Garamond"/>
                <w:sz w:val="16"/>
                <w:szCs w:val="16"/>
              </w:rPr>
              <w:t xml:space="preserve"> 2018)</w:t>
            </w:r>
          </w:p>
          <w:p w:rsidR="006F04E8" w:rsidRPr="00A547EF" w:rsidRDefault="006F04E8" w:rsidP="006F04E8">
            <w:pPr>
              <w:pStyle w:val="TabelaTekst"/>
              <w:rPr>
                <w:rFonts w:ascii="Garamond" w:hAnsi="Garamond"/>
                <w:sz w:val="16"/>
                <w:szCs w:val="16"/>
              </w:rPr>
            </w:pPr>
            <w:r w:rsidRPr="00A547EF">
              <w:rPr>
                <w:rFonts w:ascii="Garamond" w:hAnsi="Garamond"/>
                <w:sz w:val="16"/>
                <w:szCs w:val="16"/>
              </w:rPr>
              <w:t>-Law on Amendments to the Law on Tax Administration</w:t>
            </w:r>
          </w:p>
          <w:p w:rsidR="00287ACF" w:rsidRPr="00A547EF" w:rsidRDefault="006F04E8" w:rsidP="006F04E8">
            <w:pPr>
              <w:pStyle w:val="TabelaTekst"/>
              <w:spacing w:before="0" w:after="0" w:line="240" w:lineRule="auto"/>
              <w:rPr>
                <w:rFonts w:ascii="Garamond" w:hAnsi="Garamond"/>
                <w:sz w:val="16"/>
                <w:szCs w:val="16"/>
              </w:rPr>
            </w:pPr>
            <w:r w:rsidRPr="00A547EF">
              <w:rPr>
                <w:rFonts w:ascii="Garamond" w:hAnsi="Garamond"/>
                <w:sz w:val="16"/>
                <w:szCs w:val="16"/>
              </w:rPr>
              <w:t>(</w:t>
            </w:r>
            <w:r w:rsidR="00F57E98" w:rsidRPr="00A547EF">
              <w:rPr>
                <w:rFonts w:ascii="Garamond" w:hAnsi="Garamond"/>
                <w:sz w:val="16"/>
                <w:szCs w:val="16"/>
                <w:lang w:val="en-GB"/>
              </w:rPr>
              <w:t>Q4</w:t>
            </w:r>
            <w:r w:rsidRPr="00A547EF">
              <w:rPr>
                <w:rFonts w:ascii="Garamond" w:hAnsi="Garamond"/>
                <w:sz w:val="16"/>
                <w:szCs w:val="16"/>
              </w:rPr>
              <w:t>2018)</w:t>
            </w:r>
          </w:p>
        </w:tc>
        <w:tc>
          <w:tcPr>
            <w:tcW w:w="1771" w:type="dxa"/>
            <w:vAlign w:val="center"/>
          </w:tcPr>
          <w:p w:rsidR="006F04E8" w:rsidRPr="00A547EF" w:rsidRDefault="006F04E8" w:rsidP="006F04E8">
            <w:pPr>
              <w:pStyle w:val="TabelaTekst"/>
              <w:rPr>
                <w:rFonts w:ascii="Garamond" w:hAnsi="Garamond"/>
                <w:sz w:val="16"/>
                <w:szCs w:val="16"/>
              </w:rPr>
            </w:pPr>
            <w:r w:rsidRPr="00A547EF">
              <w:rPr>
                <w:rFonts w:ascii="Garamond" w:hAnsi="Garamond"/>
                <w:sz w:val="16"/>
                <w:szCs w:val="16"/>
              </w:rPr>
              <w:t>-Law on Amendments to Value Added Tax</w:t>
            </w:r>
          </w:p>
          <w:p w:rsidR="00287ACF" w:rsidRPr="00A547EF" w:rsidRDefault="006F04E8" w:rsidP="006F04E8">
            <w:pPr>
              <w:pStyle w:val="TabelaTekst"/>
              <w:spacing w:before="0" w:after="0" w:line="240" w:lineRule="auto"/>
              <w:rPr>
                <w:rFonts w:ascii="Garamond" w:hAnsi="Garamond"/>
                <w:sz w:val="16"/>
                <w:szCs w:val="16"/>
              </w:rPr>
            </w:pPr>
            <w:r w:rsidRPr="00A547EF">
              <w:rPr>
                <w:rFonts w:ascii="Garamond" w:hAnsi="Garamond"/>
                <w:sz w:val="16"/>
                <w:szCs w:val="16"/>
              </w:rPr>
              <w:t>(</w:t>
            </w:r>
            <w:r w:rsidR="00F57E98" w:rsidRPr="00A547EF">
              <w:rPr>
                <w:rFonts w:ascii="Garamond" w:hAnsi="Garamond"/>
                <w:sz w:val="16"/>
                <w:szCs w:val="16"/>
                <w:lang w:val="en-GB"/>
              </w:rPr>
              <w:t xml:space="preserve">Q4 </w:t>
            </w:r>
            <w:r w:rsidRPr="00A547EF">
              <w:rPr>
                <w:rFonts w:ascii="Garamond" w:hAnsi="Garamond"/>
                <w:sz w:val="16"/>
                <w:szCs w:val="16"/>
              </w:rPr>
              <w:t>2019)</w:t>
            </w:r>
          </w:p>
        </w:tc>
        <w:tc>
          <w:tcPr>
            <w:tcW w:w="1523" w:type="dxa"/>
            <w:vAlign w:val="center"/>
          </w:tcPr>
          <w:p w:rsidR="006F04E8" w:rsidRPr="00A547EF" w:rsidRDefault="006F04E8" w:rsidP="006F04E8">
            <w:pPr>
              <w:pStyle w:val="TabelaTekst"/>
              <w:rPr>
                <w:rFonts w:ascii="Garamond" w:hAnsi="Garamond"/>
                <w:sz w:val="16"/>
                <w:szCs w:val="16"/>
              </w:rPr>
            </w:pPr>
            <w:r w:rsidRPr="00A547EF">
              <w:rPr>
                <w:rFonts w:ascii="Garamond" w:hAnsi="Garamond"/>
                <w:sz w:val="16"/>
                <w:szCs w:val="16"/>
              </w:rPr>
              <w:t xml:space="preserve">Implemented planned activities </w:t>
            </w:r>
            <w:r w:rsidR="00BC2377" w:rsidRPr="00A547EF">
              <w:rPr>
                <w:rFonts w:ascii="Garamond" w:hAnsi="Garamond"/>
                <w:sz w:val="16"/>
                <w:szCs w:val="16"/>
                <w:lang w:val="en-GB"/>
              </w:rPr>
              <w:t>under</w:t>
            </w:r>
            <w:r w:rsidRPr="00A547EF">
              <w:rPr>
                <w:rFonts w:ascii="Garamond" w:hAnsi="Garamond"/>
                <w:sz w:val="16"/>
                <w:szCs w:val="16"/>
              </w:rPr>
              <w:t xml:space="preserve"> the Accession Program</w:t>
            </w:r>
            <w:r w:rsidR="00BC2377" w:rsidRPr="00A547EF">
              <w:rPr>
                <w:rFonts w:ascii="Garamond" w:hAnsi="Garamond"/>
                <w:sz w:val="16"/>
                <w:szCs w:val="16"/>
                <w:lang w:val="en-GB"/>
              </w:rPr>
              <w:t>me</w:t>
            </w:r>
            <w:r w:rsidRPr="00A547EF">
              <w:rPr>
                <w:rFonts w:ascii="Garamond" w:hAnsi="Garamond"/>
                <w:sz w:val="16"/>
                <w:szCs w:val="16"/>
              </w:rPr>
              <w:t xml:space="preserve"> - Chapter 16. Taxes</w:t>
            </w:r>
          </w:p>
          <w:p w:rsidR="00287ACF" w:rsidRPr="00A547EF" w:rsidRDefault="006F04E8" w:rsidP="006F04E8">
            <w:pPr>
              <w:pStyle w:val="TabelaTekst"/>
              <w:spacing w:before="0" w:after="0" w:line="240" w:lineRule="auto"/>
              <w:rPr>
                <w:rFonts w:ascii="Garamond" w:hAnsi="Garamond"/>
                <w:sz w:val="16"/>
                <w:szCs w:val="16"/>
              </w:rPr>
            </w:pPr>
            <w:r w:rsidRPr="00A547EF">
              <w:rPr>
                <w:rFonts w:ascii="Garamond" w:hAnsi="Garamond"/>
                <w:sz w:val="16"/>
                <w:szCs w:val="16"/>
              </w:rPr>
              <w:t>(PPCG document)</w:t>
            </w:r>
          </w:p>
        </w:tc>
      </w:tr>
      <w:tr w:rsidR="00287ACF" w:rsidRPr="00A547EF" w:rsidTr="003D6441">
        <w:trPr>
          <w:gridAfter w:val="1"/>
          <w:wAfter w:w="19" w:type="dxa"/>
          <w:trHeight w:val="160"/>
          <w:jc w:val="center"/>
        </w:trPr>
        <w:tc>
          <w:tcPr>
            <w:tcW w:w="2721" w:type="dxa"/>
            <w:vAlign w:val="center"/>
          </w:tcPr>
          <w:p w:rsidR="00287ACF" w:rsidRPr="00A547EF" w:rsidRDefault="0062456A" w:rsidP="003D6441">
            <w:pPr>
              <w:autoSpaceDE/>
              <w:autoSpaceDN/>
              <w:rPr>
                <w:rFonts w:ascii="Garamond" w:eastAsia="Calibri" w:hAnsi="Garamond"/>
                <w:b/>
                <w:bCs/>
                <w:caps/>
                <w:sz w:val="16"/>
                <w:szCs w:val="16"/>
                <w:lang w:val="uz-Cyrl-UZ" w:eastAsia="en-US" w:bidi="ar-SA"/>
              </w:rPr>
            </w:pPr>
            <w:r w:rsidRPr="00A547EF">
              <w:rPr>
                <w:rFonts w:ascii="Garamond" w:eastAsia="Calibri" w:hAnsi="Garamond"/>
                <w:b/>
                <w:bCs/>
                <w:caps/>
                <w:sz w:val="16"/>
                <w:szCs w:val="16"/>
                <w:lang w:val="uz-Cyrl-UZ" w:eastAsia="en-US" w:bidi="ar-SA"/>
              </w:rPr>
              <w:t>DATA ON VALUES ACHIEVED</w:t>
            </w:r>
          </w:p>
        </w:tc>
        <w:tc>
          <w:tcPr>
            <w:tcW w:w="1771" w:type="dxa"/>
            <w:vAlign w:val="center"/>
          </w:tcPr>
          <w:p w:rsidR="006F04E8" w:rsidRPr="00A547EF" w:rsidRDefault="006F04E8" w:rsidP="006F04E8">
            <w:pPr>
              <w:pStyle w:val="TabelaTekst"/>
              <w:rPr>
                <w:rFonts w:ascii="Garamond" w:hAnsi="Garamond"/>
                <w:sz w:val="16"/>
                <w:szCs w:val="16"/>
                <w:lang w:val="en-GB"/>
              </w:rPr>
            </w:pPr>
            <w:r w:rsidRPr="00A547EF">
              <w:rPr>
                <w:rFonts w:ascii="Garamond" w:hAnsi="Garamond"/>
                <w:sz w:val="16"/>
                <w:szCs w:val="16"/>
              </w:rPr>
              <w:t>- A certain degree of legislative harmoni</w:t>
            </w:r>
            <w:r w:rsidR="00F254DD" w:rsidRPr="00A547EF">
              <w:rPr>
                <w:rFonts w:ascii="Garamond" w:hAnsi="Garamond"/>
                <w:sz w:val="16"/>
                <w:szCs w:val="16"/>
              </w:rPr>
              <w:t>sation</w:t>
            </w:r>
            <w:r w:rsidRPr="00A547EF">
              <w:rPr>
                <w:rFonts w:ascii="Garamond" w:hAnsi="Garamond"/>
                <w:sz w:val="16"/>
                <w:szCs w:val="16"/>
              </w:rPr>
              <w:t xml:space="preserve"> has been achieved</w:t>
            </w:r>
            <w:r w:rsidR="00F57E98" w:rsidRPr="00A547EF">
              <w:rPr>
                <w:rStyle w:val="FootnoteReference"/>
                <w:rFonts w:ascii="Garamond" w:hAnsi="Garamond"/>
                <w:sz w:val="16"/>
                <w:szCs w:val="16"/>
              </w:rPr>
              <w:footnoteReference w:id="65"/>
            </w:r>
            <w:r w:rsidRPr="00A547EF">
              <w:rPr>
                <w:rFonts w:ascii="Garamond" w:hAnsi="Garamond"/>
                <w:sz w:val="16"/>
                <w:szCs w:val="16"/>
              </w:rPr>
              <w:t>, a higher degree has been achieved in the field of VAT; - harmoni</w:t>
            </w:r>
            <w:r w:rsidR="00F254DD" w:rsidRPr="00A547EF">
              <w:rPr>
                <w:rFonts w:ascii="Garamond" w:hAnsi="Garamond"/>
                <w:sz w:val="16"/>
                <w:szCs w:val="16"/>
              </w:rPr>
              <w:t>sation</w:t>
            </w:r>
            <w:r w:rsidRPr="00A547EF">
              <w:rPr>
                <w:rFonts w:ascii="Garamond" w:hAnsi="Garamond"/>
                <w:sz w:val="16"/>
                <w:szCs w:val="16"/>
              </w:rPr>
              <w:t xml:space="preserve"> in the area of </w:t>
            </w:r>
            <w:r w:rsidR="00F57E98" w:rsidRPr="00A547EF">
              <w:rPr>
                <w:rFonts w:ascii="Garamond" w:hAnsi="Garamond"/>
                <w:sz w:val="16"/>
                <w:szCs w:val="16"/>
                <w:lang w:val="en-GB"/>
              </w:rPr>
              <w:t>income</w:t>
            </w:r>
            <w:r w:rsidRPr="00A547EF">
              <w:rPr>
                <w:rFonts w:ascii="Garamond" w:hAnsi="Garamond"/>
                <w:sz w:val="16"/>
                <w:szCs w:val="16"/>
              </w:rPr>
              <w:t xml:space="preserve"> tax (transfer prices) remains </w:t>
            </w:r>
            <w:r w:rsidR="008331BA">
              <w:rPr>
                <w:rFonts w:ascii="Garamond" w:hAnsi="Garamond"/>
                <w:sz w:val="16"/>
                <w:szCs w:val="16"/>
                <w:lang w:val="en-US"/>
              </w:rPr>
              <w:t xml:space="preserve">to be implemented </w:t>
            </w:r>
            <w:r w:rsidRPr="00A547EF">
              <w:rPr>
                <w:rFonts w:ascii="Garamond" w:hAnsi="Garamond"/>
                <w:sz w:val="16"/>
                <w:szCs w:val="16"/>
              </w:rPr>
              <w:t xml:space="preserve">until the end of </w:t>
            </w:r>
            <w:r w:rsidR="00A03F93" w:rsidRPr="00A547EF">
              <w:rPr>
                <w:rFonts w:ascii="Garamond" w:hAnsi="Garamond"/>
                <w:sz w:val="16"/>
                <w:szCs w:val="16"/>
                <w:lang w:val="en-GB"/>
              </w:rPr>
              <w:t>Q4</w:t>
            </w:r>
          </w:p>
          <w:p w:rsidR="00287ACF" w:rsidRPr="00A547EF" w:rsidRDefault="006F04E8" w:rsidP="008331BA">
            <w:pPr>
              <w:pStyle w:val="TabelaTekst"/>
              <w:spacing w:before="0" w:after="0" w:line="240" w:lineRule="auto"/>
              <w:rPr>
                <w:rFonts w:ascii="Garamond" w:hAnsi="Garamond"/>
                <w:sz w:val="16"/>
                <w:szCs w:val="16"/>
              </w:rPr>
            </w:pPr>
            <w:r w:rsidRPr="00A547EF">
              <w:rPr>
                <w:rFonts w:ascii="Garamond" w:hAnsi="Garamond"/>
                <w:sz w:val="16"/>
                <w:szCs w:val="16"/>
              </w:rPr>
              <w:t xml:space="preserve">   - Amendments to the Law on Tax Administration </w:t>
            </w:r>
            <w:r w:rsidR="008331BA">
              <w:rPr>
                <w:rFonts w:ascii="Garamond" w:hAnsi="Garamond"/>
                <w:sz w:val="16"/>
                <w:szCs w:val="16"/>
                <w:lang w:val="en-US"/>
              </w:rPr>
              <w:t xml:space="preserve">concerning </w:t>
            </w:r>
            <w:r w:rsidRPr="00A547EF">
              <w:rPr>
                <w:rFonts w:ascii="Garamond" w:hAnsi="Garamond"/>
                <w:sz w:val="16"/>
                <w:szCs w:val="16"/>
              </w:rPr>
              <w:t xml:space="preserve">articles related to administrative cooperation and mutual assistance (until </w:t>
            </w:r>
            <w:r w:rsidR="00A03F93" w:rsidRPr="00A547EF">
              <w:rPr>
                <w:rFonts w:ascii="Garamond" w:hAnsi="Garamond"/>
                <w:sz w:val="16"/>
                <w:szCs w:val="16"/>
                <w:lang w:val="en-GB"/>
              </w:rPr>
              <w:t>Q4</w:t>
            </w:r>
            <w:r w:rsidRPr="00A547EF">
              <w:rPr>
                <w:rFonts w:ascii="Garamond" w:hAnsi="Garamond"/>
                <w:sz w:val="16"/>
                <w:szCs w:val="16"/>
              </w:rPr>
              <w:t>).</w:t>
            </w:r>
          </w:p>
        </w:tc>
        <w:tc>
          <w:tcPr>
            <w:tcW w:w="1771" w:type="dxa"/>
            <w:vAlign w:val="center"/>
          </w:tcPr>
          <w:p w:rsidR="00287ACF" w:rsidRPr="00A547EF" w:rsidRDefault="006F04E8" w:rsidP="00A03F93">
            <w:pPr>
              <w:pStyle w:val="TabelaTekst"/>
              <w:rPr>
                <w:rFonts w:ascii="Garamond" w:hAnsi="Garamond"/>
                <w:sz w:val="16"/>
                <w:szCs w:val="16"/>
              </w:rPr>
            </w:pPr>
            <w:r w:rsidRPr="00A547EF">
              <w:rPr>
                <w:rFonts w:ascii="Garamond" w:hAnsi="Garamond"/>
                <w:sz w:val="16"/>
                <w:szCs w:val="16"/>
              </w:rPr>
              <w:t>Drafts have been prepared</w:t>
            </w:r>
            <w:r w:rsidR="00A03F93" w:rsidRPr="00A547EF">
              <w:rPr>
                <w:rFonts w:ascii="Garamond" w:hAnsi="Garamond"/>
                <w:sz w:val="16"/>
                <w:szCs w:val="16"/>
                <w:lang w:val="en-GB"/>
              </w:rPr>
              <w:t xml:space="preserve"> of</w:t>
            </w:r>
            <w:r w:rsidRPr="00A547EF">
              <w:rPr>
                <w:rFonts w:ascii="Garamond" w:hAnsi="Garamond"/>
                <w:sz w:val="16"/>
                <w:szCs w:val="16"/>
              </w:rPr>
              <w:t xml:space="preserve"> the Law on Amendments to the Law on Corporate Income Tax, as well as the Law on Amendments to the Law on Tax Administration</w:t>
            </w:r>
            <w:r w:rsidR="00A03F93" w:rsidRPr="00A547EF">
              <w:rPr>
                <w:rFonts w:ascii="Garamond" w:hAnsi="Garamond"/>
                <w:sz w:val="16"/>
                <w:szCs w:val="16"/>
                <w:lang w:val="en-GB"/>
              </w:rPr>
              <w:t xml:space="preserve"> </w:t>
            </w:r>
            <w:r w:rsidR="001A72C2" w:rsidRPr="00A547EF">
              <w:rPr>
                <w:rFonts w:ascii="Garamond" w:hAnsi="Garamond"/>
                <w:sz w:val="16"/>
                <w:szCs w:val="16"/>
              </w:rPr>
              <w:t>in order to further harmoni</w:t>
            </w:r>
            <w:r w:rsidR="001A72C2" w:rsidRPr="00A547EF">
              <w:rPr>
                <w:rFonts w:ascii="Garamond" w:hAnsi="Garamond"/>
                <w:sz w:val="16"/>
                <w:szCs w:val="16"/>
                <w:lang w:val="en-GB"/>
              </w:rPr>
              <w:t>s</w:t>
            </w:r>
            <w:r w:rsidRPr="00A547EF">
              <w:rPr>
                <w:rFonts w:ascii="Garamond" w:hAnsi="Garamond"/>
                <w:sz w:val="16"/>
                <w:szCs w:val="16"/>
              </w:rPr>
              <w:t>e with EU legislation, especially in the area of administrative cooperation and exchange of information.</w:t>
            </w:r>
            <w:r w:rsidR="00E61B9D" w:rsidRPr="00A547EF">
              <w:rPr>
                <w:rStyle w:val="FootnoteReference"/>
                <w:rFonts w:ascii="Garamond" w:hAnsi="Garamond"/>
                <w:sz w:val="16"/>
                <w:szCs w:val="16"/>
              </w:rPr>
              <w:footnoteReference w:id="66"/>
            </w:r>
          </w:p>
        </w:tc>
        <w:tc>
          <w:tcPr>
            <w:tcW w:w="1771" w:type="dxa"/>
            <w:vAlign w:val="center"/>
          </w:tcPr>
          <w:p w:rsidR="00F57E98" w:rsidRPr="00A547EF" w:rsidRDefault="00F57E98" w:rsidP="00F57E98">
            <w:pPr>
              <w:pStyle w:val="TabelaTekst"/>
              <w:rPr>
                <w:rFonts w:ascii="Garamond" w:hAnsi="Garamond"/>
                <w:sz w:val="16"/>
                <w:szCs w:val="16"/>
              </w:rPr>
            </w:pPr>
            <w:r w:rsidRPr="00A547EF">
              <w:rPr>
                <w:rFonts w:ascii="Garamond" w:hAnsi="Garamond"/>
                <w:sz w:val="16"/>
                <w:szCs w:val="16"/>
              </w:rPr>
              <w:t>Higher degree of compliance compared to the previous year;</w:t>
            </w:r>
          </w:p>
          <w:p w:rsidR="00287ACF" w:rsidRPr="00A547EF" w:rsidRDefault="00F57E98" w:rsidP="001A72C2">
            <w:pPr>
              <w:pStyle w:val="TabelaTekst"/>
              <w:spacing w:before="0" w:after="0" w:line="240" w:lineRule="auto"/>
              <w:rPr>
                <w:rFonts w:ascii="Garamond" w:hAnsi="Garamond"/>
                <w:sz w:val="16"/>
                <w:szCs w:val="16"/>
              </w:rPr>
            </w:pPr>
            <w:r w:rsidRPr="00A547EF">
              <w:rPr>
                <w:rFonts w:ascii="Garamond" w:hAnsi="Garamond"/>
                <w:sz w:val="16"/>
                <w:szCs w:val="16"/>
              </w:rPr>
              <w:t>All proposed amendments to the law</w:t>
            </w:r>
            <w:r w:rsidR="00E61B9D" w:rsidRPr="00A547EF">
              <w:rPr>
                <w:rStyle w:val="FootnoteReference"/>
                <w:rFonts w:ascii="Garamond" w:hAnsi="Garamond"/>
                <w:sz w:val="16"/>
                <w:szCs w:val="16"/>
              </w:rPr>
              <w:footnoteReference w:id="67"/>
            </w:r>
            <w:r w:rsidRPr="00A547EF">
              <w:rPr>
                <w:rFonts w:ascii="Garamond" w:hAnsi="Garamond"/>
                <w:sz w:val="16"/>
                <w:szCs w:val="16"/>
              </w:rPr>
              <w:t xml:space="preserve"> </w:t>
            </w:r>
            <w:r w:rsidR="001A72C2" w:rsidRPr="00A547EF">
              <w:rPr>
                <w:rFonts w:ascii="Garamond" w:hAnsi="Garamond"/>
                <w:sz w:val="16"/>
                <w:szCs w:val="16"/>
                <w:lang w:val="en-GB"/>
              </w:rPr>
              <w:t>adopted</w:t>
            </w:r>
            <w:r w:rsidRPr="00A547EF">
              <w:rPr>
                <w:rFonts w:ascii="Garamond" w:hAnsi="Garamond"/>
                <w:sz w:val="16"/>
                <w:szCs w:val="16"/>
              </w:rPr>
              <w:t xml:space="preserve"> </w:t>
            </w:r>
            <w:r w:rsidR="00A03F93" w:rsidRPr="00A547EF">
              <w:rPr>
                <w:rFonts w:ascii="Garamond" w:hAnsi="Garamond"/>
                <w:sz w:val="16"/>
                <w:szCs w:val="16"/>
                <w:lang w:val="en-GB"/>
              </w:rPr>
              <w:t xml:space="preserve">by </w:t>
            </w:r>
            <w:r w:rsidRPr="00A547EF">
              <w:rPr>
                <w:rFonts w:ascii="Garamond" w:hAnsi="Garamond"/>
                <w:sz w:val="16"/>
                <w:szCs w:val="16"/>
              </w:rPr>
              <w:t>the Legislative Committee. After which they were submitted to the EC for an opinion.</w:t>
            </w:r>
          </w:p>
        </w:tc>
        <w:tc>
          <w:tcPr>
            <w:tcW w:w="1523" w:type="dxa"/>
            <w:vAlign w:val="center"/>
          </w:tcPr>
          <w:p w:rsidR="00287ACF" w:rsidRPr="00A547EF" w:rsidRDefault="00F57E98" w:rsidP="003D6441">
            <w:pPr>
              <w:pStyle w:val="TabelaTekst"/>
              <w:spacing w:before="0" w:after="0" w:line="240" w:lineRule="auto"/>
              <w:rPr>
                <w:rFonts w:ascii="Garamond" w:hAnsi="Garamond"/>
                <w:sz w:val="16"/>
                <w:szCs w:val="16"/>
              </w:rPr>
            </w:pPr>
            <w:r w:rsidRPr="00A547EF">
              <w:rPr>
                <w:rFonts w:ascii="Garamond" w:eastAsia="Times New Roman" w:hAnsi="Garamond" w:cstheme="minorHAnsi"/>
                <w:sz w:val="16"/>
                <w:szCs w:val="16"/>
                <w:lang w:val="en-US" w:eastAsia="hr-HR" w:bidi="tr-TR"/>
              </w:rPr>
              <w:t>Higher degree of compliance compared to the previous year</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A03F93">
      <w:pPr>
        <w:pStyle w:val="Heading3"/>
        <w:rPr>
          <w:rFonts w:ascii="Garamond" w:hAnsi="Garamond"/>
          <w:sz w:val="24"/>
          <w:szCs w:val="24"/>
        </w:rPr>
      </w:pPr>
      <w:bookmarkStart w:id="52" w:name="_Toc77688229"/>
      <w:r w:rsidRPr="00C32887">
        <w:rPr>
          <w:rFonts w:ascii="Garamond" w:hAnsi="Garamond"/>
          <w:sz w:val="24"/>
          <w:szCs w:val="24"/>
        </w:rPr>
        <w:t xml:space="preserve">2.1.3 </w:t>
      </w:r>
      <w:r w:rsidR="00A03F93">
        <w:rPr>
          <w:rFonts w:ascii="Garamond" w:hAnsi="Garamond"/>
          <w:sz w:val="24"/>
          <w:szCs w:val="24"/>
        </w:rPr>
        <w:t>PERFORMANCE INDICATOR 13</w:t>
      </w:r>
      <w:r w:rsidR="001A72C2">
        <w:rPr>
          <w:rFonts w:ascii="Garamond" w:hAnsi="Garamond"/>
          <w:sz w:val="24"/>
          <w:szCs w:val="24"/>
        </w:rPr>
        <w:t xml:space="preserve"> </w:t>
      </w:r>
      <w:r w:rsidR="00A03F93" w:rsidRPr="00C32887">
        <w:rPr>
          <w:rFonts w:ascii="Garamond" w:hAnsi="Garamond"/>
          <w:sz w:val="24"/>
          <w:szCs w:val="24"/>
        </w:rPr>
        <w:t>PASSPORT</w:t>
      </w:r>
      <w:bookmarkEnd w:id="52"/>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A03F93" w:rsidRPr="008331BA" w:rsidTr="003D6441">
        <w:trPr>
          <w:jc w:val="center"/>
        </w:trPr>
        <w:tc>
          <w:tcPr>
            <w:tcW w:w="2721" w:type="dxa"/>
            <w:tcBorders>
              <w:right w:val="single" w:sz="4" w:space="0" w:color="FFFFFF"/>
            </w:tcBorders>
            <w:shd w:val="clear" w:color="auto" w:fill="BFBFBF"/>
            <w:vAlign w:val="center"/>
          </w:tcPr>
          <w:p w:rsidR="00A03F93" w:rsidRPr="008331BA" w:rsidRDefault="00A03F93" w:rsidP="003D6441">
            <w:pPr>
              <w:autoSpaceDE/>
              <w:autoSpaceDN/>
              <w:rPr>
                <w:rFonts w:ascii="Garamond" w:eastAsia="Calibri" w:hAnsi="Garamond"/>
                <w:b/>
                <w:caps/>
                <w:sz w:val="16"/>
                <w:szCs w:val="16"/>
                <w:lang w:val="en-GB" w:eastAsia="en-US" w:bidi="ar-SA"/>
              </w:rPr>
            </w:pPr>
            <w:r w:rsidRPr="008331BA">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A03F93" w:rsidRPr="008331BA" w:rsidRDefault="00A03F93" w:rsidP="00A03F93">
            <w:pPr>
              <w:pStyle w:val="Default"/>
              <w:jc w:val="both"/>
              <w:rPr>
                <w:rFonts w:ascii="Garamond" w:hAnsi="Garamond"/>
                <w:sz w:val="16"/>
                <w:szCs w:val="16"/>
              </w:rPr>
            </w:pPr>
            <w:r w:rsidRPr="008331BA">
              <w:rPr>
                <w:rFonts w:ascii="Garamond" w:hAnsi="Garamond"/>
                <w:sz w:val="16"/>
                <w:szCs w:val="16"/>
              </w:rPr>
              <w:t xml:space="preserve">Share of collected tax revenue compared to the planned tax revenue in the annual budget law </w:t>
            </w:r>
          </w:p>
          <w:p w:rsidR="00A03F93" w:rsidRPr="008331BA" w:rsidRDefault="00A03F93" w:rsidP="003D6441">
            <w:pPr>
              <w:pStyle w:val="Default"/>
              <w:jc w:val="both"/>
              <w:rPr>
                <w:rFonts w:ascii="Garamond" w:eastAsia="Calibri" w:hAnsi="Garamond"/>
                <w:b/>
                <w:sz w:val="16"/>
                <w:szCs w:val="16"/>
                <w:lang w:eastAsia="en-US"/>
              </w:rPr>
            </w:pPr>
          </w:p>
        </w:tc>
      </w:tr>
      <w:tr w:rsidR="00A03F93" w:rsidRPr="008331BA" w:rsidTr="003D6441">
        <w:trPr>
          <w:gridAfter w:val="1"/>
          <w:wAfter w:w="19" w:type="dxa"/>
          <w:jc w:val="center"/>
        </w:trPr>
        <w:tc>
          <w:tcPr>
            <w:tcW w:w="2721" w:type="dxa"/>
            <w:vAlign w:val="center"/>
          </w:tcPr>
          <w:p w:rsidR="00A03F93" w:rsidRPr="008331BA" w:rsidRDefault="00A03F93" w:rsidP="003D6441">
            <w:pPr>
              <w:autoSpaceDE/>
              <w:autoSpaceDN/>
              <w:rPr>
                <w:rFonts w:ascii="Garamond" w:eastAsia="Calibri" w:hAnsi="Garamond"/>
                <w:b/>
                <w:caps/>
                <w:sz w:val="16"/>
                <w:szCs w:val="16"/>
                <w:lang w:val="en-GB" w:eastAsia="en-US" w:bidi="ar-SA"/>
              </w:rPr>
            </w:pPr>
            <w:r w:rsidRPr="008331BA">
              <w:rPr>
                <w:rFonts w:ascii="Garamond" w:eastAsia="Calibri" w:hAnsi="Garamond"/>
                <w:b/>
                <w:caps/>
                <w:sz w:val="16"/>
                <w:szCs w:val="16"/>
                <w:lang w:val="en-GB" w:eastAsia="en-US" w:bidi="ar-SA"/>
              </w:rPr>
              <w:t>corresponding objective or activity</w:t>
            </w:r>
          </w:p>
        </w:tc>
        <w:tc>
          <w:tcPr>
            <w:tcW w:w="6836" w:type="dxa"/>
            <w:gridSpan w:val="4"/>
            <w:vAlign w:val="center"/>
          </w:tcPr>
          <w:p w:rsidR="00A03F93" w:rsidRPr="008331BA" w:rsidRDefault="00A03F93" w:rsidP="003D6441">
            <w:pPr>
              <w:rPr>
                <w:rFonts w:ascii="Garamond" w:hAnsi="Garamond"/>
                <w:color w:val="365F91" w:themeColor="accent1" w:themeShade="BF"/>
                <w:sz w:val="16"/>
                <w:szCs w:val="16"/>
              </w:rPr>
            </w:pPr>
            <w:r w:rsidRPr="008331BA">
              <w:rPr>
                <w:rFonts w:ascii="Garamond" w:hAnsi="Garamond"/>
                <w:color w:val="365F91" w:themeColor="accent1" w:themeShade="BF"/>
                <w:sz w:val="16"/>
                <w:szCs w:val="16"/>
              </w:rPr>
              <w:t xml:space="preserve">Budget execution </w:t>
            </w:r>
          </w:p>
          <w:p w:rsidR="00A03F93" w:rsidRPr="008331BA" w:rsidRDefault="00A03F93" w:rsidP="003D6441">
            <w:pPr>
              <w:pStyle w:val="ListParagraph"/>
              <w:numPr>
                <w:ilvl w:val="0"/>
                <w:numId w:val="28"/>
              </w:numPr>
              <w:rPr>
                <w:rFonts w:ascii="Garamond" w:hAnsi="Garamond"/>
                <w:color w:val="365F91" w:themeColor="accent1" w:themeShade="BF"/>
                <w:sz w:val="16"/>
                <w:szCs w:val="16"/>
                <w:u w:val="single"/>
              </w:rPr>
            </w:pPr>
            <w:r w:rsidRPr="008331BA">
              <w:rPr>
                <w:rFonts w:ascii="Garamond" w:hAnsi="Garamond"/>
                <w:color w:val="365F91" w:themeColor="accent1" w:themeShade="BF"/>
                <w:sz w:val="16"/>
                <w:szCs w:val="16"/>
                <w:u w:val="single"/>
              </w:rPr>
              <w:t>Revenue collection - Tax Administration</w:t>
            </w:r>
          </w:p>
          <w:p w:rsidR="00A03F93" w:rsidRPr="008331BA" w:rsidRDefault="00A03F93" w:rsidP="003D6441">
            <w:pPr>
              <w:rPr>
                <w:rFonts w:ascii="Garamond" w:eastAsia="Calibri" w:hAnsi="Garamond"/>
                <w:color w:val="000000" w:themeColor="text1"/>
                <w:sz w:val="16"/>
                <w:szCs w:val="16"/>
                <w:lang w:eastAsia="en-US" w:bidi="ar-SA"/>
              </w:rPr>
            </w:pPr>
            <w:r w:rsidRPr="008331BA">
              <w:rPr>
                <w:rFonts w:ascii="Garamond" w:eastAsia="Calibri" w:hAnsi="Garamond"/>
                <w:color w:val="000000" w:themeColor="text1"/>
                <w:sz w:val="16"/>
                <w:szCs w:val="16"/>
                <w:lang w:eastAsia="en-US" w:bidi="ar-SA"/>
              </w:rPr>
              <w:t>Strengthening the administrative capacity of the Tax Administration of Montenegro to increase tax collection thus contributing to maximising the government</w:t>
            </w:r>
            <w:r w:rsidR="00C13A74" w:rsidRPr="008331BA">
              <w:rPr>
                <w:rFonts w:ascii="Garamond" w:eastAsia="Calibri" w:hAnsi="Garamond"/>
                <w:color w:val="000000" w:themeColor="text1"/>
                <w:sz w:val="16"/>
                <w:szCs w:val="16"/>
                <w:lang w:eastAsia="en-US" w:bidi="ar-SA"/>
              </w:rPr>
              <w:t>’</w:t>
            </w:r>
            <w:r w:rsidRPr="008331BA">
              <w:rPr>
                <w:rFonts w:ascii="Garamond" w:eastAsia="Calibri" w:hAnsi="Garamond"/>
                <w:color w:val="000000" w:themeColor="text1"/>
                <w:sz w:val="16"/>
                <w:szCs w:val="16"/>
                <w:lang w:eastAsia="en-US" w:bidi="ar-SA"/>
              </w:rPr>
              <w:t>s fiscal revenues</w:t>
            </w:r>
          </w:p>
        </w:tc>
      </w:tr>
      <w:tr w:rsidR="00A03F93" w:rsidRPr="008331BA" w:rsidTr="003D6441">
        <w:trPr>
          <w:gridAfter w:val="1"/>
          <w:wAfter w:w="19" w:type="dxa"/>
          <w:jc w:val="center"/>
        </w:trPr>
        <w:tc>
          <w:tcPr>
            <w:tcW w:w="2721" w:type="dxa"/>
            <w:vAlign w:val="center"/>
          </w:tcPr>
          <w:p w:rsidR="00A03F93" w:rsidRPr="008331BA" w:rsidRDefault="00A03F93"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A03F93" w:rsidRPr="008331BA" w:rsidRDefault="00A03F93" w:rsidP="00A03F93">
            <w:pPr>
              <w:jc w:val="both"/>
              <w:rPr>
                <w:rFonts w:ascii="Garamond" w:hAnsi="Garamond"/>
                <w:sz w:val="16"/>
                <w:szCs w:val="16"/>
              </w:rPr>
            </w:pPr>
            <w:r w:rsidRPr="008331BA">
              <w:rPr>
                <w:rFonts w:ascii="Garamond" w:hAnsi="Garamond"/>
                <w:sz w:val="16"/>
                <w:szCs w:val="16"/>
              </w:rPr>
              <w:t>Data collection at the national level</w:t>
            </w:r>
          </w:p>
          <w:p w:rsidR="00A03F93" w:rsidRPr="008331BA" w:rsidRDefault="00A03F93" w:rsidP="00A03F93">
            <w:pPr>
              <w:jc w:val="both"/>
              <w:rPr>
                <w:rFonts w:ascii="Garamond" w:eastAsia="Calibri" w:hAnsi="Garamond"/>
                <w:sz w:val="16"/>
                <w:szCs w:val="16"/>
                <w:lang w:eastAsia="en-US" w:bidi="ar-SA"/>
              </w:rPr>
            </w:pPr>
            <w:r w:rsidRPr="008331BA">
              <w:rPr>
                <w:rFonts w:ascii="Garamond" w:hAnsi="Garamond"/>
                <w:sz w:val="16"/>
                <w:szCs w:val="16"/>
              </w:rPr>
              <w:t>Annual Budget Plan of the Ministry of Finance and Social Welfare based on the Budget Law: www.mif.gov.me</w:t>
            </w:r>
          </w:p>
        </w:tc>
      </w:tr>
      <w:tr w:rsidR="00A03F93" w:rsidRPr="008331BA" w:rsidTr="003D6441">
        <w:trPr>
          <w:gridAfter w:val="1"/>
          <w:wAfter w:w="19" w:type="dxa"/>
          <w:jc w:val="center"/>
        </w:trPr>
        <w:tc>
          <w:tcPr>
            <w:tcW w:w="2721" w:type="dxa"/>
            <w:vAlign w:val="center"/>
          </w:tcPr>
          <w:p w:rsidR="00A03F93" w:rsidRPr="008331BA" w:rsidRDefault="00A03F93"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NAME OF DATA COLLECTION HOLDER</w:t>
            </w:r>
          </w:p>
        </w:tc>
        <w:tc>
          <w:tcPr>
            <w:tcW w:w="6836" w:type="dxa"/>
            <w:gridSpan w:val="4"/>
            <w:vAlign w:val="center"/>
          </w:tcPr>
          <w:p w:rsidR="00A03F93" w:rsidRPr="008331BA" w:rsidRDefault="00A03F93" w:rsidP="003D6441">
            <w:pPr>
              <w:rPr>
                <w:rFonts w:ascii="Garamond" w:hAnsi="Garamond"/>
                <w:sz w:val="16"/>
                <w:szCs w:val="16"/>
              </w:rPr>
            </w:pPr>
            <w:r w:rsidRPr="008331BA">
              <w:rPr>
                <w:rFonts w:ascii="Garamond" w:hAnsi="Garamond"/>
                <w:sz w:val="16"/>
                <w:szCs w:val="16"/>
              </w:rPr>
              <w:t>Revenue &amp; Customs Administration</w:t>
            </w:r>
          </w:p>
          <w:p w:rsidR="00A03F93" w:rsidRPr="008331BA" w:rsidRDefault="00A03F93" w:rsidP="003D6441">
            <w:pPr>
              <w:rPr>
                <w:rFonts w:ascii="Garamond" w:eastAsia="Calibri" w:hAnsi="Garamond"/>
                <w:sz w:val="16"/>
                <w:szCs w:val="16"/>
                <w:lang w:eastAsia="en-US" w:bidi="ar-SA"/>
              </w:rPr>
            </w:pPr>
            <w:r w:rsidRPr="008331BA">
              <w:rPr>
                <w:rFonts w:ascii="Garamond" w:hAnsi="Garamond"/>
                <w:sz w:val="16"/>
                <w:szCs w:val="16"/>
              </w:rPr>
              <w:t>Phone: 020 - 448 -232</w:t>
            </w:r>
          </w:p>
        </w:tc>
      </w:tr>
      <w:tr w:rsidR="00A03F93" w:rsidRPr="008331BA" w:rsidTr="003D6441">
        <w:trPr>
          <w:gridAfter w:val="1"/>
          <w:wAfter w:w="19" w:type="dxa"/>
          <w:jc w:val="center"/>
        </w:trPr>
        <w:tc>
          <w:tcPr>
            <w:tcW w:w="2721" w:type="dxa"/>
            <w:vAlign w:val="center"/>
          </w:tcPr>
          <w:p w:rsidR="00A03F93" w:rsidRPr="008331BA" w:rsidRDefault="00A03F93"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FREQUENCY OF DATA PUBLICATION</w:t>
            </w:r>
          </w:p>
        </w:tc>
        <w:tc>
          <w:tcPr>
            <w:tcW w:w="6836" w:type="dxa"/>
            <w:gridSpan w:val="4"/>
            <w:vAlign w:val="center"/>
          </w:tcPr>
          <w:p w:rsidR="00A03F93" w:rsidRPr="008331BA" w:rsidRDefault="00A03F93" w:rsidP="00A03F93">
            <w:pPr>
              <w:rPr>
                <w:rFonts w:ascii="Garamond" w:eastAsia="Calibri" w:hAnsi="Garamond"/>
                <w:sz w:val="16"/>
                <w:szCs w:val="16"/>
                <w:lang w:eastAsia="en-US" w:bidi="ar-SA"/>
              </w:rPr>
            </w:pPr>
            <w:r w:rsidRPr="008331BA">
              <w:rPr>
                <w:rFonts w:ascii="Garamond" w:hAnsi="Garamond"/>
                <w:sz w:val="16"/>
                <w:szCs w:val="16"/>
              </w:rPr>
              <w:t xml:space="preserve">Quarterly, annually </w:t>
            </w:r>
          </w:p>
        </w:tc>
      </w:tr>
      <w:tr w:rsidR="00A03F93" w:rsidRPr="008331BA" w:rsidTr="003D6441">
        <w:trPr>
          <w:gridAfter w:val="1"/>
          <w:wAfter w:w="19" w:type="dxa"/>
          <w:trHeight w:val="458"/>
          <w:jc w:val="center"/>
        </w:trPr>
        <w:tc>
          <w:tcPr>
            <w:tcW w:w="2721" w:type="dxa"/>
            <w:vMerge w:val="restart"/>
            <w:vAlign w:val="center"/>
          </w:tcPr>
          <w:p w:rsidR="00A03F93" w:rsidRPr="008331BA" w:rsidRDefault="00A03F93"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 xml:space="preserve">BRIEF DESCRIPTION </w:t>
            </w:r>
            <w:r w:rsidRPr="008331BA">
              <w:rPr>
                <w:rFonts w:ascii="Garamond" w:eastAsia="Calibri" w:hAnsi="Garamond"/>
                <w:b/>
                <w:caps/>
                <w:sz w:val="16"/>
                <w:szCs w:val="16"/>
                <w:lang w:val="en-GB" w:eastAsia="en-US" w:bidi="ar-SA"/>
              </w:rPr>
              <w:t xml:space="preserve">OF </w:t>
            </w:r>
            <w:r w:rsidRPr="008331BA">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A03F93" w:rsidRPr="008331BA" w:rsidRDefault="00A03F93" w:rsidP="003D6441">
            <w:pPr>
              <w:jc w:val="both"/>
              <w:rPr>
                <w:rFonts w:ascii="Garamond" w:eastAsia="Calibri" w:hAnsi="Garamond"/>
                <w:sz w:val="16"/>
                <w:szCs w:val="16"/>
                <w:lang w:eastAsia="en-US" w:bidi="ar-SA"/>
              </w:rPr>
            </w:pPr>
          </w:p>
        </w:tc>
      </w:tr>
      <w:tr w:rsidR="00A03F93" w:rsidRPr="008331BA" w:rsidTr="003D6441">
        <w:trPr>
          <w:gridAfter w:val="1"/>
          <w:wAfter w:w="19" w:type="dxa"/>
          <w:trHeight w:val="620"/>
          <w:jc w:val="center"/>
        </w:trPr>
        <w:tc>
          <w:tcPr>
            <w:tcW w:w="2721" w:type="dxa"/>
            <w:vMerge/>
            <w:shd w:val="clear" w:color="auto" w:fill="auto"/>
            <w:vAlign w:val="center"/>
          </w:tcPr>
          <w:p w:rsidR="00A03F93" w:rsidRPr="008331BA" w:rsidRDefault="00A03F93" w:rsidP="003D6441">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A03F93" w:rsidRPr="008331BA" w:rsidRDefault="00A03F93" w:rsidP="003D6441">
            <w:pPr>
              <w:jc w:val="center"/>
              <w:rPr>
                <w:rFonts w:ascii="Garamond" w:hAnsi="Garamond"/>
                <w:color w:val="365F91" w:themeColor="accent1" w:themeShade="BF"/>
                <w:sz w:val="16"/>
                <w:szCs w:val="16"/>
                <w:lang w:val="uz-Cyrl-UZ"/>
              </w:rPr>
            </w:pPr>
            <w:r w:rsidRPr="008331BA">
              <w:rPr>
                <w:rFonts w:ascii="Garamond" w:hAnsi="Garamond"/>
                <w:color w:val="365F91" w:themeColor="accent1" w:themeShade="BF"/>
                <w:sz w:val="16"/>
                <w:szCs w:val="16"/>
                <w:lang w:val="uz-Cyrl-UZ"/>
              </w:rPr>
              <w:t>FORMULA / EQUATION</w:t>
            </w:r>
          </w:p>
          <w:p w:rsidR="00A03F93" w:rsidRPr="008331BA" w:rsidRDefault="00613C2B" w:rsidP="003D6441">
            <w:pPr>
              <w:jc w:val="center"/>
              <w:rPr>
                <w:rFonts w:ascii="Garamond" w:eastAsia="Calibri" w:hAnsi="Garamond"/>
                <w:sz w:val="16"/>
                <w:szCs w:val="16"/>
                <w:lang w:val="uz-Cyrl-UZ" w:eastAsia="en-US" w:bidi="ar-SA"/>
              </w:rPr>
            </w:pPr>
            <m:oMath>
              <m:f>
                <m:fPr>
                  <m:ctrlPr>
                    <w:rPr>
                      <w:rFonts w:ascii="Cambria Math" w:eastAsia="游明朝" w:hAnsi="Cambria Math" w:cs="Times New Roman"/>
                      <w:i/>
                      <w:sz w:val="16"/>
                      <w:szCs w:val="16"/>
                      <w:lang w:val="sr-Latn-CS" w:eastAsia="en-US" w:bidi="ar-SA"/>
                    </w:rPr>
                  </m:ctrlPr>
                </m:fPr>
                <m:num>
                  <m:r>
                    <w:rPr>
                      <w:rFonts w:ascii="Cambria Math" w:eastAsia="游明朝" w:hAnsi="Cambria Math" w:cs="Times New Roman"/>
                      <w:sz w:val="16"/>
                      <w:szCs w:val="16"/>
                      <w:lang w:val="sr-Latn-CS" w:eastAsia="en-US" w:bidi="ar-SA"/>
                    </w:rPr>
                    <m:t>Tax revenues collected during the fiscal year</m:t>
                  </m:r>
                </m:num>
                <m:den>
                  <m:r>
                    <w:rPr>
                      <w:rFonts w:ascii="Cambria Math" w:eastAsia="游明朝" w:hAnsi="Cambria Math" w:cs="Times New Roman"/>
                      <w:sz w:val="16"/>
                      <w:szCs w:val="16"/>
                      <w:lang w:val="sr-Latn-CS" w:eastAsia="en-US" w:bidi="ar-SA"/>
                    </w:rPr>
                    <m:t>Planned tax revenues in the annual budget law</m:t>
                  </m:r>
                </m:den>
              </m:f>
            </m:oMath>
            <w:r w:rsidR="00A03F93" w:rsidRPr="008331BA">
              <w:rPr>
                <w:rFonts w:ascii="Garamond" w:eastAsia="游明朝" w:hAnsi="Garamond" w:cs="Times New Roman"/>
                <w:i/>
                <w:sz w:val="16"/>
                <w:szCs w:val="16"/>
                <w:lang w:val="sr-Latn-CS" w:eastAsia="en-US" w:bidi="ar-SA"/>
              </w:rPr>
              <w:t xml:space="preserve"> x100</w:t>
            </w:r>
          </w:p>
        </w:tc>
      </w:tr>
      <w:tr w:rsidR="00A03F93" w:rsidRPr="008331BA" w:rsidTr="003D6441">
        <w:trPr>
          <w:gridAfter w:val="1"/>
          <w:wAfter w:w="19" w:type="dxa"/>
          <w:trHeight w:val="585"/>
          <w:jc w:val="center"/>
        </w:trPr>
        <w:tc>
          <w:tcPr>
            <w:tcW w:w="2721" w:type="dxa"/>
            <w:vAlign w:val="center"/>
          </w:tcPr>
          <w:p w:rsidR="00A03F93" w:rsidRPr="008331BA" w:rsidRDefault="00A03F93" w:rsidP="003D6441">
            <w:pPr>
              <w:autoSpaceDE/>
              <w:autoSpaceDN/>
              <w:rPr>
                <w:rFonts w:ascii="Garamond" w:eastAsia="Calibri" w:hAnsi="Garamond"/>
                <w:b/>
                <w:bCs/>
                <w:caps/>
                <w:sz w:val="16"/>
                <w:szCs w:val="16"/>
                <w:lang w:val="en-GB" w:eastAsia="en-US" w:bidi="ar-SA"/>
              </w:rPr>
            </w:pPr>
            <w:r w:rsidRPr="008331BA">
              <w:rPr>
                <w:rFonts w:ascii="Garamond" w:eastAsia="Calibri" w:hAnsi="Garamond"/>
                <w:b/>
                <w:caps/>
                <w:sz w:val="16"/>
                <w:szCs w:val="16"/>
                <w:lang w:val="uz-Cyrl-UZ" w:eastAsia="en-US" w:bidi="ar-SA"/>
              </w:rPr>
              <w:t>BASELINE</w:t>
            </w:r>
            <w:r w:rsidRPr="008331BA">
              <w:rPr>
                <w:rFonts w:ascii="Garamond" w:eastAsia="Calibri" w:hAnsi="Garamond"/>
                <w:b/>
                <w:caps/>
                <w:sz w:val="16"/>
                <w:szCs w:val="16"/>
                <w:lang w:val="en-GB" w:eastAsia="en-US" w:bidi="ar-SA"/>
              </w:rPr>
              <w:t xml:space="preserve"> DATA</w:t>
            </w:r>
          </w:p>
        </w:tc>
        <w:tc>
          <w:tcPr>
            <w:tcW w:w="6836" w:type="dxa"/>
            <w:gridSpan w:val="4"/>
            <w:vAlign w:val="center"/>
          </w:tcPr>
          <w:p w:rsidR="00A03F93" w:rsidRPr="008331BA" w:rsidRDefault="00A03F93" w:rsidP="003D6441">
            <w:pPr>
              <w:pStyle w:val="TabelaTekst"/>
              <w:spacing w:before="0" w:after="0" w:line="240" w:lineRule="auto"/>
              <w:rPr>
                <w:rFonts w:ascii="Garamond" w:hAnsi="Garamond"/>
                <w:sz w:val="16"/>
                <w:szCs w:val="16"/>
              </w:rPr>
            </w:pPr>
            <w:r w:rsidRPr="008331BA">
              <w:rPr>
                <w:rFonts w:ascii="Garamond" w:hAnsi="Garamond"/>
                <w:sz w:val="16"/>
                <w:szCs w:val="16"/>
              </w:rPr>
              <w:t>PV (2014): 100%</w:t>
            </w:r>
          </w:p>
          <w:p w:rsidR="00A03F93" w:rsidRPr="008331BA" w:rsidRDefault="00A03F93" w:rsidP="003D6441">
            <w:pPr>
              <w:pStyle w:val="TabelaTekst"/>
              <w:spacing w:before="0" w:after="0" w:line="240" w:lineRule="auto"/>
              <w:rPr>
                <w:rFonts w:ascii="Garamond" w:hAnsi="Garamond"/>
                <w:sz w:val="16"/>
                <w:szCs w:val="16"/>
              </w:rPr>
            </w:pPr>
            <w:r w:rsidRPr="008331BA">
              <w:rPr>
                <w:rFonts w:ascii="Garamond" w:hAnsi="Garamond"/>
                <w:sz w:val="16"/>
                <w:szCs w:val="16"/>
              </w:rPr>
              <w:t>(2015): 100%</w:t>
            </w:r>
          </w:p>
          <w:p w:rsidR="00A03F93" w:rsidRPr="008331BA" w:rsidRDefault="00A03F93" w:rsidP="003D6441">
            <w:pPr>
              <w:pStyle w:val="TabelaTekst"/>
              <w:spacing w:before="0" w:after="0" w:line="240" w:lineRule="auto"/>
              <w:rPr>
                <w:rFonts w:ascii="Garamond" w:hAnsi="Garamond"/>
                <w:sz w:val="16"/>
                <w:szCs w:val="16"/>
              </w:rPr>
            </w:pPr>
            <w:r w:rsidRPr="008331BA">
              <w:rPr>
                <w:rFonts w:ascii="Garamond" w:hAnsi="Garamond"/>
                <w:sz w:val="16"/>
                <w:szCs w:val="16"/>
              </w:rPr>
              <w:t>(2016): 100%</w:t>
            </w:r>
          </w:p>
        </w:tc>
      </w:tr>
      <w:tr w:rsidR="00A03F93" w:rsidRPr="008331BA" w:rsidTr="003D6441">
        <w:trPr>
          <w:gridAfter w:val="1"/>
          <w:wAfter w:w="19" w:type="dxa"/>
          <w:trHeight w:val="160"/>
          <w:jc w:val="center"/>
        </w:trPr>
        <w:tc>
          <w:tcPr>
            <w:tcW w:w="2721" w:type="dxa"/>
            <w:vMerge w:val="restart"/>
            <w:vAlign w:val="center"/>
          </w:tcPr>
          <w:p w:rsidR="00A03F93" w:rsidRPr="008331BA" w:rsidRDefault="00A03F93" w:rsidP="003D6441">
            <w:pPr>
              <w:autoSpaceDE/>
              <w:autoSpaceDN/>
              <w:rPr>
                <w:rFonts w:ascii="Garamond" w:eastAsia="Calibri" w:hAnsi="Garamond"/>
                <w:b/>
                <w:bCs/>
                <w:caps/>
                <w:sz w:val="16"/>
                <w:szCs w:val="16"/>
                <w:lang w:val="uz-Cyrl-UZ" w:eastAsia="en-US" w:bidi="ar-SA"/>
              </w:rPr>
            </w:pPr>
            <w:r w:rsidRPr="008331BA">
              <w:rPr>
                <w:rFonts w:ascii="Garamond" w:eastAsia="Calibri" w:hAnsi="Garamond"/>
                <w:b/>
                <w:caps/>
                <w:sz w:val="16"/>
                <w:szCs w:val="16"/>
                <w:lang w:val="uz-Cyrl-UZ" w:eastAsia="en-US" w:bidi="ar-SA"/>
              </w:rPr>
              <w:t>TARGET VALUE DATA</w:t>
            </w:r>
          </w:p>
        </w:tc>
        <w:tc>
          <w:tcPr>
            <w:tcW w:w="1771" w:type="dxa"/>
            <w:vAlign w:val="center"/>
          </w:tcPr>
          <w:p w:rsidR="00A03F93" w:rsidRPr="008331BA" w:rsidRDefault="00A03F93"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2017</w:t>
            </w:r>
          </w:p>
        </w:tc>
        <w:tc>
          <w:tcPr>
            <w:tcW w:w="1771" w:type="dxa"/>
            <w:vAlign w:val="center"/>
          </w:tcPr>
          <w:p w:rsidR="00A03F93" w:rsidRPr="008331BA" w:rsidRDefault="00A03F93"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2018</w:t>
            </w:r>
          </w:p>
        </w:tc>
        <w:tc>
          <w:tcPr>
            <w:tcW w:w="1771" w:type="dxa"/>
            <w:vAlign w:val="center"/>
          </w:tcPr>
          <w:p w:rsidR="00A03F93" w:rsidRPr="008331BA" w:rsidRDefault="00A03F93"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2019</w:t>
            </w:r>
          </w:p>
        </w:tc>
        <w:tc>
          <w:tcPr>
            <w:tcW w:w="1523" w:type="dxa"/>
            <w:vAlign w:val="center"/>
          </w:tcPr>
          <w:p w:rsidR="00A03F93" w:rsidRPr="008331BA" w:rsidRDefault="00A03F93"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2020</w:t>
            </w:r>
          </w:p>
        </w:tc>
      </w:tr>
      <w:tr w:rsidR="00A03F93" w:rsidRPr="008331BA" w:rsidTr="003D6441">
        <w:trPr>
          <w:gridAfter w:val="1"/>
          <w:wAfter w:w="19" w:type="dxa"/>
          <w:trHeight w:val="160"/>
          <w:jc w:val="center"/>
        </w:trPr>
        <w:tc>
          <w:tcPr>
            <w:tcW w:w="2721" w:type="dxa"/>
            <w:vMerge/>
            <w:vAlign w:val="center"/>
          </w:tcPr>
          <w:p w:rsidR="00A03F93" w:rsidRPr="008331BA" w:rsidRDefault="00A03F93" w:rsidP="003D6441">
            <w:pPr>
              <w:autoSpaceDE/>
              <w:autoSpaceDN/>
              <w:rPr>
                <w:rFonts w:ascii="Garamond" w:eastAsia="Calibri" w:hAnsi="Garamond"/>
                <w:b/>
                <w:bCs/>
                <w:caps/>
                <w:sz w:val="16"/>
                <w:szCs w:val="16"/>
                <w:lang w:val="uz-Cyrl-UZ" w:eastAsia="en-US" w:bidi="ar-SA"/>
              </w:rPr>
            </w:pPr>
          </w:p>
        </w:tc>
        <w:tc>
          <w:tcPr>
            <w:tcW w:w="1771" w:type="dxa"/>
            <w:vAlign w:val="center"/>
          </w:tcPr>
          <w:p w:rsidR="00A03F93" w:rsidRPr="008331BA" w:rsidRDefault="00A03F93" w:rsidP="003D6441">
            <w:pPr>
              <w:pStyle w:val="TabelaTekst"/>
              <w:spacing w:before="0" w:after="0" w:line="240" w:lineRule="auto"/>
              <w:rPr>
                <w:rFonts w:ascii="Garamond" w:hAnsi="Garamond"/>
                <w:sz w:val="16"/>
                <w:szCs w:val="16"/>
              </w:rPr>
            </w:pPr>
            <w:r w:rsidRPr="008331BA">
              <w:rPr>
                <w:rFonts w:ascii="Garamond" w:hAnsi="Garamond"/>
                <w:sz w:val="16"/>
                <w:szCs w:val="16"/>
              </w:rPr>
              <w:t>100%</w:t>
            </w:r>
          </w:p>
        </w:tc>
        <w:tc>
          <w:tcPr>
            <w:tcW w:w="1771" w:type="dxa"/>
            <w:vAlign w:val="center"/>
          </w:tcPr>
          <w:p w:rsidR="00A03F93" w:rsidRPr="008331BA" w:rsidRDefault="00A03F93" w:rsidP="003D6441">
            <w:pPr>
              <w:pStyle w:val="TabelaTekst"/>
              <w:spacing w:before="0" w:after="0" w:line="240" w:lineRule="auto"/>
              <w:rPr>
                <w:rFonts w:ascii="Garamond" w:hAnsi="Garamond"/>
                <w:sz w:val="16"/>
                <w:szCs w:val="16"/>
              </w:rPr>
            </w:pPr>
            <w:r w:rsidRPr="008331BA">
              <w:rPr>
                <w:rFonts w:ascii="Garamond" w:hAnsi="Garamond"/>
                <w:sz w:val="16"/>
                <w:szCs w:val="16"/>
              </w:rPr>
              <w:t>100%</w:t>
            </w:r>
          </w:p>
        </w:tc>
        <w:tc>
          <w:tcPr>
            <w:tcW w:w="1771" w:type="dxa"/>
            <w:vAlign w:val="center"/>
          </w:tcPr>
          <w:p w:rsidR="00A03F93" w:rsidRPr="008331BA" w:rsidRDefault="00A03F93" w:rsidP="003D6441">
            <w:pPr>
              <w:pStyle w:val="TabelaTekst"/>
              <w:spacing w:before="0" w:after="0" w:line="240" w:lineRule="auto"/>
              <w:rPr>
                <w:rFonts w:ascii="Garamond" w:hAnsi="Garamond"/>
                <w:sz w:val="16"/>
                <w:szCs w:val="16"/>
              </w:rPr>
            </w:pPr>
            <w:r w:rsidRPr="008331BA">
              <w:rPr>
                <w:rFonts w:ascii="Garamond" w:hAnsi="Garamond"/>
                <w:sz w:val="16"/>
                <w:szCs w:val="16"/>
              </w:rPr>
              <w:t>100%</w:t>
            </w:r>
          </w:p>
        </w:tc>
        <w:tc>
          <w:tcPr>
            <w:tcW w:w="1523" w:type="dxa"/>
            <w:vAlign w:val="center"/>
          </w:tcPr>
          <w:p w:rsidR="00A03F93" w:rsidRPr="008331BA" w:rsidRDefault="00A03F93" w:rsidP="003D6441">
            <w:pPr>
              <w:pStyle w:val="TabelaTekst"/>
              <w:spacing w:before="0" w:after="0" w:line="240" w:lineRule="auto"/>
              <w:rPr>
                <w:rFonts w:ascii="Garamond" w:hAnsi="Garamond"/>
                <w:sz w:val="16"/>
                <w:szCs w:val="16"/>
              </w:rPr>
            </w:pPr>
            <w:r w:rsidRPr="008331BA">
              <w:rPr>
                <w:rFonts w:ascii="Garamond" w:hAnsi="Garamond"/>
                <w:sz w:val="16"/>
                <w:szCs w:val="16"/>
              </w:rPr>
              <w:t>100%</w:t>
            </w:r>
          </w:p>
        </w:tc>
      </w:tr>
      <w:tr w:rsidR="00A03F93" w:rsidRPr="008331BA" w:rsidTr="003D6441">
        <w:trPr>
          <w:gridAfter w:val="1"/>
          <w:wAfter w:w="19" w:type="dxa"/>
          <w:trHeight w:val="160"/>
          <w:jc w:val="center"/>
        </w:trPr>
        <w:tc>
          <w:tcPr>
            <w:tcW w:w="2721" w:type="dxa"/>
            <w:vAlign w:val="center"/>
          </w:tcPr>
          <w:p w:rsidR="00A03F93" w:rsidRPr="008331BA" w:rsidRDefault="0062456A" w:rsidP="003D6441">
            <w:pPr>
              <w:autoSpaceDE/>
              <w:autoSpaceDN/>
              <w:rPr>
                <w:rFonts w:ascii="Garamond" w:eastAsia="Calibri" w:hAnsi="Garamond"/>
                <w:b/>
                <w:bCs/>
                <w:caps/>
                <w:sz w:val="16"/>
                <w:szCs w:val="16"/>
                <w:lang w:val="uz-Cyrl-UZ" w:eastAsia="en-US" w:bidi="ar-SA"/>
              </w:rPr>
            </w:pPr>
            <w:r w:rsidRPr="008331BA">
              <w:rPr>
                <w:rFonts w:ascii="Garamond" w:eastAsia="Calibri" w:hAnsi="Garamond"/>
                <w:b/>
                <w:bCs/>
                <w:caps/>
                <w:sz w:val="16"/>
                <w:szCs w:val="16"/>
                <w:lang w:val="uz-Cyrl-UZ" w:eastAsia="en-US" w:bidi="ar-SA"/>
              </w:rPr>
              <w:t>DATA ON VALUES ACHIEVED</w:t>
            </w:r>
          </w:p>
        </w:tc>
        <w:tc>
          <w:tcPr>
            <w:tcW w:w="1771" w:type="dxa"/>
            <w:vAlign w:val="center"/>
          </w:tcPr>
          <w:p w:rsidR="00A03F93" w:rsidRPr="008331BA" w:rsidRDefault="00A03F93" w:rsidP="00A03F93">
            <w:pPr>
              <w:pStyle w:val="TabelaTekst"/>
              <w:rPr>
                <w:rFonts w:ascii="Garamond" w:hAnsi="Garamond"/>
                <w:sz w:val="16"/>
                <w:szCs w:val="16"/>
              </w:rPr>
            </w:pPr>
            <w:r w:rsidRPr="008331BA">
              <w:rPr>
                <w:rFonts w:ascii="Garamond" w:hAnsi="Garamond"/>
                <w:sz w:val="16"/>
                <w:szCs w:val="16"/>
              </w:rPr>
              <w:t>More than 100% of the planned</w:t>
            </w:r>
          </w:p>
          <w:p w:rsidR="00A03F93" w:rsidRPr="008331BA" w:rsidRDefault="00A03F93" w:rsidP="00A03F93">
            <w:pPr>
              <w:pStyle w:val="TabelaTekst"/>
              <w:spacing w:before="0" w:after="0" w:line="240" w:lineRule="auto"/>
              <w:rPr>
                <w:rFonts w:ascii="Garamond" w:hAnsi="Garamond"/>
                <w:sz w:val="16"/>
                <w:szCs w:val="16"/>
              </w:rPr>
            </w:pPr>
            <w:r w:rsidRPr="008331BA">
              <w:rPr>
                <w:rFonts w:ascii="Garamond" w:hAnsi="Garamond"/>
                <w:sz w:val="16"/>
                <w:szCs w:val="16"/>
              </w:rPr>
              <w:t xml:space="preserve">(24 million above the plan for 2017) and 34 million above the </w:t>
            </w:r>
            <w:r w:rsidRPr="008331BA">
              <w:rPr>
                <w:rFonts w:ascii="Garamond" w:hAnsi="Garamond"/>
                <w:sz w:val="16"/>
                <w:szCs w:val="16"/>
                <w:lang w:val="en-GB"/>
              </w:rPr>
              <w:t xml:space="preserve">implementation </w:t>
            </w:r>
            <w:r w:rsidRPr="008331BA">
              <w:rPr>
                <w:rFonts w:ascii="Garamond" w:hAnsi="Garamond"/>
                <w:sz w:val="16"/>
                <w:szCs w:val="16"/>
              </w:rPr>
              <w:t>in 2016.</w:t>
            </w:r>
          </w:p>
        </w:tc>
        <w:tc>
          <w:tcPr>
            <w:tcW w:w="1771" w:type="dxa"/>
            <w:vAlign w:val="center"/>
          </w:tcPr>
          <w:p w:rsidR="00A03F93" w:rsidRPr="008331BA" w:rsidRDefault="00A03F93" w:rsidP="003D6441">
            <w:pPr>
              <w:pStyle w:val="TabelaTekst"/>
              <w:rPr>
                <w:rFonts w:ascii="Garamond" w:hAnsi="Garamond"/>
                <w:sz w:val="16"/>
                <w:szCs w:val="16"/>
              </w:rPr>
            </w:pPr>
            <w:r w:rsidRPr="008331BA">
              <w:rPr>
                <w:rFonts w:ascii="Garamond" w:hAnsi="Garamond"/>
                <w:sz w:val="16"/>
                <w:szCs w:val="16"/>
              </w:rPr>
              <w:t xml:space="preserve">Above the plan for 2018, 73 million or 117 million above the </w:t>
            </w:r>
            <w:r w:rsidR="00E61B9D" w:rsidRPr="008331BA">
              <w:rPr>
                <w:rFonts w:ascii="Garamond" w:hAnsi="Garamond"/>
                <w:sz w:val="16"/>
                <w:szCs w:val="16"/>
                <w:lang w:val="en-GB"/>
              </w:rPr>
              <w:t xml:space="preserve">implementation </w:t>
            </w:r>
            <w:r w:rsidRPr="008331BA">
              <w:rPr>
                <w:rFonts w:ascii="Garamond" w:hAnsi="Garamond"/>
                <w:sz w:val="16"/>
                <w:szCs w:val="16"/>
              </w:rPr>
              <w:t>from 2017.</w:t>
            </w:r>
          </w:p>
        </w:tc>
        <w:tc>
          <w:tcPr>
            <w:tcW w:w="1771" w:type="dxa"/>
            <w:vAlign w:val="center"/>
          </w:tcPr>
          <w:p w:rsidR="00A03F93" w:rsidRPr="008331BA" w:rsidRDefault="00E61B9D" w:rsidP="00085B78">
            <w:pPr>
              <w:pStyle w:val="TabelaTekst"/>
              <w:spacing w:before="0" w:after="0" w:line="240" w:lineRule="auto"/>
              <w:rPr>
                <w:rFonts w:ascii="Garamond" w:hAnsi="Garamond"/>
                <w:sz w:val="16"/>
                <w:szCs w:val="16"/>
              </w:rPr>
            </w:pPr>
            <w:r w:rsidRPr="008331BA">
              <w:rPr>
                <w:rFonts w:ascii="Garamond" w:hAnsi="Garamond"/>
                <w:sz w:val="16"/>
                <w:szCs w:val="16"/>
              </w:rPr>
              <w:t>Above the plan for 2019, 80 million above the plan</w:t>
            </w:r>
          </w:p>
        </w:tc>
        <w:tc>
          <w:tcPr>
            <w:tcW w:w="1523" w:type="dxa"/>
            <w:vAlign w:val="center"/>
          </w:tcPr>
          <w:p w:rsidR="00A03F93" w:rsidRPr="008331BA" w:rsidRDefault="00E61B9D" w:rsidP="003D6441">
            <w:pPr>
              <w:pStyle w:val="TabelaTekst"/>
              <w:spacing w:before="0" w:after="0" w:line="240" w:lineRule="auto"/>
              <w:rPr>
                <w:rFonts w:ascii="Garamond" w:hAnsi="Garamond"/>
                <w:sz w:val="16"/>
                <w:szCs w:val="16"/>
              </w:rPr>
            </w:pPr>
            <w:proofErr w:type="gramStart"/>
            <w:r w:rsidRPr="008331BA">
              <w:rPr>
                <w:rFonts w:ascii="Garamond" w:eastAsia="Times New Roman" w:hAnsi="Garamond" w:cstheme="minorHAnsi"/>
                <w:sz w:val="16"/>
                <w:szCs w:val="16"/>
                <w:lang w:val="en-US" w:eastAsia="hr-HR" w:bidi="tr-TR"/>
              </w:rPr>
              <w:t>65 mil.</w:t>
            </w:r>
            <w:proofErr w:type="gramEnd"/>
            <w:r w:rsidRPr="008331BA">
              <w:rPr>
                <w:rFonts w:ascii="Garamond" w:eastAsia="Times New Roman" w:hAnsi="Garamond" w:cstheme="minorHAnsi"/>
                <w:sz w:val="16"/>
                <w:szCs w:val="16"/>
                <w:lang w:val="en-US" w:eastAsia="hr-HR" w:bidi="tr-TR"/>
              </w:rPr>
              <w:t xml:space="preserve"> </w:t>
            </w:r>
            <w:proofErr w:type="gramStart"/>
            <w:r w:rsidRPr="008331BA">
              <w:rPr>
                <w:rFonts w:ascii="Garamond" w:eastAsia="Times New Roman" w:hAnsi="Garamond" w:cstheme="minorHAnsi"/>
                <w:sz w:val="16"/>
                <w:szCs w:val="16"/>
                <w:lang w:val="en-US" w:eastAsia="hr-HR" w:bidi="tr-TR"/>
              </w:rPr>
              <w:t>euros</w:t>
            </w:r>
            <w:proofErr w:type="gramEnd"/>
            <w:r w:rsidRPr="008331BA">
              <w:rPr>
                <w:rFonts w:ascii="Garamond" w:eastAsia="Times New Roman" w:hAnsi="Garamond" w:cstheme="minorHAnsi"/>
                <w:sz w:val="16"/>
                <w:szCs w:val="16"/>
                <w:lang w:val="en-US" w:eastAsia="hr-HR" w:bidi="tr-TR"/>
              </w:rPr>
              <w:t xml:space="preserve"> above the plan according to the budget revision, and 79 mil. </w:t>
            </w:r>
            <w:proofErr w:type="gramStart"/>
            <w:r w:rsidRPr="008331BA">
              <w:rPr>
                <w:rFonts w:ascii="Garamond" w:eastAsia="Times New Roman" w:hAnsi="Garamond" w:cstheme="minorHAnsi"/>
                <w:sz w:val="16"/>
                <w:szCs w:val="16"/>
                <w:lang w:val="en-US" w:eastAsia="hr-HR" w:bidi="tr-TR"/>
              </w:rPr>
              <w:t>euros</w:t>
            </w:r>
            <w:proofErr w:type="gramEnd"/>
            <w:r w:rsidRPr="008331BA">
              <w:rPr>
                <w:rFonts w:ascii="Garamond" w:eastAsia="Times New Roman" w:hAnsi="Garamond" w:cstheme="minorHAnsi"/>
                <w:sz w:val="16"/>
                <w:szCs w:val="16"/>
                <w:lang w:val="en-US" w:eastAsia="hr-HR" w:bidi="tr-TR"/>
              </w:rPr>
              <w:t xml:space="preserve"> (7%) below the </w:t>
            </w:r>
            <w:r w:rsidRPr="008331BA">
              <w:rPr>
                <w:rFonts w:ascii="Garamond" w:hAnsi="Garamond"/>
                <w:sz w:val="16"/>
                <w:szCs w:val="16"/>
                <w:lang w:val="en-GB"/>
              </w:rPr>
              <w:t xml:space="preserve">implementation </w:t>
            </w:r>
            <w:r w:rsidRPr="008331BA">
              <w:rPr>
                <w:rFonts w:ascii="Garamond" w:eastAsia="Times New Roman" w:hAnsi="Garamond" w:cstheme="minorHAnsi"/>
                <w:sz w:val="16"/>
                <w:szCs w:val="16"/>
                <w:lang w:val="en-US" w:eastAsia="hr-HR" w:bidi="tr-TR"/>
              </w:rPr>
              <w:t>from 2019.</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E61B9D">
      <w:pPr>
        <w:pStyle w:val="Heading3"/>
        <w:rPr>
          <w:rFonts w:ascii="Garamond" w:hAnsi="Garamond"/>
          <w:sz w:val="24"/>
          <w:szCs w:val="24"/>
        </w:rPr>
      </w:pPr>
      <w:bookmarkStart w:id="53" w:name="_Toc77688230"/>
      <w:r w:rsidRPr="00C32887">
        <w:rPr>
          <w:rFonts w:ascii="Garamond" w:hAnsi="Garamond"/>
          <w:sz w:val="24"/>
          <w:szCs w:val="24"/>
        </w:rPr>
        <w:t xml:space="preserve">2.1.4 </w:t>
      </w:r>
      <w:r w:rsidR="00E61B9D">
        <w:rPr>
          <w:rFonts w:ascii="Garamond" w:hAnsi="Garamond"/>
          <w:sz w:val="24"/>
          <w:szCs w:val="24"/>
        </w:rPr>
        <w:t xml:space="preserve">PERFORMANCE INDICATOR 14 </w:t>
      </w:r>
      <w:r w:rsidR="00E61B9D" w:rsidRPr="00C32887">
        <w:rPr>
          <w:rFonts w:ascii="Garamond" w:hAnsi="Garamond"/>
          <w:sz w:val="24"/>
          <w:szCs w:val="24"/>
        </w:rPr>
        <w:t>PASSPORT</w:t>
      </w:r>
      <w:bookmarkEnd w:id="53"/>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E61B9D" w:rsidRPr="008331BA" w:rsidTr="003D6441">
        <w:trPr>
          <w:jc w:val="center"/>
        </w:trPr>
        <w:tc>
          <w:tcPr>
            <w:tcW w:w="2721" w:type="dxa"/>
            <w:tcBorders>
              <w:right w:val="single" w:sz="4" w:space="0" w:color="FFFFFF"/>
            </w:tcBorders>
            <w:shd w:val="clear" w:color="auto" w:fill="BFBFBF"/>
            <w:vAlign w:val="center"/>
          </w:tcPr>
          <w:p w:rsidR="00E61B9D" w:rsidRPr="008331BA" w:rsidRDefault="00E61B9D" w:rsidP="003D6441">
            <w:pPr>
              <w:autoSpaceDE/>
              <w:autoSpaceDN/>
              <w:rPr>
                <w:rFonts w:ascii="Garamond" w:eastAsia="Calibri" w:hAnsi="Garamond"/>
                <w:b/>
                <w:caps/>
                <w:sz w:val="16"/>
                <w:szCs w:val="16"/>
                <w:lang w:val="en-GB" w:eastAsia="en-US" w:bidi="ar-SA"/>
              </w:rPr>
            </w:pPr>
            <w:r w:rsidRPr="008331BA">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E61B9D" w:rsidRPr="008331BA" w:rsidRDefault="00E61B9D" w:rsidP="00E61B9D">
            <w:pPr>
              <w:pStyle w:val="Default"/>
              <w:jc w:val="both"/>
              <w:rPr>
                <w:rFonts w:ascii="Garamond" w:hAnsi="Garamond"/>
                <w:sz w:val="16"/>
                <w:szCs w:val="16"/>
              </w:rPr>
            </w:pPr>
            <w:r w:rsidRPr="008331BA">
              <w:rPr>
                <w:rFonts w:ascii="Garamond" w:hAnsi="Garamond"/>
                <w:sz w:val="16"/>
                <w:szCs w:val="16"/>
              </w:rPr>
              <w:t xml:space="preserve">Share of collected VAT revenues in GDP </w:t>
            </w:r>
          </w:p>
          <w:p w:rsidR="00E61B9D" w:rsidRPr="008331BA" w:rsidRDefault="00E61B9D" w:rsidP="003D6441">
            <w:pPr>
              <w:pStyle w:val="Default"/>
              <w:jc w:val="both"/>
              <w:rPr>
                <w:rFonts w:ascii="Garamond" w:eastAsia="Calibri" w:hAnsi="Garamond"/>
                <w:b/>
                <w:sz w:val="16"/>
                <w:szCs w:val="16"/>
                <w:lang w:eastAsia="en-US"/>
              </w:rPr>
            </w:pPr>
          </w:p>
        </w:tc>
      </w:tr>
      <w:tr w:rsidR="00E61B9D" w:rsidRPr="008331BA" w:rsidTr="003D6441">
        <w:trPr>
          <w:gridAfter w:val="1"/>
          <w:wAfter w:w="19" w:type="dxa"/>
          <w:jc w:val="center"/>
        </w:trPr>
        <w:tc>
          <w:tcPr>
            <w:tcW w:w="2721" w:type="dxa"/>
            <w:vAlign w:val="center"/>
          </w:tcPr>
          <w:p w:rsidR="00E61B9D" w:rsidRPr="008331BA" w:rsidRDefault="00E61B9D" w:rsidP="003D6441">
            <w:pPr>
              <w:autoSpaceDE/>
              <w:autoSpaceDN/>
              <w:rPr>
                <w:rFonts w:ascii="Garamond" w:eastAsia="Calibri" w:hAnsi="Garamond"/>
                <w:b/>
                <w:caps/>
                <w:sz w:val="16"/>
                <w:szCs w:val="16"/>
                <w:lang w:val="en-GB" w:eastAsia="en-US" w:bidi="ar-SA"/>
              </w:rPr>
            </w:pPr>
            <w:r w:rsidRPr="008331BA">
              <w:rPr>
                <w:rFonts w:ascii="Garamond" w:eastAsia="Calibri" w:hAnsi="Garamond"/>
                <w:b/>
                <w:caps/>
                <w:sz w:val="16"/>
                <w:szCs w:val="16"/>
                <w:lang w:val="en-GB" w:eastAsia="en-US" w:bidi="ar-SA"/>
              </w:rPr>
              <w:t>corresponding objective or activity</w:t>
            </w:r>
          </w:p>
        </w:tc>
        <w:tc>
          <w:tcPr>
            <w:tcW w:w="6836" w:type="dxa"/>
            <w:gridSpan w:val="4"/>
            <w:vAlign w:val="center"/>
          </w:tcPr>
          <w:p w:rsidR="00E61B9D" w:rsidRPr="008331BA" w:rsidRDefault="00E61B9D" w:rsidP="003D6441">
            <w:pPr>
              <w:rPr>
                <w:rFonts w:ascii="Garamond" w:hAnsi="Garamond"/>
                <w:color w:val="365F91" w:themeColor="accent1" w:themeShade="BF"/>
                <w:sz w:val="16"/>
                <w:szCs w:val="16"/>
              </w:rPr>
            </w:pPr>
            <w:r w:rsidRPr="008331BA">
              <w:rPr>
                <w:rFonts w:ascii="Garamond" w:hAnsi="Garamond"/>
                <w:color w:val="365F91" w:themeColor="accent1" w:themeShade="BF"/>
                <w:sz w:val="16"/>
                <w:szCs w:val="16"/>
              </w:rPr>
              <w:t xml:space="preserve">Budget execution </w:t>
            </w:r>
          </w:p>
          <w:p w:rsidR="00E61B9D" w:rsidRPr="008331BA" w:rsidRDefault="00E61B9D" w:rsidP="003D6441">
            <w:pPr>
              <w:pStyle w:val="ListParagraph"/>
              <w:numPr>
                <w:ilvl w:val="0"/>
                <w:numId w:val="28"/>
              </w:numPr>
              <w:rPr>
                <w:rFonts w:ascii="Garamond" w:hAnsi="Garamond"/>
                <w:color w:val="365F91" w:themeColor="accent1" w:themeShade="BF"/>
                <w:sz w:val="16"/>
                <w:szCs w:val="16"/>
                <w:u w:val="single"/>
              </w:rPr>
            </w:pPr>
            <w:r w:rsidRPr="008331BA">
              <w:rPr>
                <w:rFonts w:ascii="Garamond" w:hAnsi="Garamond"/>
                <w:color w:val="365F91" w:themeColor="accent1" w:themeShade="BF"/>
                <w:sz w:val="16"/>
                <w:szCs w:val="16"/>
                <w:u w:val="single"/>
              </w:rPr>
              <w:t>Revenue collection - Tax Administration</w:t>
            </w:r>
          </w:p>
          <w:p w:rsidR="00E61B9D" w:rsidRPr="008331BA" w:rsidRDefault="00E61B9D" w:rsidP="003D6441">
            <w:pPr>
              <w:rPr>
                <w:rFonts w:ascii="Garamond" w:eastAsia="Calibri" w:hAnsi="Garamond"/>
                <w:color w:val="000000" w:themeColor="text1"/>
                <w:sz w:val="16"/>
                <w:szCs w:val="16"/>
                <w:lang w:eastAsia="en-US" w:bidi="ar-SA"/>
              </w:rPr>
            </w:pPr>
            <w:r w:rsidRPr="008331BA">
              <w:rPr>
                <w:rFonts w:ascii="Garamond" w:eastAsia="Calibri" w:hAnsi="Garamond"/>
                <w:color w:val="000000" w:themeColor="text1"/>
                <w:sz w:val="16"/>
                <w:szCs w:val="16"/>
                <w:lang w:eastAsia="en-US" w:bidi="ar-SA"/>
              </w:rPr>
              <w:t>Strengthening the administrative capacity of the Tax Administration of Montenegro to increase tax collection thus contributing to maximising the government</w:t>
            </w:r>
            <w:r w:rsidR="00C13A74" w:rsidRPr="008331BA">
              <w:rPr>
                <w:rFonts w:ascii="Garamond" w:eastAsia="Calibri" w:hAnsi="Garamond"/>
                <w:color w:val="000000" w:themeColor="text1"/>
                <w:sz w:val="16"/>
                <w:szCs w:val="16"/>
                <w:lang w:eastAsia="en-US" w:bidi="ar-SA"/>
              </w:rPr>
              <w:t>’</w:t>
            </w:r>
            <w:r w:rsidRPr="008331BA">
              <w:rPr>
                <w:rFonts w:ascii="Garamond" w:eastAsia="Calibri" w:hAnsi="Garamond"/>
                <w:color w:val="000000" w:themeColor="text1"/>
                <w:sz w:val="16"/>
                <w:szCs w:val="16"/>
                <w:lang w:eastAsia="en-US" w:bidi="ar-SA"/>
              </w:rPr>
              <w:t>s fiscal revenues</w:t>
            </w:r>
          </w:p>
        </w:tc>
      </w:tr>
      <w:tr w:rsidR="00E61B9D" w:rsidRPr="008331BA" w:rsidTr="003D6441">
        <w:trPr>
          <w:gridAfter w:val="1"/>
          <w:wAfter w:w="19" w:type="dxa"/>
          <w:jc w:val="center"/>
        </w:trPr>
        <w:tc>
          <w:tcPr>
            <w:tcW w:w="2721" w:type="dxa"/>
            <w:vAlign w:val="center"/>
          </w:tcPr>
          <w:p w:rsidR="00E61B9D" w:rsidRPr="008331BA" w:rsidRDefault="00E61B9D"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E61B9D" w:rsidRPr="008331BA" w:rsidRDefault="00E61B9D" w:rsidP="00E61B9D">
            <w:pPr>
              <w:jc w:val="both"/>
              <w:rPr>
                <w:rFonts w:ascii="Garamond" w:hAnsi="Garamond"/>
                <w:sz w:val="16"/>
                <w:szCs w:val="16"/>
              </w:rPr>
            </w:pPr>
            <w:r w:rsidRPr="008331BA">
              <w:rPr>
                <w:rFonts w:ascii="Garamond" w:hAnsi="Garamond"/>
                <w:sz w:val="16"/>
                <w:szCs w:val="16"/>
              </w:rPr>
              <w:t>Data collection at the national level</w:t>
            </w:r>
          </w:p>
          <w:p w:rsidR="00E61B9D" w:rsidRPr="008331BA" w:rsidRDefault="00E61B9D" w:rsidP="00E61B9D">
            <w:pPr>
              <w:jc w:val="both"/>
              <w:rPr>
                <w:rFonts w:ascii="Garamond" w:hAnsi="Garamond"/>
                <w:sz w:val="16"/>
                <w:szCs w:val="16"/>
              </w:rPr>
            </w:pPr>
            <w:r w:rsidRPr="008331BA">
              <w:rPr>
                <w:rFonts w:ascii="Garamond" w:hAnsi="Garamond"/>
                <w:sz w:val="16"/>
                <w:szCs w:val="16"/>
              </w:rPr>
              <w:t>-Reports on the website of the Ministry of Finance and Social Welfare:</w:t>
            </w:r>
          </w:p>
          <w:p w:rsidR="00E61B9D" w:rsidRPr="008331BA" w:rsidRDefault="00E61B9D" w:rsidP="00E61B9D">
            <w:pPr>
              <w:jc w:val="both"/>
              <w:rPr>
                <w:rFonts w:ascii="Garamond" w:hAnsi="Garamond"/>
                <w:sz w:val="16"/>
                <w:szCs w:val="16"/>
              </w:rPr>
            </w:pPr>
            <w:r w:rsidRPr="008331BA">
              <w:rPr>
                <w:rFonts w:ascii="Garamond" w:hAnsi="Garamond"/>
                <w:sz w:val="16"/>
                <w:szCs w:val="16"/>
              </w:rPr>
              <w:t>www.mif.gov.me</w:t>
            </w:r>
          </w:p>
          <w:p w:rsidR="00E61B9D" w:rsidRPr="008331BA" w:rsidRDefault="00E61B9D" w:rsidP="00E61B9D">
            <w:pPr>
              <w:jc w:val="both"/>
              <w:rPr>
                <w:rFonts w:ascii="Garamond" w:hAnsi="Garamond"/>
                <w:sz w:val="16"/>
                <w:szCs w:val="16"/>
              </w:rPr>
            </w:pPr>
            <w:r w:rsidRPr="008331BA">
              <w:rPr>
                <w:rFonts w:ascii="Garamond" w:hAnsi="Garamond"/>
                <w:sz w:val="16"/>
                <w:szCs w:val="16"/>
              </w:rPr>
              <w:t>Within the Directorate for Economic Policy and Development</w:t>
            </w:r>
          </w:p>
          <w:p w:rsidR="00E61B9D" w:rsidRPr="008331BA" w:rsidRDefault="00E61B9D" w:rsidP="00E61B9D">
            <w:pPr>
              <w:jc w:val="both"/>
              <w:rPr>
                <w:rFonts w:ascii="Garamond" w:hAnsi="Garamond"/>
                <w:sz w:val="16"/>
                <w:szCs w:val="16"/>
              </w:rPr>
            </w:pPr>
            <w:r w:rsidRPr="008331BA">
              <w:rPr>
                <w:rFonts w:ascii="Garamond" w:hAnsi="Garamond"/>
                <w:sz w:val="16"/>
                <w:szCs w:val="16"/>
              </w:rPr>
              <w:t>-2017-2020 Fiscal Strategy where new projections are given including fiscal consolidation measures:</w:t>
            </w:r>
          </w:p>
          <w:p w:rsidR="00E61B9D" w:rsidRPr="008331BA" w:rsidRDefault="00E61B9D" w:rsidP="00E61B9D">
            <w:pPr>
              <w:jc w:val="both"/>
              <w:rPr>
                <w:rFonts w:ascii="Garamond" w:eastAsia="Calibri" w:hAnsi="Garamond"/>
                <w:sz w:val="16"/>
                <w:szCs w:val="16"/>
                <w:lang w:eastAsia="en-US" w:bidi="ar-SA"/>
              </w:rPr>
            </w:pPr>
            <w:r w:rsidRPr="008331BA">
              <w:rPr>
                <w:rFonts w:ascii="Garamond" w:hAnsi="Garamond"/>
                <w:sz w:val="16"/>
                <w:szCs w:val="16"/>
              </w:rPr>
              <w:t>www.mif.gov.me</w:t>
            </w:r>
          </w:p>
        </w:tc>
      </w:tr>
      <w:tr w:rsidR="00E61B9D" w:rsidRPr="008331BA" w:rsidTr="003D6441">
        <w:trPr>
          <w:gridAfter w:val="1"/>
          <w:wAfter w:w="19" w:type="dxa"/>
          <w:jc w:val="center"/>
        </w:trPr>
        <w:tc>
          <w:tcPr>
            <w:tcW w:w="2721" w:type="dxa"/>
            <w:vAlign w:val="center"/>
          </w:tcPr>
          <w:p w:rsidR="00E61B9D" w:rsidRPr="008331BA" w:rsidRDefault="00E61B9D"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NAME OF DATA COLLECTION HOLDER</w:t>
            </w:r>
          </w:p>
        </w:tc>
        <w:tc>
          <w:tcPr>
            <w:tcW w:w="6836" w:type="dxa"/>
            <w:gridSpan w:val="4"/>
            <w:vAlign w:val="center"/>
          </w:tcPr>
          <w:p w:rsidR="00E61B9D" w:rsidRPr="008331BA" w:rsidRDefault="00E61B9D" w:rsidP="003D6441">
            <w:pPr>
              <w:rPr>
                <w:rFonts w:ascii="Garamond" w:hAnsi="Garamond"/>
                <w:sz w:val="16"/>
                <w:szCs w:val="16"/>
              </w:rPr>
            </w:pPr>
            <w:r w:rsidRPr="008331BA">
              <w:rPr>
                <w:rFonts w:ascii="Garamond" w:hAnsi="Garamond"/>
                <w:sz w:val="16"/>
                <w:szCs w:val="16"/>
              </w:rPr>
              <w:t>Revenue &amp; Customs Administration</w:t>
            </w:r>
          </w:p>
          <w:p w:rsidR="00E61B9D" w:rsidRPr="008331BA" w:rsidRDefault="00E61B9D" w:rsidP="003D6441">
            <w:pPr>
              <w:rPr>
                <w:rFonts w:ascii="Garamond" w:eastAsia="Calibri" w:hAnsi="Garamond"/>
                <w:sz w:val="16"/>
                <w:szCs w:val="16"/>
                <w:lang w:eastAsia="en-US" w:bidi="ar-SA"/>
              </w:rPr>
            </w:pPr>
            <w:r w:rsidRPr="008331BA">
              <w:rPr>
                <w:rFonts w:ascii="Garamond" w:hAnsi="Garamond"/>
                <w:sz w:val="16"/>
                <w:szCs w:val="16"/>
              </w:rPr>
              <w:t>Phone: 020 - 448 -232</w:t>
            </w:r>
          </w:p>
        </w:tc>
      </w:tr>
      <w:tr w:rsidR="00E61B9D" w:rsidRPr="008331BA" w:rsidTr="003D6441">
        <w:trPr>
          <w:gridAfter w:val="1"/>
          <w:wAfter w:w="19" w:type="dxa"/>
          <w:jc w:val="center"/>
        </w:trPr>
        <w:tc>
          <w:tcPr>
            <w:tcW w:w="2721" w:type="dxa"/>
            <w:vAlign w:val="center"/>
          </w:tcPr>
          <w:p w:rsidR="00E61B9D" w:rsidRPr="008331BA" w:rsidRDefault="00E61B9D"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FREQUENCY OF DATA PUBLICATION</w:t>
            </w:r>
          </w:p>
        </w:tc>
        <w:tc>
          <w:tcPr>
            <w:tcW w:w="6836" w:type="dxa"/>
            <w:gridSpan w:val="4"/>
            <w:vAlign w:val="center"/>
          </w:tcPr>
          <w:p w:rsidR="00E61B9D" w:rsidRPr="008331BA" w:rsidRDefault="00E61B9D" w:rsidP="00BB1040">
            <w:pPr>
              <w:rPr>
                <w:rFonts w:ascii="Garamond" w:eastAsia="Calibri" w:hAnsi="Garamond"/>
                <w:sz w:val="16"/>
                <w:szCs w:val="16"/>
                <w:lang w:eastAsia="en-US" w:bidi="ar-SA"/>
              </w:rPr>
            </w:pPr>
            <w:r w:rsidRPr="008331BA">
              <w:rPr>
                <w:rFonts w:ascii="Garamond" w:hAnsi="Garamond"/>
                <w:sz w:val="16"/>
                <w:szCs w:val="16"/>
              </w:rPr>
              <w:t>Quarterly</w:t>
            </w:r>
          </w:p>
        </w:tc>
      </w:tr>
      <w:tr w:rsidR="00E61B9D" w:rsidRPr="008331BA" w:rsidTr="003D6441">
        <w:trPr>
          <w:gridAfter w:val="1"/>
          <w:wAfter w:w="19" w:type="dxa"/>
          <w:trHeight w:val="458"/>
          <w:jc w:val="center"/>
        </w:trPr>
        <w:tc>
          <w:tcPr>
            <w:tcW w:w="2721" w:type="dxa"/>
            <w:vMerge w:val="restart"/>
            <w:vAlign w:val="center"/>
          </w:tcPr>
          <w:p w:rsidR="00E61B9D" w:rsidRPr="008331BA" w:rsidRDefault="00E61B9D"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 xml:space="preserve">BRIEF DESCRIPTION </w:t>
            </w:r>
            <w:r w:rsidRPr="008331BA">
              <w:rPr>
                <w:rFonts w:ascii="Garamond" w:eastAsia="Calibri" w:hAnsi="Garamond"/>
                <w:b/>
                <w:caps/>
                <w:sz w:val="16"/>
                <w:szCs w:val="16"/>
                <w:lang w:val="en-GB" w:eastAsia="en-US" w:bidi="ar-SA"/>
              </w:rPr>
              <w:t xml:space="preserve">OF </w:t>
            </w:r>
            <w:r w:rsidRPr="008331BA">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E61B9D" w:rsidRPr="008331BA" w:rsidRDefault="00E61B9D" w:rsidP="003D6441">
            <w:pPr>
              <w:jc w:val="both"/>
              <w:rPr>
                <w:rFonts w:ascii="Garamond" w:eastAsia="Calibri" w:hAnsi="Garamond"/>
                <w:sz w:val="16"/>
                <w:szCs w:val="16"/>
                <w:lang w:eastAsia="en-US" w:bidi="ar-SA"/>
              </w:rPr>
            </w:pPr>
          </w:p>
        </w:tc>
      </w:tr>
      <w:tr w:rsidR="00E61B9D" w:rsidRPr="008331BA" w:rsidTr="003D6441">
        <w:trPr>
          <w:gridAfter w:val="1"/>
          <w:wAfter w:w="19" w:type="dxa"/>
          <w:trHeight w:val="620"/>
          <w:jc w:val="center"/>
        </w:trPr>
        <w:tc>
          <w:tcPr>
            <w:tcW w:w="2721" w:type="dxa"/>
            <w:vMerge/>
            <w:shd w:val="clear" w:color="auto" w:fill="auto"/>
            <w:vAlign w:val="center"/>
          </w:tcPr>
          <w:p w:rsidR="00E61B9D" w:rsidRPr="008331BA" w:rsidRDefault="00E61B9D" w:rsidP="003D6441">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E61B9D" w:rsidRPr="008331BA" w:rsidRDefault="00E61B9D" w:rsidP="003D6441">
            <w:pPr>
              <w:jc w:val="center"/>
              <w:rPr>
                <w:rFonts w:ascii="Garamond" w:hAnsi="Garamond"/>
                <w:color w:val="365F91" w:themeColor="accent1" w:themeShade="BF"/>
                <w:sz w:val="16"/>
                <w:szCs w:val="16"/>
                <w:lang w:val="uz-Cyrl-UZ"/>
              </w:rPr>
            </w:pPr>
            <w:r w:rsidRPr="008331BA">
              <w:rPr>
                <w:rFonts w:ascii="Garamond" w:hAnsi="Garamond"/>
                <w:color w:val="365F91" w:themeColor="accent1" w:themeShade="BF"/>
                <w:sz w:val="16"/>
                <w:szCs w:val="16"/>
                <w:lang w:val="uz-Cyrl-UZ"/>
              </w:rPr>
              <w:t>FORMULA / EQUATION</w:t>
            </w:r>
          </w:p>
          <w:p w:rsidR="00E61B9D" w:rsidRPr="008331BA" w:rsidRDefault="00BB1040" w:rsidP="003D6441">
            <w:pPr>
              <w:jc w:val="center"/>
              <w:rPr>
                <w:rFonts w:ascii="Garamond" w:eastAsia="Calibri" w:hAnsi="Garamond"/>
                <w:sz w:val="16"/>
                <w:szCs w:val="16"/>
                <w:lang w:val="uz-Cyrl-UZ" w:eastAsia="en-US" w:bidi="ar-SA"/>
              </w:rPr>
            </w:pPr>
            <m:oMathPara>
              <m:oMath>
                <m:r>
                  <w:rPr>
                    <w:rFonts w:ascii="Cambria Math" w:eastAsia="游明朝" w:hAnsi="Cambria Math" w:cs="Times New Roman"/>
                    <w:sz w:val="16"/>
                    <w:szCs w:val="16"/>
                    <w:lang w:val="sr-Latn-CS" w:eastAsia="en-US" w:bidi="ar-SA"/>
                  </w:rPr>
                  <m:t>Total VAT Tax revenues in fiscal year / GDP x 100</m:t>
                </m:r>
              </m:oMath>
            </m:oMathPara>
          </w:p>
        </w:tc>
      </w:tr>
      <w:tr w:rsidR="00E61B9D" w:rsidRPr="008331BA" w:rsidTr="003D6441">
        <w:trPr>
          <w:gridAfter w:val="1"/>
          <w:wAfter w:w="19" w:type="dxa"/>
          <w:trHeight w:val="585"/>
          <w:jc w:val="center"/>
        </w:trPr>
        <w:tc>
          <w:tcPr>
            <w:tcW w:w="2721" w:type="dxa"/>
            <w:vAlign w:val="center"/>
          </w:tcPr>
          <w:p w:rsidR="00E61B9D" w:rsidRPr="008331BA" w:rsidRDefault="00E61B9D" w:rsidP="003D6441">
            <w:pPr>
              <w:autoSpaceDE/>
              <w:autoSpaceDN/>
              <w:rPr>
                <w:rFonts w:ascii="Garamond" w:eastAsia="Calibri" w:hAnsi="Garamond"/>
                <w:b/>
                <w:bCs/>
                <w:caps/>
                <w:sz w:val="16"/>
                <w:szCs w:val="16"/>
                <w:lang w:val="en-GB" w:eastAsia="en-US" w:bidi="ar-SA"/>
              </w:rPr>
            </w:pPr>
            <w:r w:rsidRPr="008331BA">
              <w:rPr>
                <w:rFonts w:ascii="Garamond" w:eastAsia="Calibri" w:hAnsi="Garamond"/>
                <w:b/>
                <w:caps/>
                <w:sz w:val="16"/>
                <w:szCs w:val="16"/>
                <w:lang w:val="uz-Cyrl-UZ" w:eastAsia="en-US" w:bidi="ar-SA"/>
              </w:rPr>
              <w:t>BASELINE</w:t>
            </w:r>
            <w:r w:rsidRPr="008331BA">
              <w:rPr>
                <w:rFonts w:ascii="Garamond" w:eastAsia="Calibri" w:hAnsi="Garamond"/>
                <w:b/>
                <w:caps/>
                <w:sz w:val="16"/>
                <w:szCs w:val="16"/>
                <w:lang w:val="en-GB" w:eastAsia="en-US" w:bidi="ar-SA"/>
              </w:rPr>
              <w:t xml:space="preserve"> DATA</w:t>
            </w:r>
          </w:p>
        </w:tc>
        <w:tc>
          <w:tcPr>
            <w:tcW w:w="6836" w:type="dxa"/>
            <w:gridSpan w:val="4"/>
            <w:vAlign w:val="center"/>
          </w:tcPr>
          <w:p w:rsidR="00E61B9D" w:rsidRPr="008331BA" w:rsidRDefault="00E61B9D" w:rsidP="00BB1040">
            <w:pPr>
              <w:pStyle w:val="TabelaTekst"/>
              <w:spacing w:before="0" w:after="0" w:line="240" w:lineRule="auto"/>
              <w:rPr>
                <w:rFonts w:ascii="Garamond" w:hAnsi="Garamond"/>
                <w:sz w:val="16"/>
                <w:szCs w:val="16"/>
                <w:lang w:val="en-GB"/>
              </w:rPr>
            </w:pPr>
            <w:r w:rsidRPr="008331BA">
              <w:rPr>
                <w:rFonts w:ascii="Garamond" w:hAnsi="Garamond"/>
                <w:sz w:val="16"/>
                <w:szCs w:val="16"/>
              </w:rPr>
              <w:t xml:space="preserve">PV (2014): </w:t>
            </w:r>
            <w:r w:rsidR="00BB1040" w:rsidRPr="008331BA">
              <w:rPr>
                <w:rFonts w:ascii="Garamond" w:hAnsi="Garamond"/>
                <w:sz w:val="16"/>
                <w:szCs w:val="16"/>
                <w:lang w:val="en-GB"/>
              </w:rPr>
              <w:t>13.5%</w:t>
            </w:r>
          </w:p>
        </w:tc>
      </w:tr>
      <w:tr w:rsidR="00E61B9D" w:rsidRPr="008331BA" w:rsidTr="003D6441">
        <w:trPr>
          <w:gridAfter w:val="1"/>
          <w:wAfter w:w="19" w:type="dxa"/>
          <w:trHeight w:val="160"/>
          <w:jc w:val="center"/>
        </w:trPr>
        <w:tc>
          <w:tcPr>
            <w:tcW w:w="2721" w:type="dxa"/>
            <w:vMerge w:val="restart"/>
            <w:vAlign w:val="center"/>
          </w:tcPr>
          <w:p w:rsidR="00E61B9D" w:rsidRPr="008331BA" w:rsidRDefault="00E61B9D" w:rsidP="003D6441">
            <w:pPr>
              <w:autoSpaceDE/>
              <w:autoSpaceDN/>
              <w:rPr>
                <w:rFonts w:ascii="Garamond" w:eastAsia="Calibri" w:hAnsi="Garamond"/>
                <w:b/>
                <w:bCs/>
                <w:caps/>
                <w:sz w:val="16"/>
                <w:szCs w:val="16"/>
                <w:lang w:val="uz-Cyrl-UZ" w:eastAsia="en-US" w:bidi="ar-SA"/>
              </w:rPr>
            </w:pPr>
            <w:r w:rsidRPr="008331BA">
              <w:rPr>
                <w:rFonts w:ascii="Garamond" w:eastAsia="Calibri" w:hAnsi="Garamond"/>
                <w:b/>
                <w:caps/>
                <w:sz w:val="16"/>
                <w:szCs w:val="16"/>
                <w:lang w:val="uz-Cyrl-UZ" w:eastAsia="en-US" w:bidi="ar-SA"/>
              </w:rPr>
              <w:t>TARGET VALUE DATA</w:t>
            </w:r>
          </w:p>
        </w:tc>
        <w:tc>
          <w:tcPr>
            <w:tcW w:w="1771" w:type="dxa"/>
            <w:vAlign w:val="center"/>
          </w:tcPr>
          <w:p w:rsidR="00E61B9D" w:rsidRPr="008331BA" w:rsidRDefault="00E61B9D"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2017</w:t>
            </w:r>
          </w:p>
        </w:tc>
        <w:tc>
          <w:tcPr>
            <w:tcW w:w="1771" w:type="dxa"/>
            <w:vAlign w:val="center"/>
          </w:tcPr>
          <w:p w:rsidR="00E61B9D" w:rsidRPr="008331BA" w:rsidRDefault="00E61B9D"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2018</w:t>
            </w:r>
          </w:p>
        </w:tc>
        <w:tc>
          <w:tcPr>
            <w:tcW w:w="1771" w:type="dxa"/>
            <w:vAlign w:val="center"/>
          </w:tcPr>
          <w:p w:rsidR="00E61B9D" w:rsidRPr="008331BA" w:rsidRDefault="00E61B9D"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2019</w:t>
            </w:r>
          </w:p>
        </w:tc>
        <w:tc>
          <w:tcPr>
            <w:tcW w:w="1523" w:type="dxa"/>
            <w:vAlign w:val="center"/>
          </w:tcPr>
          <w:p w:rsidR="00E61B9D" w:rsidRPr="008331BA" w:rsidRDefault="00E61B9D"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2020</w:t>
            </w:r>
          </w:p>
        </w:tc>
      </w:tr>
      <w:tr w:rsidR="00BB1040" w:rsidRPr="008331BA" w:rsidTr="003D6441">
        <w:trPr>
          <w:gridAfter w:val="1"/>
          <w:wAfter w:w="19" w:type="dxa"/>
          <w:trHeight w:val="160"/>
          <w:jc w:val="center"/>
        </w:trPr>
        <w:tc>
          <w:tcPr>
            <w:tcW w:w="2721" w:type="dxa"/>
            <w:vMerge/>
            <w:vAlign w:val="center"/>
          </w:tcPr>
          <w:p w:rsidR="00BB1040" w:rsidRPr="008331BA" w:rsidRDefault="00BB1040" w:rsidP="003D6441">
            <w:pPr>
              <w:autoSpaceDE/>
              <w:autoSpaceDN/>
              <w:rPr>
                <w:rFonts w:ascii="Garamond" w:eastAsia="Calibri" w:hAnsi="Garamond"/>
                <w:b/>
                <w:bCs/>
                <w:caps/>
                <w:sz w:val="16"/>
                <w:szCs w:val="16"/>
                <w:lang w:val="uz-Cyrl-UZ" w:eastAsia="en-US" w:bidi="ar-SA"/>
              </w:rPr>
            </w:pPr>
          </w:p>
        </w:tc>
        <w:tc>
          <w:tcPr>
            <w:tcW w:w="1771" w:type="dxa"/>
            <w:vAlign w:val="center"/>
          </w:tcPr>
          <w:p w:rsidR="00BB1040" w:rsidRPr="008331BA" w:rsidRDefault="00BB1040" w:rsidP="003D6441">
            <w:pPr>
              <w:pStyle w:val="TabelaTekst"/>
              <w:spacing w:before="0" w:after="0" w:line="240" w:lineRule="auto"/>
              <w:jc w:val="center"/>
              <w:rPr>
                <w:rFonts w:ascii="Garamond" w:hAnsi="Garamond"/>
                <w:sz w:val="16"/>
                <w:szCs w:val="16"/>
              </w:rPr>
            </w:pPr>
            <w:r w:rsidRPr="008331BA">
              <w:rPr>
                <w:rFonts w:ascii="Garamond" w:hAnsi="Garamond"/>
                <w:sz w:val="16"/>
                <w:szCs w:val="16"/>
              </w:rPr>
              <w:t>13.5%</w:t>
            </w:r>
          </w:p>
        </w:tc>
        <w:tc>
          <w:tcPr>
            <w:tcW w:w="1771" w:type="dxa"/>
            <w:vAlign w:val="center"/>
          </w:tcPr>
          <w:p w:rsidR="00BB1040" w:rsidRPr="008331BA" w:rsidRDefault="00BB1040" w:rsidP="003D6441">
            <w:pPr>
              <w:pStyle w:val="TabelaTekst"/>
              <w:spacing w:before="0" w:after="0" w:line="240" w:lineRule="auto"/>
              <w:jc w:val="center"/>
              <w:rPr>
                <w:rFonts w:ascii="Garamond" w:hAnsi="Garamond"/>
                <w:sz w:val="16"/>
                <w:szCs w:val="16"/>
              </w:rPr>
            </w:pPr>
            <w:r w:rsidRPr="008331BA">
              <w:rPr>
                <w:rFonts w:ascii="Garamond" w:hAnsi="Garamond"/>
                <w:sz w:val="16"/>
                <w:szCs w:val="16"/>
              </w:rPr>
              <w:t>14.7%</w:t>
            </w:r>
          </w:p>
        </w:tc>
        <w:tc>
          <w:tcPr>
            <w:tcW w:w="1771" w:type="dxa"/>
            <w:vAlign w:val="center"/>
          </w:tcPr>
          <w:p w:rsidR="00BB1040" w:rsidRPr="008331BA" w:rsidRDefault="00BB1040" w:rsidP="003D6441">
            <w:pPr>
              <w:pStyle w:val="TabelaTekst"/>
              <w:spacing w:before="0" w:after="0" w:line="240" w:lineRule="auto"/>
              <w:jc w:val="center"/>
              <w:rPr>
                <w:rFonts w:ascii="Garamond" w:hAnsi="Garamond"/>
                <w:sz w:val="16"/>
                <w:szCs w:val="16"/>
              </w:rPr>
            </w:pPr>
            <w:r w:rsidRPr="008331BA">
              <w:rPr>
                <w:rFonts w:ascii="Garamond" w:hAnsi="Garamond"/>
                <w:sz w:val="16"/>
                <w:szCs w:val="16"/>
              </w:rPr>
              <w:t>14;6%</w:t>
            </w:r>
          </w:p>
        </w:tc>
        <w:tc>
          <w:tcPr>
            <w:tcW w:w="1523" w:type="dxa"/>
            <w:vAlign w:val="center"/>
          </w:tcPr>
          <w:p w:rsidR="00BB1040" w:rsidRPr="008331BA" w:rsidRDefault="00BB1040" w:rsidP="003D6441">
            <w:pPr>
              <w:pStyle w:val="TabelaTekst"/>
              <w:spacing w:before="0" w:after="0" w:line="240" w:lineRule="auto"/>
              <w:jc w:val="center"/>
              <w:rPr>
                <w:rFonts w:ascii="Garamond" w:hAnsi="Garamond"/>
                <w:sz w:val="16"/>
                <w:szCs w:val="16"/>
              </w:rPr>
            </w:pPr>
            <w:r w:rsidRPr="008331BA">
              <w:rPr>
                <w:rFonts w:ascii="Garamond" w:hAnsi="Garamond"/>
                <w:sz w:val="16"/>
                <w:szCs w:val="16"/>
              </w:rPr>
              <w:t>14.6%</w:t>
            </w:r>
          </w:p>
        </w:tc>
      </w:tr>
      <w:tr w:rsidR="00BB1040" w:rsidRPr="008331BA" w:rsidTr="003D6441">
        <w:trPr>
          <w:gridAfter w:val="1"/>
          <w:wAfter w:w="19" w:type="dxa"/>
          <w:trHeight w:val="160"/>
          <w:jc w:val="center"/>
        </w:trPr>
        <w:tc>
          <w:tcPr>
            <w:tcW w:w="2721" w:type="dxa"/>
            <w:vAlign w:val="center"/>
          </w:tcPr>
          <w:p w:rsidR="00BB1040" w:rsidRPr="008331BA" w:rsidRDefault="0062456A" w:rsidP="003D6441">
            <w:pPr>
              <w:autoSpaceDE/>
              <w:autoSpaceDN/>
              <w:rPr>
                <w:rFonts w:ascii="Garamond" w:eastAsia="Calibri" w:hAnsi="Garamond"/>
                <w:b/>
                <w:bCs/>
                <w:caps/>
                <w:sz w:val="16"/>
                <w:szCs w:val="16"/>
                <w:lang w:val="uz-Cyrl-UZ" w:eastAsia="en-US" w:bidi="ar-SA"/>
              </w:rPr>
            </w:pPr>
            <w:r w:rsidRPr="008331BA">
              <w:rPr>
                <w:rFonts w:ascii="Garamond" w:eastAsia="Calibri" w:hAnsi="Garamond"/>
                <w:b/>
                <w:bCs/>
                <w:caps/>
                <w:sz w:val="16"/>
                <w:szCs w:val="16"/>
                <w:lang w:val="uz-Cyrl-UZ" w:eastAsia="en-US" w:bidi="ar-SA"/>
              </w:rPr>
              <w:t>DATA ON VALUES ACHIEVED</w:t>
            </w:r>
          </w:p>
        </w:tc>
        <w:tc>
          <w:tcPr>
            <w:tcW w:w="1771" w:type="dxa"/>
            <w:vAlign w:val="center"/>
          </w:tcPr>
          <w:p w:rsidR="00BB1040" w:rsidRPr="008331BA" w:rsidRDefault="00BB1040" w:rsidP="003D6441">
            <w:pPr>
              <w:pStyle w:val="TabelaTekst"/>
              <w:spacing w:before="0" w:after="0" w:line="240" w:lineRule="auto"/>
              <w:jc w:val="center"/>
              <w:rPr>
                <w:rFonts w:ascii="Garamond" w:hAnsi="Garamond"/>
                <w:sz w:val="16"/>
                <w:szCs w:val="16"/>
              </w:rPr>
            </w:pPr>
            <w:r w:rsidRPr="008331BA">
              <w:rPr>
                <w:rFonts w:ascii="Garamond" w:hAnsi="Garamond"/>
                <w:sz w:val="16"/>
                <w:szCs w:val="16"/>
              </w:rPr>
              <w:t>13.0%</w:t>
            </w:r>
            <w:r w:rsidRPr="008331BA">
              <w:rPr>
                <w:rStyle w:val="FootnoteReference"/>
                <w:rFonts w:ascii="Garamond" w:hAnsi="Garamond"/>
                <w:sz w:val="16"/>
                <w:szCs w:val="16"/>
              </w:rPr>
              <w:footnoteReference w:id="68"/>
            </w:r>
          </w:p>
        </w:tc>
        <w:tc>
          <w:tcPr>
            <w:tcW w:w="1771" w:type="dxa"/>
            <w:vAlign w:val="center"/>
          </w:tcPr>
          <w:p w:rsidR="00BB1040" w:rsidRPr="008331BA" w:rsidRDefault="00BB1040" w:rsidP="003D6441">
            <w:pPr>
              <w:pStyle w:val="TabelaTekst"/>
              <w:spacing w:before="0" w:after="0" w:line="240" w:lineRule="auto"/>
              <w:jc w:val="center"/>
              <w:rPr>
                <w:rFonts w:ascii="Garamond" w:hAnsi="Garamond"/>
                <w:i/>
                <w:sz w:val="16"/>
                <w:szCs w:val="16"/>
              </w:rPr>
            </w:pPr>
            <w:r w:rsidRPr="008331BA">
              <w:rPr>
                <w:rFonts w:ascii="Garamond" w:hAnsi="Garamond"/>
                <w:sz w:val="16"/>
                <w:szCs w:val="16"/>
              </w:rPr>
              <w:t>13.6%</w:t>
            </w:r>
            <w:r w:rsidRPr="008331BA">
              <w:rPr>
                <w:rStyle w:val="FootnoteReference"/>
                <w:rFonts w:ascii="Garamond" w:hAnsi="Garamond"/>
                <w:sz w:val="16"/>
                <w:szCs w:val="16"/>
              </w:rPr>
              <w:footnoteReference w:id="69"/>
            </w:r>
          </w:p>
        </w:tc>
        <w:tc>
          <w:tcPr>
            <w:tcW w:w="1771" w:type="dxa"/>
            <w:vAlign w:val="center"/>
          </w:tcPr>
          <w:p w:rsidR="00BB1040" w:rsidRPr="008331BA" w:rsidRDefault="00BB1040" w:rsidP="003D6441">
            <w:pPr>
              <w:pStyle w:val="TabelaTekst"/>
              <w:spacing w:before="0" w:after="0" w:line="240" w:lineRule="auto"/>
              <w:jc w:val="center"/>
              <w:rPr>
                <w:rFonts w:ascii="Garamond" w:hAnsi="Garamond"/>
                <w:sz w:val="16"/>
                <w:szCs w:val="16"/>
              </w:rPr>
            </w:pPr>
            <w:r w:rsidRPr="008331BA">
              <w:rPr>
                <w:rFonts w:ascii="Garamond" w:eastAsia="Times New Roman" w:hAnsi="Garamond"/>
                <w:sz w:val="16"/>
                <w:szCs w:val="16"/>
                <w:lang w:eastAsia="hr-HR"/>
              </w:rPr>
              <w:t>14.44%</w:t>
            </w:r>
          </w:p>
        </w:tc>
        <w:tc>
          <w:tcPr>
            <w:tcW w:w="1523" w:type="dxa"/>
            <w:vAlign w:val="center"/>
          </w:tcPr>
          <w:p w:rsidR="00BB1040" w:rsidRPr="008331BA" w:rsidRDefault="00BB1040" w:rsidP="003D6441">
            <w:pPr>
              <w:pStyle w:val="TabelaTekst"/>
              <w:spacing w:before="0" w:after="0" w:line="240" w:lineRule="auto"/>
              <w:jc w:val="center"/>
              <w:rPr>
                <w:rFonts w:ascii="Garamond" w:hAnsi="Garamond"/>
                <w:sz w:val="16"/>
                <w:szCs w:val="16"/>
              </w:rPr>
            </w:pPr>
            <w:r w:rsidRPr="008331BA">
              <w:rPr>
                <w:rFonts w:ascii="Garamond" w:hAnsi="Garamond"/>
                <w:color w:val="000000"/>
                <w:sz w:val="16"/>
                <w:szCs w:val="16"/>
              </w:rPr>
              <w:t>12.6%</w:t>
            </w:r>
          </w:p>
        </w:tc>
      </w:tr>
    </w:tbl>
    <w:p w:rsidR="00BB1040" w:rsidRDefault="00BB1040" w:rsidP="004D1343">
      <w:pPr>
        <w:rPr>
          <w:rFonts w:ascii="Garamond" w:hAnsi="Garamond"/>
          <w:sz w:val="24"/>
          <w:szCs w:val="24"/>
        </w:rPr>
      </w:pPr>
    </w:p>
    <w:p w:rsidR="004D1343" w:rsidRPr="00C32887" w:rsidRDefault="004D1343" w:rsidP="00BB1040">
      <w:pPr>
        <w:pStyle w:val="Heading2"/>
        <w:rPr>
          <w:rFonts w:ascii="Garamond" w:hAnsi="Garamond"/>
          <w:sz w:val="24"/>
          <w:szCs w:val="24"/>
        </w:rPr>
      </w:pPr>
      <w:bookmarkStart w:id="54" w:name="_Toc77688231"/>
      <w:r w:rsidRPr="00C32887">
        <w:rPr>
          <w:rFonts w:ascii="Garamond" w:hAnsi="Garamond"/>
          <w:sz w:val="24"/>
          <w:szCs w:val="24"/>
        </w:rPr>
        <w:t>2.2     Revenue collection - Customs Administration</w:t>
      </w:r>
      <w:bookmarkEnd w:id="54"/>
    </w:p>
    <w:p w:rsidR="004D1343" w:rsidRPr="00C32887" w:rsidRDefault="004D1343" w:rsidP="004D1343">
      <w:pPr>
        <w:rPr>
          <w:rFonts w:ascii="Garamond" w:hAnsi="Garamond"/>
          <w:sz w:val="24"/>
          <w:szCs w:val="24"/>
        </w:rPr>
      </w:pPr>
    </w:p>
    <w:p w:rsidR="004D1343" w:rsidRPr="00C32887" w:rsidRDefault="004D1343" w:rsidP="00BB1040">
      <w:pPr>
        <w:pStyle w:val="Heading3"/>
        <w:rPr>
          <w:rFonts w:ascii="Garamond" w:hAnsi="Garamond"/>
          <w:sz w:val="24"/>
          <w:szCs w:val="24"/>
        </w:rPr>
      </w:pPr>
      <w:bookmarkStart w:id="55" w:name="_Toc77688232"/>
      <w:r w:rsidRPr="00C32887">
        <w:rPr>
          <w:rFonts w:ascii="Garamond" w:hAnsi="Garamond"/>
          <w:sz w:val="24"/>
          <w:szCs w:val="24"/>
        </w:rPr>
        <w:t>2.2.1      PERFORMANCE INDICATOR 15</w:t>
      </w:r>
      <w:r w:rsidR="00BB1040" w:rsidRPr="00BB1040">
        <w:rPr>
          <w:rFonts w:ascii="Garamond" w:hAnsi="Garamond"/>
          <w:sz w:val="24"/>
          <w:szCs w:val="24"/>
        </w:rPr>
        <w:t xml:space="preserve"> </w:t>
      </w:r>
      <w:r w:rsidR="00BB1040" w:rsidRPr="00C32887">
        <w:rPr>
          <w:rFonts w:ascii="Garamond" w:hAnsi="Garamond"/>
          <w:sz w:val="24"/>
          <w:szCs w:val="24"/>
        </w:rPr>
        <w:t>PASSPORT</w:t>
      </w:r>
      <w:bookmarkEnd w:id="55"/>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BB1040" w:rsidRPr="008331BA" w:rsidTr="003D6441">
        <w:trPr>
          <w:jc w:val="center"/>
        </w:trPr>
        <w:tc>
          <w:tcPr>
            <w:tcW w:w="2721" w:type="dxa"/>
            <w:tcBorders>
              <w:right w:val="single" w:sz="4" w:space="0" w:color="FFFFFF"/>
            </w:tcBorders>
            <w:shd w:val="clear" w:color="auto" w:fill="BFBFBF"/>
            <w:vAlign w:val="center"/>
          </w:tcPr>
          <w:p w:rsidR="00BB1040" w:rsidRPr="008331BA" w:rsidRDefault="00BB1040" w:rsidP="003D6441">
            <w:pPr>
              <w:autoSpaceDE/>
              <w:autoSpaceDN/>
              <w:rPr>
                <w:rFonts w:ascii="Garamond" w:eastAsia="Calibri" w:hAnsi="Garamond"/>
                <w:b/>
                <w:caps/>
                <w:sz w:val="16"/>
                <w:szCs w:val="16"/>
                <w:lang w:val="en-GB" w:eastAsia="en-US" w:bidi="ar-SA"/>
              </w:rPr>
            </w:pPr>
            <w:r w:rsidRPr="008331BA">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3D6441" w:rsidRPr="008331BA" w:rsidRDefault="003D6441" w:rsidP="003D6441">
            <w:pPr>
              <w:pStyle w:val="Default"/>
              <w:jc w:val="both"/>
              <w:rPr>
                <w:rFonts w:ascii="Garamond" w:hAnsi="Garamond"/>
                <w:sz w:val="16"/>
                <w:szCs w:val="16"/>
              </w:rPr>
            </w:pPr>
            <w:r w:rsidRPr="008331BA">
              <w:rPr>
                <w:rFonts w:ascii="Garamond" w:hAnsi="Garamond"/>
                <w:iCs/>
                <w:sz w:val="16"/>
                <w:szCs w:val="16"/>
              </w:rPr>
              <w:t xml:space="preserve">Change in revenue collection compared to the previous year </w:t>
            </w:r>
          </w:p>
          <w:p w:rsidR="00BB1040" w:rsidRPr="008331BA" w:rsidRDefault="00BB1040" w:rsidP="003D6441">
            <w:pPr>
              <w:pStyle w:val="Default"/>
              <w:jc w:val="both"/>
              <w:rPr>
                <w:rFonts w:ascii="Garamond" w:eastAsia="Calibri" w:hAnsi="Garamond"/>
                <w:b/>
                <w:sz w:val="16"/>
                <w:szCs w:val="16"/>
                <w:lang w:eastAsia="en-US"/>
              </w:rPr>
            </w:pPr>
          </w:p>
        </w:tc>
      </w:tr>
      <w:tr w:rsidR="00BB1040" w:rsidRPr="008331BA" w:rsidTr="003D6441">
        <w:trPr>
          <w:gridAfter w:val="1"/>
          <w:wAfter w:w="19" w:type="dxa"/>
          <w:jc w:val="center"/>
        </w:trPr>
        <w:tc>
          <w:tcPr>
            <w:tcW w:w="2721" w:type="dxa"/>
            <w:vAlign w:val="center"/>
          </w:tcPr>
          <w:p w:rsidR="00BB1040" w:rsidRPr="008331BA" w:rsidRDefault="00BB1040" w:rsidP="003D6441">
            <w:pPr>
              <w:autoSpaceDE/>
              <w:autoSpaceDN/>
              <w:rPr>
                <w:rFonts w:ascii="Garamond" w:eastAsia="Calibri" w:hAnsi="Garamond"/>
                <w:b/>
                <w:caps/>
                <w:sz w:val="16"/>
                <w:szCs w:val="16"/>
                <w:lang w:val="en-GB" w:eastAsia="en-US" w:bidi="ar-SA"/>
              </w:rPr>
            </w:pPr>
            <w:r w:rsidRPr="008331BA">
              <w:rPr>
                <w:rFonts w:ascii="Garamond" w:eastAsia="Calibri" w:hAnsi="Garamond"/>
                <w:b/>
                <w:caps/>
                <w:sz w:val="16"/>
                <w:szCs w:val="16"/>
                <w:lang w:val="en-GB" w:eastAsia="en-US" w:bidi="ar-SA"/>
              </w:rPr>
              <w:t>corresponding objective or activity</w:t>
            </w:r>
          </w:p>
        </w:tc>
        <w:tc>
          <w:tcPr>
            <w:tcW w:w="6836" w:type="dxa"/>
            <w:gridSpan w:val="4"/>
            <w:vAlign w:val="center"/>
          </w:tcPr>
          <w:p w:rsidR="00BB1040" w:rsidRPr="008331BA" w:rsidRDefault="00BB1040" w:rsidP="003D6441">
            <w:pPr>
              <w:rPr>
                <w:rFonts w:ascii="Garamond" w:hAnsi="Garamond"/>
                <w:color w:val="365F91" w:themeColor="accent1" w:themeShade="BF"/>
                <w:sz w:val="16"/>
                <w:szCs w:val="16"/>
              </w:rPr>
            </w:pPr>
            <w:r w:rsidRPr="008331BA">
              <w:rPr>
                <w:rFonts w:ascii="Garamond" w:hAnsi="Garamond"/>
                <w:color w:val="365F91" w:themeColor="accent1" w:themeShade="BF"/>
                <w:sz w:val="16"/>
                <w:szCs w:val="16"/>
              </w:rPr>
              <w:t xml:space="preserve">Budget execution </w:t>
            </w:r>
          </w:p>
          <w:p w:rsidR="00BB1040" w:rsidRPr="008331BA" w:rsidRDefault="00BB1040" w:rsidP="003D6441">
            <w:pPr>
              <w:pStyle w:val="ListParagraph"/>
              <w:numPr>
                <w:ilvl w:val="0"/>
                <w:numId w:val="28"/>
              </w:numPr>
              <w:rPr>
                <w:rFonts w:ascii="Garamond" w:hAnsi="Garamond"/>
                <w:color w:val="365F91" w:themeColor="accent1" w:themeShade="BF"/>
                <w:sz w:val="16"/>
                <w:szCs w:val="16"/>
                <w:u w:val="single"/>
              </w:rPr>
            </w:pPr>
            <w:r w:rsidRPr="008331BA">
              <w:rPr>
                <w:rFonts w:ascii="Garamond" w:hAnsi="Garamond"/>
                <w:color w:val="365F91" w:themeColor="accent1" w:themeShade="BF"/>
                <w:sz w:val="16"/>
                <w:szCs w:val="16"/>
                <w:u w:val="single"/>
              </w:rPr>
              <w:t>Revenue collection - Tax Administration</w:t>
            </w:r>
          </w:p>
          <w:p w:rsidR="00BB1040" w:rsidRPr="008331BA" w:rsidRDefault="003D6441" w:rsidP="003D6441">
            <w:pPr>
              <w:rPr>
                <w:rFonts w:ascii="Garamond" w:eastAsia="Calibri" w:hAnsi="Garamond"/>
                <w:color w:val="000000" w:themeColor="text1"/>
                <w:sz w:val="16"/>
                <w:szCs w:val="16"/>
                <w:lang w:eastAsia="en-US" w:bidi="ar-SA"/>
              </w:rPr>
            </w:pPr>
            <w:r w:rsidRPr="008331BA">
              <w:rPr>
                <w:rFonts w:ascii="Garamond" w:eastAsia="Calibri" w:hAnsi="Garamond"/>
                <w:color w:val="000000" w:themeColor="text1"/>
                <w:sz w:val="16"/>
                <w:szCs w:val="16"/>
                <w:lang w:eastAsia="en-US" w:bidi="ar-SA"/>
              </w:rPr>
              <w:t>Strengthen Customs Administration capacities for ensuring efficient revenue collection, customs area safety and protection of the society, as well as for creating an environment more conducive to business operation</w:t>
            </w:r>
          </w:p>
        </w:tc>
      </w:tr>
      <w:tr w:rsidR="00BB1040" w:rsidRPr="008331BA" w:rsidTr="003D6441">
        <w:trPr>
          <w:gridAfter w:val="1"/>
          <w:wAfter w:w="19" w:type="dxa"/>
          <w:jc w:val="center"/>
        </w:trPr>
        <w:tc>
          <w:tcPr>
            <w:tcW w:w="2721" w:type="dxa"/>
            <w:vAlign w:val="center"/>
          </w:tcPr>
          <w:p w:rsidR="00BB1040" w:rsidRPr="008331BA" w:rsidRDefault="00BB1040"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3D6441" w:rsidRPr="008331BA" w:rsidRDefault="003D6441" w:rsidP="003D6441">
            <w:pPr>
              <w:jc w:val="both"/>
              <w:rPr>
                <w:rFonts w:ascii="Garamond" w:hAnsi="Garamond"/>
                <w:sz w:val="16"/>
                <w:szCs w:val="16"/>
              </w:rPr>
            </w:pPr>
            <w:r w:rsidRPr="008331BA">
              <w:rPr>
                <w:rFonts w:ascii="Garamond" w:hAnsi="Garamond"/>
                <w:sz w:val="16"/>
                <w:szCs w:val="16"/>
              </w:rPr>
              <w:t>Report on the work of the Customs Administration</w:t>
            </w:r>
          </w:p>
          <w:p w:rsidR="00BB1040" w:rsidRPr="008331BA" w:rsidRDefault="00613C2B" w:rsidP="003D6441">
            <w:pPr>
              <w:jc w:val="both"/>
              <w:rPr>
                <w:rFonts w:ascii="Garamond" w:eastAsia="Calibri" w:hAnsi="Garamond"/>
                <w:sz w:val="16"/>
                <w:szCs w:val="16"/>
                <w:lang w:eastAsia="en-US" w:bidi="ar-SA"/>
              </w:rPr>
            </w:pPr>
            <w:hyperlink r:id="rId27" w:history="1">
              <w:r w:rsidR="003D6441" w:rsidRPr="008331BA">
                <w:rPr>
                  <w:rStyle w:val="Hyperlink"/>
                  <w:rFonts w:ascii="Garamond" w:hAnsi="Garamond"/>
                  <w:sz w:val="16"/>
                  <w:szCs w:val="16"/>
                </w:rPr>
                <w:t>http://www.upravacarina.gov.me/uprava/Slobodan_pristup_informacijama</w:t>
              </w:r>
            </w:hyperlink>
            <w:r w:rsidR="003D6441" w:rsidRPr="008331BA">
              <w:rPr>
                <w:rFonts w:ascii="Garamond" w:hAnsi="Garamond"/>
                <w:sz w:val="16"/>
                <w:szCs w:val="16"/>
              </w:rPr>
              <w:t xml:space="preserve"> </w:t>
            </w:r>
          </w:p>
        </w:tc>
      </w:tr>
      <w:tr w:rsidR="00BB1040" w:rsidRPr="008331BA" w:rsidTr="003D6441">
        <w:trPr>
          <w:gridAfter w:val="1"/>
          <w:wAfter w:w="19" w:type="dxa"/>
          <w:jc w:val="center"/>
        </w:trPr>
        <w:tc>
          <w:tcPr>
            <w:tcW w:w="2721" w:type="dxa"/>
            <w:vAlign w:val="center"/>
          </w:tcPr>
          <w:p w:rsidR="00BB1040" w:rsidRPr="008331BA" w:rsidRDefault="00BB1040"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NAME OF DATA COLLECTION HOLDER</w:t>
            </w:r>
          </w:p>
        </w:tc>
        <w:tc>
          <w:tcPr>
            <w:tcW w:w="6836" w:type="dxa"/>
            <w:gridSpan w:val="4"/>
            <w:vAlign w:val="center"/>
          </w:tcPr>
          <w:p w:rsidR="00BB1040" w:rsidRPr="008331BA" w:rsidRDefault="00BB1040" w:rsidP="003D6441">
            <w:pPr>
              <w:rPr>
                <w:rFonts w:ascii="Garamond" w:hAnsi="Garamond"/>
                <w:sz w:val="16"/>
                <w:szCs w:val="16"/>
              </w:rPr>
            </w:pPr>
            <w:r w:rsidRPr="008331BA">
              <w:rPr>
                <w:rFonts w:ascii="Garamond" w:hAnsi="Garamond"/>
                <w:sz w:val="16"/>
                <w:szCs w:val="16"/>
              </w:rPr>
              <w:t>Revenue &amp; Customs Administration</w:t>
            </w:r>
          </w:p>
          <w:p w:rsidR="00BB1040" w:rsidRPr="008331BA" w:rsidRDefault="00BB1040" w:rsidP="003D6441">
            <w:pPr>
              <w:rPr>
                <w:rFonts w:ascii="Garamond" w:eastAsia="Calibri" w:hAnsi="Garamond"/>
                <w:sz w:val="16"/>
                <w:szCs w:val="16"/>
                <w:lang w:eastAsia="en-US" w:bidi="ar-SA"/>
              </w:rPr>
            </w:pPr>
            <w:r w:rsidRPr="008331BA">
              <w:rPr>
                <w:rFonts w:ascii="Garamond" w:hAnsi="Garamond"/>
                <w:sz w:val="16"/>
                <w:szCs w:val="16"/>
              </w:rPr>
              <w:t>Phone: 020 - 448 -232</w:t>
            </w:r>
          </w:p>
        </w:tc>
      </w:tr>
      <w:tr w:rsidR="00BB1040" w:rsidRPr="008331BA" w:rsidTr="003D6441">
        <w:trPr>
          <w:gridAfter w:val="1"/>
          <w:wAfter w:w="19" w:type="dxa"/>
          <w:jc w:val="center"/>
        </w:trPr>
        <w:tc>
          <w:tcPr>
            <w:tcW w:w="2721" w:type="dxa"/>
            <w:vAlign w:val="center"/>
          </w:tcPr>
          <w:p w:rsidR="00BB1040" w:rsidRPr="008331BA" w:rsidRDefault="00BB1040"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FREQUENCY OF DATA PUBLICATION</w:t>
            </w:r>
          </w:p>
        </w:tc>
        <w:tc>
          <w:tcPr>
            <w:tcW w:w="6836" w:type="dxa"/>
            <w:gridSpan w:val="4"/>
            <w:vAlign w:val="center"/>
          </w:tcPr>
          <w:p w:rsidR="00BB1040" w:rsidRPr="008331BA" w:rsidRDefault="003D6441" w:rsidP="00085B78">
            <w:pPr>
              <w:rPr>
                <w:rFonts w:ascii="Garamond" w:eastAsia="Calibri" w:hAnsi="Garamond"/>
                <w:sz w:val="16"/>
                <w:szCs w:val="16"/>
                <w:lang w:eastAsia="en-US" w:bidi="ar-SA"/>
              </w:rPr>
            </w:pPr>
            <w:r w:rsidRPr="008331BA">
              <w:rPr>
                <w:rFonts w:ascii="Garamond" w:hAnsi="Garamond"/>
                <w:sz w:val="16"/>
                <w:szCs w:val="16"/>
              </w:rPr>
              <w:t xml:space="preserve">Report on the work of the Customs Administration in </w:t>
            </w:r>
            <w:r w:rsidR="00085B78" w:rsidRPr="008331BA">
              <w:rPr>
                <w:rFonts w:ascii="Garamond" w:hAnsi="Garamond"/>
                <w:sz w:val="16"/>
                <w:szCs w:val="16"/>
              </w:rPr>
              <w:t>Q1</w:t>
            </w:r>
            <w:r w:rsidRPr="008331BA">
              <w:rPr>
                <w:rFonts w:ascii="Garamond" w:hAnsi="Garamond"/>
                <w:sz w:val="16"/>
                <w:szCs w:val="16"/>
              </w:rPr>
              <w:t xml:space="preserve"> of the current year for the previous year</w:t>
            </w:r>
          </w:p>
        </w:tc>
      </w:tr>
      <w:tr w:rsidR="00BB1040" w:rsidRPr="008331BA" w:rsidTr="003D6441">
        <w:trPr>
          <w:gridAfter w:val="1"/>
          <w:wAfter w:w="19" w:type="dxa"/>
          <w:trHeight w:val="458"/>
          <w:jc w:val="center"/>
        </w:trPr>
        <w:tc>
          <w:tcPr>
            <w:tcW w:w="2721" w:type="dxa"/>
            <w:vMerge w:val="restart"/>
            <w:vAlign w:val="center"/>
          </w:tcPr>
          <w:p w:rsidR="00BB1040" w:rsidRPr="008331BA" w:rsidRDefault="00BB1040" w:rsidP="003D6441">
            <w:pPr>
              <w:autoSpaceDE/>
              <w:autoSpaceDN/>
              <w:rPr>
                <w:rFonts w:ascii="Garamond" w:eastAsia="Calibri" w:hAnsi="Garamond"/>
                <w:b/>
                <w:caps/>
                <w:sz w:val="16"/>
                <w:szCs w:val="16"/>
                <w:lang w:val="uz-Cyrl-UZ" w:eastAsia="en-US" w:bidi="ar-SA"/>
              </w:rPr>
            </w:pPr>
            <w:r w:rsidRPr="008331BA">
              <w:rPr>
                <w:rFonts w:ascii="Garamond" w:eastAsia="Calibri" w:hAnsi="Garamond"/>
                <w:b/>
                <w:caps/>
                <w:sz w:val="16"/>
                <w:szCs w:val="16"/>
                <w:lang w:val="uz-Cyrl-UZ" w:eastAsia="en-US" w:bidi="ar-SA"/>
              </w:rPr>
              <w:t xml:space="preserve">BRIEF DESCRIPTION </w:t>
            </w:r>
            <w:r w:rsidRPr="008331BA">
              <w:rPr>
                <w:rFonts w:ascii="Garamond" w:eastAsia="Calibri" w:hAnsi="Garamond"/>
                <w:b/>
                <w:caps/>
                <w:sz w:val="16"/>
                <w:szCs w:val="16"/>
                <w:lang w:val="en-GB" w:eastAsia="en-US" w:bidi="ar-SA"/>
              </w:rPr>
              <w:t xml:space="preserve">OF </w:t>
            </w:r>
            <w:r w:rsidRPr="008331BA">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BB1040" w:rsidRPr="008331BA" w:rsidRDefault="003D6441" w:rsidP="003D6441">
            <w:pPr>
              <w:jc w:val="both"/>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The performance indicator shows the rate of change in the collection of revenues of the Customs Administration in the reporting year compared to the previous year.</w:t>
            </w:r>
          </w:p>
        </w:tc>
      </w:tr>
      <w:tr w:rsidR="00BB1040" w:rsidRPr="008331BA" w:rsidTr="003D6441">
        <w:trPr>
          <w:gridAfter w:val="1"/>
          <w:wAfter w:w="19" w:type="dxa"/>
          <w:trHeight w:val="620"/>
          <w:jc w:val="center"/>
        </w:trPr>
        <w:tc>
          <w:tcPr>
            <w:tcW w:w="2721" w:type="dxa"/>
            <w:vMerge/>
            <w:shd w:val="clear" w:color="auto" w:fill="auto"/>
            <w:vAlign w:val="center"/>
          </w:tcPr>
          <w:p w:rsidR="00BB1040" w:rsidRPr="008331BA" w:rsidRDefault="00BB1040" w:rsidP="003D6441">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BB1040" w:rsidRPr="008331BA" w:rsidRDefault="00BB1040" w:rsidP="003D6441">
            <w:pPr>
              <w:jc w:val="center"/>
              <w:rPr>
                <w:rFonts w:ascii="Garamond" w:hAnsi="Garamond"/>
                <w:color w:val="365F91" w:themeColor="accent1" w:themeShade="BF"/>
                <w:sz w:val="16"/>
                <w:szCs w:val="16"/>
                <w:lang w:val="uz-Cyrl-UZ"/>
              </w:rPr>
            </w:pPr>
            <w:r w:rsidRPr="008331BA">
              <w:rPr>
                <w:rFonts w:ascii="Garamond" w:hAnsi="Garamond"/>
                <w:color w:val="365F91" w:themeColor="accent1" w:themeShade="BF"/>
                <w:sz w:val="16"/>
                <w:szCs w:val="16"/>
                <w:lang w:val="uz-Cyrl-UZ"/>
              </w:rPr>
              <w:t>FORMULA / EQUATION</w:t>
            </w:r>
          </w:p>
          <w:p w:rsidR="00BB1040" w:rsidRPr="008331BA" w:rsidRDefault="008331BA" w:rsidP="003D6441">
            <w:pPr>
              <w:jc w:val="center"/>
              <w:rPr>
                <w:rFonts w:ascii="Garamond" w:eastAsia="Calibri" w:hAnsi="Garamond"/>
                <w:sz w:val="16"/>
                <w:szCs w:val="16"/>
                <w:lang w:val="en-GB" w:eastAsia="en-US" w:bidi="ar-SA"/>
              </w:rPr>
            </w:pPr>
            <w:r>
              <w:rPr>
                <w:rFonts w:ascii="Garamond" w:eastAsia="Calibri" w:hAnsi="Garamond"/>
                <w:sz w:val="16"/>
                <w:szCs w:val="16"/>
                <w:lang w:val="uz-Cyrl-UZ" w:eastAsia="en-US" w:bidi="ar-SA"/>
              </w:rPr>
              <w:t>Reali</w:t>
            </w:r>
            <w:r>
              <w:rPr>
                <w:rFonts w:ascii="Garamond" w:eastAsia="Calibri" w:hAnsi="Garamond"/>
                <w:sz w:val="16"/>
                <w:szCs w:val="16"/>
                <w:lang w:eastAsia="en-US" w:bidi="ar-SA"/>
              </w:rPr>
              <w:t>s</w:t>
            </w:r>
            <w:r w:rsidR="003D6441" w:rsidRPr="008331BA">
              <w:rPr>
                <w:rFonts w:ascii="Garamond" w:eastAsia="Calibri" w:hAnsi="Garamond"/>
                <w:sz w:val="16"/>
                <w:szCs w:val="16"/>
                <w:lang w:val="uz-Cyrl-UZ" w:eastAsia="en-US" w:bidi="ar-SA"/>
              </w:rPr>
              <w:t xml:space="preserve">ed </w:t>
            </w:r>
            <w:r w:rsidR="003D6441" w:rsidRPr="008331BA">
              <w:rPr>
                <w:rFonts w:ascii="Garamond" w:eastAsia="Calibri" w:hAnsi="Garamond"/>
                <w:sz w:val="16"/>
                <w:szCs w:val="16"/>
                <w:lang w:val="en-GB" w:eastAsia="en-US" w:bidi="ar-SA"/>
              </w:rPr>
              <w:t xml:space="preserve">revenue </w:t>
            </w:r>
            <w:r w:rsidR="003D6441" w:rsidRPr="008331BA">
              <w:rPr>
                <w:rFonts w:ascii="Garamond" w:eastAsia="Calibri" w:hAnsi="Garamond"/>
                <w:sz w:val="16"/>
                <w:szCs w:val="16"/>
                <w:lang w:val="uz-Cyrl-UZ" w:eastAsia="en-US" w:bidi="ar-SA"/>
              </w:rPr>
              <w:t>collectio</w:t>
            </w:r>
            <w:r>
              <w:rPr>
                <w:rFonts w:ascii="Garamond" w:eastAsia="Calibri" w:hAnsi="Garamond"/>
                <w:sz w:val="16"/>
                <w:szCs w:val="16"/>
                <w:lang w:val="uz-Cyrl-UZ" w:eastAsia="en-US" w:bidi="ar-SA"/>
              </w:rPr>
              <w:t>n in the reporting year / Reali</w:t>
            </w:r>
            <w:r>
              <w:rPr>
                <w:rFonts w:ascii="Garamond" w:eastAsia="Calibri" w:hAnsi="Garamond"/>
                <w:sz w:val="16"/>
                <w:szCs w:val="16"/>
                <w:lang w:eastAsia="en-US" w:bidi="ar-SA"/>
              </w:rPr>
              <w:t>s</w:t>
            </w:r>
            <w:r w:rsidR="003D6441" w:rsidRPr="008331BA">
              <w:rPr>
                <w:rFonts w:ascii="Garamond" w:eastAsia="Calibri" w:hAnsi="Garamond"/>
                <w:sz w:val="16"/>
                <w:szCs w:val="16"/>
                <w:lang w:val="uz-Cyrl-UZ" w:eastAsia="en-US" w:bidi="ar-SA"/>
              </w:rPr>
              <w:t xml:space="preserve">ed </w:t>
            </w:r>
            <w:r w:rsidR="003D6441" w:rsidRPr="008331BA">
              <w:rPr>
                <w:rFonts w:ascii="Garamond" w:eastAsia="Calibri" w:hAnsi="Garamond"/>
                <w:sz w:val="16"/>
                <w:szCs w:val="16"/>
                <w:lang w:val="en-GB" w:eastAsia="en-US" w:bidi="ar-SA"/>
              </w:rPr>
              <w:t xml:space="preserve">revenue </w:t>
            </w:r>
            <w:r w:rsidR="003D6441" w:rsidRPr="008331BA">
              <w:rPr>
                <w:rFonts w:ascii="Garamond" w:eastAsia="Calibri" w:hAnsi="Garamond"/>
                <w:sz w:val="16"/>
                <w:szCs w:val="16"/>
                <w:lang w:val="uz-Cyrl-UZ" w:eastAsia="en-US" w:bidi="ar-SA"/>
              </w:rPr>
              <w:t>collection in the previous year X</w:t>
            </w:r>
            <w:r w:rsidR="003D6441" w:rsidRPr="008331BA">
              <w:rPr>
                <w:rFonts w:ascii="Garamond" w:eastAsia="Calibri" w:hAnsi="Garamond"/>
                <w:sz w:val="16"/>
                <w:szCs w:val="16"/>
                <w:lang w:val="en-GB" w:eastAsia="en-US" w:bidi="ar-SA"/>
              </w:rPr>
              <w:t xml:space="preserve"> 100</w:t>
            </w:r>
          </w:p>
        </w:tc>
      </w:tr>
      <w:tr w:rsidR="00BB1040" w:rsidRPr="008331BA" w:rsidTr="003D6441">
        <w:trPr>
          <w:gridAfter w:val="1"/>
          <w:wAfter w:w="19" w:type="dxa"/>
          <w:trHeight w:val="585"/>
          <w:jc w:val="center"/>
        </w:trPr>
        <w:tc>
          <w:tcPr>
            <w:tcW w:w="2721" w:type="dxa"/>
            <w:vAlign w:val="center"/>
          </w:tcPr>
          <w:p w:rsidR="00BB1040" w:rsidRPr="008331BA" w:rsidRDefault="00BB1040" w:rsidP="003D6441">
            <w:pPr>
              <w:autoSpaceDE/>
              <w:autoSpaceDN/>
              <w:rPr>
                <w:rFonts w:ascii="Garamond" w:eastAsia="Calibri" w:hAnsi="Garamond"/>
                <w:b/>
                <w:bCs/>
                <w:caps/>
                <w:sz w:val="16"/>
                <w:szCs w:val="16"/>
                <w:lang w:val="en-GB" w:eastAsia="en-US" w:bidi="ar-SA"/>
              </w:rPr>
            </w:pPr>
            <w:r w:rsidRPr="008331BA">
              <w:rPr>
                <w:rFonts w:ascii="Garamond" w:eastAsia="Calibri" w:hAnsi="Garamond"/>
                <w:b/>
                <w:caps/>
                <w:sz w:val="16"/>
                <w:szCs w:val="16"/>
                <w:lang w:val="uz-Cyrl-UZ" w:eastAsia="en-US" w:bidi="ar-SA"/>
              </w:rPr>
              <w:t>BASELINE</w:t>
            </w:r>
            <w:r w:rsidRPr="008331BA">
              <w:rPr>
                <w:rFonts w:ascii="Garamond" w:eastAsia="Calibri" w:hAnsi="Garamond"/>
                <w:b/>
                <w:caps/>
                <w:sz w:val="16"/>
                <w:szCs w:val="16"/>
                <w:lang w:val="en-GB" w:eastAsia="en-US" w:bidi="ar-SA"/>
              </w:rPr>
              <w:t xml:space="preserve"> DATA</w:t>
            </w:r>
          </w:p>
        </w:tc>
        <w:tc>
          <w:tcPr>
            <w:tcW w:w="6836" w:type="dxa"/>
            <w:gridSpan w:val="4"/>
            <w:vAlign w:val="center"/>
          </w:tcPr>
          <w:p w:rsidR="00BB1040" w:rsidRPr="008331BA" w:rsidRDefault="00BB1040" w:rsidP="003D6441">
            <w:pPr>
              <w:pStyle w:val="TabelaTekst"/>
              <w:spacing w:before="0" w:after="0" w:line="240" w:lineRule="auto"/>
              <w:rPr>
                <w:rFonts w:ascii="Garamond" w:hAnsi="Garamond"/>
                <w:sz w:val="16"/>
                <w:szCs w:val="16"/>
                <w:lang w:val="en-GB"/>
              </w:rPr>
            </w:pPr>
            <w:r w:rsidRPr="008331BA">
              <w:rPr>
                <w:rFonts w:ascii="Garamond" w:hAnsi="Garamond"/>
                <w:sz w:val="16"/>
                <w:szCs w:val="16"/>
              </w:rPr>
              <w:t xml:space="preserve">PV (2014): </w:t>
            </w:r>
            <w:r w:rsidRPr="008331BA">
              <w:rPr>
                <w:rFonts w:ascii="Garamond" w:hAnsi="Garamond"/>
                <w:sz w:val="16"/>
                <w:szCs w:val="16"/>
                <w:lang w:val="en-GB"/>
              </w:rPr>
              <w:t>15%</w:t>
            </w:r>
          </w:p>
        </w:tc>
      </w:tr>
      <w:tr w:rsidR="00BB1040" w:rsidRPr="008331BA" w:rsidTr="003D6441">
        <w:trPr>
          <w:gridAfter w:val="1"/>
          <w:wAfter w:w="19" w:type="dxa"/>
          <w:trHeight w:val="160"/>
          <w:jc w:val="center"/>
        </w:trPr>
        <w:tc>
          <w:tcPr>
            <w:tcW w:w="2721" w:type="dxa"/>
            <w:vMerge w:val="restart"/>
            <w:vAlign w:val="center"/>
          </w:tcPr>
          <w:p w:rsidR="00BB1040" w:rsidRPr="008331BA" w:rsidRDefault="00BB1040" w:rsidP="003D6441">
            <w:pPr>
              <w:autoSpaceDE/>
              <w:autoSpaceDN/>
              <w:rPr>
                <w:rFonts w:ascii="Garamond" w:eastAsia="Calibri" w:hAnsi="Garamond"/>
                <w:b/>
                <w:bCs/>
                <w:caps/>
                <w:sz w:val="16"/>
                <w:szCs w:val="16"/>
                <w:lang w:val="uz-Cyrl-UZ" w:eastAsia="en-US" w:bidi="ar-SA"/>
              </w:rPr>
            </w:pPr>
            <w:r w:rsidRPr="008331BA">
              <w:rPr>
                <w:rFonts w:ascii="Garamond" w:eastAsia="Calibri" w:hAnsi="Garamond"/>
                <w:b/>
                <w:caps/>
                <w:sz w:val="16"/>
                <w:szCs w:val="16"/>
                <w:lang w:val="uz-Cyrl-UZ" w:eastAsia="en-US" w:bidi="ar-SA"/>
              </w:rPr>
              <w:t>TARGET VALUE DATA</w:t>
            </w:r>
          </w:p>
        </w:tc>
        <w:tc>
          <w:tcPr>
            <w:tcW w:w="1771" w:type="dxa"/>
            <w:vAlign w:val="center"/>
          </w:tcPr>
          <w:p w:rsidR="00BB1040" w:rsidRPr="008331BA" w:rsidRDefault="00BB1040"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2017</w:t>
            </w:r>
          </w:p>
        </w:tc>
        <w:tc>
          <w:tcPr>
            <w:tcW w:w="1771" w:type="dxa"/>
            <w:vAlign w:val="center"/>
          </w:tcPr>
          <w:p w:rsidR="00BB1040" w:rsidRPr="008331BA" w:rsidRDefault="00BB1040"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2018</w:t>
            </w:r>
          </w:p>
        </w:tc>
        <w:tc>
          <w:tcPr>
            <w:tcW w:w="1771" w:type="dxa"/>
            <w:vAlign w:val="center"/>
          </w:tcPr>
          <w:p w:rsidR="00BB1040" w:rsidRPr="008331BA" w:rsidRDefault="00BB1040"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2019</w:t>
            </w:r>
          </w:p>
        </w:tc>
        <w:tc>
          <w:tcPr>
            <w:tcW w:w="1523" w:type="dxa"/>
            <w:vAlign w:val="center"/>
          </w:tcPr>
          <w:p w:rsidR="00BB1040" w:rsidRPr="008331BA" w:rsidRDefault="00BB1040" w:rsidP="003D6441">
            <w:pPr>
              <w:autoSpaceDE/>
              <w:autoSpaceDN/>
              <w:jc w:val="center"/>
              <w:rPr>
                <w:rFonts w:ascii="Garamond" w:eastAsia="Calibri" w:hAnsi="Garamond"/>
                <w:sz w:val="16"/>
                <w:szCs w:val="16"/>
                <w:lang w:val="uz-Cyrl-UZ" w:eastAsia="en-US" w:bidi="ar-SA"/>
              </w:rPr>
            </w:pPr>
            <w:r w:rsidRPr="008331BA">
              <w:rPr>
                <w:rFonts w:ascii="Garamond" w:eastAsia="Calibri" w:hAnsi="Garamond"/>
                <w:sz w:val="16"/>
                <w:szCs w:val="16"/>
                <w:lang w:val="uz-Cyrl-UZ" w:eastAsia="en-US" w:bidi="ar-SA"/>
              </w:rPr>
              <w:t>2020</w:t>
            </w:r>
          </w:p>
        </w:tc>
      </w:tr>
      <w:tr w:rsidR="00F653BF" w:rsidRPr="008331BA" w:rsidTr="003D6441">
        <w:trPr>
          <w:gridAfter w:val="1"/>
          <w:wAfter w:w="19" w:type="dxa"/>
          <w:trHeight w:val="160"/>
          <w:jc w:val="center"/>
        </w:trPr>
        <w:tc>
          <w:tcPr>
            <w:tcW w:w="2721" w:type="dxa"/>
            <w:vMerge/>
            <w:vAlign w:val="center"/>
          </w:tcPr>
          <w:p w:rsidR="00F653BF" w:rsidRPr="008331BA" w:rsidRDefault="00F653BF" w:rsidP="003D6441">
            <w:pPr>
              <w:autoSpaceDE/>
              <w:autoSpaceDN/>
              <w:rPr>
                <w:rFonts w:ascii="Garamond" w:eastAsia="Calibri" w:hAnsi="Garamond"/>
                <w:b/>
                <w:bCs/>
                <w:caps/>
                <w:sz w:val="16"/>
                <w:szCs w:val="16"/>
                <w:lang w:val="uz-Cyrl-UZ" w:eastAsia="en-US" w:bidi="ar-SA"/>
              </w:rPr>
            </w:pPr>
          </w:p>
        </w:tc>
        <w:tc>
          <w:tcPr>
            <w:tcW w:w="1771" w:type="dxa"/>
            <w:vAlign w:val="center"/>
          </w:tcPr>
          <w:p w:rsidR="00F653BF" w:rsidRPr="008331BA" w:rsidRDefault="00F653BF" w:rsidP="00D15F76">
            <w:pPr>
              <w:pStyle w:val="TabelaTekst"/>
              <w:spacing w:before="0" w:after="0" w:line="240" w:lineRule="auto"/>
              <w:jc w:val="center"/>
              <w:rPr>
                <w:rFonts w:ascii="Garamond" w:hAnsi="Garamond"/>
                <w:sz w:val="16"/>
                <w:szCs w:val="16"/>
              </w:rPr>
            </w:pPr>
            <w:r w:rsidRPr="008331BA">
              <w:rPr>
                <w:rFonts w:ascii="Garamond" w:hAnsi="Garamond"/>
                <w:sz w:val="16"/>
                <w:szCs w:val="16"/>
              </w:rPr>
              <w:t>17.64 %</w:t>
            </w:r>
          </w:p>
        </w:tc>
        <w:tc>
          <w:tcPr>
            <w:tcW w:w="1771" w:type="dxa"/>
            <w:vAlign w:val="center"/>
          </w:tcPr>
          <w:p w:rsidR="00F653BF" w:rsidRPr="008331BA" w:rsidRDefault="00F653BF" w:rsidP="00D15F76">
            <w:pPr>
              <w:pStyle w:val="TabelaTekst"/>
              <w:spacing w:before="0" w:after="0" w:line="240" w:lineRule="auto"/>
              <w:jc w:val="center"/>
              <w:rPr>
                <w:rFonts w:ascii="Garamond" w:hAnsi="Garamond"/>
                <w:sz w:val="16"/>
                <w:szCs w:val="16"/>
              </w:rPr>
            </w:pPr>
            <w:r w:rsidRPr="008331BA">
              <w:rPr>
                <w:rFonts w:ascii="Garamond" w:hAnsi="Garamond"/>
                <w:sz w:val="16"/>
                <w:szCs w:val="16"/>
              </w:rPr>
              <w:t>5%</w:t>
            </w:r>
          </w:p>
        </w:tc>
        <w:tc>
          <w:tcPr>
            <w:tcW w:w="1771" w:type="dxa"/>
            <w:vAlign w:val="center"/>
          </w:tcPr>
          <w:p w:rsidR="00F653BF" w:rsidRPr="008331BA" w:rsidRDefault="00F653BF" w:rsidP="00D15F76">
            <w:pPr>
              <w:pStyle w:val="TabelaTekst"/>
              <w:spacing w:before="0" w:after="0" w:line="240" w:lineRule="auto"/>
              <w:jc w:val="center"/>
              <w:rPr>
                <w:rFonts w:ascii="Garamond" w:hAnsi="Garamond"/>
                <w:sz w:val="16"/>
                <w:szCs w:val="16"/>
              </w:rPr>
            </w:pPr>
            <w:r w:rsidRPr="008331BA">
              <w:rPr>
                <w:rFonts w:ascii="Garamond" w:hAnsi="Garamond"/>
                <w:sz w:val="16"/>
                <w:szCs w:val="16"/>
              </w:rPr>
              <w:t>5%</w:t>
            </w:r>
          </w:p>
        </w:tc>
        <w:tc>
          <w:tcPr>
            <w:tcW w:w="1523" w:type="dxa"/>
            <w:vAlign w:val="center"/>
          </w:tcPr>
          <w:p w:rsidR="00F653BF" w:rsidRPr="008331BA" w:rsidRDefault="00F653BF" w:rsidP="00D15F76">
            <w:pPr>
              <w:pStyle w:val="TabelaTekst"/>
              <w:spacing w:before="0" w:after="0" w:line="240" w:lineRule="auto"/>
              <w:jc w:val="center"/>
              <w:rPr>
                <w:rFonts w:ascii="Garamond" w:hAnsi="Garamond"/>
                <w:sz w:val="16"/>
                <w:szCs w:val="16"/>
              </w:rPr>
            </w:pPr>
            <w:r w:rsidRPr="008331BA">
              <w:rPr>
                <w:rFonts w:ascii="Garamond" w:hAnsi="Garamond"/>
                <w:sz w:val="16"/>
                <w:szCs w:val="16"/>
                <w:lang w:eastAsia="sl-SI"/>
              </w:rPr>
              <w:t>5%</w:t>
            </w:r>
          </w:p>
        </w:tc>
      </w:tr>
      <w:tr w:rsidR="00F653BF" w:rsidRPr="008331BA" w:rsidTr="003D6441">
        <w:trPr>
          <w:gridAfter w:val="1"/>
          <w:wAfter w:w="19" w:type="dxa"/>
          <w:trHeight w:val="160"/>
          <w:jc w:val="center"/>
        </w:trPr>
        <w:tc>
          <w:tcPr>
            <w:tcW w:w="2721" w:type="dxa"/>
            <w:vAlign w:val="center"/>
          </w:tcPr>
          <w:p w:rsidR="00F653BF" w:rsidRPr="008331BA" w:rsidRDefault="0062456A" w:rsidP="003D6441">
            <w:pPr>
              <w:autoSpaceDE/>
              <w:autoSpaceDN/>
              <w:rPr>
                <w:rFonts w:ascii="Garamond" w:eastAsia="Calibri" w:hAnsi="Garamond"/>
                <w:b/>
                <w:bCs/>
                <w:caps/>
                <w:sz w:val="16"/>
                <w:szCs w:val="16"/>
                <w:lang w:val="uz-Cyrl-UZ" w:eastAsia="en-US" w:bidi="ar-SA"/>
              </w:rPr>
            </w:pPr>
            <w:r w:rsidRPr="008331BA">
              <w:rPr>
                <w:rFonts w:ascii="Garamond" w:eastAsia="Calibri" w:hAnsi="Garamond"/>
                <w:b/>
                <w:bCs/>
                <w:caps/>
                <w:sz w:val="16"/>
                <w:szCs w:val="16"/>
                <w:lang w:val="uz-Cyrl-UZ" w:eastAsia="en-US" w:bidi="ar-SA"/>
              </w:rPr>
              <w:t>DATA ON VALUES ACHIEVED</w:t>
            </w:r>
          </w:p>
        </w:tc>
        <w:tc>
          <w:tcPr>
            <w:tcW w:w="1771" w:type="dxa"/>
            <w:vAlign w:val="center"/>
          </w:tcPr>
          <w:p w:rsidR="00F653BF" w:rsidRPr="008331BA" w:rsidRDefault="00F653BF" w:rsidP="00D15F76">
            <w:pPr>
              <w:pStyle w:val="TabelaTekst"/>
              <w:spacing w:before="0" w:after="0" w:line="240" w:lineRule="auto"/>
              <w:jc w:val="center"/>
              <w:rPr>
                <w:rFonts w:ascii="Garamond" w:hAnsi="Garamond"/>
                <w:sz w:val="16"/>
                <w:szCs w:val="16"/>
              </w:rPr>
            </w:pPr>
            <w:r w:rsidRPr="008331BA">
              <w:rPr>
                <w:rFonts w:ascii="Garamond" w:hAnsi="Garamond"/>
                <w:sz w:val="16"/>
                <w:szCs w:val="16"/>
              </w:rPr>
              <w:t>17.64 %</w:t>
            </w:r>
          </w:p>
        </w:tc>
        <w:tc>
          <w:tcPr>
            <w:tcW w:w="1771" w:type="dxa"/>
            <w:vAlign w:val="center"/>
          </w:tcPr>
          <w:p w:rsidR="00F653BF" w:rsidRPr="008331BA" w:rsidRDefault="00F653BF" w:rsidP="00D15F76">
            <w:pPr>
              <w:pStyle w:val="TabelaTekst"/>
              <w:spacing w:before="0" w:after="0" w:line="240" w:lineRule="auto"/>
              <w:jc w:val="center"/>
              <w:rPr>
                <w:rFonts w:ascii="Garamond" w:hAnsi="Garamond"/>
                <w:sz w:val="16"/>
                <w:szCs w:val="16"/>
              </w:rPr>
            </w:pPr>
            <w:r w:rsidRPr="008331BA">
              <w:rPr>
                <w:rFonts w:ascii="Garamond" w:hAnsi="Garamond"/>
                <w:sz w:val="16"/>
                <w:szCs w:val="16"/>
              </w:rPr>
              <w:t>11.03%</w:t>
            </w:r>
          </w:p>
        </w:tc>
        <w:tc>
          <w:tcPr>
            <w:tcW w:w="1771" w:type="dxa"/>
            <w:vAlign w:val="center"/>
          </w:tcPr>
          <w:p w:rsidR="00F653BF" w:rsidRPr="008331BA" w:rsidRDefault="00F653BF" w:rsidP="00D15F76">
            <w:pPr>
              <w:pStyle w:val="TabelaTekst"/>
              <w:spacing w:before="0" w:after="0" w:line="240" w:lineRule="auto"/>
              <w:jc w:val="center"/>
              <w:rPr>
                <w:rFonts w:ascii="Garamond" w:hAnsi="Garamond"/>
                <w:sz w:val="16"/>
                <w:szCs w:val="16"/>
              </w:rPr>
            </w:pPr>
            <w:r w:rsidRPr="008331BA">
              <w:rPr>
                <w:rFonts w:ascii="Garamond" w:eastAsia="Times New Roman" w:hAnsi="Garamond" w:cs="Calibri"/>
                <w:color w:val="000000"/>
                <w:sz w:val="16"/>
                <w:szCs w:val="16"/>
                <w:lang w:val="en-US"/>
              </w:rPr>
              <w:t>5.17%</w:t>
            </w:r>
          </w:p>
        </w:tc>
        <w:tc>
          <w:tcPr>
            <w:tcW w:w="1523" w:type="dxa"/>
            <w:vAlign w:val="center"/>
          </w:tcPr>
          <w:p w:rsidR="00F653BF" w:rsidRPr="008331BA" w:rsidRDefault="00F653BF" w:rsidP="00D15F76">
            <w:pPr>
              <w:pStyle w:val="TabelaTekst"/>
              <w:spacing w:before="0" w:after="0" w:line="240" w:lineRule="auto"/>
              <w:jc w:val="center"/>
              <w:rPr>
                <w:rFonts w:ascii="Garamond" w:hAnsi="Garamond"/>
                <w:sz w:val="16"/>
                <w:szCs w:val="16"/>
                <w:lang w:eastAsia="sl-SI"/>
              </w:rPr>
            </w:pPr>
            <w:r w:rsidRPr="008331BA">
              <w:rPr>
                <w:rFonts w:ascii="Garamond" w:hAnsi="Garamond"/>
                <w:sz w:val="16"/>
                <w:szCs w:val="16"/>
                <w:lang w:val="en-US" w:eastAsia="sl-SI"/>
              </w:rPr>
              <w:t>-18%</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F653BF">
      <w:pPr>
        <w:pStyle w:val="Heading3"/>
        <w:rPr>
          <w:rFonts w:ascii="Garamond" w:hAnsi="Garamond"/>
          <w:sz w:val="24"/>
          <w:szCs w:val="24"/>
        </w:rPr>
      </w:pPr>
      <w:bookmarkStart w:id="56" w:name="_Toc77688233"/>
      <w:r w:rsidRPr="00C32887">
        <w:rPr>
          <w:rFonts w:ascii="Garamond" w:hAnsi="Garamond"/>
          <w:sz w:val="24"/>
          <w:szCs w:val="24"/>
        </w:rPr>
        <w:t xml:space="preserve">2.2.2      </w:t>
      </w:r>
      <w:r w:rsidR="00F653BF">
        <w:rPr>
          <w:rFonts w:ascii="Garamond" w:hAnsi="Garamond"/>
          <w:sz w:val="24"/>
          <w:szCs w:val="24"/>
        </w:rPr>
        <w:t>PERFORMANCE INDICATOR 16</w:t>
      </w:r>
      <w:r w:rsidR="00F653BF" w:rsidRPr="00F653BF">
        <w:rPr>
          <w:rFonts w:ascii="Garamond" w:hAnsi="Garamond"/>
          <w:sz w:val="24"/>
          <w:szCs w:val="24"/>
        </w:rPr>
        <w:t xml:space="preserve"> </w:t>
      </w:r>
      <w:r w:rsidR="00F653BF" w:rsidRPr="00C32887">
        <w:rPr>
          <w:rFonts w:ascii="Garamond" w:hAnsi="Garamond"/>
          <w:sz w:val="24"/>
          <w:szCs w:val="24"/>
        </w:rPr>
        <w:t>PASSPORT</w:t>
      </w:r>
      <w:bookmarkEnd w:id="56"/>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F653BF" w:rsidRPr="00CE41DF" w:rsidTr="00D15F76">
        <w:trPr>
          <w:jc w:val="center"/>
        </w:trPr>
        <w:tc>
          <w:tcPr>
            <w:tcW w:w="2721" w:type="dxa"/>
            <w:tcBorders>
              <w:right w:val="single" w:sz="4" w:space="0" w:color="FFFFFF"/>
            </w:tcBorders>
            <w:shd w:val="clear" w:color="auto" w:fill="BFBFBF"/>
            <w:vAlign w:val="center"/>
          </w:tcPr>
          <w:p w:rsidR="00F653BF" w:rsidRPr="00CE41DF" w:rsidRDefault="00F653BF" w:rsidP="00D15F76">
            <w:pPr>
              <w:autoSpaceDE/>
              <w:autoSpaceDN/>
              <w:rPr>
                <w:rFonts w:ascii="Garamond" w:eastAsia="Calibri" w:hAnsi="Garamond"/>
                <w:b/>
                <w:caps/>
                <w:sz w:val="16"/>
                <w:szCs w:val="16"/>
                <w:lang w:val="en-GB" w:eastAsia="en-US" w:bidi="ar-SA"/>
              </w:rPr>
            </w:pPr>
            <w:r w:rsidRPr="00CE41DF">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F653BF" w:rsidRPr="00CE41DF" w:rsidRDefault="00F653BF" w:rsidP="00D15F76">
            <w:pPr>
              <w:pStyle w:val="Default"/>
              <w:jc w:val="both"/>
              <w:rPr>
                <w:rFonts w:ascii="Garamond" w:hAnsi="Garamond"/>
                <w:sz w:val="16"/>
                <w:szCs w:val="16"/>
              </w:rPr>
            </w:pPr>
            <w:r w:rsidRPr="00CE41DF">
              <w:rPr>
                <w:rFonts w:ascii="Garamond" w:hAnsi="Garamond"/>
                <w:iCs/>
                <w:sz w:val="16"/>
                <w:szCs w:val="16"/>
              </w:rPr>
              <w:t xml:space="preserve">Change in revenue collection compared to the previous year </w:t>
            </w:r>
          </w:p>
          <w:p w:rsidR="00F653BF" w:rsidRPr="00CE41DF" w:rsidRDefault="00F653BF" w:rsidP="00D15F76">
            <w:pPr>
              <w:pStyle w:val="Default"/>
              <w:jc w:val="both"/>
              <w:rPr>
                <w:rFonts w:ascii="Garamond" w:eastAsia="Calibri" w:hAnsi="Garamond"/>
                <w:b/>
                <w:sz w:val="16"/>
                <w:szCs w:val="16"/>
                <w:lang w:eastAsia="en-US"/>
              </w:rPr>
            </w:pPr>
          </w:p>
        </w:tc>
      </w:tr>
      <w:tr w:rsidR="00F653BF" w:rsidRPr="00CE41DF" w:rsidTr="00D15F76">
        <w:trPr>
          <w:gridAfter w:val="1"/>
          <w:wAfter w:w="19" w:type="dxa"/>
          <w:jc w:val="center"/>
        </w:trPr>
        <w:tc>
          <w:tcPr>
            <w:tcW w:w="2721" w:type="dxa"/>
            <w:vAlign w:val="center"/>
          </w:tcPr>
          <w:p w:rsidR="00F653BF" w:rsidRPr="00CE41DF" w:rsidRDefault="00F653BF" w:rsidP="00D15F76">
            <w:pPr>
              <w:autoSpaceDE/>
              <w:autoSpaceDN/>
              <w:rPr>
                <w:rFonts w:ascii="Garamond" w:eastAsia="Calibri" w:hAnsi="Garamond"/>
                <w:b/>
                <w:caps/>
                <w:sz w:val="16"/>
                <w:szCs w:val="16"/>
                <w:lang w:val="en-GB" w:eastAsia="en-US" w:bidi="ar-SA"/>
              </w:rPr>
            </w:pPr>
            <w:r w:rsidRPr="00CE41DF">
              <w:rPr>
                <w:rFonts w:ascii="Garamond" w:eastAsia="Calibri" w:hAnsi="Garamond"/>
                <w:b/>
                <w:caps/>
                <w:sz w:val="16"/>
                <w:szCs w:val="16"/>
                <w:lang w:val="en-GB" w:eastAsia="en-US" w:bidi="ar-SA"/>
              </w:rPr>
              <w:t>corresponding objective or activity</w:t>
            </w:r>
          </w:p>
        </w:tc>
        <w:tc>
          <w:tcPr>
            <w:tcW w:w="6836" w:type="dxa"/>
            <w:gridSpan w:val="4"/>
            <w:vAlign w:val="center"/>
          </w:tcPr>
          <w:p w:rsidR="00F653BF" w:rsidRPr="00CE41DF" w:rsidRDefault="00F653BF" w:rsidP="00D15F76">
            <w:pPr>
              <w:rPr>
                <w:rFonts w:ascii="Garamond" w:hAnsi="Garamond"/>
                <w:color w:val="365F91" w:themeColor="accent1" w:themeShade="BF"/>
                <w:sz w:val="16"/>
                <w:szCs w:val="16"/>
              </w:rPr>
            </w:pPr>
            <w:r w:rsidRPr="00CE41DF">
              <w:rPr>
                <w:rFonts w:ascii="Garamond" w:hAnsi="Garamond"/>
                <w:color w:val="365F91" w:themeColor="accent1" w:themeShade="BF"/>
                <w:sz w:val="16"/>
                <w:szCs w:val="16"/>
              </w:rPr>
              <w:t xml:space="preserve">Budget execution </w:t>
            </w:r>
          </w:p>
          <w:p w:rsidR="00F653BF" w:rsidRPr="00CE41DF" w:rsidRDefault="00F653BF" w:rsidP="00D15F76">
            <w:pPr>
              <w:pStyle w:val="ListParagraph"/>
              <w:numPr>
                <w:ilvl w:val="0"/>
                <w:numId w:val="28"/>
              </w:numPr>
              <w:rPr>
                <w:rFonts w:ascii="Garamond" w:hAnsi="Garamond"/>
                <w:color w:val="365F91" w:themeColor="accent1" w:themeShade="BF"/>
                <w:sz w:val="16"/>
                <w:szCs w:val="16"/>
                <w:u w:val="single"/>
              </w:rPr>
            </w:pPr>
            <w:r w:rsidRPr="00CE41DF">
              <w:rPr>
                <w:rFonts w:ascii="Garamond" w:hAnsi="Garamond"/>
                <w:color w:val="365F91" w:themeColor="accent1" w:themeShade="BF"/>
                <w:sz w:val="16"/>
                <w:szCs w:val="16"/>
                <w:u w:val="single"/>
              </w:rPr>
              <w:t>Revenue collection - Tax Administration</w:t>
            </w:r>
          </w:p>
          <w:p w:rsidR="00F653BF" w:rsidRPr="00CE41DF" w:rsidRDefault="00F653BF" w:rsidP="00D15F76">
            <w:pPr>
              <w:rPr>
                <w:rFonts w:ascii="Garamond" w:eastAsia="Calibri" w:hAnsi="Garamond"/>
                <w:color w:val="000000" w:themeColor="text1"/>
                <w:sz w:val="16"/>
                <w:szCs w:val="16"/>
                <w:lang w:eastAsia="en-US" w:bidi="ar-SA"/>
              </w:rPr>
            </w:pPr>
            <w:r w:rsidRPr="00CE41DF">
              <w:rPr>
                <w:rFonts w:ascii="Garamond" w:eastAsia="Calibri" w:hAnsi="Garamond"/>
                <w:color w:val="000000" w:themeColor="text1"/>
                <w:sz w:val="16"/>
                <w:szCs w:val="16"/>
                <w:lang w:eastAsia="en-US" w:bidi="ar-SA"/>
              </w:rPr>
              <w:t>Strengthen Customs Administration capacities for ensuring efficient revenue collection, customs area safety and protection of the society, as well as for creating an environment more conducive to business operation</w:t>
            </w:r>
          </w:p>
        </w:tc>
      </w:tr>
      <w:tr w:rsidR="00F653BF" w:rsidRPr="00CE41DF" w:rsidTr="00D15F76">
        <w:trPr>
          <w:gridAfter w:val="1"/>
          <w:wAfter w:w="19" w:type="dxa"/>
          <w:jc w:val="center"/>
        </w:trPr>
        <w:tc>
          <w:tcPr>
            <w:tcW w:w="2721" w:type="dxa"/>
            <w:vAlign w:val="center"/>
          </w:tcPr>
          <w:p w:rsidR="00F653BF" w:rsidRPr="00CE41DF" w:rsidRDefault="00F653BF"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F653BF" w:rsidRPr="00CE41DF" w:rsidRDefault="00F653BF" w:rsidP="00D15F76">
            <w:pPr>
              <w:jc w:val="both"/>
              <w:rPr>
                <w:rFonts w:ascii="Garamond" w:hAnsi="Garamond"/>
                <w:sz w:val="16"/>
                <w:szCs w:val="16"/>
              </w:rPr>
            </w:pPr>
            <w:r w:rsidRPr="00CE41DF">
              <w:rPr>
                <w:rFonts w:ascii="Garamond" w:hAnsi="Garamond"/>
                <w:sz w:val="16"/>
                <w:szCs w:val="16"/>
              </w:rPr>
              <w:t>Report on the work of the Customs Administration</w:t>
            </w:r>
          </w:p>
          <w:p w:rsidR="00F653BF" w:rsidRPr="00CE41DF" w:rsidRDefault="00613C2B" w:rsidP="00D15F76">
            <w:pPr>
              <w:jc w:val="both"/>
              <w:rPr>
                <w:rFonts w:ascii="Garamond" w:eastAsia="Calibri" w:hAnsi="Garamond"/>
                <w:sz w:val="16"/>
                <w:szCs w:val="16"/>
                <w:lang w:eastAsia="en-US" w:bidi="ar-SA"/>
              </w:rPr>
            </w:pPr>
            <w:hyperlink r:id="rId28" w:history="1">
              <w:r w:rsidR="00F653BF" w:rsidRPr="00CE41DF">
                <w:rPr>
                  <w:rStyle w:val="Hyperlink"/>
                  <w:rFonts w:ascii="Garamond" w:hAnsi="Garamond"/>
                  <w:sz w:val="16"/>
                  <w:szCs w:val="16"/>
                </w:rPr>
                <w:t>http://www.upravacarina.gov.me/uprava/Slobodan_pristup_informacijama</w:t>
              </w:r>
            </w:hyperlink>
            <w:r w:rsidR="00F653BF" w:rsidRPr="00CE41DF">
              <w:rPr>
                <w:rFonts w:ascii="Garamond" w:hAnsi="Garamond"/>
                <w:sz w:val="16"/>
                <w:szCs w:val="16"/>
              </w:rPr>
              <w:t xml:space="preserve"> </w:t>
            </w:r>
          </w:p>
        </w:tc>
      </w:tr>
      <w:tr w:rsidR="00F653BF" w:rsidRPr="00CE41DF" w:rsidTr="00D15F76">
        <w:trPr>
          <w:gridAfter w:val="1"/>
          <w:wAfter w:w="19" w:type="dxa"/>
          <w:jc w:val="center"/>
        </w:trPr>
        <w:tc>
          <w:tcPr>
            <w:tcW w:w="2721" w:type="dxa"/>
            <w:vAlign w:val="center"/>
          </w:tcPr>
          <w:p w:rsidR="00F653BF" w:rsidRPr="00CE41DF" w:rsidRDefault="00F653BF"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NAME OF DATA COLLECTION HOLDER</w:t>
            </w:r>
          </w:p>
        </w:tc>
        <w:tc>
          <w:tcPr>
            <w:tcW w:w="6836" w:type="dxa"/>
            <w:gridSpan w:val="4"/>
            <w:vAlign w:val="center"/>
          </w:tcPr>
          <w:p w:rsidR="00F653BF" w:rsidRPr="00CE41DF" w:rsidRDefault="00F653BF" w:rsidP="00D15F76">
            <w:pPr>
              <w:rPr>
                <w:rFonts w:ascii="Garamond" w:hAnsi="Garamond"/>
                <w:sz w:val="16"/>
                <w:szCs w:val="16"/>
              </w:rPr>
            </w:pPr>
            <w:r w:rsidRPr="00CE41DF">
              <w:rPr>
                <w:rFonts w:ascii="Garamond" w:hAnsi="Garamond"/>
                <w:sz w:val="16"/>
                <w:szCs w:val="16"/>
              </w:rPr>
              <w:t>Revenue &amp; Customs Administration</w:t>
            </w:r>
          </w:p>
          <w:p w:rsidR="00F653BF" w:rsidRPr="00CE41DF" w:rsidRDefault="00F653BF" w:rsidP="00D15F76">
            <w:pPr>
              <w:rPr>
                <w:rFonts w:ascii="Garamond" w:eastAsia="Calibri" w:hAnsi="Garamond"/>
                <w:sz w:val="16"/>
                <w:szCs w:val="16"/>
                <w:lang w:eastAsia="en-US" w:bidi="ar-SA"/>
              </w:rPr>
            </w:pPr>
            <w:r w:rsidRPr="00CE41DF">
              <w:rPr>
                <w:rFonts w:ascii="Garamond" w:hAnsi="Garamond"/>
                <w:sz w:val="16"/>
                <w:szCs w:val="16"/>
              </w:rPr>
              <w:t>Phone: 020 - 448 -232</w:t>
            </w:r>
          </w:p>
        </w:tc>
      </w:tr>
      <w:tr w:rsidR="00F653BF" w:rsidRPr="00CE41DF" w:rsidTr="00D15F76">
        <w:trPr>
          <w:gridAfter w:val="1"/>
          <w:wAfter w:w="19" w:type="dxa"/>
          <w:jc w:val="center"/>
        </w:trPr>
        <w:tc>
          <w:tcPr>
            <w:tcW w:w="2721" w:type="dxa"/>
            <w:vAlign w:val="center"/>
          </w:tcPr>
          <w:p w:rsidR="00F653BF" w:rsidRPr="00CE41DF" w:rsidRDefault="00F653BF"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FREQUENCY OF DATA PUBLICATION</w:t>
            </w:r>
          </w:p>
        </w:tc>
        <w:tc>
          <w:tcPr>
            <w:tcW w:w="6836" w:type="dxa"/>
            <w:gridSpan w:val="4"/>
            <w:vAlign w:val="center"/>
          </w:tcPr>
          <w:p w:rsidR="00F653BF" w:rsidRPr="00CE41DF" w:rsidRDefault="00F653BF" w:rsidP="001922CD">
            <w:pPr>
              <w:rPr>
                <w:rFonts w:ascii="Garamond" w:eastAsia="Calibri" w:hAnsi="Garamond"/>
                <w:sz w:val="16"/>
                <w:szCs w:val="16"/>
                <w:lang w:eastAsia="en-US" w:bidi="ar-SA"/>
              </w:rPr>
            </w:pPr>
            <w:r w:rsidRPr="00CE41DF">
              <w:rPr>
                <w:rFonts w:ascii="Garamond" w:hAnsi="Garamond"/>
                <w:sz w:val="16"/>
                <w:szCs w:val="16"/>
              </w:rPr>
              <w:t xml:space="preserve">Report on the work of the Customs Administration in </w:t>
            </w:r>
            <w:r w:rsidR="001922CD" w:rsidRPr="00CE41DF">
              <w:rPr>
                <w:rFonts w:ascii="Garamond" w:hAnsi="Garamond"/>
                <w:sz w:val="16"/>
                <w:szCs w:val="16"/>
              </w:rPr>
              <w:t>Q1</w:t>
            </w:r>
            <w:r w:rsidRPr="00CE41DF">
              <w:rPr>
                <w:rFonts w:ascii="Garamond" w:hAnsi="Garamond"/>
                <w:sz w:val="16"/>
                <w:szCs w:val="16"/>
              </w:rPr>
              <w:t xml:space="preserve"> of the current year for the previous year</w:t>
            </w:r>
          </w:p>
        </w:tc>
      </w:tr>
      <w:tr w:rsidR="00F653BF" w:rsidRPr="00CE41DF" w:rsidTr="00D15F76">
        <w:trPr>
          <w:gridAfter w:val="1"/>
          <w:wAfter w:w="19" w:type="dxa"/>
          <w:trHeight w:val="458"/>
          <w:jc w:val="center"/>
        </w:trPr>
        <w:tc>
          <w:tcPr>
            <w:tcW w:w="2721" w:type="dxa"/>
            <w:vMerge w:val="restart"/>
            <w:vAlign w:val="center"/>
          </w:tcPr>
          <w:p w:rsidR="00F653BF" w:rsidRPr="00CE41DF" w:rsidRDefault="00F653BF"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 xml:space="preserve">BRIEF DESCRIPTION </w:t>
            </w:r>
            <w:r w:rsidRPr="00CE41DF">
              <w:rPr>
                <w:rFonts w:ascii="Garamond" w:eastAsia="Calibri" w:hAnsi="Garamond"/>
                <w:b/>
                <w:caps/>
                <w:sz w:val="16"/>
                <w:szCs w:val="16"/>
                <w:lang w:val="en-GB" w:eastAsia="en-US" w:bidi="ar-SA"/>
              </w:rPr>
              <w:t xml:space="preserve">OF </w:t>
            </w:r>
            <w:r w:rsidRPr="00CE41DF">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F653BF" w:rsidRPr="00CE41DF" w:rsidRDefault="00876280" w:rsidP="00D15F76">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The performance indicator refers to the adoption of regulations related to the harmoni</w:t>
            </w:r>
            <w:r w:rsidR="00F254DD" w:rsidRPr="00CE41DF">
              <w:rPr>
                <w:rFonts w:ascii="Garamond" w:eastAsia="Calibri" w:hAnsi="Garamond"/>
                <w:sz w:val="16"/>
                <w:szCs w:val="16"/>
                <w:lang w:val="uz-Cyrl-UZ" w:eastAsia="en-US" w:bidi="ar-SA"/>
              </w:rPr>
              <w:t>sation</w:t>
            </w:r>
            <w:r w:rsidRPr="00CE41DF">
              <w:rPr>
                <w:rFonts w:ascii="Garamond" w:eastAsia="Calibri" w:hAnsi="Garamond"/>
                <w:sz w:val="16"/>
                <w:szCs w:val="16"/>
                <w:lang w:val="uz-Cyrl-UZ" w:eastAsia="en-US" w:bidi="ar-SA"/>
              </w:rPr>
              <w:t xml:space="preserve"> of customs and excise legislation with EU legislation.</w:t>
            </w:r>
          </w:p>
        </w:tc>
      </w:tr>
      <w:tr w:rsidR="00F653BF" w:rsidRPr="00CE41DF" w:rsidTr="00D15F76">
        <w:trPr>
          <w:gridAfter w:val="1"/>
          <w:wAfter w:w="19" w:type="dxa"/>
          <w:trHeight w:val="620"/>
          <w:jc w:val="center"/>
        </w:trPr>
        <w:tc>
          <w:tcPr>
            <w:tcW w:w="2721" w:type="dxa"/>
            <w:vMerge/>
            <w:shd w:val="clear" w:color="auto" w:fill="auto"/>
            <w:vAlign w:val="center"/>
          </w:tcPr>
          <w:p w:rsidR="00F653BF" w:rsidRPr="00CE41DF" w:rsidRDefault="00F653BF"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F653BF" w:rsidRPr="00CE41DF" w:rsidRDefault="00F653BF" w:rsidP="00D15F76">
            <w:pPr>
              <w:jc w:val="center"/>
              <w:rPr>
                <w:rFonts w:ascii="Garamond" w:hAnsi="Garamond"/>
                <w:color w:val="365F91" w:themeColor="accent1" w:themeShade="BF"/>
                <w:sz w:val="16"/>
                <w:szCs w:val="16"/>
                <w:lang w:val="uz-Cyrl-UZ"/>
              </w:rPr>
            </w:pPr>
            <w:r w:rsidRPr="00CE41DF">
              <w:rPr>
                <w:rFonts w:ascii="Garamond" w:hAnsi="Garamond"/>
                <w:color w:val="365F91" w:themeColor="accent1" w:themeShade="BF"/>
                <w:sz w:val="16"/>
                <w:szCs w:val="16"/>
                <w:lang w:val="uz-Cyrl-UZ"/>
              </w:rPr>
              <w:t>FORMULA / EQUATION</w:t>
            </w:r>
          </w:p>
          <w:p w:rsidR="00F653BF" w:rsidRPr="00CE41DF" w:rsidRDefault="00322369" w:rsidP="00D15F76">
            <w:pPr>
              <w:jc w:val="center"/>
              <w:rPr>
                <w:rFonts w:ascii="Garamond" w:eastAsia="Calibri" w:hAnsi="Garamond"/>
                <w:sz w:val="16"/>
                <w:szCs w:val="16"/>
                <w:lang w:val="en-GB" w:eastAsia="en-US" w:bidi="ar-SA"/>
              </w:rPr>
            </w:pPr>
            <w:r w:rsidRPr="00CE41DF">
              <w:rPr>
                <w:rFonts w:ascii="Garamond" w:eastAsia="Calibri" w:hAnsi="Garamond"/>
                <w:sz w:val="16"/>
                <w:szCs w:val="16"/>
                <w:lang w:val="en-GB" w:eastAsia="en-US" w:bidi="ar-SA"/>
              </w:rPr>
              <w:t>Number of harmonis</w:t>
            </w:r>
            <w:r w:rsidR="00876280" w:rsidRPr="00CE41DF">
              <w:rPr>
                <w:rFonts w:ascii="Garamond" w:eastAsia="Calibri" w:hAnsi="Garamond"/>
                <w:sz w:val="16"/>
                <w:szCs w:val="16"/>
                <w:lang w:val="en-GB" w:eastAsia="en-US" w:bidi="ar-SA"/>
              </w:rPr>
              <w:t>ed regulations adopted in the reporting year.</w:t>
            </w:r>
          </w:p>
        </w:tc>
      </w:tr>
      <w:tr w:rsidR="00F653BF" w:rsidRPr="00CE41DF" w:rsidTr="00D15F76">
        <w:trPr>
          <w:gridAfter w:val="1"/>
          <w:wAfter w:w="19" w:type="dxa"/>
          <w:trHeight w:val="585"/>
          <w:jc w:val="center"/>
        </w:trPr>
        <w:tc>
          <w:tcPr>
            <w:tcW w:w="2721" w:type="dxa"/>
            <w:vAlign w:val="center"/>
          </w:tcPr>
          <w:p w:rsidR="00F653BF" w:rsidRPr="00CE41DF" w:rsidRDefault="00F653BF" w:rsidP="00D15F76">
            <w:pPr>
              <w:autoSpaceDE/>
              <w:autoSpaceDN/>
              <w:rPr>
                <w:rFonts w:ascii="Garamond" w:eastAsia="Calibri" w:hAnsi="Garamond"/>
                <w:b/>
                <w:bCs/>
                <w:caps/>
                <w:sz w:val="16"/>
                <w:szCs w:val="16"/>
                <w:lang w:val="en-GB" w:eastAsia="en-US" w:bidi="ar-SA"/>
              </w:rPr>
            </w:pPr>
            <w:r w:rsidRPr="00CE41DF">
              <w:rPr>
                <w:rFonts w:ascii="Garamond" w:eastAsia="Calibri" w:hAnsi="Garamond"/>
                <w:b/>
                <w:caps/>
                <w:sz w:val="16"/>
                <w:szCs w:val="16"/>
                <w:lang w:val="uz-Cyrl-UZ" w:eastAsia="en-US" w:bidi="ar-SA"/>
              </w:rPr>
              <w:t>BASELINE</w:t>
            </w:r>
            <w:r w:rsidRPr="00CE41DF">
              <w:rPr>
                <w:rFonts w:ascii="Garamond" w:eastAsia="Calibri" w:hAnsi="Garamond"/>
                <w:b/>
                <w:caps/>
                <w:sz w:val="16"/>
                <w:szCs w:val="16"/>
                <w:lang w:val="en-GB" w:eastAsia="en-US" w:bidi="ar-SA"/>
              </w:rPr>
              <w:t xml:space="preserve"> DATA</w:t>
            </w:r>
          </w:p>
        </w:tc>
        <w:tc>
          <w:tcPr>
            <w:tcW w:w="6836" w:type="dxa"/>
            <w:gridSpan w:val="4"/>
            <w:vAlign w:val="center"/>
          </w:tcPr>
          <w:p w:rsidR="00F653BF" w:rsidRPr="00CE41DF" w:rsidRDefault="00F653BF" w:rsidP="00D15F76">
            <w:pPr>
              <w:pStyle w:val="TabelaTekst"/>
              <w:spacing w:before="0" w:after="0" w:line="240" w:lineRule="auto"/>
              <w:rPr>
                <w:rFonts w:ascii="Garamond" w:hAnsi="Garamond"/>
                <w:sz w:val="16"/>
                <w:szCs w:val="16"/>
                <w:lang w:val="en-GB"/>
              </w:rPr>
            </w:pPr>
            <w:r w:rsidRPr="00CE41DF">
              <w:rPr>
                <w:rFonts w:ascii="Garamond" w:hAnsi="Garamond"/>
                <w:sz w:val="16"/>
                <w:szCs w:val="16"/>
              </w:rPr>
              <w:t xml:space="preserve">PV (2014): </w:t>
            </w:r>
            <w:r w:rsidR="00876280" w:rsidRPr="00CE41DF">
              <w:rPr>
                <w:rFonts w:ascii="Garamond" w:hAnsi="Garamond"/>
                <w:sz w:val="16"/>
                <w:szCs w:val="16"/>
                <w:lang w:val="en-GB"/>
              </w:rPr>
              <w:t>Screening process for Cha</w:t>
            </w:r>
            <w:r w:rsidR="003D4B2C" w:rsidRPr="00CE41DF">
              <w:rPr>
                <w:rFonts w:ascii="Garamond" w:hAnsi="Garamond"/>
                <w:sz w:val="16"/>
                <w:szCs w:val="16"/>
                <w:lang w:val="en-GB"/>
              </w:rPr>
              <w:t>pters 29 Customs Union</w:t>
            </w:r>
            <w:r w:rsidR="008B50C0" w:rsidRPr="00CE41DF">
              <w:rPr>
                <w:rFonts w:ascii="Garamond" w:hAnsi="Garamond"/>
                <w:sz w:val="16"/>
                <w:szCs w:val="16"/>
                <w:lang w:val="en-GB"/>
              </w:rPr>
              <w:t xml:space="preserve"> and 16</w:t>
            </w:r>
            <w:r w:rsidR="003D4B2C" w:rsidRPr="00CE41DF">
              <w:rPr>
                <w:rFonts w:ascii="Garamond" w:hAnsi="Garamond"/>
                <w:sz w:val="16"/>
                <w:szCs w:val="16"/>
                <w:lang w:val="en-GB"/>
              </w:rPr>
              <w:t xml:space="preserve"> Taxation</w:t>
            </w:r>
            <w:r w:rsidR="00876280" w:rsidRPr="00CE41DF">
              <w:rPr>
                <w:rFonts w:ascii="Garamond" w:hAnsi="Garamond"/>
                <w:sz w:val="16"/>
                <w:szCs w:val="16"/>
                <w:lang w:val="en-GB"/>
              </w:rPr>
              <w:t xml:space="preserve"> completed</w:t>
            </w:r>
          </w:p>
        </w:tc>
      </w:tr>
      <w:tr w:rsidR="00F653BF" w:rsidRPr="00CE41DF" w:rsidTr="00D15F76">
        <w:trPr>
          <w:gridAfter w:val="1"/>
          <w:wAfter w:w="19" w:type="dxa"/>
          <w:trHeight w:val="160"/>
          <w:jc w:val="center"/>
        </w:trPr>
        <w:tc>
          <w:tcPr>
            <w:tcW w:w="2721" w:type="dxa"/>
            <w:vMerge w:val="restart"/>
            <w:vAlign w:val="center"/>
          </w:tcPr>
          <w:p w:rsidR="00F653BF" w:rsidRPr="00CE41DF" w:rsidRDefault="00F653BF" w:rsidP="00D15F76">
            <w:pPr>
              <w:autoSpaceDE/>
              <w:autoSpaceDN/>
              <w:rPr>
                <w:rFonts w:ascii="Garamond" w:eastAsia="Calibri" w:hAnsi="Garamond"/>
                <w:b/>
                <w:bCs/>
                <w:caps/>
                <w:sz w:val="16"/>
                <w:szCs w:val="16"/>
                <w:lang w:val="uz-Cyrl-UZ" w:eastAsia="en-US" w:bidi="ar-SA"/>
              </w:rPr>
            </w:pPr>
            <w:r w:rsidRPr="00CE41DF">
              <w:rPr>
                <w:rFonts w:ascii="Garamond" w:eastAsia="Calibri" w:hAnsi="Garamond"/>
                <w:b/>
                <w:caps/>
                <w:sz w:val="16"/>
                <w:szCs w:val="16"/>
                <w:lang w:val="uz-Cyrl-UZ" w:eastAsia="en-US" w:bidi="ar-SA"/>
              </w:rPr>
              <w:t>TARGET VALUE DATA</w:t>
            </w:r>
          </w:p>
        </w:tc>
        <w:tc>
          <w:tcPr>
            <w:tcW w:w="1771" w:type="dxa"/>
            <w:vAlign w:val="center"/>
          </w:tcPr>
          <w:p w:rsidR="00F653BF" w:rsidRPr="00CE41DF" w:rsidRDefault="00F653BF"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2017</w:t>
            </w:r>
          </w:p>
        </w:tc>
        <w:tc>
          <w:tcPr>
            <w:tcW w:w="1771" w:type="dxa"/>
            <w:vAlign w:val="center"/>
          </w:tcPr>
          <w:p w:rsidR="00F653BF" w:rsidRPr="00CE41DF" w:rsidRDefault="00F653BF"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2018</w:t>
            </w:r>
          </w:p>
        </w:tc>
        <w:tc>
          <w:tcPr>
            <w:tcW w:w="1771" w:type="dxa"/>
            <w:vAlign w:val="center"/>
          </w:tcPr>
          <w:p w:rsidR="00F653BF" w:rsidRPr="00CE41DF" w:rsidRDefault="00F653BF"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2019</w:t>
            </w:r>
          </w:p>
        </w:tc>
        <w:tc>
          <w:tcPr>
            <w:tcW w:w="1523" w:type="dxa"/>
            <w:vAlign w:val="center"/>
          </w:tcPr>
          <w:p w:rsidR="00F653BF" w:rsidRPr="00CE41DF" w:rsidRDefault="00F653BF"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2020</w:t>
            </w:r>
          </w:p>
        </w:tc>
      </w:tr>
      <w:tr w:rsidR="00F653BF" w:rsidRPr="00CE41DF" w:rsidTr="00D15F76">
        <w:trPr>
          <w:gridAfter w:val="1"/>
          <w:wAfter w:w="19" w:type="dxa"/>
          <w:trHeight w:val="160"/>
          <w:jc w:val="center"/>
        </w:trPr>
        <w:tc>
          <w:tcPr>
            <w:tcW w:w="2721" w:type="dxa"/>
            <w:vMerge/>
            <w:vAlign w:val="center"/>
          </w:tcPr>
          <w:p w:rsidR="00F653BF" w:rsidRPr="00CE41DF" w:rsidRDefault="00F653BF" w:rsidP="00D15F76">
            <w:pPr>
              <w:autoSpaceDE/>
              <w:autoSpaceDN/>
              <w:rPr>
                <w:rFonts w:ascii="Garamond" w:eastAsia="Calibri" w:hAnsi="Garamond"/>
                <w:b/>
                <w:bCs/>
                <w:caps/>
                <w:sz w:val="16"/>
                <w:szCs w:val="16"/>
                <w:lang w:val="uz-Cyrl-UZ" w:eastAsia="en-US" w:bidi="ar-SA"/>
              </w:rPr>
            </w:pPr>
          </w:p>
        </w:tc>
        <w:tc>
          <w:tcPr>
            <w:tcW w:w="1771" w:type="dxa"/>
            <w:vAlign w:val="center"/>
          </w:tcPr>
          <w:p w:rsidR="008B50C0" w:rsidRPr="00CE41DF" w:rsidRDefault="008B50C0" w:rsidP="008B50C0">
            <w:pPr>
              <w:pStyle w:val="TabelaTekst"/>
              <w:jc w:val="left"/>
              <w:rPr>
                <w:rFonts w:ascii="Garamond" w:hAnsi="Garamond"/>
                <w:sz w:val="16"/>
                <w:szCs w:val="16"/>
              </w:rPr>
            </w:pPr>
            <w:r w:rsidRPr="00CE41DF">
              <w:rPr>
                <w:rFonts w:ascii="Garamond" w:hAnsi="Garamond"/>
                <w:sz w:val="16"/>
                <w:szCs w:val="16"/>
              </w:rPr>
              <w:t>Law on Amendments to the Customs Law;</w:t>
            </w:r>
          </w:p>
          <w:p w:rsidR="008B50C0" w:rsidRPr="00CE41DF" w:rsidRDefault="008B50C0" w:rsidP="008B50C0">
            <w:pPr>
              <w:pStyle w:val="TabelaTekst"/>
              <w:jc w:val="left"/>
              <w:rPr>
                <w:rFonts w:ascii="Garamond" w:hAnsi="Garamond"/>
                <w:sz w:val="16"/>
                <w:szCs w:val="16"/>
              </w:rPr>
            </w:pPr>
            <w:r w:rsidRPr="00CE41DF">
              <w:rPr>
                <w:rFonts w:ascii="Garamond" w:hAnsi="Garamond"/>
                <w:sz w:val="16"/>
                <w:szCs w:val="16"/>
              </w:rPr>
              <w:t>Law on Amendments to the Law on Excise Duties;</w:t>
            </w:r>
          </w:p>
          <w:p w:rsidR="008B50C0" w:rsidRPr="00CE41DF" w:rsidRDefault="008B50C0" w:rsidP="008B50C0">
            <w:pPr>
              <w:pStyle w:val="TabelaTekst"/>
              <w:jc w:val="left"/>
              <w:rPr>
                <w:rFonts w:ascii="Garamond" w:hAnsi="Garamond"/>
                <w:sz w:val="16"/>
                <w:szCs w:val="16"/>
              </w:rPr>
            </w:pPr>
            <w:r w:rsidRPr="00CE41DF">
              <w:rPr>
                <w:rFonts w:ascii="Garamond" w:hAnsi="Garamond"/>
                <w:sz w:val="16"/>
                <w:szCs w:val="16"/>
              </w:rPr>
              <w:t>Customs Tariff Regulations for 2017;</w:t>
            </w:r>
          </w:p>
          <w:p w:rsidR="00F653BF" w:rsidRPr="00CE41DF" w:rsidRDefault="008B50C0" w:rsidP="008B50C0">
            <w:pPr>
              <w:pStyle w:val="TabelaTekst"/>
              <w:spacing w:before="0" w:after="0" w:line="240" w:lineRule="auto"/>
              <w:jc w:val="left"/>
              <w:rPr>
                <w:rFonts w:ascii="Garamond" w:hAnsi="Garamond"/>
                <w:sz w:val="16"/>
                <w:szCs w:val="16"/>
              </w:rPr>
            </w:pPr>
            <w:r w:rsidRPr="00CE41DF">
              <w:rPr>
                <w:rFonts w:ascii="Garamond" w:hAnsi="Garamond"/>
                <w:sz w:val="16"/>
                <w:szCs w:val="16"/>
              </w:rPr>
              <w:t>Regulations on amendments to the Regulation for the implementation of the customs law.</w:t>
            </w:r>
          </w:p>
        </w:tc>
        <w:tc>
          <w:tcPr>
            <w:tcW w:w="1771" w:type="dxa"/>
            <w:vAlign w:val="center"/>
          </w:tcPr>
          <w:p w:rsidR="00F653BF" w:rsidRPr="00CE41DF" w:rsidRDefault="008B50C0"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Adoption of 3 regulations</w:t>
            </w:r>
          </w:p>
        </w:tc>
        <w:tc>
          <w:tcPr>
            <w:tcW w:w="1771" w:type="dxa"/>
            <w:vAlign w:val="center"/>
          </w:tcPr>
          <w:p w:rsidR="00F653BF" w:rsidRPr="00CE41DF" w:rsidRDefault="008B50C0"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 xml:space="preserve">Adoption of </w:t>
            </w:r>
            <w:r w:rsidRPr="00CE41DF">
              <w:rPr>
                <w:rFonts w:ascii="Garamond" w:hAnsi="Garamond"/>
                <w:sz w:val="16"/>
                <w:szCs w:val="16"/>
                <w:lang w:val="en-GB"/>
              </w:rPr>
              <w:t>2</w:t>
            </w:r>
            <w:r w:rsidRPr="00CE41DF">
              <w:rPr>
                <w:rFonts w:ascii="Garamond" w:hAnsi="Garamond"/>
                <w:sz w:val="16"/>
                <w:szCs w:val="16"/>
              </w:rPr>
              <w:t xml:space="preserve"> regulations</w:t>
            </w:r>
          </w:p>
        </w:tc>
        <w:tc>
          <w:tcPr>
            <w:tcW w:w="1523" w:type="dxa"/>
            <w:vAlign w:val="center"/>
          </w:tcPr>
          <w:p w:rsidR="00F653BF" w:rsidRPr="00CE41DF" w:rsidRDefault="008B50C0" w:rsidP="00D15F76">
            <w:pPr>
              <w:pStyle w:val="TabelaTekst"/>
              <w:spacing w:before="0" w:after="0" w:line="240" w:lineRule="auto"/>
              <w:jc w:val="center"/>
              <w:rPr>
                <w:rFonts w:ascii="Garamond" w:hAnsi="Garamond"/>
                <w:sz w:val="16"/>
                <w:szCs w:val="16"/>
              </w:rPr>
            </w:pPr>
            <w:r w:rsidRPr="00CE41DF">
              <w:rPr>
                <w:rFonts w:ascii="Garamond" w:hAnsi="Garamond"/>
                <w:sz w:val="16"/>
                <w:szCs w:val="16"/>
                <w:lang w:eastAsia="sl-SI"/>
              </w:rPr>
              <w:t xml:space="preserve">Adoption of </w:t>
            </w:r>
            <w:r w:rsidRPr="00CE41DF">
              <w:rPr>
                <w:rFonts w:ascii="Garamond" w:hAnsi="Garamond"/>
                <w:sz w:val="16"/>
                <w:szCs w:val="16"/>
                <w:lang w:val="en-GB" w:eastAsia="sl-SI"/>
              </w:rPr>
              <w:t>2</w:t>
            </w:r>
            <w:r w:rsidRPr="00CE41DF">
              <w:rPr>
                <w:rFonts w:ascii="Garamond" w:hAnsi="Garamond"/>
                <w:sz w:val="16"/>
                <w:szCs w:val="16"/>
                <w:lang w:eastAsia="sl-SI"/>
              </w:rPr>
              <w:t xml:space="preserve"> regulations</w:t>
            </w:r>
          </w:p>
        </w:tc>
      </w:tr>
      <w:tr w:rsidR="00F653BF" w:rsidRPr="00CE41DF" w:rsidTr="00D15F76">
        <w:trPr>
          <w:gridAfter w:val="1"/>
          <w:wAfter w:w="19" w:type="dxa"/>
          <w:trHeight w:val="160"/>
          <w:jc w:val="center"/>
        </w:trPr>
        <w:tc>
          <w:tcPr>
            <w:tcW w:w="2721" w:type="dxa"/>
            <w:vAlign w:val="center"/>
          </w:tcPr>
          <w:p w:rsidR="00F653BF" w:rsidRPr="00CE41DF" w:rsidRDefault="0062456A" w:rsidP="00D15F76">
            <w:pPr>
              <w:autoSpaceDE/>
              <w:autoSpaceDN/>
              <w:rPr>
                <w:rFonts w:ascii="Garamond" w:eastAsia="Calibri" w:hAnsi="Garamond"/>
                <w:b/>
                <w:bCs/>
                <w:caps/>
                <w:sz w:val="16"/>
                <w:szCs w:val="16"/>
                <w:lang w:val="uz-Cyrl-UZ" w:eastAsia="en-US" w:bidi="ar-SA"/>
              </w:rPr>
            </w:pPr>
            <w:r w:rsidRPr="00CE41DF">
              <w:rPr>
                <w:rFonts w:ascii="Garamond" w:eastAsia="Calibri" w:hAnsi="Garamond"/>
                <w:b/>
                <w:bCs/>
                <w:caps/>
                <w:sz w:val="16"/>
                <w:szCs w:val="16"/>
                <w:lang w:val="uz-Cyrl-UZ" w:eastAsia="en-US" w:bidi="ar-SA"/>
              </w:rPr>
              <w:t>DATA ON VALUES ACHIEVED</w:t>
            </w:r>
          </w:p>
        </w:tc>
        <w:tc>
          <w:tcPr>
            <w:tcW w:w="1771" w:type="dxa"/>
            <w:vAlign w:val="center"/>
          </w:tcPr>
          <w:p w:rsidR="00F653BF" w:rsidRPr="00CE41DF" w:rsidRDefault="008B50C0"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 xml:space="preserve">Adoption of </w:t>
            </w:r>
            <w:r w:rsidRPr="00CE41DF">
              <w:rPr>
                <w:rFonts w:ascii="Garamond" w:hAnsi="Garamond"/>
                <w:sz w:val="16"/>
                <w:szCs w:val="16"/>
                <w:lang w:val="en-GB"/>
              </w:rPr>
              <w:t>4</w:t>
            </w:r>
            <w:r w:rsidRPr="00CE41DF">
              <w:rPr>
                <w:rFonts w:ascii="Garamond" w:hAnsi="Garamond"/>
                <w:sz w:val="16"/>
                <w:szCs w:val="16"/>
              </w:rPr>
              <w:t xml:space="preserve"> regulations</w:t>
            </w:r>
          </w:p>
        </w:tc>
        <w:tc>
          <w:tcPr>
            <w:tcW w:w="1771" w:type="dxa"/>
            <w:vAlign w:val="center"/>
          </w:tcPr>
          <w:p w:rsidR="00F653BF" w:rsidRPr="00CE41DF" w:rsidRDefault="008B50C0"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Adoption of 3 regulations</w:t>
            </w:r>
          </w:p>
        </w:tc>
        <w:tc>
          <w:tcPr>
            <w:tcW w:w="1771" w:type="dxa"/>
            <w:vAlign w:val="center"/>
          </w:tcPr>
          <w:p w:rsidR="00F653BF" w:rsidRPr="00CE41DF" w:rsidRDefault="008B50C0" w:rsidP="00D15F76">
            <w:pPr>
              <w:pStyle w:val="TabelaTekst"/>
              <w:spacing w:before="0" w:after="0" w:line="240" w:lineRule="auto"/>
              <w:jc w:val="center"/>
              <w:rPr>
                <w:rFonts w:ascii="Garamond" w:hAnsi="Garamond"/>
                <w:sz w:val="16"/>
                <w:szCs w:val="16"/>
              </w:rPr>
            </w:pPr>
            <w:r w:rsidRPr="00CE41DF">
              <w:rPr>
                <w:rFonts w:ascii="Garamond" w:eastAsia="Times New Roman" w:hAnsi="Garamond" w:cs="Calibri"/>
                <w:color w:val="000000"/>
                <w:sz w:val="16"/>
                <w:szCs w:val="16"/>
                <w:lang w:val="en-US"/>
              </w:rPr>
              <w:t>Adoption of 3 regulations</w:t>
            </w:r>
          </w:p>
        </w:tc>
        <w:tc>
          <w:tcPr>
            <w:tcW w:w="1523" w:type="dxa"/>
            <w:vAlign w:val="center"/>
          </w:tcPr>
          <w:p w:rsidR="00F653BF" w:rsidRPr="00CE41DF" w:rsidRDefault="008B50C0" w:rsidP="00D15F76">
            <w:pPr>
              <w:pStyle w:val="TabelaTekst"/>
              <w:spacing w:before="0" w:after="0" w:line="240" w:lineRule="auto"/>
              <w:jc w:val="center"/>
              <w:rPr>
                <w:rFonts w:ascii="Garamond" w:hAnsi="Garamond"/>
                <w:sz w:val="16"/>
                <w:szCs w:val="16"/>
                <w:lang w:eastAsia="sl-SI"/>
              </w:rPr>
            </w:pPr>
            <w:r w:rsidRPr="00CE41DF">
              <w:rPr>
                <w:rFonts w:ascii="Garamond" w:hAnsi="Garamond"/>
                <w:sz w:val="16"/>
                <w:szCs w:val="16"/>
                <w:lang w:val="en-US" w:eastAsia="sl-SI"/>
              </w:rPr>
              <w:t>Adoption of 1 regulation</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8B50C0">
      <w:pPr>
        <w:pStyle w:val="Heading2"/>
        <w:rPr>
          <w:rFonts w:ascii="Garamond" w:hAnsi="Garamond"/>
          <w:sz w:val="24"/>
          <w:szCs w:val="24"/>
        </w:rPr>
      </w:pPr>
      <w:bookmarkStart w:id="57" w:name="_Toc77688234"/>
      <w:r w:rsidRPr="00C32887">
        <w:rPr>
          <w:rFonts w:ascii="Garamond" w:hAnsi="Garamond"/>
          <w:sz w:val="24"/>
          <w:szCs w:val="24"/>
        </w:rPr>
        <w:t>2.3     Revenue collection - Public procurement</w:t>
      </w:r>
      <w:bookmarkEnd w:id="57"/>
    </w:p>
    <w:p w:rsidR="004D1343" w:rsidRPr="00C32887" w:rsidRDefault="004D1343" w:rsidP="004D1343">
      <w:pPr>
        <w:rPr>
          <w:rFonts w:ascii="Garamond" w:hAnsi="Garamond"/>
          <w:sz w:val="24"/>
          <w:szCs w:val="24"/>
        </w:rPr>
      </w:pPr>
    </w:p>
    <w:p w:rsidR="004D1343" w:rsidRPr="00C32887" w:rsidRDefault="004D1343" w:rsidP="008B50C0">
      <w:pPr>
        <w:pStyle w:val="Heading3"/>
        <w:rPr>
          <w:rFonts w:ascii="Garamond" w:hAnsi="Garamond"/>
          <w:sz w:val="24"/>
          <w:szCs w:val="24"/>
        </w:rPr>
      </w:pPr>
      <w:bookmarkStart w:id="58" w:name="_Toc77688235"/>
      <w:r w:rsidRPr="00C32887">
        <w:rPr>
          <w:rFonts w:ascii="Garamond" w:hAnsi="Garamond"/>
          <w:sz w:val="24"/>
          <w:szCs w:val="24"/>
        </w:rPr>
        <w:t xml:space="preserve">2.3.1      </w:t>
      </w:r>
      <w:r w:rsidR="008B50C0">
        <w:rPr>
          <w:rFonts w:ascii="Garamond" w:hAnsi="Garamond"/>
          <w:sz w:val="24"/>
          <w:szCs w:val="24"/>
        </w:rPr>
        <w:t>PERFORMANCE INDICATOR 17</w:t>
      </w:r>
      <w:r w:rsidR="008B50C0" w:rsidRPr="008B50C0">
        <w:rPr>
          <w:rFonts w:ascii="Garamond" w:hAnsi="Garamond"/>
          <w:sz w:val="24"/>
          <w:szCs w:val="24"/>
        </w:rPr>
        <w:t xml:space="preserve"> </w:t>
      </w:r>
      <w:r w:rsidR="008B50C0" w:rsidRPr="00C32887">
        <w:rPr>
          <w:rFonts w:ascii="Garamond" w:hAnsi="Garamond"/>
          <w:sz w:val="24"/>
          <w:szCs w:val="24"/>
        </w:rPr>
        <w:t>PASSPORT</w:t>
      </w:r>
      <w:bookmarkEnd w:id="58"/>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8B50C0" w:rsidRPr="00CE41DF" w:rsidTr="00D15F76">
        <w:trPr>
          <w:jc w:val="center"/>
        </w:trPr>
        <w:tc>
          <w:tcPr>
            <w:tcW w:w="2721" w:type="dxa"/>
            <w:tcBorders>
              <w:right w:val="single" w:sz="4" w:space="0" w:color="FFFFFF"/>
            </w:tcBorders>
            <w:shd w:val="clear" w:color="auto" w:fill="BFBFBF"/>
            <w:vAlign w:val="center"/>
          </w:tcPr>
          <w:p w:rsidR="008B50C0" w:rsidRPr="00CE41DF" w:rsidRDefault="008B50C0" w:rsidP="00D15F76">
            <w:pPr>
              <w:autoSpaceDE/>
              <w:autoSpaceDN/>
              <w:rPr>
                <w:rFonts w:ascii="Garamond" w:eastAsia="Calibri" w:hAnsi="Garamond"/>
                <w:b/>
                <w:caps/>
                <w:sz w:val="16"/>
                <w:szCs w:val="16"/>
                <w:lang w:val="en-GB" w:eastAsia="en-US" w:bidi="ar-SA"/>
              </w:rPr>
            </w:pPr>
            <w:r w:rsidRPr="00CE41DF">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8B50C0" w:rsidRPr="00CE41DF" w:rsidRDefault="008B50C0" w:rsidP="008B50C0">
            <w:pPr>
              <w:pStyle w:val="Default"/>
              <w:jc w:val="both"/>
              <w:rPr>
                <w:rFonts w:ascii="Garamond" w:eastAsia="Calibri" w:hAnsi="Garamond"/>
                <w:b/>
                <w:sz w:val="16"/>
                <w:szCs w:val="16"/>
                <w:lang w:eastAsia="en-US"/>
              </w:rPr>
            </w:pPr>
            <w:r w:rsidRPr="00CE41DF">
              <w:rPr>
                <w:rFonts w:ascii="Garamond" w:hAnsi="Garamond"/>
                <w:sz w:val="16"/>
                <w:szCs w:val="16"/>
              </w:rPr>
              <w:t xml:space="preserve">Level of harmonisation and completeness of the procurement framework in line with the EU acquis </w:t>
            </w:r>
          </w:p>
        </w:tc>
      </w:tr>
      <w:tr w:rsidR="008B50C0" w:rsidRPr="00CE41DF" w:rsidTr="00D15F76">
        <w:trPr>
          <w:gridAfter w:val="1"/>
          <w:wAfter w:w="19" w:type="dxa"/>
          <w:jc w:val="center"/>
        </w:trPr>
        <w:tc>
          <w:tcPr>
            <w:tcW w:w="2721" w:type="dxa"/>
            <w:vAlign w:val="center"/>
          </w:tcPr>
          <w:p w:rsidR="008B50C0" w:rsidRPr="00CE41DF" w:rsidRDefault="008B50C0" w:rsidP="00D15F76">
            <w:pPr>
              <w:autoSpaceDE/>
              <w:autoSpaceDN/>
              <w:rPr>
                <w:rFonts w:ascii="Garamond" w:eastAsia="Calibri" w:hAnsi="Garamond"/>
                <w:b/>
                <w:caps/>
                <w:sz w:val="16"/>
                <w:szCs w:val="16"/>
                <w:lang w:val="en-GB" w:eastAsia="en-US" w:bidi="ar-SA"/>
              </w:rPr>
            </w:pPr>
            <w:r w:rsidRPr="00CE41DF">
              <w:rPr>
                <w:rFonts w:ascii="Garamond" w:eastAsia="Calibri" w:hAnsi="Garamond"/>
                <w:b/>
                <w:caps/>
                <w:sz w:val="16"/>
                <w:szCs w:val="16"/>
                <w:lang w:val="en-GB" w:eastAsia="en-US" w:bidi="ar-SA"/>
              </w:rPr>
              <w:t>corresponding objective or activity</w:t>
            </w:r>
          </w:p>
        </w:tc>
        <w:tc>
          <w:tcPr>
            <w:tcW w:w="6836" w:type="dxa"/>
            <w:gridSpan w:val="4"/>
            <w:vAlign w:val="center"/>
          </w:tcPr>
          <w:p w:rsidR="008B50C0" w:rsidRPr="00CE41DF" w:rsidRDefault="008B50C0" w:rsidP="00D15F76">
            <w:pPr>
              <w:rPr>
                <w:rFonts w:ascii="Garamond" w:hAnsi="Garamond"/>
                <w:color w:val="365F91" w:themeColor="accent1" w:themeShade="BF"/>
                <w:sz w:val="16"/>
                <w:szCs w:val="16"/>
              </w:rPr>
            </w:pPr>
            <w:r w:rsidRPr="00CE41DF">
              <w:rPr>
                <w:rFonts w:ascii="Garamond" w:hAnsi="Garamond"/>
                <w:color w:val="365F91" w:themeColor="accent1" w:themeShade="BF"/>
                <w:sz w:val="16"/>
                <w:szCs w:val="16"/>
              </w:rPr>
              <w:t xml:space="preserve">Budget execution </w:t>
            </w:r>
          </w:p>
          <w:p w:rsidR="008B50C0" w:rsidRPr="00CE41DF" w:rsidRDefault="008B50C0" w:rsidP="00D15F76">
            <w:pPr>
              <w:pStyle w:val="ListParagraph"/>
              <w:numPr>
                <w:ilvl w:val="0"/>
                <w:numId w:val="28"/>
              </w:numPr>
              <w:rPr>
                <w:rFonts w:ascii="Garamond" w:hAnsi="Garamond"/>
                <w:color w:val="365F91" w:themeColor="accent1" w:themeShade="BF"/>
                <w:sz w:val="16"/>
                <w:szCs w:val="16"/>
                <w:u w:val="single"/>
              </w:rPr>
            </w:pPr>
            <w:r w:rsidRPr="00CE41DF">
              <w:rPr>
                <w:rFonts w:ascii="Garamond" w:hAnsi="Garamond"/>
                <w:color w:val="365F91" w:themeColor="accent1" w:themeShade="BF"/>
                <w:sz w:val="16"/>
                <w:szCs w:val="16"/>
                <w:u w:val="single"/>
              </w:rPr>
              <w:t xml:space="preserve">Revenue collection </w:t>
            </w:r>
            <w:r w:rsidR="00710940" w:rsidRPr="00CE41DF">
              <w:rPr>
                <w:rFonts w:ascii="Garamond" w:hAnsi="Garamond"/>
                <w:color w:val="365F91" w:themeColor="accent1" w:themeShade="BF"/>
                <w:sz w:val="16"/>
                <w:szCs w:val="16"/>
                <w:u w:val="single"/>
              </w:rPr>
              <w:t>–</w:t>
            </w:r>
            <w:r w:rsidRPr="00CE41DF">
              <w:rPr>
                <w:rFonts w:ascii="Garamond" w:hAnsi="Garamond"/>
                <w:color w:val="365F91" w:themeColor="accent1" w:themeShade="BF"/>
                <w:sz w:val="16"/>
                <w:szCs w:val="16"/>
                <w:u w:val="single"/>
              </w:rPr>
              <w:t xml:space="preserve"> </w:t>
            </w:r>
            <w:r w:rsidR="00710940" w:rsidRPr="00CE41DF">
              <w:rPr>
                <w:rFonts w:ascii="Garamond" w:hAnsi="Garamond"/>
                <w:color w:val="365F91" w:themeColor="accent1" w:themeShade="BF"/>
                <w:sz w:val="16"/>
                <w:szCs w:val="16"/>
                <w:u w:val="single"/>
              </w:rPr>
              <w:t xml:space="preserve">Public procurement </w:t>
            </w:r>
          </w:p>
          <w:p w:rsidR="008B50C0" w:rsidRPr="00CE41DF" w:rsidRDefault="008B50C0" w:rsidP="008B50C0">
            <w:pPr>
              <w:rPr>
                <w:rFonts w:ascii="Garamond" w:eastAsia="Calibri" w:hAnsi="Garamond"/>
                <w:color w:val="000000" w:themeColor="text1"/>
                <w:sz w:val="16"/>
                <w:szCs w:val="16"/>
                <w:lang w:eastAsia="en-US" w:bidi="ar-SA"/>
              </w:rPr>
            </w:pPr>
            <w:r w:rsidRPr="00CE41DF">
              <w:rPr>
                <w:rFonts w:ascii="Garamond" w:eastAsia="Calibri" w:hAnsi="Garamond"/>
                <w:color w:val="000000" w:themeColor="text1"/>
                <w:sz w:val="16"/>
                <w:szCs w:val="16"/>
                <w:lang w:eastAsia="en-US" w:bidi="ar-SA"/>
              </w:rPr>
              <w:t>Align the public procurement system with the pertinent EU acquis with a view of setting an efficient, transparent and competitive public procurement system in Montenegro.</w:t>
            </w:r>
          </w:p>
        </w:tc>
      </w:tr>
      <w:tr w:rsidR="008B50C0" w:rsidRPr="00CE41DF" w:rsidTr="00D15F76">
        <w:trPr>
          <w:gridAfter w:val="1"/>
          <w:wAfter w:w="19" w:type="dxa"/>
          <w:jc w:val="center"/>
        </w:trPr>
        <w:tc>
          <w:tcPr>
            <w:tcW w:w="2721" w:type="dxa"/>
            <w:vAlign w:val="center"/>
          </w:tcPr>
          <w:p w:rsidR="008B50C0" w:rsidRPr="00CE41DF" w:rsidRDefault="008B50C0"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8B50C0" w:rsidRPr="00CE41DF" w:rsidRDefault="008B50C0" w:rsidP="008B50C0">
            <w:pPr>
              <w:jc w:val="both"/>
              <w:rPr>
                <w:rFonts w:ascii="Garamond" w:hAnsi="Garamond"/>
                <w:sz w:val="16"/>
                <w:szCs w:val="16"/>
              </w:rPr>
            </w:pPr>
            <w:r w:rsidRPr="00CE41DF">
              <w:rPr>
                <w:rFonts w:ascii="Garamond" w:hAnsi="Garamond"/>
                <w:sz w:val="16"/>
                <w:szCs w:val="16"/>
              </w:rPr>
              <w:t xml:space="preserve">Directives 23/2017, 24/2017 and 25/2017 </w:t>
            </w:r>
            <w:hyperlink r:id="rId29" w:history="1">
              <w:r w:rsidR="00BA297B" w:rsidRPr="00CE41DF">
                <w:rPr>
                  <w:rStyle w:val="Hyperlink"/>
                  <w:rFonts w:ascii="Garamond" w:hAnsi="Garamond"/>
                  <w:sz w:val="16"/>
                  <w:szCs w:val="16"/>
                </w:rPr>
                <w:t>http://www.ujn.gov.me/category/direktive/</w:t>
              </w:r>
            </w:hyperlink>
            <w:r w:rsidR="00BA297B" w:rsidRPr="00CE41DF">
              <w:rPr>
                <w:rFonts w:ascii="Garamond" w:hAnsi="Garamond"/>
                <w:sz w:val="16"/>
                <w:szCs w:val="16"/>
              </w:rPr>
              <w:t xml:space="preserve"> </w:t>
            </w:r>
          </w:p>
          <w:p w:rsidR="008B50C0" w:rsidRPr="00CE41DF" w:rsidRDefault="008B50C0" w:rsidP="008B50C0">
            <w:pPr>
              <w:jc w:val="both"/>
              <w:rPr>
                <w:rFonts w:ascii="Garamond" w:hAnsi="Garamond"/>
                <w:sz w:val="16"/>
                <w:szCs w:val="16"/>
              </w:rPr>
            </w:pPr>
            <w:r w:rsidRPr="00CE41DF">
              <w:rPr>
                <w:rFonts w:ascii="Garamond" w:hAnsi="Garamond"/>
                <w:sz w:val="16"/>
                <w:szCs w:val="16"/>
              </w:rPr>
              <w:t>Law on Public Procurement ("Official Gazette o</w:t>
            </w:r>
            <w:r w:rsidR="00BA297B" w:rsidRPr="00CE41DF">
              <w:rPr>
                <w:rFonts w:ascii="Garamond" w:hAnsi="Garamond"/>
                <w:sz w:val="16"/>
                <w:szCs w:val="16"/>
              </w:rPr>
              <w:t>f Montenegro", No. 042/11 of 15/08/2011, 057/14 of 26/12/2014, 028/15 of 03/06/2015, 042/17 of 30/06/</w:t>
            </w:r>
            <w:r w:rsidRPr="00CE41DF">
              <w:rPr>
                <w:rFonts w:ascii="Garamond" w:hAnsi="Garamond"/>
                <w:sz w:val="16"/>
                <w:szCs w:val="16"/>
              </w:rPr>
              <w:t>2017)</w:t>
            </w:r>
          </w:p>
          <w:p w:rsidR="008B50C0" w:rsidRPr="00CE41DF" w:rsidRDefault="008B50C0" w:rsidP="008B50C0">
            <w:pPr>
              <w:jc w:val="both"/>
              <w:rPr>
                <w:rFonts w:ascii="Garamond" w:hAnsi="Garamond"/>
                <w:sz w:val="16"/>
                <w:szCs w:val="16"/>
              </w:rPr>
            </w:pPr>
            <w:r w:rsidRPr="00CE41DF">
              <w:rPr>
                <w:rFonts w:ascii="Garamond" w:hAnsi="Garamond"/>
                <w:sz w:val="16"/>
                <w:szCs w:val="16"/>
              </w:rPr>
              <w:t>Bylaws</w:t>
            </w:r>
          </w:p>
          <w:p w:rsidR="008B50C0" w:rsidRPr="00CE41DF" w:rsidRDefault="008B50C0" w:rsidP="008B50C0">
            <w:pPr>
              <w:jc w:val="both"/>
              <w:rPr>
                <w:rFonts w:ascii="Garamond" w:hAnsi="Garamond"/>
                <w:sz w:val="16"/>
                <w:szCs w:val="16"/>
              </w:rPr>
            </w:pPr>
            <w:r w:rsidRPr="00CE41DF">
              <w:rPr>
                <w:rFonts w:ascii="Garamond" w:hAnsi="Garamond"/>
                <w:sz w:val="16"/>
                <w:szCs w:val="16"/>
              </w:rPr>
              <w:t>http://www.ujn.gov.me/category/nova-podzakonska/</w:t>
            </w:r>
          </w:p>
          <w:p w:rsidR="008B50C0" w:rsidRPr="00CE41DF" w:rsidRDefault="008B50C0" w:rsidP="008B50C0">
            <w:pPr>
              <w:jc w:val="both"/>
              <w:rPr>
                <w:rFonts w:ascii="Garamond" w:hAnsi="Garamond"/>
                <w:sz w:val="16"/>
                <w:szCs w:val="16"/>
              </w:rPr>
            </w:pPr>
            <w:r w:rsidRPr="00CE41DF">
              <w:rPr>
                <w:rFonts w:ascii="Garamond" w:hAnsi="Garamond"/>
                <w:sz w:val="16"/>
                <w:szCs w:val="16"/>
              </w:rPr>
              <w:t>Public Procurement System Development Strategy http://www.ujn.gov.me/strategija-razvoja-sistema-javnih-nabavki-u-crnoj-gori-za-period-2016-2020-godine/</w:t>
            </w:r>
          </w:p>
          <w:p w:rsidR="008B50C0" w:rsidRPr="00CE41DF" w:rsidRDefault="008B50C0" w:rsidP="008B50C0">
            <w:pPr>
              <w:jc w:val="both"/>
              <w:rPr>
                <w:rFonts w:ascii="Garamond" w:hAnsi="Garamond"/>
                <w:sz w:val="16"/>
                <w:szCs w:val="16"/>
              </w:rPr>
            </w:pPr>
            <w:r w:rsidRPr="00CE41DF">
              <w:rPr>
                <w:rFonts w:ascii="Garamond" w:hAnsi="Garamond"/>
                <w:sz w:val="16"/>
                <w:szCs w:val="16"/>
              </w:rPr>
              <w:t>Progress reports</w:t>
            </w:r>
          </w:p>
          <w:p w:rsidR="008B50C0" w:rsidRPr="00CE41DF" w:rsidRDefault="008B50C0" w:rsidP="008B50C0">
            <w:pPr>
              <w:jc w:val="both"/>
              <w:rPr>
                <w:rFonts w:ascii="Garamond" w:eastAsia="Calibri" w:hAnsi="Garamond"/>
                <w:sz w:val="16"/>
                <w:szCs w:val="16"/>
                <w:lang w:eastAsia="en-US" w:bidi="ar-SA"/>
              </w:rPr>
            </w:pPr>
            <w:r w:rsidRPr="00CE41DF">
              <w:rPr>
                <w:rFonts w:ascii="Garamond" w:hAnsi="Garamond"/>
                <w:sz w:val="16"/>
                <w:szCs w:val="16"/>
              </w:rPr>
              <w:t>http://www.ujn.gov.me/category/eu-integracije/</w:t>
            </w:r>
          </w:p>
        </w:tc>
      </w:tr>
      <w:tr w:rsidR="008B50C0" w:rsidRPr="00CE41DF" w:rsidTr="00D15F76">
        <w:trPr>
          <w:gridAfter w:val="1"/>
          <w:wAfter w:w="19" w:type="dxa"/>
          <w:jc w:val="center"/>
        </w:trPr>
        <w:tc>
          <w:tcPr>
            <w:tcW w:w="2721" w:type="dxa"/>
            <w:vAlign w:val="center"/>
          </w:tcPr>
          <w:p w:rsidR="008B50C0" w:rsidRPr="00CE41DF" w:rsidRDefault="008B50C0"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NAME OF DATA COLLECTION HOLDER</w:t>
            </w:r>
          </w:p>
        </w:tc>
        <w:tc>
          <w:tcPr>
            <w:tcW w:w="6836" w:type="dxa"/>
            <w:gridSpan w:val="4"/>
            <w:vAlign w:val="center"/>
          </w:tcPr>
          <w:p w:rsidR="00BA297B" w:rsidRPr="00CE41DF" w:rsidRDefault="00BA297B" w:rsidP="00BA297B">
            <w:pPr>
              <w:rPr>
                <w:rFonts w:ascii="Garamond" w:hAnsi="Garamond"/>
                <w:sz w:val="16"/>
                <w:szCs w:val="16"/>
              </w:rPr>
            </w:pPr>
            <w:r w:rsidRPr="00CE41DF">
              <w:rPr>
                <w:rFonts w:ascii="Garamond" w:hAnsi="Garamond"/>
                <w:sz w:val="16"/>
                <w:szCs w:val="16"/>
              </w:rPr>
              <w:t>Ministry of Finance and Social Welfare</w:t>
            </w:r>
          </w:p>
          <w:p w:rsidR="00BA297B" w:rsidRPr="00CE41DF" w:rsidRDefault="00BA297B" w:rsidP="00BA297B">
            <w:pPr>
              <w:rPr>
                <w:rFonts w:ascii="Garamond" w:hAnsi="Garamond"/>
                <w:sz w:val="16"/>
                <w:szCs w:val="16"/>
              </w:rPr>
            </w:pPr>
            <w:r w:rsidRPr="00CE41DF">
              <w:rPr>
                <w:rFonts w:ascii="Garamond" w:hAnsi="Garamond"/>
                <w:sz w:val="16"/>
                <w:szCs w:val="16"/>
              </w:rPr>
              <w:t>Dijana Vukčević, Department for Monitoring Public Procurement Procedures and Management of Electronic Public Procurement</w:t>
            </w:r>
          </w:p>
          <w:p w:rsidR="00BA297B" w:rsidRPr="00CE41DF" w:rsidRDefault="00BA297B" w:rsidP="00BA297B">
            <w:pPr>
              <w:rPr>
                <w:rFonts w:ascii="Garamond" w:hAnsi="Garamond"/>
                <w:sz w:val="16"/>
                <w:szCs w:val="16"/>
              </w:rPr>
            </w:pPr>
            <w:r w:rsidRPr="00CE41DF">
              <w:rPr>
                <w:rFonts w:ascii="Garamond" w:hAnsi="Garamond"/>
                <w:sz w:val="16"/>
                <w:szCs w:val="16"/>
              </w:rPr>
              <w:t>vukcevic.dijana@gmail.com</w:t>
            </w:r>
          </w:p>
          <w:p w:rsidR="00BA297B" w:rsidRPr="00CE41DF" w:rsidRDefault="00BA297B" w:rsidP="00BA297B">
            <w:pPr>
              <w:rPr>
                <w:rFonts w:ascii="Garamond" w:hAnsi="Garamond"/>
                <w:sz w:val="16"/>
                <w:szCs w:val="16"/>
              </w:rPr>
            </w:pPr>
            <w:r w:rsidRPr="00CE41DF">
              <w:rPr>
                <w:rFonts w:ascii="Garamond" w:hAnsi="Garamond"/>
                <w:sz w:val="16"/>
                <w:szCs w:val="16"/>
              </w:rPr>
              <w:t>Phone: 067373384</w:t>
            </w:r>
          </w:p>
          <w:p w:rsidR="00BA297B" w:rsidRPr="00CE41DF" w:rsidRDefault="00BA297B" w:rsidP="00BA297B">
            <w:pPr>
              <w:rPr>
                <w:rFonts w:ascii="Garamond" w:hAnsi="Garamond"/>
                <w:sz w:val="16"/>
                <w:szCs w:val="16"/>
              </w:rPr>
            </w:pPr>
            <w:r w:rsidRPr="00CE41DF">
              <w:rPr>
                <w:rFonts w:ascii="Garamond" w:hAnsi="Garamond"/>
                <w:sz w:val="16"/>
                <w:szCs w:val="16"/>
              </w:rPr>
              <w:t>Sanja Poleksić, Department for Professional Training, Development and International Cooperation in the Field of Public Procurement</w:t>
            </w:r>
          </w:p>
          <w:p w:rsidR="00BA297B" w:rsidRPr="00CE41DF" w:rsidRDefault="00BA297B" w:rsidP="00BA297B">
            <w:pPr>
              <w:rPr>
                <w:rFonts w:ascii="Garamond" w:hAnsi="Garamond"/>
                <w:sz w:val="16"/>
                <w:szCs w:val="16"/>
              </w:rPr>
            </w:pPr>
            <w:r w:rsidRPr="00CE41DF">
              <w:rPr>
                <w:rFonts w:ascii="Garamond" w:hAnsi="Garamond"/>
                <w:sz w:val="16"/>
                <w:szCs w:val="16"/>
              </w:rPr>
              <w:t>s.p@t-com.me</w:t>
            </w:r>
          </w:p>
          <w:p w:rsidR="008B50C0" w:rsidRPr="00CE41DF" w:rsidRDefault="00BA297B" w:rsidP="00BA297B">
            <w:pPr>
              <w:rPr>
                <w:rFonts w:ascii="Garamond" w:eastAsia="Calibri" w:hAnsi="Garamond"/>
                <w:sz w:val="16"/>
                <w:szCs w:val="16"/>
                <w:lang w:eastAsia="en-US" w:bidi="ar-SA"/>
              </w:rPr>
            </w:pPr>
            <w:r w:rsidRPr="00CE41DF">
              <w:rPr>
                <w:rFonts w:ascii="Garamond" w:hAnsi="Garamond"/>
                <w:sz w:val="16"/>
                <w:szCs w:val="16"/>
              </w:rPr>
              <w:t>Phone: 067400191</w:t>
            </w:r>
          </w:p>
        </w:tc>
      </w:tr>
      <w:tr w:rsidR="008B50C0" w:rsidRPr="00CE41DF" w:rsidTr="00D15F76">
        <w:trPr>
          <w:gridAfter w:val="1"/>
          <w:wAfter w:w="19" w:type="dxa"/>
          <w:jc w:val="center"/>
        </w:trPr>
        <w:tc>
          <w:tcPr>
            <w:tcW w:w="2721" w:type="dxa"/>
            <w:vAlign w:val="center"/>
          </w:tcPr>
          <w:p w:rsidR="008B50C0" w:rsidRPr="00CE41DF" w:rsidRDefault="008B50C0"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FREQUENCY OF DATA PUBLICATION</w:t>
            </w:r>
          </w:p>
        </w:tc>
        <w:tc>
          <w:tcPr>
            <w:tcW w:w="6836" w:type="dxa"/>
            <w:gridSpan w:val="4"/>
            <w:vAlign w:val="center"/>
          </w:tcPr>
          <w:p w:rsidR="00BA297B" w:rsidRPr="00CE41DF" w:rsidRDefault="00BA297B" w:rsidP="00BA297B">
            <w:pPr>
              <w:rPr>
                <w:rFonts w:ascii="Garamond" w:hAnsi="Garamond"/>
                <w:sz w:val="16"/>
                <w:szCs w:val="16"/>
              </w:rPr>
            </w:pPr>
            <w:r w:rsidRPr="00CE41DF">
              <w:rPr>
                <w:rFonts w:ascii="Garamond" w:hAnsi="Garamond"/>
                <w:sz w:val="16"/>
                <w:szCs w:val="16"/>
              </w:rPr>
              <w:t xml:space="preserve">Semi-annually through the report of the coordinating body for the implementation of the AP strategy for the development of the public procurement system for </w:t>
            </w:r>
            <w:r w:rsidR="005116B0" w:rsidRPr="00CE41DF">
              <w:rPr>
                <w:rFonts w:ascii="Garamond" w:hAnsi="Garamond"/>
                <w:sz w:val="16"/>
                <w:szCs w:val="16"/>
              </w:rPr>
              <w:t>Q1 and Q3</w:t>
            </w:r>
          </w:p>
          <w:p w:rsidR="008B50C0" w:rsidRPr="00CE41DF" w:rsidRDefault="00BA297B" w:rsidP="00BA297B">
            <w:pPr>
              <w:rPr>
                <w:rFonts w:ascii="Garamond" w:eastAsia="Calibri" w:hAnsi="Garamond"/>
                <w:sz w:val="16"/>
                <w:szCs w:val="16"/>
                <w:lang w:eastAsia="en-US" w:bidi="ar-SA"/>
              </w:rPr>
            </w:pPr>
            <w:r w:rsidRPr="00CE41DF">
              <w:rPr>
                <w:rFonts w:ascii="Garamond" w:hAnsi="Garamond"/>
                <w:sz w:val="16"/>
                <w:szCs w:val="16"/>
              </w:rPr>
              <w:t>http://www.ujn.gov.me/category/koordinaciono-tijelo/</w:t>
            </w:r>
          </w:p>
        </w:tc>
      </w:tr>
      <w:tr w:rsidR="008B50C0" w:rsidRPr="00CE41DF" w:rsidTr="00D15F76">
        <w:trPr>
          <w:gridAfter w:val="1"/>
          <w:wAfter w:w="19" w:type="dxa"/>
          <w:trHeight w:val="458"/>
          <w:jc w:val="center"/>
        </w:trPr>
        <w:tc>
          <w:tcPr>
            <w:tcW w:w="2721" w:type="dxa"/>
            <w:vMerge w:val="restart"/>
            <w:vAlign w:val="center"/>
          </w:tcPr>
          <w:p w:rsidR="008B50C0" w:rsidRPr="00CE41DF" w:rsidRDefault="008B50C0"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 xml:space="preserve">BRIEF DESCRIPTION </w:t>
            </w:r>
            <w:r w:rsidRPr="00CE41DF">
              <w:rPr>
                <w:rFonts w:ascii="Garamond" w:eastAsia="Calibri" w:hAnsi="Garamond"/>
                <w:b/>
                <w:caps/>
                <w:sz w:val="16"/>
                <w:szCs w:val="16"/>
                <w:lang w:val="en-GB" w:eastAsia="en-US" w:bidi="ar-SA"/>
              </w:rPr>
              <w:t xml:space="preserve">OF </w:t>
            </w:r>
            <w:r w:rsidRPr="00CE41DF">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BA297B" w:rsidRPr="00CE41DF" w:rsidRDefault="00BA297B"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September-October: The PP</w:t>
            </w:r>
            <w:r w:rsidR="007B0DE3" w:rsidRPr="00CE41DF">
              <w:rPr>
                <w:rFonts w:ascii="Garamond" w:eastAsia="Calibri" w:hAnsi="Garamond"/>
                <w:sz w:val="16"/>
                <w:szCs w:val="16"/>
                <w:lang w:val="en-GB" w:eastAsia="en-US" w:bidi="ar-SA"/>
              </w:rPr>
              <w:t>D</w:t>
            </w:r>
            <w:r w:rsidRPr="00CE41DF">
              <w:rPr>
                <w:rFonts w:ascii="Garamond" w:eastAsia="Calibri" w:hAnsi="Garamond"/>
                <w:sz w:val="16"/>
                <w:szCs w:val="16"/>
                <w:lang w:val="uz-Cyrl-UZ" w:eastAsia="en-US" w:bidi="ar-SA"/>
              </w:rPr>
              <w:t xml:space="preserve"> coordinates the analysis</w:t>
            </w:r>
            <w:r w:rsidR="005116B0" w:rsidRPr="00CE41DF">
              <w:rPr>
                <w:rFonts w:ascii="Garamond" w:eastAsia="Calibri" w:hAnsi="Garamond"/>
                <w:sz w:val="16"/>
                <w:szCs w:val="16"/>
                <w:lang w:val="en-GB" w:eastAsia="en-US" w:bidi="ar-SA"/>
              </w:rPr>
              <w:t>,</w:t>
            </w:r>
            <w:r w:rsidRPr="00CE41DF">
              <w:rPr>
                <w:rFonts w:ascii="Garamond" w:eastAsia="Calibri" w:hAnsi="Garamond"/>
                <w:sz w:val="16"/>
                <w:szCs w:val="16"/>
                <w:lang w:val="uz-Cyrl-UZ" w:eastAsia="en-US" w:bidi="ar-SA"/>
              </w:rPr>
              <w:t xml:space="preserve"> and, if necessary, the revision of the AP for the next year, in which all relevant parties participate;</w:t>
            </w:r>
          </w:p>
          <w:p w:rsidR="00BA297B" w:rsidRPr="00CE41DF" w:rsidRDefault="00BA297B"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December: If necessary, the Government of Montenegro adopts a revised AP for next year.</w:t>
            </w:r>
          </w:p>
          <w:p w:rsidR="00BA297B" w:rsidRPr="00CE41DF" w:rsidRDefault="00BA297B"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 xml:space="preserve">Using the AP as a means of monitoring and implementation, the Coordinating Body will report to the Government on a semi-annual basis on the progress made in </w:t>
            </w:r>
            <w:r w:rsidR="00CE41DF" w:rsidRPr="00CE41DF">
              <w:rPr>
                <w:rFonts w:ascii="Garamond" w:eastAsia="Calibri" w:hAnsi="Garamond"/>
                <w:sz w:val="16"/>
                <w:szCs w:val="16"/>
                <w:lang w:eastAsia="en-US" w:bidi="ar-SA"/>
              </w:rPr>
              <w:t>the</w:t>
            </w:r>
            <w:r w:rsidRPr="00CE41DF">
              <w:rPr>
                <w:rFonts w:ascii="Garamond" w:eastAsia="Calibri" w:hAnsi="Garamond"/>
                <w:sz w:val="16"/>
                <w:szCs w:val="16"/>
                <w:lang w:val="uz-Cyrl-UZ" w:eastAsia="en-US" w:bidi="ar-SA"/>
              </w:rPr>
              <w:t xml:space="preserve"> implementation, according to the following dynamics:</w:t>
            </w:r>
          </w:p>
          <w:p w:rsidR="00BA297B" w:rsidRPr="00CE41DF" w:rsidRDefault="00BA297B"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 xml:space="preserve">January: </w:t>
            </w:r>
            <w:r w:rsidR="007B0DE3" w:rsidRPr="00CE41DF">
              <w:rPr>
                <w:rFonts w:ascii="Garamond" w:eastAsia="Calibri" w:hAnsi="Garamond"/>
                <w:sz w:val="16"/>
                <w:szCs w:val="16"/>
                <w:lang w:val="en-GB" w:eastAsia="en-US" w:bidi="ar-SA"/>
              </w:rPr>
              <w:t>PPD</w:t>
            </w:r>
            <w:r w:rsidRPr="00CE41DF">
              <w:rPr>
                <w:rFonts w:ascii="Garamond" w:eastAsia="Calibri" w:hAnsi="Garamond"/>
                <w:sz w:val="16"/>
                <w:szCs w:val="16"/>
                <w:lang w:val="uz-Cyrl-UZ" w:eastAsia="en-US" w:bidi="ar-SA"/>
              </w:rPr>
              <w:t xml:space="preserve"> collects information on the execution of the plan for the previous year from all relevant parties in charge of the implementation of the AP;</w:t>
            </w:r>
          </w:p>
          <w:p w:rsidR="00BA297B" w:rsidRPr="00CE41DF" w:rsidRDefault="00BA297B"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 xml:space="preserve">February: </w:t>
            </w:r>
            <w:r w:rsidR="007B0DE3" w:rsidRPr="00CE41DF">
              <w:rPr>
                <w:rFonts w:ascii="Garamond" w:eastAsia="Calibri" w:hAnsi="Garamond"/>
                <w:sz w:val="16"/>
                <w:szCs w:val="16"/>
                <w:lang w:val="en-GB" w:eastAsia="en-US" w:bidi="ar-SA"/>
              </w:rPr>
              <w:t>PPD</w:t>
            </w:r>
            <w:r w:rsidRPr="00CE41DF">
              <w:rPr>
                <w:rFonts w:ascii="Garamond" w:eastAsia="Calibri" w:hAnsi="Garamond"/>
                <w:sz w:val="16"/>
                <w:szCs w:val="16"/>
                <w:lang w:val="uz-Cyrl-UZ" w:eastAsia="en-US" w:bidi="ar-SA"/>
              </w:rPr>
              <w:t xml:space="preserve"> prepares a report on the implementation of the AP and submits it to the Government.</w:t>
            </w:r>
          </w:p>
          <w:p w:rsidR="00BA297B" w:rsidRPr="00CE41DF" w:rsidRDefault="00BA297B" w:rsidP="00BA297B">
            <w:pPr>
              <w:jc w:val="both"/>
              <w:rPr>
                <w:rFonts w:ascii="Garamond" w:eastAsia="Calibri" w:hAnsi="Garamond"/>
                <w:sz w:val="16"/>
                <w:szCs w:val="16"/>
                <w:lang w:val="en-GB" w:eastAsia="en-US" w:bidi="ar-SA"/>
              </w:rPr>
            </w:pPr>
            <w:r w:rsidRPr="00CE41DF">
              <w:rPr>
                <w:rFonts w:ascii="Garamond" w:eastAsia="Calibri" w:hAnsi="Garamond"/>
                <w:sz w:val="16"/>
                <w:szCs w:val="16"/>
                <w:lang w:val="uz-Cyrl-UZ" w:eastAsia="en-US" w:bidi="ar-SA"/>
              </w:rPr>
              <w:t xml:space="preserve">The </w:t>
            </w:r>
            <w:r w:rsidR="007B0DE3" w:rsidRPr="00CE41DF">
              <w:rPr>
                <w:rFonts w:ascii="Garamond" w:eastAsia="Calibri" w:hAnsi="Garamond"/>
                <w:sz w:val="16"/>
                <w:szCs w:val="16"/>
                <w:lang w:val="uz-Cyrl-UZ" w:eastAsia="en-US" w:bidi="ar-SA"/>
              </w:rPr>
              <w:t xml:space="preserve">2016-2020 </w:t>
            </w:r>
            <w:r w:rsidRPr="00CE41DF">
              <w:rPr>
                <w:rFonts w:ascii="Garamond" w:eastAsia="Calibri" w:hAnsi="Garamond"/>
                <w:sz w:val="16"/>
                <w:szCs w:val="16"/>
                <w:lang w:val="uz-Cyrl-UZ" w:eastAsia="en-US" w:bidi="ar-SA"/>
              </w:rPr>
              <w:t>Strategy for the Development of the Public Procurement System in Montenegro has been developed in a way that follows all the activities necessary for the closure of the Negotiating Chapter 5  Public Procurement, and the AP proceeds from the same.</w:t>
            </w:r>
            <w:r w:rsidR="007B0DE3" w:rsidRPr="00CE41DF">
              <w:rPr>
                <w:rFonts w:ascii="Garamond" w:eastAsia="Calibri" w:hAnsi="Garamond"/>
                <w:sz w:val="16"/>
                <w:szCs w:val="16"/>
                <w:lang w:val="en-GB" w:eastAsia="en-US" w:bidi="ar-SA"/>
              </w:rPr>
              <w:t xml:space="preserve"> </w:t>
            </w:r>
          </w:p>
          <w:p w:rsidR="00BA297B" w:rsidRPr="00CE41DF" w:rsidRDefault="00BA297B"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List of directives:</w:t>
            </w:r>
          </w:p>
          <w:p w:rsidR="00BA297B" w:rsidRPr="00CE41DF" w:rsidRDefault="007B0DE3"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1. Directive 2014/24</w:t>
            </w:r>
            <w:r w:rsidR="00BA297B" w:rsidRPr="00CE41DF">
              <w:rPr>
                <w:rFonts w:ascii="Garamond" w:eastAsia="Calibri" w:hAnsi="Garamond"/>
                <w:sz w:val="16"/>
                <w:szCs w:val="16"/>
                <w:lang w:val="uz-Cyrl-UZ" w:eastAsia="en-US" w:bidi="ar-SA"/>
              </w:rPr>
              <w:t xml:space="preserve">/EU of the European Parliament and of the Council of 26 February 2014 on public procurement </w:t>
            </w:r>
            <w:r w:rsidRPr="00CE41DF">
              <w:rPr>
                <w:rFonts w:ascii="Garamond" w:eastAsia="Calibri" w:hAnsi="Garamond"/>
                <w:sz w:val="16"/>
                <w:szCs w:val="16"/>
                <w:lang w:val="uz-Cyrl-UZ" w:eastAsia="en-US" w:bidi="ar-SA"/>
              </w:rPr>
              <w:t>and repealing Directive 2004/18</w:t>
            </w:r>
            <w:r w:rsidR="00BA297B" w:rsidRPr="00CE41DF">
              <w:rPr>
                <w:rFonts w:ascii="Garamond" w:eastAsia="Calibri" w:hAnsi="Garamond"/>
                <w:sz w:val="16"/>
                <w:szCs w:val="16"/>
                <w:lang w:val="uz-Cyrl-UZ" w:eastAsia="en-US" w:bidi="ar-SA"/>
              </w:rPr>
              <w:t xml:space="preserve">/EC (OJ L 94, 28.3.2014), as last amended by </w:t>
            </w:r>
            <w:r w:rsidRPr="00CE41DF">
              <w:rPr>
                <w:rFonts w:ascii="Garamond" w:eastAsia="Calibri" w:hAnsi="Garamond"/>
                <w:sz w:val="16"/>
                <w:szCs w:val="16"/>
                <w:lang w:val="uz-Cyrl-UZ" w:eastAsia="en-US" w:bidi="ar-SA"/>
              </w:rPr>
              <w:t>Commission Delegated Regulation</w:t>
            </w:r>
            <w:r w:rsidR="004B6517" w:rsidRPr="00CE41DF">
              <w:rPr>
                <w:rFonts w:ascii="Garamond" w:eastAsia="Calibri" w:hAnsi="Garamond"/>
                <w:sz w:val="16"/>
                <w:szCs w:val="16"/>
                <w:lang w:val="en-GB" w:eastAsia="en-US" w:bidi="ar-SA"/>
              </w:rPr>
              <w:t xml:space="preserve"> (EU</w:t>
            </w:r>
            <w:r w:rsidR="00BA297B" w:rsidRPr="00CE41DF">
              <w:rPr>
                <w:rFonts w:ascii="Garamond" w:eastAsia="Calibri" w:hAnsi="Garamond"/>
                <w:sz w:val="16"/>
                <w:szCs w:val="16"/>
                <w:lang w:val="uz-Cyrl-UZ" w:eastAsia="en-US" w:bidi="ar-SA"/>
              </w:rPr>
              <w:t xml:space="preserve">) 2017/2365 of 18 December </w:t>
            </w:r>
            <w:r w:rsidRPr="00CE41DF">
              <w:rPr>
                <w:rFonts w:ascii="Garamond" w:eastAsia="Calibri" w:hAnsi="Garamond"/>
                <w:sz w:val="16"/>
                <w:szCs w:val="16"/>
                <w:lang w:val="uz-Cyrl-UZ" w:eastAsia="en-US" w:bidi="ar-SA"/>
              </w:rPr>
              <w:t>2017 amending Directive 2014/24</w:t>
            </w:r>
            <w:r w:rsidR="00BA297B" w:rsidRPr="00CE41DF">
              <w:rPr>
                <w:rFonts w:ascii="Garamond" w:eastAsia="Calibri" w:hAnsi="Garamond"/>
                <w:sz w:val="16"/>
                <w:szCs w:val="16"/>
                <w:lang w:val="uz-Cyrl-UZ" w:eastAsia="en-US" w:bidi="ar-SA"/>
              </w:rPr>
              <w:t>/EU of the European Parliament and of the Council as regards application thresholds for contract award procedures (OJ L-337 of 19.12.2017);</w:t>
            </w:r>
          </w:p>
          <w:p w:rsidR="00BA297B" w:rsidRPr="00CE41DF" w:rsidRDefault="00E33D65"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 Directive 2014/25</w:t>
            </w:r>
            <w:r w:rsidR="00BA297B" w:rsidRPr="00CE41DF">
              <w:rPr>
                <w:rFonts w:ascii="Garamond" w:eastAsia="Calibri" w:hAnsi="Garamond"/>
                <w:sz w:val="16"/>
                <w:szCs w:val="16"/>
                <w:lang w:val="uz-Cyrl-UZ" w:eastAsia="en-US" w:bidi="ar-SA"/>
              </w:rPr>
              <w:t xml:space="preserve">/EU of the European Parliament and of the Council of 26 February 2014 on procurement </w:t>
            </w:r>
            <w:r w:rsidRPr="00CE41DF">
              <w:rPr>
                <w:rFonts w:ascii="Garamond" w:eastAsia="Calibri" w:hAnsi="Garamond"/>
                <w:sz w:val="16"/>
                <w:szCs w:val="16"/>
                <w:lang w:val="en-GB" w:eastAsia="en-US" w:bidi="ar-SA"/>
              </w:rPr>
              <w:t>by</w:t>
            </w:r>
            <w:r w:rsidR="00BA297B" w:rsidRPr="00CE41DF">
              <w:rPr>
                <w:rFonts w:ascii="Garamond" w:eastAsia="Calibri" w:hAnsi="Garamond"/>
                <w:sz w:val="16"/>
                <w:szCs w:val="16"/>
                <w:lang w:val="uz-Cyrl-UZ" w:eastAsia="en-US" w:bidi="ar-SA"/>
              </w:rPr>
              <w:t xml:space="preserve"> entities operating in the water, energy, transport and postal services sectors </w:t>
            </w:r>
            <w:r w:rsidRPr="00CE41DF">
              <w:rPr>
                <w:rFonts w:ascii="Garamond" w:eastAsia="Calibri" w:hAnsi="Garamond"/>
                <w:sz w:val="16"/>
                <w:szCs w:val="16"/>
                <w:lang w:val="uz-Cyrl-UZ" w:eastAsia="en-US" w:bidi="ar-SA"/>
              </w:rPr>
              <w:t>and repealing Directive 2004/17</w:t>
            </w:r>
            <w:r w:rsidR="002D1136" w:rsidRPr="00CE41DF">
              <w:rPr>
                <w:rFonts w:ascii="Garamond" w:eastAsia="Calibri" w:hAnsi="Garamond"/>
                <w:sz w:val="16"/>
                <w:szCs w:val="16"/>
                <w:lang w:val="uz-Cyrl-UZ" w:eastAsia="en-US" w:bidi="ar-SA"/>
              </w:rPr>
              <w:t xml:space="preserve">/EC (OJ 2014 L 94, </w:t>
            </w:r>
            <w:r w:rsidR="00BA297B" w:rsidRPr="00CE41DF">
              <w:rPr>
                <w:rFonts w:ascii="Garamond" w:eastAsia="Calibri" w:hAnsi="Garamond"/>
                <w:sz w:val="16"/>
                <w:szCs w:val="16"/>
                <w:lang w:val="uz-Cyrl-UZ" w:eastAsia="en-US" w:bidi="ar-SA"/>
              </w:rPr>
              <w:t xml:space="preserve"> 28.3.2014), as last amended by Commission Delegated Regulation (EU) 2017/2364 of 18 December 2017 amending Directive 201</w:t>
            </w:r>
            <w:r w:rsidRPr="00CE41DF">
              <w:rPr>
                <w:rFonts w:ascii="Garamond" w:eastAsia="Calibri" w:hAnsi="Garamond"/>
                <w:sz w:val="16"/>
                <w:szCs w:val="16"/>
                <w:lang w:val="uz-Cyrl-UZ" w:eastAsia="en-US" w:bidi="ar-SA"/>
              </w:rPr>
              <w:t>4/25</w:t>
            </w:r>
            <w:r w:rsidR="00BA297B" w:rsidRPr="00CE41DF">
              <w:rPr>
                <w:rFonts w:ascii="Garamond" w:eastAsia="Calibri" w:hAnsi="Garamond"/>
                <w:sz w:val="16"/>
                <w:szCs w:val="16"/>
                <w:lang w:val="uz-Cyrl-UZ" w:eastAsia="en-US" w:bidi="ar-SA"/>
              </w:rPr>
              <w:t>/EU of the European Parliament and of the Council as regards application thresholds for contract award pr</w:t>
            </w:r>
            <w:r w:rsidR="002D1136" w:rsidRPr="00CE41DF">
              <w:rPr>
                <w:rFonts w:ascii="Garamond" w:eastAsia="Calibri" w:hAnsi="Garamond"/>
                <w:sz w:val="16"/>
                <w:szCs w:val="16"/>
                <w:lang w:val="uz-Cyrl-UZ" w:eastAsia="en-US" w:bidi="ar-SA"/>
              </w:rPr>
              <w:t>ocedures (OJ L-337 dated 19</w:t>
            </w:r>
            <w:r w:rsidR="002D1136" w:rsidRPr="00CE41DF">
              <w:rPr>
                <w:rFonts w:ascii="Garamond" w:eastAsia="Calibri" w:hAnsi="Garamond"/>
                <w:sz w:val="16"/>
                <w:szCs w:val="16"/>
                <w:lang w:val="en-GB" w:eastAsia="en-US" w:bidi="ar-SA"/>
              </w:rPr>
              <w:t>/</w:t>
            </w:r>
            <w:r w:rsidR="002D1136" w:rsidRPr="00CE41DF">
              <w:rPr>
                <w:rFonts w:ascii="Garamond" w:eastAsia="Calibri" w:hAnsi="Garamond"/>
                <w:sz w:val="16"/>
                <w:szCs w:val="16"/>
                <w:lang w:val="uz-Cyrl-UZ" w:eastAsia="en-US" w:bidi="ar-SA"/>
              </w:rPr>
              <w:t>12</w:t>
            </w:r>
            <w:r w:rsidR="002D1136" w:rsidRPr="00CE41DF">
              <w:rPr>
                <w:rFonts w:ascii="Garamond" w:eastAsia="Calibri" w:hAnsi="Garamond"/>
                <w:sz w:val="16"/>
                <w:szCs w:val="16"/>
                <w:lang w:val="en-GB" w:eastAsia="en-US" w:bidi="ar-SA"/>
              </w:rPr>
              <w:t>/</w:t>
            </w:r>
            <w:r w:rsidR="00BA297B" w:rsidRPr="00CE41DF">
              <w:rPr>
                <w:rFonts w:ascii="Garamond" w:eastAsia="Calibri" w:hAnsi="Garamond"/>
                <w:sz w:val="16"/>
                <w:szCs w:val="16"/>
                <w:lang w:val="uz-Cyrl-UZ" w:eastAsia="en-US" w:bidi="ar-SA"/>
              </w:rPr>
              <w:t>2017);</w:t>
            </w:r>
          </w:p>
          <w:p w:rsidR="00BA297B" w:rsidRPr="00CE41DF" w:rsidRDefault="00E33D65"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3. Council Directive 89/665</w:t>
            </w:r>
            <w:r w:rsidR="00BA297B" w:rsidRPr="00CE41DF">
              <w:rPr>
                <w:rFonts w:ascii="Garamond" w:eastAsia="Calibri" w:hAnsi="Garamond"/>
                <w:sz w:val="16"/>
                <w:szCs w:val="16"/>
                <w:lang w:val="uz-Cyrl-UZ" w:eastAsia="en-US" w:bidi="ar-SA"/>
              </w:rPr>
              <w:t xml:space="preserve">/EEC of 21 December 1989 on the </w:t>
            </w:r>
            <w:r w:rsidRPr="00CE41DF">
              <w:rPr>
                <w:rFonts w:ascii="Garamond" w:eastAsia="Calibri" w:hAnsi="Garamond"/>
                <w:sz w:val="16"/>
                <w:szCs w:val="16"/>
                <w:lang w:val="en-GB" w:eastAsia="en-US" w:bidi="ar-SA"/>
              </w:rPr>
              <w:t>coordination</w:t>
            </w:r>
            <w:r w:rsidR="00BA297B" w:rsidRPr="00CE41DF">
              <w:rPr>
                <w:rFonts w:ascii="Garamond" w:eastAsia="Calibri" w:hAnsi="Garamond"/>
                <w:sz w:val="16"/>
                <w:szCs w:val="16"/>
                <w:lang w:val="uz-Cyrl-UZ" w:eastAsia="en-US" w:bidi="ar-SA"/>
              </w:rPr>
              <w:t xml:space="preserve"> of </w:t>
            </w:r>
            <w:r w:rsidRPr="00CE41DF">
              <w:rPr>
                <w:rFonts w:ascii="Garamond" w:eastAsia="Calibri" w:hAnsi="Garamond"/>
                <w:sz w:val="16"/>
                <w:szCs w:val="16"/>
                <w:lang w:val="en-GB" w:eastAsia="en-US" w:bidi="ar-SA"/>
              </w:rPr>
              <w:t xml:space="preserve">the </w:t>
            </w:r>
            <w:r w:rsidR="00BA297B" w:rsidRPr="00CE41DF">
              <w:rPr>
                <w:rFonts w:ascii="Garamond" w:eastAsia="Calibri" w:hAnsi="Garamond"/>
                <w:sz w:val="16"/>
                <w:szCs w:val="16"/>
                <w:lang w:val="uz-Cyrl-UZ" w:eastAsia="en-US" w:bidi="ar-SA"/>
              </w:rPr>
              <w:t xml:space="preserve">laws, regulations and administrative provisions relating to the application of </w:t>
            </w:r>
            <w:r w:rsidRPr="00CE41DF">
              <w:rPr>
                <w:rFonts w:ascii="Garamond" w:eastAsia="Calibri" w:hAnsi="Garamond"/>
                <w:sz w:val="16"/>
                <w:szCs w:val="16"/>
                <w:lang w:val="en-GB" w:eastAsia="en-US" w:bidi="ar-SA"/>
              </w:rPr>
              <w:t>review</w:t>
            </w:r>
            <w:r w:rsidR="00BA297B" w:rsidRPr="00CE41DF">
              <w:rPr>
                <w:rFonts w:ascii="Garamond" w:eastAsia="Calibri" w:hAnsi="Garamond"/>
                <w:sz w:val="16"/>
                <w:szCs w:val="16"/>
                <w:lang w:val="uz-Cyrl-UZ" w:eastAsia="en-US" w:bidi="ar-SA"/>
              </w:rPr>
              <w:t xml:space="preserve"> procedures to the </w:t>
            </w:r>
            <w:r w:rsidRPr="00CE41DF">
              <w:rPr>
                <w:rFonts w:ascii="Garamond" w:eastAsia="Calibri" w:hAnsi="Garamond"/>
                <w:sz w:val="16"/>
                <w:szCs w:val="16"/>
                <w:lang w:val="en-GB" w:eastAsia="en-US" w:bidi="ar-SA"/>
              </w:rPr>
              <w:t>award</w:t>
            </w:r>
            <w:r w:rsidR="00BA297B" w:rsidRPr="00CE41DF">
              <w:rPr>
                <w:rFonts w:ascii="Garamond" w:eastAsia="Calibri" w:hAnsi="Garamond"/>
                <w:sz w:val="16"/>
                <w:szCs w:val="16"/>
                <w:lang w:val="uz-Cyrl-UZ" w:eastAsia="en-US" w:bidi="ar-SA"/>
              </w:rPr>
              <w:t xml:space="preserve"> of public supply contracts and publi</w:t>
            </w:r>
            <w:r w:rsidR="002D1136" w:rsidRPr="00CE41DF">
              <w:rPr>
                <w:rFonts w:ascii="Garamond" w:eastAsia="Calibri" w:hAnsi="Garamond"/>
                <w:sz w:val="16"/>
                <w:szCs w:val="16"/>
                <w:lang w:val="uz-Cyrl-UZ" w:eastAsia="en-US" w:bidi="ar-SA"/>
              </w:rPr>
              <w:t>c works contracts (OJ L 395, 30</w:t>
            </w:r>
            <w:r w:rsidR="002D1136" w:rsidRPr="00CE41DF">
              <w:rPr>
                <w:rFonts w:ascii="Garamond" w:eastAsia="Calibri" w:hAnsi="Garamond"/>
                <w:sz w:val="16"/>
                <w:szCs w:val="16"/>
                <w:lang w:val="en-GB" w:eastAsia="en-US" w:bidi="ar-SA"/>
              </w:rPr>
              <w:t>/</w:t>
            </w:r>
            <w:r w:rsidR="002D1136" w:rsidRPr="00CE41DF">
              <w:rPr>
                <w:rFonts w:ascii="Garamond" w:eastAsia="Calibri" w:hAnsi="Garamond"/>
                <w:sz w:val="16"/>
                <w:szCs w:val="16"/>
                <w:lang w:val="uz-Cyrl-UZ" w:eastAsia="en-US" w:bidi="ar-SA"/>
              </w:rPr>
              <w:t>12</w:t>
            </w:r>
            <w:r w:rsidR="002D1136" w:rsidRPr="00CE41DF">
              <w:rPr>
                <w:rFonts w:ascii="Garamond" w:eastAsia="Calibri" w:hAnsi="Garamond"/>
                <w:sz w:val="16"/>
                <w:szCs w:val="16"/>
                <w:lang w:val="en-GB" w:eastAsia="en-US" w:bidi="ar-SA"/>
              </w:rPr>
              <w:t>/</w:t>
            </w:r>
            <w:r w:rsidR="00BA297B" w:rsidRPr="00CE41DF">
              <w:rPr>
                <w:rFonts w:ascii="Garamond" w:eastAsia="Calibri" w:hAnsi="Garamond"/>
                <w:sz w:val="16"/>
                <w:szCs w:val="16"/>
                <w:lang w:val="uz-Cyrl-UZ" w:eastAsia="en-US" w:bidi="ar-SA"/>
              </w:rPr>
              <w:t>1989), la</w:t>
            </w:r>
            <w:r w:rsidRPr="00CE41DF">
              <w:rPr>
                <w:rFonts w:ascii="Garamond" w:eastAsia="Calibri" w:hAnsi="Garamond"/>
                <w:sz w:val="16"/>
                <w:szCs w:val="16"/>
                <w:lang w:val="uz-Cyrl-UZ" w:eastAsia="en-US" w:bidi="ar-SA"/>
              </w:rPr>
              <w:t>st amended by Directive 2014/23</w:t>
            </w:r>
            <w:r w:rsidR="00BA297B" w:rsidRPr="00CE41DF">
              <w:rPr>
                <w:rFonts w:ascii="Garamond" w:eastAsia="Calibri" w:hAnsi="Garamond"/>
                <w:sz w:val="16"/>
                <w:szCs w:val="16"/>
                <w:lang w:val="uz-Cyrl-UZ" w:eastAsia="en-US" w:bidi="ar-SA"/>
              </w:rPr>
              <w:t>/EU of the European Parliament and of the Council of 26 February 2014 on the award of co</w:t>
            </w:r>
            <w:r w:rsidR="002D1136" w:rsidRPr="00CE41DF">
              <w:rPr>
                <w:rFonts w:ascii="Garamond" w:eastAsia="Calibri" w:hAnsi="Garamond"/>
                <w:sz w:val="16"/>
                <w:szCs w:val="16"/>
                <w:lang w:val="uz-Cyrl-UZ" w:eastAsia="en-US" w:bidi="ar-SA"/>
              </w:rPr>
              <w:t>ncession contracts (OJ L 94, 28</w:t>
            </w:r>
            <w:r w:rsidR="002D1136" w:rsidRPr="00CE41DF">
              <w:rPr>
                <w:rFonts w:ascii="Garamond" w:eastAsia="Calibri" w:hAnsi="Garamond"/>
                <w:sz w:val="16"/>
                <w:szCs w:val="16"/>
                <w:lang w:val="en-GB" w:eastAsia="en-US" w:bidi="ar-SA"/>
              </w:rPr>
              <w:t>/</w:t>
            </w:r>
            <w:r w:rsidR="002D1136" w:rsidRPr="00CE41DF">
              <w:rPr>
                <w:rFonts w:ascii="Garamond" w:eastAsia="Calibri" w:hAnsi="Garamond"/>
                <w:sz w:val="16"/>
                <w:szCs w:val="16"/>
                <w:lang w:val="uz-Cyrl-UZ" w:eastAsia="en-US" w:bidi="ar-SA"/>
              </w:rPr>
              <w:t>3</w:t>
            </w:r>
            <w:r w:rsidR="002D1136" w:rsidRPr="00CE41DF">
              <w:rPr>
                <w:rFonts w:ascii="Garamond" w:eastAsia="Calibri" w:hAnsi="Garamond"/>
                <w:sz w:val="16"/>
                <w:szCs w:val="16"/>
                <w:lang w:val="en-GB" w:eastAsia="en-US" w:bidi="ar-SA"/>
              </w:rPr>
              <w:t>/</w:t>
            </w:r>
            <w:r w:rsidR="00BA297B" w:rsidRPr="00CE41DF">
              <w:rPr>
                <w:rFonts w:ascii="Garamond" w:eastAsia="Calibri" w:hAnsi="Garamond"/>
                <w:sz w:val="16"/>
                <w:szCs w:val="16"/>
                <w:lang w:val="uz-Cyrl-UZ" w:eastAsia="en-US" w:bidi="ar-SA"/>
              </w:rPr>
              <w:t>2014);</w:t>
            </w:r>
          </w:p>
          <w:p w:rsidR="00BA297B" w:rsidRPr="00CE41DF" w:rsidRDefault="00E33D65" w:rsidP="00BA297B">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4. Council Directive 92/13</w:t>
            </w:r>
            <w:r w:rsidR="00BA297B" w:rsidRPr="00CE41DF">
              <w:rPr>
                <w:rFonts w:ascii="Garamond" w:eastAsia="Calibri" w:hAnsi="Garamond"/>
                <w:sz w:val="16"/>
                <w:szCs w:val="16"/>
                <w:lang w:val="uz-Cyrl-UZ" w:eastAsia="en-US" w:bidi="ar-SA"/>
              </w:rPr>
              <w:t xml:space="preserve">/EEC of 25 February 1992 </w:t>
            </w:r>
            <w:r w:rsidRPr="00CE41DF">
              <w:rPr>
                <w:rFonts w:ascii="Garamond" w:eastAsia="Calibri" w:hAnsi="Garamond"/>
                <w:sz w:val="16"/>
                <w:szCs w:val="16"/>
                <w:lang w:val="en-GB" w:eastAsia="en-US" w:bidi="ar-SA"/>
              </w:rPr>
              <w:t>coordinating the</w:t>
            </w:r>
            <w:r w:rsidR="00BA297B" w:rsidRPr="00CE41DF">
              <w:rPr>
                <w:rFonts w:ascii="Garamond" w:eastAsia="Calibri" w:hAnsi="Garamond"/>
                <w:sz w:val="16"/>
                <w:szCs w:val="16"/>
                <w:lang w:val="uz-Cyrl-UZ" w:eastAsia="en-US" w:bidi="ar-SA"/>
              </w:rPr>
              <w:t xml:space="preserve"> laws, regulations and administrative provisions relating to the </w:t>
            </w:r>
            <w:r w:rsidRPr="00CE41DF">
              <w:rPr>
                <w:rFonts w:ascii="Garamond" w:eastAsia="Calibri" w:hAnsi="Garamond"/>
                <w:sz w:val="16"/>
                <w:szCs w:val="16"/>
                <w:lang w:val="uz-Cyrl-UZ" w:eastAsia="en-US" w:bidi="ar-SA"/>
              </w:rPr>
              <w:t xml:space="preserve">application of Community rules </w:t>
            </w:r>
            <w:r w:rsidRPr="00CE41DF">
              <w:rPr>
                <w:rFonts w:ascii="Garamond" w:eastAsia="Calibri" w:hAnsi="Garamond"/>
                <w:sz w:val="16"/>
                <w:szCs w:val="16"/>
                <w:lang w:val="en-GB" w:eastAsia="en-US" w:bidi="ar-SA"/>
              </w:rPr>
              <w:t>o</w:t>
            </w:r>
            <w:r w:rsidR="00BA297B" w:rsidRPr="00CE41DF">
              <w:rPr>
                <w:rFonts w:ascii="Garamond" w:eastAsia="Calibri" w:hAnsi="Garamond"/>
                <w:sz w:val="16"/>
                <w:szCs w:val="16"/>
                <w:lang w:val="uz-Cyrl-UZ" w:eastAsia="en-US" w:bidi="ar-SA"/>
              </w:rPr>
              <w:t>n the procurement procedures of entities operating in the water, energy, transport and telecommunicatio</w:t>
            </w:r>
            <w:r w:rsidR="002D1136" w:rsidRPr="00CE41DF">
              <w:rPr>
                <w:rFonts w:ascii="Garamond" w:eastAsia="Calibri" w:hAnsi="Garamond"/>
                <w:sz w:val="16"/>
                <w:szCs w:val="16"/>
                <w:lang w:val="uz-Cyrl-UZ" w:eastAsia="en-US" w:bidi="ar-SA"/>
              </w:rPr>
              <w:t>ns sectors (OJ L 76, 23</w:t>
            </w:r>
            <w:r w:rsidR="002D1136" w:rsidRPr="00CE41DF">
              <w:rPr>
                <w:rFonts w:ascii="Garamond" w:eastAsia="Calibri" w:hAnsi="Garamond"/>
                <w:sz w:val="16"/>
                <w:szCs w:val="16"/>
                <w:lang w:val="en-GB" w:eastAsia="en-US" w:bidi="ar-SA"/>
              </w:rPr>
              <w:t>/</w:t>
            </w:r>
            <w:r w:rsidR="002D1136" w:rsidRPr="00CE41DF">
              <w:rPr>
                <w:rFonts w:ascii="Garamond" w:eastAsia="Calibri" w:hAnsi="Garamond"/>
                <w:sz w:val="16"/>
                <w:szCs w:val="16"/>
                <w:lang w:val="uz-Cyrl-UZ" w:eastAsia="en-US" w:bidi="ar-SA"/>
              </w:rPr>
              <w:t>3</w:t>
            </w:r>
            <w:r w:rsidR="002D1136" w:rsidRPr="00CE41DF">
              <w:rPr>
                <w:rFonts w:ascii="Garamond" w:eastAsia="Calibri" w:hAnsi="Garamond"/>
                <w:sz w:val="16"/>
                <w:szCs w:val="16"/>
                <w:lang w:val="en-GB" w:eastAsia="en-US" w:bidi="ar-SA"/>
              </w:rPr>
              <w:t>/</w:t>
            </w:r>
            <w:r w:rsidRPr="00CE41DF">
              <w:rPr>
                <w:rFonts w:ascii="Garamond" w:eastAsia="Calibri" w:hAnsi="Garamond"/>
                <w:sz w:val="16"/>
                <w:szCs w:val="16"/>
                <w:lang w:val="uz-Cyrl-UZ" w:eastAsia="en-US" w:bidi="ar-SA"/>
              </w:rPr>
              <w:t>1992)</w:t>
            </w:r>
            <w:r w:rsidR="00BA297B" w:rsidRPr="00CE41DF">
              <w:rPr>
                <w:rFonts w:ascii="Garamond" w:eastAsia="Calibri" w:hAnsi="Garamond"/>
                <w:sz w:val="16"/>
                <w:szCs w:val="16"/>
                <w:lang w:val="uz-Cyrl-UZ" w:eastAsia="en-US" w:bidi="ar-SA"/>
              </w:rPr>
              <w:t>, as la</w:t>
            </w:r>
            <w:r w:rsidRPr="00CE41DF">
              <w:rPr>
                <w:rFonts w:ascii="Garamond" w:eastAsia="Calibri" w:hAnsi="Garamond"/>
                <w:sz w:val="16"/>
                <w:szCs w:val="16"/>
                <w:lang w:val="uz-Cyrl-UZ" w:eastAsia="en-US" w:bidi="ar-SA"/>
              </w:rPr>
              <w:t>st amended by Directive 2014/23</w:t>
            </w:r>
            <w:r w:rsidR="00BA297B" w:rsidRPr="00CE41DF">
              <w:rPr>
                <w:rFonts w:ascii="Garamond" w:eastAsia="Calibri" w:hAnsi="Garamond"/>
                <w:sz w:val="16"/>
                <w:szCs w:val="16"/>
                <w:lang w:val="uz-Cyrl-UZ" w:eastAsia="en-US" w:bidi="ar-SA"/>
              </w:rPr>
              <w:t>/EU of the European Parliament and of the Council of 26 February 2014 on the award of co</w:t>
            </w:r>
            <w:r w:rsidR="002D1136" w:rsidRPr="00CE41DF">
              <w:rPr>
                <w:rFonts w:ascii="Garamond" w:eastAsia="Calibri" w:hAnsi="Garamond"/>
                <w:sz w:val="16"/>
                <w:szCs w:val="16"/>
                <w:lang w:val="uz-Cyrl-UZ" w:eastAsia="en-US" w:bidi="ar-SA"/>
              </w:rPr>
              <w:t>ncession contracts (OJ L 94, 28</w:t>
            </w:r>
            <w:r w:rsidR="002D1136" w:rsidRPr="00CE41DF">
              <w:rPr>
                <w:rFonts w:ascii="Garamond" w:eastAsia="Calibri" w:hAnsi="Garamond"/>
                <w:sz w:val="16"/>
                <w:szCs w:val="16"/>
                <w:lang w:val="en-GB" w:eastAsia="en-US" w:bidi="ar-SA"/>
              </w:rPr>
              <w:t>/</w:t>
            </w:r>
            <w:r w:rsidR="002D1136" w:rsidRPr="00CE41DF">
              <w:rPr>
                <w:rFonts w:ascii="Garamond" w:eastAsia="Calibri" w:hAnsi="Garamond"/>
                <w:sz w:val="16"/>
                <w:szCs w:val="16"/>
                <w:lang w:val="uz-Cyrl-UZ" w:eastAsia="en-US" w:bidi="ar-SA"/>
              </w:rPr>
              <w:t>3</w:t>
            </w:r>
            <w:r w:rsidR="002D1136" w:rsidRPr="00CE41DF">
              <w:rPr>
                <w:rFonts w:ascii="Garamond" w:eastAsia="Calibri" w:hAnsi="Garamond"/>
                <w:sz w:val="16"/>
                <w:szCs w:val="16"/>
                <w:lang w:val="en-GB" w:eastAsia="en-US" w:bidi="ar-SA"/>
              </w:rPr>
              <w:t>/</w:t>
            </w:r>
            <w:r w:rsidR="00BA297B" w:rsidRPr="00CE41DF">
              <w:rPr>
                <w:rFonts w:ascii="Garamond" w:eastAsia="Calibri" w:hAnsi="Garamond"/>
                <w:sz w:val="16"/>
                <w:szCs w:val="16"/>
                <w:lang w:val="uz-Cyrl-UZ" w:eastAsia="en-US" w:bidi="ar-SA"/>
              </w:rPr>
              <w:t>2014);</w:t>
            </w:r>
          </w:p>
          <w:p w:rsidR="008B50C0" w:rsidRPr="00CE41DF" w:rsidRDefault="00BA297B" w:rsidP="002D1136">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5.</w:t>
            </w:r>
            <w:r w:rsidR="002D1136" w:rsidRPr="00CE41DF">
              <w:rPr>
                <w:rFonts w:ascii="Garamond" w:eastAsia="Calibri" w:hAnsi="Garamond"/>
                <w:sz w:val="16"/>
                <w:szCs w:val="16"/>
                <w:lang w:val="en-GB" w:eastAsia="en-US" w:bidi="ar-SA"/>
              </w:rPr>
              <w:t xml:space="preserve"> </w:t>
            </w:r>
            <w:r w:rsidRPr="00CE41DF">
              <w:rPr>
                <w:rFonts w:ascii="Garamond" w:eastAsia="Calibri" w:hAnsi="Garamond"/>
                <w:sz w:val="16"/>
                <w:szCs w:val="16"/>
                <w:lang w:val="uz-Cyrl-UZ" w:eastAsia="en-US" w:bidi="ar-SA"/>
              </w:rPr>
              <w:t>Articles 2,</w:t>
            </w:r>
            <w:r w:rsidR="00E33D65" w:rsidRPr="00CE41DF">
              <w:rPr>
                <w:rFonts w:ascii="Garamond" w:eastAsia="Calibri" w:hAnsi="Garamond"/>
                <w:sz w:val="16"/>
                <w:szCs w:val="16"/>
                <w:lang w:val="uz-Cyrl-UZ" w:eastAsia="en-US" w:bidi="ar-SA"/>
              </w:rPr>
              <w:t xml:space="preserve"> 12 and 13 of Directive 2009/81</w:t>
            </w:r>
            <w:r w:rsidRPr="00CE41DF">
              <w:rPr>
                <w:rFonts w:ascii="Garamond" w:eastAsia="Calibri" w:hAnsi="Garamond"/>
                <w:sz w:val="16"/>
                <w:szCs w:val="16"/>
                <w:lang w:val="uz-Cyrl-UZ" w:eastAsia="en-US" w:bidi="ar-SA"/>
              </w:rPr>
              <w:t xml:space="preserve">/EC of the European Parliament and of the Council of 13 July 2009 on the </w:t>
            </w:r>
            <w:r w:rsidR="00D63A61" w:rsidRPr="00CE41DF">
              <w:rPr>
                <w:rFonts w:ascii="Garamond" w:eastAsia="Calibri" w:hAnsi="Garamond"/>
                <w:sz w:val="16"/>
                <w:szCs w:val="16"/>
                <w:lang w:val="en-GB" w:eastAsia="en-US" w:bidi="ar-SA"/>
              </w:rPr>
              <w:t>coordination</w:t>
            </w:r>
            <w:r w:rsidRPr="00CE41DF">
              <w:rPr>
                <w:rFonts w:ascii="Garamond" w:eastAsia="Calibri" w:hAnsi="Garamond"/>
                <w:sz w:val="16"/>
                <w:szCs w:val="16"/>
                <w:lang w:val="uz-Cyrl-UZ" w:eastAsia="en-US" w:bidi="ar-SA"/>
              </w:rPr>
              <w:t xml:space="preserve"> of procedures </w:t>
            </w:r>
            <w:r w:rsidR="00D63A61" w:rsidRPr="00CE41DF">
              <w:rPr>
                <w:rFonts w:ascii="Garamond" w:eastAsia="Calibri" w:hAnsi="Garamond"/>
                <w:sz w:val="16"/>
                <w:szCs w:val="16"/>
                <w:lang w:val="en-GB" w:eastAsia="en-US" w:bidi="ar-SA"/>
              </w:rPr>
              <w:t>for the award of</w:t>
            </w:r>
            <w:r w:rsidRPr="00CE41DF">
              <w:rPr>
                <w:rFonts w:ascii="Garamond" w:eastAsia="Calibri" w:hAnsi="Garamond"/>
                <w:sz w:val="16"/>
                <w:szCs w:val="16"/>
                <w:lang w:val="uz-Cyrl-UZ" w:eastAsia="en-US" w:bidi="ar-SA"/>
              </w:rPr>
              <w:t xml:space="preserve"> certain works contracts, supply contracts and service contracts by contracting authorities or entities as well as a</w:t>
            </w:r>
            <w:r w:rsidR="00D63A61" w:rsidRPr="00CE41DF">
              <w:rPr>
                <w:rFonts w:ascii="Garamond" w:eastAsia="Calibri" w:hAnsi="Garamond"/>
                <w:sz w:val="16"/>
                <w:szCs w:val="16"/>
                <w:lang w:val="uz-Cyrl-UZ" w:eastAsia="en-US" w:bidi="ar-SA"/>
              </w:rPr>
              <w:t>mendments to Directives 2004/17</w:t>
            </w:r>
            <w:r w:rsidRPr="00CE41DF">
              <w:rPr>
                <w:rFonts w:ascii="Garamond" w:eastAsia="Calibri" w:hAnsi="Garamond"/>
                <w:sz w:val="16"/>
                <w:szCs w:val="16"/>
                <w:lang w:val="uz-Cyrl-UZ" w:eastAsia="en-US" w:bidi="ar-SA"/>
              </w:rPr>
              <w:t>/</w:t>
            </w:r>
            <w:r w:rsidR="00D63A61" w:rsidRPr="00CE41DF">
              <w:rPr>
                <w:rFonts w:ascii="Garamond" w:eastAsia="Calibri" w:hAnsi="Garamond"/>
                <w:sz w:val="16"/>
                <w:szCs w:val="16"/>
                <w:lang w:val="uz-Cyrl-UZ" w:eastAsia="en-US" w:bidi="ar-SA"/>
              </w:rPr>
              <w:t>EC and 2004/18</w:t>
            </w:r>
            <w:r w:rsidRPr="00CE41DF">
              <w:rPr>
                <w:rFonts w:ascii="Garamond" w:eastAsia="Calibri" w:hAnsi="Garamond"/>
                <w:sz w:val="16"/>
                <w:szCs w:val="16"/>
                <w:lang w:val="uz-Cyrl-UZ" w:eastAsia="en-US" w:bidi="ar-SA"/>
              </w:rPr>
              <w:t>/EC (OJ L 216, 20</w:t>
            </w:r>
            <w:r w:rsidR="002D1136" w:rsidRPr="00CE41DF">
              <w:rPr>
                <w:rFonts w:ascii="Garamond" w:eastAsia="Calibri" w:hAnsi="Garamond"/>
                <w:sz w:val="16"/>
                <w:szCs w:val="16"/>
                <w:lang w:val="en-GB" w:eastAsia="en-US" w:bidi="ar-SA"/>
              </w:rPr>
              <w:t>/</w:t>
            </w:r>
            <w:r w:rsidR="002D1136" w:rsidRPr="00CE41DF">
              <w:rPr>
                <w:rFonts w:ascii="Garamond" w:eastAsia="Calibri" w:hAnsi="Garamond"/>
                <w:sz w:val="16"/>
                <w:szCs w:val="16"/>
                <w:lang w:val="uz-Cyrl-UZ" w:eastAsia="en-US" w:bidi="ar-SA"/>
              </w:rPr>
              <w:t>8</w:t>
            </w:r>
            <w:r w:rsidR="002D1136" w:rsidRPr="00CE41DF">
              <w:rPr>
                <w:rFonts w:ascii="Garamond" w:eastAsia="Calibri" w:hAnsi="Garamond"/>
                <w:sz w:val="16"/>
                <w:szCs w:val="16"/>
                <w:lang w:val="en-GB" w:eastAsia="en-US" w:bidi="ar-SA"/>
              </w:rPr>
              <w:t>/</w:t>
            </w:r>
            <w:r w:rsidRPr="00CE41DF">
              <w:rPr>
                <w:rFonts w:ascii="Garamond" w:eastAsia="Calibri" w:hAnsi="Garamond"/>
                <w:sz w:val="16"/>
                <w:szCs w:val="16"/>
                <w:lang w:val="uz-Cyrl-UZ" w:eastAsia="en-US" w:bidi="ar-SA"/>
              </w:rPr>
              <w:t>2009) and Commission Regulation (EU) 2017/2367 of 18 December 2</w:t>
            </w:r>
            <w:r w:rsidR="00D63A61" w:rsidRPr="00CE41DF">
              <w:rPr>
                <w:rFonts w:ascii="Garamond" w:eastAsia="Calibri" w:hAnsi="Garamond"/>
                <w:sz w:val="16"/>
                <w:szCs w:val="16"/>
                <w:lang w:val="uz-Cyrl-UZ" w:eastAsia="en-US" w:bidi="ar-SA"/>
              </w:rPr>
              <w:t>017</w:t>
            </w:r>
            <w:r w:rsidR="00D63A61" w:rsidRPr="00CE41DF">
              <w:rPr>
                <w:rFonts w:ascii="Garamond" w:eastAsia="Calibri" w:hAnsi="Garamond"/>
                <w:sz w:val="16"/>
                <w:szCs w:val="16"/>
                <w:lang w:val="en-GB" w:eastAsia="en-US" w:bidi="ar-SA"/>
              </w:rPr>
              <w:t>,</w:t>
            </w:r>
            <w:r w:rsidR="00D63A61" w:rsidRPr="00CE41DF">
              <w:rPr>
                <w:rFonts w:ascii="Garamond" w:eastAsia="Calibri" w:hAnsi="Garamond"/>
                <w:sz w:val="16"/>
                <w:szCs w:val="16"/>
                <w:lang w:val="uz-Cyrl-UZ" w:eastAsia="en-US" w:bidi="ar-SA"/>
              </w:rPr>
              <w:t xml:space="preserve"> amending Directive 2009/81</w:t>
            </w:r>
            <w:r w:rsidRPr="00CE41DF">
              <w:rPr>
                <w:rFonts w:ascii="Garamond" w:eastAsia="Calibri" w:hAnsi="Garamond"/>
                <w:sz w:val="16"/>
                <w:szCs w:val="16"/>
                <w:lang w:val="uz-Cyrl-UZ" w:eastAsia="en-US" w:bidi="ar-SA"/>
              </w:rPr>
              <w:t>/EC of the European Parliament and of the Council as regards application thresholds for contract a</w:t>
            </w:r>
            <w:r w:rsidR="002D1136" w:rsidRPr="00CE41DF">
              <w:rPr>
                <w:rFonts w:ascii="Garamond" w:eastAsia="Calibri" w:hAnsi="Garamond"/>
                <w:sz w:val="16"/>
                <w:szCs w:val="16"/>
                <w:lang w:val="uz-Cyrl-UZ" w:eastAsia="en-US" w:bidi="ar-SA"/>
              </w:rPr>
              <w:t>ward procedures (OJ L-337 of 19</w:t>
            </w:r>
            <w:r w:rsidR="002D1136" w:rsidRPr="00CE41DF">
              <w:rPr>
                <w:rFonts w:ascii="Garamond" w:eastAsia="Calibri" w:hAnsi="Garamond"/>
                <w:sz w:val="16"/>
                <w:szCs w:val="16"/>
                <w:lang w:val="en-GB" w:eastAsia="en-US" w:bidi="ar-SA"/>
              </w:rPr>
              <w:t>/</w:t>
            </w:r>
            <w:r w:rsidR="002D1136" w:rsidRPr="00CE41DF">
              <w:rPr>
                <w:rFonts w:ascii="Garamond" w:eastAsia="Calibri" w:hAnsi="Garamond"/>
                <w:sz w:val="16"/>
                <w:szCs w:val="16"/>
                <w:lang w:val="uz-Cyrl-UZ" w:eastAsia="en-US" w:bidi="ar-SA"/>
              </w:rPr>
              <w:t>12</w:t>
            </w:r>
            <w:r w:rsidR="002D1136" w:rsidRPr="00CE41DF">
              <w:rPr>
                <w:rFonts w:ascii="Garamond" w:eastAsia="Calibri" w:hAnsi="Garamond"/>
                <w:sz w:val="16"/>
                <w:szCs w:val="16"/>
                <w:lang w:val="en-GB" w:eastAsia="en-US" w:bidi="ar-SA"/>
              </w:rPr>
              <w:t>/</w:t>
            </w:r>
            <w:r w:rsidRPr="00CE41DF">
              <w:rPr>
                <w:rFonts w:ascii="Garamond" w:eastAsia="Calibri" w:hAnsi="Garamond"/>
                <w:sz w:val="16"/>
                <w:szCs w:val="16"/>
                <w:lang w:val="uz-Cyrl-UZ" w:eastAsia="en-US" w:bidi="ar-SA"/>
              </w:rPr>
              <w:t>2017).</w:t>
            </w:r>
          </w:p>
        </w:tc>
      </w:tr>
      <w:tr w:rsidR="008B50C0" w:rsidRPr="00CE41DF" w:rsidTr="00D15F76">
        <w:trPr>
          <w:gridAfter w:val="1"/>
          <w:wAfter w:w="19" w:type="dxa"/>
          <w:trHeight w:val="620"/>
          <w:jc w:val="center"/>
        </w:trPr>
        <w:tc>
          <w:tcPr>
            <w:tcW w:w="2721" w:type="dxa"/>
            <w:vMerge/>
            <w:shd w:val="clear" w:color="auto" w:fill="auto"/>
            <w:vAlign w:val="center"/>
          </w:tcPr>
          <w:p w:rsidR="008B50C0" w:rsidRPr="00CE41DF" w:rsidRDefault="008B50C0"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8B50C0" w:rsidRPr="00CE41DF" w:rsidRDefault="008B50C0" w:rsidP="00D15F76">
            <w:pPr>
              <w:jc w:val="center"/>
              <w:rPr>
                <w:rFonts w:ascii="Garamond" w:hAnsi="Garamond"/>
                <w:color w:val="365F91" w:themeColor="accent1" w:themeShade="BF"/>
                <w:sz w:val="16"/>
                <w:szCs w:val="16"/>
                <w:lang w:val="uz-Cyrl-UZ"/>
              </w:rPr>
            </w:pPr>
            <w:r w:rsidRPr="00CE41DF">
              <w:rPr>
                <w:rFonts w:ascii="Garamond" w:hAnsi="Garamond"/>
                <w:color w:val="365F91" w:themeColor="accent1" w:themeShade="BF"/>
                <w:sz w:val="16"/>
                <w:szCs w:val="16"/>
                <w:lang w:val="uz-Cyrl-UZ"/>
              </w:rPr>
              <w:t>FORMULA / EQUATION</w:t>
            </w:r>
          </w:p>
          <w:p w:rsidR="008B50C0" w:rsidRPr="00CE41DF" w:rsidRDefault="008B50C0" w:rsidP="00D15F76">
            <w:pPr>
              <w:jc w:val="center"/>
              <w:rPr>
                <w:rFonts w:ascii="Garamond" w:eastAsia="Calibri" w:hAnsi="Garamond"/>
                <w:sz w:val="16"/>
                <w:szCs w:val="16"/>
                <w:lang w:val="en-GB" w:eastAsia="en-US" w:bidi="ar-SA"/>
              </w:rPr>
            </w:pPr>
          </w:p>
        </w:tc>
      </w:tr>
      <w:tr w:rsidR="008B50C0" w:rsidRPr="00CE41DF" w:rsidTr="00D15F76">
        <w:trPr>
          <w:gridAfter w:val="1"/>
          <w:wAfter w:w="19" w:type="dxa"/>
          <w:trHeight w:val="585"/>
          <w:jc w:val="center"/>
        </w:trPr>
        <w:tc>
          <w:tcPr>
            <w:tcW w:w="2721" w:type="dxa"/>
            <w:vAlign w:val="center"/>
          </w:tcPr>
          <w:p w:rsidR="008B50C0" w:rsidRPr="00CE41DF" w:rsidRDefault="008B50C0" w:rsidP="00D15F76">
            <w:pPr>
              <w:autoSpaceDE/>
              <w:autoSpaceDN/>
              <w:rPr>
                <w:rFonts w:ascii="Garamond" w:eastAsia="Calibri" w:hAnsi="Garamond"/>
                <w:b/>
                <w:bCs/>
                <w:caps/>
                <w:sz w:val="16"/>
                <w:szCs w:val="16"/>
                <w:lang w:val="en-GB" w:eastAsia="en-US" w:bidi="ar-SA"/>
              </w:rPr>
            </w:pPr>
            <w:r w:rsidRPr="00CE41DF">
              <w:rPr>
                <w:rFonts w:ascii="Garamond" w:eastAsia="Calibri" w:hAnsi="Garamond"/>
                <w:b/>
                <w:caps/>
                <w:sz w:val="16"/>
                <w:szCs w:val="16"/>
                <w:lang w:val="uz-Cyrl-UZ" w:eastAsia="en-US" w:bidi="ar-SA"/>
              </w:rPr>
              <w:t>BASELINE</w:t>
            </w:r>
            <w:r w:rsidRPr="00CE41DF">
              <w:rPr>
                <w:rFonts w:ascii="Garamond" w:eastAsia="Calibri" w:hAnsi="Garamond"/>
                <w:b/>
                <w:caps/>
                <w:sz w:val="16"/>
                <w:szCs w:val="16"/>
                <w:lang w:val="en-GB" w:eastAsia="en-US" w:bidi="ar-SA"/>
              </w:rPr>
              <w:t xml:space="preserve"> DATA</w:t>
            </w:r>
          </w:p>
        </w:tc>
        <w:tc>
          <w:tcPr>
            <w:tcW w:w="6836" w:type="dxa"/>
            <w:gridSpan w:val="4"/>
            <w:vAlign w:val="center"/>
          </w:tcPr>
          <w:p w:rsidR="008B50C0" w:rsidRPr="00CE41DF" w:rsidRDefault="008B50C0" w:rsidP="00D63A61">
            <w:pPr>
              <w:pStyle w:val="TabelaTekst"/>
              <w:spacing w:before="0" w:after="0" w:line="240" w:lineRule="auto"/>
              <w:rPr>
                <w:rFonts w:ascii="Garamond" w:hAnsi="Garamond"/>
                <w:sz w:val="16"/>
                <w:szCs w:val="16"/>
                <w:lang w:val="en-GB"/>
              </w:rPr>
            </w:pPr>
            <w:r w:rsidRPr="00CE41DF">
              <w:rPr>
                <w:rFonts w:ascii="Garamond" w:hAnsi="Garamond"/>
                <w:sz w:val="16"/>
                <w:szCs w:val="16"/>
              </w:rPr>
              <w:t xml:space="preserve">PV (2014): </w:t>
            </w:r>
            <w:r w:rsidR="00D63A61" w:rsidRPr="00CE41DF">
              <w:rPr>
                <w:rFonts w:ascii="Garamond" w:hAnsi="Garamond"/>
                <w:sz w:val="16"/>
                <w:szCs w:val="16"/>
                <w:lang w:val="en-GB"/>
              </w:rPr>
              <w:t>Open negotiations in the negotiating chapter 5. Public procurement</w:t>
            </w:r>
          </w:p>
        </w:tc>
      </w:tr>
      <w:tr w:rsidR="008B50C0" w:rsidRPr="00CE41DF" w:rsidTr="00D15F76">
        <w:trPr>
          <w:gridAfter w:val="1"/>
          <w:wAfter w:w="19" w:type="dxa"/>
          <w:trHeight w:val="160"/>
          <w:jc w:val="center"/>
        </w:trPr>
        <w:tc>
          <w:tcPr>
            <w:tcW w:w="2721" w:type="dxa"/>
            <w:vMerge w:val="restart"/>
            <w:vAlign w:val="center"/>
          </w:tcPr>
          <w:p w:rsidR="008B50C0" w:rsidRPr="00CE41DF" w:rsidRDefault="008B50C0" w:rsidP="00D15F76">
            <w:pPr>
              <w:autoSpaceDE/>
              <w:autoSpaceDN/>
              <w:rPr>
                <w:rFonts w:ascii="Garamond" w:eastAsia="Calibri" w:hAnsi="Garamond"/>
                <w:b/>
                <w:bCs/>
                <w:caps/>
                <w:sz w:val="16"/>
                <w:szCs w:val="16"/>
                <w:lang w:val="uz-Cyrl-UZ" w:eastAsia="en-US" w:bidi="ar-SA"/>
              </w:rPr>
            </w:pPr>
            <w:r w:rsidRPr="00CE41DF">
              <w:rPr>
                <w:rFonts w:ascii="Garamond" w:eastAsia="Calibri" w:hAnsi="Garamond"/>
                <w:b/>
                <w:caps/>
                <w:sz w:val="16"/>
                <w:szCs w:val="16"/>
                <w:lang w:val="uz-Cyrl-UZ" w:eastAsia="en-US" w:bidi="ar-SA"/>
              </w:rPr>
              <w:t>TARGET VALUE DATA</w:t>
            </w:r>
          </w:p>
        </w:tc>
        <w:tc>
          <w:tcPr>
            <w:tcW w:w="1771" w:type="dxa"/>
            <w:vAlign w:val="center"/>
          </w:tcPr>
          <w:p w:rsidR="008B50C0" w:rsidRPr="00CE41DF" w:rsidRDefault="008B50C0"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2017</w:t>
            </w:r>
          </w:p>
        </w:tc>
        <w:tc>
          <w:tcPr>
            <w:tcW w:w="1771" w:type="dxa"/>
            <w:vAlign w:val="center"/>
          </w:tcPr>
          <w:p w:rsidR="008B50C0" w:rsidRPr="00CE41DF" w:rsidRDefault="008B50C0"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2018</w:t>
            </w:r>
          </w:p>
        </w:tc>
        <w:tc>
          <w:tcPr>
            <w:tcW w:w="1771" w:type="dxa"/>
            <w:vAlign w:val="center"/>
          </w:tcPr>
          <w:p w:rsidR="008B50C0" w:rsidRPr="00CE41DF" w:rsidRDefault="008B50C0"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2019</w:t>
            </w:r>
          </w:p>
        </w:tc>
        <w:tc>
          <w:tcPr>
            <w:tcW w:w="1523" w:type="dxa"/>
            <w:vAlign w:val="center"/>
          </w:tcPr>
          <w:p w:rsidR="008B50C0" w:rsidRPr="00CE41DF" w:rsidRDefault="008B50C0"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2020</w:t>
            </w:r>
          </w:p>
        </w:tc>
      </w:tr>
      <w:tr w:rsidR="008B50C0" w:rsidRPr="00CE41DF" w:rsidTr="00D15F76">
        <w:trPr>
          <w:gridAfter w:val="1"/>
          <w:wAfter w:w="19" w:type="dxa"/>
          <w:trHeight w:val="160"/>
          <w:jc w:val="center"/>
        </w:trPr>
        <w:tc>
          <w:tcPr>
            <w:tcW w:w="2721" w:type="dxa"/>
            <w:vMerge/>
            <w:vAlign w:val="center"/>
          </w:tcPr>
          <w:p w:rsidR="008B50C0" w:rsidRPr="00CE41DF" w:rsidRDefault="008B50C0" w:rsidP="00D15F76">
            <w:pPr>
              <w:autoSpaceDE/>
              <w:autoSpaceDN/>
              <w:rPr>
                <w:rFonts w:ascii="Garamond" w:eastAsia="Calibri" w:hAnsi="Garamond"/>
                <w:b/>
                <w:bCs/>
                <w:caps/>
                <w:sz w:val="16"/>
                <w:szCs w:val="16"/>
                <w:lang w:val="uz-Cyrl-UZ" w:eastAsia="en-US" w:bidi="ar-SA"/>
              </w:rPr>
            </w:pPr>
          </w:p>
        </w:tc>
        <w:tc>
          <w:tcPr>
            <w:tcW w:w="1771" w:type="dxa"/>
            <w:vAlign w:val="center"/>
          </w:tcPr>
          <w:p w:rsidR="008B50C0" w:rsidRPr="00CE41DF" w:rsidRDefault="00D63A61" w:rsidP="00D15F76">
            <w:pPr>
              <w:pStyle w:val="TabelaTekst"/>
              <w:spacing w:before="0" w:after="0" w:line="240" w:lineRule="auto"/>
              <w:jc w:val="left"/>
              <w:rPr>
                <w:rFonts w:ascii="Garamond" w:hAnsi="Garamond"/>
                <w:sz w:val="16"/>
                <w:szCs w:val="16"/>
              </w:rPr>
            </w:pPr>
            <w:r w:rsidRPr="00CE41DF">
              <w:rPr>
                <w:rFonts w:ascii="Garamond" w:hAnsi="Garamond"/>
                <w:sz w:val="16"/>
                <w:szCs w:val="16"/>
                <w:lang w:val="en-GB"/>
              </w:rPr>
              <w:t>Open negotiations in the negotiating chapter 5.</w:t>
            </w:r>
          </w:p>
        </w:tc>
        <w:tc>
          <w:tcPr>
            <w:tcW w:w="1771" w:type="dxa"/>
            <w:vAlign w:val="center"/>
          </w:tcPr>
          <w:p w:rsidR="008B50C0" w:rsidRPr="00CE41DF" w:rsidRDefault="00D63A61"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Further harmoni</w:t>
            </w:r>
            <w:r w:rsidR="00F254DD" w:rsidRPr="00CE41DF">
              <w:rPr>
                <w:rFonts w:ascii="Garamond" w:hAnsi="Garamond"/>
                <w:sz w:val="16"/>
                <w:szCs w:val="16"/>
              </w:rPr>
              <w:t>sation</w:t>
            </w:r>
            <w:r w:rsidRPr="00CE41DF">
              <w:rPr>
                <w:rFonts w:ascii="Garamond" w:hAnsi="Garamond"/>
                <w:sz w:val="16"/>
                <w:szCs w:val="16"/>
              </w:rPr>
              <w:t xml:space="preserve"> with the package of Directives from 2014 in this area</w:t>
            </w:r>
          </w:p>
        </w:tc>
        <w:tc>
          <w:tcPr>
            <w:tcW w:w="1771" w:type="dxa"/>
            <w:vAlign w:val="center"/>
          </w:tcPr>
          <w:p w:rsidR="008B50C0" w:rsidRPr="00CE41DF" w:rsidRDefault="00D63A61"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Further harmoni</w:t>
            </w:r>
            <w:r w:rsidR="00F254DD" w:rsidRPr="00CE41DF">
              <w:rPr>
                <w:rFonts w:ascii="Garamond" w:hAnsi="Garamond"/>
                <w:sz w:val="16"/>
                <w:szCs w:val="16"/>
              </w:rPr>
              <w:t>sation</w:t>
            </w:r>
            <w:r w:rsidRPr="00CE41DF">
              <w:rPr>
                <w:rFonts w:ascii="Garamond" w:hAnsi="Garamond"/>
                <w:sz w:val="16"/>
                <w:szCs w:val="16"/>
              </w:rPr>
              <w:t xml:space="preserve"> with the package of Directives from 2014 in this area (implementation of the new Law on Public Procurement, introduction of the electronic system of </w:t>
            </w:r>
            <w:r w:rsidR="003B6EC9" w:rsidRPr="00CE41DF">
              <w:rPr>
                <w:rFonts w:ascii="Garamond" w:hAnsi="Garamond"/>
                <w:sz w:val="16"/>
                <w:szCs w:val="16"/>
              </w:rPr>
              <w:t xml:space="preserve">public procurement </w:t>
            </w:r>
            <w:r w:rsidRPr="00CE41DF">
              <w:rPr>
                <w:rFonts w:ascii="Garamond" w:hAnsi="Garamond"/>
                <w:sz w:val="16"/>
                <w:szCs w:val="16"/>
              </w:rPr>
              <w:t>...)</w:t>
            </w:r>
          </w:p>
        </w:tc>
        <w:tc>
          <w:tcPr>
            <w:tcW w:w="1523" w:type="dxa"/>
            <w:vAlign w:val="center"/>
          </w:tcPr>
          <w:p w:rsidR="008B50C0" w:rsidRPr="00CE41DF" w:rsidRDefault="00D63A61" w:rsidP="003B6EC9">
            <w:pPr>
              <w:pStyle w:val="TabelaTekst"/>
              <w:spacing w:before="0" w:after="0" w:line="240" w:lineRule="auto"/>
              <w:jc w:val="center"/>
              <w:rPr>
                <w:rFonts w:ascii="Garamond" w:hAnsi="Garamond"/>
                <w:sz w:val="16"/>
                <w:szCs w:val="16"/>
              </w:rPr>
            </w:pPr>
            <w:r w:rsidRPr="00CE41DF">
              <w:rPr>
                <w:rFonts w:ascii="Garamond" w:hAnsi="Garamond"/>
                <w:sz w:val="16"/>
                <w:szCs w:val="16"/>
                <w:lang w:eastAsia="sl-SI"/>
              </w:rPr>
              <w:t xml:space="preserve">Implemented planned activities </w:t>
            </w:r>
            <w:r w:rsidR="003B6EC9" w:rsidRPr="00CE41DF">
              <w:rPr>
                <w:rFonts w:ascii="Garamond" w:hAnsi="Garamond"/>
                <w:sz w:val="16"/>
                <w:szCs w:val="16"/>
                <w:lang w:val="en-GB" w:eastAsia="sl-SI"/>
              </w:rPr>
              <w:t>under</w:t>
            </w:r>
            <w:r w:rsidRPr="00CE41DF">
              <w:rPr>
                <w:rFonts w:ascii="Garamond" w:hAnsi="Garamond"/>
                <w:sz w:val="16"/>
                <w:szCs w:val="16"/>
                <w:lang w:eastAsia="sl-SI"/>
              </w:rPr>
              <w:t xml:space="preserve"> the Accession Program</w:t>
            </w:r>
            <w:r w:rsidR="003B6EC9" w:rsidRPr="00CE41DF">
              <w:rPr>
                <w:rFonts w:ascii="Garamond" w:hAnsi="Garamond"/>
                <w:sz w:val="16"/>
                <w:szCs w:val="16"/>
                <w:lang w:val="en-GB" w:eastAsia="sl-SI"/>
              </w:rPr>
              <w:t>me</w:t>
            </w:r>
            <w:r w:rsidRPr="00CE41DF">
              <w:rPr>
                <w:rFonts w:ascii="Garamond" w:hAnsi="Garamond"/>
                <w:sz w:val="16"/>
                <w:szCs w:val="16"/>
                <w:lang w:eastAsia="sl-SI"/>
              </w:rPr>
              <w:t xml:space="preserve"> - Chapter 5.</w:t>
            </w:r>
          </w:p>
        </w:tc>
      </w:tr>
      <w:tr w:rsidR="008B50C0" w:rsidRPr="00CE41DF" w:rsidTr="00D15F76">
        <w:trPr>
          <w:gridAfter w:val="1"/>
          <w:wAfter w:w="19" w:type="dxa"/>
          <w:trHeight w:val="160"/>
          <w:jc w:val="center"/>
        </w:trPr>
        <w:tc>
          <w:tcPr>
            <w:tcW w:w="2721" w:type="dxa"/>
            <w:vAlign w:val="center"/>
          </w:tcPr>
          <w:p w:rsidR="008B50C0" w:rsidRPr="00CE41DF" w:rsidRDefault="0062456A" w:rsidP="00D15F76">
            <w:pPr>
              <w:autoSpaceDE/>
              <w:autoSpaceDN/>
              <w:rPr>
                <w:rFonts w:ascii="Garamond" w:eastAsia="Calibri" w:hAnsi="Garamond"/>
                <w:b/>
                <w:bCs/>
                <w:caps/>
                <w:sz w:val="16"/>
                <w:szCs w:val="16"/>
                <w:lang w:val="uz-Cyrl-UZ" w:eastAsia="en-US" w:bidi="ar-SA"/>
              </w:rPr>
            </w:pPr>
            <w:r w:rsidRPr="00CE41DF">
              <w:rPr>
                <w:rFonts w:ascii="Garamond" w:eastAsia="Calibri" w:hAnsi="Garamond"/>
                <w:b/>
                <w:bCs/>
                <w:caps/>
                <w:sz w:val="16"/>
                <w:szCs w:val="16"/>
                <w:lang w:val="uz-Cyrl-UZ" w:eastAsia="en-US" w:bidi="ar-SA"/>
              </w:rPr>
              <w:t>DATA ON VALUES ACHIEVED</w:t>
            </w:r>
          </w:p>
        </w:tc>
        <w:tc>
          <w:tcPr>
            <w:tcW w:w="1771" w:type="dxa"/>
            <w:vAlign w:val="center"/>
          </w:tcPr>
          <w:p w:rsidR="008B50C0" w:rsidRPr="00CE41DF" w:rsidRDefault="00D63A61" w:rsidP="00D15F76">
            <w:pPr>
              <w:pStyle w:val="TabelaTekst"/>
              <w:spacing w:before="0" w:after="0" w:line="240" w:lineRule="auto"/>
              <w:jc w:val="center"/>
              <w:rPr>
                <w:rFonts w:ascii="Garamond" w:hAnsi="Garamond"/>
                <w:sz w:val="16"/>
                <w:szCs w:val="16"/>
              </w:rPr>
            </w:pPr>
            <w:r w:rsidRPr="00CE41DF">
              <w:rPr>
                <w:rFonts w:ascii="Garamond" w:hAnsi="Garamond"/>
                <w:sz w:val="16"/>
                <w:szCs w:val="16"/>
                <w:lang w:val="en-GB"/>
              </w:rPr>
              <w:t>Open negotiations in the negotiating chapter 5.</w:t>
            </w:r>
          </w:p>
        </w:tc>
        <w:tc>
          <w:tcPr>
            <w:tcW w:w="1771" w:type="dxa"/>
            <w:vAlign w:val="center"/>
          </w:tcPr>
          <w:p w:rsidR="008B50C0" w:rsidRPr="00CE41DF" w:rsidRDefault="00D63A61" w:rsidP="00D15F76">
            <w:pPr>
              <w:pStyle w:val="TabelaTekst"/>
              <w:spacing w:before="0" w:after="0" w:line="240" w:lineRule="auto"/>
              <w:jc w:val="center"/>
              <w:rPr>
                <w:rFonts w:ascii="Garamond" w:hAnsi="Garamond"/>
                <w:sz w:val="16"/>
                <w:szCs w:val="16"/>
              </w:rPr>
            </w:pPr>
            <w:r w:rsidRPr="00CE41DF">
              <w:rPr>
                <w:rFonts w:ascii="Garamond" w:hAnsi="Garamond"/>
                <w:sz w:val="16"/>
                <w:szCs w:val="16"/>
                <w:lang w:val="en-GB"/>
              </w:rPr>
              <w:t>Open negotiations in the negotiating chapter 5.</w:t>
            </w:r>
          </w:p>
        </w:tc>
        <w:tc>
          <w:tcPr>
            <w:tcW w:w="1771" w:type="dxa"/>
            <w:vAlign w:val="center"/>
          </w:tcPr>
          <w:p w:rsidR="008B50C0" w:rsidRPr="00CE41DF" w:rsidRDefault="00D63A61" w:rsidP="00D15F76">
            <w:pPr>
              <w:pStyle w:val="TabelaTekst"/>
              <w:spacing w:before="0" w:after="0" w:line="240" w:lineRule="auto"/>
              <w:jc w:val="center"/>
              <w:rPr>
                <w:rFonts w:ascii="Garamond" w:hAnsi="Garamond"/>
                <w:sz w:val="16"/>
                <w:szCs w:val="16"/>
              </w:rPr>
            </w:pPr>
            <w:r w:rsidRPr="00CE41DF">
              <w:rPr>
                <w:rFonts w:ascii="Garamond" w:eastAsia="Times New Roman" w:hAnsi="Garamond" w:cs="Calibri"/>
                <w:color w:val="000000"/>
                <w:sz w:val="16"/>
                <w:szCs w:val="16"/>
                <w:lang w:val="en-US"/>
              </w:rPr>
              <w:t>Adoption of the new Law on Public Procurement by implementing the provisions in accordance with the new directives</w:t>
            </w:r>
          </w:p>
        </w:tc>
        <w:tc>
          <w:tcPr>
            <w:tcW w:w="1523" w:type="dxa"/>
            <w:vAlign w:val="center"/>
          </w:tcPr>
          <w:p w:rsidR="008B50C0" w:rsidRPr="00CE41DF" w:rsidRDefault="00D63A61" w:rsidP="00D15F76">
            <w:pPr>
              <w:pStyle w:val="TabelaTekst"/>
              <w:spacing w:before="0" w:after="0" w:line="240" w:lineRule="auto"/>
              <w:jc w:val="center"/>
              <w:rPr>
                <w:rFonts w:ascii="Garamond" w:hAnsi="Garamond"/>
                <w:sz w:val="16"/>
                <w:szCs w:val="16"/>
                <w:lang w:eastAsia="sl-SI"/>
              </w:rPr>
            </w:pPr>
            <w:r w:rsidRPr="00CE41DF">
              <w:rPr>
                <w:rFonts w:ascii="Garamond" w:hAnsi="Garamond"/>
                <w:sz w:val="16"/>
                <w:szCs w:val="16"/>
                <w:lang w:val="en-US" w:eastAsia="sl-SI"/>
              </w:rPr>
              <w:t>A new Law on Public Procurement was adopted, which came into force on July 7, 2020</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710940">
      <w:pPr>
        <w:pStyle w:val="Heading3"/>
        <w:rPr>
          <w:rFonts w:ascii="Garamond" w:hAnsi="Garamond"/>
          <w:sz w:val="24"/>
          <w:szCs w:val="24"/>
        </w:rPr>
      </w:pPr>
      <w:bookmarkStart w:id="59" w:name="_Toc77688236"/>
      <w:r w:rsidRPr="00C32887">
        <w:rPr>
          <w:rFonts w:ascii="Garamond" w:hAnsi="Garamond"/>
          <w:sz w:val="24"/>
          <w:szCs w:val="24"/>
        </w:rPr>
        <w:t>2.3.2      PER</w:t>
      </w:r>
      <w:r w:rsidR="00710940">
        <w:rPr>
          <w:rFonts w:ascii="Garamond" w:hAnsi="Garamond"/>
          <w:sz w:val="24"/>
          <w:szCs w:val="24"/>
        </w:rPr>
        <w:t>FORMANCE INDICATOR 18</w:t>
      </w:r>
      <w:r w:rsidR="00710940" w:rsidRPr="00710940">
        <w:rPr>
          <w:rFonts w:ascii="Garamond" w:hAnsi="Garamond"/>
          <w:sz w:val="24"/>
          <w:szCs w:val="24"/>
        </w:rPr>
        <w:t xml:space="preserve"> </w:t>
      </w:r>
      <w:r w:rsidR="00710940" w:rsidRPr="00C32887">
        <w:rPr>
          <w:rFonts w:ascii="Garamond" w:hAnsi="Garamond"/>
          <w:sz w:val="24"/>
          <w:szCs w:val="24"/>
        </w:rPr>
        <w:t>PASSPORT</w:t>
      </w:r>
      <w:bookmarkEnd w:id="59"/>
    </w:p>
    <w:p w:rsidR="004D1343" w:rsidRPr="00C32887" w:rsidRDefault="004D1343" w:rsidP="004D1343">
      <w:pPr>
        <w:rPr>
          <w:rFonts w:ascii="Garamond" w:hAnsi="Garamond"/>
          <w:sz w:val="24"/>
          <w:szCs w:val="24"/>
        </w:rPr>
      </w:pPr>
    </w:p>
    <w:p w:rsidR="00710940" w:rsidRPr="00C32887" w:rsidRDefault="004D1343" w:rsidP="004D1343">
      <w:pPr>
        <w:rPr>
          <w:rFonts w:ascii="Garamond" w:hAnsi="Garamond"/>
          <w:sz w:val="24"/>
          <w:szCs w:val="24"/>
        </w:rPr>
      </w:pPr>
      <w:r w:rsidRPr="00C32887">
        <w:rPr>
          <w:rFonts w:ascii="Garamond" w:hAnsi="Garamond"/>
          <w:sz w:val="24"/>
          <w:szCs w:val="24"/>
        </w:rPr>
        <w:tab/>
      </w: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710940" w:rsidRPr="00CE41DF" w:rsidTr="00D15F76">
        <w:trPr>
          <w:jc w:val="center"/>
        </w:trPr>
        <w:tc>
          <w:tcPr>
            <w:tcW w:w="2721" w:type="dxa"/>
            <w:tcBorders>
              <w:right w:val="single" w:sz="4" w:space="0" w:color="FFFFFF"/>
            </w:tcBorders>
            <w:shd w:val="clear" w:color="auto" w:fill="BFBFBF"/>
            <w:vAlign w:val="center"/>
          </w:tcPr>
          <w:p w:rsidR="00710940" w:rsidRPr="00CE41DF" w:rsidRDefault="00710940" w:rsidP="00D15F76">
            <w:pPr>
              <w:autoSpaceDE/>
              <w:autoSpaceDN/>
              <w:rPr>
                <w:rFonts w:ascii="Garamond" w:eastAsia="Calibri" w:hAnsi="Garamond"/>
                <w:b/>
                <w:caps/>
                <w:sz w:val="16"/>
                <w:szCs w:val="16"/>
                <w:lang w:val="en-GB" w:eastAsia="en-US" w:bidi="ar-SA"/>
              </w:rPr>
            </w:pPr>
            <w:r w:rsidRPr="00CE41DF">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710940" w:rsidRPr="00CE41DF" w:rsidRDefault="00710940" w:rsidP="00710940">
            <w:pPr>
              <w:pStyle w:val="Default"/>
              <w:jc w:val="both"/>
              <w:rPr>
                <w:rFonts w:ascii="Garamond" w:hAnsi="Garamond"/>
                <w:sz w:val="16"/>
                <w:szCs w:val="16"/>
              </w:rPr>
            </w:pPr>
            <w:r w:rsidRPr="00CE41DF">
              <w:rPr>
                <w:rFonts w:ascii="Garamond" w:hAnsi="Garamond"/>
                <w:sz w:val="16"/>
                <w:szCs w:val="16"/>
              </w:rPr>
              <w:t xml:space="preserve">Average number of bidders </w:t>
            </w:r>
            <w:r w:rsidR="003B6EC9" w:rsidRPr="00CE41DF">
              <w:rPr>
                <w:rFonts w:ascii="Garamond" w:hAnsi="Garamond"/>
                <w:sz w:val="16"/>
                <w:szCs w:val="16"/>
              </w:rPr>
              <w:t>participating</w:t>
            </w:r>
            <w:r w:rsidRPr="00CE41DF">
              <w:rPr>
                <w:rFonts w:ascii="Garamond" w:hAnsi="Garamond"/>
                <w:sz w:val="16"/>
                <w:szCs w:val="16"/>
              </w:rPr>
              <w:t xml:space="preserve"> per procurement procedure </w:t>
            </w:r>
          </w:p>
          <w:p w:rsidR="00710940" w:rsidRPr="00CE41DF" w:rsidRDefault="00710940" w:rsidP="00D15F76">
            <w:pPr>
              <w:pStyle w:val="Default"/>
              <w:jc w:val="both"/>
              <w:rPr>
                <w:rFonts w:ascii="Garamond" w:eastAsia="Calibri" w:hAnsi="Garamond"/>
                <w:b/>
                <w:sz w:val="16"/>
                <w:szCs w:val="16"/>
                <w:lang w:eastAsia="en-US"/>
              </w:rPr>
            </w:pPr>
          </w:p>
        </w:tc>
      </w:tr>
      <w:tr w:rsidR="00710940" w:rsidRPr="00CE41DF" w:rsidTr="00D15F76">
        <w:trPr>
          <w:gridAfter w:val="1"/>
          <w:wAfter w:w="19" w:type="dxa"/>
          <w:jc w:val="center"/>
        </w:trPr>
        <w:tc>
          <w:tcPr>
            <w:tcW w:w="2721" w:type="dxa"/>
            <w:vAlign w:val="center"/>
          </w:tcPr>
          <w:p w:rsidR="00710940" w:rsidRPr="00CE41DF" w:rsidRDefault="00710940" w:rsidP="00D15F76">
            <w:pPr>
              <w:autoSpaceDE/>
              <w:autoSpaceDN/>
              <w:rPr>
                <w:rFonts w:ascii="Garamond" w:eastAsia="Calibri" w:hAnsi="Garamond"/>
                <w:b/>
                <w:caps/>
                <w:sz w:val="16"/>
                <w:szCs w:val="16"/>
                <w:lang w:val="en-GB" w:eastAsia="en-US" w:bidi="ar-SA"/>
              </w:rPr>
            </w:pPr>
            <w:r w:rsidRPr="00CE41DF">
              <w:rPr>
                <w:rFonts w:ascii="Garamond" w:eastAsia="Calibri" w:hAnsi="Garamond"/>
                <w:b/>
                <w:caps/>
                <w:sz w:val="16"/>
                <w:szCs w:val="16"/>
                <w:lang w:val="en-GB" w:eastAsia="en-US" w:bidi="ar-SA"/>
              </w:rPr>
              <w:t>corresponding objective or activity</w:t>
            </w:r>
          </w:p>
        </w:tc>
        <w:tc>
          <w:tcPr>
            <w:tcW w:w="6836" w:type="dxa"/>
            <w:gridSpan w:val="4"/>
            <w:vAlign w:val="center"/>
          </w:tcPr>
          <w:p w:rsidR="00710940" w:rsidRPr="00CE41DF" w:rsidRDefault="00710940" w:rsidP="00D15F76">
            <w:pPr>
              <w:rPr>
                <w:rFonts w:ascii="Garamond" w:hAnsi="Garamond"/>
                <w:color w:val="365F91" w:themeColor="accent1" w:themeShade="BF"/>
                <w:sz w:val="16"/>
                <w:szCs w:val="16"/>
              </w:rPr>
            </w:pPr>
            <w:r w:rsidRPr="00CE41DF">
              <w:rPr>
                <w:rFonts w:ascii="Garamond" w:hAnsi="Garamond"/>
                <w:color w:val="365F91" w:themeColor="accent1" w:themeShade="BF"/>
                <w:sz w:val="16"/>
                <w:szCs w:val="16"/>
              </w:rPr>
              <w:t xml:space="preserve">Budget execution </w:t>
            </w:r>
          </w:p>
          <w:p w:rsidR="00710940" w:rsidRPr="00CE41DF" w:rsidRDefault="00710940" w:rsidP="00D15F76">
            <w:pPr>
              <w:pStyle w:val="ListParagraph"/>
              <w:numPr>
                <w:ilvl w:val="0"/>
                <w:numId w:val="28"/>
              </w:numPr>
              <w:rPr>
                <w:rFonts w:ascii="Garamond" w:hAnsi="Garamond"/>
                <w:color w:val="365F91" w:themeColor="accent1" w:themeShade="BF"/>
                <w:sz w:val="16"/>
                <w:szCs w:val="16"/>
                <w:u w:val="single"/>
              </w:rPr>
            </w:pPr>
            <w:r w:rsidRPr="00CE41DF">
              <w:rPr>
                <w:rFonts w:ascii="Garamond" w:hAnsi="Garamond"/>
                <w:color w:val="365F91" w:themeColor="accent1" w:themeShade="BF"/>
                <w:sz w:val="16"/>
                <w:szCs w:val="16"/>
                <w:u w:val="single"/>
              </w:rPr>
              <w:t xml:space="preserve">Revenue collection – Public procurement </w:t>
            </w:r>
          </w:p>
          <w:p w:rsidR="00710940" w:rsidRPr="00CE41DF" w:rsidRDefault="00710940" w:rsidP="00D15F76">
            <w:pPr>
              <w:rPr>
                <w:rFonts w:ascii="Garamond" w:eastAsia="Calibri" w:hAnsi="Garamond"/>
                <w:color w:val="000000" w:themeColor="text1"/>
                <w:sz w:val="16"/>
                <w:szCs w:val="16"/>
                <w:lang w:eastAsia="en-US" w:bidi="ar-SA"/>
              </w:rPr>
            </w:pPr>
            <w:r w:rsidRPr="00CE41DF">
              <w:rPr>
                <w:rFonts w:ascii="Garamond" w:eastAsia="Calibri" w:hAnsi="Garamond"/>
                <w:color w:val="000000" w:themeColor="text1"/>
                <w:sz w:val="16"/>
                <w:szCs w:val="16"/>
                <w:lang w:eastAsia="en-US" w:bidi="ar-SA"/>
              </w:rPr>
              <w:t>Align the public procurement system with the pertinent EU acquis with a view of setting an efficient, transparent and competitive public procurement system in Montenegro.</w:t>
            </w:r>
          </w:p>
        </w:tc>
      </w:tr>
      <w:tr w:rsidR="00710940" w:rsidRPr="00CE41DF" w:rsidTr="00D15F76">
        <w:trPr>
          <w:gridAfter w:val="1"/>
          <w:wAfter w:w="19" w:type="dxa"/>
          <w:jc w:val="center"/>
        </w:trPr>
        <w:tc>
          <w:tcPr>
            <w:tcW w:w="2721" w:type="dxa"/>
            <w:vAlign w:val="center"/>
          </w:tcPr>
          <w:p w:rsidR="00710940" w:rsidRPr="00CE41DF" w:rsidRDefault="00710940"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710940" w:rsidRPr="00CE41DF" w:rsidRDefault="00710940" w:rsidP="00710940">
            <w:pPr>
              <w:jc w:val="both"/>
              <w:rPr>
                <w:rFonts w:ascii="Garamond" w:eastAsia="Calibri" w:hAnsi="Garamond"/>
                <w:sz w:val="16"/>
                <w:szCs w:val="16"/>
                <w:lang w:eastAsia="en-US" w:bidi="ar-SA"/>
              </w:rPr>
            </w:pPr>
            <w:r w:rsidRPr="00CE41DF">
              <w:rPr>
                <w:rFonts w:ascii="Garamond" w:eastAsia="Calibri" w:hAnsi="Garamond"/>
                <w:sz w:val="16"/>
                <w:szCs w:val="16"/>
                <w:lang w:eastAsia="en-US" w:bidi="ar-SA"/>
              </w:rPr>
              <w:t>Annual Report on conducted public procurement procedures prepared by the Public Procurement Directorate:</w:t>
            </w:r>
          </w:p>
          <w:p w:rsidR="00710940" w:rsidRPr="00CE41DF" w:rsidRDefault="00710940" w:rsidP="00710940">
            <w:pPr>
              <w:jc w:val="both"/>
              <w:rPr>
                <w:rFonts w:ascii="Garamond" w:eastAsia="Calibri" w:hAnsi="Garamond"/>
                <w:sz w:val="16"/>
                <w:szCs w:val="16"/>
                <w:lang w:eastAsia="en-US" w:bidi="ar-SA"/>
              </w:rPr>
            </w:pPr>
            <w:r w:rsidRPr="00CE41DF">
              <w:rPr>
                <w:rFonts w:ascii="Garamond" w:eastAsia="Calibri" w:hAnsi="Garamond"/>
                <w:sz w:val="16"/>
                <w:szCs w:val="16"/>
                <w:lang w:eastAsia="en-US" w:bidi="ar-SA"/>
              </w:rPr>
              <w:t>http://www.ujn.gov.me/category/izvjestaji/</w:t>
            </w:r>
          </w:p>
        </w:tc>
      </w:tr>
      <w:tr w:rsidR="00710940" w:rsidRPr="00CE41DF" w:rsidTr="00D15F76">
        <w:trPr>
          <w:gridAfter w:val="1"/>
          <w:wAfter w:w="19" w:type="dxa"/>
          <w:jc w:val="center"/>
        </w:trPr>
        <w:tc>
          <w:tcPr>
            <w:tcW w:w="2721" w:type="dxa"/>
            <w:vAlign w:val="center"/>
          </w:tcPr>
          <w:p w:rsidR="00710940" w:rsidRPr="00CE41DF" w:rsidRDefault="00710940"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NAME OF DATA COLLECTION HOLDER</w:t>
            </w:r>
          </w:p>
        </w:tc>
        <w:tc>
          <w:tcPr>
            <w:tcW w:w="6836" w:type="dxa"/>
            <w:gridSpan w:val="4"/>
            <w:vAlign w:val="center"/>
          </w:tcPr>
          <w:p w:rsidR="00710940" w:rsidRPr="00CE41DF" w:rsidRDefault="00710940" w:rsidP="00D15F76">
            <w:pPr>
              <w:rPr>
                <w:rFonts w:ascii="Garamond" w:hAnsi="Garamond"/>
                <w:sz w:val="16"/>
                <w:szCs w:val="16"/>
              </w:rPr>
            </w:pPr>
            <w:r w:rsidRPr="00CE41DF">
              <w:rPr>
                <w:rFonts w:ascii="Garamond" w:hAnsi="Garamond"/>
                <w:sz w:val="16"/>
                <w:szCs w:val="16"/>
              </w:rPr>
              <w:t>Ministry of Finance and Social Welfare</w:t>
            </w:r>
          </w:p>
          <w:p w:rsidR="00710940" w:rsidRPr="00CE41DF" w:rsidRDefault="00710940" w:rsidP="00D15F76">
            <w:pPr>
              <w:rPr>
                <w:rFonts w:ascii="Garamond" w:hAnsi="Garamond"/>
                <w:sz w:val="16"/>
                <w:szCs w:val="16"/>
              </w:rPr>
            </w:pPr>
            <w:r w:rsidRPr="00CE41DF">
              <w:rPr>
                <w:rFonts w:ascii="Garamond" w:hAnsi="Garamond"/>
                <w:sz w:val="16"/>
                <w:szCs w:val="16"/>
              </w:rPr>
              <w:t>Dijana Vukčević, Department for Monitoring Public Procurement Procedures and Management of Electronic Public Procurement</w:t>
            </w:r>
          </w:p>
          <w:p w:rsidR="00710940" w:rsidRPr="00CE41DF" w:rsidRDefault="00710940" w:rsidP="00D15F76">
            <w:pPr>
              <w:rPr>
                <w:rFonts w:ascii="Garamond" w:hAnsi="Garamond"/>
                <w:sz w:val="16"/>
                <w:szCs w:val="16"/>
              </w:rPr>
            </w:pPr>
            <w:r w:rsidRPr="00CE41DF">
              <w:rPr>
                <w:rFonts w:ascii="Garamond" w:hAnsi="Garamond"/>
                <w:sz w:val="16"/>
                <w:szCs w:val="16"/>
              </w:rPr>
              <w:t>vukcevic.dijana@gmail.com</w:t>
            </w:r>
          </w:p>
          <w:p w:rsidR="00710940" w:rsidRPr="00CE41DF" w:rsidRDefault="00710940" w:rsidP="00D15F76">
            <w:pPr>
              <w:rPr>
                <w:rFonts w:ascii="Garamond" w:hAnsi="Garamond"/>
                <w:sz w:val="16"/>
                <w:szCs w:val="16"/>
              </w:rPr>
            </w:pPr>
            <w:r w:rsidRPr="00CE41DF">
              <w:rPr>
                <w:rFonts w:ascii="Garamond" w:hAnsi="Garamond"/>
                <w:sz w:val="16"/>
                <w:szCs w:val="16"/>
              </w:rPr>
              <w:t>Phone: 067373384</w:t>
            </w:r>
          </w:p>
          <w:p w:rsidR="00710940" w:rsidRPr="00CE41DF" w:rsidRDefault="00710940" w:rsidP="00D15F76">
            <w:pPr>
              <w:rPr>
                <w:rFonts w:ascii="Garamond" w:hAnsi="Garamond"/>
                <w:sz w:val="16"/>
                <w:szCs w:val="16"/>
              </w:rPr>
            </w:pPr>
            <w:r w:rsidRPr="00CE41DF">
              <w:rPr>
                <w:rFonts w:ascii="Garamond" w:hAnsi="Garamond"/>
                <w:sz w:val="16"/>
                <w:szCs w:val="16"/>
              </w:rPr>
              <w:t>Sanja Poleksić, Department for Professional Training, Development and International Cooperation in the Field of Public Procurement</w:t>
            </w:r>
          </w:p>
          <w:p w:rsidR="00710940" w:rsidRPr="00CE41DF" w:rsidRDefault="00710940" w:rsidP="00D15F76">
            <w:pPr>
              <w:rPr>
                <w:rFonts w:ascii="Garamond" w:hAnsi="Garamond"/>
                <w:sz w:val="16"/>
                <w:szCs w:val="16"/>
              </w:rPr>
            </w:pPr>
            <w:r w:rsidRPr="00CE41DF">
              <w:rPr>
                <w:rFonts w:ascii="Garamond" w:hAnsi="Garamond"/>
                <w:sz w:val="16"/>
                <w:szCs w:val="16"/>
              </w:rPr>
              <w:t>s.p@t-com.me</w:t>
            </w:r>
          </w:p>
          <w:p w:rsidR="00710940" w:rsidRPr="00CE41DF" w:rsidRDefault="00710940" w:rsidP="00D15F76">
            <w:pPr>
              <w:rPr>
                <w:rFonts w:ascii="Garamond" w:eastAsia="Calibri" w:hAnsi="Garamond"/>
                <w:sz w:val="16"/>
                <w:szCs w:val="16"/>
                <w:lang w:eastAsia="en-US" w:bidi="ar-SA"/>
              </w:rPr>
            </w:pPr>
            <w:r w:rsidRPr="00CE41DF">
              <w:rPr>
                <w:rFonts w:ascii="Garamond" w:hAnsi="Garamond"/>
                <w:sz w:val="16"/>
                <w:szCs w:val="16"/>
              </w:rPr>
              <w:t>Phone: 067400191</w:t>
            </w:r>
          </w:p>
        </w:tc>
      </w:tr>
      <w:tr w:rsidR="00710940" w:rsidRPr="00CE41DF" w:rsidTr="00D15F76">
        <w:trPr>
          <w:gridAfter w:val="1"/>
          <w:wAfter w:w="19" w:type="dxa"/>
          <w:jc w:val="center"/>
        </w:trPr>
        <w:tc>
          <w:tcPr>
            <w:tcW w:w="2721" w:type="dxa"/>
            <w:vAlign w:val="center"/>
          </w:tcPr>
          <w:p w:rsidR="00710940" w:rsidRPr="00CE41DF" w:rsidRDefault="00710940"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FREQUENCY OF DATA PUBLICATION</w:t>
            </w:r>
          </w:p>
        </w:tc>
        <w:tc>
          <w:tcPr>
            <w:tcW w:w="6836" w:type="dxa"/>
            <w:gridSpan w:val="4"/>
            <w:vAlign w:val="center"/>
          </w:tcPr>
          <w:p w:rsidR="00710940" w:rsidRPr="00CE41DF" w:rsidRDefault="00710940" w:rsidP="00B3082D">
            <w:pPr>
              <w:rPr>
                <w:rFonts w:ascii="Garamond" w:eastAsia="Calibri" w:hAnsi="Garamond"/>
                <w:sz w:val="16"/>
                <w:szCs w:val="16"/>
                <w:lang w:eastAsia="en-US" w:bidi="ar-SA"/>
              </w:rPr>
            </w:pPr>
            <w:r w:rsidRPr="00CE41DF">
              <w:rPr>
                <w:rFonts w:ascii="Garamond" w:hAnsi="Garamond"/>
                <w:sz w:val="16"/>
                <w:szCs w:val="16"/>
              </w:rPr>
              <w:t xml:space="preserve">The Public Procurement </w:t>
            </w:r>
            <w:r w:rsidR="00B3082D">
              <w:rPr>
                <w:rFonts w:ascii="Garamond" w:hAnsi="Garamond"/>
                <w:sz w:val="16"/>
                <w:szCs w:val="16"/>
              </w:rPr>
              <w:t>Directorate</w:t>
            </w:r>
            <w:r w:rsidRPr="00CE41DF">
              <w:rPr>
                <w:rFonts w:ascii="Garamond" w:hAnsi="Garamond"/>
                <w:sz w:val="16"/>
                <w:szCs w:val="16"/>
              </w:rPr>
              <w:t xml:space="preserve"> submits the Annual Report on the conducted public procurement procedures to the Government of Montenegro for adoption by May 31 of the current year for the previous year.</w:t>
            </w:r>
          </w:p>
        </w:tc>
      </w:tr>
      <w:tr w:rsidR="00710940" w:rsidRPr="00CE41DF" w:rsidTr="00D15F76">
        <w:trPr>
          <w:gridAfter w:val="1"/>
          <w:wAfter w:w="19" w:type="dxa"/>
          <w:trHeight w:val="458"/>
          <w:jc w:val="center"/>
        </w:trPr>
        <w:tc>
          <w:tcPr>
            <w:tcW w:w="2721" w:type="dxa"/>
            <w:vMerge w:val="restart"/>
            <w:vAlign w:val="center"/>
          </w:tcPr>
          <w:p w:rsidR="00710940" w:rsidRPr="00CE41DF" w:rsidRDefault="00710940" w:rsidP="00D15F76">
            <w:pPr>
              <w:autoSpaceDE/>
              <w:autoSpaceDN/>
              <w:rPr>
                <w:rFonts w:ascii="Garamond" w:eastAsia="Calibri" w:hAnsi="Garamond"/>
                <w:b/>
                <w:caps/>
                <w:sz w:val="16"/>
                <w:szCs w:val="16"/>
                <w:lang w:val="uz-Cyrl-UZ" w:eastAsia="en-US" w:bidi="ar-SA"/>
              </w:rPr>
            </w:pPr>
            <w:r w:rsidRPr="00CE41DF">
              <w:rPr>
                <w:rFonts w:ascii="Garamond" w:eastAsia="Calibri" w:hAnsi="Garamond"/>
                <w:b/>
                <w:caps/>
                <w:sz w:val="16"/>
                <w:szCs w:val="16"/>
                <w:lang w:val="uz-Cyrl-UZ" w:eastAsia="en-US" w:bidi="ar-SA"/>
              </w:rPr>
              <w:t xml:space="preserve">BRIEF DESCRIPTION </w:t>
            </w:r>
            <w:r w:rsidRPr="00CE41DF">
              <w:rPr>
                <w:rFonts w:ascii="Garamond" w:eastAsia="Calibri" w:hAnsi="Garamond"/>
                <w:b/>
                <w:caps/>
                <w:sz w:val="16"/>
                <w:szCs w:val="16"/>
                <w:lang w:val="en-GB" w:eastAsia="en-US" w:bidi="ar-SA"/>
              </w:rPr>
              <w:t xml:space="preserve">OF </w:t>
            </w:r>
            <w:r w:rsidRPr="00CE41DF">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710940" w:rsidRPr="00CE41DF" w:rsidRDefault="00710940" w:rsidP="00710940">
            <w:pPr>
              <w:jc w:val="both"/>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The performance indicator shows the number of bids received under the public procurement procedure, which means that a higher value</w:t>
            </w:r>
            <w:r w:rsidRPr="00CE41DF">
              <w:rPr>
                <w:rFonts w:ascii="Garamond" w:eastAsia="Calibri" w:hAnsi="Garamond"/>
                <w:sz w:val="16"/>
                <w:szCs w:val="16"/>
                <w:lang w:val="en-GB" w:eastAsia="en-US" w:bidi="ar-SA"/>
              </w:rPr>
              <w:t xml:space="preserve"> of t</w:t>
            </w:r>
            <w:r w:rsidRPr="00CE41DF">
              <w:rPr>
                <w:rFonts w:ascii="Garamond" w:eastAsia="Calibri" w:hAnsi="Garamond"/>
                <w:sz w:val="16"/>
                <w:szCs w:val="16"/>
                <w:lang w:val="uz-Cyrl-UZ" w:eastAsia="en-US" w:bidi="ar-SA"/>
              </w:rPr>
              <w:t>he performance indicator indicates greater competitiveness.</w:t>
            </w:r>
          </w:p>
        </w:tc>
      </w:tr>
      <w:tr w:rsidR="00710940" w:rsidRPr="00CE41DF" w:rsidTr="00D15F76">
        <w:trPr>
          <w:gridAfter w:val="1"/>
          <w:wAfter w:w="19" w:type="dxa"/>
          <w:trHeight w:val="620"/>
          <w:jc w:val="center"/>
        </w:trPr>
        <w:tc>
          <w:tcPr>
            <w:tcW w:w="2721" w:type="dxa"/>
            <w:vMerge/>
            <w:shd w:val="clear" w:color="auto" w:fill="auto"/>
            <w:vAlign w:val="center"/>
          </w:tcPr>
          <w:p w:rsidR="00710940" w:rsidRPr="00CE41DF" w:rsidRDefault="00710940"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710940" w:rsidRPr="00CE41DF" w:rsidRDefault="00710940" w:rsidP="00D15F76">
            <w:pPr>
              <w:jc w:val="center"/>
              <w:rPr>
                <w:rFonts w:ascii="Garamond" w:hAnsi="Garamond"/>
                <w:color w:val="365F91" w:themeColor="accent1" w:themeShade="BF"/>
                <w:sz w:val="16"/>
                <w:szCs w:val="16"/>
                <w:lang w:val="uz-Cyrl-UZ"/>
              </w:rPr>
            </w:pPr>
            <w:r w:rsidRPr="00CE41DF">
              <w:rPr>
                <w:rFonts w:ascii="Garamond" w:hAnsi="Garamond"/>
                <w:color w:val="365F91" w:themeColor="accent1" w:themeShade="BF"/>
                <w:sz w:val="16"/>
                <w:szCs w:val="16"/>
                <w:lang w:val="uz-Cyrl-UZ"/>
              </w:rPr>
              <w:t>FORMULA / EQUATION</w:t>
            </w:r>
          </w:p>
          <w:p w:rsidR="00710940" w:rsidRPr="00CE41DF" w:rsidRDefault="00710940" w:rsidP="00D15F76">
            <w:pPr>
              <w:jc w:val="center"/>
              <w:rPr>
                <w:rFonts w:ascii="Garamond" w:eastAsia="Calibri" w:hAnsi="Garamond"/>
                <w:sz w:val="16"/>
                <w:szCs w:val="16"/>
                <w:lang w:val="en-GB" w:eastAsia="en-US" w:bidi="ar-SA"/>
              </w:rPr>
            </w:pPr>
            <w:r w:rsidRPr="00CE41DF">
              <w:rPr>
                <w:rFonts w:ascii="Garamond" w:eastAsia="Calibri" w:hAnsi="Garamond"/>
                <w:sz w:val="16"/>
                <w:szCs w:val="16"/>
                <w:lang w:val="en-GB" w:eastAsia="en-US" w:bidi="ar-SA"/>
              </w:rPr>
              <w:t>number of bids received during one calendar year / total number of procedures in that calendar year</w:t>
            </w:r>
          </w:p>
        </w:tc>
      </w:tr>
      <w:tr w:rsidR="00710940" w:rsidRPr="00CE41DF" w:rsidTr="00D15F76">
        <w:trPr>
          <w:gridAfter w:val="1"/>
          <w:wAfter w:w="19" w:type="dxa"/>
          <w:trHeight w:val="585"/>
          <w:jc w:val="center"/>
        </w:trPr>
        <w:tc>
          <w:tcPr>
            <w:tcW w:w="2721" w:type="dxa"/>
            <w:vAlign w:val="center"/>
          </w:tcPr>
          <w:p w:rsidR="00710940" w:rsidRPr="00CE41DF" w:rsidRDefault="00710940" w:rsidP="00D15F76">
            <w:pPr>
              <w:autoSpaceDE/>
              <w:autoSpaceDN/>
              <w:rPr>
                <w:rFonts w:ascii="Garamond" w:eastAsia="Calibri" w:hAnsi="Garamond"/>
                <w:b/>
                <w:bCs/>
                <w:caps/>
                <w:sz w:val="16"/>
                <w:szCs w:val="16"/>
                <w:lang w:val="en-GB" w:eastAsia="en-US" w:bidi="ar-SA"/>
              </w:rPr>
            </w:pPr>
            <w:r w:rsidRPr="00CE41DF">
              <w:rPr>
                <w:rFonts w:ascii="Garamond" w:eastAsia="Calibri" w:hAnsi="Garamond"/>
                <w:b/>
                <w:caps/>
                <w:sz w:val="16"/>
                <w:szCs w:val="16"/>
                <w:lang w:val="uz-Cyrl-UZ" w:eastAsia="en-US" w:bidi="ar-SA"/>
              </w:rPr>
              <w:t>BASELINE</w:t>
            </w:r>
            <w:r w:rsidRPr="00CE41DF">
              <w:rPr>
                <w:rFonts w:ascii="Garamond" w:eastAsia="Calibri" w:hAnsi="Garamond"/>
                <w:b/>
                <w:caps/>
                <w:sz w:val="16"/>
                <w:szCs w:val="16"/>
                <w:lang w:val="en-GB" w:eastAsia="en-US" w:bidi="ar-SA"/>
              </w:rPr>
              <w:t xml:space="preserve"> DATA</w:t>
            </w:r>
          </w:p>
        </w:tc>
        <w:tc>
          <w:tcPr>
            <w:tcW w:w="6836" w:type="dxa"/>
            <w:gridSpan w:val="4"/>
            <w:vAlign w:val="center"/>
          </w:tcPr>
          <w:p w:rsidR="00AD2338" w:rsidRPr="00CE41DF" w:rsidRDefault="00710940" w:rsidP="00AD2338">
            <w:pPr>
              <w:pStyle w:val="TabelaTekst"/>
              <w:rPr>
                <w:rFonts w:ascii="Garamond" w:hAnsi="Garamond"/>
                <w:sz w:val="16"/>
                <w:szCs w:val="16"/>
              </w:rPr>
            </w:pPr>
            <w:r w:rsidRPr="00CE41DF">
              <w:rPr>
                <w:rFonts w:ascii="Garamond" w:hAnsi="Garamond"/>
                <w:sz w:val="16"/>
                <w:szCs w:val="16"/>
              </w:rPr>
              <w:t xml:space="preserve">PV (2014): </w:t>
            </w:r>
            <w:r w:rsidR="00AD2338" w:rsidRPr="00CE41DF">
              <w:rPr>
                <w:rFonts w:ascii="Garamond" w:hAnsi="Garamond"/>
                <w:sz w:val="16"/>
                <w:szCs w:val="16"/>
              </w:rPr>
              <w:t>3.52 bids per tender</w:t>
            </w:r>
          </w:p>
          <w:p w:rsidR="00710940" w:rsidRPr="00CE41DF" w:rsidRDefault="00613C2B" w:rsidP="00AD2338">
            <w:pPr>
              <w:pStyle w:val="TabelaTekst"/>
              <w:spacing w:before="0" w:after="0" w:line="240" w:lineRule="auto"/>
              <w:rPr>
                <w:rFonts w:ascii="Garamond" w:hAnsi="Garamond"/>
                <w:sz w:val="16"/>
                <w:szCs w:val="16"/>
                <w:lang w:val="en-GB"/>
              </w:rPr>
            </w:pPr>
            <w:hyperlink r:id="rId30" w:history="1">
              <w:r w:rsidR="00AD2338" w:rsidRPr="00CE41DF">
                <w:rPr>
                  <w:rStyle w:val="Hyperlink"/>
                  <w:rFonts w:ascii="Garamond" w:hAnsi="Garamond"/>
                  <w:sz w:val="16"/>
                  <w:szCs w:val="16"/>
                </w:rPr>
                <w:t>http://www.ujn.gov.me/2015/06/godisnji-izvjestaj-o-javnim-nabavkama-u-crnoj-gori-za-2014-godinu/</w:t>
              </w:r>
            </w:hyperlink>
            <w:r w:rsidR="00AD2338" w:rsidRPr="00CE41DF">
              <w:rPr>
                <w:rFonts w:ascii="Garamond" w:hAnsi="Garamond"/>
                <w:sz w:val="16"/>
                <w:szCs w:val="16"/>
                <w:lang w:val="en-GB"/>
              </w:rPr>
              <w:t xml:space="preserve"> </w:t>
            </w:r>
          </w:p>
        </w:tc>
      </w:tr>
      <w:tr w:rsidR="00710940" w:rsidRPr="00CE41DF" w:rsidTr="00D15F76">
        <w:trPr>
          <w:gridAfter w:val="1"/>
          <w:wAfter w:w="19" w:type="dxa"/>
          <w:trHeight w:val="160"/>
          <w:jc w:val="center"/>
        </w:trPr>
        <w:tc>
          <w:tcPr>
            <w:tcW w:w="2721" w:type="dxa"/>
            <w:vMerge w:val="restart"/>
            <w:vAlign w:val="center"/>
          </w:tcPr>
          <w:p w:rsidR="00710940" w:rsidRPr="00CE41DF" w:rsidRDefault="00710940" w:rsidP="00D15F76">
            <w:pPr>
              <w:autoSpaceDE/>
              <w:autoSpaceDN/>
              <w:rPr>
                <w:rFonts w:ascii="Garamond" w:eastAsia="Calibri" w:hAnsi="Garamond"/>
                <w:b/>
                <w:bCs/>
                <w:caps/>
                <w:sz w:val="16"/>
                <w:szCs w:val="16"/>
                <w:lang w:val="uz-Cyrl-UZ" w:eastAsia="en-US" w:bidi="ar-SA"/>
              </w:rPr>
            </w:pPr>
            <w:r w:rsidRPr="00CE41DF">
              <w:rPr>
                <w:rFonts w:ascii="Garamond" w:eastAsia="Calibri" w:hAnsi="Garamond"/>
                <w:b/>
                <w:caps/>
                <w:sz w:val="16"/>
                <w:szCs w:val="16"/>
                <w:lang w:val="uz-Cyrl-UZ" w:eastAsia="en-US" w:bidi="ar-SA"/>
              </w:rPr>
              <w:t>TARGET VALUE DATA</w:t>
            </w:r>
          </w:p>
        </w:tc>
        <w:tc>
          <w:tcPr>
            <w:tcW w:w="1771" w:type="dxa"/>
            <w:vAlign w:val="center"/>
          </w:tcPr>
          <w:p w:rsidR="00710940" w:rsidRPr="00CE41DF" w:rsidRDefault="00710940"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2017</w:t>
            </w:r>
          </w:p>
        </w:tc>
        <w:tc>
          <w:tcPr>
            <w:tcW w:w="1771" w:type="dxa"/>
            <w:vAlign w:val="center"/>
          </w:tcPr>
          <w:p w:rsidR="00710940" w:rsidRPr="00CE41DF" w:rsidRDefault="00710940"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2018</w:t>
            </w:r>
          </w:p>
        </w:tc>
        <w:tc>
          <w:tcPr>
            <w:tcW w:w="1771" w:type="dxa"/>
            <w:vAlign w:val="center"/>
          </w:tcPr>
          <w:p w:rsidR="00710940" w:rsidRPr="00CE41DF" w:rsidRDefault="00710940"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2019</w:t>
            </w:r>
          </w:p>
        </w:tc>
        <w:tc>
          <w:tcPr>
            <w:tcW w:w="1523" w:type="dxa"/>
            <w:vAlign w:val="center"/>
          </w:tcPr>
          <w:p w:rsidR="00710940" w:rsidRPr="00CE41DF" w:rsidRDefault="00710940" w:rsidP="00D15F76">
            <w:pPr>
              <w:autoSpaceDE/>
              <w:autoSpaceDN/>
              <w:jc w:val="center"/>
              <w:rPr>
                <w:rFonts w:ascii="Garamond" w:eastAsia="Calibri" w:hAnsi="Garamond"/>
                <w:sz w:val="16"/>
                <w:szCs w:val="16"/>
                <w:lang w:val="uz-Cyrl-UZ" w:eastAsia="en-US" w:bidi="ar-SA"/>
              </w:rPr>
            </w:pPr>
            <w:r w:rsidRPr="00CE41DF">
              <w:rPr>
                <w:rFonts w:ascii="Garamond" w:eastAsia="Calibri" w:hAnsi="Garamond"/>
                <w:sz w:val="16"/>
                <w:szCs w:val="16"/>
                <w:lang w:val="uz-Cyrl-UZ" w:eastAsia="en-US" w:bidi="ar-SA"/>
              </w:rPr>
              <w:t>2020</w:t>
            </w:r>
          </w:p>
        </w:tc>
      </w:tr>
      <w:tr w:rsidR="00AD2338" w:rsidRPr="00CE41DF" w:rsidTr="00D15F76">
        <w:trPr>
          <w:gridAfter w:val="1"/>
          <w:wAfter w:w="19" w:type="dxa"/>
          <w:trHeight w:val="160"/>
          <w:jc w:val="center"/>
        </w:trPr>
        <w:tc>
          <w:tcPr>
            <w:tcW w:w="2721" w:type="dxa"/>
            <w:vMerge/>
            <w:vAlign w:val="center"/>
          </w:tcPr>
          <w:p w:rsidR="00AD2338" w:rsidRPr="00CE41DF" w:rsidRDefault="00AD2338" w:rsidP="00D15F76">
            <w:pPr>
              <w:autoSpaceDE/>
              <w:autoSpaceDN/>
              <w:rPr>
                <w:rFonts w:ascii="Garamond" w:eastAsia="Calibri" w:hAnsi="Garamond"/>
                <w:b/>
                <w:bCs/>
                <w:caps/>
                <w:sz w:val="16"/>
                <w:szCs w:val="16"/>
                <w:lang w:val="uz-Cyrl-UZ" w:eastAsia="en-US" w:bidi="ar-SA"/>
              </w:rPr>
            </w:pPr>
          </w:p>
        </w:tc>
        <w:tc>
          <w:tcPr>
            <w:tcW w:w="1771" w:type="dxa"/>
            <w:vAlign w:val="center"/>
          </w:tcPr>
          <w:p w:rsidR="00AD2338" w:rsidRPr="00CE41DF" w:rsidRDefault="00AD2338"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3.2</w:t>
            </w:r>
          </w:p>
        </w:tc>
        <w:tc>
          <w:tcPr>
            <w:tcW w:w="1771" w:type="dxa"/>
            <w:vAlign w:val="center"/>
          </w:tcPr>
          <w:p w:rsidR="00AD2338" w:rsidRPr="00CE41DF" w:rsidRDefault="00AD2338"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3.48</w:t>
            </w:r>
          </w:p>
        </w:tc>
        <w:tc>
          <w:tcPr>
            <w:tcW w:w="1771" w:type="dxa"/>
            <w:vAlign w:val="center"/>
          </w:tcPr>
          <w:p w:rsidR="00AD2338" w:rsidRPr="00CE41DF" w:rsidRDefault="00AD2338"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3.58</w:t>
            </w:r>
          </w:p>
        </w:tc>
        <w:tc>
          <w:tcPr>
            <w:tcW w:w="1523" w:type="dxa"/>
            <w:vAlign w:val="center"/>
          </w:tcPr>
          <w:p w:rsidR="00AD2338" w:rsidRPr="00CE41DF" w:rsidRDefault="00AD2338" w:rsidP="00D15F76">
            <w:pPr>
              <w:pStyle w:val="TabelaTekst"/>
              <w:spacing w:before="0" w:after="0" w:line="240" w:lineRule="auto"/>
              <w:jc w:val="center"/>
              <w:rPr>
                <w:rFonts w:ascii="Garamond" w:hAnsi="Garamond"/>
                <w:sz w:val="16"/>
                <w:szCs w:val="16"/>
              </w:rPr>
            </w:pPr>
            <w:r w:rsidRPr="00CE41DF">
              <w:rPr>
                <w:rFonts w:ascii="Garamond" w:hAnsi="Garamond"/>
                <w:sz w:val="16"/>
                <w:szCs w:val="16"/>
              </w:rPr>
              <w:t>3.8</w:t>
            </w:r>
          </w:p>
        </w:tc>
      </w:tr>
      <w:tr w:rsidR="00AD2338" w:rsidRPr="00CE41DF" w:rsidTr="00D15F76">
        <w:trPr>
          <w:gridAfter w:val="1"/>
          <w:wAfter w:w="19" w:type="dxa"/>
          <w:trHeight w:val="160"/>
          <w:jc w:val="center"/>
        </w:trPr>
        <w:tc>
          <w:tcPr>
            <w:tcW w:w="2721" w:type="dxa"/>
            <w:vAlign w:val="center"/>
          </w:tcPr>
          <w:p w:rsidR="00AD2338" w:rsidRPr="00CE41DF" w:rsidRDefault="0062456A" w:rsidP="00D15F76">
            <w:pPr>
              <w:autoSpaceDE/>
              <w:autoSpaceDN/>
              <w:rPr>
                <w:rFonts w:ascii="Garamond" w:eastAsia="Calibri" w:hAnsi="Garamond"/>
                <w:b/>
                <w:bCs/>
                <w:caps/>
                <w:sz w:val="16"/>
                <w:szCs w:val="16"/>
                <w:lang w:val="uz-Cyrl-UZ" w:eastAsia="en-US" w:bidi="ar-SA"/>
              </w:rPr>
            </w:pPr>
            <w:r w:rsidRPr="00CE41DF">
              <w:rPr>
                <w:rFonts w:ascii="Garamond" w:eastAsia="Calibri" w:hAnsi="Garamond"/>
                <w:b/>
                <w:bCs/>
                <w:caps/>
                <w:sz w:val="16"/>
                <w:szCs w:val="16"/>
                <w:lang w:val="uz-Cyrl-UZ" w:eastAsia="en-US" w:bidi="ar-SA"/>
              </w:rPr>
              <w:t>DATA ON VALUES ACHIEVED</w:t>
            </w:r>
          </w:p>
        </w:tc>
        <w:tc>
          <w:tcPr>
            <w:tcW w:w="1771" w:type="dxa"/>
            <w:vAlign w:val="center"/>
          </w:tcPr>
          <w:p w:rsidR="00AD2338" w:rsidRPr="00CE41DF" w:rsidRDefault="00AD2338" w:rsidP="00D15F76">
            <w:pPr>
              <w:pStyle w:val="TabelaTekst"/>
              <w:spacing w:before="0" w:after="0" w:line="240" w:lineRule="auto"/>
              <w:jc w:val="center"/>
              <w:rPr>
                <w:rFonts w:ascii="Garamond" w:hAnsi="Garamond"/>
                <w:sz w:val="16"/>
                <w:szCs w:val="16"/>
                <w:highlight w:val="yellow"/>
              </w:rPr>
            </w:pPr>
            <w:r w:rsidRPr="00CE41DF">
              <w:rPr>
                <w:rFonts w:ascii="Garamond" w:hAnsi="Garamond"/>
                <w:sz w:val="16"/>
                <w:szCs w:val="16"/>
              </w:rPr>
              <w:t>2.65</w:t>
            </w:r>
          </w:p>
        </w:tc>
        <w:tc>
          <w:tcPr>
            <w:tcW w:w="1771" w:type="dxa"/>
            <w:vAlign w:val="center"/>
          </w:tcPr>
          <w:p w:rsidR="00AD2338" w:rsidRPr="00CE41DF" w:rsidRDefault="00AD2338" w:rsidP="00D15F76">
            <w:pPr>
              <w:pStyle w:val="TabelaTekst"/>
              <w:spacing w:before="0" w:after="0" w:line="240" w:lineRule="auto"/>
              <w:jc w:val="center"/>
              <w:rPr>
                <w:rFonts w:ascii="Garamond" w:hAnsi="Garamond"/>
                <w:sz w:val="16"/>
                <w:szCs w:val="16"/>
                <w:highlight w:val="yellow"/>
              </w:rPr>
            </w:pPr>
            <w:r w:rsidRPr="00CE41DF">
              <w:rPr>
                <w:rFonts w:ascii="Garamond" w:eastAsia="Times New Roman" w:hAnsi="Garamond"/>
                <w:color w:val="000000"/>
                <w:sz w:val="16"/>
                <w:szCs w:val="16"/>
              </w:rPr>
              <w:t>3.14</w:t>
            </w:r>
          </w:p>
        </w:tc>
        <w:tc>
          <w:tcPr>
            <w:tcW w:w="1771" w:type="dxa"/>
            <w:vAlign w:val="center"/>
          </w:tcPr>
          <w:p w:rsidR="00AD2338" w:rsidRPr="00CE41DF" w:rsidRDefault="00AD2338" w:rsidP="00D15F76">
            <w:pPr>
              <w:pStyle w:val="TabelaTekst"/>
              <w:spacing w:before="0" w:after="0" w:line="240" w:lineRule="auto"/>
              <w:jc w:val="center"/>
              <w:rPr>
                <w:rFonts w:ascii="Garamond" w:hAnsi="Garamond"/>
                <w:sz w:val="16"/>
                <w:szCs w:val="16"/>
              </w:rPr>
            </w:pPr>
            <w:r w:rsidRPr="00CE41DF">
              <w:rPr>
                <w:rFonts w:ascii="Garamond" w:hAnsi="Garamond"/>
                <w:sz w:val="16"/>
                <w:szCs w:val="16"/>
                <w:lang w:val="en-US"/>
              </w:rPr>
              <w:t>2.01</w:t>
            </w:r>
          </w:p>
        </w:tc>
        <w:tc>
          <w:tcPr>
            <w:tcW w:w="1523" w:type="dxa"/>
            <w:vAlign w:val="center"/>
          </w:tcPr>
          <w:p w:rsidR="00AD2338" w:rsidRPr="00CE41DF" w:rsidRDefault="00AD2338" w:rsidP="00D15F76">
            <w:pPr>
              <w:jc w:val="center"/>
              <w:rPr>
                <w:rFonts w:ascii="Garamond" w:hAnsi="Garamond"/>
                <w:noProof/>
                <w:sz w:val="16"/>
                <w:szCs w:val="16"/>
              </w:rPr>
            </w:pPr>
            <w:r w:rsidRPr="00CE41DF">
              <w:rPr>
                <w:rFonts w:ascii="Garamond" w:hAnsi="Garamond"/>
                <w:sz w:val="16"/>
                <w:szCs w:val="16"/>
              </w:rPr>
              <w:t>2.27</w:t>
            </w:r>
            <w:r w:rsidRPr="00CE41DF">
              <w:rPr>
                <w:rStyle w:val="FootnoteReference"/>
                <w:rFonts w:ascii="Garamond" w:hAnsi="Garamond"/>
                <w:sz w:val="16"/>
                <w:szCs w:val="16"/>
              </w:rPr>
              <w:footnoteReference w:id="70"/>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AD2338">
      <w:pPr>
        <w:pStyle w:val="Heading3"/>
        <w:rPr>
          <w:rFonts w:ascii="Garamond" w:hAnsi="Garamond"/>
          <w:sz w:val="24"/>
          <w:szCs w:val="24"/>
        </w:rPr>
      </w:pPr>
      <w:bookmarkStart w:id="60" w:name="_Toc77688237"/>
      <w:r w:rsidRPr="00C32887">
        <w:rPr>
          <w:rFonts w:ascii="Garamond" w:hAnsi="Garamond"/>
          <w:sz w:val="24"/>
          <w:szCs w:val="24"/>
        </w:rPr>
        <w:t xml:space="preserve">2.3.3      </w:t>
      </w:r>
      <w:r w:rsidR="00AD2338">
        <w:rPr>
          <w:rFonts w:ascii="Garamond" w:hAnsi="Garamond"/>
          <w:sz w:val="24"/>
          <w:szCs w:val="24"/>
        </w:rPr>
        <w:t xml:space="preserve">PERFORMANCE INDICATOR 19 </w:t>
      </w:r>
      <w:r w:rsidR="00AD2338" w:rsidRPr="00C32887">
        <w:rPr>
          <w:rFonts w:ascii="Garamond" w:hAnsi="Garamond"/>
          <w:sz w:val="24"/>
          <w:szCs w:val="24"/>
        </w:rPr>
        <w:t>PASSPORT</w:t>
      </w:r>
      <w:bookmarkEnd w:id="60"/>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AD2338" w:rsidRPr="00B3082D" w:rsidTr="00D15F76">
        <w:trPr>
          <w:jc w:val="center"/>
        </w:trPr>
        <w:tc>
          <w:tcPr>
            <w:tcW w:w="2721" w:type="dxa"/>
            <w:tcBorders>
              <w:right w:val="single" w:sz="4" w:space="0" w:color="FFFFFF"/>
            </w:tcBorders>
            <w:shd w:val="clear" w:color="auto" w:fill="BFBFBF"/>
            <w:vAlign w:val="center"/>
          </w:tcPr>
          <w:p w:rsidR="00AD2338" w:rsidRDefault="00AD2338" w:rsidP="00D15F76">
            <w:pPr>
              <w:autoSpaceDE/>
              <w:autoSpaceDN/>
              <w:rPr>
                <w:rFonts w:ascii="Garamond" w:eastAsia="Calibri" w:hAnsi="Garamond"/>
                <w:b/>
                <w:caps/>
                <w:sz w:val="16"/>
                <w:szCs w:val="16"/>
                <w:lang w:val="en-GB" w:eastAsia="en-US" w:bidi="ar-SA"/>
              </w:rPr>
            </w:pPr>
            <w:r w:rsidRPr="00B3082D">
              <w:rPr>
                <w:rFonts w:ascii="Garamond" w:eastAsia="Calibri" w:hAnsi="Garamond"/>
                <w:b/>
                <w:caps/>
                <w:sz w:val="16"/>
                <w:szCs w:val="16"/>
                <w:lang w:val="en-GB" w:eastAsia="en-US" w:bidi="ar-SA"/>
              </w:rPr>
              <w:t>performance indicator</w:t>
            </w:r>
          </w:p>
          <w:p w:rsidR="00B3082D" w:rsidRPr="00B3082D" w:rsidRDefault="00B3082D" w:rsidP="00D15F76">
            <w:pPr>
              <w:autoSpaceDE/>
              <w:autoSpaceDN/>
              <w:rPr>
                <w:rFonts w:ascii="Garamond" w:eastAsia="Calibri" w:hAnsi="Garamond"/>
                <w:b/>
                <w:caps/>
                <w:sz w:val="16"/>
                <w:szCs w:val="16"/>
                <w:lang w:val="en-GB" w:eastAsia="en-US" w:bidi="ar-SA"/>
              </w:rPr>
            </w:pPr>
          </w:p>
        </w:tc>
        <w:tc>
          <w:tcPr>
            <w:tcW w:w="6855" w:type="dxa"/>
            <w:gridSpan w:val="5"/>
            <w:tcBorders>
              <w:left w:val="single" w:sz="4" w:space="0" w:color="FFFFFF"/>
            </w:tcBorders>
            <w:shd w:val="clear" w:color="auto" w:fill="BFBFBF"/>
            <w:vAlign w:val="center"/>
          </w:tcPr>
          <w:p w:rsidR="00AD2338" w:rsidRPr="00B3082D" w:rsidRDefault="00AD2338" w:rsidP="00AD2338">
            <w:pPr>
              <w:pStyle w:val="Default"/>
              <w:jc w:val="both"/>
              <w:rPr>
                <w:rFonts w:ascii="Garamond" w:eastAsia="Calibri" w:hAnsi="Garamond"/>
                <w:b/>
                <w:sz w:val="16"/>
                <w:szCs w:val="16"/>
                <w:lang w:eastAsia="en-US"/>
              </w:rPr>
            </w:pPr>
            <w:r w:rsidRPr="00B3082D">
              <w:rPr>
                <w:rFonts w:ascii="Garamond" w:hAnsi="Garamond"/>
                <w:sz w:val="16"/>
                <w:szCs w:val="16"/>
              </w:rPr>
              <w:t xml:space="preserve">Share of e-procurement of all procurement contracts awarded during the year. </w:t>
            </w:r>
          </w:p>
        </w:tc>
      </w:tr>
      <w:tr w:rsidR="00AD2338" w:rsidRPr="00B3082D" w:rsidTr="00D15F76">
        <w:trPr>
          <w:gridAfter w:val="1"/>
          <w:wAfter w:w="19" w:type="dxa"/>
          <w:jc w:val="center"/>
        </w:trPr>
        <w:tc>
          <w:tcPr>
            <w:tcW w:w="2721" w:type="dxa"/>
            <w:vAlign w:val="center"/>
          </w:tcPr>
          <w:p w:rsidR="00AD2338" w:rsidRPr="00B3082D" w:rsidRDefault="00AD2338" w:rsidP="00D15F76">
            <w:pPr>
              <w:autoSpaceDE/>
              <w:autoSpaceDN/>
              <w:rPr>
                <w:rFonts w:ascii="Garamond" w:eastAsia="Calibri" w:hAnsi="Garamond"/>
                <w:b/>
                <w:caps/>
                <w:sz w:val="16"/>
                <w:szCs w:val="16"/>
                <w:lang w:val="en-GB" w:eastAsia="en-US" w:bidi="ar-SA"/>
              </w:rPr>
            </w:pPr>
            <w:r w:rsidRPr="00B3082D">
              <w:rPr>
                <w:rFonts w:ascii="Garamond" w:eastAsia="Calibri" w:hAnsi="Garamond"/>
                <w:b/>
                <w:caps/>
                <w:sz w:val="16"/>
                <w:szCs w:val="16"/>
                <w:lang w:val="en-GB" w:eastAsia="en-US" w:bidi="ar-SA"/>
              </w:rPr>
              <w:t>corresponding objective or activity</w:t>
            </w:r>
          </w:p>
        </w:tc>
        <w:tc>
          <w:tcPr>
            <w:tcW w:w="6836" w:type="dxa"/>
            <w:gridSpan w:val="4"/>
            <w:vAlign w:val="center"/>
          </w:tcPr>
          <w:p w:rsidR="00AD2338" w:rsidRPr="00B3082D" w:rsidRDefault="00AD2338" w:rsidP="00D15F76">
            <w:pPr>
              <w:rPr>
                <w:rFonts w:ascii="Garamond" w:hAnsi="Garamond"/>
                <w:color w:val="365F91" w:themeColor="accent1" w:themeShade="BF"/>
                <w:sz w:val="16"/>
                <w:szCs w:val="16"/>
              </w:rPr>
            </w:pPr>
            <w:r w:rsidRPr="00B3082D">
              <w:rPr>
                <w:rFonts w:ascii="Garamond" w:hAnsi="Garamond"/>
                <w:color w:val="365F91" w:themeColor="accent1" w:themeShade="BF"/>
                <w:sz w:val="16"/>
                <w:szCs w:val="16"/>
              </w:rPr>
              <w:t xml:space="preserve">Budget execution </w:t>
            </w:r>
          </w:p>
          <w:p w:rsidR="00AD2338" w:rsidRPr="00B3082D" w:rsidRDefault="00AD2338" w:rsidP="00D15F76">
            <w:pPr>
              <w:pStyle w:val="ListParagraph"/>
              <w:numPr>
                <w:ilvl w:val="0"/>
                <w:numId w:val="28"/>
              </w:numPr>
              <w:rPr>
                <w:rFonts w:ascii="Garamond" w:hAnsi="Garamond"/>
                <w:color w:val="365F91" w:themeColor="accent1" w:themeShade="BF"/>
                <w:sz w:val="16"/>
                <w:szCs w:val="16"/>
                <w:u w:val="single"/>
              </w:rPr>
            </w:pPr>
            <w:r w:rsidRPr="00B3082D">
              <w:rPr>
                <w:rFonts w:ascii="Garamond" w:hAnsi="Garamond"/>
                <w:color w:val="365F91" w:themeColor="accent1" w:themeShade="BF"/>
                <w:sz w:val="16"/>
                <w:szCs w:val="16"/>
                <w:u w:val="single"/>
              </w:rPr>
              <w:t xml:space="preserve">Revenue collection – Public procurement </w:t>
            </w:r>
          </w:p>
          <w:p w:rsidR="00AD2338" w:rsidRPr="00B3082D" w:rsidRDefault="00AD2338" w:rsidP="00D15F76">
            <w:pPr>
              <w:rPr>
                <w:rFonts w:ascii="Garamond" w:eastAsia="Calibri" w:hAnsi="Garamond"/>
                <w:color w:val="000000" w:themeColor="text1"/>
                <w:sz w:val="16"/>
                <w:szCs w:val="16"/>
                <w:lang w:eastAsia="en-US" w:bidi="ar-SA"/>
              </w:rPr>
            </w:pPr>
            <w:r w:rsidRPr="00B3082D">
              <w:rPr>
                <w:rFonts w:ascii="Garamond" w:eastAsia="Calibri" w:hAnsi="Garamond"/>
                <w:color w:val="000000" w:themeColor="text1"/>
                <w:sz w:val="16"/>
                <w:szCs w:val="16"/>
                <w:lang w:eastAsia="en-US" w:bidi="ar-SA"/>
              </w:rPr>
              <w:t>Align the public procurement system with the pertinent EU acquis with a view of setting an efficient, transparent and competitive public procurement system in Montenegro.</w:t>
            </w:r>
          </w:p>
        </w:tc>
      </w:tr>
      <w:tr w:rsidR="00AD2338" w:rsidRPr="00B3082D" w:rsidTr="00D15F76">
        <w:trPr>
          <w:gridAfter w:val="1"/>
          <w:wAfter w:w="19" w:type="dxa"/>
          <w:jc w:val="center"/>
        </w:trPr>
        <w:tc>
          <w:tcPr>
            <w:tcW w:w="2721" w:type="dxa"/>
            <w:vAlign w:val="center"/>
          </w:tcPr>
          <w:p w:rsidR="00AD2338" w:rsidRPr="00B3082D" w:rsidRDefault="00AD2338" w:rsidP="00D15F76">
            <w:pPr>
              <w:autoSpaceDE/>
              <w:autoSpaceDN/>
              <w:rPr>
                <w:rFonts w:ascii="Garamond" w:eastAsia="Calibri" w:hAnsi="Garamond"/>
                <w:b/>
                <w:caps/>
                <w:sz w:val="16"/>
                <w:szCs w:val="16"/>
                <w:lang w:val="uz-Cyrl-UZ" w:eastAsia="en-US" w:bidi="ar-SA"/>
              </w:rPr>
            </w:pPr>
            <w:r w:rsidRPr="00B3082D">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FD45AC" w:rsidRPr="00B3082D" w:rsidRDefault="00FD45AC" w:rsidP="00FD45AC">
            <w:pPr>
              <w:jc w:val="both"/>
              <w:rPr>
                <w:rFonts w:ascii="Garamond" w:eastAsia="Calibri" w:hAnsi="Garamond"/>
                <w:sz w:val="16"/>
                <w:szCs w:val="16"/>
                <w:lang w:eastAsia="en-US" w:bidi="ar-SA"/>
              </w:rPr>
            </w:pPr>
            <w:r w:rsidRPr="00B3082D">
              <w:rPr>
                <w:rFonts w:ascii="Garamond" w:eastAsia="Calibri" w:hAnsi="Garamond"/>
                <w:sz w:val="16"/>
                <w:szCs w:val="16"/>
                <w:lang w:eastAsia="en-US" w:bidi="ar-SA"/>
              </w:rPr>
              <w:t>The tender procedure for the selection of the most favorable bidder for the introduction of the electronic public procurement system in Montenegro is underway.</w:t>
            </w:r>
          </w:p>
          <w:p w:rsidR="00FD45AC" w:rsidRPr="00B3082D" w:rsidRDefault="00613C2B" w:rsidP="00FD45AC">
            <w:pPr>
              <w:jc w:val="both"/>
              <w:rPr>
                <w:rFonts w:ascii="Garamond" w:eastAsia="Calibri" w:hAnsi="Garamond"/>
                <w:sz w:val="16"/>
                <w:szCs w:val="16"/>
                <w:lang w:eastAsia="en-US" w:bidi="ar-SA"/>
              </w:rPr>
            </w:pPr>
            <w:hyperlink r:id="rId31" w:history="1">
              <w:r w:rsidR="00FD45AC" w:rsidRPr="00B3082D">
                <w:rPr>
                  <w:rStyle w:val="Hyperlink"/>
                  <w:rFonts w:ascii="Garamond" w:eastAsia="Calibri" w:hAnsi="Garamond"/>
                  <w:sz w:val="16"/>
                  <w:szCs w:val="16"/>
                  <w:lang w:eastAsia="en-US" w:bidi="ar-SA"/>
                </w:rPr>
                <w:t>http://www.mif.gov.me/rubrike/CFCU_tenderi/Tenderi/Otvoreni/156772/Klariifikacije-za-ugovor-o-uslugama-Implementacija-Elektronskog-sistema-javnih-nabavki.html</w:t>
              </w:r>
            </w:hyperlink>
            <w:r w:rsidR="00FD45AC" w:rsidRPr="00B3082D">
              <w:rPr>
                <w:rFonts w:ascii="Garamond" w:eastAsia="Calibri" w:hAnsi="Garamond"/>
                <w:sz w:val="16"/>
                <w:szCs w:val="16"/>
                <w:lang w:eastAsia="en-US" w:bidi="ar-SA"/>
              </w:rPr>
              <w:t xml:space="preserve"> </w:t>
            </w:r>
          </w:p>
          <w:p w:rsidR="00AD2338" w:rsidRPr="00B3082D" w:rsidRDefault="00613C2B" w:rsidP="00FD45AC">
            <w:pPr>
              <w:jc w:val="both"/>
              <w:rPr>
                <w:rFonts w:ascii="Garamond" w:eastAsia="Calibri" w:hAnsi="Garamond"/>
                <w:sz w:val="16"/>
                <w:szCs w:val="16"/>
                <w:lang w:eastAsia="en-US" w:bidi="ar-SA"/>
              </w:rPr>
            </w:pPr>
            <w:hyperlink r:id="rId32" w:history="1">
              <w:r w:rsidR="00FD45AC" w:rsidRPr="00B3082D">
                <w:rPr>
                  <w:rStyle w:val="Hyperlink"/>
                  <w:rFonts w:ascii="Garamond" w:eastAsia="Calibri" w:hAnsi="Garamond"/>
                  <w:sz w:val="16"/>
                  <w:szCs w:val="16"/>
                  <w:lang w:eastAsia="en-US" w:bidi="ar-SA"/>
                </w:rPr>
                <w:t>http://www.ujn.gov.me/category/izvjestaji/</w:t>
              </w:r>
            </w:hyperlink>
            <w:r w:rsidR="00FD45AC" w:rsidRPr="00B3082D">
              <w:rPr>
                <w:rFonts w:ascii="Garamond" w:eastAsia="Calibri" w:hAnsi="Garamond"/>
                <w:sz w:val="16"/>
                <w:szCs w:val="16"/>
                <w:lang w:eastAsia="en-US" w:bidi="ar-SA"/>
              </w:rPr>
              <w:t xml:space="preserve"> </w:t>
            </w:r>
          </w:p>
        </w:tc>
      </w:tr>
      <w:tr w:rsidR="00AD2338" w:rsidRPr="00B3082D" w:rsidTr="00D15F76">
        <w:trPr>
          <w:gridAfter w:val="1"/>
          <w:wAfter w:w="19" w:type="dxa"/>
          <w:jc w:val="center"/>
        </w:trPr>
        <w:tc>
          <w:tcPr>
            <w:tcW w:w="2721" w:type="dxa"/>
            <w:vAlign w:val="center"/>
          </w:tcPr>
          <w:p w:rsidR="00AD2338" w:rsidRPr="00B3082D" w:rsidRDefault="00AD2338" w:rsidP="00D15F76">
            <w:pPr>
              <w:autoSpaceDE/>
              <w:autoSpaceDN/>
              <w:rPr>
                <w:rFonts w:ascii="Garamond" w:eastAsia="Calibri" w:hAnsi="Garamond"/>
                <w:b/>
                <w:caps/>
                <w:sz w:val="16"/>
                <w:szCs w:val="16"/>
                <w:lang w:val="uz-Cyrl-UZ" w:eastAsia="en-US" w:bidi="ar-SA"/>
              </w:rPr>
            </w:pPr>
            <w:r w:rsidRPr="00B3082D">
              <w:rPr>
                <w:rFonts w:ascii="Garamond" w:eastAsia="Calibri" w:hAnsi="Garamond"/>
                <w:b/>
                <w:caps/>
                <w:sz w:val="16"/>
                <w:szCs w:val="16"/>
                <w:lang w:val="uz-Cyrl-UZ" w:eastAsia="en-US" w:bidi="ar-SA"/>
              </w:rPr>
              <w:t>NAME OF DATA COLLECTION HOLDER</w:t>
            </w:r>
          </w:p>
        </w:tc>
        <w:tc>
          <w:tcPr>
            <w:tcW w:w="6836" w:type="dxa"/>
            <w:gridSpan w:val="4"/>
            <w:vAlign w:val="center"/>
          </w:tcPr>
          <w:p w:rsidR="00AD2338" w:rsidRPr="00B3082D" w:rsidRDefault="00AD2338" w:rsidP="00D15F76">
            <w:pPr>
              <w:rPr>
                <w:rFonts w:ascii="Garamond" w:hAnsi="Garamond"/>
                <w:sz w:val="16"/>
                <w:szCs w:val="16"/>
              </w:rPr>
            </w:pPr>
            <w:r w:rsidRPr="00B3082D">
              <w:rPr>
                <w:rFonts w:ascii="Garamond" w:hAnsi="Garamond"/>
                <w:sz w:val="16"/>
                <w:szCs w:val="16"/>
              </w:rPr>
              <w:t>Ministry of Finance and Social Welfare</w:t>
            </w:r>
          </w:p>
          <w:p w:rsidR="00AD2338" w:rsidRPr="00B3082D" w:rsidRDefault="00AD2338" w:rsidP="00D15F76">
            <w:pPr>
              <w:rPr>
                <w:rFonts w:ascii="Garamond" w:hAnsi="Garamond"/>
                <w:sz w:val="16"/>
                <w:szCs w:val="16"/>
              </w:rPr>
            </w:pPr>
            <w:r w:rsidRPr="00B3082D">
              <w:rPr>
                <w:rFonts w:ascii="Garamond" w:hAnsi="Garamond"/>
                <w:sz w:val="16"/>
                <w:szCs w:val="16"/>
              </w:rPr>
              <w:t>Dijana Vukčević, Department for Monitoring Public Procurement Procedures and Management of Electronic Public Procurement</w:t>
            </w:r>
          </w:p>
          <w:p w:rsidR="00AD2338" w:rsidRPr="00B3082D" w:rsidRDefault="00AD2338" w:rsidP="00D15F76">
            <w:pPr>
              <w:rPr>
                <w:rFonts w:ascii="Garamond" w:hAnsi="Garamond"/>
                <w:sz w:val="16"/>
                <w:szCs w:val="16"/>
              </w:rPr>
            </w:pPr>
            <w:r w:rsidRPr="00B3082D">
              <w:rPr>
                <w:rFonts w:ascii="Garamond" w:hAnsi="Garamond"/>
                <w:sz w:val="16"/>
                <w:szCs w:val="16"/>
              </w:rPr>
              <w:t>vukcevic.dijana@gmail.com</w:t>
            </w:r>
          </w:p>
          <w:p w:rsidR="00AD2338" w:rsidRPr="00B3082D" w:rsidRDefault="00AD2338" w:rsidP="00D15F76">
            <w:pPr>
              <w:rPr>
                <w:rFonts w:ascii="Garamond" w:hAnsi="Garamond"/>
                <w:sz w:val="16"/>
                <w:szCs w:val="16"/>
              </w:rPr>
            </w:pPr>
            <w:r w:rsidRPr="00B3082D">
              <w:rPr>
                <w:rFonts w:ascii="Garamond" w:hAnsi="Garamond"/>
                <w:sz w:val="16"/>
                <w:szCs w:val="16"/>
              </w:rPr>
              <w:t>Phone: 067373384</w:t>
            </w:r>
          </w:p>
          <w:p w:rsidR="00AD2338" w:rsidRPr="00B3082D" w:rsidRDefault="00AD2338" w:rsidP="00D15F76">
            <w:pPr>
              <w:rPr>
                <w:rFonts w:ascii="Garamond" w:hAnsi="Garamond"/>
                <w:sz w:val="16"/>
                <w:szCs w:val="16"/>
              </w:rPr>
            </w:pPr>
            <w:r w:rsidRPr="00B3082D">
              <w:rPr>
                <w:rFonts w:ascii="Garamond" w:hAnsi="Garamond"/>
                <w:sz w:val="16"/>
                <w:szCs w:val="16"/>
              </w:rPr>
              <w:t>Sanja Poleksić, Department for Professional Training, Development and International Cooperation in the Field of Public Procurement</w:t>
            </w:r>
          </w:p>
          <w:p w:rsidR="00AD2338" w:rsidRPr="00B3082D" w:rsidRDefault="00AD2338" w:rsidP="00D15F76">
            <w:pPr>
              <w:rPr>
                <w:rFonts w:ascii="Garamond" w:hAnsi="Garamond"/>
                <w:sz w:val="16"/>
                <w:szCs w:val="16"/>
              </w:rPr>
            </w:pPr>
            <w:r w:rsidRPr="00B3082D">
              <w:rPr>
                <w:rFonts w:ascii="Garamond" w:hAnsi="Garamond"/>
                <w:sz w:val="16"/>
                <w:szCs w:val="16"/>
              </w:rPr>
              <w:t>s.p@t-com.me</w:t>
            </w:r>
          </w:p>
          <w:p w:rsidR="00AD2338" w:rsidRPr="00B3082D" w:rsidRDefault="00AD2338" w:rsidP="00D15F76">
            <w:pPr>
              <w:rPr>
                <w:rFonts w:ascii="Garamond" w:eastAsia="Calibri" w:hAnsi="Garamond"/>
                <w:sz w:val="16"/>
                <w:szCs w:val="16"/>
                <w:lang w:eastAsia="en-US" w:bidi="ar-SA"/>
              </w:rPr>
            </w:pPr>
            <w:r w:rsidRPr="00B3082D">
              <w:rPr>
                <w:rFonts w:ascii="Garamond" w:hAnsi="Garamond"/>
                <w:sz w:val="16"/>
                <w:szCs w:val="16"/>
              </w:rPr>
              <w:t>Phone: 067400191</w:t>
            </w:r>
          </w:p>
        </w:tc>
      </w:tr>
      <w:tr w:rsidR="00AD2338" w:rsidRPr="00B3082D" w:rsidTr="00D15F76">
        <w:trPr>
          <w:gridAfter w:val="1"/>
          <w:wAfter w:w="19" w:type="dxa"/>
          <w:jc w:val="center"/>
        </w:trPr>
        <w:tc>
          <w:tcPr>
            <w:tcW w:w="2721" w:type="dxa"/>
            <w:vAlign w:val="center"/>
          </w:tcPr>
          <w:p w:rsidR="00AD2338" w:rsidRPr="00B3082D" w:rsidRDefault="00AD2338" w:rsidP="00D15F76">
            <w:pPr>
              <w:autoSpaceDE/>
              <w:autoSpaceDN/>
              <w:rPr>
                <w:rFonts w:ascii="Garamond" w:eastAsia="Calibri" w:hAnsi="Garamond"/>
                <w:b/>
                <w:caps/>
                <w:sz w:val="16"/>
                <w:szCs w:val="16"/>
                <w:lang w:val="uz-Cyrl-UZ" w:eastAsia="en-US" w:bidi="ar-SA"/>
              </w:rPr>
            </w:pPr>
            <w:r w:rsidRPr="00B3082D">
              <w:rPr>
                <w:rFonts w:ascii="Garamond" w:eastAsia="Calibri" w:hAnsi="Garamond"/>
                <w:b/>
                <w:caps/>
                <w:sz w:val="16"/>
                <w:szCs w:val="16"/>
                <w:lang w:val="uz-Cyrl-UZ" w:eastAsia="en-US" w:bidi="ar-SA"/>
              </w:rPr>
              <w:t>FREQUENCY OF DATA PUBLICATION</w:t>
            </w:r>
          </w:p>
        </w:tc>
        <w:tc>
          <w:tcPr>
            <w:tcW w:w="6836" w:type="dxa"/>
            <w:gridSpan w:val="4"/>
            <w:vAlign w:val="center"/>
          </w:tcPr>
          <w:p w:rsidR="00AD2338" w:rsidRPr="00B3082D" w:rsidRDefault="00FD45AC" w:rsidP="00D15F76">
            <w:pPr>
              <w:rPr>
                <w:rFonts w:ascii="Garamond" w:eastAsia="Calibri" w:hAnsi="Garamond"/>
                <w:sz w:val="16"/>
                <w:szCs w:val="16"/>
                <w:lang w:eastAsia="en-US" w:bidi="ar-SA"/>
              </w:rPr>
            </w:pPr>
            <w:r w:rsidRPr="00B3082D">
              <w:rPr>
                <w:rFonts w:ascii="Garamond" w:eastAsia="Calibri" w:hAnsi="Garamond"/>
                <w:sz w:val="16"/>
                <w:szCs w:val="16"/>
                <w:lang w:eastAsia="en-US" w:bidi="ar-SA"/>
              </w:rPr>
              <w:t xml:space="preserve">Daily </w:t>
            </w:r>
          </w:p>
        </w:tc>
      </w:tr>
      <w:tr w:rsidR="00AD2338" w:rsidRPr="00B3082D" w:rsidTr="00D15F76">
        <w:trPr>
          <w:gridAfter w:val="1"/>
          <w:wAfter w:w="19" w:type="dxa"/>
          <w:trHeight w:val="458"/>
          <w:jc w:val="center"/>
        </w:trPr>
        <w:tc>
          <w:tcPr>
            <w:tcW w:w="2721" w:type="dxa"/>
            <w:vMerge w:val="restart"/>
            <w:vAlign w:val="center"/>
          </w:tcPr>
          <w:p w:rsidR="00AD2338" w:rsidRPr="00B3082D" w:rsidRDefault="00AD2338" w:rsidP="00D15F76">
            <w:pPr>
              <w:autoSpaceDE/>
              <w:autoSpaceDN/>
              <w:rPr>
                <w:rFonts w:ascii="Garamond" w:eastAsia="Calibri" w:hAnsi="Garamond"/>
                <w:b/>
                <w:caps/>
                <w:sz w:val="16"/>
                <w:szCs w:val="16"/>
                <w:lang w:val="uz-Cyrl-UZ" w:eastAsia="en-US" w:bidi="ar-SA"/>
              </w:rPr>
            </w:pPr>
            <w:r w:rsidRPr="00B3082D">
              <w:rPr>
                <w:rFonts w:ascii="Garamond" w:eastAsia="Calibri" w:hAnsi="Garamond"/>
                <w:b/>
                <w:caps/>
                <w:sz w:val="16"/>
                <w:szCs w:val="16"/>
                <w:lang w:val="uz-Cyrl-UZ" w:eastAsia="en-US" w:bidi="ar-SA"/>
              </w:rPr>
              <w:t xml:space="preserve">BRIEF DESCRIPTION </w:t>
            </w:r>
            <w:r w:rsidRPr="00B3082D">
              <w:rPr>
                <w:rFonts w:ascii="Garamond" w:eastAsia="Calibri" w:hAnsi="Garamond"/>
                <w:b/>
                <w:caps/>
                <w:sz w:val="16"/>
                <w:szCs w:val="16"/>
                <w:lang w:val="en-GB" w:eastAsia="en-US" w:bidi="ar-SA"/>
              </w:rPr>
              <w:t xml:space="preserve">OF </w:t>
            </w:r>
            <w:r w:rsidRPr="00B3082D">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FD45AC" w:rsidRPr="00B3082D" w:rsidRDefault="00FD45AC" w:rsidP="00FD45AC">
            <w:pPr>
              <w:jc w:val="both"/>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The e - system supports the complete public procurement procedure from the publication of electronic submission of bids to the award of the contract.</w:t>
            </w:r>
          </w:p>
          <w:p w:rsidR="00AD2338" w:rsidRPr="00B3082D" w:rsidRDefault="00FD45AC" w:rsidP="00FD45AC">
            <w:pPr>
              <w:jc w:val="both"/>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 xml:space="preserve">Please note that the use of the electronic system will be mandatory for all those </w:t>
            </w:r>
            <w:r w:rsidRPr="00B3082D">
              <w:rPr>
                <w:rFonts w:ascii="Garamond" w:eastAsia="Calibri" w:hAnsi="Garamond"/>
                <w:sz w:val="16"/>
                <w:szCs w:val="16"/>
                <w:lang w:val="en-GB" w:eastAsia="en-US" w:bidi="ar-SA"/>
              </w:rPr>
              <w:t>taxpayers</w:t>
            </w:r>
            <w:r w:rsidRPr="00B3082D">
              <w:rPr>
                <w:rFonts w:ascii="Garamond" w:eastAsia="Calibri" w:hAnsi="Garamond"/>
                <w:sz w:val="16"/>
                <w:szCs w:val="16"/>
                <w:lang w:val="uz-Cyrl-UZ" w:eastAsia="en-US" w:bidi="ar-SA"/>
              </w:rPr>
              <w:t xml:space="preserve"> </w:t>
            </w:r>
            <w:r w:rsidRPr="00B3082D">
              <w:rPr>
                <w:rFonts w:ascii="Garamond" w:eastAsia="Calibri" w:hAnsi="Garamond"/>
                <w:sz w:val="16"/>
                <w:szCs w:val="16"/>
                <w:lang w:val="en-GB" w:eastAsia="en-US" w:bidi="ar-SA"/>
              </w:rPr>
              <w:t>obliged to apply</w:t>
            </w:r>
            <w:r w:rsidRPr="00B3082D">
              <w:rPr>
                <w:rFonts w:ascii="Garamond" w:eastAsia="Calibri" w:hAnsi="Garamond"/>
                <w:sz w:val="16"/>
                <w:szCs w:val="16"/>
                <w:lang w:val="uz-Cyrl-UZ" w:eastAsia="en-US" w:bidi="ar-SA"/>
              </w:rPr>
              <w:t xml:space="preserve"> the Law on Public Procurement.</w:t>
            </w:r>
          </w:p>
        </w:tc>
      </w:tr>
      <w:tr w:rsidR="00AD2338" w:rsidRPr="00B3082D" w:rsidTr="00D15F76">
        <w:trPr>
          <w:gridAfter w:val="1"/>
          <w:wAfter w:w="19" w:type="dxa"/>
          <w:trHeight w:val="620"/>
          <w:jc w:val="center"/>
        </w:trPr>
        <w:tc>
          <w:tcPr>
            <w:tcW w:w="2721" w:type="dxa"/>
            <w:vMerge/>
            <w:shd w:val="clear" w:color="auto" w:fill="auto"/>
            <w:vAlign w:val="center"/>
          </w:tcPr>
          <w:p w:rsidR="00AD2338" w:rsidRPr="00B3082D" w:rsidRDefault="00AD2338"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AD2338" w:rsidRPr="00B3082D" w:rsidRDefault="00AD2338" w:rsidP="00D15F76">
            <w:pPr>
              <w:jc w:val="center"/>
              <w:rPr>
                <w:rFonts w:ascii="Garamond" w:hAnsi="Garamond"/>
                <w:color w:val="365F91" w:themeColor="accent1" w:themeShade="BF"/>
                <w:sz w:val="16"/>
                <w:szCs w:val="16"/>
                <w:lang w:val="uz-Cyrl-UZ"/>
              </w:rPr>
            </w:pPr>
            <w:r w:rsidRPr="00B3082D">
              <w:rPr>
                <w:rFonts w:ascii="Garamond" w:hAnsi="Garamond"/>
                <w:color w:val="365F91" w:themeColor="accent1" w:themeShade="BF"/>
                <w:sz w:val="16"/>
                <w:szCs w:val="16"/>
                <w:lang w:val="uz-Cyrl-UZ"/>
              </w:rPr>
              <w:t>FORMULA / EQUATION</w:t>
            </w:r>
          </w:p>
          <w:p w:rsidR="00AD2338" w:rsidRPr="00B3082D" w:rsidRDefault="00FD45AC" w:rsidP="00D15F76">
            <w:pPr>
              <w:jc w:val="center"/>
              <w:rPr>
                <w:rFonts w:ascii="Garamond" w:eastAsia="Calibri" w:hAnsi="Garamond"/>
                <w:sz w:val="16"/>
                <w:szCs w:val="16"/>
                <w:lang w:val="en-GB" w:eastAsia="en-US" w:bidi="ar-SA"/>
              </w:rPr>
            </w:pPr>
            <w:r w:rsidRPr="00B3082D">
              <w:rPr>
                <w:rFonts w:ascii="Garamond" w:eastAsia="Calibri" w:hAnsi="Garamond"/>
                <w:sz w:val="16"/>
                <w:szCs w:val="16"/>
                <w:lang w:val="en-GB" w:eastAsia="en-US" w:bidi="ar-SA"/>
              </w:rPr>
              <w:t>Number of total contracts awarded via e-system in one calendar year / total number of contracts awarded in one calendar year X 100</w:t>
            </w:r>
          </w:p>
        </w:tc>
      </w:tr>
      <w:tr w:rsidR="00AD2338" w:rsidRPr="00B3082D" w:rsidTr="00D15F76">
        <w:trPr>
          <w:gridAfter w:val="1"/>
          <w:wAfter w:w="19" w:type="dxa"/>
          <w:trHeight w:val="585"/>
          <w:jc w:val="center"/>
        </w:trPr>
        <w:tc>
          <w:tcPr>
            <w:tcW w:w="2721" w:type="dxa"/>
            <w:vAlign w:val="center"/>
          </w:tcPr>
          <w:p w:rsidR="00AD2338" w:rsidRPr="00B3082D" w:rsidRDefault="00AD2338" w:rsidP="00D15F76">
            <w:pPr>
              <w:autoSpaceDE/>
              <w:autoSpaceDN/>
              <w:rPr>
                <w:rFonts w:ascii="Garamond" w:eastAsia="Calibri" w:hAnsi="Garamond"/>
                <w:b/>
                <w:bCs/>
                <w:caps/>
                <w:sz w:val="16"/>
                <w:szCs w:val="16"/>
                <w:lang w:val="en-GB" w:eastAsia="en-US" w:bidi="ar-SA"/>
              </w:rPr>
            </w:pPr>
            <w:r w:rsidRPr="00B3082D">
              <w:rPr>
                <w:rFonts w:ascii="Garamond" w:eastAsia="Calibri" w:hAnsi="Garamond"/>
                <w:b/>
                <w:caps/>
                <w:sz w:val="16"/>
                <w:szCs w:val="16"/>
                <w:lang w:val="uz-Cyrl-UZ" w:eastAsia="en-US" w:bidi="ar-SA"/>
              </w:rPr>
              <w:t>BASELINE</w:t>
            </w:r>
            <w:r w:rsidRPr="00B3082D">
              <w:rPr>
                <w:rFonts w:ascii="Garamond" w:eastAsia="Calibri" w:hAnsi="Garamond"/>
                <w:b/>
                <w:caps/>
                <w:sz w:val="16"/>
                <w:szCs w:val="16"/>
                <w:lang w:val="en-GB" w:eastAsia="en-US" w:bidi="ar-SA"/>
              </w:rPr>
              <w:t xml:space="preserve"> DATA</w:t>
            </w:r>
          </w:p>
        </w:tc>
        <w:tc>
          <w:tcPr>
            <w:tcW w:w="6836" w:type="dxa"/>
            <w:gridSpan w:val="4"/>
            <w:vAlign w:val="center"/>
          </w:tcPr>
          <w:p w:rsidR="00AD2338" w:rsidRPr="00B3082D" w:rsidRDefault="00AD2338" w:rsidP="00D15F76">
            <w:pPr>
              <w:pStyle w:val="TabelaTekst"/>
              <w:spacing w:before="0" w:after="0" w:line="240" w:lineRule="auto"/>
              <w:rPr>
                <w:rFonts w:ascii="Garamond" w:hAnsi="Garamond"/>
                <w:sz w:val="16"/>
                <w:szCs w:val="16"/>
                <w:lang w:val="en-GB"/>
              </w:rPr>
            </w:pPr>
            <w:r w:rsidRPr="00B3082D">
              <w:rPr>
                <w:rFonts w:ascii="Garamond" w:hAnsi="Garamond"/>
                <w:sz w:val="16"/>
                <w:szCs w:val="16"/>
              </w:rPr>
              <w:t xml:space="preserve">PV (2014): </w:t>
            </w:r>
            <w:r w:rsidR="00FD45AC" w:rsidRPr="00B3082D">
              <w:rPr>
                <w:rFonts w:ascii="Garamond" w:hAnsi="Garamond"/>
                <w:sz w:val="16"/>
                <w:szCs w:val="16"/>
              </w:rPr>
              <w:t>0% (There is no electronic public procurement system)</w:t>
            </w:r>
            <w:r w:rsidRPr="00B3082D">
              <w:rPr>
                <w:rFonts w:ascii="Garamond" w:hAnsi="Garamond"/>
                <w:sz w:val="16"/>
                <w:szCs w:val="16"/>
                <w:lang w:val="en-GB"/>
              </w:rPr>
              <w:t xml:space="preserve"> </w:t>
            </w:r>
          </w:p>
        </w:tc>
      </w:tr>
      <w:tr w:rsidR="00AD2338" w:rsidRPr="00B3082D" w:rsidTr="00D15F76">
        <w:trPr>
          <w:gridAfter w:val="1"/>
          <w:wAfter w:w="19" w:type="dxa"/>
          <w:trHeight w:val="160"/>
          <w:jc w:val="center"/>
        </w:trPr>
        <w:tc>
          <w:tcPr>
            <w:tcW w:w="2721" w:type="dxa"/>
            <w:vMerge w:val="restart"/>
            <w:vAlign w:val="center"/>
          </w:tcPr>
          <w:p w:rsidR="00AD2338" w:rsidRPr="00B3082D" w:rsidRDefault="00AD2338" w:rsidP="00D15F76">
            <w:pPr>
              <w:autoSpaceDE/>
              <w:autoSpaceDN/>
              <w:rPr>
                <w:rFonts w:ascii="Garamond" w:eastAsia="Calibri" w:hAnsi="Garamond"/>
                <w:b/>
                <w:bCs/>
                <w:caps/>
                <w:sz w:val="16"/>
                <w:szCs w:val="16"/>
                <w:lang w:val="uz-Cyrl-UZ" w:eastAsia="en-US" w:bidi="ar-SA"/>
              </w:rPr>
            </w:pPr>
            <w:r w:rsidRPr="00B3082D">
              <w:rPr>
                <w:rFonts w:ascii="Garamond" w:eastAsia="Calibri" w:hAnsi="Garamond"/>
                <w:b/>
                <w:caps/>
                <w:sz w:val="16"/>
                <w:szCs w:val="16"/>
                <w:lang w:val="uz-Cyrl-UZ" w:eastAsia="en-US" w:bidi="ar-SA"/>
              </w:rPr>
              <w:t>TARGET VALUE DATA</w:t>
            </w:r>
          </w:p>
        </w:tc>
        <w:tc>
          <w:tcPr>
            <w:tcW w:w="1771" w:type="dxa"/>
            <w:vAlign w:val="center"/>
          </w:tcPr>
          <w:p w:rsidR="00AD2338" w:rsidRPr="00B3082D" w:rsidRDefault="00AD2338" w:rsidP="00D15F76">
            <w:pPr>
              <w:autoSpaceDE/>
              <w:autoSpaceDN/>
              <w:jc w:val="center"/>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2017</w:t>
            </w:r>
          </w:p>
        </w:tc>
        <w:tc>
          <w:tcPr>
            <w:tcW w:w="1771" w:type="dxa"/>
            <w:vAlign w:val="center"/>
          </w:tcPr>
          <w:p w:rsidR="00AD2338" w:rsidRPr="00B3082D" w:rsidRDefault="00AD2338" w:rsidP="00D15F76">
            <w:pPr>
              <w:autoSpaceDE/>
              <w:autoSpaceDN/>
              <w:jc w:val="center"/>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2018</w:t>
            </w:r>
          </w:p>
        </w:tc>
        <w:tc>
          <w:tcPr>
            <w:tcW w:w="1771" w:type="dxa"/>
            <w:vAlign w:val="center"/>
          </w:tcPr>
          <w:p w:rsidR="00AD2338" w:rsidRPr="00B3082D" w:rsidRDefault="00AD2338" w:rsidP="00D15F76">
            <w:pPr>
              <w:autoSpaceDE/>
              <w:autoSpaceDN/>
              <w:jc w:val="center"/>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2019</w:t>
            </w:r>
          </w:p>
        </w:tc>
        <w:tc>
          <w:tcPr>
            <w:tcW w:w="1523" w:type="dxa"/>
            <w:vAlign w:val="center"/>
          </w:tcPr>
          <w:p w:rsidR="00AD2338" w:rsidRPr="00B3082D" w:rsidRDefault="00AD2338" w:rsidP="00D15F76">
            <w:pPr>
              <w:autoSpaceDE/>
              <w:autoSpaceDN/>
              <w:jc w:val="center"/>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2020</w:t>
            </w:r>
          </w:p>
        </w:tc>
      </w:tr>
      <w:tr w:rsidR="00D026B6" w:rsidRPr="00B3082D" w:rsidTr="00D15F76">
        <w:trPr>
          <w:gridAfter w:val="1"/>
          <w:wAfter w:w="19" w:type="dxa"/>
          <w:trHeight w:val="160"/>
          <w:jc w:val="center"/>
        </w:trPr>
        <w:tc>
          <w:tcPr>
            <w:tcW w:w="2721" w:type="dxa"/>
            <w:vMerge/>
            <w:vAlign w:val="center"/>
          </w:tcPr>
          <w:p w:rsidR="00D026B6" w:rsidRPr="00B3082D" w:rsidRDefault="00D026B6" w:rsidP="00D15F76">
            <w:pPr>
              <w:autoSpaceDE/>
              <w:autoSpaceDN/>
              <w:rPr>
                <w:rFonts w:ascii="Garamond" w:eastAsia="Calibri" w:hAnsi="Garamond"/>
                <w:b/>
                <w:bCs/>
                <w:caps/>
                <w:sz w:val="16"/>
                <w:szCs w:val="16"/>
                <w:lang w:val="uz-Cyrl-UZ" w:eastAsia="en-US" w:bidi="ar-SA"/>
              </w:rPr>
            </w:pPr>
          </w:p>
        </w:tc>
        <w:tc>
          <w:tcPr>
            <w:tcW w:w="1771" w:type="dxa"/>
            <w:vAlign w:val="center"/>
          </w:tcPr>
          <w:p w:rsidR="00D026B6" w:rsidRPr="00B3082D" w:rsidRDefault="00D026B6" w:rsidP="00D15F76">
            <w:pPr>
              <w:pStyle w:val="TabelaTekst"/>
              <w:spacing w:before="0" w:after="0" w:line="240" w:lineRule="auto"/>
              <w:rPr>
                <w:rFonts w:ascii="Garamond" w:hAnsi="Garamond"/>
                <w:sz w:val="16"/>
                <w:szCs w:val="16"/>
              </w:rPr>
            </w:pPr>
            <w:r w:rsidRPr="00B3082D">
              <w:rPr>
                <w:rFonts w:ascii="Garamond" w:hAnsi="Garamond"/>
                <w:sz w:val="16"/>
                <w:szCs w:val="16"/>
              </w:rPr>
              <w:t>0% (There is no electronic public procurement system)</w:t>
            </w:r>
          </w:p>
        </w:tc>
        <w:tc>
          <w:tcPr>
            <w:tcW w:w="1771" w:type="dxa"/>
            <w:vAlign w:val="center"/>
          </w:tcPr>
          <w:p w:rsidR="00D026B6" w:rsidRPr="00B3082D" w:rsidRDefault="00D026B6"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Selection of the most favorable bidder</w:t>
            </w:r>
          </w:p>
        </w:tc>
        <w:tc>
          <w:tcPr>
            <w:tcW w:w="1771" w:type="dxa"/>
            <w:vAlign w:val="center"/>
          </w:tcPr>
          <w:p w:rsidR="00D026B6" w:rsidRPr="00B3082D" w:rsidRDefault="00D026B6"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30%</w:t>
            </w:r>
          </w:p>
        </w:tc>
        <w:tc>
          <w:tcPr>
            <w:tcW w:w="1523" w:type="dxa"/>
            <w:vAlign w:val="center"/>
          </w:tcPr>
          <w:p w:rsidR="00D026B6" w:rsidRPr="00B3082D" w:rsidRDefault="00D026B6" w:rsidP="00D15F76">
            <w:pPr>
              <w:pStyle w:val="TabelaTekst"/>
              <w:spacing w:before="0" w:after="0" w:line="240" w:lineRule="auto"/>
              <w:rPr>
                <w:rFonts w:ascii="Garamond" w:hAnsi="Garamond"/>
                <w:sz w:val="16"/>
                <w:szCs w:val="16"/>
              </w:rPr>
            </w:pPr>
            <w:r w:rsidRPr="00B3082D">
              <w:rPr>
                <w:rFonts w:ascii="Garamond" w:hAnsi="Garamond"/>
                <w:sz w:val="16"/>
                <w:szCs w:val="16"/>
              </w:rPr>
              <w:t>80%</w:t>
            </w:r>
          </w:p>
        </w:tc>
      </w:tr>
      <w:tr w:rsidR="00FD45AC" w:rsidRPr="00B3082D" w:rsidTr="00D15F76">
        <w:trPr>
          <w:gridAfter w:val="1"/>
          <w:wAfter w:w="19" w:type="dxa"/>
          <w:trHeight w:val="160"/>
          <w:jc w:val="center"/>
        </w:trPr>
        <w:tc>
          <w:tcPr>
            <w:tcW w:w="2721" w:type="dxa"/>
            <w:vAlign w:val="center"/>
          </w:tcPr>
          <w:p w:rsidR="00FD45AC" w:rsidRPr="00B3082D" w:rsidRDefault="0062456A" w:rsidP="00D15F76">
            <w:pPr>
              <w:autoSpaceDE/>
              <w:autoSpaceDN/>
              <w:rPr>
                <w:rFonts w:ascii="Garamond" w:eastAsia="Calibri" w:hAnsi="Garamond"/>
                <w:b/>
                <w:bCs/>
                <w:caps/>
                <w:sz w:val="16"/>
                <w:szCs w:val="16"/>
                <w:lang w:val="uz-Cyrl-UZ" w:eastAsia="en-US" w:bidi="ar-SA"/>
              </w:rPr>
            </w:pPr>
            <w:r w:rsidRPr="00B3082D">
              <w:rPr>
                <w:rFonts w:ascii="Garamond" w:eastAsia="Calibri" w:hAnsi="Garamond"/>
                <w:b/>
                <w:bCs/>
                <w:caps/>
                <w:sz w:val="16"/>
                <w:szCs w:val="16"/>
                <w:lang w:val="uz-Cyrl-UZ" w:eastAsia="en-US" w:bidi="ar-SA"/>
              </w:rPr>
              <w:t>DATA ON VALUES ACHIEVED</w:t>
            </w:r>
          </w:p>
        </w:tc>
        <w:tc>
          <w:tcPr>
            <w:tcW w:w="1771" w:type="dxa"/>
            <w:vAlign w:val="center"/>
          </w:tcPr>
          <w:p w:rsidR="00FD45AC" w:rsidRPr="00B3082D" w:rsidRDefault="00FD45AC" w:rsidP="00D15F76">
            <w:pPr>
              <w:pStyle w:val="TabelaTekst"/>
              <w:spacing w:before="0" w:after="0" w:line="240" w:lineRule="auto"/>
              <w:jc w:val="center"/>
              <w:rPr>
                <w:rFonts w:ascii="Garamond" w:hAnsi="Garamond"/>
                <w:sz w:val="16"/>
                <w:szCs w:val="16"/>
                <w:highlight w:val="yellow"/>
              </w:rPr>
            </w:pPr>
            <w:r w:rsidRPr="00B3082D">
              <w:rPr>
                <w:rFonts w:ascii="Garamond" w:hAnsi="Garamond"/>
                <w:sz w:val="16"/>
                <w:szCs w:val="16"/>
              </w:rPr>
              <w:t>0% (There is no electronic public procurement system)</w:t>
            </w:r>
          </w:p>
        </w:tc>
        <w:tc>
          <w:tcPr>
            <w:tcW w:w="1771" w:type="dxa"/>
            <w:vAlign w:val="center"/>
          </w:tcPr>
          <w:p w:rsidR="00FD45AC" w:rsidRPr="00B3082D" w:rsidRDefault="00FD45AC" w:rsidP="00D15F76">
            <w:pPr>
              <w:pStyle w:val="TabelaTekst"/>
              <w:spacing w:before="0" w:after="0" w:line="240" w:lineRule="auto"/>
              <w:jc w:val="center"/>
              <w:rPr>
                <w:rFonts w:ascii="Garamond" w:hAnsi="Garamond"/>
                <w:sz w:val="16"/>
                <w:szCs w:val="16"/>
                <w:highlight w:val="yellow"/>
              </w:rPr>
            </w:pPr>
            <w:r w:rsidRPr="00B3082D">
              <w:rPr>
                <w:rFonts w:ascii="Garamond" w:eastAsia="Times New Roman" w:hAnsi="Garamond"/>
                <w:color w:val="000000"/>
                <w:sz w:val="16"/>
                <w:szCs w:val="16"/>
              </w:rPr>
              <w:t>The project of creating an e-public procurement system has started</w:t>
            </w:r>
          </w:p>
        </w:tc>
        <w:tc>
          <w:tcPr>
            <w:tcW w:w="1771" w:type="dxa"/>
            <w:vAlign w:val="center"/>
          </w:tcPr>
          <w:p w:rsidR="00FD45AC" w:rsidRPr="00B3082D" w:rsidRDefault="00D026B6" w:rsidP="00D15F76">
            <w:pPr>
              <w:pStyle w:val="TabelaTekst"/>
              <w:spacing w:before="0" w:after="0" w:line="240" w:lineRule="auto"/>
              <w:jc w:val="center"/>
              <w:rPr>
                <w:rFonts w:ascii="Garamond" w:hAnsi="Garamond"/>
                <w:sz w:val="16"/>
                <w:szCs w:val="16"/>
              </w:rPr>
            </w:pPr>
            <w:r w:rsidRPr="00B3082D">
              <w:rPr>
                <w:rFonts w:ascii="Garamond" w:hAnsi="Garamond"/>
                <w:sz w:val="16"/>
                <w:szCs w:val="16"/>
                <w:lang w:val="en-US"/>
              </w:rPr>
              <w:t>Pilot phase of the e-system</w:t>
            </w:r>
          </w:p>
        </w:tc>
        <w:tc>
          <w:tcPr>
            <w:tcW w:w="1523" w:type="dxa"/>
            <w:vAlign w:val="center"/>
          </w:tcPr>
          <w:p w:rsidR="00FD45AC" w:rsidRPr="00B3082D" w:rsidRDefault="00D026B6" w:rsidP="00D15F76">
            <w:pPr>
              <w:jc w:val="center"/>
              <w:rPr>
                <w:rFonts w:ascii="Garamond" w:hAnsi="Garamond"/>
                <w:noProof/>
                <w:sz w:val="16"/>
                <w:szCs w:val="16"/>
              </w:rPr>
            </w:pPr>
            <w:r w:rsidRPr="00B3082D">
              <w:rPr>
                <w:rFonts w:ascii="Garamond" w:hAnsi="Garamond"/>
                <w:sz w:val="16"/>
                <w:szCs w:val="16"/>
              </w:rPr>
              <w:t>System established, in</w:t>
            </w:r>
            <w:r w:rsidR="006A3450" w:rsidRPr="00B3082D">
              <w:rPr>
                <w:rFonts w:ascii="Garamond" w:hAnsi="Garamond"/>
                <w:sz w:val="16"/>
                <w:szCs w:val="16"/>
              </w:rPr>
              <w:t>-</w:t>
            </w:r>
            <w:r w:rsidRPr="00B3082D">
              <w:rPr>
                <w:rFonts w:ascii="Garamond" w:hAnsi="Garamond"/>
                <w:sz w:val="16"/>
                <w:szCs w:val="16"/>
              </w:rPr>
              <w:t>house testing completed and trainings for users of the electronic public procurement system started</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D026B6">
      <w:pPr>
        <w:pStyle w:val="Heading2"/>
        <w:rPr>
          <w:rFonts w:ascii="Garamond" w:hAnsi="Garamond"/>
          <w:sz w:val="24"/>
          <w:szCs w:val="24"/>
        </w:rPr>
      </w:pPr>
      <w:bookmarkStart w:id="61" w:name="_Toc77688238"/>
      <w:r w:rsidRPr="00C32887">
        <w:rPr>
          <w:rFonts w:ascii="Garamond" w:hAnsi="Garamond"/>
          <w:sz w:val="24"/>
          <w:szCs w:val="24"/>
        </w:rPr>
        <w:t>2.4     State aid reform</w:t>
      </w:r>
      <w:bookmarkEnd w:id="61"/>
    </w:p>
    <w:p w:rsidR="004D1343" w:rsidRPr="00C32887" w:rsidRDefault="004D1343" w:rsidP="004D1343">
      <w:pPr>
        <w:rPr>
          <w:rFonts w:ascii="Garamond" w:hAnsi="Garamond"/>
          <w:sz w:val="24"/>
          <w:szCs w:val="24"/>
        </w:rPr>
      </w:pPr>
    </w:p>
    <w:p w:rsidR="004D1343" w:rsidRPr="00C32887" w:rsidRDefault="004D1343" w:rsidP="00D026B6">
      <w:pPr>
        <w:pStyle w:val="Heading3"/>
        <w:rPr>
          <w:rFonts w:ascii="Garamond" w:hAnsi="Garamond"/>
          <w:sz w:val="24"/>
          <w:szCs w:val="24"/>
        </w:rPr>
      </w:pPr>
      <w:bookmarkStart w:id="62" w:name="_Toc77688239"/>
      <w:r w:rsidRPr="00C32887">
        <w:rPr>
          <w:rFonts w:ascii="Garamond" w:hAnsi="Garamond"/>
          <w:sz w:val="24"/>
          <w:szCs w:val="24"/>
        </w:rPr>
        <w:t>2.4.1      PERFORMANC</w:t>
      </w:r>
      <w:r w:rsidR="00D026B6">
        <w:rPr>
          <w:rFonts w:ascii="Garamond" w:hAnsi="Garamond"/>
          <w:sz w:val="24"/>
          <w:szCs w:val="24"/>
        </w:rPr>
        <w:t>E INDICATOR 20</w:t>
      </w:r>
      <w:r w:rsidR="00D026B6" w:rsidRPr="00D026B6">
        <w:rPr>
          <w:rFonts w:ascii="Garamond" w:hAnsi="Garamond"/>
          <w:sz w:val="24"/>
          <w:szCs w:val="24"/>
        </w:rPr>
        <w:t xml:space="preserve"> </w:t>
      </w:r>
      <w:r w:rsidR="00D026B6" w:rsidRPr="00C32887">
        <w:rPr>
          <w:rFonts w:ascii="Garamond" w:hAnsi="Garamond"/>
          <w:sz w:val="24"/>
          <w:szCs w:val="24"/>
        </w:rPr>
        <w:t>PASSPORT</w:t>
      </w:r>
      <w:bookmarkEnd w:id="62"/>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D026B6" w:rsidRPr="00F056F9" w:rsidTr="00D15F76">
        <w:trPr>
          <w:jc w:val="center"/>
        </w:trPr>
        <w:tc>
          <w:tcPr>
            <w:tcW w:w="2721" w:type="dxa"/>
            <w:tcBorders>
              <w:right w:val="single" w:sz="4" w:space="0" w:color="FFFFFF"/>
            </w:tcBorders>
            <w:shd w:val="clear" w:color="auto" w:fill="BFBFBF"/>
            <w:vAlign w:val="center"/>
          </w:tcPr>
          <w:p w:rsidR="00D026B6" w:rsidRPr="00F056F9" w:rsidRDefault="00D026B6" w:rsidP="00D15F76">
            <w:pPr>
              <w:autoSpaceDE/>
              <w:autoSpaceDN/>
              <w:rPr>
                <w:rFonts w:ascii="Garamond" w:eastAsia="Calibri" w:hAnsi="Garamond"/>
                <w:b/>
                <w:caps/>
                <w:sz w:val="18"/>
                <w:szCs w:val="18"/>
                <w:lang w:val="en-GB" w:eastAsia="en-US" w:bidi="ar-SA"/>
              </w:rPr>
            </w:pPr>
            <w:r w:rsidRPr="00F056F9">
              <w:rPr>
                <w:rFonts w:ascii="Garamond" w:eastAsia="Calibri" w:hAnsi="Garamond"/>
                <w:b/>
                <w:caps/>
                <w:sz w:val="18"/>
                <w:szCs w:val="18"/>
                <w:lang w:val="en-GB" w:eastAsia="en-US" w:bidi="ar-SA"/>
              </w:rPr>
              <w:t>performance indicator</w:t>
            </w:r>
          </w:p>
        </w:tc>
        <w:tc>
          <w:tcPr>
            <w:tcW w:w="6855" w:type="dxa"/>
            <w:gridSpan w:val="5"/>
            <w:tcBorders>
              <w:left w:val="single" w:sz="4" w:space="0" w:color="FFFFFF"/>
            </w:tcBorders>
            <w:shd w:val="clear" w:color="auto" w:fill="BFBFBF"/>
            <w:vAlign w:val="center"/>
          </w:tcPr>
          <w:p w:rsidR="00D026B6" w:rsidRPr="00B3082D" w:rsidRDefault="00D026B6" w:rsidP="00D026B6">
            <w:pPr>
              <w:pStyle w:val="Default"/>
              <w:jc w:val="both"/>
              <w:rPr>
                <w:rFonts w:ascii="Garamond" w:eastAsia="Calibri" w:hAnsi="Garamond"/>
                <w:b/>
                <w:sz w:val="18"/>
                <w:szCs w:val="18"/>
                <w:lang w:eastAsia="en-US"/>
              </w:rPr>
            </w:pPr>
            <w:r w:rsidRPr="00B3082D">
              <w:rPr>
                <w:rFonts w:ascii="Garamond" w:hAnsi="Garamond"/>
                <w:iCs/>
                <w:sz w:val="18"/>
                <w:szCs w:val="18"/>
              </w:rPr>
              <w:t xml:space="preserve">The number of state aid grantors and beneficiaries, private sector representatives and judges attending state aid seminars and training events </w:t>
            </w:r>
          </w:p>
        </w:tc>
      </w:tr>
      <w:tr w:rsidR="00D026B6" w:rsidRPr="00290B32" w:rsidTr="00D15F76">
        <w:trPr>
          <w:gridAfter w:val="1"/>
          <w:wAfter w:w="19" w:type="dxa"/>
          <w:jc w:val="center"/>
        </w:trPr>
        <w:tc>
          <w:tcPr>
            <w:tcW w:w="2721" w:type="dxa"/>
            <w:vAlign w:val="center"/>
          </w:tcPr>
          <w:p w:rsidR="00D026B6" w:rsidRPr="00290B32" w:rsidRDefault="00D026B6" w:rsidP="00D15F76">
            <w:pPr>
              <w:autoSpaceDE/>
              <w:autoSpaceDN/>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corresponding objective or activity</w:t>
            </w:r>
          </w:p>
        </w:tc>
        <w:tc>
          <w:tcPr>
            <w:tcW w:w="6836" w:type="dxa"/>
            <w:gridSpan w:val="4"/>
            <w:vAlign w:val="center"/>
          </w:tcPr>
          <w:p w:rsidR="00D026B6" w:rsidRPr="0056213B" w:rsidRDefault="00D026B6" w:rsidP="00D15F76">
            <w:pPr>
              <w:rPr>
                <w:rFonts w:ascii="Garamond" w:hAnsi="Garamond"/>
                <w:color w:val="365F91" w:themeColor="accent1" w:themeShade="BF"/>
                <w:sz w:val="16"/>
                <w:szCs w:val="16"/>
              </w:rPr>
            </w:pPr>
            <w:r>
              <w:rPr>
                <w:rFonts w:ascii="Garamond" w:hAnsi="Garamond"/>
                <w:color w:val="365F91" w:themeColor="accent1" w:themeShade="BF"/>
                <w:sz w:val="16"/>
                <w:szCs w:val="16"/>
              </w:rPr>
              <w:t xml:space="preserve">Budget execution </w:t>
            </w:r>
          </w:p>
          <w:p w:rsidR="00D026B6" w:rsidRPr="00BA23F0" w:rsidRDefault="00D026B6" w:rsidP="00D15F76">
            <w:pPr>
              <w:pStyle w:val="ListParagraph"/>
              <w:numPr>
                <w:ilvl w:val="0"/>
                <w:numId w:val="28"/>
              </w:numPr>
              <w:rPr>
                <w:rFonts w:ascii="Garamond" w:hAnsi="Garamond"/>
                <w:color w:val="365F91" w:themeColor="accent1" w:themeShade="BF"/>
                <w:sz w:val="16"/>
                <w:szCs w:val="16"/>
                <w:u w:val="single"/>
              </w:rPr>
            </w:pPr>
            <w:r>
              <w:rPr>
                <w:rFonts w:ascii="Garamond" w:hAnsi="Garamond"/>
                <w:color w:val="365F91" w:themeColor="accent1" w:themeShade="BF"/>
                <w:sz w:val="16"/>
                <w:szCs w:val="16"/>
                <w:u w:val="single"/>
              </w:rPr>
              <w:t>State Aid Reform</w:t>
            </w:r>
          </w:p>
          <w:p w:rsidR="00D026B6" w:rsidRPr="00C90D2E" w:rsidRDefault="00D026B6" w:rsidP="00D15F76">
            <w:pPr>
              <w:rPr>
                <w:rFonts w:ascii="Garamond" w:eastAsia="Calibri" w:hAnsi="Garamond"/>
                <w:color w:val="000000" w:themeColor="text1"/>
                <w:sz w:val="16"/>
                <w:szCs w:val="16"/>
                <w:lang w:eastAsia="en-US" w:bidi="ar-SA"/>
              </w:rPr>
            </w:pPr>
            <w:r w:rsidRPr="00D026B6">
              <w:rPr>
                <w:rFonts w:ascii="Garamond" w:eastAsia="Calibri" w:hAnsi="Garamond"/>
                <w:color w:val="000000" w:themeColor="text1"/>
                <w:sz w:val="16"/>
                <w:szCs w:val="16"/>
                <w:lang w:eastAsia="en-US" w:bidi="ar-SA"/>
              </w:rPr>
              <w:t>Increase efficiency, effectiveness and transparency of state aid control in Montenegro to be EU-compliant.</w:t>
            </w:r>
          </w:p>
        </w:tc>
      </w:tr>
      <w:tr w:rsidR="00D026B6" w:rsidRPr="00290B32" w:rsidTr="00D15F76">
        <w:trPr>
          <w:gridAfter w:val="1"/>
          <w:wAfter w:w="19" w:type="dxa"/>
          <w:jc w:val="center"/>
        </w:trPr>
        <w:tc>
          <w:tcPr>
            <w:tcW w:w="2721" w:type="dxa"/>
            <w:vAlign w:val="center"/>
          </w:tcPr>
          <w:p w:rsidR="00D026B6" w:rsidRPr="00290B32" w:rsidRDefault="00D026B6" w:rsidP="00D15F76">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D026B6" w:rsidRPr="00290B32" w:rsidRDefault="00D026B6" w:rsidP="00B3082D">
            <w:pPr>
              <w:jc w:val="both"/>
              <w:rPr>
                <w:rFonts w:ascii="Garamond" w:eastAsia="Calibri" w:hAnsi="Garamond"/>
                <w:sz w:val="16"/>
                <w:szCs w:val="16"/>
                <w:lang w:eastAsia="en-US" w:bidi="ar-SA"/>
              </w:rPr>
            </w:pPr>
            <w:r w:rsidRPr="00D026B6">
              <w:rPr>
                <w:rFonts w:ascii="Garamond" w:eastAsia="Calibri" w:hAnsi="Garamond"/>
                <w:sz w:val="16"/>
                <w:szCs w:val="16"/>
                <w:lang w:eastAsia="en-US" w:bidi="ar-SA"/>
              </w:rPr>
              <w:t>Archives of the Competition</w:t>
            </w:r>
            <w:r w:rsidR="00520AFC" w:rsidRPr="00D026B6">
              <w:rPr>
                <w:rFonts w:ascii="Garamond" w:eastAsia="Calibri" w:hAnsi="Garamond"/>
                <w:sz w:val="16"/>
                <w:szCs w:val="16"/>
                <w:lang w:eastAsia="en-US" w:bidi="ar-SA"/>
              </w:rPr>
              <w:t xml:space="preserve"> Protection Agency</w:t>
            </w:r>
            <w:r w:rsidR="00520AFC">
              <w:rPr>
                <w:rFonts w:ascii="Garamond" w:eastAsia="Calibri" w:hAnsi="Garamond"/>
                <w:sz w:val="16"/>
                <w:szCs w:val="16"/>
                <w:lang w:eastAsia="en-US" w:bidi="ar-SA"/>
              </w:rPr>
              <w:t>, also archives of the organisers of the project ‘</w:t>
            </w:r>
            <w:r w:rsidRPr="00D026B6">
              <w:rPr>
                <w:rFonts w:ascii="Garamond" w:eastAsia="Calibri" w:hAnsi="Garamond"/>
                <w:sz w:val="16"/>
                <w:szCs w:val="16"/>
                <w:lang w:eastAsia="en-US" w:bidi="ar-SA"/>
              </w:rPr>
              <w:t>Improvement and strengthening of the institutional and legal framework in the field of s</w:t>
            </w:r>
            <w:r w:rsidR="00520AFC">
              <w:rPr>
                <w:rFonts w:ascii="Garamond" w:eastAsia="Calibri" w:hAnsi="Garamond"/>
                <w:sz w:val="16"/>
                <w:szCs w:val="16"/>
                <w:lang w:eastAsia="en-US" w:bidi="ar-SA"/>
              </w:rPr>
              <w:t>tate aid and public procurement’</w:t>
            </w:r>
            <w:r w:rsidRPr="00D026B6">
              <w:rPr>
                <w:rFonts w:ascii="Garamond" w:eastAsia="Calibri" w:hAnsi="Garamond"/>
                <w:sz w:val="16"/>
                <w:szCs w:val="16"/>
                <w:lang w:eastAsia="en-US" w:bidi="ar-SA"/>
              </w:rPr>
              <w:t xml:space="preserve">, which is envisaged </w:t>
            </w:r>
            <w:r w:rsidR="00B3082D">
              <w:rPr>
                <w:rFonts w:ascii="Garamond" w:eastAsia="Calibri" w:hAnsi="Garamond"/>
                <w:sz w:val="16"/>
                <w:szCs w:val="16"/>
                <w:lang w:eastAsia="en-US" w:bidi="ar-SA"/>
              </w:rPr>
              <w:t>under</w:t>
            </w:r>
            <w:r w:rsidRPr="00D026B6">
              <w:rPr>
                <w:rFonts w:ascii="Garamond" w:eastAsia="Calibri" w:hAnsi="Garamond"/>
                <w:sz w:val="16"/>
                <w:szCs w:val="16"/>
                <w:lang w:eastAsia="en-US" w:bidi="ar-SA"/>
              </w:rPr>
              <w:t xml:space="preserve"> the IPA 2014-2020 program</w:t>
            </w:r>
            <w:r w:rsidR="00420F5A">
              <w:rPr>
                <w:rFonts w:ascii="Garamond" w:eastAsia="Calibri" w:hAnsi="Garamond"/>
                <w:sz w:val="16"/>
                <w:szCs w:val="16"/>
                <w:lang w:eastAsia="en-US" w:bidi="ar-SA"/>
              </w:rPr>
              <w:t>me</w:t>
            </w:r>
            <w:r w:rsidRPr="00D026B6">
              <w:rPr>
                <w:rFonts w:ascii="Garamond" w:eastAsia="Calibri" w:hAnsi="Garamond"/>
                <w:sz w:val="16"/>
                <w:szCs w:val="16"/>
                <w:lang w:eastAsia="en-US" w:bidi="ar-SA"/>
              </w:rPr>
              <w:t>.</w:t>
            </w:r>
          </w:p>
        </w:tc>
      </w:tr>
      <w:tr w:rsidR="00D026B6" w:rsidRPr="00290B32" w:rsidTr="00D15F76">
        <w:trPr>
          <w:gridAfter w:val="1"/>
          <w:wAfter w:w="19" w:type="dxa"/>
          <w:jc w:val="center"/>
        </w:trPr>
        <w:tc>
          <w:tcPr>
            <w:tcW w:w="2721" w:type="dxa"/>
            <w:vAlign w:val="center"/>
          </w:tcPr>
          <w:p w:rsidR="00D026B6" w:rsidRPr="00290B32" w:rsidRDefault="00D026B6" w:rsidP="00D15F76">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NAME OF DATA COLLECTION HOLDER</w:t>
            </w:r>
          </w:p>
        </w:tc>
        <w:tc>
          <w:tcPr>
            <w:tcW w:w="6836" w:type="dxa"/>
            <w:gridSpan w:val="4"/>
            <w:vAlign w:val="center"/>
          </w:tcPr>
          <w:p w:rsidR="00420F5A" w:rsidRPr="00420F5A" w:rsidRDefault="00420F5A" w:rsidP="00420F5A">
            <w:pPr>
              <w:rPr>
                <w:rFonts w:ascii="Garamond" w:hAnsi="Garamond"/>
                <w:sz w:val="16"/>
                <w:szCs w:val="16"/>
              </w:rPr>
            </w:pPr>
            <w:r w:rsidRPr="00420F5A">
              <w:rPr>
                <w:rFonts w:ascii="Garamond" w:hAnsi="Garamond"/>
                <w:sz w:val="16"/>
                <w:szCs w:val="16"/>
              </w:rPr>
              <w:t>Competition Protection Agency</w:t>
            </w:r>
          </w:p>
          <w:p w:rsidR="00420F5A" w:rsidRPr="00420F5A" w:rsidRDefault="00420F5A" w:rsidP="00420F5A">
            <w:pPr>
              <w:rPr>
                <w:rFonts w:ascii="Garamond" w:hAnsi="Garamond"/>
                <w:sz w:val="16"/>
                <w:szCs w:val="16"/>
              </w:rPr>
            </w:pPr>
            <w:r w:rsidRPr="00420F5A">
              <w:rPr>
                <w:rFonts w:ascii="Garamond" w:hAnsi="Garamond"/>
                <w:sz w:val="16"/>
                <w:szCs w:val="16"/>
              </w:rPr>
              <w:t>Ivana Paprenica,</w:t>
            </w:r>
          </w:p>
          <w:p w:rsidR="00420F5A" w:rsidRPr="00420F5A" w:rsidRDefault="00420F5A" w:rsidP="00420F5A">
            <w:pPr>
              <w:rPr>
                <w:rFonts w:ascii="Garamond" w:hAnsi="Garamond"/>
                <w:sz w:val="16"/>
                <w:szCs w:val="16"/>
              </w:rPr>
            </w:pPr>
            <w:r w:rsidRPr="00420F5A">
              <w:rPr>
                <w:rFonts w:ascii="Garamond" w:hAnsi="Garamond"/>
                <w:sz w:val="16"/>
                <w:szCs w:val="16"/>
              </w:rPr>
              <w:t>drzavna.pomoc@azzk.me</w:t>
            </w:r>
          </w:p>
          <w:p w:rsidR="00D026B6" w:rsidRPr="00290B32" w:rsidRDefault="00420F5A" w:rsidP="00420F5A">
            <w:pPr>
              <w:rPr>
                <w:rFonts w:ascii="Garamond" w:eastAsia="Calibri" w:hAnsi="Garamond"/>
                <w:sz w:val="16"/>
                <w:szCs w:val="16"/>
                <w:lang w:eastAsia="en-US" w:bidi="ar-SA"/>
              </w:rPr>
            </w:pPr>
            <w:r w:rsidRPr="00420F5A">
              <w:rPr>
                <w:rFonts w:ascii="Garamond" w:hAnsi="Garamond"/>
                <w:sz w:val="16"/>
                <w:szCs w:val="16"/>
              </w:rPr>
              <w:t>Phone: 063262830</w:t>
            </w:r>
          </w:p>
        </w:tc>
      </w:tr>
      <w:tr w:rsidR="00D026B6" w:rsidRPr="00290B32" w:rsidTr="00D15F76">
        <w:trPr>
          <w:gridAfter w:val="1"/>
          <w:wAfter w:w="19" w:type="dxa"/>
          <w:jc w:val="center"/>
        </w:trPr>
        <w:tc>
          <w:tcPr>
            <w:tcW w:w="2721" w:type="dxa"/>
            <w:vAlign w:val="center"/>
          </w:tcPr>
          <w:p w:rsidR="00D026B6" w:rsidRPr="00290B32" w:rsidRDefault="00D026B6" w:rsidP="00D15F76">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FREQUENCY OF DATA PUBLICATION</w:t>
            </w:r>
          </w:p>
        </w:tc>
        <w:tc>
          <w:tcPr>
            <w:tcW w:w="6836" w:type="dxa"/>
            <w:gridSpan w:val="4"/>
            <w:vAlign w:val="center"/>
          </w:tcPr>
          <w:p w:rsidR="00D026B6" w:rsidRPr="00876280" w:rsidRDefault="00420F5A" w:rsidP="00D15F76">
            <w:pPr>
              <w:rPr>
                <w:rFonts w:ascii="Garamond" w:eastAsia="Calibri" w:hAnsi="Garamond"/>
                <w:sz w:val="16"/>
                <w:szCs w:val="16"/>
                <w:lang w:eastAsia="en-US" w:bidi="ar-SA"/>
              </w:rPr>
            </w:pPr>
            <w:r w:rsidRPr="00420F5A">
              <w:rPr>
                <w:rFonts w:ascii="Garamond" w:eastAsia="Calibri" w:hAnsi="Garamond"/>
                <w:sz w:val="16"/>
                <w:szCs w:val="16"/>
                <w:lang w:eastAsia="en-US" w:bidi="ar-SA"/>
              </w:rPr>
              <w:t>After the seminar, a cross-section can be made at the end of each calendar year</w:t>
            </w:r>
          </w:p>
        </w:tc>
      </w:tr>
      <w:tr w:rsidR="00D026B6" w:rsidRPr="00290B32" w:rsidTr="00D15F76">
        <w:trPr>
          <w:gridAfter w:val="1"/>
          <w:wAfter w:w="19" w:type="dxa"/>
          <w:trHeight w:val="458"/>
          <w:jc w:val="center"/>
        </w:trPr>
        <w:tc>
          <w:tcPr>
            <w:tcW w:w="2721" w:type="dxa"/>
            <w:vMerge w:val="restart"/>
            <w:vAlign w:val="center"/>
          </w:tcPr>
          <w:p w:rsidR="00D026B6" w:rsidRPr="00290B32" w:rsidRDefault="00D026B6" w:rsidP="00D15F76">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 xml:space="preserve">BRIEF DESCRIPTION </w:t>
            </w:r>
            <w:r w:rsidRPr="0056213B">
              <w:rPr>
                <w:rFonts w:ascii="Garamond" w:eastAsia="Calibri" w:hAnsi="Garamond"/>
                <w:b/>
                <w:caps/>
                <w:sz w:val="16"/>
                <w:szCs w:val="16"/>
                <w:lang w:val="en-GB" w:eastAsia="en-US" w:bidi="ar-SA"/>
              </w:rPr>
              <w:t xml:space="preserve">OF </w:t>
            </w:r>
            <w:r w:rsidRPr="0056213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420F5A" w:rsidRPr="00420F5A" w:rsidRDefault="00420F5A" w:rsidP="00420F5A">
            <w:pPr>
              <w:jc w:val="both"/>
              <w:rPr>
                <w:rFonts w:ascii="Garamond" w:eastAsia="Calibri" w:hAnsi="Garamond"/>
                <w:sz w:val="16"/>
                <w:szCs w:val="16"/>
                <w:lang w:val="uz-Cyrl-UZ" w:eastAsia="en-US" w:bidi="ar-SA"/>
              </w:rPr>
            </w:pPr>
            <w:r w:rsidRPr="00420F5A">
              <w:rPr>
                <w:rFonts w:ascii="Garamond" w:eastAsia="Calibri" w:hAnsi="Garamond"/>
                <w:sz w:val="16"/>
                <w:szCs w:val="16"/>
                <w:lang w:val="uz-Cyrl-UZ" w:eastAsia="en-US" w:bidi="ar-SA"/>
              </w:rPr>
              <w:t>Final number of seminar participants in one calendar year.</w:t>
            </w:r>
          </w:p>
          <w:p w:rsidR="00420F5A" w:rsidRPr="00420F5A" w:rsidRDefault="00520AFC" w:rsidP="00420F5A">
            <w:pPr>
              <w:jc w:val="both"/>
              <w:rPr>
                <w:rFonts w:ascii="Garamond" w:eastAsia="Calibri" w:hAnsi="Garamond"/>
                <w:sz w:val="16"/>
                <w:szCs w:val="16"/>
                <w:lang w:val="uz-Cyrl-UZ" w:eastAsia="en-US" w:bidi="ar-SA"/>
              </w:rPr>
            </w:pPr>
            <w:r>
              <w:rPr>
                <w:rFonts w:ascii="Garamond" w:eastAsia="Calibri" w:hAnsi="Garamond"/>
                <w:sz w:val="16"/>
                <w:szCs w:val="16"/>
                <w:lang w:val="uz-Cyrl-UZ" w:eastAsia="en-US" w:bidi="ar-SA"/>
              </w:rPr>
              <w:t>The organi</w:t>
            </w:r>
            <w:r>
              <w:rPr>
                <w:rFonts w:ascii="Garamond" w:eastAsia="Calibri" w:hAnsi="Garamond"/>
                <w:sz w:val="16"/>
                <w:szCs w:val="16"/>
                <w:lang w:val="en-GB" w:eastAsia="en-US" w:bidi="ar-SA"/>
              </w:rPr>
              <w:t>s</w:t>
            </w:r>
            <w:r>
              <w:rPr>
                <w:rFonts w:ascii="Garamond" w:eastAsia="Calibri" w:hAnsi="Garamond"/>
                <w:sz w:val="16"/>
                <w:szCs w:val="16"/>
                <w:lang w:val="uz-Cyrl-UZ" w:eastAsia="en-US" w:bidi="ar-SA"/>
              </w:rPr>
              <w:t xml:space="preserve">er of the project </w:t>
            </w:r>
            <w:r>
              <w:rPr>
                <w:rFonts w:ascii="Garamond" w:eastAsia="Calibri" w:hAnsi="Garamond"/>
                <w:sz w:val="16"/>
                <w:szCs w:val="16"/>
                <w:lang w:val="en-GB" w:eastAsia="en-US" w:bidi="ar-SA"/>
              </w:rPr>
              <w:t>‘</w:t>
            </w:r>
            <w:r w:rsidR="00420F5A" w:rsidRPr="00420F5A">
              <w:rPr>
                <w:rFonts w:ascii="Garamond" w:eastAsia="Calibri" w:hAnsi="Garamond"/>
                <w:sz w:val="16"/>
                <w:szCs w:val="16"/>
                <w:lang w:val="uz-Cyrl-UZ" w:eastAsia="en-US" w:bidi="ar-SA"/>
              </w:rPr>
              <w:t>Improvement and strengthening of the institutional and legal framework in the field of state aid and public procur</w:t>
            </w:r>
            <w:r>
              <w:rPr>
                <w:rFonts w:ascii="Garamond" w:eastAsia="Calibri" w:hAnsi="Garamond"/>
                <w:sz w:val="16"/>
                <w:szCs w:val="16"/>
                <w:lang w:val="uz-Cyrl-UZ" w:eastAsia="en-US" w:bidi="ar-SA"/>
              </w:rPr>
              <w:t>ement</w:t>
            </w:r>
            <w:r>
              <w:rPr>
                <w:rFonts w:ascii="Garamond" w:eastAsia="Calibri" w:hAnsi="Garamond"/>
                <w:sz w:val="16"/>
                <w:szCs w:val="16"/>
                <w:lang w:val="en-GB" w:eastAsia="en-US" w:bidi="ar-SA"/>
              </w:rPr>
              <w:t>’</w:t>
            </w:r>
            <w:r w:rsidR="00420F5A" w:rsidRPr="00420F5A">
              <w:rPr>
                <w:rFonts w:ascii="Garamond" w:eastAsia="Calibri" w:hAnsi="Garamond"/>
                <w:sz w:val="16"/>
                <w:szCs w:val="16"/>
                <w:lang w:val="uz-Cyrl-UZ" w:eastAsia="en-US" w:bidi="ar-SA"/>
              </w:rPr>
              <w:t xml:space="preserve">, which is foreseen </w:t>
            </w:r>
            <w:r w:rsidR="00B3082D">
              <w:rPr>
                <w:rFonts w:ascii="Garamond" w:eastAsia="Calibri" w:hAnsi="Garamond"/>
                <w:sz w:val="16"/>
                <w:szCs w:val="16"/>
                <w:lang w:eastAsia="en-US" w:bidi="ar-SA"/>
              </w:rPr>
              <w:t>under</w:t>
            </w:r>
            <w:r w:rsidR="00420F5A" w:rsidRPr="00420F5A">
              <w:rPr>
                <w:rFonts w:ascii="Garamond" w:eastAsia="Calibri" w:hAnsi="Garamond"/>
                <w:sz w:val="16"/>
                <w:szCs w:val="16"/>
                <w:lang w:val="uz-Cyrl-UZ" w:eastAsia="en-US" w:bidi="ar-SA"/>
              </w:rPr>
              <w:t xml:space="preserve"> the IPA 2014-2020 program</w:t>
            </w:r>
            <w:r w:rsidR="00420F5A">
              <w:rPr>
                <w:rFonts w:ascii="Garamond" w:eastAsia="Calibri" w:hAnsi="Garamond"/>
                <w:sz w:val="16"/>
                <w:szCs w:val="16"/>
                <w:lang w:val="en-GB" w:eastAsia="en-US" w:bidi="ar-SA"/>
              </w:rPr>
              <w:t>me</w:t>
            </w:r>
            <w:r>
              <w:rPr>
                <w:rFonts w:ascii="Garamond" w:eastAsia="Calibri" w:hAnsi="Garamond"/>
                <w:sz w:val="16"/>
                <w:szCs w:val="16"/>
                <w:lang w:val="uz-Cyrl-UZ" w:eastAsia="en-US" w:bidi="ar-SA"/>
              </w:rPr>
              <w:t>, will organi</w:t>
            </w:r>
            <w:r>
              <w:rPr>
                <w:rFonts w:ascii="Garamond" w:eastAsia="Calibri" w:hAnsi="Garamond"/>
                <w:sz w:val="16"/>
                <w:szCs w:val="16"/>
                <w:lang w:val="en-GB" w:eastAsia="en-US" w:bidi="ar-SA"/>
              </w:rPr>
              <w:t>s</w:t>
            </w:r>
            <w:r w:rsidR="00420F5A" w:rsidRPr="00420F5A">
              <w:rPr>
                <w:rFonts w:ascii="Garamond" w:eastAsia="Calibri" w:hAnsi="Garamond"/>
                <w:sz w:val="16"/>
                <w:szCs w:val="16"/>
                <w:lang w:val="uz-Cyrl-UZ" w:eastAsia="en-US" w:bidi="ar-SA"/>
              </w:rPr>
              <w:t xml:space="preserve">e seminars on state aid for different groups of state aid </w:t>
            </w:r>
            <w:r w:rsidR="00B3082D">
              <w:rPr>
                <w:rFonts w:ascii="Garamond" w:eastAsia="Calibri" w:hAnsi="Garamond"/>
                <w:sz w:val="16"/>
                <w:szCs w:val="16"/>
                <w:lang w:eastAsia="en-US" w:bidi="ar-SA"/>
              </w:rPr>
              <w:t>grantors</w:t>
            </w:r>
            <w:r w:rsidR="00420F5A" w:rsidRPr="00420F5A">
              <w:rPr>
                <w:rFonts w:ascii="Garamond" w:eastAsia="Calibri" w:hAnsi="Garamond"/>
                <w:sz w:val="16"/>
                <w:szCs w:val="16"/>
                <w:lang w:val="uz-Cyrl-UZ" w:eastAsia="en-US" w:bidi="ar-SA"/>
              </w:rPr>
              <w:t xml:space="preserve"> and beneficiaries, ai</w:t>
            </w:r>
            <w:r w:rsidR="00420F5A">
              <w:rPr>
                <w:rFonts w:ascii="Garamond" w:eastAsia="Calibri" w:hAnsi="Garamond"/>
                <w:sz w:val="16"/>
                <w:szCs w:val="16"/>
                <w:lang w:val="uz-Cyrl-UZ" w:eastAsia="en-US" w:bidi="ar-SA"/>
              </w:rPr>
              <w:t>med at raising public awareness</w:t>
            </w:r>
            <w:r w:rsidR="00420F5A" w:rsidRPr="00420F5A">
              <w:rPr>
                <w:rFonts w:ascii="Garamond" w:eastAsia="Calibri" w:hAnsi="Garamond"/>
                <w:sz w:val="16"/>
                <w:szCs w:val="16"/>
                <w:lang w:val="uz-Cyrl-UZ" w:eastAsia="en-US" w:bidi="ar-SA"/>
              </w:rPr>
              <w:t xml:space="preserve"> on the issue of state aid (refers to </w:t>
            </w:r>
            <w:r w:rsidR="00B3082D">
              <w:rPr>
                <w:rFonts w:ascii="Garamond" w:eastAsia="Calibri" w:hAnsi="Garamond"/>
                <w:sz w:val="16"/>
                <w:szCs w:val="16"/>
                <w:lang w:eastAsia="en-US" w:bidi="ar-SA"/>
              </w:rPr>
              <w:t>grantors</w:t>
            </w:r>
            <w:r w:rsidR="00420F5A" w:rsidRPr="00420F5A">
              <w:rPr>
                <w:rFonts w:ascii="Garamond" w:eastAsia="Calibri" w:hAnsi="Garamond"/>
                <w:sz w:val="16"/>
                <w:szCs w:val="16"/>
                <w:lang w:val="uz-Cyrl-UZ" w:eastAsia="en-US" w:bidi="ar-SA"/>
              </w:rPr>
              <w:t xml:space="preserve"> and users of state aid, representatives of the private sector and judges).</w:t>
            </w:r>
          </w:p>
          <w:p w:rsidR="00D026B6" w:rsidRPr="00420F5A" w:rsidRDefault="00420F5A" w:rsidP="00420F5A">
            <w:pPr>
              <w:jc w:val="both"/>
              <w:rPr>
                <w:rFonts w:ascii="Garamond" w:eastAsia="Calibri" w:hAnsi="Garamond"/>
                <w:sz w:val="16"/>
                <w:szCs w:val="16"/>
                <w:u w:val="single"/>
                <w:lang w:val="uz-Cyrl-UZ" w:eastAsia="en-US" w:bidi="ar-SA"/>
              </w:rPr>
            </w:pPr>
            <w:r w:rsidRPr="00420F5A">
              <w:rPr>
                <w:rFonts w:ascii="Garamond" w:eastAsia="Calibri" w:hAnsi="Garamond"/>
                <w:sz w:val="16"/>
                <w:szCs w:val="16"/>
                <w:u w:val="single"/>
                <w:lang w:val="uz-Cyrl-UZ" w:eastAsia="en-US" w:bidi="ar-SA"/>
              </w:rPr>
              <w:t>The performance indicator is the total number of people who attended the seminars that ended during one calendar year.</w:t>
            </w:r>
          </w:p>
        </w:tc>
      </w:tr>
      <w:tr w:rsidR="00D026B6" w:rsidRPr="00290B32" w:rsidTr="00D15F76">
        <w:trPr>
          <w:gridAfter w:val="1"/>
          <w:wAfter w:w="19" w:type="dxa"/>
          <w:trHeight w:val="620"/>
          <w:jc w:val="center"/>
        </w:trPr>
        <w:tc>
          <w:tcPr>
            <w:tcW w:w="2721" w:type="dxa"/>
            <w:vMerge/>
            <w:shd w:val="clear" w:color="auto" w:fill="auto"/>
            <w:vAlign w:val="center"/>
          </w:tcPr>
          <w:p w:rsidR="00D026B6" w:rsidRPr="00290B32" w:rsidRDefault="00D026B6"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D026B6" w:rsidRPr="00A03F93" w:rsidRDefault="00D026B6" w:rsidP="00D15F76">
            <w:pPr>
              <w:jc w:val="center"/>
              <w:rPr>
                <w:rFonts w:ascii="Garamond" w:hAnsi="Garamond"/>
                <w:color w:val="365F91" w:themeColor="accent1" w:themeShade="BF"/>
                <w:sz w:val="16"/>
                <w:szCs w:val="16"/>
                <w:lang w:val="uz-Cyrl-UZ"/>
              </w:rPr>
            </w:pPr>
            <w:r w:rsidRPr="00A03F93">
              <w:rPr>
                <w:rFonts w:ascii="Garamond" w:hAnsi="Garamond"/>
                <w:color w:val="365F91" w:themeColor="accent1" w:themeShade="BF"/>
                <w:sz w:val="16"/>
                <w:szCs w:val="16"/>
                <w:lang w:val="uz-Cyrl-UZ"/>
              </w:rPr>
              <w:t>FORMULA / EQUATION</w:t>
            </w:r>
          </w:p>
          <w:p w:rsidR="00D026B6" w:rsidRPr="00876280" w:rsidRDefault="00420F5A" w:rsidP="00420F5A">
            <w:pPr>
              <w:jc w:val="center"/>
              <w:rPr>
                <w:rFonts w:ascii="Garamond" w:eastAsia="Calibri" w:hAnsi="Garamond"/>
                <w:sz w:val="16"/>
                <w:szCs w:val="16"/>
                <w:lang w:val="en-GB" w:eastAsia="en-US" w:bidi="ar-SA"/>
              </w:rPr>
            </w:pPr>
            <w:r>
              <w:rPr>
                <w:rFonts w:ascii="Garamond" w:eastAsia="Calibri" w:hAnsi="Garamond"/>
                <w:sz w:val="16"/>
                <w:szCs w:val="16"/>
                <w:lang w:val="en-GB" w:eastAsia="en-US" w:bidi="ar-SA"/>
              </w:rPr>
              <w:t>n/</w:t>
            </w:r>
            <w:r w:rsidR="0040135F">
              <w:rPr>
                <w:rFonts w:ascii="Garamond" w:eastAsia="Calibri" w:hAnsi="Garamond"/>
                <w:sz w:val="16"/>
                <w:szCs w:val="16"/>
                <w:lang w:val="en-GB" w:eastAsia="en-US" w:bidi="ar-SA"/>
              </w:rPr>
              <w:t>a</w:t>
            </w:r>
          </w:p>
        </w:tc>
      </w:tr>
      <w:tr w:rsidR="00D026B6" w:rsidRPr="00AD2338" w:rsidTr="00D15F76">
        <w:trPr>
          <w:gridAfter w:val="1"/>
          <w:wAfter w:w="19" w:type="dxa"/>
          <w:trHeight w:val="585"/>
          <w:jc w:val="center"/>
        </w:trPr>
        <w:tc>
          <w:tcPr>
            <w:tcW w:w="2721" w:type="dxa"/>
            <w:vAlign w:val="center"/>
          </w:tcPr>
          <w:p w:rsidR="00D026B6" w:rsidRPr="00290B32" w:rsidRDefault="00D026B6" w:rsidP="00D15F76">
            <w:pPr>
              <w:autoSpaceDE/>
              <w:autoSpaceDN/>
              <w:rPr>
                <w:rFonts w:ascii="Garamond" w:eastAsia="Calibri" w:hAnsi="Garamond"/>
                <w:b/>
                <w:bCs/>
                <w:caps/>
                <w:sz w:val="16"/>
                <w:szCs w:val="16"/>
                <w:lang w:val="en-GB" w:eastAsia="en-US" w:bidi="ar-SA"/>
              </w:rPr>
            </w:pPr>
            <w:r w:rsidRPr="0056213B">
              <w:rPr>
                <w:rFonts w:ascii="Garamond" w:eastAsia="Calibri" w:hAnsi="Garamond"/>
                <w:b/>
                <w:caps/>
                <w:sz w:val="16"/>
                <w:szCs w:val="16"/>
                <w:lang w:val="uz-Cyrl-UZ" w:eastAsia="en-US" w:bidi="ar-SA"/>
              </w:rPr>
              <w:t>BASELINE</w:t>
            </w:r>
            <w:r w:rsidRPr="0056213B">
              <w:rPr>
                <w:rFonts w:ascii="Garamond" w:eastAsia="Calibri" w:hAnsi="Garamond"/>
                <w:b/>
                <w:caps/>
                <w:sz w:val="16"/>
                <w:szCs w:val="16"/>
                <w:lang w:val="en-GB" w:eastAsia="en-US" w:bidi="ar-SA"/>
              </w:rPr>
              <w:t xml:space="preserve"> DATA</w:t>
            </w:r>
          </w:p>
        </w:tc>
        <w:tc>
          <w:tcPr>
            <w:tcW w:w="6836" w:type="dxa"/>
            <w:gridSpan w:val="4"/>
            <w:vAlign w:val="center"/>
          </w:tcPr>
          <w:p w:rsidR="00D026B6" w:rsidRPr="00AD2338" w:rsidRDefault="00D026B6" w:rsidP="00420F5A">
            <w:pPr>
              <w:pStyle w:val="TabelaTekst"/>
              <w:spacing w:before="0" w:after="0" w:line="240" w:lineRule="auto"/>
              <w:rPr>
                <w:rFonts w:ascii="Garamond" w:hAnsi="Garamond"/>
                <w:lang w:val="en-GB"/>
              </w:rPr>
            </w:pPr>
            <w:r w:rsidRPr="00AE0CB3">
              <w:rPr>
                <w:rFonts w:ascii="Garamond" w:hAnsi="Garamond"/>
              </w:rPr>
              <w:t>PV (2014</w:t>
            </w:r>
            <w:r w:rsidR="00420F5A">
              <w:rPr>
                <w:rFonts w:ascii="Garamond" w:hAnsi="Garamond"/>
                <w:lang w:val="en-GB"/>
              </w:rPr>
              <w:t>):50</w:t>
            </w:r>
            <w:r>
              <w:rPr>
                <w:rFonts w:ascii="Garamond" w:hAnsi="Garamond"/>
                <w:lang w:val="en-GB"/>
              </w:rPr>
              <w:t xml:space="preserve"> </w:t>
            </w:r>
          </w:p>
        </w:tc>
      </w:tr>
      <w:tr w:rsidR="00D026B6" w:rsidRPr="00290B32" w:rsidTr="00D15F76">
        <w:trPr>
          <w:gridAfter w:val="1"/>
          <w:wAfter w:w="19" w:type="dxa"/>
          <w:trHeight w:val="160"/>
          <w:jc w:val="center"/>
        </w:trPr>
        <w:tc>
          <w:tcPr>
            <w:tcW w:w="2721" w:type="dxa"/>
            <w:vMerge w:val="restart"/>
            <w:vAlign w:val="center"/>
          </w:tcPr>
          <w:p w:rsidR="00D026B6" w:rsidRPr="00290B32" w:rsidRDefault="00D026B6" w:rsidP="00D15F76">
            <w:pPr>
              <w:autoSpaceDE/>
              <w:autoSpaceDN/>
              <w:rPr>
                <w:rFonts w:ascii="Garamond" w:eastAsia="Calibri" w:hAnsi="Garamond"/>
                <w:b/>
                <w:bCs/>
                <w:caps/>
                <w:sz w:val="16"/>
                <w:szCs w:val="16"/>
                <w:lang w:val="uz-Cyrl-UZ" w:eastAsia="en-US" w:bidi="ar-SA"/>
              </w:rPr>
            </w:pPr>
            <w:r w:rsidRPr="0056213B">
              <w:rPr>
                <w:rFonts w:ascii="Garamond" w:eastAsia="Calibri" w:hAnsi="Garamond"/>
                <w:b/>
                <w:caps/>
                <w:sz w:val="16"/>
                <w:szCs w:val="16"/>
                <w:lang w:val="uz-Cyrl-UZ" w:eastAsia="en-US" w:bidi="ar-SA"/>
              </w:rPr>
              <w:t>TARGET VALUE DATA</w:t>
            </w:r>
          </w:p>
        </w:tc>
        <w:tc>
          <w:tcPr>
            <w:tcW w:w="1771" w:type="dxa"/>
            <w:vAlign w:val="center"/>
          </w:tcPr>
          <w:p w:rsidR="00D026B6" w:rsidRPr="00290B32" w:rsidRDefault="00D026B6" w:rsidP="00D15F76">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2017</w:t>
            </w:r>
          </w:p>
        </w:tc>
        <w:tc>
          <w:tcPr>
            <w:tcW w:w="1771" w:type="dxa"/>
            <w:vAlign w:val="center"/>
          </w:tcPr>
          <w:p w:rsidR="00D026B6" w:rsidRPr="00290B32" w:rsidRDefault="00D026B6" w:rsidP="00D15F76">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2018</w:t>
            </w:r>
          </w:p>
        </w:tc>
        <w:tc>
          <w:tcPr>
            <w:tcW w:w="1771" w:type="dxa"/>
            <w:vAlign w:val="center"/>
          </w:tcPr>
          <w:p w:rsidR="00D026B6" w:rsidRPr="00290B32" w:rsidRDefault="00D026B6" w:rsidP="00D15F76">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2019</w:t>
            </w:r>
          </w:p>
        </w:tc>
        <w:tc>
          <w:tcPr>
            <w:tcW w:w="1523" w:type="dxa"/>
            <w:vAlign w:val="center"/>
          </w:tcPr>
          <w:p w:rsidR="00D026B6" w:rsidRPr="00290B32" w:rsidRDefault="00D026B6" w:rsidP="00D15F76">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2020</w:t>
            </w:r>
          </w:p>
        </w:tc>
      </w:tr>
      <w:tr w:rsidR="00420F5A" w:rsidRPr="00290B32" w:rsidTr="00D15F76">
        <w:trPr>
          <w:gridAfter w:val="1"/>
          <w:wAfter w:w="19" w:type="dxa"/>
          <w:trHeight w:val="160"/>
          <w:jc w:val="center"/>
        </w:trPr>
        <w:tc>
          <w:tcPr>
            <w:tcW w:w="2721" w:type="dxa"/>
            <w:vMerge/>
            <w:vAlign w:val="center"/>
          </w:tcPr>
          <w:p w:rsidR="00420F5A" w:rsidRPr="00290B32" w:rsidRDefault="00420F5A" w:rsidP="00D15F76">
            <w:pPr>
              <w:autoSpaceDE/>
              <w:autoSpaceDN/>
              <w:rPr>
                <w:rFonts w:ascii="Garamond" w:eastAsia="Calibri" w:hAnsi="Garamond"/>
                <w:b/>
                <w:bCs/>
                <w:caps/>
                <w:sz w:val="16"/>
                <w:szCs w:val="16"/>
                <w:lang w:val="uz-Cyrl-UZ" w:eastAsia="en-US" w:bidi="ar-SA"/>
              </w:rPr>
            </w:pPr>
          </w:p>
        </w:tc>
        <w:tc>
          <w:tcPr>
            <w:tcW w:w="1771" w:type="dxa"/>
            <w:vAlign w:val="center"/>
          </w:tcPr>
          <w:p w:rsidR="00420F5A" w:rsidRPr="00AE0CB3" w:rsidRDefault="00420F5A" w:rsidP="00D15F76">
            <w:pPr>
              <w:pStyle w:val="TabelaTekst"/>
              <w:spacing w:before="0" w:after="0" w:line="240" w:lineRule="auto"/>
              <w:jc w:val="center"/>
              <w:rPr>
                <w:rFonts w:ascii="Garamond" w:hAnsi="Garamond"/>
              </w:rPr>
            </w:pPr>
            <w:r w:rsidRPr="00AE0CB3">
              <w:rPr>
                <w:rFonts w:ascii="Garamond" w:hAnsi="Garamond"/>
              </w:rPr>
              <w:t>50</w:t>
            </w:r>
          </w:p>
        </w:tc>
        <w:tc>
          <w:tcPr>
            <w:tcW w:w="1771" w:type="dxa"/>
            <w:vAlign w:val="center"/>
          </w:tcPr>
          <w:p w:rsidR="00420F5A" w:rsidRPr="00AE0CB3" w:rsidRDefault="00420F5A" w:rsidP="00D15F76">
            <w:pPr>
              <w:pStyle w:val="TabelaTekst"/>
              <w:spacing w:before="0" w:after="0" w:line="240" w:lineRule="auto"/>
              <w:jc w:val="center"/>
              <w:rPr>
                <w:rFonts w:ascii="Garamond" w:hAnsi="Garamond"/>
              </w:rPr>
            </w:pPr>
            <w:r w:rsidRPr="00AE0CB3">
              <w:rPr>
                <w:rFonts w:ascii="Garamond" w:hAnsi="Garamond"/>
              </w:rPr>
              <w:t>30</w:t>
            </w:r>
          </w:p>
        </w:tc>
        <w:tc>
          <w:tcPr>
            <w:tcW w:w="1771" w:type="dxa"/>
            <w:vAlign w:val="center"/>
          </w:tcPr>
          <w:p w:rsidR="00420F5A" w:rsidRPr="00AE0CB3" w:rsidRDefault="00420F5A" w:rsidP="00D15F76">
            <w:pPr>
              <w:pStyle w:val="TabelaTekst"/>
              <w:spacing w:before="0" w:after="0" w:line="240" w:lineRule="auto"/>
              <w:jc w:val="center"/>
              <w:rPr>
                <w:rFonts w:ascii="Garamond" w:hAnsi="Garamond"/>
              </w:rPr>
            </w:pPr>
            <w:r w:rsidRPr="00AE0CB3">
              <w:rPr>
                <w:rFonts w:ascii="Garamond" w:hAnsi="Garamond"/>
              </w:rPr>
              <w:t>60</w:t>
            </w:r>
          </w:p>
        </w:tc>
        <w:tc>
          <w:tcPr>
            <w:tcW w:w="1523" w:type="dxa"/>
            <w:vAlign w:val="center"/>
          </w:tcPr>
          <w:p w:rsidR="00420F5A" w:rsidRPr="00AE0CB3" w:rsidRDefault="00420F5A" w:rsidP="00D15F76">
            <w:pPr>
              <w:pStyle w:val="TabelaTekst"/>
              <w:spacing w:before="0" w:after="0" w:line="240" w:lineRule="auto"/>
              <w:jc w:val="center"/>
              <w:rPr>
                <w:rFonts w:ascii="Garamond" w:hAnsi="Garamond"/>
              </w:rPr>
            </w:pPr>
            <w:r w:rsidRPr="00AE0CB3">
              <w:rPr>
                <w:rFonts w:ascii="Garamond" w:hAnsi="Garamond"/>
              </w:rPr>
              <w:t>100</w:t>
            </w:r>
          </w:p>
        </w:tc>
      </w:tr>
      <w:tr w:rsidR="00420F5A" w:rsidRPr="00290B32" w:rsidTr="00D15F76">
        <w:trPr>
          <w:gridAfter w:val="1"/>
          <w:wAfter w:w="19" w:type="dxa"/>
          <w:trHeight w:val="160"/>
          <w:jc w:val="center"/>
        </w:trPr>
        <w:tc>
          <w:tcPr>
            <w:tcW w:w="2721" w:type="dxa"/>
            <w:vAlign w:val="center"/>
          </w:tcPr>
          <w:p w:rsidR="00420F5A" w:rsidRPr="00290B32" w:rsidRDefault="0062456A" w:rsidP="00D15F76">
            <w:pPr>
              <w:autoSpaceDE/>
              <w:autoSpaceDN/>
              <w:rPr>
                <w:rFonts w:ascii="Garamond" w:eastAsia="Calibri" w:hAnsi="Garamond"/>
                <w:b/>
                <w:bCs/>
                <w:caps/>
                <w:sz w:val="16"/>
                <w:szCs w:val="16"/>
                <w:lang w:val="uz-Cyrl-UZ" w:eastAsia="en-US" w:bidi="ar-SA"/>
              </w:rPr>
            </w:pPr>
            <w:r>
              <w:rPr>
                <w:rFonts w:ascii="Garamond" w:eastAsia="Calibri" w:hAnsi="Garamond"/>
                <w:b/>
                <w:bCs/>
                <w:caps/>
                <w:sz w:val="16"/>
                <w:szCs w:val="16"/>
                <w:lang w:val="uz-Cyrl-UZ" w:eastAsia="en-US" w:bidi="ar-SA"/>
              </w:rPr>
              <w:t>DATA ON VALUES ACHIEVED</w:t>
            </w:r>
          </w:p>
        </w:tc>
        <w:tc>
          <w:tcPr>
            <w:tcW w:w="1771" w:type="dxa"/>
            <w:vAlign w:val="center"/>
          </w:tcPr>
          <w:p w:rsidR="00420F5A" w:rsidRPr="00AE0CB3" w:rsidRDefault="00420F5A" w:rsidP="00D15F76">
            <w:pPr>
              <w:pStyle w:val="TabelaTekst"/>
              <w:spacing w:before="0" w:after="0" w:line="240" w:lineRule="auto"/>
              <w:jc w:val="center"/>
              <w:rPr>
                <w:rFonts w:ascii="Garamond" w:hAnsi="Garamond"/>
              </w:rPr>
            </w:pPr>
            <w:r w:rsidRPr="00AE0CB3">
              <w:rPr>
                <w:rFonts w:ascii="Garamond" w:hAnsi="Garamond"/>
              </w:rPr>
              <w:t>0</w:t>
            </w:r>
          </w:p>
        </w:tc>
        <w:tc>
          <w:tcPr>
            <w:tcW w:w="1771" w:type="dxa"/>
            <w:vAlign w:val="center"/>
          </w:tcPr>
          <w:p w:rsidR="00420F5A" w:rsidRPr="00AE0CB3" w:rsidRDefault="00420F5A" w:rsidP="00D15F76">
            <w:pPr>
              <w:pStyle w:val="TabelaTekst"/>
              <w:spacing w:before="0" w:after="0" w:line="240" w:lineRule="auto"/>
              <w:jc w:val="center"/>
              <w:rPr>
                <w:rFonts w:ascii="Garamond" w:hAnsi="Garamond"/>
              </w:rPr>
            </w:pPr>
            <w:r w:rsidRPr="00AE0CB3">
              <w:rPr>
                <w:rFonts w:ascii="Garamond" w:hAnsi="Garamond"/>
              </w:rPr>
              <w:t>0</w:t>
            </w:r>
          </w:p>
        </w:tc>
        <w:tc>
          <w:tcPr>
            <w:tcW w:w="1771" w:type="dxa"/>
            <w:vAlign w:val="center"/>
          </w:tcPr>
          <w:p w:rsidR="00420F5A" w:rsidRPr="00AE0CB3" w:rsidRDefault="00420F5A" w:rsidP="00D15F76">
            <w:pPr>
              <w:pStyle w:val="TabelaTekst"/>
              <w:spacing w:before="0" w:after="0" w:line="240" w:lineRule="auto"/>
              <w:jc w:val="center"/>
              <w:rPr>
                <w:rFonts w:ascii="Garamond" w:hAnsi="Garamond"/>
              </w:rPr>
            </w:pPr>
            <w:r w:rsidRPr="00AE0CB3">
              <w:rPr>
                <w:rFonts w:ascii="Garamond" w:hAnsi="Garamond"/>
              </w:rPr>
              <w:t>56</w:t>
            </w:r>
          </w:p>
        </w:tc>
        <w:tc>
          <w:tcPr>
            <w:tcW w:w="1523" w:type="dxa"/>
            <w:vAlign w:val="center"/>
          </w:tcPr>
          <w:p w:rsidR="00420F5A" w:rsidRPr="00AE0CB3" w:rsidRDefault="00420F5A" w:rsidP="00D15F76">
            <w:pPr>
              <w:pStyle w:val="TabelaTekst"/>
              <w:spacing w:before="0" w:after="0" w:line="240" w:lineRule="auto"/>
              <w:jc w:val="center"/>
              <w:rPr>
                <w:rFonts w:ascii="Garamond" w:hAnsi="Garamond"/>
              </w:rPr>
            </w:pPr>
            <w:r w:rsidRPr="00AE0CB3">
              <w:rPr>
                <w:rFonts w:ascii="Garamond" w:hAnsi="Garamond" w:cstheme="majorHAnsi"/>
                <w:noProof/>
                <w:szCs w:val="18"/>
                <w:lang w:eastAsia="en-GB"/>
              </w:rPr>
              <w:t>124</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420F5A">
      <w:pPr>
        <w:pStyle w:val="Heading3"/>
        <w:rPr>
          <w:rFonts w:ascii="Garamond" w:hAnsi="Garamond"/>
          <w:sz w:val="24"/>
          <w:szCs w:val="24"/>
        </w:rPr>
      </w:pPr>
      <w:bookmarkStart w:id="63" w:name="_Toc77688240"/>
      <w:r w:rsidRPr="00C32887">
        <w:rPr>
          <w:rFonts w:ascii="Garamond" w:hAnsi="Garamond"/>
          <w:sz w:val="24"/>
          <w:szCs w:val="24"/>
        </w:rPr>
        <w:t>2.4.2      PE</w:t>
      </w:r>
      <w:r w:rsidR="00420F5A">
        <w:rPr>
          <w:rFonts w:ascii="Garamond" w:hAnsi="Garamond"/>
          <w:sz w:val="24"/>
          <w:szCs w:val="24"/>
        </w:rPr>
        <w:t>RFORMANCE INDICATOR 21</w:t>
      </w:r>
      <w:r w:rsidR="00420F5A" w:rsidRPr="00420F5A">
        <w:rPr>
          <w:rFonts w:ascii="Garamond" w:hAnsi="Garamond"/>
          <w:sz w:val="24"/>
          <w:szCs w:val="24"/>
        </w:rPr>
        <w:t xml:space="preserve"> </w:t>
      </w:r>
      <w:r w:rsidR="00420F5A" w:rsidRPr="00C32887">
        <w:rPr>
          <w:rFonts w:ascii="Garamond" w:hAnsi="Garamond"/>
          <w:sz w:val="24"/>
          <w:szCs w:val="24"/>
        </w:rPr>
        <w:t>PASSPORT</w:t>
      </w:r>
      <w:bookmarkEnd w:id="63"/>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420F5A" w:rsidRPr="00B3082D" w:rsidTr="00D15F76">
        <w:trPr>
          <w:jc w:val="center"/>
        </w:trPr>
        <w:tc>
          <w:tcPr>
            <w:tcW w:w="2721" w:type="dxa"/>
            <w:tcBorders>
              <w:right w:val="single" w:sz="4" w:space="0" w:color="FFFFFF"/>
            </w:tcBorders>
            <w:shd w:val="clear" w:color="auto" w:fill="BFBFBF"/>
            <w:vAlign w:val="center"/>
          </w:tcPr>
          <w:p w:rsidR="00420F5A" w:rsidRPr="00B3082D" w:rsidRDefault="00420F5A" w:rsidP="00D15F76">
            <w:pPr>
              <w:autoSpaceDE/>
              <w:autoSpaceDN/>
              <w:rPr>
                <w:rFonts w:ascii="Garamond" w:eastAsia="Calibri" w:hAnsi="Garamond"/>
                <w:b/>
                <w:caps/>
                <w:sz w:val="16"/>
                <w:szCs w:val="16"/>
                <w:lang w:val="en-GB" w:eastAsia="en-US" w:bidi="ar-SA"/>
              </w:rPr>
            </w:pPr>
            <w:r w:rsidRPr="00B3082D">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420F5A" w:rsidRPr="00B3082D" w:rsidRDefault="00420F5A" w:rsidP="00B3082D">
            <w:pPr>
              <w:pStyle w:val="Default"/>
              <w:jc w:val="both"/>
              <w:rPr>
                <w:rFonts w:ascii="Garamond" w:eastAsia="Calibri" w:hAnsi="Garamond"/>
                <w:b/>
                <w:sz w:val="16"/>
                <w:szCs w:val="16"/>
                <w:lang w:eastAsia="en-US"/>
              </w:rPr>
            </w:pPr>
            <w:r w:rsidRPr="00B3082D">
              <w:rPr>
                <w:rFonts w:ascii="Garamond" w:hAnsi="Garamond"/>
                <w:iCs/>
                <w:sz w:val="16"/>
                <w:szCs w:val="16"/>
              </w:rPr>
              <w:t xml:space="preserve">The share of staff of the State Aid Division and the Commission for State Aid Control undergoing training with a view </w:t>
            </w:r>
            <w:r w:rsidR="00B3082D">
              <w:rPr>
                <w:rFonts w:ascii="Garamond" w:hAnsi="Garamond"/>
                <w:iCs/>
                <w:sz w:val="16"/>
                <w:szCs w:val="16"/>
              </w:rPr>
              <w:t>to</w:t>
            </w:r>
            <w:r w:rsidRPr="00B3082D">
              <w:rPr>
                <w:rFonts w:ascii="Garamond" w:hAnsi="Garamond"/>
                <w:iCs/>
                <w:sz w:val="16"/>
                <w:szCs w:val="16"/>
              </w:rPr>
              <w:t xml:space="preserve"> strengthening the legal framework, reducing the level of illegal state aid and conducting ex-post controls </w:t>
            </w:r>
          </w:p>
        </w:tc>
      </w:tr>
      <w:tr w:rsidR="00420F5A" w:rsidRPr="00B3082D" w:rsidTr="00D15F76">
        <w:trPr>
          <w:gridAfter w:val="1"/>
          <w:wAfter w:w="19" w:type="dxa"/>
          <w:jc w:val="center"/>
        </w:trPr>
        <w:tc>
          <w:tcPr>
            <w:tcW w:w="2721" w:type="dxa"/>
            <w:vAlign w:val="center"/>
          </w:tcPr>
          <w:p w:rsidR="00420F5A" w:rsidRPr="00B3082D" w:rsidRDefault="00420F5A" w:rsidP="00D15F76">
            <w:pPr>
              <w:autoSpaceDE/>
              <w:autoSpaceDN/>
              <w:rPr>
                <w:rFonts w:ascii="Garamond" w:eastAsia="Calibri" w:hAnsi="Garamond"/>
                <w:b/>
                <w:caps/>
                <w:sz w:val="16"/>
                <w:szCs w:val="16"/>
                <w:lang w:val="en-GB" w:eastAsia="en-US" w:bidi="ar-SA"/>
              </w:rPr>
            </w:pPr>
            <w:r w:rsidRPr="00B3082D">
              <w:rPr>
                <w:rFonts w:ascii="Garamond" w:eastAsia="Calibri" w:hAnsi="Garamond"/>
                <w:b/>
                <w:caps/>
                <w:sz w:val="16"/>
                <w:szCs w:val="16"/>
                <w:lang w:val="en-GB" w:eastAsia="en-US" w:bidi="ar-SA"/>
              </w:rPr>
              <w:t>corresponding objective or activity</w:t>
            </w:r>
          </w:p>
        </w:tc>
        <w:tc>
          <w:tcPr>
            <w:tcW w:w="6836" w:type="dxa"/>
            <w:gridSpan w:val="4"/>
            <w:vAlign w:val="center"/>
          </w:tcPr>
          <w:p w:rsidR="00420F5A" w:rsidRPr="00B3082D" w:rsidRDefault="00420F5A" w:rsidP="00D15F76">
            <w:pPr>
              <w:rPr>
                <w:rFonts w:ascii="Garamond" w:hAnsi="Garamond"/>
                <w:color w:val="365F91" w:themeColor="accent1" w:themeShade="BF"/>
                <w:sz w:val="16"/>
                <w:szCs w:val="16"/>
              </w:rPr>
            </w:pPr>
            <w:r w:rsidRPr="00B3082D">
              <w:rPr>
                <w:rFonts w:ascii="Garamond" w:hAnsi="Garamond"/>
                <w:color w:val="365F91" w:themeColor="accent1" w:themeShade="BF"/>
                <w:sz w:val="16"/>
                <w:szCs w:val="16"/>
              </w:rPr>
              <w:t xml:space="preserve">Budget execution </w:t>
            </w:r>
          </w:p>
          <w:p w:rsidR="00420F5A" w:rsidRPr="00B3082D" w:rsidRDefault="00420F5A" w:rsidP="00D15F76">
            <w:pPr>
              <w:pStyle w:val="ListParagraph"/>
              <w:numPr>
                <w:ilvl w:val="0"/>
                <w:numId w:val="28"/>
              </w:numPr>
              <w:rPr>
                <w:rFonts w:ascii="Garamond" w:hAnsi="Garamond"/>
                <w:color w:val="365F91" w:themeColor="accent1" w:themeShade="BF"/>
                <w:sz w:val="16"/>
                <w:szCs w:val="16"/>
                <w:u w:val="single"/>
              </w:rPr>
            </w:pPr>
            <w:r w:rsidRPr="00B3082D">
              <w:rPr>
                <w:rFonts w:ascii="Garamond" w:hAnsi="Garamond"/>
                <w:color w:val="365F91" w:themeColor="accent1" w:themeShade="BF"/>
                <w:sz w:val="16"/>
                <w:szCs w:val="16"/>
                <w:u w:val="single"/>
              </w:rPr>
              <w:t>State Aid Reform</w:t>
            </w:r>
          </w:p>
          <w:p w:rsidR="00420F5A" w:rsidRPr="00B3082D" w:rsidRDefault="00420F5A" w:rsidP="00D15F76">
            <w:pPr>
              <w:rPr>
                <w:rFonts w:ascii="Garamond" w:eastAsia="Calibri" w:hAnsi="Garamond"/>
                <w:color w:val="000000" w:themeColor="text1"/>
                <w:sz w:val="16"/>
                <w:szCs w:val="16"/>
                <w:lang w:eastAsia="en-US" w:bidi="ar-SA"/>
              </w:rPr>
            </w:pPr>
            <w:r w:rsidRPr="00B3082D">
              <w:rPr>
                <w:rFonts w:ascii="Garamond" w:eastAsia="Calibri" w:hAnsi="Garamond"/>
                <w:color w:val="000000" w:themeColor="text1"/>
                <w:sz w:val="16"/>
                <w:szCs w:val="16"/>
                <w:lang w:eastAsia="en-US" w:bidi="ar-SA"/>
              </w:rPr>
              <w:t>Increase efficiency, effectiveness and transparency of state aid control in Montenegro to be EU-compliant.</w:t>
            </w:r>
          </w:p>
        </w:tc>
      </w:tr>
      <w:tr w:rsidR="00420F5A" w:rsidRPr="00B3082D" w:rsidTr="00D15F76">
        <w:trPr>
          <w:gridAfter w:val="1"/>
          <w:wAfter w:w="19" w:type="dxa"/>
          <w:jc w:val="center"/>
        </w:trPr>
        <w:tc>
          <w:tcPr>
            <w:tcW w:w="2721" w:type="dxa"/>
            <w:vAlign w:val="center"/>
          </w:tcPr>
          <w:p w:rsidR="00420F5A" w:rsidRPr="00B3082D" w:rsidRDefault="00420F5A" w:rsidP="00D15F76">
            <w:pPr>
              <w:autoSpaceDE/>
              <w:autoSpaceDN/>
              <w:rPr>
                <w:rFonts w:ascii="Garamond" w:eastAsia="Calibri" w:hAnsi="Garamond"/>
                <w:b/>
                <w:caps/>
                <w:sz w:val="16"/>
                <w:szCs w:val="16"/>
                <w:lang w:val="uz-Cyrl-UZ" w:eastAsia="en-US" w:bidi="ar-SA"/>
              </w:rPr>
            </w:pPr>
            <w:r w:rsidRPr="00B3082D">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420F5A" w:rsidRPr="00B3082D" w:rsidRDefault="00420F5A" w:rsidP="0040135F">
            <w:pPr>
              <w:jc w:val="both"/>
              <w:rPr>
                <w:rFonts w:ascii="Garamond" w:eastAsia="Calibri" w:hAnsi="Garamond"/>
                <w:sz w:val="16"/>
                <w:szCs w:val="16"/>
                <w:lang w:eastAsia="en-US" w:bidi="ar-SA"/>
              </w:rPr>
            </w:pPr>
            <w:r w:rsidRPr="00B3082D">
              <w:rPr>
                <w:rFonts w:ascii="Garamond" w:eastAsia="Calibri" w:hAnsi="Garamond"/>
                <w:sz w:val="16"/>
                <w:szCs w:val="16"/>
                <w:lang w:eastAsia="en-US" w:bidi="ar-SA"/>
              </w:rPr>
              <w:t xml:space="preserve">Archives of the </w:t>
            </w:r>
            <w:r w:rsidR="0040135F" w:rsidRPr="00B3082D">
              <w:rPr>
                <w:rFonts w:ascii="Garamond" w:eastAsia="Calibri" w:hAnsi="Garamond"/>
                <w:sz w:val="16"/>
                <w:szCs w:val="16"/>
                <w:lang w:eastAsia="en-US" w:bidi="ar-SA"/>
              </w:rPr>
              <w:t xml:space="preserve">Competition </w:t>
            </w:r>
            <w:r w:rsidRPr="00B3082D">
              <w:rPr>
                <w:rFonts w:ascii="Garamond" w:eastAsia="Calibri" w:hAnsi="Garamond"/>
                <w:sz w:val="16"/>
                <w:szCs w:val="16"/>
                <w:lang w:eastAsia="en-US" w:bidi="ar-SA"/>
              </w:rPr>
              <w:t xml:space="preserve">Protection </w:t>
            </w:r>
            <w:r w:rsidR="0040135F" w:rsidRPr="00B3082D">
              <w:rPr>
                <w:rFonts w:ascii="Garamond" w:eastAsia="Calibri" w:hAnsi="Garamond"/>
                <w:sz w:val="16"/>
                <w:szCs w:val="16"/>
                <w:lang w:eastAsia="en-US" w:bidi="ar-SA"/>
              </w:rPr>
              <w:t xml:space="preserve">Agency </w:t>
            </w:r>
          </w:p>
        </w:tc>
      </w:tr>
      <w:tr w:rsidR="00420F5A" w:rsidRPr="00B3082D" w:rsidTr="00D15F76">
        <w:trPr>
          <w:gridAfter w:val="1"/>
          <w:wAfter w:w="19" w:type="dxa"/>
          <w:jc w:val="center"/>
        </w:trPr>
        <w:tc>
          <w:tcPr>
            <w:tcW w:w="2721" w:type="dxa"/>
            <w:vAlign w:val="center"/>
          </w:tcPr>
          <w:p w:rsidR="00420F5A" w:rsidRPr="00B3082D" w:rsidRDefault="00420F5A" w:rsidP="00D15F76">
            <w:pPr>
              <w:autoSpaceDE/>
              <w:autoSpaceDN/>
              <w:rPr>
                <w:rFonts w:ascii="Garamond" w:eastAsia="Calibri" w:hAnsi="Garamond"/>
                <w:b/>
                <w:caps/>
                <w:sz w:val="16"/>
                <w:szCs w:val="16"/>
                <w:lang w:val="uz-Cyrl-UZ" w:eastAsia="en-US" w:bidi="ar-SA"/>
              </w:rPr>
            </w:pPr>
            <w:r w:rsidRPr="00B3082D">
              <w:rPr>
                <w:rFonts w:ascii="Garamond" w:eastAsia="Calibri" w:hAnsi="Garamond"/>
                <w:b/>
                <w:caps/>
                <w:sz w:val="16"/>
                <w:szCs w:val="16"/>
                <w:lang w:val="uz-Cyrl-UZ" w:eastAsia="en-US" w:bidi="ar-SA"/>
              </w:rPr>
              <w:t>NAME OF DATA COLLECTION HOLDER</w:t>
            </w:r>
          </w:p>
        </w:tc>
        <w:tc>
          <w:tcPr>
            <w:tcW w:w="6836" w:type="dxa"/>
            <w:gridSpan w:val="4"/>
            <w:vAlign w:val="center"/>
          </w:tcPr>
          <w:p w:rsidR="00420F5A" w:rsidRPr="00B3082D" w:rsidRDefault="00420F5A" w:rsidP="00D15F76">
            <w:pPr>
              <w:rPr>
                <w:rFonts w:ascii="Garamond" w:hAnsi="Garamond"/>
                <w:sz w:val="16"/>
                <w:szCs w:val="16"/>
              </w:rPr>
            </w:pPr>
            <w:r w:rsidRPr="00B3082D">
              <w:rPr>
                <w:rFonts w:ascii="Garamond" w:hAnsi="Garamond"/>
                <w:sz w:val="16"/>
                <w:szCs w:val="16"/>
              </w:rPr>
              <w:t>Competition Protection Agency</w:t>
            </w:r>
          </w:p>
          <w:p w:rsidR="00420F5A" w:rsidRPr="00B3082D" w:rsidRDefault="00420F5A" w:rsidP="00D15F76">
            <w:pPr>
              <w:rPr>
                <w:rFonts w:ascii="Garamond" w:hAnsi="Garamond"/>
                <w:sz w:val="16"/>
                <w:szCs w:val="16"/>
              </w:rPr>
            </w:pPr>
            <w:r w:rsidRPr="00B3082D">
              <w:rPr>
                <w:rFonts w:ascii="Garamond" w:hAnsi="Garamond"/>
                <w:sz w:val="16"/>
                <w:szCs w:val="16"/>
              </w:rPr>
              <w:t>Ivana Paprenica,</w:t>
            </w:r>
          </w:p>
          <w:p w:rsidR="00420F5A" w:rsidRPr="00B3082D" w:rsidRDefault="00420F5A" w:rsidP="00D15F76">
            <w:pPr>
              <w:rPr>
                <w:rFonts w:ascii="Garamond" w:hAnsi="Garamond"/>
                <w:sz w:val="16"/>
                <w:szCs w:val="16"/>
              </w:rPr>
            </w:pPr>
            <w:r w:rsidRPr="00B3082D">
              <w:rPr>
                <w:rFonts w:ascii="Garamond" w:hAnsi="Garamond"/>
                <w:sz w:val="16"/>
                <w:szCs w:val="16"/>
              </w:rPr>
              <w:t>drzavna.pomoc@azzk.me</w:t>
            </w:r>
          </w:p>
          <w:p w:rsidR="00420F5A" w:rsidRPr="00B3082D" w:rsidRDefault="00420F5A" w:rsidP="00D15F76">
            <w:pPr>
              <w:rPr>
                <w:rFonts w:ascii="Garamond" w:eastAsia="Calibri" w:hAnsi="Garamond"/>
                <w:sz w:val="16"/>
                <w:szCs w:val="16"/>
                <w:lang w:eastAsia="en-US" w:bidi="ar-SA"/>
              </w:rPr>
            </w:pPr>
            <w:r w:rsidRPr="00B3082D">
              <w:rPr>
                <w:rFonts w:ascii="Garamond" w:hAnsi="Garamond"/>
                <w:sz w:val="16"/>
                <w:szCs w:val="16"/>
              </w:rPr>
              <w:t>Phone: 063262830</w:t>
            </w:r>
          </w:p>
        </w:tc>
      </w:tr>
      <w:tr w:rsidR="00420F5A" w:rsidRPr="00B3082D" w:rsidTr="00D15F76">
        <w:trPr>
          <w:gridAfter w:val="1"/>
          <w:wAfter w:w="19" w:type="dxa"/>
          <w:jc w:val="center"/>
        </w:trPr>
        <w:tc>
          <w:tcPr>
            <w:tcW w:w="2721" w:type="dxa"/>
            <w:vAlign w:val="center"/>
          </w:tcPr>
          <w:p w:rsidR="00420F5A" w:rsidRPr="00B3082D" w:rsidRDefault="00420F5A" w:rsidP="00D15F76">
            <w:pPr>
              <w:autoSpaceDE/>
              <w:autoSpaceDN/>
              <w:rPr>
                <w:rFonts w:ascii="Garamond" w:eastAsia="Calibri" w:hAnsi="Garamond"/>
                <w:b/>
                <w:caps/>
                <w:sz w:val="16"/>
                <w:szCs w:val="16"/>
                <w:lang w:val="uz-Cyrl-UZ" w:eastAsia="en-US" w:bidi="ar-SA"/>
              </w:rPr>
            </w:pPr>
            <w:r w:rsidRPr="00B3082D">
              <w:rPr>
                <w:rFonts w:ascii="Garamond" w:eastAsia="Calibri" w:hAnsi="Garamond"/>
                <w:b/>
                <w:caps/>
                <w:sz w:val="16"/>
                <w:szCs w:val="16"/>
                <w:lang w:val="uz-Cyrl-UZ" w:eastAsia="en-US" w:bidi="ar-SA"/>
              </w:rPr>
              <w:t>FREQUENCY OF DATA PUBLICATION</w:t>
            </w:r>
          </w:p>
        </w:tc>
        <w:tc>
          <w:tcPr>
            <w:tcW w:w="6836" w:type="dxa"/>
            <w:gridSpan w:val="4"/>
            <w:vAlign w:val="center"/>
          </w:tcPr>
          <w:p w:rsidR="00420F5A" w:rsidRPr="00B3082D" w:rsidRDefault="0040135F" w:rsidP="00D15F76">
            <w:pPr>
              <w:rPr>
                <w:rFonts w:ascii="Garamond" w:eastAsia="Calibri" w:hAnsi="Garamond"/>
                <w:sz w:val="16"/>
                <w:szCs w:val="16"/>
                <w:lang w:eastAsia="en-US" w:bidi="ar-SA"/>
              </w:rPr>
            </w:pPr>
            <w:r w:rsidRPr="00B3082D">
              <w:rPr>
                <w:rFonts w:ascii="Garamond" w:eastAsia="Calibri" w:hAnsi="Garamond"/>
                <w:sz w:val="16"/>
                <w:szCs w:val="16"/>
                <w:lang w:eastAsia="en-US" w:bidi="ar-SA"/>
              </w:rPr>
              <w:t>Cross</w:t>
            </w:r>
            <w:r w:rsidR="00420F5A" w:rsidRPr="00B3082D">
              <w:rPr>
                <w:rFonts w:ascii="Garamond" w:eastAsia="Calibri" w:hAnsi="Garamond"/>
                <w:sz w:val="16"/>
                <w:szCs w:val="16"/>
                <w:lang w:eastAsia="en-US" w:bidi="ar-SA"/>
              </w:rPr>
              <w:t>-section can be made at the end of each calendar year</w:t>
            </w:r>
          </w:p>
        </w:tc>
      </w:tr>
      <w:tr w:rsidR="00420F5A" w:rsidRPr="00B3082D" w:rsidTr="00D15F76">
        <w:trPr>
          <w:gridAfter w:val="1"/>
          <w:wAfter w:w="19" w:type="dxa"/>
          <w:trHeight w:val="458"/>
          <w:jc w:val="center"/>
        </w:trPr>
        <w:tc>
          <w:tcPr>
            <w:tcW w:w="2721" w:type="dxa"/>
            <w:vMerge w:val="restart"/>
            <w:vAlign w:val="center"/>
          </w:tcPr>
          <w:p w:rsidR="00420F5A" w:rsidRPr="00B3082D" w:rsidRDefault="00420F5A" w:rsidP="00D15F76">
            <w:pPr>
              <w:autoSpaceDE/>
              <w:autoSpaceDN/>
              <w:rPr>
                <w:rFonts w:ascii="Garamond" w:eastAsia="Calibri" w:hAnsi="Garamond"/>
                <w:b/>
                <w:caps/>
                <w:sz w:val="16"/>
                <w:szCs w:val="16"/>
                <w:lang w:val="uz-Cyrl-UZ" w:eastAsia="en-US" w:bidi="ar-SA"/>
              </w:rPr>
            </w:pPr>
            <w:r w:rsidRPr="00B3082D">
              <w:rPr>
                <w:rFonts w:ascii="Garamond" w:eastAsia="Calibri" w:hAnsi="Garamond"/>
                <w:b/>
                <w:caps/>
                <w:sz w:val="16"/>
                <w:szCs w:val="16"/>
                <w:lang w:val="uz-Cyrl-UZ" w:eastAsia="en-US" w:bidi="ar-SA"/>
              </w:rPr>
              <w:t xml:space="preserve">BRIEF DESCRIPTION </w:t>
            </w:r>
            <w:r w:rsidRPr="00B3082D">
              <w:rPr>
                <w:rFonts w:ascii="Garamond" w:eastAsia="Calibri" w:hAnsi="Garamond"/>
                <w:b/>
                <w:caps/>
                <w:sz w:val="16"/>
                <w:szCs w:val="16"/>
                <w:lang w:val="en-GB" w:eastAsia="en-US" w:bidi="ar-SA"/>
              </w:rPr>
              <w:t xml:space="preserve">OF </w:t>
            </w:r>
            <w:r w:rsidRPr="00B3082D">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420F5A" w:rsidRPr="00B3082D" w:rsidRDefault="0040135F" w:rsidP="00071CAA">
            <w:pPr>
              <w:jc w:val="both"/>
              <w:rPr>
                <w:rFonts w:ascii="Garamond" w:eastAsia="Calibri" w:hAnsi="Garamond"/>
                <w:sz w:val="16"/>
                <w:szCs w:val="16"/>
                <w:u w:val="single"/>
                <w:lang w:val="uz-Cyrl-UZ" w:eastAsia="en-US" w:bidi="ar-SA"/>
              </w:rPr>
            </w:pPr>
            <w:r w:rsidRPr="00B3082D">
              <w:rPr>
                <w:rFonts w:ascii="Garamond" w:eastAsia="Calibri" w:hAnsi="Garamond"/>
                <w:sz w:val="16"/>
                <w:szCs w:val="16"/>
                <w:lang w:val="uz-Cyrl-UZ" w:eastAsia="en-US" w:bidi="ar-SA"/>
              </w:rPr>
              <w:t>The State Aid Department currently has 6 employees, the Council of the Competition Protection Agency, has 3 members. The topic of seminars and trainings is exclusively state aid.</w:t>
            </w:r>
          </w:p>
        </w:tc>
      </w:tr>
      <w:tr w:rsidR="00420F5A" w:rsidRPr="00B3082D" w:rsidTr="00D15F76">
        <w:trPr>
          <w:gridAfter w:val="1"/>
          <w:wAfter w:w="19" w:type="dxa"/>
          <w:trHeight w:val="620"/>
          <w:jc w:val="center"/>
        </w:trPr>
        <w:tc>
          <w:tcPr>
            <w:tcW w:w="2721" w:type="dxa"/>
            <w:vMerge/>
            <w:shd w:val="clear" w:color="auto" w:fill="auto"/>
            <w:vAlign w:val="center"/>
          </w:tcPr>
          <w:p w:rsidR="00420F5A" w:rsidRPr="00B3082D" w:rsidRDefault="00420F5A"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420F5A" w:rsidRPr="00B3082D" w:rsidRDefault="00420F5A" w:rsidP="00D15F76">
            <w:pPr>
              <w:jc w:val="center"/>
              <w:rPr>
                <w:rFonts w:ascii="Garamond" w:hAnsi="Garamond"/>
                <w:color w:val="365F91" w:themeColor="accent1" w:themeShade="BF"/>
                <w:sz w:val="16"/>
                <w:szCs w:val="16"/>
                <w:lang w:val="uz-Cyrl-UZ"/>
              </w:rPr>
            </w:pPr>
            <w:r w:rsidRPr="00B3082D">
              <w:rPr>
                <w:rFonts w:ascii="Garamond" w:hAnsi="Garamond"/>
                <w:color w:val="365F91" w:themeColor="accent1" w:themeShade="BF"/>
                <w:sz w:val="16"/>
                <w:szCs w:val="16"/>
                <w:lang w:val="uz-Cyrl-UZ"/>
              </w:rPr>
              <w:t>FORMULA / EQUATION</w:t>
            </w:r>
          </w:p>
          <w:p w:rsidR="00420F5A" w:rsidRPr="00B3082D" w:rsidRDefault="0040135F" w:rsidP="005F7114">
            <w:pPr>
              <w:jc w:val="center"/>
              <w:rPr>
                <w:rFonts w:ascii="Garamond" w:eastAsia="Calibri" w:hAnsi="Garamond"/>
                <w:sz w:val="16"/>
                <w:szCs w:val="16"/>
                <w:lang w:val="en-GB" w:eastAsia="en-US" w:bidi="ar-SA"/>
              </w:rPr>
            </w:pPr>
            <w:r w:rsidRPr="00B3082D">
              <w:rPr>
                <w:rFonts w:ascii="Garamond" w:eastAsia="Calibri" w:hAnsi="Garamond"/>
                <w:sz w:val="16"/>
                <w:szCs w:val="16"/>
                <w:lang w:val="en-GB" w:eastAsia="en-US" w:bidi="ar-SA"/>
              </w:rPr>
              <w:t>Number of people in the State Aid</w:t>
            </w:r>
            <w:r w:rsidR="005F7114" w:rsidRPr="00B3082D">
              <w:rPr>
                <w:rFonts w:ascii="Garamond" w:eastAsia="Calibri" w:hAnsi="Garamond"/>
                <w:sz w:val="16"/>
                <w:szCs w:val="16"/>
                <w:lang w:val="en-GB" w:eastAsia="en-US" w:bidi="ar-SA"/>
              </w:rPr>
              <w:t xml:space="preserve"> Division</w:t>
            </w:r>
            <w:r w:rsidRPr="00B3082D">
              <w:rPr>
                <w:rFonts w:ascii="Garamond" w:eastAsia="Calibri" w:hAnsi="Garamond"/>
                <w:sz w:val="16"/>
                <w:szCs w:val="16"/>
                <w:lang w:val="en-GB" w:eastAsia="en-US" w:bidi="ar-SA"/>
              </w:rPr>
              <w:t xml:space="preserve"> + members of the Council of the Competition Protection Agency who attended professional seminars (completed) during the calendar year / Total number of people in the State Aid </w:t>
            </w:r>
            <w:r w:rsidR="005F7114" w:rsidRPr="00B3082D">
              <w:rPr>
                <w:rFonts w:ascii="Garamond" w:eastAsia="Calibri" w:hAnsi="Garamond"/>
                <w:sz w:val="16"/>
                <w:szCs w:val="16"/>
                <w:lang w:val="en-GB" w:eastAsia="en-US" w:bidi="ar-SA"/>
              </w:rPr>
              <w:t xml:space="preserve">Division </w:t>
            </w:r>
            <w:r w:rsidRPr="00B3082D">
              <w:rPr>
                <w:rFonts w:ascii="Garamond" w:eastAsia="Calibri" w:hAnsi="Garamond"/>
                <w:sz w:val="16"/>
                <w:szCs w:val="16"/>
                <w:lang w:val="en-GB" w:eastAsia="en-US" w:bidi="ar-SA"/>
              </w:rPr>
              <w:t>+ members of the Council of the Competition Protection Agency during the calendar year X 100</w:t>
            </w:r>
          </w:p>
        </w:tc>
      </w:tr>
      <w:tr w:rsidR="00420F5A" w:rsidRPr="00B3082D" w:rsidTr="00D15F76">
        <w:trPr>
          <w:gridAfter w:val="1"/>
          <w:wAfter w:w="19" w:type="dxa"/>
          <w:trHeight w:val="585"/>
          <w:jc w:val="center"/>
        </w:trPr>
        <w:tc>
          <w:tcPr>
            <w:tcW w:w="2721" w:type="dxa"/>
            <w:vAlign w:val="center"/>
          </w:tcPr>
          <w:p w:rsidR="00420F5A" w:rsidRPr="00B3082D" w:rsidRDefault="00420F5A" w:rsidP="00D15F76">
            <w:pPr>
              <w:autoSpaceDE/>
              <w:autoSpaceDN/>
              <w:rPr>
                <w:rFonts w:ascii="Garamond" w:eastAsia="Calibri" w:hAnsi="Garamond"/>
                <w:b/>
                <w:bCs/>
                <w:caps/>
                <w:sz w:val="16"/>
                <w:szCs w:val="16"/>
                <w:lang w:val="en-GB" w:eastAsia="en-US" w:bidi="ar-SA"/>
              </w:rPr>
            </w:pPr>
            <w:r w:rsidRPr="00B3082D">
              <w:rPr>
                <w:rFonts w:ascii="Garamond" w:eastAsia="Calibri" w:hAnsi="Garamond"/>
                <w:b/>
                <w:caps/>
                <w:sz w:val="16"/>
                <w:szCs w:val="16"/>
                <w:lang w:val="uz-Cyrl-UZ" w:eastAsia="en-US" w:bidi="ar-SA"/>
              </w:rPr>
              <w:t>BASELINE</w:t>
            </w:r>
            <w:r w:rsidRPr="00B3082D">
              <w:rPr>
                <w:rFonts w:ascii="Garamond" w:eastAsia="Calibri" w:hAnsi="Garamond"/>
                <w:b/>
                <w:caps/>
                <w:sz w:val="16"/>
                <w:szCs w:val="16"/>
                <w:lang w:val="en-GB" w:eastAsia="en-US" w:bidi="ar-SA"/>
              </w:rPr>
              <w:t xml:space="preserve"> DATA</w:t>
            </w:r>
          </w:p>
        </w:tc>
        <w:tc>
          <w:tcPr>
            <w:tcW w:w="6836" w:type="dxa"/>
            <w:gridSpan w:val="4"/>
            <w:vAlign w:val="center"/>
          </w:tcPr>
          <w:p w:rsidR="00420F5A" w:rsidRPr="00B3082D" w:rsidRDefault="00420F5A" w:rsidP="00D15F76">
            <w:pPr>
              <w:pStyle w:val="TabelaTekst"/>
              <w:spacing w:before="0" w:after="0" w:line="240" w:lineRule="auto"/>
              <w:rPr>
                <w:rFonts w:ascii="Garamond" w:hAnsi="Garamond"/>
                <w:sz w:val="16"/>
                <w:szCs w:val="16"/>
                <w:lang w:val="en-GB"/>
              </w:rPr>
            </w:pPr>
            <w:r w:rsidRPr="00B3082D">
              <w:rPr>
                <w:rFonts w:ascii="Garamond" w:hAnsi="Garamond"/>
                <w:sz w:val="16"/>
                <w:szCs w:val="16"/>
              </w:rPr>
              <w:t>PV (2014</w:t>
            </w:r>
            <w:r w:rsidRPr="00B3082D">
              <w:rPr>
                <w:rFonts w:ascii="Garamond" w:hAnsi="Garamond"/>
                <w:sz w:val="16"/>
                <w:szCs w:val="16"/>
                <w:lang w:val="en-GB"/>
              </w:rPr>
              <w:t>):</w:t>
            </w:r>
            <w:r w:rsidR="0040135F" w:rsidRPr="00B3082D">
              <w:rPr>
                <w:rFonts w:ascii="Garamond" w:hAnsi="Garamond"/>
                <w:sz w:val="16"/>
                <w:szCs w:val="16"/>
                <w:lang w:val="en-GB"/>
              </w:rPr>
              <w:t>30%</w:t>
            </w:r>
            <w:r w:rsidRPr="00B3082D">
              <w:rPr>
                <w:rFonts w:ascii="Garamond" w:hAnsi="Garamond"/>
                <w:sz w:val="16"/>
                <w:szCs w:val="16"/>
                <w:lang w:val="en-GB"/>
              </w:rPr>
              <w:t xml:space="preserve"> </w:t>
            </w:r>
          </w:p>
        </w:tc>
      </w:tr>
      <w:tr w:rsidR="00420F5A" w:rsidRPr="00B3082D" w:rsidTr="00D15F76">
        <w:trPr>
          <w:gridAfter w:val="1"/>
          <w:wAfter w:w="19" w:type="dxa"/>
          <w:trHeight w:val="160"/>
          <w:jc w:val="center"/>
        </w:trPr>
        <w:tc>
          <w:tcPr>
            <w:tcW w:w="2721" w:type="dxa"/>
            <w:vMerge w:val="restart"/>
            <w:vAlign w:val="center"/>
          </w:tcPr>
          <w:p w:rsidR="00420F5A" w:rsidRPr="00B3082D" w:rsidRDefault="00420F5A" w:rsidP="00D15F76">
            <w:pPr>
              <w:autoSpaceDE/>
              <w:autoSpaceDN/>
              <w:rPr>
                <w:rFonts w:ascii="Garamond" w:eastAsia="Calibri" w:hAnsi="Garamond"/>
                <w:b/>
                <w:bCs/>
                <w:caps/>
                <w:sz w:val="16"/>
                <w:szCs w:val="16"/>
                <w:lang w:val="uz-Cyrl-UZ" w:eastAsia="en-US" w:bidi="ar-SA"/>
              </w:rPr>
            </w:pPr>
            <w:r w:rsidRPr="00B3082D">
              <w:rPr>
                <w:rFonts w:ascii="Garamond" w:eastAsia="Calibri" w:hAnsi="Garamond"/>
                <w:b/>
                <w:caps/>
                <w:sz w:val="16"/>
                <w:szCs w:val="16"/>
                <w:lang w:val="uz-Cyrl-UZ" w:eastAsia="en-US" w:bidi="ar-SA"/>
              </w:rPr>
              <w:t>TARGET VALUE DATA</w:t>
            </w:r>
          </w:p>
        </w:tc>
        <w:tc>
          <w:tcPr>
            <w:tcW w:w="1771" w:type="dxa"/>
            <w:vAlign w:val="center"/>
          </w:tcPr>
          <w:p w:rsidR="00420F5A" w:rsidRPr="00B3082D" w:rsidRDefault="00420F5A" w:rsidP="00D15F76">
            <w:pPr>
              <w:autoSpaceDE/>
              <w:autoSpaceDN/>
              <w:jc w:val="center"/>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2017</w:t>
            </w:r>
          </w:p>
        </w:tc>
        <w:tc>
          <w:tcPr>
            <w:tcW w:w="1771" w:type="dxa"/>
            <w:vAlign w:val="center"/>
          </w:tcPr>
          <w:p w:rsidR="00420F5A" w:rsidRPr="00B3082D" w:rsidRDefault="00420F5A" w:rsidP="00D15F76">
            <w:pPr>
              <w:autoSpaceDE/>
              <w:autoSpaceDN/>
              <w:jc w:val="center"/>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2018</w:t>
            </w:r>
          </w:p>
        </w:tc>
        <w:tc>
          <w:tcPr>
            <w:tcW w:w="1771" w:type="dxa"/>
            <w:vAlign w:val="center"/>
          </w:tcPr>
          <w:p w:rsidR="00420F5A" w:rsidRPr="00B3082D" w:rsidRDefault="00420F5A" w:rsidP="00D15F76">
            <w:pPr>
              <w:autoSpaceDE/>
              <w:autoSpaceDN/>
              <w:jc w:val="center"/>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2019</w:t>
            </w:r>
          </w:p>
        </w:tc>
        <w:tc>
          <w:tcPr>
            <w:tcW w:w="1523" w:type="dxa"/>
            <w:vAlign w:val="center"/>
          </w:tcPr>
          <w:p w:rsidR="00420F5A" w:rsidRPr="00B3082D" w:rsidRDefault="00420F5A" w:rsidP="00D15F76">
            <w:pPr>
              <w:autoSpaceDE/>
              <w:autoSpaceDN/>
              <w:jc w:val="center"/>
              <w:rPr>
                <w:rFonts w:ascii="Garamond" w:eastAsia="Calibri" w:hAnsi="Garamond"/>
                <w:sz w:val="16"/>
                <w:szCs w:val="16"/>
                <w:lang w:val="uz-Cyrl-UZ" w:eastAsia="en-US" w:bidi="ar-SA"/>
              </w:rPr>
            </w:pPr>
            <w:r w:rsidRPr="00B3082D">
              <w:rPr>
                <w:rFonts w:ascii="Garamond" w:eastAsia="Calibri" w:hAnsi="Garamond"/>
                <w:sz w:val="16"/>
                <w:szCs w:val="16"/>
                <w:lang w:val="uz-Cyrl-UZ" w:eastAsia="en-US" w:bidi="ar-SA"/>
              </w:rPr>
              <w:t>2020</w:t>
            </w:r>
          </w:p>
        </w:tc>
      </w:tr>
      <w:tr w:rsidR="0040135F" w:rsidRPr="00B3082D" w:rsidTr="00D15F76">
        <w:trPr>
          <w:gridAfter w:val="1"/>
          <w:wAfter w:w="19" w:type="dxa"/>
          <w:trHeight w:val="160"/>
          <w:jc w:val="center"/>
        </w:trPr>
        <w:tc>
          <w:tcPr>
            <w:tcW w:w="2721" w:type="dxa"/>
            <w:vMerge/>
            <w:vAlign w:val="center"/>
          </w:tcPr>
          <w:p w:rsidR="0040135F" w:rsidRPr="00B3082D" w:rsidRDefault="0040135F" w:rsidP="00D15F76">
            <w:pPr>
              <w:autoSpaceDE/>
              <w:autoSpaceDN/>
              <w:rPr>
                <w:rFonts w:ascii="Garamond" w:eastAsia="Calibri" w:hAnsi="Garamond"/>
                <w:b/>
                <w:bCs/>
                <w:caps/>
                <w:sz w:val="16"/>
                <w:szCs w:val="16"/>
                <w:lang w:val="uz-Cyrl-UZ" w:eastAsia="en-US" w:bidi="ar-SA"/>
              </w:rPr>
            </w:pPr>
          </w:p>
        </w:tc>
        <w:tc>
          <w:tcPr>
            <w:tcW w:w="1771" w:type="dxa"/>
            <w:vAlign w:val="center"/>
          </w:tcPr>
          <w:p w:rsidR="0040135F" w:rsidRPr="00B3082D" w:rsidRDefault="0040135F"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30%</w:t>
            </w:r>
          </w:p>
        </w:tc>
        <w:tc>
          <w:tcPr>
            <w:tcW w:w="1771" w:type="dxa"/>
            <w:vAlign w:val="center"/>
          </w:tcPr>
          <w:p w:rsidR="0040135F" w:rsidRPr="00B3082D" w:rsidRDefault="0040135F"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50%</w:t>
            </w:r>
          </w:p>
        </w:tc>
        <w:tc>
          <w:tcPr>
            <w:tcW w:w="1771" w:type="dxa"/>
            <w:vAlign w:val="center"/>
          </w:tcPr>
          <w:p w:rsidR="0040135F" w:rsidRPr="00B3082D" w:rsidRDefault="0040135F"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70%</w:t>
            </w:r>
          </w:p>
        </w:tc>
        <w:tc>
          <w:tcPr>
            <w:tcW w:w="1523" w:type="dxa"/>
            <w:vAlign w:val="center"/>
          </w:tcPr>
          <w:p w:rsidR="0040135F" w:rsidRPr="00B3082D" w:rsidRDefault="0040135F"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80%</w:t>
            </w:r>
          </w:p>
        </w:tc>
      </w:tr>
      <w:tr w:rsidR="0040135F" w:rsidRPr="00B3082D" w:rsidTr="00D15F76">
        <w:trPr>
          <w:gridAfter w:val="1"/>
          <w:wAfter w:w="19" w:type="dxa"/>
          <w:trHeight w:val="160"/>
          <w:jc w:val="center"/>
        </w:trPr>
        <w:tc>
          <w:tcPr>
            <w:tcW w:w="2721" w:type="dxa"/>
            <w:vAlign w:val="center"/>
          </w:tcPr>
          <w:p w:rsidR="0040135F" w:rsidRPr="00B3082D" w:rsidRDefault="0062456A" w:rsidP="00D15F76">
            <w:pPr>
              <w:autoSpaceDE/>
              <w:autoSpaceDN/>
              <w:rPr>
                <w:rFonts w:ascii="Garamond" w:eastAsia="Calibri" w:hAnsi="Garamond"/>
                <w:b/>
                <w:bCs/>
                <w:caps/>
                <w:sz w:val="16"/>
                <w:szCs w:val="16"/>
                <w:lang w:val="uz-Cyrl-UZ" w:eastAsia="en-US" w:bidi="ar-SA"/>
              </w:rPr>
            </w:pPr>
            <w:r w:rsidRPr="00B3082D">
              <w:rPr>
                <w:rFonts w:ascii="Garamond" w:eastAsia="Calibri" w:hAnsi="Garamond"/>
                <w:b/>
                <w:bCs/>
                <w:caps/>
                <w:sz w:val="16"/>
                <w:szCs w:val="16"/>
                <w:lang w:val="uz-Cyrl-UZ" w:eastAsia="en-US" w:bidi="ar-SA"/>
              </w:rPr>
              <w:t>DATA ON VALUES ACHIEVED</w:t>
            </w:r>
          </w:p>
        </w:tc>
        <w:tc>
          <w:tcPr>
            <w:tcW w:w="1771" w:type="dxa"/>
            <w:vAlign w:val="center"/>
          </w:tcPr>
          <w:p w:rsidR="0040135F" w:rsidRPr="00B3082D" w:rsidRDefault="0040135F"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33%</w:t>
            </w:r>
          </w:p>
        </w:tc>
        <w:tc>
          <w:tcPr>
            <w:tcW w:w="1771" w:type="dxa"/>
            <w:vAlign w:val="center"/>
          </w:tcPr>
          <w:p w:rsidR="0040135F" w:rsidRPr="00B3082D" w:rsidRDefault="0040135F"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0%</w:t>
            </w:r>
          </w:p>
        </w:tc>
        <w:tc>
          <w:tcPr>
            <w:tcW w:w="1771" w:type="dxa"/>
            <w:vAlign w:val="center"/>
          </w:tcPr>
          <w:p w:rsidR="0040135F" w:rsidRPr="00B3082D" w:rsidRDefault="0040135F" w:rsidP="00D15F76">
            <w:pPr>
              <w:pStyle w:val="TabelaTekst"/>
              <w:spacing w:before="0" w:after="0" w:line="240" w:lineRule="auto"/>
              <w:jc w:val="center"/>
              <w:rPr>
                <w:rFonts w:ascii="Garamond" w:hAnsi="Garamond"/>
                <w:sz w:val="16"/>
                <w:szCs w:val="16"/>
              </w:rPr>
            </w:pPr>
            <w:r w:rsidRPr="00B3082D">
              <w:rPr>
                <w:rFonts w:ascii="Garamond" w:hAnsi="Garamond"/>
                <w:sz w:val="16"/>
                <w:szCs w:val="16"/>
              </w:rPr>
              <w:t>70%</w:t>
            </w:r>
          </w:p>
        </w:tc>
        <w:tc>
          <w:tcPr>
            <w:tcW w:w="1523" w:type="dxa"/>
            <w:vAlign w:val="center"/>
          </w:tcPr>
          <w:p w:rsidR="0040135F" w:rsidRPr="00B3082D" w:rsidRDefault="0040135F" w:rsidP="00D15F76">
            <w:pPr>
              <w:pStyle w:val="TabelaTekst"/>
              <w:spacing w:before="0" w:after="0" w:line="240" w:lineRule="auto"/>
              <w:jc w:val="center"/>
              <w:rPr>
                <w:rFonts w:ascii="Garamond" w:hAnsi="Garamond"/>
                <w:sz w:val="16"/>
                <w:szCs w:val="16"/>
              </w:rPr>
            </w:pPr>
            <w:r w:rsidRPr="00B3082D">
              <w:rPr>
                <w:rFonts w:ascii="Garamond" w:hAnsi="Garamond" w:cstheme="majorHAnsi"/>
                <w:noProof/>
                <w:sz w:val="16"/>
                <w:szCs w:val="16"/>
                <w:lang w:eastAsia="en-GB"/>
              </w:rPr>
              <w:t>80%</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282442">
      <w:pPr>
        <w:pStyle w:val="Heading3"/>
        <w:rPr>
          <w:rFonts w:ascii="Garamond" w:hAnsi="Garamond"/>
          <w:sz w:val="24"/>
          <w:szCs w:val="24"/>
        </w:rPr>
      </w:pPr>
      <w:bookmarkStart w:id="64" w:name="_Toc77688241"/>
      <w:r w:rsidRPr="00C32887">
        <w:rPr>
          <w:rFonts w:ascii="Garamond" w:hAnsi="Garamond"/>
          <w:sz w:val="24"/>
          <w:szCs w:val="24"/>
        </w:rPr>
        <w:t xml:space="preserve">2.4.3      </w:t>
      </w:r>
      <w:r w:rsidR="00282442">
        <w:rPr>
          <w:rFonts w:ascii="Garamond" w:hAnsi="Garamond"/>
          <w:sz w:val="24"/>
          <w:szCs w:val="24"/>
        </w:rPr>
        <w:t xml:space="preserve">PERFORMANCE INDICATOR 22 </w:t>
      </w:r>
      <w:r w:rsidR="00282442" w:rsidRPr="00C32887">
        <w:rPr>
          <w:rFonts w:ascii="Garamond" w:hAnsi="Garamond"/>
          <w:sz w:val="24"/>
          <w:szCs w:val="24"/>
        </w:rPr>
        <w:t>PASSPORT</w:t>
      </w:r>
      <w:bookmarkEnd w:id="64"/>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282442" w:rsidRPr="00071CAA" w:rsidTr="00D15F76">
        <w:trPr>
          <w:jc w:val="center"/>
        </w:trPr>
        <w:tc>
          <w:tcPr>
            <w:tcW w:w="2721" w:type="dxa"/>
            <w:tcBorders>
              <w:right w:val="single" w:sz="4" w:space="0" w:color="FFFFFF"/>
            </w:tcBorders>
            <w:shd w:val="clear" w:color="auto" w:fill="BFBFBF"/>
            <w:vAlign w:val="center"/>
          </w:tcPr>
          <w:p w:rsidR="00282442" w:rsidRPr="00071CAA" w:rsidRDefault="00282442" w:rsidP="00D15F76">
            <w:pPr>
              <w:autoSpaceDE/>
              <w:autoSpaceDN/>
              <w:rPr>
                <w:rFonts w:ascii="Garamond" w:eastAsia="Calibri" w:hAnsi="Garamond"/>
                <w:b/>
                <w:caps/>
                <w:sz w:val="16"/>
                <w:szCs w:val="16"/>
                <w:lang w:val="en-GB" w:eastAsia="en-US" w:bidi="ar-SA"/>
              </w:rPr>
            </w:pPr>
            <w:r w:rsidRPr="00071CAA">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282442" w:rsidRPr="00071CAA" w:rsidRDefault="00282442" w:rsidP="00D15F76">
            <w:pPr>
              <w:pStyle w:val="Default"/>
              <w:jc w:val="both"/>
              <w:rPr>
                <w:rFonts w:ascii="Garamond" w:eastAsia="Calibri" w:hAnsi="Garamond"/>
                <w:b/>
                <w:sz w:val="16"/>
                <w:szCs w:val="16"/>
                <w:lang w:eastAsia="en-US"/>
              </w:rPr>
            </w:pPr>
            <w:r w:rsidRPr="00071CAA">
              <w:rPr>
                <w:rFonts w:ascii="Garamond" w:hAnsi="Garamond"/>
                <w:iCs/>
                <w:sz w:val="16"/>
                <w:szCs w:val="16"/>
              </w:rPr>
              <w:t>Number of ex-officio cases closed</w:t>
            </w:r>
          </w:p>
        </w:tc>
      </w:tr>
      <w:tr w:rsidR="00282442" w:rsidRPr="00071CAA" w:rsidTr="00D15F76">
        <w:trPr>
          <w:gridAfter w:val="1"/>
          <w:wAfter w:w="19" w:type="dxa"/>
          <w:jc w:val="center"/>
        </w:trPr>
        <w:tc>
          <w:tcPr>
            <w:tcW w:w="2721" w:type="dxa"/>
            <w:vAlign w:val="center"/>
          </w:tcPr>
          <w:p w:rsidR="00282442" w:rsidRPr="00071CAA" w:rsidRDefault="00282442" w:rsidP="00D15F76">
            <w:pPr>
              <w:autoSpaceDE/>
              <w:autoSpaceDN/>
              <w:rPr>
                <w:rFonts w:ascii="Garamond" w:eastAsia="Calibri" w:hAnsi="Garamond"/>
                <w:b/>
                <w:caps/>
                <w:sz w:val="16"/>
                <w:szCs w:val="16"/>
                <w:lang w:val="en-GB" w:eastAsia="en-US" w:bidi="ar-SA"/>
              </w:rPr>
            </w:pPr>
            <w:r w:rsidRPr="00071CAA">
              <w:rPr>
                <w:rFonts w:ascii="Garamond" w:eastAsia="Calibri" w:hAnsi="Garamond"/>
                <w:b/>
                <w:caps/>
                <w:sz w:val="16"/>
                <w:szCs w:val="16"/>
                <w:lang w:val="en-GB" w:eastAsia="en-US" w:bidi="ar-SA"/>
              </w:rPr>
              <w:t>corresponding objective or activity</w:t>
            </w:r>
          </w:p>
        </w:tc>
        <w:tc>
          <w:tcPr>
            <w:tcW w:w="6836" w:type="dxa"/>
            <w:gridSpan w:val="4"/>
            <w:vAlign w:val="center"/>
          </w:tcPr>
          <w:p w:rsidR="00282442" w:rsidRPr="00071CAA" w:rsidRDefault="00282442" w:rsidP="00D15F76">
            <w:pPr>
              <w:rPr>
                <w:rFonts w:ascii="Garamond" w:hAnsi="Garamond"/>
                <w:color w:val="365F91" w:themeColor="accent1" w:themeShade="BF"/>
                <w:sz w:val="16"/>
                <w:szCs w:val="16"/>
              </w:rPr>
            </w:pPr>
            <w:r w:rsidRPr="00071CAA">
              <w:rPr>
                <w:rFonts w:ascii="Garamond" w:hAnsi="Garamond"/>
                <w:color w:val="365F91" w:themeColor="accent1" w:themeShade="BF"/>
                <w:sz w:val="16"/>
                <w:szCs w:val="16"/>
              </w:rPr>
              <w:t xml:space="preserve">Budget execution </w:t>
            </w:r>
          </w:p>
          <w:p w:rsidR="00282442" w:rsidRPr="00071CAA" w:rsidRDefault="00282442" w:rsidP="00D15F76">
            <w:pPr>
              <w:pStyle w:val="ListParagraph"/>
              <w:numPr>
                <w:ilvl w:val="0"/>
                <w:numId w:val="28"/>
              </w:numPr>
              <w:rPr>
                <w:rFonts w:ascii="Garamond" w:hAnsi="Garamond"/>
                <w:color w:val="365F91" w:themeColor="accent1" w:themeShade="BF"/>
                <w:sz w:val="16"/>
                <w:szCs w:val="16"/>
                <w:u w:val="single"/>
              </w:rPr>
            </w:pPr>
            <w:r w:rsidRPr="00071CAA">
              <w:rPr>
                <w:rFonts w:ascii="Garamond" w:hAnsi="Garamond"/>
                <w:color w:val="365F91" w:themeColor="accent1" w:themeShade="BF"/>
                <w:sz w:val="16"/>
                <w:szCs w:val="16"/>
                <w:u w:val="single"/>
              </w:rPr>
              <w:t>State Aid Reform</w:t>
            </w:r>
          </w:p>
          <w:p w:rsidR="00282442" w:rsidRPr="00071CAA" w:rsidRDefault="00282442" w:rsidP="00D15F76">
            <w:pPr>
              <w:rPr>
                <w:rFonts w:ascii="Garamond" w:eastAsia="Calibri" w:hAnsi="Garamond"/>
                <w:color w:val="000000" w:themeColor="text1"/>
                <w:sz w:val="16"/>
                <w:szCs w:val="16"/>
                <w:lang w:eastAsia="en-US" w:bidi="ar-SA"/>
              </w:rPr>
            </w:pPr>
            <w:r w:rsidRPr="00071CAA">
              <w:rPr>
                <w:rFonts w:ascii="Garamond" w:eastAsia="Calibri" w:hAnsi="Garamond"/>
                <w:color w:val="000000" w:themeColor="text1"/>
                <w:sz w:val="16"/>
                <w:szCs w:val="16"/>
                <w:lang w:eastAsia="en-US" w:bidi="ar-SA"/>
              </w:rPr>
              <w:t>Increase efficiency, effectiveness and transparency of state aid control in Montenegro to be EU-compliant.</w:t>
            </w:r>
          </w:p>
        </w:tc>
      </w:tr>
      <w:tr w:rsidR="00282442" w:rsidRPr="00071CAA" w:rsidTr="00D15F76">
        <w:trPr>
          <w:gridAfter w:val="1"/>
          <w:wAfter w:w="19" w:type="dxa"/>
          <w:jc w:val="center"/>
        </w:trPr>
        <w:tc>
          <w:tcPr>
            <w:tcW w:w="2721" w:type="dxa"/>
            <w:vAlign w:val="center"/>
          </w:tcPr>
          <w:p w:rsidR="00282442" w:rsidRPr="00071CAA" w:rsidRDefault="00282442"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282442" w:rsidRPr="00071CAA" w:rsidRDefault="00282442" w:rsidP="00282442">
            <w:pPr>
              <w:jc w:val="both"/>
              <w:rPr>
                <w:rFonts w:ascii="Garamond" w:eastAsia="Calibri" w:hAnsi="Garamond"/>
                <w:sz w:val="16"/>
                <w:szCs w:val="16"/>
                <w:lang w:eastAsia="en-US" w:bidi="ar-SA"/>
              </w:rPr>
            </w:pPr>
            <w:r w:rsidRPr="00071CAA">
              <w:rPr>
                <w:rFonts w:ascii="Garamond" w:eastAsia="Calibri" w:hAnsi="Garamond"/>
                <w:sz w:val="16"/>
                <w:szCs w:val="16"/>
                <w:lang w:eastAsia="en-US" w:bidi="ar-SA"/>
              </w:rPr>
              <w:t xml:space="preserve">Website of the Competition Protection Agency </w:t>
            </w:r>
          </w:p>
          <w:p w:rsidR="00282442" w:rsidRPr="00071CAA" w:rsidRDefault="00282442" w:rsidP="00282442">
            <w:pPr>
              <w:jc w:val="both"/>
              <w:rPr>
                <w:rFonts w:ascii="Garamond" w:eastAsia="Calibri" w:hAnsi="Garamond"/>
                <w:sz w:val="16"/>
                <w:szCs w:val="16"/>
                <w:lang w:eastAsia="en-US" w:bidi="ar-SA"/>
              </w:rPr>
            </w:pPr>
            <w:r w:rsidRPr="00071CAA">
              <w:rPr>
                <w:rFonts w:ascii="Garamond" w:eastAsia="Calibri" w:hAnsi="Garamond"/>
                <w:sz w:val="16"/>
                <w:szCs w:val="16"/>
                <w:lang w:eastAsia="en-US" w:bidi="ar-SA"/>
              </w:rPr>
              <w:t>http://www.azzk.me/novi/joomlanovi/</w:t>
            </w:r>
          </w:p>
        </w:tc>
      </w:tr>
      <w:tr w:rsidR="00282442" w:rsidRPr="00071CAA" w:rsidTr="00D15F76">
        <w:trPr>
          <w:gridAfter w:val="1"/>
          <w:wAfter w:w="19" w:type="dxa"/>
          <w:jc w:val="center"/>
        </w:trPr>
        <w:tc>
          <w:tcPr>
            <w:tcW w:w="2721" w:type="dxa"/>
            <w:vAlign w:val="center"/>
          </w:tcPr>
          <w:p w:rsidR="00282442" w:rsidRPr="00071CAA" w:rsidRDefault="00282442"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NAME OF DATA COLLECTION HOLDER</w:t>
            </w:r>
          </w:p>
        </w:tc>
        <w:tc>
          <w:tcPr>
            <w:tcW w:w="6836" w:type="dxa"/>
            <w:gridSpan w:val="4"/>
            <w:vAlign w:val="center"/>
          </w:tcPr>
          <w:p w:rsidR="00282442" w:rsidRPr="00071CAA" w:rsidRDefault="00282442" w:rsidP="00D15F76">
            <w:pPr>
              <w:rPr>
                <w:rFonts w:ascii="Garamond" w:hAnsi="Garamond"/>
                <w:sz w:val="16"/>
                <w:szCs w:val="16"/>
              </w:rPr>
            </w:pPr>
            <w:r w:rsidRPr="00071CAA">
              <w:rPr>
                <w:rFonts w:ascii="Garamond" w:hAnsi="Garamond"/>
                <w:sz w:val="16"/>
                <w:szCs w:val="16"/>
              </w:rPr>
              <w:t>Competition Protection Agency</w:t>
            </w:r>
          </w:p>
          <w:p w:rsidR="00282442" w:rsidRPr="00071CAA" w:rsidRDefault="00282442" w:rsidP="00D15F76">
            <w:pPr>
              <w:rPr>
                <w:rFonts w:ascii="Garamond" w:hAnsi="Garamond"/>
                <w:sz w:val="16"/>
                <w:szCs w:val="16"/>
              </w:rPr>
            </w:pPr>
            <w:r w:rsidRPr="00071CAA">
              <w:rPr>
                <w:rFonts w:ascii="Garamond" w:hAnsi="Garamond"/>
                <w:sz w:val="16"/>
                <w:szCs w:val="16"/>
              </w:rPr>
              <w:t>Ivana Paprenica,</w:t>
            </w:r>
          </w:p>
          <w:p w:rsidR="00282442" w:rsidRPr="00071CAA" w:rsidRDefault="00282442" w:rsidP="00D15F76">
            <w:pPr>
              <w:rPr>
                <w:rFonts w:ascii="Garamond" w:hAnsi="Garamond"/>
                <w:sz w:val="16"/>
                <w:szCs w:val="16"/>
              </w:rPr>
            </w:pPr>
            <w:r w:rsidRPr="00071CAA">
              <w:rPr>
                <w:rFonts w:ascii="Garamond" w:hAnsi="Garamond"/>
                <w:sz w:val="16"/>
                <w:szCs w:val="16"/>
              </w:rPr>
              <w:t>drzavna.pomoc@azzk.me</w:t>
            </w:r>
          </w:p>
          <w:p w:rsidR="00282442" w:rsidRPr="00071CAA" w:rsidRDefault="00282442" w:rsidP="00D15F76">
            <w:pPr>
              <w:rPr>
                <w:rFonts w:ascii="Garamond" w:eastAsia="Calibri" w:hAnsi="Garamond"/>
                <w:sz w:val="16"/>
                <w:szCs w:val="16"/>
                <w:lang w:eastAsia="en-US" w:bidi="ar-SA"/>
              </w:rPr>
            </w:pPr>
            <w:r w:rsidRPr="00071CAA">
              <w:rPr>
                <w:rFonts w:ascii="Garamond" w:hAnsi="Garamond"/>
                <w:sz w:val="16"/>
                <w:szCs w:val="16"/>
              </w:rPr>
              <w:t>Phone: 063262830</w:t>
            </w:r>
          </w:p>
        </w:tc>
      </w:tr>
      <w:tr w:rsidR="00282442" w:rsidRPr="00071CAA" w:rsidTr="00D15F76">
        <w:trPr>
          <w:gridAfter w:val="1"/>
          <w:wAfter w:w="19" w:type="dxa"/>
          <w:jc w:val="center"/>
        </w:trPr>
        <w:tc>
          <w:tcPr>
            <w:tcW w:w="2721" w:type="dxa"/>
            <w:vAlign w:val="center"/>
          </w:tcPr>
          <w:p w:rsidR="00282442" w:rsidRPr="00071CAA" w:rsidRDefault="00282442"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FREQUENCY OF DATA PUBLICATION</w:t>
            </w:r>
          </w:p>
        </w:tc>
        <w:tc>
          <w:tcPr>
            <w:tcW w:w="6836" w:type="dxa"/>
            <w:gridSpan w:val="4"/>
            <w:vAlign w:val="center"/>
          </w:tcPr>
          <w:p w:rsidR="00282442" w:rsidRPr="00071CAA" w:rsidRDefault="00282442" w:rsidP="00D15F76">
            <w:pPr>
              <w:rPr>
                <w:rFonts w:ascii="Garamond" w:eastAsia="Calibri" w:hAnsi="Garamond"/>
                <w:sz w:val="16"/>
                <w:szCs w:val="16"/>
                <w:lang w:eastAsia="en-US" w:bidi="ar-SA"/>
              </w:rPr>
            </w:pPr>
            <w:r w:rsidRPr="00071CAA">
              <w:rPr>
                <w:rFonts w:ascii="Garamond" w:eastAsia="Calibri" w:hAnsi="Garamond"/>
                <w:sz w:val="16"/>
                <w:szCs w:val="16"/>
                <w:lang w:eastAsia="en-US" w:bidi="ar-SA"/>
              </w:rPr>
              <w:t>Cross-section can be made at the end of each calendar year</w:t>
            </w:r>
          </w:p>
        </w:tc>
      </w:tr>
      <w:tr w:rsidR="00282442" w:rsidRPr="00071CAA" w:rsidTr="00D15F76">
        <w:trPr>
          <w:gridAfter w:val="1"/>
          <w:wAfter w:w="19" w:type="dxa"/>
          <w:trHeight w:val="458"/>
          <w:jc w:val="center"/>
        </w:trPr>
        <w:tc>
          <w:tcPr>
            <w:tcW w:w="2721" w:type="dxa"/>
            <w:vMerge w:val="restart"/>
            <w:vAlign w:val="center"/>
          </w:tcPr>
          <w:p w:rsidR="00282442" w:rsidRPr="00071CAA" w:rsidRDefault="00282442"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 xml:space="preserve">BRIEF DESCRIPTION </w:t>
            </w:r>
            <w:r w:rsidRPr="00071CAA">
              <w:rPr>
                <w:rFonts w:ascii="Garamond" w:eastAsia="Calibri" w:hAnsi="Garamond"/>
                <w:b/>
                <w:caps/>
                <w:sz w:val="16"/>
                <w:szCs w:val="16"/>
                <w:lang w:val="en-GB" w:eastAsia="en-US" w:bidi="ar-SA"/>
              </w:rPr>
              <w:t xml:space="preserve">OF </w:t>
            </w:r>
            <w:r w:rsidRPr="00071CAA">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282442" w:rsidRPr="00071CAA" w:rsidRDefault="00282442" w:rsidP="00F3644F">
            <w:pPr>
              <w:jc w:val="both"/>
              <w:rPr>
                <w:rFonts w:ascii="Garamond" w:eastAsia="Calibri" w:hAnsi="Garamond"/>
                <w:sz w:val="16"/>
                <w:szCs w:val="16"/>
                <w:u w:val="single"/>
                <w:lang w:val="uz-Cyrl-UZ" w:eastAsia="en-US" w:bidi="ar-SA"/>
              </w:rPr>
            </w:pPr>
            <w:r w:rsidRPr="00071CAA">
              <w:rPr>
                <w:rFonts w:ascii="Garamond" w:eastAsia="Calibri" w:hAnsi="Garamond"/>
                <w:sz w:val="16"/>
                <w:szCs w:val="16"/>
                <w:lang w:val="uz-Cyrl-UZ" w:eastAsia="en-US" w:bidi="ar-SA"/>
              </w:rPr>
              <w:t xml:space="preserve">The level of information of institutions on the obligation to report state aid is considered better if the </w:t>
            </w:r>
            <w:r w:rsidR="00BF3236" w:rsidRPr="00071CAA">
              <w:rPr>
                <w:rFonts w:ascii="Garamond" w:eastAsia="Calibri" w:hAnsi="Garamond"/>
                <w:sz w:val="16"/>
                <w:szCs w:val="16"/>
                <w:lang w:val="uz-Cyrl-UZ" w:eastAsia="en-US" w:bidi="ar-SA"/>
              </w:rPr>
              <w:t>performance indicator</w:t>
            </w:r>
            <w:r w:rsidR="00BF3236" w:rsidRPr="00071CAA">
              <w:rPr>
                <w:rFonts w:ascii="Garamond" w:eastAsia="Calibri" w:hAnsi="Garamond"/>
                <w:sz w:val="16"/>
                <w:szCs w:val="16"/>
                <w:lang w:val="en-GB" w:eastAsia="en-US" w:bidi="ar-SA"/>
              </w:rPr>
              <w:t xml:space="preserve"> </w:t>
            </w:r>
            <w:r w:rsidRPr="00071CAA">
              <w:rPr>
                <w:rFonts w:ascii="Garamond" w:eastAsia="Calibri" w:hAnsi="Garamond"/>
                <w:sz w:val="16"/>
                <w:szCs w:val="16"/>
                <w:lang w:val="en-GB" w:eastAsia="en-US" w:bidi="ar-SA"/>
              </w:rPr>
              <w:t>is</w:t>
            </w:r>
            <w:r w:rsidRPr="00071CAA">
              <w:rPr>
                <w:rFonts w:ascii="Garamond" w:eastAsia="Calibri" w:hAnsi="Garamond"/>
                <w:sz w:val="16"/>
                <w:szCs w:val="16"/>
                <w:lang w:val="uz-Cyrl-UZ" w:eastAsia="en-US" w:bidi="ar-SA"/>
              </w:rPr>
              <w:t xml:space="preserve"> declining (which means that the institutions are more informed on the obligation to report state aid), i</w:t>
            </w:r>
            <w:r w:rsidRPr="00071CAA">
              <w:rPr>
                <w:rFonts w:ascii="Garamond" w:eastAsia="Calibri" w:hAnsi="Garamond"/>
                <w:sz w:val="16"/>
                <w:szCs w:val="16"/>
                <w:lang w:val="en-GB" w:eastAsia="en-US" w:bidi="ar-SA"/>
              </w:rPr>
              <w:t>.</w:t>
            </w:r>
            <w:r w:rsidRPr="00071CAA">
              <w:rPr>
                <w:rFonts w:ascii="Garamond" w:eastAsia="Calibri" w:hAnsi="Garamond"/>
                <w:sz w:val="16"/>
                <w:szCs w:val="16"/>
                <w:lang w:val="uz-Cyrl-UZ" w:eastAsia="en-US" w:bidi="ar-SA"/>
              </w:rPr>
              <w:t>e. instituti</w:t>
            </w:r>
            <w:r w:rsidR="00F3644F" w:rsidRPr="00071CAA">
              <w:rPr>
                <w:rFonts w:ascii="Garamond" w:eastAsia="Calibri" w:hAnsi="Garamond"/>
                <w:sz w:val="16"/>
                <w:szCs w:val="16"/>
                <w:lang w:val="uz-Cyrl-UZ" w:eastAsia="en-US" w:bidi="ar-SA"/>
              </w:rPr>
              <w:t>ons notify State Aid Commission</w:t>
            </w:r>
            <w:r w:rsidRPr="00071CAA">
              <w:rPr>
                <w:rFonts w:ascii="Garamond" w:eastAsia="Calibri" w:hAnsi="Garamond"/>
                <w:sz w:val="16"/>
                <w:szCs w:val="16"/>
                <w:lang w:val="en-GB" w:eastAsia="en-US" w:bidi="ar-SA"/>
              </w:rPr>
              <w:t>/</w:t>
            </w:r>
            <w:r w:rsidR="00F3644F" w:rsidRPr="00071CAA">
              <w:rPr>
                <w:rFonts w:ascii="Garamond" w:eastAsia="Calibri" w:hAnsi="Garamond"/>
                <w:sz w:val="16"/>
                <w:szCs w:val="16"/>
                <w:lang w:val="uz-Cyrl-UZ" w:eastAsia="en-US" w:bidi="ar-SA"/>
              </w:rPr>
              <w:t>Agency</w:t>
            </w:r>
            <w:r w:rsidRPr="00071CAA">
              <w:rPr>
                <w:rFonts w:ascii="Garamond" w:eastAsia="Calibri" w:hAnsi="Garamond"/>
                <w:sz w:val="16"/>
                <w:szCs w:val="16"/>
                <w:lang w:val="uz-Cyrl-UZ" w:eastAsia="en-US" w:bidi="ar-SA"/>
              </w:rPr>
              <w:t>/before the moment of award (there is no nee</w:t>
            </w:r>
            <w:r w:rsidR="00F3644F" w:rsidRPr="00071CAA">
              <w:rPr>
                <w:rFonts w:ascii="Garamond" w:eastAsia="Calibri" w:hAnsi="Garamond"/>
                <w:sz w:val="16"/>
                <w:szCs w:val="16"/>
                <w:lang w:val="uz-Cyrl-UZ" w:eastAsia="en-US" w:bidi="ar-SA"/>
              </w:rPr>
              <w:t>d to open an ex officio process</w:t>
            </w:r>
            <w:r w:rsidR="00F3644F" w:rsidRPr="00071CAA">
              <w:rPr>
                <w:rFonts w:ascii="Garamond" w:eastAsia="Calibri" w:hAnsi="Garamond"/>
                <w:sz w:val="16"/>
                <w:szCs w:val="16"/>
                <w:lang w:val="en-GB" w:eastAsia="en-US" w:bidi="ar-SA"/>
              </w:rPr>
              <w:t>)</w:t>
            </w:r>
            <w:r w:rsidRPr="00071CAA">
              <w:rPr>
                <w:rFonts w:ascii="Garamond" w:eastAsia="Calibri" w:hAnsi="Garamond"/>
                <w:sz w:val="16"/>
                <w:szCs w:val="16"/>
                <w:lang w:val="uz-Cyrl-UZ" w:eastAsia="en-US" w:bidi="ar-SA"/>
              </w:rPr>
              <w:t>.</w:t>
            </w:r>
          </w:p>
        </w:tc>
      </w:tr>
      <w:tr w:rsidR="00282442" w:rsidRPr="00071CAA" w:rsidTr="00D15F76">
        <w:trPr>
          <w:gridAfter w:val="1"/>
          <w:wAfter w:w="19" w:type="dxa"/>
          <w:trHeight w:val="620"/>
          <w:jc w:val="center"/>
        </w:trPr>
        <w:tc>
          <w:tcPr>
            <w:tcW w:w="2721" w:type="dxa"/>
            <w:vMerge/>
            <w:shd w:val="clear" w:color="auto" w:fill="auto"/>
            <w:vAlign w:val="center"/>
          </w:tcPr>
          <w:p w:rsidR="00282442" w:rsidRPr="00071CAA" w:rsidRDefault="00282442"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282442" w:rsidRPr="00071CAA" w:rsidRDefault="00282442" w:rsidP="00D15F76">
            <w:pPr>
              <w:jc w:val="center"/>
              <w:rPr>
                <w:rFonts w:ascii="Garamond" w:hAnsi="Garamond"/>
                <w:color w:val="365F91" w:themeColor="accent1" w:themeShade="BF"/>
                <w:sz w:val="16"/>
                <w:szCs w:val="16"/>
                <w:lang w:val="uz-Cyrl-UZ"/>
              </w:rPr>
            </w:pPr>
            <w:r w:rsidRPr="00071CAA">
              <w:rPr>
                <w:rFonts w:ascii="Garamond" w:hAnsi="Garamond"/>
                <w:color w:val="365F91" w:themeColor="accent1" w:themeShade="BF"/>
                <w:sz w:val="16"/>
                <w:szCs w:val="16"/>
                <w:lang w:val="uz-Cyrl-UZ"/>
              </w:rPr>
              <w:t>FORMULA / EQUATION</w:t>
            </w:r>
          </w:p>
          <w:p w:rsidR="00282442" w:rsidRPr="00071CAA" w:rsidRDefault="00282442" w:rsidP="00F3644F">
            <w:pPr>
              <w:jc w:val="center"/>
              <w:rPr>
                <w:rFonts w:ascii="Garamond" w:eastAsia="Calibri" w:hAnsi="Garamond"/>
                <w:sz w:val="16"/>
                <w:szCs w:val="16"/>
                <w:lang w:val="en-GB" w:eastAsia="en-US" w:bidi="ar-SA"/>
              </w:rPr>
            </w:pPr>
            <w:r w:rsidRPr="00071CAA">
              <w:rPr>
                <w:rFonts w:ascii="Garamond" w:eastAsia="Calibri" w:hAnsi="Garamond"/>
                <w:sz w:val="16"/>
                <w:szCs w:val="16"/>
                <w:lang w:val="en-GB" w:eastAsia="en-US" w:bidi="ar-SA"/>
              </w:rPr>
              <w:t xml:space="preserve">Number of completed ex officio </w:t>
            </w:r>
            <w:r w:rsidR="00F3644F" w:rsidRPr="00071CAA">
              <w:rPr>
                <w:rFonts w:ascii="Garamond" w:eastAsia="Calibri" w:hAnsi="Garamond"/>
                <w:sz w:val="16"/>
                <w:szCs w:val="16"/>
                <w:lang w:val="en-GB" w:eastAsia="en-US" w:bidi="ar-SA"/>
              </w:rPr>
              <w:t>cases</w:t>
            </w:r>
            <w:r w:rsidRPr="00071CAA">
              <w:rPr>
                <w:rFonts w:ascii="Garamond" w:eastAsia="Calibri" w:hAnsi="Garamond"/>
                <w:sz w:val="16"/>
                <w:szCs w:val="16"/>
                <w:lang w:val="en-GB" w:eastAsia="en-US" w:bidi="ar-SA"/>
              </w:rPr>
              <w:t xml:space="preserve"> during one calendar year</w:t>
            </w:r>
          </w:p>
        </w:tc>
      </w:tr>
      <w:tr w:rsidR="00282442" w:rsidRPr="00071CAA" w:rsidTr="00D15F76">
        <w:trPr>
          <w:gridAfter w:val="1"/>
          <w:wAfter w:w="19" w:type="dxa"/>
          <w:trHeight w:val="585"/>
          <w:jc w:val="center"/>
        </w:trPr>
        <w:tc>
          <w:tcPr>
            <w:tcW w:w="2721" w:type="dxa"/>
            <w:vAlign w:val="center"/>
          </w:tcPr>
          <w:p w:rsidR="00282442" w:rsidRPr="00071CAA" w:rsidRDefault="00282442" w:rsidP="00D15F76">
            <w:pPr>
              <w:autoSpaceDE/>
              <w:autoSpaceDN/>
              <w:rPr>
                <w:rFonts w:ascii="Garamond" w:eastAsia="Calibri" w:hAnsi="Garamond"/>
                <w:b/>
                <w:bCs/>
                <w:caps/>
                <w:sz w:val="16"/>
                <w:szCs w:val="16"/>
                <w:lang w:val="en-GB" w:eastAsia="en-US" w:bidi="ar-SA"/>
              </w:rPr>
            </w:pPr>
            <w:r w:rsidRPr="00071CAA">
              <w:rPr>
                <w:rFonts w:ascii="Garamond" w:eastAsia="Calibri" w:hAnsi="Garamond"/>
                <w:b/>
                <w:caps/>
                <w:sz w:val="16"/>
                <w:szCs w:val="16"/>
                <w:lang w:val="uz-Cyrl-UZ" w:eastAsia="en-US" w:bidi="ar-SA"/>
              </w:rPr>
              <w:t>BASELINE</w:t>
            </w:r>
            <w:r w:rsidRPr="00071CAA">
              <w:rPr>
                <w:rFonts w:ascii="Garamond" w:eastAsia="Calibri" w:hAnsi="Garamond"/>
                <w:b/>
                <w:caps/>
                <w:sz w:val="16"/>
                <w:szCs w:val="16"/>
                <w:lang w:val="en-GB" w:eastAsia="en-US" w:bidi="ar-SA"/>
              </w:rPr>
              <w:t xml:space="preserve"> DATA</w:t>
            </w:r>
          </w:p>
        </w:tc>
        <w:tc>
          <w:tcPr>
            <w:tcW w:w="6836" w:type="dxa"/>
            <w:gridSpan w:val="4"/>
            <w:vAlign w:val="center"/>
          </w:tcPr>
          <w:p w:rsidR="00282442" w:rsidRPr="00071CAA" w:rsidRDefault="00282442" w:rsidP="00D15F76">
            <w:pPr>
              <w:pStyle w:val="TabelaTekst"/>
              <w:spacing w:before="0" w:after="0" w:line="240" w:lineRule="auto"/>
              <w:rPr>
                <w:rFonts w:ascii="Garamond" w:hAnsi="Garamond"/>
                <w:sz w:val="16"/>
                <w:szCs w:val="16"/>
                <w:lang w:val="en-GB"/>
              </w:rPr>
            </w:pPr>
            <w:r w:rsidRPr="00071CAA">
              <w:rPr>
                <w:rFonts w:ascii="Garamond" w:hAnsi="Garamond"/>
                <w:sz w:val="16"/>
                <w:szCs w:val="16"/>
              </w:rPr>
              <w:t>PV (2014</w:t>
            </w:r>
            <w:r w:rsidRPr="00071CAA">
              <w:rPr>
                <w:rFonts w:ascii="Garamond" w:hAnsi="Garamond"/>
                <w:sz w:val="16"/>
                <w:szCs w:val="16"/>
                <w:lang w:val="en-GB"/>
              </w:rPr>
              <w:t>):5</w:t>
            </w:r>
          </w:p>
        </w:tc>
      </w:tr>
      <w:tr w:rsidR="00282442" w:rsidRPr="00071CAA" w:rsidTr="00D15F76">
        <w:trPr>
          <w:gridAfter w:val="1"/>
          <w:wAfter w:w="19" w:type="dxa"/>
          <w:trHeight w:val="160"/>
          <w:jc w:val="center"/>
        </w:trPr>
        <w:tc>
          <w:tcPr>
            <w:tcW w:w="2721" w:type="dxa"/>
            <w:vMerge w:val="restart"/>
            <w:vAlign w:val="center"/>
          </w:tcPr>
          <w:p w:rsidR="00282442" w:rsidRPr="00071CAA" w:rsidRDefault="00282442" w:rsidP="00D15F76">
            <w:pPr>
              <w:autoSpaceDE/>
              <w:autoSpaceDN/>
              <w:rPr>
                <w:rFonts w:ascii="Garamond" w:eastAsia="Calibri" w:hAnsi="Garamond"/>
                <w:b/>
                <w:bCs/>
                <w:caps/>
                <w:sz w:val="16"/>
                <w:szCs w:val="16"/>
                <w:lang w:val="uz-Cyrl-UZ" w:eastAsia="en-US" w:bidi="ar-SA"/>
              </w:rPr>
            </w:pPr>
            <w:r w:rsidRPr="00071CAA">
              <w:rPr>
                <w:rFonts w:ascii="Garamond" w:eastAsia="Calibri" w:hAnsi="Garamond"/>
                <w:b/>
                <w:caps/>
                <w:sz w:val="16"/>
                <w:szCs w:val="16"/>
                <w:lang w:val="uz-Cyrl-UZ" w:eastAsia="en-US" w:bidi="ar-SA"/>
              </w:rPr>
              <w:t>TARGET VALUE DATA</w:t>
            </w:r>
          </w:p>
        </w:tc>
        <w:tc>
          <w:tcPr>
            <w:tcW w:w="1771" w:type="dxa"/>
            <w:vAlign w:val="center"/>
          </w:tcPr>
          <w:p w:rsidR="00282442" w:rsidRPr="00071CAA" w:rsidRDefault="00282442"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2017</w:t>
            </w:r>
          </w:p>
        </w:tc>
        <w:tc>
          <w:tcPr>
            <w:tcW w:w="1771" w:type="dxa"/>
            <w:vAlign w:val="center"/>
          </w:tcPr>
          <w:p w:rsidR="00282442" w:rsidRPr="00071CAA" w:rsidRDefault="00282442"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2018</w:t>
            </w:r>
          </w:p>
        </w:tc>
        <w:tc>
          <w:tcPr>
            <w:tcW w:w="1771" w:type="dxa"/>
            <w:vAlign w:val="center"/>
          </w:tcPr>
          <w:p w:rsidR="00282442" w:rsidRPr="00071CAA" w:rsidRDefault="00282442"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2019</w:t>
            </w:r>
          </w:p>
        </w:tc>
        <w:tc>
          <w:tcPr>
            <w:tcW w:w="1523" w:type="dxa"/>
            <w:vAlign w:val="center"/>
          </w:tcPr>
          <w:p w:rsidR="00282442" w:rsidRPr="00071CAA" w:rsidRDefault="00282442"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2020</w:t>
            </w:r>
          </w:p>
        </w:tc>
      </w:tr>
      <w:tr w:rsidR="00282442" w:rsidRPr="00071CAA" w:rsidTr="00D15F76">
        <w:trPr>
          <w:gridAfter w:val="1"/>
          <w:wAfter w:w="19" w:type="dxa"/>
          <w:trHeight w:val="160"/>
          <w:jc w:val="center"/>
        </w:trPr>
        <w:tc>
          <w:tcPr>
            <w:tcW w:w="2721" w:type="dxa"/>
            <w:vMerge/>
            <w:vAlign w:val="center"/>
          </w:tcPr>
          <w:p w:rsidR="00282442" w:rsidRPr="00071CAA" w:rsidRDefault="00282442" w:rsidP="00D15F76">
            <w:pPr>
              <w:autoSpaceDE/>
              <w:autoSpaceDN/>
              <w:rPr>
                <w:rFonts w:ascii="Garamond" w:eastAsia="Calibri" w:hAnsi="Garamond"/>
                <w:b/>
                <w:bCs/>
                <w:caps/>
                <w:sz w:val="16"/>
                <w:szCs w:val="16"/>
                <w:lang w:val="uz-Cyrl-UZ" w:eastAsia="en-US" w:bidi="ar-SA"/>
              </w:rPr>
            </w:pPr>
          </w:p>
        </w:tc>
        <w:tc>
          <w:tcPr>
            <w:tcW w:w="1771" w:type="dxa"/>
            <w:vAlign w:val="center"/>
          </w:tcPr>
          <w:p w:rsidR="00282442" w:rsidRPr="00071CAA" w:rsidRDefault="00282442" w:rsidP="00D15F76">
            <w:pPr>
              <w:pStyle w:val="TabelaTekst"/>
              <w:spacing w:before="0" w:after="0" w:line="240" w:lineRule="auto"/>
              <w:jc w:val="center"/>
              <w:rPr>
                <w:rFonts w:ascii="Garamond" w:hAnsi="Garamond"/>
                <w:sz w:val="16"/>
                <w:szCs w:val="16"/>
                <w:lang w:val="en-GB"/>
              </w:rPr>
            </w:pPr>
            <w:r w:rsidRPr="00071CAA">
              <w:rPr>
                <w:rFonts w:ascii="Garamond" w:hAnsi="Garamond"/>
                <w:sz w:val="16"/>
                <w:szCs w:val="16"/>
                <w:lang w:val="en-GB"/>
              </w:rPr>
              <w:t>3</w:t>
            </w:r>
          </w:p>
        </w:tc>
        <w:tc>
          <w:tcPr>
            <w:tcW w:w="1771" w:type="dxa"/>
            <w:vAlign w:val="center"/>
          </w:tcPr>
          <w:p w:rsidR="00282442" w:rsidRPr="00071CAA" w:rsidRDefault="00282442" w:rsidP="00D15F76">
            <w:pPr>
              <w:pStyle w:val="TabelaTekst"/>
              <w:spacing w:before="0" w:after="0" w:line="240" w:lineRule="auto"/>
              <w:jc w:val="center"/>
              <w:rPr>
                <w:rFonts w:ascii="Garamond" w:hAnsi="Garamond"/>
                <w:sz w:val="16"/>
                <w:szCs w:val="16"/>
                <w:lang w:val="en-GB"/>
              </w:rPr>
            </w:pPr>
            <w:r w:rsidRPr="00071CAA">
              <w:rPr>
                <w:rFonts w:ascii="Garamond" w:hAnsi="Garamond"/>
                <w:sz w:val="16"/>
                <w:szCs w:val="16"/>
                <w:lang w:val="en-GB"/>
              </w:rPr>
              <w:t>Up to 2</w:t>
            </w:r>
          </w:p>
        </w:tc>
        <w:tc>
          <w:tcPr>
            <w:tcW w:w="1771" w:type="dxa"/>
            <w:vAlign w:val="center"/>
          </w:tcPr>
          <w:p w:rsidR="00282442" w:rsidRPr="00071CAA" w:rsidRDefault="00282442" w:rsidP="00D15F76">
            <w:pPr>
              <w:pStyle w:val="TabelaTekst"/>
              <w:spacing w:before="0" w:after="0" w:line="240" w:lineRule="auto"/>
              <w:jc w:val="center"/>
              <w:rPr>
                <w:rFonts w:ascii="Garamond" w:hAnsi="Garamond"/>
                <w:sz w:val="16"/>
                <w:szCs w:val="16"/>
                <w:lang w:val="en-GB"/>
              </w:rPr>
            </w:pPr>
            <w:r w:rsidRPr="00071CAA">
              <w:rPr>
                <w:rFonts w:ascii="Garamond" w:hAnsi="Garamond"/>
                <w:sz w:val="16"/>
                <w:szCs w:val="16"/>
                <w:lang w:val="en-GB"/>
              </w:rPr>
              <w:t>Up to 2</w:t>
            </w:r>
          </w:p>
        </w:tc>
        <w:tc>
          <w:tcPr>
            <w:tcW w:w="1523" w:type="dxa"/>
            <w:vAlign w:val="center"/>
          </w:tcPr>
          <w:p w:rsidR="00282442" w:rsidRPr="00071CAA" w:rsidRDefault="00282442" w:rsidP="00D15F76">
            <w:pPr>
              <w:pStyle w:val="TabelaTekst"/>
              <w:spacing w:before="0" w:after="0" w:line="240" w:lineRule="auto"/>
              <w:jc w:val="center"/>
              <w:rPr>
                <w:rFonts w:ascii="Garamond" w:hAnsi="Garamond"/>
                <w:sz w:val="16"/>
                <w:szCs w:val="16"/>
                <w:lang w:val="en-GB"/>
              </w:rPr>
            </w:pPr>
            <w:r w:rsidRPr="00071CAA">
              <w:rPr>
                <w:rFonts w:ascii="Garamond" w:hAnsi="Garamond"/>
                <w:sz w:val="16"/>
                <w:szCs w:val="16"/>
                <w:lang w:val="en-GB"/>
              </w:rPr>
              <w:t>Up to 1</w:t>
            </w:r>
          </w:p>
        </w:tc>
      </w:tr>
      <w:tr w:rsidR="000601F9" w:rsidRPr="00071CAA" w:rsidTr="00D15F76">
        <w:trPr>
          <w:gridAfter w:val="1"/>
          <w:wAfter w:w="19" w:type="dxa"/>
          <w:trHeight w:val="160"/>
          <w:jc w:val="center"/>
        </w:trPr>
        <w:tc>
          <w:tcPr>
            <w:tcW w:w="2721" w:type="dxa"/>
            <w:vAlign w:val="center"/>
          </w:tcPr>
          <w:p w:rsidR="000601F9" w:rsidRPr="00071CAA" w:rsidRDefault="0062456A" w:rsidP="00D15F76">
            <w:pPr>
              <w:autoSpaceDE/>
              <w:autoSpaceDN/>
              <w:rPr>
                <w:rFonts w:ascii="Garamond" w:eastAsia="Calibri" w:hAnsi="Garamond"/>
                <w:b/>
                <w:bCs/>
                <w:caps/>
                <w:sz w:val="16"/>
                <w:szCs w:val="16"/>
                <w:lang w:val="uz-Cyrl-UZ" w:eastAsia="en-US" w:bidi="ar-SA"/>
              </w:rPr>
            </w:pPr>
            <w:r w:rsidRPr="00071CAA">
              <w:rPr>
                <w:rFonts w:ascii="Garamond" w:eastAsia="Calibri" w:hAnsi="Garamond"/>
                <w:b/>
                <w:bCs/>
                <w:caps/>
                <w:sz w:val="16"/>
                <w:szCs w:val="16"/>
                <w:lang w:val="uz-Cyrl-UZ" w:eastAsia="en-US" w:bidi="ar-SA"/>
              </w:rPr>
              <w:t>DATA ON VALUES ACHIEVED</w:t>
            </w:r>
          </w:p>
        </w:tc>
        <w:tc>
          <w:tcPr>
            <w:tcW w:w="1771" w:type="dxa"/>
            <w:vAlign w:val="center"/>
          </w:tcPr>
          <w:p w:rsidR="000601F9" w:rsidRPr="00071CAA" w:rsidRDefault="000601F9" w:rsidP="00282442">
            <w:pPr>
              <w:pStyle w:val="TabelaTekst"/>
              <w:jc w:val="center"/>
              <w:rPr>
                <w:rFonts w:ascii="Garamond" w:hAnsi="Garamond"/>
                <w:sz w:val="16"/>
                <w:szCs w:val="16"/>
              </w:rPr>
            </w:pPr>
            <w:r w:rsidRPr="00071CAA">
              <w:rPr>
                <w:rFonts w:ascii="Garamond" w:hAnsi="Garamond"/>
                <w:sz w:val="16"/>
                <w:szCs w:val="16"/>
              </w:rPr>
              <w:t>(0)</w:t>
            </w:r>
          </w:p>
          <w:p w:rsidR="000601F9" w:rsidRPr="00071CAA" w:rsidRDefault="000601F9" w:rsidP="00282442">
            <w:pPr>
              <w:pStyle w:val="TabelaTekst"/>
              <w:spacing w:before="0" w:after="0" w:line="240" w:lineRule="auto"/>
              <w:jc w:val="center"/>
              <w:rPr>
                <w:rFonts w:ascii="Garamond" w:hAnsi="Garamond"/>
                <w:sz w:val="16"/>
                <w:szCs w:val="16"/>
              </w:rPr>
            </w:pPr>
            <w:r w:rsidRPr="00071CAA">
              <w:rPr>
                <w:rFonts w:ascii="Garamond" w:hAnsi="Garamond"/>
                <w:sz w:val="16"/>
                <w:szCs w:val="16"/>
              </w:rPr>
              <w:t xml:space="preserve">In 2017, no </w:t>
            </w:r>
            <w:r w:rsidRPr="00071CAA">
              <w:rPr>
                <w:rFonts w:ascii="Garamond" w:hAnsi="Garamond"/>
                <w:sz w:val="16"/>
                <w:szCs w:val="16"/>
                <w:lang w:val="en-GB"/>
              </w:rPr>
              <w:t>e</w:t>
            </w:r>
            <w:r w:rsidRPr="00071CAA">
              <w:rPr>
                <w:rFonts w:ascii="Garamond" w:hAnsi="Garamond"/>
                <w:sz w:val="16"/>
                <w:szCs w:val="16"/>
              </w:rPr>
              <w:t>x-officio case was initiated</w:t>
            </w:r>
          </w:p>
        </w:tc>
        <w:tc>
          <w:tcPr>
            <w:tcW w:w="1771" w:type="dxa"/>
            <w:vAlign w:val="center"/>
          </w:tcPr>
          <w:p w:rsidR="000601F9" w:rsidRPr="00071CAA" w:rsidRDefault="000601F9" w:rsidP="00D15F76">
            <w:pPr>
              <w:pStyle w:val="TabelaTekst"/>
              <w:jc w:val="center"/>
              <w:rPr>
                <w:rFonts w:ascii="Garamond" w:hAnsi="Garamond"/>
                <w:sz w:val="16"/>
                <w:szCs w:val="16"/>
              </w:rPr>
            </w:pPr>
            <w:r w:rsidRPr="00071CAA">
              <w:rPr>
                <w:rFonts w:ascii="Garamond" w:hAnsi="Garamond"/>
                <w:sz w:val="16"/>
                <w:szCs w:val="16"/>
              </w:rPr>
              <w:t>(0)</w:t>
            </w:r>
          </w:p>
          <w:p w:rsidR="000601F9" w:rsidRPr="00071CAA" w:rsidRDefault="000601F9" w:rsidP="000601F9">
            <w:pPr>
              <w:pStyle w:val="TabelaTekst"/>
              <w:spacing w:before="0" w:after="0" w:line="240" w:lineRule="auto"/>
              <w:jc w:val="center"/>
              <w:rPr>
                <w:rFonts w:ascii="Garamond" w:hAnsi="Garamond"/>
                <w:sz w:val="16"/>
                <w:szCs w:val="16"/>
              </w:rPr>
            </w:pPr>
            <w:r w:rsidRPr="00071CAA">
              <w:rPr>
                <w:rFonts w:ascii="Garamond" w:hAnsi="Garamond"/>
                <w:sz w:val="16"/>
                <w:szCs w:val="16"/>
              </w:rPr>
              <w:t>In 201</w:t>
            </w:r>
            <w:r w:rsidRPr="00071CAA">
              <w:rPr>
                <w:rFonts w:ascii="Garamond" w:hAnsi="Garamond"/>
                <w:sz w:val="16"/>
                <w:szCs w:val="16"/>
                <w:lang w:val="en-GB"/>
              </w:rPr>
              <w:t>8</w:t>
            </w:r>
            <w:r w:rsidRPr="00071CAA">
              <w:rPr>
                <w:rFonts w:ascii="Garamond" w:hAnsi="Garamond"/>
                <w:sz w:val="16"/>
                <w:szCs w:val="16"/>
              </w:rPr>
              <w:t xml:space="preserve">, no </w:t>
            </w:r>
            <w:r w:rsidRPr="00071CAA">
              <w:rPr>
                <w:rFonts w:ascii="Garamond" w:hAnsi="Garamond"/>
                <w:sz w:val="16"/>
                <w:szCs w:val="16"/>
                <w:lang w:val="en-GB"/>
              </w:rPr>
              <w:t>e</w:t>
            </w:r>
            <w:r w:rsidRPr="00071CAA">
              <w:rPr>
                <w:rFonts w:ascii="Garamond" w:hAnsi="Garamond"/>
                <w:sz w:val="16"/>
                <w:szCs w:val="16"/>
              </w:rPr>
              <w:t>x-officio case was initiated</w:t>
            </w:r>
          </w:p>
        </w:tc>
        <w:tc>
          <w:tcPr>
            <w:tcW w:w="1771" w:type="dxa"/>
            <w:vAlign w:val="center"/>
          </w:tcPr>
          <w:p w:rsidR="000601F9" w:rsidRPr="00071CAA" w:rsidRDefault="000601F9" w:rsidP="000601F9">
            <w:pPr>
              <w:pStyle w:val="TabelaTekst"/>
              <w:jc w:val="center"/>
              <w:rPr>
                <w:rFonts w:ascii="Garamond" w:hAnsi="Garamond"/>
                <w:sz w:val="16"/>
                <w:szCs w:val="16"/>
              </w:rPr>
            </w:pPr>
            <w:r w:rsidRPr="00071CAA">
              <w:rPr>
                <w:rFonts w:ascii="Garamond" w:hAnsi="Garamond"/>
                <w:sz w:val="16"/>
                <w:szCs w:val="16"/>
              </w:rPr>
              <w:t>(0)</w:t>
            </w:r>
          </w:p>
          <w:p w:rsidR="000601F9" w:rsidRPr="00071CAA" w:rsidRDefault="000601F9" w:rsidP="00071CAA">
            <w:pPr>
              <w:pStyle w:val="TabelaTekst"/>
              <w:spacing w:before="0" w:after="0" w:line="240" w:lineRule="auto"/>
              <w:jc w:val="center"/>
              <w:rPr>
                <w:rFonts w:ascii="Garamond" w:hAnsi="Garamond"/>
                <w:sz w:val="16"/>
                <w:szCs w:val="16"/>
              </w:rPr>
            </w:pPr>
            <w:r w:rsidRPr="00071CAA">
              <w:rPr>
                <w:rFonts w:ascii="Garamond" w:hAnsi="Garamond"/>
                <w:sz w:val="16"/>
                <w:szCs w:val="16"/>
              </w:rPr>
              <w:t xml:space="preserve">(2 ex-officio cases have been opened, we expect </w:t>
            </w:r>
            <w:r w:rsidR="00071CAA">
              <w:rPr>
                <w:rFonts w:ascii="Garamond" w:hAnsi="Garamond"/>
                <w:sz w:val="16"/>
                <w:szCs w:val="16"/>
                <w:lang w:val="en-US"/>
              </w:rPr>
              <w:t xml:space="preserve">them </w:t>
            </w:r>
            <w:r w:rsidRPr="00071CAA">
              <w:rPr>
                <w:rFonts w:ascii="Garamond" w:hAnsi="Garamond"/>
                <w:sz w:val="16"/>
                <w:szCs w:val="16"/>
              </w:rPr>
              <w:t xml:space="preserve">to close in the </w:t>
            </w:r>
            <w:r w:rsidR="00071CAA">
              <w:rPr>
                <w:rFonts w:ascii="Garamond" w:hAnsi="Garamond"/>
                <w:sz w:val="16"/>
                <w:szCs w:val="16"/>
                <w:lang w:val="en-US"/>
              </w:rPr>
              <w:t>following</w:t>
            </w:r>
            <w:r w:rsidRPr="00071CAA">
              <w:rPr>
                <w:rFonts w:ascii="Garamond" w:hAnsi="Garamond"/>
                <w:sz w:val="16"/>
                <w:szCs w:val="16"/>
              </w:rPr>
              <w:t xml:space="preserve"> period)</w:t>
            </w:r>
          </w:p>
        </w:tc>
        <w:tc>
          <w:tcPr>
            <w:tcW w:w="1523" w:type="dxa"/>
            <w:vAlign w:val="center"/>
          </w:tcPr>
          <w:p w:rsidR="000601F9" w:rsidRPr="00071CAA" w:rsidRDefault="000601F9" w:rsidP="000601F9">
            <w:pPr>
              <w:pStyle w:val="TabelaTekst"/>
              <w:jc w:val="center"/>
              <w:rPr>
                <w:rFonts w:ascii="Garamond" w:hAnsi="Garamond" w:cstheme="majorHAnsi"/>
                <w:noProof/>
                <w:sz w:val="16"/>
                <w:szCs w:val="16"/>
                <w:lang w:eastAsia="en-GB"/>
              </w:rPr>
            </w:pPr>
            <w:r w:rsidRPr="00071CAA">
              <w:rPr>
                <w:rFonts w:ascii="Garamond" w:hAnsi="Garamond" w:cstheme="majorHAnsi"/>
                <w:noProof/>
                <w:sz w:val="16"/>
                <w:szCs w:val="16"/>
                <w:lang w:eastAsia="en-GB"/>
              </w:rPr>
              <w:t>(0)</w:t>
            </w:r>
          </w:p>
          <w:p w:rsidR="000601F9" w:rsidRPr="00071CAA" w:rsidRDefault="000601F9" w:rsidP="000601F9">
            <w:pPr>
              <w:pStyle w:val="TabelaTekst"/>
              <w:spacing w:before="0" w:after="0" w:line="240" w:lineRule="auto"/>
              <w:jc w:val="center"/>
              <w:rPr>
                <w:rFonts w:ascii="Garamond" w:hAnsi="Garamond"/>
                <w:sz w:val="16"/>
                <w:szCs w:val="16"/>
              </w:rPr>
            </w:pPr>
            <w:r w:rsidRPr="00071CAA">
              <w:rPr>
                <w:rFonts w:ascii="Garamond" w:hAnsi="Garamond" w:cstheme="majorHAnsi"/>
                <w:noProof/>
                <w:sz w:val="16"/>
                <w:szCs w:val="16"/>
                <w:lang w:eastAsia="en-GB"/>
              </w:rPr>
              <w:t>(5 ex-officio cases opened, closure expected in the coming period)</w:t>
            </w:r>
          </w:p>
        </w:tc>
      </w:tr>
    </w:tbl>
    <w:p w:rsidR="004D1343" w:rsidRPr="00C32887" w:rsidRDefault="004D1343" w:rsidP="004D1343">
      <w:pPr>
        <w:rPr>
          <w:rFonts w:ascii="Garamond" w:hAnsi="Garamond"/>
          <w:sz w:val="24"/>
          <w:szCs w:val="24"/>
        </w:rPr>
      </w:pPr>
    </w:p>
    <w:p w:rsidR="004D1343" w:rsidRPr="00C32887" w:rsidRDefault="004D1343" w:rsidP="000601F9">
      <w:pPr>
        <w:pStyle w:val="Heading3"/>
        <w:rPr>
          <w:rFonts w:ascii="Garamond" w:hAnsi="Garamond"/>
          <w:sz w:val="24"/>
          <w:szCs w:val="24"/>
        </w:rPr>
      </w:pPr>
      <w:bookmarkStart w:id="65" w:name="_Toc77688242"/>
      <w:r w:rsidRPr="00C32887">
        <w:rPr>
          <w:rFonts w:ascii="Garamond" w:hAnsi="Garamond"/>
          <w:sz w:val="24"/>
          <w:szCs w:val="24"/>
        </w:rPr>
        <w:t xml:space="preserve">2.4.4      </w:t>
      </w:r>
      <w:r w:rsidR="000601F9">
        <w:rPr>
          <w:rFonts w:ascii="Garamond" w:hAnsi="Garamond"/>
          <w:sz w:val="24"/>
          <w:szCs w:val="24"/>
        </w:rPr>
        <w:t>PERFORMANCE INDICATOR 23</w:t>
      </w:r>
      <w:r w:rsidR="000601F9" w:rsidRPr="000601F9">
        <w:rPr>
          <w:rFonts w:ascii="Garamond" w:hAnsi="Garamond"/>
          <w:sz w:val="24"/>
          <w:szCs w:val="24"/>
        </w:rPr>
        <w:t xml:space="preserve"> </w:t>
      </w:r>
      <w:r w:rsidR="000601F9" w:rsidRPr="00C32887">
        <w:rPr>
          <w:rFonts w:ascii="Garamond" w:hAnsi="Garamond"/>
          <w:sz w:val="24"/>
          <w:szCs w:val="24"/>
        </w:rPr>
        <w:t>PASSPORT</w:t>
      </w:r>
      <w:bookmarkEnd w:id="65"/>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0601F9" w:rsidRPr="00071CAA" w:rsidTr="00D15F76">
        <w:trPr>
          <w:jc w:val="center"/>
        </w:trPr>
        <w:tc>
          <w:tcPr>
            <w:tcW w:w="2721" w:type="dxa"/>
            <w:tcBorders>
              <w:right w:val="single" w:sz="4" w:space="0" w:color="FFFFFF"/>
            </w:tcBorders>
            <w:shd w:val="clear" w:color="auto" w:fill="BFBFBF"/>
            <w:vAlign w:val="center"/>
          </w:tcPr>
          <w:p w:rsidR="000601F9" w:rsidRPr="00071CAA" w:rsidRDefault="000601F9" w:rsidP="00D15F76">
            <w:pPr>
              <w:autoSpaceDE/>
              <w:autoSpaceDN/>
              <w:rPr>
                <w:rFonts w:ascii="Garamond" w:eastAsia="Calibri" w:hAnsi="Garamond"/>
                <w:b/>
                <w:caps/>
                <w:sz w:val="16"/>
                <w:szCs w:val="16"/>
                <w:lang w:val="en-GB" w:eastAsia="en-US" w:bidi="ar-SA"/>
              </w:rPr>
            </w:pPr>
            <w:r w:rsidRPr="00071CAA">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0601F9" w:rsidRPr="00071CAA" w:rsidRDefault="000601F9" w:rsidP="005D73D3">
            <w:pPr>
              <w:pStyle w:val="Default"/>
              <w:jc w:val="both"/>
              <w:rPr>
                <w:rFonts w:ascii="Garamond" w:eastAsia="Calibri" w:hAnsi="Garamond"/>
                <w:b/>
                <w:sz w:val="16"/>
                <w:szCs w:val="16"/>
                <w:lang w:eastAsia="en-US"/>
              </w:rPr>
            </w:pPr>
            <w:r w:rsidRPr="00071CAA">
              <w:rPr>
                <w:rFonts w:ascii="Garamond" w:hAnsi="Garamond"/>
                <w:iCs/>
                <w:sz w:val="16"/>
                <w:szCs w:val="16"/>
              </w:rPr>
              <w:t>Number of legal acts, analy</w:t>
            </w:r>
            <w:r w:rsidR="005D73D3" w:rsidRPr="00071CAA">
              <w:rPr>
                <w:rFonts w:ascii="Garamond" w:hAnsi="Garamond"/>
                <w:iCs/>
                <w:sz w:val="16"/>
                <w:szCs w:val="16"/>
              </w:rPr>
              <w:t>s</w:t>
            </w:r>
            <w:r w:rsidRPr="00071CAA">
              <w:rPr>
                <w:rFonts w:ascii="Garamond" w:hAnsi="Garamond"/>
                <w:iCs/>
                <w:sz w:val="16"/>
                <w:szCs w:val="16"/>
              </w:rPr>
              <w:t>ed and evaluated by the department (state aid applications).</w:t>
            </w:r>
          </w:p>
        </w:tc>
      </w:tr>
      <w:tr w:rsidR="000601F9" w:rsidRPr="00071CAA" w:rsidTr="00D15F76">
        <w:trPr>
          <w:gridAfter w:val="1"/>
          <w:wAfter w:w="19" w:type="dxa"/>
          <w:jc w:val="center"/>
        </w:trPr>
        <w:tc>
          <w:tcPr>
            <w:tcW w:w="2721" w:type="dxa"/>
            <w:vAlign w:val="center"/>
          </w:tcPr>
          <w:p w:rsidR="000601F9" w:rsidRPr="00071CAA" w:rsidRDefault="000601F9" w:rsidP="00D15F76">
            <w:pPr>
              <w:autoSpaceDE/>
              <w:autoSpaceDN/>
              <w:rPr>
                <w:rFonts w:ascii="Garamond" w:eastAsia="Calibri" w:hAnsi="Garamond"/>
                <w:b/>
                <w:caps/>
                <w:sz w:val="16"/>
                <w:szCs w:val="16"/>
                <w:lang w:val="en-GB" w:eastAsia="en-US" w:bidi="ar-SA"/>
              </w:rPr>
            </w:pPr>
            <w:r w:rsidRPr="00071CAA">
              <w:rPr>
                <w:rFonts w:ascii="Garamond" w:eastAsia="Calibri" w:hAnsi="Garamond"/>
                <w:b/>
                <w:caps/>
                <w:sz w:val="16"/>
                <w:szCs w:val="16"/>
                <w:lang w:val="en-GB" w:eastAsia="en-US" w:bidi="ar-SA"/>
              </w:rPr>
              <w:t>corresponding objective or activity</w:t>
            </w:r>
          </w:p>
        </w:tc>
        <w:tc>
          <w:tcPr>
            <w:tcW w:w="6836" w:type="dxa"/>
            <w:gridSpan w:val="4"/>
            <w:vAlign w:val="center"/>
          </w:tcPr>
          <w:p w:rsidR="000601F9" w:rsidRPr="00071CAA" w:rsidRDefault="000601F9" w:rsidP="00D15F76">
            <w:pPr>
              <w:rPr>
                <w:rFonts w:ascii="Garamond" w:hAnsi="Garamond"/>
                <w:color w:val="365F91" w:themeColor="accent1" w:themeShade="BF"/>
                <w:sz w:val="16"/>
                <w:szCs w:val="16"/>
              </w:rPr>
            </w:pPr>
            <w:r w:rsidRPr="00071CAA">
              <w:rPr>
                <w:rFonts w:ascii="Garamond" w:hAnsi="Garamond"/>
                <w:color w:val="365F91" w:themeColor="accent1" w:themeShade="BF"/>
                <w:sz w:val="16"/>
                <w:szCs w:val="16"/>
              </w:rPr>
              <w:t xml:space="preserve">Budget execution </w:t>
            </w:r>
          </w:p>
          <w:p w:rsidR="000601F9" w:rsidRPr="00071CAA" w:rsidRDefault="000601F9" w:rsidP="00D15F76">
            <w:pPr>
              <w:pStyle w:val="ListParagraph"/>
              <w:numPr>
                <w:ilvl w:val="0"/>
                <w:numId w:val="28"/>
              </w:numPr>
              <w:rPr>
                <w:rFonts w:ascii="Garamond" w:hAnsi="Garamond"/>
                <w:color w:val="365F91" w:themeColor="accent1" w:themeShade="BF"/>
                <w:sz w:val="16"/>
                <w:szCs w:val="16"/>
                <w:u w:val="single"/>
              </w:rPr>
            </w:pPr>
            <w:r w:rsidRPr="00071CAA">
              <w:rPr>
                <w:rFonts w:ascii="Garamond" w:hAnsi="Garamond"/>
                <w:color w:val="365F91" w:themeColor="accent1" w:themeShade="BF"/>
                <w:sz w:val="16"/>
                <w:szCs w:val="16"/>
                <w:u w:val="single"/>
              </w:rPr>
              <w:t>State Aid Reform</w:t>
            </w:r>
          </w:p>
          <w:p w:rsidR="000601F9" w:rsidRPr="00071CAA" w:rsidRDefault="000601F9" w:rsidP="00D15F76">
            <w:pPr>
              <w:rPr>
                <w:rFonts w:ascii="Garamond" w:eastAsia="Calibri" w:hAnsi="Garamond"/>
                <w:color w:val="000000" w:themeColor="text1"/>
                <w:sz w:val="16"/>
                <w:szCs w:val="16"/>
                <w:lang w:eastAsia="en-US" w:bidi="ar-SA"/>
              </w:rPr>
            </w:pPr>
            <w:r w:rsidRPr="00071CAA">
              <w:rPr>
                <w:rFonts w:ascii="Garamond" w:eastAsia="Calibri" w:hAnsi="Garamond"/>
                <w:color w:val="000000" w:themeColor="text1"/>
                <w:sz w:val="16"/>
                <w:szCs w:val="16"/>
                <w:lang w:eastAsia="en-US" w:bidi="ar-SA"/>
              </w:rPr>
              <w:t>Increase efficiency, effectiveness and transparency of state aid control in Montenegro to be EU-compliant.</w:t>
            </w:r>
          </w:p>
        </w:tc>
      </w:tr>
      <w:tr w:rsidR="000601F9" w:rsidRPr="00071CAA" w:rsidTr="00D15F76">
        <w:trPr>
          <w:gridAfter w:val="1"/>
          <w:wAfter w:w="19" w:type="dxa"/>
          <w:jc w:val="center"/>
        </w:trPr>
        <w:tc>
          <w:tcPr>
            <w:tcW w:w="2721" w:type="dxa"/>
            <w:vAlign w:val="center"/>
          </w:tcPr>
          <w:p w:rsidR="000601F9" w:rsidRPr="00071CAA" w:rsidRDefault="000601F9"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0601F9" w:rsidRPr="00071CAA" w:rsidRDefault="000601F9" w:rsidP="00D15F76">
            <w:pPr>
              <w:jc w:val="both"/>
              <w:rPr>
                <w:rFonts w:ascii="Garamond" w:eastAsia="Calibri" w:hAnsi="Garamond"/>
                <w:sz w:val="16"/>
                <w:szCs w:val="16"/>
                <w:lang w:eastAsia="en-US" w:bidi="ar-SA"/>
              </w:rPr>
            </w:pPr>
            <w:r w:rsidRPr="00071CAA">
              <w:rPr>
                <w:rFonts w:ascii="Garamond" w:eastAsia="Calibri" w:hAnsi="Garamond"/>
                <w:sz w:val="16"/>
                <w:szCs w:val="16"/>
                <w:lang w:eastAsia="en-US" w:bidi="ar-SA"/>
              </w:rPr>
              <w:t xml:space="preserve">Website of the Competition Protection Agency </w:t>
            </w:r>
          </w:p>
          <w:p w:rsidR="000601F9" w:rsidRPr="00071CAA" w:rsidRDefault="000601F9" w:rsidP="00D15F76">
            <w:pPr>
              <w:jc w:val="both"/>
              <w:rPr>
                <w:rFonts w:ascii="Garamond" w:eastAsia="Calibri" w:hAnsi="Garamond"/>
                <w:sz w:val="16"/>
                <w:szCs w:val="16"/>
                <w:lang w:eastAsia="en-US" w:bidi="ar-SA"/>
              </w:rPr>
            </w:pPr>
            <w:r w:rsidRPr="00071CAA">
              <w:rPr>
                <w:rFonts w:ascii="Garamond" w:eastAsia="Calibri" w:hAnsi="Garamond"/>
                <w:sz w:val="16"/>
                <w:szCs w:val="16"/>
                <w:lang w:eastAsia="en-US" w:bidi="ar-SA"/>
              </w:rPr>
              <w:t>http://www.azzk.me/novi/joomlanovi/</w:t>
            </w:r>
          </w:p>
        </w:tc>
      </w:tr>
      <w:tr w:rsidR="000601F9" w:rsidRPr="00071CAA" w:rsidTr="00D15F76">
        <w:trPr>
          <w:gridAfter w:val="1"/>
          <w:wAfter w:w="19" w:type="dxa"/>
          <w:jc w:val="center"/>
        </w:trPr>
        <w:tc>
          <w:tcPr>
            <w:tcW w:w="2721" w:type="dxa"/>
            <w:vAlign w:val="center"/>
          </w:tcPr>
          <w:p w:rsidR="000601F9" w:rsidRPr="00071CAA" w:rsidRDefault="000601F9"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NAME OF DATA COLLECTION HOLDER</w:t>
            </w:r>
          </w:p>
        </w:tc>
        <w:tc>
          <w:tcPr>
            <w:tcW w:w="6836" w:type="dxa"/>
            <w:gridSpan w:val="4"/>
            <w:vAlign w:val="center"/>
          </w:tcPr>
          <w:p w:rsidR="000601F9" w:rsidRPr="00071CAA" w:rsidRDefault="000601F9" w:rsidP="00D15F76">
            <w:pPr>
              <w:rPr>
                <w:rFonts w:ascii="Garamond" w:hAnsi="Garamond"/>
                <w:sz w:val="16"/>
                <w:szCs w:val="16"/>
              </w:rPr>
            </w:pPr>
            <w:r w:rsidRPr="00071CAA">
              <w:rPr>
                <w:rFonts w:ascii="Garamond" w:hAnsi="Garamond"/>
                <w:sz w:val="16"/>
                <w:szCs w:val="16"/>
              </w:rPr>
              <w:t>Competition Protection Agency</w:t>
            </w:r>
          </w:p>
          <w:p w:rsidR="000601F9" w:rsidRPr="00071CAA" w:rsidRDefault="000601F9" w:rsidP="00D15F76">
            <w:pPr>
              <w:rPr>
                <w:rFonts w:ascii="Garamond" w:hAnsi="Garamond"/>
                <w:sz w:val="16"/>
                <w:szCs w:val="16"/>
              </w:rPr>
            </w:pPr>
            <w:r w:rsidRPr="00071CAA">
              <w:rPr>
                <w:rFonts w:ascii="Garamond" w:hAnsi="Garamond"/>
                <w:sz w:val="16"/>
                <w:szCs w:val="16"/>
              </w:rPr>
              <w:t>Ivana Paprenica,</w:t>
            </w:r>
          </w:p>
          <w:p w:rsidR="000601F9" w:rsidRPr="00071CAA" w:rsidRDefault="000601F9" w:rsidP="00D15F76">
            <w:pPr>
              <w:rPr>
                <w:rFonts w:ascii="Garamond" w:hAnsi="Garamond"/>
                <w:sz w:val="16"/>
                <w:szCs w:val="16"/>
              </w:rPr>
            </w:pPr>
            <w:r w:rsidRPr="00071CAA">
              <w:rPr>
                <w:rFonts w:ascii="Garamond" w:hAnsi="Garamond"/>
                <w:sz w:val="16"/>
                <w:szCs w:val="16"/>
              </w:rPr>
              <w:t>drzavna.pomoc@azzk.me</w:t>
            </w:r>
          </w:p>
          <w:p w:rsidR="000601F9" w:rsidRPr="00071CAA" w:rsidRDefault="000601F9" w:rsidP="00D15F76">
            <w:pPr>
              <w:rPr>
                <w:rFonts w:ascii="Garamond" w:eastAsia="Calibri" w:hAnsi="Garamond"/>
                <w:sz w:val="16"/>
                <w:szCs w:val="16"/>
                <w:lang w:eastAsia="en-US" w:bidi="ar-SA"/>
              </w:rPr>
            </w:pPr>
            <w:r w:rsidRPr="00071CAA">
              <w:rPr>
                <w:rFonts w:ascii="Garamond" w:hAnsi="Garamond"/>
                <w:sz w:val="16"/>
                <w:szCs w:val="16"/>
              </w:rPr>
              <w:t>Phone: 063262830</w:t>
            </w:r>
          </w:p>
        </w:tc>
      </w:tr>
      <w:tr w:rsidR="000601F9" w:rsidRPr="00071CAA" w:rsidTr="00D15F76">
        <w:trPr>
          <w:gridAfter w:val="1"/>
          <w:wAfter w:w="19" w:type="dxa"/>
          <w:jc w:val="center"/>
        </w:trPr>
        <w:tc>
          <w:tcPr>
            <w:tcW w:w="2721" w:type="dxa"/>
            <w:vAlign w:val="center"/>
          </w:tcPr>
          <w:p w:rsidR="000601F9" w:rsidRPr="00071CAA" w:rsidRDefault="000601F9"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FREQUENCY OF DATA PUBLICATION</w:t>
            </w:r>
          </w:p>
        </w:tc>
        <w:tc>
          <w:tcPr>
            <w:tcW w:w="6836" w:type="dxa"/>
            <w:gridSpan w:val="4"/>
            <w:vAlign w:val="center"/>
          </w:tcPr>
          <w:p w:rsidR="000601F9" w:rsidRPr="00071CAA" w:rsidRDefault="000601F9" w:rsidP="005D73D3">
            <w:pPr>
              <w:rPr>
                <w:rFonts w:ascii="Garamond" w:eastAsia="Calibri" w:hAnsi="Garamond"/>
                <w:sz w:val="16"/>
                <w:szCs w:val="16"/>
                <w:lang w:eastAsia="en-US" w:bidi="ar-SA"/>
              </w:rPr>
            </w:pPr>
            <w:r w:rsidRPr="00071CAA">
              <w:rPr>
                <w:rFonts w:ascii="Garamond" w:eastAsia="Calibri" w:hAnsi="Garamond"/>
                <w:sz w:val="16"/>
                <w:szCs w:val="16"/>
                <w:lang w:eastAsia="en-US" w:bidi="ar-SA"/>
              </w:rPr>
              <w:t>Upon completion of the case</w:t>
            </w:r>
            <w:r w:rsidR="005D73D3" w:rsidRPr="00071CAA">
              <w:rPr>
                <w:rFonts w:ascii="Garamond" w:eastAsia="Calibri" w:hAnsi="Garamond"/>
                <w:sz w:val="16"/>
                <w:szCs w:val="16"/>
                <w:lang w:eastAsia="en-US" w:bidi="ar-SA"/>
              </w:rPr>
              <w:t>s</w:t>
            </w:r>
            <w:r w:rsidRPr="00071CAA">
              <w:rPr>
                <w:rFonts w:ascii="Garamond" w:eastAsia="Calibri" w:hAnsi="Garamond"/>
                <w:sz w:val="16"/>
                <w:szCs w:val="16"/>
                <w:lang w:eastAsia="en-US" w:bidi="ar-SA"/>
              </w:rPr>
              <w:t xml:space="preserve">, they are immediately published on the website of the </w:t>
            </w:r>
            <w:r w:rsidR="005D73D3" w:rsidRPr="00071CAA">
              <w:rPr>
                <w:rFonts w:ascii="Garamond" w:eastAsia="Calibri" w:hAnsi="Garamond"/>
                <w:sz w:val="16"/>
                <w:szCs w:val="16"/>
                <w:lang w:eastAsia="en-US" w:bidi="ar-SA"/>
              </w:rPr>
              <w:t xml:space="preserve">Competition </w:t>
            </w:r>
            <w:r w:rsidRPr="00071CAA">
              <w:rPr>
                <w:rFonts w:ascii="Garamond" w:eastAsia="Calibri" w:hAnsi="Garamond"/>
                <w:sz w:val="16"/>
                <w:szCs w:val="16"/>
                <w:lang w:eastAsia="en-US" w:bidi="ar-SA"/>
              </w:rPr>
              <w:t xml:space="preserve">Protection </w:t>
            </w:r>
            <w:r w:rsidR="005D73D3" w:rsidRPr="00071CAA">
              <w:rPr>
                <w:rFonts w:ascii="Garamond" w:eastAsia="Calibri" w:hAnsi="Garamond"/>
                <w:sz w:val="16"/>
                <w:szCs w:val="16"/>
                <w:lang w:eastAsia="en-US" w:bidi="ar-SA"/>
              </w:rPr>
              <w:t xml:space="preserve">Agency </w:t>
            </w:r>
          </w:p>
        </w:tc>
      </w:tr>
      <w:tr w:rsidR="000601F9" w:rsidRPr="00071CAA" w:rsidTr="00D15F76">
        <w:trPr>
          <w:gridAfter w:val="1"/>
          <w:wAfter w:w="19" w:type="dxa"/>
          <w:trHeight w:val="458"/>
          <w:jc w:val="center"/>
        </w:trPr>
        <w:tc>
          <w:tcPr>
            <w:tcW w:w="2721" w:type="dxa"/>
            <w:vMerge w:val="restart"/>
            <w:vAlign w:val="center"/>
          </w:tcPr>
          <w:p w:rsidR="000601F9" w:rsidRPr="00071CAA" w:rsidRDefault="000601F9"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 xml:space="preserve">BRIEF DESCRIPTION </w:t>
            </w:r>
            <w:r w:rsidRPr="00071CAA">
              <w:rPr>
                <w:rFonts w:ascii="Garamond" w:eastAsia="Calibri" w:hAnsi="Garamond"/>
                <w:b/>
                <w:caps/>
                <w:sz w:val="16"/>
                <w:szCs w:val="16"/>
                <w:lang w:val="en-GB" w:eastAsia="en-US" w:bidi="ar-SA"/>
              </w:rPr>
              <w:t xml:space="preserve">OF </w:t>
            </w:r>
            <w:r w:rsidRPr="00071CAA">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0601F9" w:rsidRPr="00071CAA" w:rsidRDefault="000601F9" w:rsidP="000601F9">
            <w:pPr>
              <w:jc w:val="both"/>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The factual s</w:t>
            </w:r>
            <w:r w:rsidR="005D73D3" w:rsidRPr="00071CAA">
              <w:rPr>
                <w:rFonts w:ascii="Garamond" w:eastAsia="Calibri" w:hAnsi="Garamond"/>
                <w:sz w:val="16"/>
                <w:szCs w:val="16"/>
                <w:lang w:val="uz-Cyrl-UZ" w:eastAsia="en-US" w:bidi="ar-SA"/>
              </w:rPr>
              <w:t xml:space="preserve">ituation </w:t>
            </w:r>
            <w:r w:rsidR="00370B51" w:rsidRPr="00071CAA">
              <w:rPr>
                <w:rFonts w:ascii="Garamond" w:eastAsia="Calibri" w:hAnsi="Garamond"/>
                <w:sz w:val="16"/>
                <w:szCs w:val="16"/>
                <w:lang w:val="en-GB" w:eastAsia="en-US" w:bidi="ar-SA"/>
              </w:rPr>
              <w:t>concerning</w:t>
            </w:r>
            <w:r w:rsidR="005D73D3" w:rsidRPr="00071CAA">
              <w:rPr>
                <w:rFonts w:ascii="Garamond" w:eastAsia="Calibri" w:hAnsi="Garamond"/>
                <w:sz w:val="16"/>
                <w:szCs w:val="16"/>
                <w:lang w:val="uz-Cyrl-UZ" w:eastAsia="en-US" w:bidi="ar-SA"/>
              </w:rPr>
              <w:t xml:space="preserve"> the number of analy</w:t>
            </w:r>
            <w:r w:rsidR="005D73D3" w:rsidRPr="00071CAA">
              <w:rPr>
                <w:rFonts w:ascii="Garamond" w:eastAsia="Calibri" w:hAnsi="Garamond"/>
                <w:sz w:val="16"/>
                <w:szCs w:val="16"/>
                <w:lang w:val="en-GB" w:eastAsia="en-US" w:bidi="ar-SA"/>
              </w:rPr>
              <w:t>s</w:t>
            </w:r>
            <w:r w:rsidRPr="00071CAA">
              <w:rPr>
                <w:rFonts w:ascii="Garamond" w:eastAsia="Calibri" w:hAnsi="Garamond"/>
                <w:sz w:val="16"/>
                <w:szCs w:val="16"/>
                <w:lang w:val="uz-Cyrl-UZ" w:eastAsia="en-US" w:bidi="ar-SA"/>
              </w:rPr>
              <w:t xml:space="preserve">ed state aid </w:t>
            </w:r>
            <w:r w:rsidR="00370B51" w:rsidRPr="00071CAA">
              <w:rPr>
                <w:rFonts w:ascii="Garamond" w:eastAsia="Calibri" w:hAnsi="Garamond"/>
                <w:sz w:val="16"/>
                <w:szCs w:val="16"/>
                <w:lang w:val="en-GB" w:eastAsia="en-US" w:bidi="ar-SA"/>
              </w:rPr>
              <w:t>reports</w:t>
            </w:r>
            <w:r w:rsidRPr="00071CAA">
              <w:rPr>
                <w:rFonts w:ascii="Garamond" w:eastAsia="Calibri" w:hAnsi="Garamond"/>
                <w:sz w:val="16"/>
                <w:szCs w:val="16"/>
                <w:lang w:val="uz-Cyrl-UZ" w:eastAsia="en-US" w:bidi="ar-SA"/>
              </w:rPr>
              <w:t xml:space="preserve"> during one calendar year, a slight increase may be accompanied by an increase in the level of awareness of institutions on the obligation to report state aid.</w:t>
            </w:r>
          </w:p>
          <w:p w:rsidR="000601F9" w:rsidRPr="00071CAA" w:rsidRDefault="000601F9" w:rsidP="000601F9">
            <w:pPr>
              <w:jc w:val="both"/>
              <w:rPr>
                <w:rFonts w:ascii="Garamond" w:eastAsia="Calibri" w:hAnsi="Garamond"/>
                <w:sz w:val="16"/>
                <w:szCs w:val="16"/>
                <w:u w:val="single"/>
                <w:lang w:val="uz-Cyrl-UZ" w:eastAsia="en-US" w:bidi="ar-SA"/>
              </w:rPr>
            </w:pPr>
            <w:r w:rsidRPr="00071CAA">
              <w:rPr>
                <w:rFonts w:ascii="Garamond" w:eastAsia="Calibri" w:hAnsi="Garamond"/>
                <w:sz w:val="16"/>
                <w:szCs w:val="16"/>
                <w:lang w:val="uz-Cyrl-UZ" w:eastAsia="en-US" w:bidi="ar-SA"/>
              </w:rPr>
              <w:t>The Council of the Agency makes decisions in the form of decisions and opinions.</w:t>
            </w:r>
          </w:p>
        </w:tc>
      </w:tr>
      <w:tr w:rsidR="000601F9" w:rsidRPr="00071CAA" w:rsidTr="00D15F76">
        <w:trPr>
          <w:gridAfter w:val="1"/>
          <w:wAfter w:w="19" w:type="dxa"/>
          <w:trHeight w:val="620"/>
          <w:jc w:val="center"/>
        </w:trPr>
        <w:tc>
          <w:tcPr>
            <w:tcW w:w="2721" w:type="dxa"/>
            <w:vMerge/>
            <w:shd w:val="clear" w:color="auto" w:fill="auto"/>
            <w:vAlign w:val="center"/>
          </w:tcPr>
          <w:p w:rsidR="000601F9" w:rsidRPr="00071CAA" w:rsidRDefault="000601F9"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0601F9" w:rsidRPr="00071CAA" w:rsidRDefault="000601F9" w:rsidP="00D15F76">
            <w:pPr>
              <w:jc w:val="center"/>
              <w:rPr>
                <w:rFonts w:ascii="Garamond" w:hAnsi="Garamond"/>
                <w:color w:val="365F91" w:themeColor="accent1" w:themeShade="BF"/>
                <w:sz w:val="16"/>
                <w:szCs w:val="16"/>
                <w:lang w:val="uz-Cyrl-UZ"/>
              </w:rPr>
            </w:pPr>
            <w:r w:rsidRPr="00071CAA">
              <w:rPr>
                <w:rFonts w:ascii="Garamond" w:hAnsi="Garamond"/>
                <w:color w:val="365F91" w:themeColor="accent1" w:themeShade="BF"/>
                <w:sz w:val="16"/>
                <w:szCs w:val="16"/>
                <w:lang w:val="uz-Cyrl-UZ"/>
              </w:rPr>
              <w:t>FORMULA / EQUATION</w:t>
            </w:r>
          </w:p>
          <w:p w:rsidR="000601F9" w:rsidRPr="00071CAA" w:rsidRDefault="00370B51" w:rsidP="00071CAA">
            <w:pPr>
              <w:jc w:val="center"/>
              <w:rPr>
                <w:rFonts w:ascii="Garamond" w:eastAsia="Calibri" w:hAnsi="Garamond"/>
                <w:sz w:val="16"/>
                <w:szCs w:val="16"/>
                <w:lang w:val="en-GB" w:eastAsia="en-US" w:bidi="ar-SA"/>
              </w:rPr>
            </w:pPr>
            <w:r w:rsidRPr="00071CAA">
              <w:rPr>
                <w:rFonts w:ascii="Garamond" w:eastAsia="Calibri" w:hAnsi="Garamond"/>
                <w:sz w:val="16"/>
                <w:szCs w:val="16"/>
                <w:lang w:val="en-GB" w:eastAsia="en-US" w:bidi="ar-SA"/>
              </w:rPr>
              <w:t>Number of legal acts analys</w:t>
            </w:r>
            <w:r w:rsidR="000601F9" w:rsidRPr="00071CAA">
              <w:rPr>
                <w:rFonts w:ascii="Garamond" w:eastAsia="Calibri" w:hAnsi="Garamond"/>
                <w:sz w:val="16"/>
                <w:szCs w:val="16"/>
                <w:lang w:val="en-GB" w:eastAsia="en-US" w:bidi="ar-SA"/>
              </w:rPr>
              <w:t xml:space="preserve">ed and evaluated by the </w:t>
            </w:r>
            <w:r w:rsidR="00071CAA">
              <w:rPr>
                <w:rFonts w:ascii="Garamond" w:eastAsia="Calibri" w:hAnsi="Garamond"/>
                <w:sz w:val="16"/>
                <w:szCs w:val="16"/>
                <w:lang w:val="en-GB" w:eastAsia="en-US" w:bidi="ar-SA"/>
              </w:rPr>
              <w:t>Division</w:t>
            </w:r>
            <w:r w:rsidR="000601F9" w:rsidRPr="00071CAA">
              <w:rPr>
                <w:rFonts w:ascii="Garamond" w:eastAsia="Calibri" w:hAnsi="Garamond"/>
                <w:sz w:val="16"/>
                <w:szCs w:val="16"/>
                <w:lang w:val="en-GB" w:eastAsia="en-US" w:bidi="ar-SA"/>
              </w:rPr>
              <w:t xml:space="preserve"> during one calendar year</w:t>
            </w:r>
          </w:p>
        </w:tc>
      </w:tr>
      <w:tr w:rsidR="000601F9" w:rsidRPr="00071CAA" w:rsidTr="00D15F76">
        <w:trPr>
          <w:gridAfter w:val="1"/>
          <w:wAfter w:w="19" w:type="dxa"/>
          <w:trHeight w:val="585"/>
          <w:jc w:val="center"/>
        </w:trPr>
        <w:tc>
          <w:tcPr>
            <w:tcW w:w="2721" w:type="dxa"/>
            <w:vAlign w:val="center"/>
          </w:tcPr>
          <w:p w:rsidR="000601F9" w:rsidRPr="00071CAA" w:rsidRDefault="000601F9" w:rsidP="00D15F76">
            <w:pPr>
              <w:autoSpaceDE/>
              <w:autoSpaceDN/>
              <w:rPr>
                <w:rFonts w:ascii="Garamond" w:eastAsia="Calibri" w:hAnsi="Garamond"/>
                <w:b/>
                <w:bCs/>
                <w:caps/>
                <w:sz w:val="16"/>
                <w:szCs w:val="16"/>
                <w:lang w:val="en-GB" w:eastAsia="en-US" w:bidi="ar-SA"/>
              </w:rPr>
            </w:pPr>
            <w:r w:rsidRPr="00071CAA">
              <w:rPr>
                <w:rFonts w:ascii="Garamond" w:eastAsia="Calibri" w:hAnsi="Garamond"/>
                <w:b/>
                <w:caps/>
                <w:sz w:val="16"/>
                <w:szCs w:val="16"/>
                <w:lang w:val="uz-Cyrl-UZ" w:eastAsia="en-US" w:bidi="ar-SA"/>
              </w:rPr>
              <w:t>BASELINE</w:t>
            </w:r>
            <w:r w:rsidRPr="00071CAA">
              <w:rPr>
                <w:rFonts w:ascii="Garamond" w:eastAsia="Calibri" w:hAnsi="Garamond"/>
                <w:b/>
                <w:caps/>
                <w:sz w:val="16"/>
                <w:szCs w:val="16"/>
                <w:lang w:val="en-GB" w:eastAsia="en-US" w:bidi="ar-SA"/>
              </w:rPr>
              <w:t xml:space="preserve"> DATA</w:t>
            </w:r>
          </w:p>
        </w:tc>
        <w:tc>
          <w:tcPr>
            <w:tcW w:w="6836" w:type="dxa"/>
            <w:gridSpan w:val="4"/>
            <w:vAlign w:val="center"/>
          </w:tcPr>
          <w:p w:rsidR="000601F9" w:rsidRPr="00071CAA" w:rsidRDefault="000601F9" w:rsidP="00D15F76">
            <w:pPr>
              <w:pStyle w:val="TabelaTekst"/>
              <w:spacing w:before="0" w:after="0" w:line="240" w:lineRule="auto"/>
              <w:rPr>
                <w:rFonts w:ascii="Garamond" w:hAnsi="Garamond"/>
                <w:sz w:val="16"/>
                <w:szCs w:val="16"/>
                <w:lang w:val="en-GB"/>
              </w:rPr>
            </w:pPr>
            <w:r w:rsidRPr="00071CAA">
              <w:rPr>
                <w:rFonts w:ascii="Garamond" w:hAnsi="Garamond"/>
                <w:sz w:val="16"/>
                <w:szCs w:val="16"/>
              </w:rPr>
              <w:t>PV (2014</w:t>
            </w:r>
            <w:r w:rsidRPr="00071CAA">
              <w:rPr>
                <w:rFonts w:ascii="Garamond" w:hAnsi="Garamond"/>
                <w:sz w:val="16"/>
                <w:szCs w:val="16"/>
                <w:lang w:val="en-GB"/>
              </w:rPr>
              <w:t>): 11</w:t>
            </w:r>
          </w:p>
        </w:tc>
      </w:tr>
      <w:tr w:rsidR="000601F9" w:rsidRPr="00071CAA" w:rsidTr="00D15F76">
        <w:trPr>
          <w:gridAfter w:val="1"/>
          <w:wAfter w:w="19" w:type="dxa"/>
          <w:trHeight w:val="160"/>
          <w:jc w:val="center"/>
        </w:trPr>
        <w:tc>
          <w:tcPr>
            <w:tcW w:w="2721" w:type="dxa"/>
            <w:vMerge w:val="restart"/>
            <w:vAlign w:val="center"/>
          </w:tcPr>
          <w:p w:rsidR="000601F9" w:rsidRPr="00071CAA" w:rsidRDefault="000601F9" w:rsidP="00D15F76">
            <w:pPr>
              <w:autoSpaceDE/>
              <w:autoSpaceDN/>
              <w:rPr>
                <w:rFonts w:ascii="Garamond" w:eastAsia="Calibri" w:hAnsi="Garamond"/>
                <w:b/>
                <w:bCs/>
                <w:caps/>
                <w:sz w:val="16"/>
                <w:szCs w:val="16"/>
                <w:lang w:val="uz-Cyrl-UZ" w:eastAsia="en-US" w:bidi="ar-SA"/>
              </w:rPr>
            </w:pPr>
            <w:r w:rsidRPr="00071CAA">
              <w:rPr>
                <w:rFonts w:ascii="Garamond" w:eastAsia="Calibri" w:hAnsi="Garamond"/>
                <w:b/>
                <w:caps/>
                <w:sz w:val="16"/>
                <w:szCs w:val="16"/>
                <w:lang w:val="uz-Cyrl-UZ" w:eastAsia="en-US" w:bidi="ar-SA"/>
              </w:rPr>
              <w:t>TARGET VALUE DATA</w:t>
            </w:r>
          </w:p>
        </w:tc>
        <w:tc>
          <w:tcPr>
            <w:tcW w:w="1771" w:type="dxa"/>
            <w:vAlign w:val="center"/>
          </w:tcPr>
          <w:p w:rsidR="000601F9" w:rsidRPr="00071CAA" w:rsidRDefault="000601F9"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2017</w:t>
            </w:r>
          </w:p>
        </w:tc>
        <w:tc>
          <w:tcPr>
            <w:tcW w:w="1771" w:type="dxa"/>
            <w:vAlign w:val="center"/>
          </w:tcPr>
          <w:p w:rsidR="000601F9" w:rsidRPr="00071CAA" w:rsidRDefault="000601F9"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2018</w:t>
            </w:r>
          </w:p>
        </w:tc>
        <w:tc>
          <w:tcPr>
            <w:tcW w:w="1771" w:type="dxa"/>
            <w:vAlign w:val="center"/>
          </w:tcPr>
          <w:p w:rsidR="000601F9" w:rsidRPr="00071CAA" w:rsidRDefault="000601F9"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2019</w:t>
            </w:r>
          </w:p>
        </w:tc>
        <w:tc>
          <w:tcPr>
            <w:tcW w:w="1523" w:type="dxa"/>
            <w:vAlign w:val="center"/>
          </w:tcPr>
          <w:p w:rsidR="000601F9" w:rsidRPr="00071CAA" w:rsidRDefault="000601F9"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2020</w:t>
            </w:r>
          </w:p>
        </w:tc>
      </w:tr>
      <w:tr w:rsidR="000601F9" w:rsidRPr="00071CAA" w:rsidTr="00D15F76">
        <w:trPr>
          <w:gridAfter w:val="1"/>
          <w:wAfter w:w="19" w:type="dxa"/>
          <w:trHeight w:val="160"/>
          <w:jc w:val="center"/>
        </w:trPr>
        <w:tc>
          <w:tcPr>
            <w:tcW w:w="2721" w:type="dxa"/>
            <w:vMerge/>
            <w:vAlign w:val="center"/>
          </w:tcPr>
          <w:p w:rsidR="000601F9" w:rsidRPr="00071CAA" w:rsidRDefault="000601F9" w:rsidP="00D15F76">
            <w:pPr>
              <w:autoSpaceDE/>
              <w:autoSpaceDN/>
              <w:rPr>
                <w:rFonts w:ascii="Garamond" w:eastAsia="Calibri" w:hAnsi="Garamond"/>
                <w:b/>
                <w:bCs/>
                <w:caps/>
                <w:sz w:val="16"/>
                <w:szCs w:val="16"/>
                <w:lang w:val="uz-Cyrl-UZ" w:eastAsia="en-US" w:bidi="ar-SA"/>
              </w:rPr>
            </w:pPr>
          </w:p>
        </w:tc>
        <w:tc>
          <w:tcPr>
            <w:tcW w:w="1771" w:type="dxa"/>
            <w:vAlign w:val="center"/>
          </w:tcPr>
          <w:p w:rsidR="000601F9" w:rsidRPr="00071CAA" w:rsidRDefault="000601F9"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20</w:t>
            </w:r>
          </w:p>
        </w:tc>
        <w:tc>
          <w:tcPr>
            <w:tcW w:w="1771" w:type="dxa"/>
            <w:vAlign w:val="center"/>
          </w:tcPr>
          <w:p w:rsidR="000601F9" w:rsidRPr="00071CAA" w:rsidRDefault="000601F9" w:rsidP="00D15F76">
            <w:pPr>
              <w:pStyle w:val="TabelaTekst"/>
              <w:spacing w:before="0" w:after="0" w:line="240" w:lineRule="auto"/>
              <w:jc w:val="center"/>
              <w:rPr>
                <w:rFonts w:ascii="Garamond" w:hAnsi="Garamond"/>
                <w:sz w:val="16"/>
                <w:szCs w:val="16"/>
              </w:rPr>
            </w:pPr>
            <w:r w:rsidRPr="00071CAA">
              <w:rPr>
                <w:rFonts w:ascii="Garamond" w:hAnsi="Garamond"/>
                <w:sz w:val="16"/>
                <w:szCs w:val="16"/>
                <w:lang w:val="en-GB"/>
              </w:rPr>
              <w:t>Up to</w:t>
            </w:r>
            <w:r w:rsidRPr="00071CAA">
              <w:rPr>
                <w:rFonts w:ascii="Garamond" w:hAnsi="Garamond"/>
                <w:sz w:val="16"/>
                <w:szCs w:val="16"/>
              </w:rPr>
              <w:t xml:space="preserve"> 20</w:t>
            </w:r>
          </w:p>
        </w:tc>
        <w:tc>
          <w:tcPr>
            <w:tcW w:w="1771" w:type="dxa"/>
            <w:vAlign w:val="center"/>
          </w:tcPr>
          <w:p w:rsidR="000601F9" w:rsidRPr="00071CAA" w:rsidRDefault="000601F9" w:rsidP="00D15F76">
            <w:pPr>
              <w:pStyle w:val="TabelaTekst"/>
              <w:spacing w:before="0" w:after="0" w:line="240" w:lineRule="auto"/>
              <w:jc w:val="center"/>
              <w:rPr>
                <w:rFonts w:ascii="Garamond" w:hAnsi="Garamond"/>
                <w:sz w:val="16"/>
                <w:szCs w:val="16"/>
              </w:rPr>
            </w:pPr>
            <w:r w:rsidRPr="00071CAA">
              <w:rPr>
                <w:rFonts w:ascii="Garamond" w:hAnsi="Garamond"/>
                <w:sz w:val="16"/>
                <w:szCs w:val="16"/>
                <w:lang w:val="en-GB"/>
              </w:rPr>
              <w:t>Up to</w:t>
            </w:r>
            <w:r w:rsidRPr="00071CAA">
              <w:rPr>
                <w:rFonts w:ascii="Garamond" w:hAnsi="Garamond"/>
                <w:sz w:val="16"/>
                <w:szCs w:val="16"/>
              </w:rPr>
              <w:t xml:space="preserve"> 23</w:t>
            </w:r>
          </w:p>
        </w:tc>
        <w:tc>
          <w:tcPr>
            <w:tcW w:w="1523" w:type="dxa"/>
            <w:vAlign w:val="center"/>
          </w:tcPr>
          <w:p w:rsidR="000601F9" w:rsidRPr="00071CAA" w:rsidRDefault="000601F9" w:rsidP="00D15F76">
            <w:pPr>
              <w:pStyle w:val="TabelaTekst"/>
              <w:spacing w:before="0" w:after="0" w:line="240" w:lineRule="auto"/>
              <w:jc w:val="center"/>
              <w:rPr>
                <w:rFonts w:ascii="Garamond" w:hAnsi="Garamond"/>
                <w:sz w:val="16"/>
                <w:szCs w:val="16"/>
              </w:rPr>
            </w:pPr>
            <w:r w:rsidRPr="00071CAA">
              <w:rPr>
                <w:rFonts w:ascii="Garamond" w:hAnsi="Garamond"/>
                <w:sz w:val="16"/>
                <w:szCs w:val="16"/>
                <w:lang w:val="en-GB"/>
              </w:rPr>
              <w:t>Up to</w:t>
            </w:r>
            <w:r w:rsidRPr="00071CAA">
              <w:rPr>
                <w:rFonts w:ascii="Garamond" w:hAnsi="Garamond"/>
                <w:sz w:val="16"/>
                <w:szCs w:val="16"/>
              </w:rPr>
              <w:t xml:space="preserve"> 25</w:t>
            </w:r>
          </w:p>
        </w:tc>
      </w:tr>
      <w:tr w:rsidR="000601F9" w:rsidRPr="00071CAA" w:rsidTr="00D15F76">
        <w:trPr>
          <w:gridAfter w:val="1"/>
          <w:wAfter w:w="19" w:type="dxa"/>
          <w:trHeight w:val="160"/>
          <w:jc w:val="center"/>
        </w:trPr>
        <w:tc>
          <w:tcPr>
            <w:tcW w:w="2721" w:type="dxa"/>
            <w:vAlign w:val="center"/>
          </w:tcPr>
          <w:p w:rsidR="000601F9" w:rsidRPr="00071CAA" w:rsidRDefault="0062456A" w:rsidP="00D15F76">
            <w:pPr>
              <w:autoSpaceDE/>
              <w:autoSpaceDN/>
              <w:rPr>
                <w:rFonts w:ascii="Garamond" w:eastAsia="Calibri" w:hAnsi="Garamond"/>
                <w:b/>
                <w:bCs/>
                <w:caps/>
                <w:sz w:val="16"/>
                <w:szCs w:val="16"/>
                <w:lang w:val="uz-Cyrl-UZ" w:eastAsia="en-US" w:bidi="ar-SA"/>
              </w:rPr>
            </w:pPr>
            <w:r w:rsidRPr="00071CAA">
              <w:rPr>
                <w:rFonts w:ascii="Garamond" w:eastAsia="Calibri" w:hAnsi="Garamond"/>
                <w:b/>
                <w:bCs/>
                <w:caps/>
                <w:sz w:val="16"/>
                <w:szCs w:val="16"/>
                <w:lang w:val="uz-Cyrl-UZ" w:eastAsia="en-US" w:bidi="ar-SA"/>
              </w:rPr>
              <w:t>DATA ON VALUES ACHIEVED</w:t>
            </w:r>
          </w:p>
        </w:tc>
        <w:tc>
          <w:tcPr>
            <w:tcW w:w="1771" w:type="dxa"/>
            <w:vAlign w:val="center"/>
          </w:tcPr>
          <w:p w:rsidR="000601F9" w:rsidRPr="00071CAA" w:rsidRDefault="000601F9"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14</w:t>
            </w:r>
          </w:p>
        </w:tc>
        <w:tc>
          <w:tcPr>
            <w:tcW w:w="1771" w:type="dxa"/>
            <w:vAlign w:val="center"/>
          </w:tcPr>
          <w:p w:rsidR="000601F9" w:rsidRPr="00071CAA" w:rsidRDefault="000601F9"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22</w:t>
            </w:r>
          </w:p>
        </w:tc>
        <w:tc>
          <w:tcPr>
            <w:tcW w:w="1771" w:type="dxa"/>
            <w:vAlign w:val="center"/>
          </w:tcPr>
          <w:p w:rsidR="000601F9" w:rsidRPr="00071CAA" w:rsidRDefault="000601F9"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35</w:t>
            </w:r>
          </w:p>
        </w:tc>
        <w:tc>
          <w:tcPr>
            <w:tcW w:w="1523" w:type="dxa"/>
            <w:vAlign w:val="center"/>
          </w:tcPr>
          <w:p w:rsidR="000601F9" w:rsidRPr="00071CAA" w:rsidRDefault="000601F9" w:rsidP="00D15F76">
            <w:pPr>
              <w:pStyle w:val="TabelaTekst"/>
              <w:spacing w:before="0" w:after="0" w:line="240" w:lineRule="auto"/>
              <w:jc w:val="center"/>
              <w:rPr>
                <w:rFonts w:ascii="Garamond" w:hAnsi="Garamond"/>
                <w:sz w:val="16"/>
                <w:szCs w:val="16"/>
              </w:rPr>
            </w:pPr>
            <w:r w:rsidRPr="00071CAA">
              <w:rPr>
                <w:rFonts w:ascii="Garamond" w:hAnsi="Garamond" w:cstheme="majorHAnsi"/>
                <w:noProof/>
                <w:sz w:val="16"/>
                <w:szCs w:val="16"/>
                <w:lang w:eastAsia="en-GB"/>
              </w:rPr>
              <w:t>41</w:t>
            </w:r>
          </w:p>
        </w:tc>
      </w:tr>
    </w:tbl>
    <w:p w:rsidR="004D1343" w:rsidRPr="00C32887" w:rsidRDefault="004D1343" w:rsidP="004D1343">
      <w:pPr>
        <w:rPr>
          <w:rFonts w:ascii="Garamond" w:hAnsi="Garamond"/>
          <w:sz w:val="24"/>
          <w:szCs w:val="24"/>
        </w:rPr>
      </w:pPr>
    </w:p>
    <w:p w:rsidR="004D1343" w:rsidRPr="00C32887" w:rsidRDefault="004D1343" w:rsidP="000601F9">
      <w:pPr>
        <w:pStyle w:val="Heading2"/>
        <w:rPr>
          <w:rFonts w:ascii="Garamond" w:hAnsi="Garamond"/>
          <w:sz w:val="24"/>
          <w:szCs w:val="24"/>
        </w:rPr>
      </w:pPr>
      <w:bookmarkStart w:id="66" w:name="_Toc77688243"/>
      <w:r w:rsidRPr="00C32887">
        <w:rPr>
          <w:rFonts w:ascii="Garamond" w:hAnsi="Garamond"/>
          <w:sz w:val="24"/>
          <w:szCs w:val="24"/>
        </w:rPr>
        <w:t xml:space="preserve">2.5     Public Debt Management, </w:t>
      </w:r>
      <w:r w:rsidR="000601F9">
        <w:rPr>
          <w:rFonts w:ascii="Garamond" w:hAnsi="Garamond"/>
          <w:sz w:val="24"/>
          <w:szCs w:val="24"/>
        </w:rPr>
        <w:t>Debt</w:t>
      </w:r>
      <w:r w:rsidRPr="00C32887">
        <w:rPr>
          <w:rFonts w:ascii="Garamond" w:hAnsi="Garamond"/>
          <w:sz w:val="24"/>
          <w:szCs w:val="24"/>
        </w:rPr>
        <w:t xml:space="preserve"> Analysis, Cash Management and Foreign </w:t>
      </w:r>
      <w:r w:rsidR="000601F9">
        <w:rPr>
          <w:rFonts w:ascii="Garamond" w:hAnsi="Garamond"/>
          <w:sz w:val="24"/>
          <w:szCs w:val="24"/>
        </w:rPr>
        <w:t>Relations</w:t>
      </w:r>
      <w:r w:rsidR="000601F9" w:rsidRPr="000601F9">
        <w:rPr>
          <w:rFonts w:ascii="Garamond" w:hAnsi="Garamond"/>
          <w:sz w:val="24"/>
          <w:szCs w:val="24"/>
        </w:rPr>
        <w:t xml:space="preserve"> </w:t>
      </w:r>
      <w:r w:rsidR="000601F9" w:rsidRPr="00C32887">
        <w:rPr>
          <w:rFonts w:ascii="Garamond" w:hAnsi="Garamond"/>
          <w:sz w:val="24"/>
          <w:szCs w:val="24"/>
        </w:rPr>
        <w:t>Department</w:t>
      </w:r>
      <w:r w:rsidR="000601F9" w:rsidRPr="000601F9">
        <w:rPr>
          <w:rFonts w:ascii="Garamond" w:hAnsi="Garamond"/>
          <w:sz w:val="24"/>
          <w:szCs w:val="24"/>
        </w:rPr>
        <w:t xml:space="preserve"> </w:t>
      </w:r>
      <w:r w:rsidR="000601F9" w:rsidRPr="00C32887">
        <w:rPr>
          <w:rFonts w:ascii="Garamond" w:hAnsi="Garamond"/>
          <w:sz w:val="24"/>
          <w:szCs w:val="24"/>
        </w:rPr>
        <w:t>Reform</w:t>
      </w:r>
      <w:bookmarkEnd w:id="66"/>
    </w:p>
    <w:p w:rsidR="004D1343" w:rsidRPr="00C32887" w:rsidRDefault="004D1343" w:rsidP="004D1343">
      <w:pPr>
        <w:rPr>
          <w:rFonts w:ascii="Garamond" w:hAnsi="Garamond"/>
          <w:sz w:val="24"/>
          <w:szCs w:val="24"/>
        </w:rPr>
      </w:pPr>
    </w:p>
    <w:p w:rsidR="004D1343" w:rsidRPr="00C32887" w:rsidRDefault="004D1343" w:rsidP="000601F9">
      <w:pPr>
        <w:pStyle w:val="Heading3"/>
        <w:rPr>
          <w:rFonts w:ascii="Garamond" w:hAnsi="Garamond"/>
          <w:sz w:val="24"/>
          <w:szCs w:val="24"/>
        </w:rPr>
      </w:pPr>
      <w:bookmarkStart w:id="67" w:name="_Toc77688244"/>
      <w:r w:rsidRPr="00C32887">
        <w:rPr>
          <w:rFonts w:ascii="Garamond" w:hAnsi="Garamond"/>
          <w:sz w:val="24"/>
          <w:szCs w:val="24"/>
        </w:rPr>
        <w:t>2.5.1      PERFORMANCE INDICATOR</w:t>
      </w:r>
      <w:r w:rsidR="000601F9">
        <w:rPr>
          <w:rFonts w:ascii="Garamond" w:hAnsi="Garamond"/>
          <w:sz w:val="24"/>
          <w:szCs w:val="24"/>
        </w:rPr>
        <w:t xml:space="preserve"> 24</w:t>
      </w:r>
      <w:r w:rsidR="000601F9" w:rsidRPr="000601F9">
        <w:rPr>
          <w:rFonts w:ascii="Garamond" w:hAnsi="Garamond"/>
          <w:sz w:val="24"/>
          <w:szCs w:val="24"/>
        </w:rPr>
        <w:t xml:space="preserve"> </w:t>
      </w:r>
      <w:r w:rsidR="000601F9" w:rsidRPr="00C32887">
        <w:rPr>
          <w:rFonts w:ascii="Garamond" w:hAnsi="Garamond"/>
          <w:sz w:val="24"/>
          <w:szCs w:val="24"/>
        </w:rPr>
        <w:t>PASSPORT</w:t>
      </w:r>
      <w:bookmarkEnd w:id="67"/>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0601F9" w:rsidRPr="00071CAA" w:rsidTr="00D15F76">
        <w:trPr>
          <w:jc w:val="center"/>
        </w:trPr>
        <w:tc>
          <w:tcPr>
            <w:tcW w:w="2721" w:type="dxa"/>
            <w:tcBorders>
              <w:right w:val="single" w:sz="4" w:space="0" w:color="FFFFFF"/>
            </w:tcBorders>
            <w:shd w:val="clear" w:color="auto" w:fill="BFBFBF"/>
            <w:vAlign w:val="center"/>
          </w:tcPr>
          <w:p w:rsidR="000601F9" w:rsidRPr="00071CAA" w:rsidRDefault="000601F9" w:rsidP="00D15F76">
            <w:pPr>
              <w:autoSpaceDE/>
              <w:autoSpaceDN/>
              <w:rPr>
                <w:rFonts w:ascii="Garamond" w:eastAsia="Calibri" w:hAnsi="Garamond"/>
                <w:b/>
                <w:caps/>
                <w:sz w:val="16"/>
                <w:szCs w:val="16"/>
                <w:lang w:val="en-GB" w:eastAsia="en-US" w:bidi="ar-SA"/>
              </w:rPr>
            </w:pPr>
            <w:r w:rsidRPr="00071CAA">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323A0F" w:rsidRPr="00071CAA" w:rsidRDefault="00323A0F" w:rsidP="00323A0F">
            <w:pPr>
              <w:pStyle w:val="Default"/>
              <w:jc w:val="both"/>
              <w:rPr>
                <w:rFonts w:ascii="Garamond" w:hAnsi="Garamond"/>
                <w:sz w:val="16"/>
                <w:szCs w:val="16"/>
              </w:rPr>
            </w:pPr>
            <w:r w:rsidRPr="00071CAA">
              <w:rPr>
                <w:rFonts w:ascii="Garamond" w:hAnsi="Garamond"/>
                <w:sz w:val="16"/>
                <w:szCs w:val="16"/>
              </w:rPr>
              <w:t xml:space="preserve">Public debt servicing costs as a share of GDP </w:t>
            </w:r>
          </w:p>
          <w:p w:rsidR="000601F9" w:rsidRPr="00071CAA" w:rsidRDefault="000601F9" w:rsidP="00D15F76">
            <w:pPr>
              <w:pStyle w:val="Default"/>
              <w:jc w:val="both"/>
              <w:rPr>
                <w:rFonts w:ascii="Garamond" w:eastAsia="Calibri" w:hAnsi="Garamond"/>
                <w:b/>
                <w:sz w:val="16"/>
                <w:szCs w:val="16"/>
                <w:lang w:eastAsia="en-US"/>
              </w:rPr>
            </w:pPr>
          </w:p>
        </w:tc>
      </w:tr>
      <w:tr w:rsidR="000601F9" w:rsidRPr="00071CAA" w:rsidTr="00D15F76">
        <w:trPr>
          <w:gridAfter w:val="1"/>
          <w:wAfter w:w="19" w:type="dxa"/>
          <w:jc w:val="center"/>
        </w:trPr>
        <w:tc>
          <w:tcPr>
            <w:tcW w:w="2721" w:type="dxa"/>
            <w:vAlign w:val="center"/>
          </w:tcPr>
          <w:p w:rsidR="000601F9" w:rsidRPr="00071CAA" w:rsidRDefault="000601F9" w:rsidP="00D15F76">
            <w:pPr>
              <w:autoSpaceDE/>
              <w:autoSpaceDN/>
              <w:rPr>
                <w:rFonts w:ascii="Garamond" w:eastAsia="Calibri" w:hAnsi="Garamond"/>
                <w:b/>
                <w:caps/>
                <w:sz w:val="16"/>
                <w:szCs w:val="16"/>
                <w:lang w:val="en-GB" w:eastAsia="en-US" w:bidi="ar-SA"/>
              </w:rPr>
            </w:pPr>
            <w:r w:rsidRPr="00071CAA">
              <w:rPr>
                <w:rFonts w:ascii="Garamond" w:eastAsia="Calibri" w:hAnsi="Garamond"/>
                <w:b/>
                <w:caps/>
                <w:sz w:val="16"/>
                <w:szCs w:val="16"/>
                <w:lang w:val="en-GB" w:eastAsia="en-US" w:bidi="ar-SA"/>
              </w:rPr>
              <w:t>corresponding objective or activity</w:t>
            </w:r>
          </w:p>
        </w:tc>
        <w:tc>
          <w:tcPr>
            <w:tcW w:w="6836" w:type="dxa"/>
            <w:gridSpan w:val="4"/>
            <w:vAlign w:val="center"/>
          </w:tcPr>
          <w:p w:rsidR="000601F9" w:rsidRPr="00071CAA" w:rsidRDefault="000601F9" w:rsidP="00D15F76">
            <w:pPr>
              <w:rPr>
                <w:rFonts w:ascii="Garamond" w:hAnsi="Garamond"/>
                <w:color w:val="365F91" w:themeColor="accent1" w:themeShade="BF"/>
                <w:sz w:val="16"/>
                <w:szCs w:val="16"/>
              </w:rPr>
            </w:pPr>
            <w:r w:rsidRPr="00071CAA">
              <w:rPr>
                <w:rFonts w:ascii="Garamond" w:hAnsi="Garamond"/>
                <w:color w:val="365F91" w:themeColor="accent1" w:themeShade="BF"/>
                <w:sz w:val="16"/>
                <w:szCs w:val="16"/>
              </w:rPr>
              <w:t xml:space="preserve">Budget execution </w:t>
            </w:r>
          </w:p>
          <w:p w:rsidR="00323A0F" w:rsidRPr="00071CAA" w:rsidRDefault="00323A0F" w:rsidP="00323A0F">
            <w:pPr>
              <w:pStyle w:val="ListParagraph"/>
              <w:numPr>
                <w:ilvl w:val="0"/>
                <w:numId w:val="28"/>
              </w:numPr>
              <w:rPr>
                <w:rFonts w:ascii="Garamond" w:eastAsia="Calibri" w:hAnsi="Garamond"/>
                <w:color w:val="365F91" w:themeColor="accent1" w:themeShade="BF"/>
                <w:sz w:val="16"/>
                <w:szCs w:val="16"/>
                <w:lang w:eastAsia="en-US" w:bidi="ar-SA"/>
              </w:rPr>
            </w:pPr>
            <w:r w:rsidRPr="00071CAA">
              <w:rPr>
                <w:rFonts w:ascii="Garamond" w:hAnsi="Garamond"/>
                <w:color w:val="365F91" w:themeColor="accent1" w:themeShade="BF"/>
                <w:sz w:val="16"/>
                <w:szCs w:val="16"/>
              </w:rPr>
              <w:t>Public Debt Management, Debt Analysis, Cash Management and Foreign Relations Department Reform</w:t>
            </w:r>
            <w:r w:rsidRPr="00071CAA">
              <w:rPr>
                <w:rFonts w:ascii="Garamond" w:eastAsia="Calibri" w:hAnsi="Garamond"/>
                <w:color w:val="365F91" w:themeColor="accent1" w:themeShade="BF"/>
                <w:sz w:val="16"/>
                <w:szCs w:val="16"/>
                <w:lang w:eastAsia="en-US" w:bidi="ar-SA"/>
              </w:rPr>
              <w:t xml:space="preserve"> </w:t>
            </w:r>
          </w:p>
          <w:p w:rsidR="000601F9" w:rsidRPr="00071CAA" w:rsidRDefault="00323A0F" w:rsidP="00D15F76">
            <w:pPr>
              <w:rPr>
                <w:rFonts w:ascii="Garamond" w:eastAsia="Calibri" w:hAnsi="Garamond"/>
                <w:color w:val="000000" w:themeColor="text1"/>
                <w:sz w:val="16"/>
                <w:szCs w:val="16"/>
                <w:lang w:eastAsia="en-US" w:bidi="ar-SA"/>
              </w:rPr>
            </w:pPr>
            <w:r w:rsidRPr="00071CAA">
              <w:rPr>
                <w:rFonts w:ascii="Garamond" w:eastAsia="Calibri" w:hAnsi="Garamond"/>
                <w:color w:val="000000" w:themeColor="text1"/>
                <w:sz w:val="16"/>
                <w:szCs w:val="16"/>
                <w:lang w:eastAsia="en-US" w:bidi="ar-SA"/>
              </w:rPr>
              <w:t>Better public debt monitoring and reporting, definition and adoption of clear debt management procedures and debt analysis, cash management and debt repayment transactions management.</w:t>
            </w:r>
          </w:p>
        </w:tc>
      </w:tr>
      <w:tr w:rsidR="000601F9" w:rsidRPr="00071CAA" w:rsidTr="00D15F76">
        <w:trPr>
          <w:gridAfter w:val="1"/>
          <w:wAfter w:w="19" w:type="dxa"/>
          <w:jc w:val="center"/>
        </w:trPr>
        <w:tc>
          <w:tcPr>
            <w:tcW w:w="2721" w:type="dxa"/>
            <w:vAlign w:val="center"/>
          </w:tcPr>
          <w:p w:rsidR="000601F9" w:rsidRPr="00071CAA" w:rsidRDefault="000601F9"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323A0F" w:rsidRPr="00071CAA" w:rsidRDefault="00323A0F" w:rsidP="00323A0F">
            <w:pPr>
              <w:jc w:val="both"/>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http://www.mf.gov.me/rubrike/drzavni-dug/</w:t>
            </w:r>
          </w:p>
          <w:p w:rsidR="000601F9" w:rsidRPr="00071CAA" w:rsidRDefault="00323A0F" w:rsidP="00323A0F">
            <w:pPr>
              <w:jc w:val="both"/>
              <w:rPr>
                <w:rFonts w:ascii="Garamond" w:eastAsia="Calibri" w:hAnsi="Garamond"/>
                <w:sz w:val="16"/>
                <w:szCs w:val="16"/>
                <w:lang w:eastAsia="en-US" w:bidi="ar-SA"/>
              </w:rPr>
            </w:pPr>
            <w:r w:rsidRPr="00071CAA">
              <w:rPr>
                <w:rFonts w:ascii="Garamond" w:eastAsia="Calibri" w:hAnsi="Garamond"/>
                <w:sz w:val="16"/>
                <w:szCs w:val="16"/>
                <w:lang w:eastAsia="en-US" w:bidi="ar-SA"/>
              </w:rPr>
              <w:t>The data are published on the MoF website as part of the Public Debt Report. The Public Debt Report shows the annual debt service costs, as well as the GDP used.</w:t>
            </w:r>
          </w:p>
        </w:tc>
      </w:tr>
      <w:tr w:rsidR="000601F9" w:rsidRPr="00071CAA" w:rsidTr="00D15F76">
        <w:trPr>
          <w:gridAfter w:val="1"/>
          <w:wAfter w:w="19" w:type="dxa"/>
          <w:jc w:val="center"/>
        </w:trPr>
        <w:tc>
          <w:tcPr>
            <w:tcW w:w="2721" w:type="dxa"/>
            <w:vAlign w:val="center"/>
          </w:tcPr>
          <w:p w:rsidR="000601F9" w:rsidRPr="00071CAA" w:rsidRDefault="000601F9"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NAME OF DATA COLLECTION HOLDER</w:t>
            </w:r>
          </w:p>
        </w:tc>
        <w:tc>
          <w:tcPr>
            <w:tcW w:w="6836" w:type="dxa"/>
            <w:gridSpan w:val="4"/>
            <w:vAlign w:val="center"/>
          </w:tcPr>
          <w:p w:rsidR="00323A0F" w:rsidRPr="00071CAA" w:rsidRDefault="00323A0F" w:rsidP="00323A0F">
            <w:pPr>
              <w:rPr>
                <w:rFonts w:ascii="Garamond" w:hAnsi="Garamond"/>
                <w:sz w:val="16"/>
                <w:szCs w:val="16"/>
              </w:rPr>
            </w:pPr>
            <w:r w:rsidRPr="00071CAA">
              <w:rPr>
                <w:rFonts w:ascii="Garamond" w:hAnsi="Garamond"/>
                <w:sz w:val="16"/>
                <w:szCs w:val="16"/>
              </w:rPr>
              <w:t>Ministry of Finance and Social Welfare</w:t>
            </w:r>
          </w:p>
          <w:p w:rsidR="00323A0F" w:rsidRPr="00071CAA" w:rsidRDefault="00323A0F" w:rsidP="00323A0F">
            <w:pPr>
              <w:rPr>
                <w:rFonts w:ascii="Garamond" w:hAnsi="Garamond"/>
                <w:sz w:val="16"/>
                <w:szCs w:val="16"/>
              </w:rPr>
            </w:pPr>
            <w:r w:rsidRPr="00071CAA">
              <w:rPr>
                <w:rFonts w:ascii="Garamond" w:hAnsi="Garamond"/>
                <w:sz w:val="16"/>
                <w:szCs w:val="16"/>
              </w:rPr>
              <w:t>Katarina Živković, Head of the State Treasury Directorate</w:t>
            </w:r>
          </w:p>
          <w:p w:rsidR="00323A0F" w:rsidRPr="00071CAA" w:rsidRDefault="00323A0F" w:rsidP="00323A0F">
            <w:pPr>
              <w:rPr>
                <w:rFonts w:ascii="Garamond" w:hAnsi="Garamond"/>
                <w:sz w:val="16"/>
                <w:szCs w:val="16"/>
              </w:rPr>
            </w:pPr>
            <w:r w:rsidRPr="00071CAA">
              <w:rPr>
                <w:rFonts w:ascii="Garamond" w:hAnsi="Garamond"/>
                <w:sz w:val="16"/>
                <w:szCs w:val="16"/>
              </w:rPr>
              <w:t>Katarina.zivkovicc@mif.gov.me</w:t>
            </w:r>
          </w:p>
          <w:p w:rsidR="000601F9" w:rsidRPr="00071CAA" w:rsidRDefault="00323A0F" w:rsidP="00323A0F">
            <w:pPr>
              <w:rPr>
                <w:rFonts w:ascii="Garamond" w:eastAsia="Calibri" w:hAnsi="Garamond"/>
                <w:sz w:val="16"/>
                <w:szCs w:val="16"/>
                <w:lang w:eastAsia="en-US" w:bidi="ar-SA"/>
              </w:rPr>
            </w:pPr>
            <w:r w:rsidRPr="00071CAA">
              <w:rPr>
                <w:rFonts w:ascii="Garamond" w:hAnsi="Garamond"/>
                <w:sz w:val="16"/>
                <w:szCs w:val="16"/>
              </w:rPr>
              <w:t>Phone: 020 / 202-167</w:t>
            </w:r>
          </w:p>
        </w:tc>
      </w:tr>
      <w:tr w:rsidR="000601F9" w:rsidRPr="00071CAA" w:rsidTr="00D15F76">
        <w:trPr>
          <w:gridAfter w:val="1"/>
          <w:wAfter w:w="19" w:type="dxa"/>
          <w:jc w:val="center"/>
        </w:trPr>
        <w:tc>
          <w:tcPr>
            <w:tcW w:w="2721" w:type="dxa"/>
            <w:vAlign w:val="center"/>
          </w:tcPr>
          <w:p w:rsidR="000601F9" w:rsidRPr="00071CAA" w:rsidRDefault="000601F9"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FREQUENCY OF DATA PUBLICATION</w:t>
            </w:r>
          </w:p>
        </w:tc>
        <w:tc>
          <w:tcPr>
            <w:tcW w:w="6836" w:type="dxa"/>
            <w:gridSpan w:val="4"/>
            <w:vAlign w:val="center"/>
          </w:tcPr>
          <w:p w:rsidR="000601F9" w:rsidRPr="00071CAA" w:rsidRDefault="00323A0F" w:rsidP="00D15F76">
            <w:pPr>
              <w:rPr>
                <w:rFonts w:ascii="Garamond" w:eastAsia="Calibri" w:hAnsi="Garamond"/>
                <w:sz w:val="16"/>
                <w:szCs w:val="16"/>
                <w:lang w:eastAsia="en-US" w:bidi="ar-SA"/>
              </w:rPr>
            </w:pPr>
            <w:r w:rsidRPr="00071CAA">
              <w:rPr>
                <w:rFonts w:ascii="Garamond" w:eastAsia="Calibri" w:hAnsi="Garamond"/>
                <w:sz w:val="16"/>
                <w:szCs w:val="16"/>
                <w:lang w:eastAsia="en-US" w:bidi="ar-SA"/>
              </w:rPr>
              <w:t>Once a year, in the second quarter of the previous calendar year</w:t>
            </w:r>
          </w:p>
        </w:tc>
      </w:tr>
      <w:tr w:rsidR="000601F9" w:rsidRPr="00071CAA" w:rsidTr="00D15F76">
        <w:trPr>
          <w:gridAfter w:val="1"/>
          <w:wAfter w:w="19" w:type="dxa"/>
          <w:trHeight w:val="458"/>
          <w:jc w:val="center"/>
        </w:trPr>
        <w:tc>
          <w:tcPr>
            <w:tcW w:w="2721" w:type="dxa"/>
            <w:vMerge w:val="restart"/>
            <w:vAlign w:val="center"/>
          </w:tcPr>
          <w:p w:rsidR="000601F9" w:rsidRPr="00071CAA" w:rsidRDefault="000601F9" w:rsidP="00D15F76">
            <w:pPr>
              <w:autoSpaceDE/>
              <w:autoSpaceDN/>
              <w:rPr>
                <w:rFonts w:ascii="Garamond" w:eastAsia="Calibri" w:hAnsi="Garamond"/>
                <w:b/>
                <w:caps/>
                <w:sz w:val="16"/>
                <w:szCs w:val="16"/>
                <w:lang w:val="uz-Cyrl-UZ" w:eastAsia="en-US" w:bidi="ar-SA"/>
              </w:rPr>
            </w:pPr>
            <w:r w:rsidRPr="00071CAA">
              <w:rPr>
                <w:rFonts w:ascii="Garamond" w:eastAsia="Calibri" w:hAnsi="Garamond"/>
                <w:b/>
                <w:caps/>
                <w:sz w:val="16"/>
                <w:szCs w:val="16"/>
                <w:lang w:val="uz-Cyrl-UZ" w:eastAsia="en-US" w:bidi="ar-SA"/>
              </w:rPr>
              <w:t xml:space="preserve">BRIEF DESCRIPTION </w:t>
            </w:r>
            <w:r w:rsidRPr="00071CAA">
              <w:rPr>
                <w:rFonts w:ascii="Garamond" w:eastAsia="Calibri" w:hAnsi="Garamond"/>
                <w:b/>
                <w:caps/>
                <w:sz w:val="16"/>
                <w:szCs w:val="16"/>
                <w:lang w:val="en-GB" w:eastAsia="en-US" w:bidi="ar-SA"/>
              </w:rPr>
              <w:t xml:space="preserve">OF </w:t>
            </w:r>
            <w:r w:rsidRPr="00071CAA">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323A0F" w:rsidRPr="00071CAA" w:rsidRDefault="00323A0F" w:rsidP="00323A0F">
            <w:pPr>
              <w:jc w:val="both"/>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 xml:space="preserve">The Ministry of Finance and Social Welfare, in accordance with the Law on Budget and Fiscal Responsibility, has the authority to pay interest on the basis of the </w:t>
            </w:r>
            <w:r w:rsidR="00071CAA">
              <w:rPr>
                <w:rFonts w:ascii="Garamond" w:eastAsia="Calibri" w:hAnsi="Garamond"/>
                <w:sz w:val="16"/>
                <w:szCs w:val="16"/>
                <w:lang w:eastAsia="en-US" w:bidi="ar-SA"/>
              </w:rPr>
              <w:t>government</w:t>
            </w:r>
            <w:r w:rsidRPr="00071CAA">
              <w:rPr>
                <w:rFonts w:ascii="Garamond" w:eastAsia="Calibri" w:hAnsi="Garamond"/>
                <w:sz w:val="16"/>
                <w:szCs w:val="16"/>
                <w:lang w:val="uz-Cyrl-UZ" w:eastAsia="en-US" w:bidi="ar-SA"/>
              </w:rPr>
              <w:t xml:space="preserve"> debt from the funds kept in the consolidated treasury account.</w:t>
            </w:r>
          </w:p>
          <w:p w:rsidR="00323A0F" w:rsidRPr="00071CAA" w:rsidRDefault="00323A0F" w:rsidP="00323A0F">
            <w:pPr>
              <w:jc w:val="both"/>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 xml:space="preserve">The performance indicator serves as an indicator of the </w:t>
            </w:r>
            <w:r w:rsidR="00FF2126" w:rsidRPr="00071CAA">
              <w:rPr>
                <w:rFonts w:ascii="Garamond" w:eastAsia="Calibri" w:hAnsi="Garamond"/>
                <w:sz w:val="16"/>
                <w:szCs w:val="16"/>
                <w:lang w:val="uz-Cyrl-UZ" w:eastAsia="en-US" w:bidi="ar-SA"/>
              </w:rPr>
              <w:t xml:space="preserve">debt </w:t>
            </w:r>
            <w:r w:rsidRPr="00071CAA">
              <w:rPr>
                <w:rFonts w:ascii="Garamond" w:eastAsia="Calibri" w:hAnsi="Garamond"/>
                <w:sz w:val="16"/>
                <w:szCs w:val="16"/>
                <w:lang w:val="uz-Cyrl-UZ" w:eastAsia="en-US" w:bidi="ar-SA"/>
              </w:rPr>
              <w:t>cost relative to GDP. Total amount of interest in the fiscal year, from 01</w:t>
            </w:r>
            <w:r w:rsidRPr="00071CAA">
              <w:rPr>
                <w:rFonts w:ascii="Garamond" w:eastAsia="Calibri" w:hAnsi="Garamond"/>
                <w:sz w:val="16"/>
                <w:szCs w:val="16"/>
                <w:lang w:val="en-GB" w:eastAsia="en-US" w:bidi="ar-SA"/>
              </w:rPr>
              <w:t>/</w:t>
            </w:r>
            <w:r w:rsidRPr="00071CAA">
              <w:rPr>
                <w:rFonts w:ascii="Garamond" w:eastAsia="Calibri" w:hAnsi="Garamond"/>
                <w:sz w:val="16"/>
                <w:szCs w:val="16"/>
                <w:lang w:val="uz-Cyrl-UZ" w:eastAsia="en-US" w:bidi="ar-SA"/>
              </w:rPr>
              <w:t>01 to 31</w:t>
            </w:r>
            <w:r w:rsidRPr="00071CAA">
              <w:rPr>
                <w:rFonts w:ascii="Garamond" w:eastAsia="Calibri" w:hAnsi="Garamond"/>
                <w:sz w:val="16"/>
                <w:szCs w:val="16"/>
                <w:lang w:val="en-GB" w:eastAsia="en-US" w:bidi="ar-SA"/>
              </w:rPr>
              <w:t>/</w:t>
            </w:r>
            <w:r w:rsidRPr="00071CAA">
              <w:rPr>
                <w:rFonts w:ascii="Garamond" w:eastAsia="Calibri" w:hAnsi="Garamond"/>
                <w:sz w:val="16"/>
                <w:szCs w:val="16"/>
                <w:lang w:val="uz-Cyrl-UZ" w:eastAsia="en-US" w:bidi="ar-SA"/>
              </w:rPr>
              <w:t>12, is calculated based on the existing debt and the estimate of future indebtedness.</w:t>
            </w:r>
          </w:p>
          <w:p w:rsidR="000601F9" w:rsidRPr="00071CAA" w:rsidRDefault="00323A0F" w:rsidP="00ED2090">
            <w:pPr>
              <w:jc w:val="both"/>
              <w:rPr>
                <w:rFonts w:ascii="Garamond" w:eastAsia="Calibri" w:hAnsi="Garamond"/>
                <w:sz w:val="16"/>
                <w:szCs w:val="16"/>
                <w:u w:val="single"/>
                <w:lang w:val="uz-Cyrl-UZ" w:eastAsia="en-US" w:bidi="ar-SA"/>
              </w:rPr>
            </w:pPr>
            <w:r w:rsidRPr="00071CAA">
              <w:rPr>
                <w:rFonts w:ascii="Garamond" w:eastAsia="Calibri" w:hAnsi="Garamond"/>
                <w:sz w:val="16"/>
                <w:szCs w:val="16"/>
                <w:lang w:val="uz-Cyrl-UZ" w:eastAsia="en-US" w:bidi="ar-SA"/>
              </w:rPr>
              <w:t xml:space="preserve">Note: This </w:t>
            </w:r>
            <w:r w:rsidR="00FF2126" w:rsidRPr="00071CAA">
              <w:rPr>
                <w:rFonts w:ascii="Garamond" w:eastAsia="Calibri" w:hAnsi="Garamond"/>
                <w:sz w:val="16"/>
                <w:szCs w:val="16"/>
                <w:lang w:val="uz-Cyrl-UZ" w:eastAsia="en-US" w:bidi="ar-SA"/>
              </w:rPr>
              <w:t xml:space="preserve">performance indicator </w:t>
            </w:r>
            <w:r w:rsidRPr="00071CAA">
              <w:rPr>
                <w:rFonts w:ascii="Garamond" w:eastAsia="Calibri" w:hAnsi="Garamond"/>
                <w:sz w:val="16"/>
                <w:szCs w:val="16"/>
                <w:lang w:val="uz-Cyrl-UZ" w:eastAsia="en-US" w:bidi="ar-SA"/>
              </w:rPr>
              <w:t xml:space="preserve">contains variables that are not in themselves under the control of the </w:t>
            </w:r>
            <w:r w:rsidR="00FF2126" w:rsidRPr="00071CAA">
              <w:rPr>
                <w:rFonts w:ascii="Garamond" w:eastAsia="Calibri" w:hAnsi="Garamond"/>
                <w:sz w:val="16"/>
                <w:szCs w:val="16"/>
                <w:lang w:val="en-GB" w:eastAsia="en-US" w:bidi="ar-SA"/>
              </w:rPr>
              <w:t xml:space="preserve">State </w:t>
            </w:r>
            <w:r w:rsidRPr="00071CAA">
              <w:rPr>
                <w:rFonts w:ascii="Garamond" w:eastAsia="Calibri" w:hAnsi="Garamond"/>
                <w:sz w:val="16"/>
                <w:szCs w:val="16"/>
                <w:lang w:val="uz-Cyrl-UZ" w:eastAsia="en-US" w:bidi="ar-SA"/>
              </w:rPr>
              <w:t xml:space="preserve">Treasury Directorate. The </w:t>
            </w:r>
            <w:r w:rsidR="00071CAA">
              <w:rPr>
                <w:rFonts w:ascii="Garamond" w:eastAsia="Calibri" w:hAnsi="Garamond"/>
                <w:sz w:val="16"/>
                <w:szCs w:val="16"/>
                <w:lang w:eastAsia="en-US" w:bidi="ar-SA"/>
              </w:rPr>
              <w:t>trend</w:t>
            </w:r>
            <w:r w:rsidRPr="00071CAA">
              <w:rPr>
                <w:rFonts w:ascii="Garamond" w:eastAsia="Calibri" w:hAnsi="Garamond"/>
                <w:sz w:val="16"/>
                <w:szCs w:val="16"/>
                <w:lang w:val="uz-Cyrl-UZ" w:eastAsia="en-US" w:bidi="ar-SA"/>
              </w:rPr>
              <w:t xml:space="preserve"> of variable interest rates depends on market </w:t>
            </w:r>
            <w:r w:rsidR="00ED2090">
              <w:rPr>
                <w:rFonts w:ascii="Garamond" w:eastAsia="Calibri" w:hAnsi="Garamond"/>
                <w:sz w:val="16"/>
                <w:szCs w:val="16"/>
                <w:lang w:eastAsia="en-US" w:bidi="ar-SA"/>
              </w:rPr>
              <w:t>trends</w:t>
            </w:r>
            <w:r w:rsidRPr="00071CAA">
              <w:rPr>
                <w:rFonts w:ascii="Garamond" w:eastAsia="Calibri" w:hAnsi="Garamond"/>
                <w:sz w:val="16"/>
                <w:szCs w:val="16"/>
                <w:lang w:val="uz-Cyrl-UZ" w:eastAsia="en-US" w:bidi="ar-SA"/>
              </w:rPr>
              <w:t xml:space="preserve">, while the GDP </w:t>
            </w:r>
            <w:r w:rsidR="00ED2090">
              <w:rPr>
                <w:rFonts w:ascii="Garamond" w:eastAsia="Calibri" w:hAnsi="Garamond"/>
                <w:sz w:val="16"/>
                <w:szCs w:val="16"/>
                <w:lang w:eastAsia="en-US" w:bidi="ar-SA"/>
              </w:rPr>
              <w:t xml:space="preserve">trend </w:t>
            </w:r>
            <w:r w:rsidRPr="00071CAA">
              <w:rPr>
                <w:rFonts w:ascii="Garamond" w:eastAsia="Calibri" w:hAnsi="Garamond"/>
                <w:sz w:val="16"/>
                <w:szCs w:val="16"/>
                <w:lang w:val="uz-Cyrl-UZ" w:eastAsia="en-US" w:bidi="ar-SA"/>
              </w:rPr>
              <w:t>is influenced by a number of factors over which the State Treasury Directorate has no influence.</w:t>
            </w:r>
          </w:p>
        </w:tc>
      </w:tr>
      <w:tr w:rsidR="000601F9" w:rsidRPr="00071CAA" w:rsidTr="00D15F76">
        <w:trPr>
          <w:gridAfter w:val="1"/>
          <w:wAfter w:w="19" w:type="dxa"/>
          <w:trHeight w:val="620"/>
          <w:jc w:val="center"/>
        </w:trPr>
        <w:tc>
          <w:tcPr>
            <w:tcW w:w="2721" w:type="dxa"/>
            <w:vMerge/>
            <w:shd w:val="clear" w:color="auto" w:fill="auto"/>
            <w:vAlign w:val="center"/>
          </w:tcPr>
          <w:p w:rsidR="000601F9" w:rsidRPr="00071CAA" w:rsidRDefault="000601F9"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0601F9" w:rsidRPr="00071CAA" w:rsidRDefault="000601F9" w:rsidP="00D15F76">
            <w:pPr>
              <w:jc w:val="center"/>
              <w:rPr>
                <w:rFonts w:ascii="Garamond" w:hAnsi="Garamond"/>
                <w:color w:val="365F91" w:themeColor="accent1" w:themeShade="BF"/>
                <w:sz w:val="16"/>
                <w:szCs w:val="16"/>
                <w:lang w:val="uz-Cyrl-UZ"/>
              </w:rPr>
            </w:pPr>
            <w:r w:rsidRPr="00071CAA">
              <w:rPr>
                <w:rFonts w:ascii="Garamond" w:hAnsi="Garamond"/>
                <w:color w:val="365F91" w:themeColor="accent1" w:themeShade="BF"/>
                <w:sz w:val="16"/>
                <w:szCs w:val="16"/>
                <w:lang w:val="uz-Cyrl-UZ"/>
              </w:rPr>
              <w:t>FORMULA / EQUATION</w:t>
            </w:r>
          </w:p>
          <w:p w:rsidR="000601F9" w:rsidRPr="00071CAA" w:rsidRDefault="00822436" w:rsidP="00D15F76">
            <w:pPr>
              <w:jc w:val="center"/>
              <w:rPr>
                <w:rFonts w:ascii="Garamond" w:eastAsia="Calibri" w:hAnsi="Garamond"/>
                <w:sz w:val="16"/>
                <w:szCs w:val="16"/>
                <w:lang w:val="en-GB" w:eastAsia="en-US" w:bidi="ar-SA"/>
              </w:rPr>
            </w:pPr>
            <w:r w:rsidRPr="00071CAA">
              <w:rPr>
                <w:rFonts w:ascii="Garamond" w:eastAsia="Calibri" w:hAnsi="Garamond"/>
                <w:sz w:val="16"/>
                <w:szCs w:val="16"/>
                <w:lang w:val="en-GB" w:eastAsia="en-US" w:bidi="ar-SA"/>
              </w:rPr>
              <w:t>Amount of interest paid / GDP X 100</w:t>
            </w:r>
          </w:p>
        </w:tc>
      </w:tr>
      <w:tr w:rsidR="000601F9" w:rsidRPr="00071CAA" w:rsidTr="00D15F76">
        <w:trPr>
          <w:gridAfter w:val="1"/>
          <w:wAfter w:w="19" w:type="dxa"/>
          <w:trHeight w:val="585"/>
          <w:jc w:val="center"/>
        </w:trPr>
        <w:tc>
          <w:tcPr>
            <w:tcW w:w="2721" w:type="dxa"/>
            <w:vAlign w:val="center"/>
          </w:tcPr>
          <w:p w:rsidR="000601F9" w:rsidRPr="00071CAA" w:rsidRDefault="000601F9" w:rsidP="00D15F76">
            <w:pPr>
              <w:autoSpaceDE/>
              <w:autoSpaceDN/>
              <w:rPr>
                <w:rFonts w:ascii="Garamond" w:eastAsia="Calibri" w:hAnsi="Garamond"/>
                <w:b/>
                <w:bCs/>
                <w:caps/>
                <w:sz w:val="16"/>
                <w:szCs w:val="16"/>
                <w:lang w:val="en-GB" w:eastAsia="en-US" w:bidi="ar-SA"/>
              </w:rPr>
            </w:pPr>
            <w:r w:rsidRPr="00071CAA">
              <w:rPr>
                <w:rFonts w:ascii="Garamond" w:eastAsia="Calibri" w:hAnsi="Garamond"/>
                <w:b/>
                <w:caps/>
                <w:sz w:val="16"/>
                <w:szCs w:val="16"/>
                <w:lang w:val="uz-Cyrl-UZ" w:eastAsia="en-US" w:bidi="ar-SA"/>
              </w:rPr>
              <w:t>BASELINE</w:t>
            </w:r>
            <w:r w:rsidRPr="00071CAA">
              <w:rPr>
                <w:rFonts w:ascii="Garamond" w:eastAsia="Calibri" w:hAnsi="Garamond"/>
                <w:b/>
                <w:caps/>
                <w:sz w:val="16"/>
                <w:szCs w:val="16"/>
                <w:lang w:val="en-GB" w:eastAsia="en-US" w:bidi="ar-SA"/>
              </w:rPr>
              <w:t xml:space="preserve"> DATA</w:t>
            </w:r>
          </w:p>
        </w:tc>
        <w:tc>
          <w:tcPr>
            <w:tcW w:w="6836" w:type="dxa"/>
            <w:gridSpan w:val="4"/>
            <w:vAlign w:val="center"/>
          </w:tcPr>
          <w:p w:rsidR="000601F9" w:rsidRPr="00071CAA" w:rsidRDefault="000601F9" w:rsidP="00822436">
            <w:pPr>
              <w:pStyle w:val="TabelaTekst"/>
              <w:spacing w:before="0" w:after="0" w:line="240" w:lineRule="auto"/>
              <w:rPr>
                <w:rFonts w:ascii="Garamond" w:hAnsi="Garamond"/>
                <w:sz w:val="16"/>
                <w:szCs w:val="16"/>
                <w:lang w:val="en-GB"/>
              </w:rPr>
            </w:pPr>
            <w:r w:rsidRPr="00071CAA">
              <w:rPr>
                <w:rFonts w:ascii="Garamond" w:hAnsi="Garamond"/>
                <w:sz w:val="16"/>
                <w:szCs w:val="16"/>
              </w:rPr>
              <w:t>PV (2014</w:t>
            </w:r>
            <w:r w:rsidRPr="00071CAA">
              <w:rPr>
                <w:rFonts w:ascii="Garamond" w:hAnsi="Garamond"/>
                <w:sz w:val="16"/>
                <w:szCs w:val="16"/>
                <w:lang w:val="en-GB"/>
              </w:rPr>
              <w:t xml:space="preserve">): </w:t>
            </w:r>
            <w:r w:rsidR="00822436" w:rsidRPr="00071CAA">
              <w:rPr>
                <w:rFonts w:ascii="Garamond" w:hAnsi="Garamond"/>
                <w:sz w:val="16"/>
                <w:szCs w:val="16"/>
                <w:lang w:val="en-GB"/>
              </w:rPr>
              <w:t>2.2%</w:t>
            </w:r>
          </w:p>
        </w:tc>
      </w:tr>
      <w:tr w:rsidR="000601F9" w:rsidRPr="00071CAA" w:rsidTr="00D15F76">
        <w:trPr>
          <w:gridAfter w:val="1"/>
          <w:wAfter w:w="19" w:type="dxa"/>
          <w:trHeight w:val="160"/>
          <w:jc w:val="center"/>
        </w:trPr>
        <w:tc>
          <w:tcPr>
            <w:tcW w:w="2721" w:type="dxa"/>
            <w:vMerge w:val="restart"/>
            <w:vAlign w:val="center"/>
          </w:tcPr>
          <w:p w:rsidR="000601F9" w:rsidRPr="00071CAA" w:rsidRDefault="000601F9" w:rsidP="00D15F76">
            <w:pPr>
              <w:autoSpaceDE/>
              <w:autoSpaceDN/>
              <w:rPr>
                <w:rFonts w:ascii="Garamond" w:eastAsia="Calibri" w:hAnsi="Garamond"/>
                <w:b/>
                <w:bCs/>
                <w:caps/>
                <w:sz w:val="16"/>
                <w:szCs w:val="16"/>
                <w:lang w:val="uz-Cyrl-UZ" w:eastAsia="en-US" w:bidi="ar-SA"/>
              </w:rPr>
            </w:pPr>
            <w:r w:rsidRPr="00071CAA">
              <w:rPr>
                <w:rFonts w:ascii="Garamond" w:eastAsia="Calibri" w:hAnsi="Garamond"/>
                <w:b/>
                <w:caps/>
                <w:sz w:val="16"/>
                <w:szCs w:val="16"/>
                <w:lang w:val="uz-Cyrl-UZ" w:eastAsia="en-US" w:bidi="ar-SA"/>
              </w:rPr>
              <w:t>TARGET VALUE DATA</w:t>
            </w:r>
          </w:p>
        </w:tc>
        <w:tc>
          <w:tcPr>
            <w:tcW w:w="1771" w:type="dxa"/>
            <w:vAlign w:val="center"/>
          </w:tcPr>
          <w:p w:rsidR="000601F9" w:rsidRPr="00071CAA" w:rsidRDefault="000601F9"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2017</w:t>
            </w:r>
          </w:p>
        </w:tc>
        <w:tc>
          <w:tcPr>
            <w:tcW w:w="1771" w:type="dxa"/>
            <w:vAlign w:val="center"/>
          </w:tcPr>
          <w:p w:rsidR="000601F9" w:rsidRPr="00071CAA" w:rsidRDefault="000601F9"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2018</w:t>
            </w:r>
          </w:p>
        </w:tc>
        <w:tc>
          <w:tcPr>
            <w:tcW w:w="1771" w:type="dxa"/>
            <w:vAlign w:val="center"/>
          </w:tcPr>
          <w:p w:rsidR="000601F9" w:rsidRPr="00071CAA" w:rsidRDefault="000601F9"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2019</w:t>
            </w:r>
          </w:p>
        </w:tc>
        <w:tc>
          <w:tcPr>
            <w:tcW w:w="1523" w:type="dxa"/>
            <w:vAlign w:val="center"/>
          </w:tcPr>
          <w:p w:rsidR="000601F9" w:rsidRPr="00071CAA" w:rsidRDefault="000601F9" w:rsidP="00D15F76">
            <w:pPr>
              <w:autoSpaceDE/>
              <w:autoSpaceDN/>
              <w:jc w:val="center"/>
              <w:rPr>
                <w:rFonts w:ascii="Garamond" w:eastAsia="Calibri" w:hAnsi="Garamond"/>
                <w:sz w:val="16"/>
                <w:szCs w:val="16"/>
                <w:lang w:val="uz-Cyrl-UZ" w:eastAsia="en-US" w:bidi="ar-SA"/>
              </w:rPr>
            </w:pPr>
            <w:r w:rsidRPr="00071CAA">
              <w:rPr>
                <w:rFonts w:ascii="Garamond" w:eastAsia="Calibri" w:hAnsi="Garamond"/>
                <w:sz w:val="16"/>
                <w:szCs w:val="16"/>
                <w:lang w:val="uz-Cyrl-UZ" w:eastAsia="en-US" w:bidi="ar-SA"/>
              </w:rPr>
              <w:t>2020</w:t>
            </w:r>
          </w:p>
        </w:tc>
      </w:tr>
      <w:tr w:rsidR="00822436" w:rsidRPr="00071CAA" w:rsidTr="00D15F76">
        <w:trPr>
          <w:gridAfter w:val="1"/>
          <w:wAfter w:w="19" w:type="dxa"/>
          <w:trHeight w:val="160"/>
          <w:jc w:val="center"/>
        </w:trPr>
        <w:tc>
          <w:tcPr>
            <w:tcW w:w="2721" w:type="dxa"/>
            <w:vMerge/>
            <w:vAlign w:val="center"/>
          </w:tcPr>
          <w:p w:rsidR="00822436" w:rsidRPr="00071CAA" w:rsidRDefault="00822436" w:rsidP="00D15F76">
            <w:pPr>
              <w:autoSpaceDE/>
              <w:autoSpaceDN/>
              <w:rPr>
                <w:rFonts w:ascii="Garamond" w:eastAsia="Calibri" w:hAnsi="Garamond"/>
                <w:b/>
                <w:bCs/>
                <w:caps/>
                <w:sz w:val="16"/>
                <w:szCs w:val="16"/>
                <w:lang w:val="uz-Cyrl-UZ" w:eastAsia="en-US" w:bidi="ar-SA"/>
              </w:rPr>
            </w:pPr>
          </w:p>
        </w:tc>
        <w:tc>
          <w:tcPr>
            <w:tcW w:w="1771" w:type="dxa"/>
            <w:vAlign w:val="center"/>
          </w:tcPr>
          <w:p w:rsidR="00822436" w:rsidRPr="00071CAA" w:rsidRDefault="00822436"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2.5 %</w:t>
            </w:r>
          </w:p>
        </w:tc>
        <w:tc>
          <w:tcPr>
            <w:tcW w:w="1771" w:type="dxa"/>
            <w:vAlign w:val="center"/>
          </w:tcPr>
          <w:p w:rsidR="00822436" w:rsidRPr="00071CAA" w:rsidRDefault="00822436"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1.9 %</w:t>
            </w:r>
          </w:p>
        </w:tc>
        <w:tc>
          <w:tcPr>
            <w:tcW w:w="1771" w:type="dxa"/>
            <w:vAlign w:val="center"/>
          </w:tcPr>
          <w:p w:rsidR="00822436" w:rsidRPr="00071CAA" w:rsidRDefault="00822436"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2.0 %</w:t>
            </w:r>
          </w:p>
        </w:tc>
        <w:tc>
          <w:tcPr>
            <w:tcW w:w="1523" w:type="dxa"/>
            <w:vAlign w:val="center"/>
          </w:tcPr>
          <w:p w:rsidR="00822436" w:rsidRPr="00071CAA" w:rsidRDefault="00822436"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2.3 %</w:t>
            </w:r>
          </w:p>
        </w:tc>
      </w:tr>
      <w:tr w:rsidR="00822436" w:rsidRPr="00071CAA" w:rsidTr="00D15F76">
        <w:trPr>
          <w:gridAfter w:val="1"/>
          <w:wAfter w:w="19" w:type="dxa"/>
          <w:trHeight w:val="160"/>
          <w:jc w:val="center"/>
        </w:trPr>
        <w:tc>
          <w:tcPr>
            <w:tcW w:w="2721" w:type="dxa"/>
            <w:vAlign w:val="center"/>
          </w:tcPr>
          <w:p w:rsidR="00822436" w:rsidRPr="00071CAA" w:rsidRDefault="0062456A" w:rsidP="00D15F76">
            <w:pPr>
              <w:autoSpaceDE/>
              <w:autoSpaceDN/>
              <w:rPr>
                <w:rFonts w:ascii="Garamond" w:eastAsia="Calibri" w:hAnsi="Garamond"/>
                <w:b/>
                <w:bCs/>
                <w:caps/>
                <w:sz w:val="16"/>
                <w:szCs w:val="16"/>
                <w:lang w:val="uz-Cyrl-UZ" w:eastAsia="en-US" w:bidi="ar-SA"/>
              </w:rPr>
            </w:pPr>
            <w:r w:rsidRPr="00071CAA">
              <w:rPr>
                <w:rFonts w:ascii="Garamond" w:eastAsia="Calibri" w:hAnsi="Garamond"/>
                <w:b/>
                <w:bCs/>
                <w:caps/>
                <w:sz w:val="16"/>
                <w:szCs w:val="16"/>
                <w:lang w:val="uz-Cyrl-UZ" w:eastAsia="en-US" w:bidi="ar-SA"/>
              </w:rPr>
              <w:t>DATA ON VALUES ACHIEVED</w:t>
            </w:r>
          </w:p>
        </w:tc>
        <w:tc>
          <w:tcPr>
            <w:tcW w:w="1771" w:type="dxa"/>
            <w:vAlign w:val="center"/>
          </w:tcPr>
          <w:p w:rsidR="00822436" w:rsidRPr="00071CAA" w:rsidRDefault="00822436" w:rsidP="00D15F76">
            <w:pPr>
              <w:pStyle w:val="TabelaTekst"/>
              <w:spacing w:before="0" w:after="0" w:line="240" w:lineRule="auto"/>
              <w:jc w:val="center"/>
              <w:rPr>
                <w:rFonts w:ascii="Garamond" w:hAnsi="Garamond"/>
                <w:sz w:val="16"/>
                <w:szCs w:val="16"/>
              </w:rPr>
            </w:pPr>
            <w:r w:rsidRPr="00071CAA">
              <w:rPr>
                <w:rFonts w:ascii="Garamond" w:hAnsi="Garamond"/>
                <w:bCs/>
                <w:sz w:val="16"/>
                <w:szCs w:val="16"/>
              </w:rPr>
              <w:t>2.3%</w:t>
            </w:r>
          </w:p>
        </w:tc>
        <w:tc>
          <w:tcPr>
            <w:tcW w:w="1771" w:type="dxa"/>
            <w:vAlign w:val="center"/>
          </w:tcPr>
          <w:p w:rsidR="00822436" w:rsidRPr="00071CAA" w:rsidRDefault="00822436"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2.1%</w:t>
            </w:r>
          </w:p>
        </w:tc>
        <w:tc>
          <w:tcPr>
            <w:tcW w:w="1771" w:type="dxa"/>
            <w:vAlign w:val="center"/>
          </w:tcPr>
          <w:p w:rsidR="00822436" w:rsidRPr="00071CAA" w:rsidRDefault="00822436" w:rsidP="00D15F76">
            <w:pPr>
              <w:pStyle w:val="TabelaTekst"/>
              <w:spacing w:before="0" w:after="0" w:line="240" w:lineRule="auto"/>
              <w:jc w:val="center"/>
              <w:rPr>
                <w:rFonts w:ascii="Garamond" w:hAnsi="Garamond"/>
                <w:sz w:val="16"/>
                <w:szCs w:val="16"/>
              </w:rPr>
            </w:pPr>
            <w:r w:rsidRPr="00071CAA">
              <w:rPr>
                <w:rFonts w:ascii="Garamond" w:hAnsi="Garamond" w:cs="Calibri"/>
                <w:noProof/>
                <w:sz w:val="16"/>
                <w:szCs w:val="16"/>
                <w:lang w:val="en-GB" w:eastAsia="en-GB"/>
              </w:rPr>
              <w:t>2.2%</w:t>
            </w:r>
          </w:p>
        </w:tc>
        <w:tc>
          <w:tcPr>
            <w:tcW w:w="1523" w:type="dxa"/>
            <w:vAlign w:val="center"/>
          </w:tcPr>
          <w:p w:rsidR="00822436" w:rsidRPr="00071CAA" w:rsidRDefault="00822436" w:rsidP="00D15F76">
            <w:pPr>
              <w:pStyle w:val="TabelaTekst"/>
              <w:spacing w:before="0" w:after="0" w:line="240" w:lineRule="auto"/>
              <w:jc w:val="center"/>
              <w:rPr>
                <w:rFonts w:ascii="Garamond" w:hAnsi="Garamond"/>
                <w:sz w:val="16"/>
                <w:szCs w:val="16"/>
              </w:rPr>
            </w:pPr>
            <w:r w:rsidRPr="00071CAA">
              <w:rPr>
                <w:rFonts w:ascii="Garamond" w:hAnsi="Garamond"/>
                <w:sz w:val="16"/>
                <w:szCs w:val="16"/>
              </w:rPr>
              <w:t>2.64%</w:t>
            </w:r>
          </w:p>
        </w:tc>
      </w:tr>
    </w:tbl>
    <w:p w:rsidR="004D1343" w:rsidRPr="00C32887" w:rsidRDefault="004D1343" w:rsidP="004D1343">
      <w:pPr>
        <w:rPr>
          <w:rFonts w:ascii="Garamond" w:hAnsi="Garamond"/>
          <w:sz w:val="24"/>
          <w:szCs w:val="24"/>
        </w:rPr>
      </w:pPr>
    </w:p>
    <w:p w:rsidR="004D1343" w:rsidRPr="00C32887" w:rsidRDefault="004D1343" w:rsidP="00822436">
      <w:pPr>
        <w:pStyle w:val="Heading3"/>
        <w:rPr>
          <w:rFonts w:ascii="Garamond" w:hAnsi="Garamond"/>
          <w:sz w:val="24"/>
          <w:szCs w:val="24"/>
        </w:rPr>
      </w:pPr>
      <w:bookmarkStart w:id="68" w:name="_Toc77688245"/>
      <w:r w:rsidRPr="00C32887">
        <w:rPr>
          <w:rFonts w:ascii="Garamond" w:hAnsi="Garamond"/>
          <w:sz w:val="24"/>
          <w:szCs w:val="24"/>
        </w:rPr>
        <w:t xml:space="preserve">2.5.2      </w:t>
      </w:r>
      <w:r w:rsidR="00822436">
        <w:rPr>
          <w:rFonts w:ascii="Garamond" w:hAnsi="Garamond"/>
          <w:sz w:val="24"/>
          <w:szCs w:val="24"/>
        </w:rPr>
        <w:t>PERFORMANCE INDICATOR 25</w:t>
      </w:r>
      <w:r w:rsidR="00822436" w:rsidRPr="00822436">
        <w:rPr>
          <w:rFonts w:ascii="Garamond" w:hAnsi="Garamond"/>
          <w:sz w:val="24"/>
          <w:szCs w:val="24"/>
        </w:rPr>
        <w:t xml:space="preserve"> </w:t>
      </w:r>
      <w:r w:rsidR="00822436" w:rsidRPr="00C32887">
        <w:rPr>
          <w:rFonts w:ascii="Garamond" w:hAnsi="Garamond"/>
          <w:sz w:val="24"/>
          <w:szCs w:val="24"/>
        </w:rPr>
        <w:t>PASSPORT</w:t>
      </w:r>
      <w:bookmarkEnd w:id="68"/>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822436" w:rsidRPr="00ED2090" w:rsidTr="00D15F76">
        <w:trPr>
          <w:jc w:val="center"/>
        </w:trPr>
        <w:tc>
          <w:tcPr>
            <w:tcW w:w="2721" w:type="dxa"/>
            <w:tcBorders>
              <w:right w:val="single" w:sz="4" w:space="0" w:color="FFFFFF"/>
            </w:tcBorders>
            <w:shd w:val="clear" w:color="auto" w:fill="BFBFBF"/>
            <w:vAlign w:val="center"/>
          </w:tcPr>
          <w:p w:rsidR="00822436" w:rsidRPr="00ED2090" w:rsidRDefault="00822436" w:rsidP="00D15F76">
            <w:pPr>
              <w:autoSpaceDE/>
              <w:autoSpaceDN/>
              <w:rPr>
                <w:rFonts w:ascii="Garamond" w:eastAsia="Calibri" w:hAnsi="Garamond"/>
                <w:b/>
                <w:caps/>
                <w:sz w:val="16"/>
                <w:szCs w:val="16"/>
                <w:lang w:val="en-GB" w:eastAsia="en-US" w:bidi="ar-SA"/>
              </w:rPr>
            </w:pPr>
            <w:r w:rsidRPr="00ED2090">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822436" w:rsidRPr="00ED2090" w:rsidRDefault="00822436" w:rsidP="00822436">
            <w:pPr>
              <w:pStyle w:val="Default"/>
              <w:jc w:val="both"/>
              <w:rPr>
                <w:rFonts w:ascii="Garamond" w:hAnsi="Garamond"/>
                <w:sz w:val="16"/>
                <w:szCs w:val="16"/>
              </w:rPr>
            </w:pPr>
            <w:r w:rsidRPr="00ED2090">
              <w:rPr>
                <w:rFonts w:ascii="Garamond" w:hAnsi="Garamond"/>
                <w:sz w:val="16"/>
                <w:szCs w:val="16"/>
              </w:rPr>
              <w:t xml:space="preserve">Difference between planned and achieved level of public debt </w:t>
            </w:r>
          </w:p>
          <w:p w:rsidR="00822436" w:rsidRPr="00ED2090" w:rsidRDefault="00822436" w:rsidP="00D15F76">
            <w:pPr>
              <w:pStyle w:val="Default"/>
              <w:jc w:val="both"/>
              <w:rPr>
                <w:rFonts w:ascii="Garamond" w:eastAsia="Calibri" w:hAnsi="Garamond"/>
                <w:b/>
                <w:sz w:val="16"/>
                <w:szCs w:val="16"/>
                <w:lang w:eastAsia="en-US"/>
              </w:rPr>
            </w:pPr>
          </w:p>
        </w:tc>
      </w:tr>
      <w:tr w:rsidR="00822436" w:rsidRPr="00ED2090" w:rsidTr="00D15F76">
        <w:trPr>
          <w:gridAfter w:val="1"/>
          <w:wAfter w:w="19" w:type="dxa"/>
          <w:jc w:val="center"/>
        </w:trPr>
        <w:tc>
          <w:tcPr>
            <w:tcW w:w="2721" w:type="dxa"/>
            <w:vAlign w:val="center"/>
          </w:tcPr>
          <w:p w:rsidR="00822436" w:rsidRPr="00ED2090" w:rsidRDefault="00822436" w:rsidP="00D15F76">
            <w:pPr>
              <w:autoSpaceDE/>
              <w:autoSpaceDN/>
              <w:rPr>
                <w:rFonts w:ascii="Garamond" w:eastAsia="Calibri" w:hAnsi="Garamond"/>
                <w:b/>
                <w:caps/>
                <w:sz w:val="16"/>
                <w:szCs w:val="16"/>
                <w:lang w:val="en-GB" w:eastAsia="en-US" w:bidi="ar-SA"/>
              </w:rPr>
            </w:pPr>
            <w:r w:rsidRPr="00ED2090">
              <w:rPr>
                <w:rFonts w:ascii="Garamond" w:eastAsia="Calibri" w:hAnsi="Garamond"/>
                <w:b/>
                <w:caps/>
                <w:sz w:val="16"/>
                <w:szCs w:val="16"/>
                <w:lang w:val="en-GB" w:eastAsia="en-US" w:bidi="ar-SA"/>
              </w:rPr>
              <w:t>corresponding objective or activity</w:t>
            </w:r>
          </w:p>
        </w:tc>
        <w:tc>
          <w:tcPr>
            <w:tcW w:w="6836" w:type="dxa"/>
            <w:gridSpan w:val="4"/>
            <w:vAlign w:val="center"/>
          </w:tcPr>
          <w:p w:rsidR="00822436" w:rsidRPr="00ED2090" w:rsidRDefault="00822436" w:rsidP="00D15F76">
            <w:pPr>
              <w:rPr>
                <w:rFonts w:ascii="Garamond" w:hAnsi="Garamond"/>
                <w:color w:val="365F91" w:themeColor="accent1" w:themeShade="BF"/>
                <w:sz w:val="16"/>
                <w:szCs w:val="16"/>
              </w:rPr>
            </w:pPr>
            <w:r w:rsidRPr="00ED2090">
              <w:rPr>
                <w:rFonts w:ascii="Garamond" w:hAnsi="Garamond"/>
                <w:color w:val="365F91" w:themeColor="accent1" w:themeShade="BF"/>
                <w:sz w:val="16"/>
                <w:szCs w:val="16"/>
              </w:rPr>
              <w:t xml:space="preserve">Budget execution </w:t>
            </w:r>
          </w:p>
          <w:p w:rsidR="00822436" w:rsidRPr="00ED2090" w:rsidRDefault="00822436" w:rsidP="00D15F76">
            <w:pPr>
              <w:pStyle w:val="ListParagraph"/>
              <w:numPr>
                <w:ilvl w:val="0"/>
                <w:numId w:val="28"/>
              </w:numPr>
              <w:rPr>
                <w:rFonts w:ascii="Garamond" w:eastAsia="Calibri" w:hAnsi="Garamond"/>
                <w:color w:val="365F91" w:themeColor="accent1" w:themeShade="BF"/>
                <w:sz w:val="16"/>
                <w:szCs w:val="16"/>
                <w:lang w:eastAsia="en-US" w:bidi="ar-SA"/>
              </w:rPr>
            </w:pPr>
            <w:r w:rsidRPr="00ED2090">
              <w:rPr>
                <w:rFonts w:ascii="Garamond" w:hAnsi="Garamond"/>
                <w:color w:val="365F91" w:themeColor="accent1" w:themeShade="BF"/>
                <w:sz w:val="16"/>
                <w:szCs w:val="16"/>
              </w:rPr>
              <w:t>Public Debt Management, Debt Analysis, Cash Management and Foreign Relations Department Reform</w:t>
            </w:r>
            <w:r w:rsidRPr="00ED2090">
              <w:rPr>
                <w:rFonts w:ascii="Garamond" w:eastAsia="Calibri" w:hAnsi="Garamond"/>
                <w:color w:val="365F91" w:themeColor="accent1" w:themeShade="BF"/>
                <w:sz w:val="16"/>
                <w:szCs w:val="16"/>
                <w:lang w:eastAsia="en-US" w:bidi="ar-SA"/>
              </w:rPr>
              <w:t xml:space="preserve"> </w:t>
            </w:r>
          </w:p>
          <w:p w:rsidR="00822436" w:rsidRPr="00ED2090" w:rsidRDefault="00822436" w:rsidP="00D15F76">
            <w:pPr>
              <w:rPr>
                <w:rFonts w:ascii="Garamond" w:eastAsia="Calibri" w:hAnsi="Garamond"/>
                <w:color w:val="000000" w:themeColor="text1"/>
                <w:sz w:val="16"/>
                <w:szCs w:val="16"/>
                <w:lang w:eastAsia="en-US" w:bidi="ar-SA"/>
              </w:rPr>
            </w:pPr>
            <w:r w:rsidRPr="00ED2090">
              <w:rPr>
                <w:rFonts w:ascii="Garamond" w:eastAsia="Calibri" w:hAnsi="Garamond"/>
                <w:color w:val="000000" w:themeColor="text1"/>
                <w:sz w:val="16"/>
                <w:szCs w:val="16"/>
                <w:lang w:eastAsia="en-US" w:bidi="ar-SA"/>
              </w:rPr>
              <w:t>Better public debt monitoring and reporting, definition and adoption of clear debt management procedures and debt analysis, cash management and debt repayment transactions management.</w:t>
            </w:r>
          </w:p>
        </w:tc>
      </w:tr>
      <w:tr w:rsidR="00822436" w:rsidRPr="00ED2090" w:rsidTr="00D15F76">
        <w:trPr>
          <w:gridAfter w:val="1"/>
          <w:wAfter w:w="19" w:type="dxa"/>
          <w:jc w:val="center"/>
        </w:trPr>
        <w:tc>
          <w:tcPr>
            <w:tcW w:w="2721" w:type="dxa"/>
            <w:vAlign w:val="center"/>
          </w:tcPr>
          <w:p w:rsidR="00822436" w:rsidRPr="00ED2090" w:rsidRDefault="00822436" w:rsidP="00D15F76">
            <w:pPr>
              <w:autoSpaceDE/>
              <w:autoSpaceDN/>
              <w:rPr>
                <w:rFonts w:ascii="Garamond" w:eastAsia="Calibri" w:hAnsi="Garamond"/>
                <w:b/>
                <w:caps/>
                <w:sz w:val="16"/>
                <w:szCs w:val="16"/>
                <w:lang w:val="uz-Cyrl-UZ" w:eastAsia="en-US" w:bidi="ar-SA"/>
              </w:rPr>
            </w:pPr>
            <w:r w:rsidRPr="00ED2090">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822436" w:rsidRPr="00ED2090" w:rsidRDefault="00822436" w:rsidP="00D15F76">
            <w:pPr>
              <w:jc w:val="both"/>
              <w:rPr>
                <w:rFonts w:ascii="Garamond" w:eastAsia="Calibri" w:hAnsi="Garamond"/>
                <w:sz w:val="16"/>
                <w:szCs w:val="16"/>
                <w:lang w:val="uz-Cyrl-UZ" w:eastAsia="en-US" w:bidi="ar-SA"/>
              </w:rPr>
            </w:pPr>
            <w:r w:rsidRPr="00ED2090">
              <w:rPr>
                <w:rFonts w:ascii="Garamond" w:eastAsia="Calibri" w:hAnsi="Garamond"/>
                <w:sz w:val="16"/>
                <w:szCs w:val="16"/>
                <w:lang w:val="uz-Cyrl-UZ" w:eastAsia="en-US" w:bidi="ar-SA"/>
              </w:rPr>
              <w:t>http://www.mf.gov.me/rubrike/drzavni-dug/</w:t>
            </w:r>
          </w:p>
          <w:p w:rsidR="00822436" w:rsidRPr="00ED2090" w:rsidRDefault="00822436" w:rsidP="00D15F76">
            <w:pPr>
              <w:jc w:val="both"/>
              <w:rPr>
                <w:rFonts w:ascii="Garamond" w:eastAsia="Calibri" w:hAnsi="Garamond"/>
                <w:sz w:val="16"/>
                <w:szCs w:val="16"/>
                <w:lang w:eastAsia="en-US" w:bidi="ar-SA"/>
              </w:rPr>
            </w:pPr>
            <w:r w:rsidRPr="00ED2090">
              <w:rPr>
                <w:rFonts w:ascii="Garamond" w:eastAsia="Calibri" w:hAnsi="Garamond"/>
                <w:sz w:val="16"/>
                <w:szCs w:val="16"/>
                <w:lang w:eastAsia="en-US" w:bidi="ar-SA"/>
              </w:rPr>
              <w:t>The data are published on the MoF website as part of the Public Debt Report. The Public Debt Report shows the annual debt service costs, as well as the GDP used.</w:t>
            </w:r>
          </w:p>
        </w:tc>
      </w:tr>
      <w:tr w:rsidR="00822436" w:rsidRPr="00ED2090" w:rsidTr="00D15F76">
        <w:trPr>
          <w:gridAfter w:val="1"/>
          <w:wAfter w:w="19" w:type="dxa"/>
          <w:jc w:val="center"/>
        </w:trPr>
        <w:tc>
          <w:tcPr>
            <w:tcW w:w="2721" w:type="dxa"/>
            <w:vAlign w:val="center"/>
          </w:tcPr>
          <w:p w:rsidR="00822436" w:rsidRPr="00ED2090" w:rsidRDefault="00822436" w:rsidP="00D15F76">
            <w:pPr>
              <w:autoSpaceDE/>
              <w:autoSpaceDN/>
              <w:rPr>
                <w:rFonts w:ascii="Garamond" w:eastAsia="Calibri" w:hAnsi="Garamond"/>
                <w:b/>
                <w:caps/>
                <w:sz w:val="16"/>
                <w:szCs w:val="16"/>
                <w:lang w:val="uz-Cyrl-UZ" w:eastAsia="en-US" w:bidi="ar-SA"/>
              </w:rPr>
            </w:pPr>
            <w:r w:rsidRPr="00ED2090">
              <w:rPr>
                <w:rFonts w:ascii="Garamond" w:eastAsia="Calibri" w:hAnsi="Garamond"/>
                <w:b/>
                <w:caps/>
                <w:sz w:val="16"/>
                <w:szCs w:val="16"/>
                <w:lang w:val="uz-Cyrl-UZ" w:eastAsia="en-US" w:bidi="ar-SA"/>
              </w:rPr>
              <w:t>NAME OF DATA COLLECTION HOLDER</w:t>
            </w:r>
          </w:p>
        </w:tc>
        <w:tc>
          <w:tcPr>
            <w:tcW w:w="6836" w:type="dxa"/>
            <w:gridSpan w:val="4"/>
            <w:vAlign w:val="center"/>
          </w:tcPr>
          <w:p w:rsidR="00822436" w:rsidRPr="00ED2090" w:rsidRDefault="00822436" w:rsidP="00D15F76">
            <w:pPr>
              <w:rPr>
                <w:rFonts w:ascii="Garamond" w:hAnsi="Garamond"/>
                <w:sz w:val="16"/>
                <w:szCs w:val="16"/>
              </w:rPr>
            </w:pPr>
            <w:r w:rsidRPr="00ED2090">
              <w:rPr>
                <w:rFonts w:ascii="Garamond" w:hAnsi="Garamond"/>
                <w:sz w:val="16"/>
                <w:szCs w:val="16"/>
              </w:rPr>
              <w:t>Ministry of Finance and Social Welfare</w:t>
            </w:r>
          </w:p>
          <w:p w:rsidR="00822436" w:rsidRPr="00ED2090" w:rsidRDefault="00822436" w:rsidP="00D15F76">
            <w:pPr>
              <w:rPr>
                <w:rFonts w:ascii="Garamond" w:hAnsi="Garamond"/>
                <w:sz w:val="16"/>
                <w:szCs w:val="16"/>
              </w:rPr>
            </w:pPr>
            <w:r w:rsidRPr="00ED2090">
              <w:rPr>
                <w:rFonts w:ascii="Garamond" w:hAnsi="Garamond"/>
                <w:sz w:val="16"/>
                <w:szCs w:val="16"/>
              </w:rPr>
              <w:t>Katarina Živković, Head of the State Treasury Directorate</w:t>
            </w:r>
          </w:p>
          <w:p w:rsidR="00822436" w:rsidRPr="00ED2090" w:rsidRDefault="00822436" w:rsidP="00D15F76">
            <w:pPr>
              <w:rPr>
                <w:rFonts w:ascii="Garamond" w:hAnsi="Garamond"/>
                <w:sz w:val="16"/>
                <w:szCs w:val="16"/>
              </w:rPr>
            </w:pPr>
            <w:r w:rsidRPr="00ED2090">
              <w:rPr>
                <w:rFonts w:ascii="Garamond" w:hAnsi="Garamond"/>
                <w:sz w:val="16"/>
                <w:szCs w:val="16"/>
              </w:rPr>
              <w:t>Katarina.zivkovicc@mif.gov.me</w:t>
            </w:r>
          </w:p>
          <w:p w:rsidR="00822436" w:rsidRPr="00ED2090" w:rsidRDefault="00822436" w:rsidP="00D15F76">
            <w:pPr>
              <w:rPr>
                <w:rFonts w:ascii="Garamond" w:eastAsia="Calibri" w:hAnsi="Garamond"/>
                <w:sz w:val="16"/>
                <w:szCs w:val="16"/>
                <w:lang w:eastAsia="en-US" w:bidi="ar-SA"/>
              </w:rPr>
            </w:pPr>
            <w:r w:rsidRPr="00ED2090">
              <w:rPr>
                <w:rFonts w:ascii="Garamond" w:hAnsi="Garamond"/>
                <w:sz w:val="16"/>
                <w:szCs w:val="16"/>
              </w:rPr>
              <w:t>Phone: 020 / 202-167</w:t>
            </w:r>
          </w:p>
        </w:tc>
      </w:tr>
      <w:tr w:rsidR="00822436" w:rsidRPr="00ED2090" w:rsidTr="00D15F76">
        <w:trPr>
          <w:gridAfter w:val="1"/>
          <w:wAfter w:w="19" w:type="dxa"/>
          <w:jc w:val="center"/>
        </w:trPr>
        <w:tc>
          <w:tcPr>
            <w:tcW w:w="2721" w:type="dxa"/>
            <w:vAlign w:val="center"/>
          </w:tcPr>
          <w:p w:rsidR="00822436" w:rsidRPr="00ED2090" w:rsidRDefault="00822436" w:rsidP="00D15F76">
            <w:pPr>
              <w:autoSpaceDE/>
              <w:autoSpaceDN/>
              <w:rPr>
                <w:rFonts w:ascii="Garamond" w:eastAsia="Calibri" w:hAnsi="Garamond"/>
                <w:b/>
                <w:caps/>
                <w:sz w:val="16"/>
                <w:szCs w:val="16"/>
                <w:lang w:val="uz-Cyrl-UZ" w:eastAsia="en-US" w:bidi="ar-SA"/>
              </w:rPr>
            </w:pPr>
            <w:r w:rsidRPr="00ED2090">
              <w:rPr>
                <w:rFonts w:ascii="Garamond" w:eastAsia="Calibri" w:hAnsi="Garamond"/>
                <w:b/>
                <w:caps/>
                <w:sz w:val="16"/>
                <w:szCs w:val="16"/>
                <w:lang w:val="uz-Cyrl-UZ" w:eastAsia="en-US" w:bidi="ar-SA"/>
              </w:rPr>
              <w:t>FREQUENCY OF DATA PUBLICATION</w:t>
            </w:r>
          </w:p>
        </w:tc>
        <w:tc>
          <w:tcPr>
            <w:tcW w:w="6836" w:type="dxa"/>
            <w:gridSpan w:val="4"/>
            <w:vAlign w:val="center"/>
          </w:tcPr>
          <w:p w:rsidR="00822436" w:rsidRPr="00ED2090" w:rsidRDefault="00822436" w:rsidP="00FF2126">
            <w:pPr>
              <w:rPr>
                <w:rFonts w:ascii="Garamond" w:eastAsia="Calibri" w:hAnsi="Garamond"/>
                <w:sz w:val="16"/>
                <w:szCs w:val="16"/>
                <w:lang w:eastAsia="en-US" w:bidi="ar-SA"/>
              </w:rPr>
            </w:pPr>
            <w:r w:rsidRPr="00ED2090">
              <w:rPr>
                <w:rFonts w:ascii="Garamond" w:eastAsia="Calibri" w:hAnsi="Garamond"/>
                <w:sz w:val="16"/>
                <w:szCs w:val="16"/>
                <w:lang w:eastAsia="en-US" w:bidi="ar-SA"/>
              </w:rPr>
              <w:t xml:space="preserve">Once a year, in </w:t>
            </w:r>
            <w:r w:rsidR="00FF2126" w:rsidRPr="00ED2090">
              <w:rPr>
                <w:rFonts w:ascii="Garamond" w:eastAsia="Calibri" w:hAnsi="Garamond"/>
                <w:sz w:val="16"/>
                <w:szCs w:val="16"/>
                <w:lang w:eastAsia="en-US" w:bidi="ar-SA"/>
              </w:rPr>
              <w:t>Q2</w:t>
            </w:r>
            <w:r w:rsidRPr="00ED2090">
              <w:rPr>
                <w:rFonts w:ascii="Garamond" w:eastAsia="Calibri" w:hAnsi="Garamond"/>
                <w:sz w:val="16"/>
                <w:szCs w:val="16"/>
                <w:lang w:eastAsia="en-US" w:bidi="ar-SA"/>
              </w:rPr>
              <w:t xml:space="preserve"> of the previous calendar year</w:t>
            </w:r>
          </w:p>
        </w:tc>
      </w:tr>
      <w:tr w:rsidR="00822436" w:rsidRPr="00ED2090" w:rsidTr="00D15F76">
        <w:trPr>
          <w:gridAfter w:val="1"/>
          <w:wAfter w:w="19" w:type="dxa"/>
          <w:trHeight w:val="458"/>
          <w:jc w:val="center"/>
        </w:trPr>
        <w:tc>
          <w:tcPr>
            <w:tcW w:w="2721" w:type="dxa"/>
            <w:vMerge w:val="restart"/>
            <w:vAlign w:val="center"/>
          </w:tcPr>
          <w:p w:rsidR="00822436" w:rsidRPr="00ED2090" w:rsidRDefault="00822436" w:rsidP="00D15F76">
            <w:pPr>
              <w:autoSpaceDE/>
              <w:autoSpaceDN/>
              <w:rPr>
                <w:rFonts w:ascii="Garamond" w:eastAsia="Calibri" w:hAnsi="Garamond"/>
                <w:b/>
                <w:caps/>
                <w:sz w:val="16"/>
                <w:szCs w:val="16"/>
                <w:lang w:val="uz-Cyrl-UZ" w:eastAsia="en-US" w:bidi="ar-SA"/>
              </w:rPr>
            </w:pPr>
            <w:r w:rsidRPr="00ED2090">
              <w:rPr>
                <w:rFonts w:ascii="Garamond" w:eastAsia="Calibri" w:hAnsi="Garamond"/>
                <w:b/>
                <w:caps/>
                <w:sz w:val="16"/>
                <w:szCs w:val="16"/>
                <w:lang w:val="uz-Cyrl-UZ" w:eastAsia="en-US" w:bidi="ar-SA"/>
              </w:rPr>
              <w:t xml:space="preserve">BRIEF DESCRIPTION </w:t>
            </w:r>
            <w:r w:rsidRPr="00ED2090">
              <w:rPr>
                <w:rFonts w:ascii="Garamond" w:eastAsia="Calibri" w:hAnsi="Garamond"/>
                <w:b/>
                <w:caps/>
                <w:sz w:val="16"/>
                <w:szCs w:val="16"/>
                <w:lang w:val="en-GB" w:eastAsia="en-US" w:bidi="ar-SA"/>
              </w:rPr>
              <w:t xml:space="preserve">OF </w:t>
            </w:r>
            <w:r w:rsidRPr="00ED2090">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822436" w:rsidRPr="00ED2090" w:rsidRDefault="00822436" w:rsidP="00822436">
            <w:pPr>
              <w:jc w:val="both"/>
              <w:rPr>
                <w:rFonts w:ascii="Garamond" w:eastAsia="Calibri" w:hAnsi="Garamond"/>
                <w:sz w:val="16"/>
                <w:szCs w:val="16"/>
                <w:lang w:val="uz-Cyrl-UZ" w:eastAsia="en-US" w:bidi="ar-SA"/>
              </w:rPr>
            </w:pPr>
            <w:r w:rsidRPr="00ED2090">
              <w:rPr>
                <w:rFonts w:ascii="Garamond" w:eastAsia="Calibri" w:hAnsi="Garamond"/>
                <w:sz w:val="16"/>
                <w:szCs w:val="16"/>
                <w:lang w:val="uz-Cyrl-UZ" w:eastAsia="en-US" w:bidi="ar-SA"/>
              </w:rPr>
              <w:t>The Ministry of Finance and Social Welfare, in accordance with the Law on Budget and Fiscal Responsibility, prepares and publishes a report on public debt.</w:t>
            </w:r>
          </w:p>
          <w:p w:rsidR="00822436" w:rsidRPr="00ED2090" w:rsidRDefault="00822436" w:rsidP="00822436">
            <w:pPr>
              <w:jc w:val="both"/>
              <w:rPr>
                <w:rFonts w:ascii="Garamond" w:eastAsia="Calibri" w:hAnsi="Garamond"/>
                <w:sz w:val="16"/>
                <w:szCs w:val="16"/>
                <w:lang w:val="uz-Cyrl-UZ" w:eastAsia="en-US" w:bidi="ar-SA"/>
              </w:rPr>
            </w:pPr>
            <w:r w:rsidRPr="00ED2090">
              <w:rPr>
                <w:rFonts w:ascii="Garamond" w:eastAsia="Calibri" w:hAnsi="Garamond"/>
                <w:sz w:val="16"/>
                <w:szCs w:val="16"/>
                <w:lang w:val="uz-Cyrl-UZ" w:eastAsia="en-US" w:bidi="ar-SA"/>
              </w:rPr>
              <w:t xml:space="preserve">The performance indicator serves as an indicator of the </w:t>
            </w:r>
            <w:r w:rsidR="00BF15E4">
              <w:rPr>
                <w:rFonts w:ascii="Garamond" w:eastAsia="Calibri" w:hAnsi="Garamond"/>
                <w:sz w:val="16"/>
                <w:szCs w:val="16"/>
                <w:lang w:eastAsia="en-US" w:bidi="ar-SA"/>
              </w:rPr>
              <w:t>ratio</w:t>
            </w:r>
            <w:r w:rsidR="00FF2126" w:rsidRPr="00ED2090">
              <w:rPr>
                <w:rFonts w:ascii="Garamond" w:eastAsia="Calibri" w:hAnsi="Garamond"/>
                <w:sz w:val="16"/>
                <w:szCs w:val="16"/>
                <w:lang w:val="uz-Cyrl-UZ" w:eastAsia="en-US" w:bidi="ar-SA"/>
              </w:rPr>
              <w:t xml:space="preserve"> between the reali</w:t>
            </w:r>
            <w:r w:rsidR="00FF2126" w:rsidRPr="00ED2090">
              <w:rPr>
                <w:rFonts w:ascii="Garamond" w:eastAsia="Calibri" w:hAnsi="Garamond"/>
                <w:sz w:val="16"/>
                <w:szCs w:val="16"/>
                <w:lang w:val="en-GB" w:eastAsia="en-US" w:bidi="ar-SA"/>
              </w:rPr>
              <w:t>s</w:t>
            </w:r>
            <w:r w:rsidRPr="00ED2090">
              <w:rPr>
                <w:rFonts w:ascii="Garamond" w:eastAsia="Calibri" w:hAnsi="Garamond"/>
                <w:sz w:val="16"/>
                <w:szCs w:val="16"/>
                <w:lang w:val="uz-Cyrl-UZ" w:eastAsia="en-US" w:bidi="ar-SA"/>
              </w:rPr>
              <w:t>ed level of public debt and the planned public debt for a given year.</w:t>
            </w:r>
          </w:p>
          <w:p w:rsidR="00822436" w:rsidRPr="00ED2090" w:rsidRDefault="00822436" w:rsidP="00822436">
            <w:pPr>
              <w:jc w:val="both"/>
              <w:rPr>
                <w:rFonts w:ascii="Garamond" w:eastAsia="Calibri" w:hAnsi="Garamond"/>
                <w:sz w:val="16"/>
                <w:szCs w:val="16"/>
                <w:lang w:val="uz-Cyrl-UZ" w:eastAsia="en-US" w:bidi="ar-SA"/>
              </w:rPr>
            </w:pPr>
            <w:r w:rsidRPr="00ED2090">
              <w:rPr>
                <w:rFonts w:ascii="Garamond" w:eastAsia="Calibri" w:hAnsi="Garamond"/>
                <w:sz w:val="16"/>
                <w:szCs w:val="16"/>
                <w:lang w:val="uz-Cyrl-UZ" w:eastAsia="en-US" w:bidi="ar-SA"/>
              </w:rPr>
              <w:t xml:space="preserve">Public debt is calculated on the basis of the balance of </w:t>
            </w:r>
            <w:r w:rsidR="00D15F76" w:rsidRPr="00ED2090">
              <w:rPr>
                <w:rFonts w:ascii="Garamond" w:eastAsia="Calibri" w:hAnsi="Garamond"/>
                <w:sz w:val="16"/>
                <w:szCs w:val="16"/>
                <w:lang w:val="en-GB" w:eastAsia="en-US" w:bidi="ar-SA"/>
              </w:rPr>
              <w:t>foreign</w:t>
            </w:r>
            <w:r w:rsidRPr="00ED2090">
              <w:rPr>
                <w:rFonts w:ascii="Garamond" w:eastAsia="Calibri" w:hAnsi="Garamond"/>
                <w:sz w:val="16"/>
                <w:szCs w:val="16"/>
                <w:lang w:val="uz-Cyrl-UZ" w:eastAsia="en-US" w:bidi="ar-SA"/>
              </w:rPr>
              <w:t xml:space="preserve"> debt, internal debt, debt of state-owned companies and debt of local self-government.</w:t>
            </w:r>
          </w:p>
          <w:p w:rsidR="00822436" w:rsidRPr="00ED2090" w:rsidRDefault="00822436" w:rsidP="00BF15E4">
            <w:pPr>
              <w:jc w:val="both"/>
              <w:rPr>
                <w:rFonts w:ascii="Garamond" w:eastAsia="Calibri" w:hAnsi="Garamond"/>
                <w:sz w:val="16"/>
                <w:szCs w:val="16"/>
                <w:u w:val="single"/>
                <w:lang w:val="uz-Cyrl-UZ" w:eastAsia="en-US" w:bidi="ar-SA"/>
              </w:rPr>
            </w:pPr>
            <w:r w:rsidRPr="00ED2090">
              <w:rPr>
                <w:rFonts w:ascii="Garamond" w:eastAsia="Calibri" w:hAnsi="Garamond"/>
                <w:sz w:val="16"/>
                <w:szCs w:val="16"/>
                <w:lang w:val="uz-Cyrl-UZ" w:eastAsia="en-US" w:bidi="ar-SA"/>
              </w:rPr>
              <w:t xml:space="preserve">Note: The </w:t>
            </w:r>
            <w:r w:rsidR="00BF15E4">
              <w:rPr>
                <w:rFonts w:ascii="Garamond" w:eastAsia="Calibri" w:hAnsi="Garamond"/>
                <w:sz w:val="16"/>
                <w:szCs w:val="16"/>
                <w:lang w:eastAsia="en-US" w:bidi="ar-SA"/>
              </w:rPr>
              <w:t>trend</w:t>
            </w:r>
            <w:r w:rsidRPr="00ED2090">
              <w:rPr>
                <w:rFonts w:ascii="Garamond" w:eastAsia="Calibri" w:hAnsi="Garamond"/>
                <w:sz w:val="16"/>
                <w:szCs w:val="16"/>
                <w:lang w:val="uz-Cyrl-UZ" w:eastAsia="en-US" w:bidi="ar-SA"/>
              </w:rPr>
              <w:t xml:space="preserve"> of this performan</w:t>
            </w:r>
            <w:r w:rsidR="00BF15E4">
              <w:rPr>
                <w:rFonts w:ascii="Garamond" w:eastAsia="Calibri" w:hAnsi="Garamond"/>
                <w:sz w:val="16"/>
                <w:szCs w:val="16"/>
                <w:lang w:val="uz-Cyrl-UZ" w:eastAsia="en-US" w:bidi="ar-SA"/>
              </w:rPr>
              <w:t xml:space="preserve">ce indicator is conditioned by </w:t>
            </w:r>
            <w:r w:rsidR="00BF15E4">
              <w:rPr>
                <w:rFonts w:ascii="Garamond" w:eastAsia="Calibri" w:hAnsi="Garamond"/>
                <w:sz w:val="16"/>
                <w:szCs w:val="16"/>
                <w:lang w:eastAsia="en-US" w:bidi="ar-SA"/>
              </w:rPr>
              <w:t>the</w:t>
            </w:r>
            <w:r w:rsidRPr="00ED2090">
              <w:rPr>
                <w:rFonts w:ascii="Garamond" w:eastAsia="Calibri" w:hAnsi="Garamond"/>
                <w:sz w:val="16"/>
                <w:szCs w:val="16"/>
                <w:lang w:val="uz-Cyrl-UZ" w:eastAsia="en-US" w:bidi="ar-SA"/>
              </w:rPr>
              <w:t xml:space="preserve"> number of factors that are largely beyond the control of the State Treasury Directorate, such as the need to finance the budget in a given year and other factors.</w:t>
            </w:r>
          </w:p>
        </w:tc>
      </w:tr>
      <w:tr w:rsidR="00822436" w:rsidRPr="00ED2090" w:rsidTr="00D15F76">
        <w:trPr>
          <w:gridAfter w:val="1"/>
          <w:wAfter w:w="19" w:type="dxa"/>
          <w:trHeight w:val="620"/>
          <w:jc w:val="center"/>
        </w:trPr>
        <w:tc>
          <w:tcPr>
            <w:tcW w:w="2721" w:type="dxa"/>
            <w:vMerge/>
            <w:shd w:val="clear" w:color="auto" w:fill="auto"/>
            <w:vAlign w:val="center"/>
          </w:tcPr>
          <w:p w:rsidR="00822436" w:rsidRPr="00ED2090" w:rsidRDefault="00822436"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822436" w:rsidRPr="00ED2090" w:rsidRDefault="00822436" w:rsidP="00D15F76">
            <w:pPr>
              <w:jc w:val="center"/>
              <w:rPr>
                <w:rFonts w:ascii="Garamond" w:hAnsi="Garamond"/>
                <w:color w:val="365F91" w:themeColor="accent1" w:themeShade="BF"/>
                <w:sz w:val="16"/>
                <w:szCs w:val="16"/>
                <w:lang w:val="uz-Cyrl-UZ"/>
              </w:rPr>
            </w:pPr>
            <w:r w:rsidRPr="00ED2090">
              <w:rPr>
                <w:rFonts w:ascii="Garamond" w:hAnsi="Garamond"/>
                <w:color w:val="365F91" w:themeColor="accent1" w:themeShade="BF"/>
                <w:sz w:val="16"/>
                <w:szCs w:val="16"/>
                <w:lang w:val="uz-Cyrl-UZ"/>
              </w:rPr>
              <w:t>FORMULA / EQUATION</w:t>
            </w:r>
          </w:p>
          <w:p w:rsidR="00822436" w:rsidRPr="00ED2090" w:rsidRDefault="00D15F76" w:rsidP="00D15F76">
            <w:pPr>
              <w:jc w:val="center"/>
              <w:rPr>
                <w:rFonts w:ascii="Garamond" w:eastAsia="Calibri" w:hAnsi="Garamond"/>
                <w:sz w:val="16"/>
                <w:szCs w:val="16"/>
                <w:lang w:val="en-GB" w:eastAsia="en-US" w:bidi="ar-SA"/>
              </w:rPr>
            </w:pPr>
            <w:r w:rsidRPr="00ED2090">
              <w:rPr>
                <w:rFonts w:ascii="Garamond" w:eastAsia="Calibri" w:hAnsi="Garamond"/>
                <w:sz w:val="16"/>
                <w:szCs w:val="16"/>
                <w:lang w:val="en-GB" w:eastAsia="en-US" w:bidi="ar-SA"/>
              </w:rPr>
              <w:t>Total debt amount / planned debt amount X 100</w:t>
            </w:r>
          </w:p>
        </w:tc>
      </w:tr>
      <w:tr w:rsidR="00822436" w:rsidRPr="00ED2090" w:rsidTr="00D15F76">
        <w:trPr>
          <w:gridAfter w:val="1"/>
          <w:wAfter w:w="19" w:type="dxa"/>
          <w:trHeight w:val="585"/>
          <w:jc w:val="center"/>
        </w:trPr>
        <w:tc>
          <w:tcPr>
            <w:tcW w:w="2721" w:type="dxa"/>
            <w:vAlign w:val="center"/>
          </w:tcPr>
          <w:p w:rsidR="00822436" w:rsidRPr="00ED2090" w:rsidRDefault="00822436" w:rsidP="00D15F76">
            <w:pPr>
              <w:autoSpaceDE/>
              <w:autoSpaceDN/>
              <w:rPr>
                <w:rFonts w:ascii="Garamond" w:eastAsia="Calibri" w:hAnsi="Garamond"/>
                <w:b/>
                <w:bCs/>
                <w:caps/>
                <w:sz w:val="16"/>
                <w:szCs w:val="16"/>
                <w:lang w:val="en-GB" w:eastAsia="en-US" w:bidi="ar-SA"/>
              </w:rPr>
            </w:pPr>
            <w:r w:rsidRPr="00ED2090">
              <w:rPr>
                <w:rFonts w:ascii="Garamond" w:eastAsia="Calibri" w:hAnsi="Garamond"/>
                <w:b/>
                <w:caps/>
                <w:sz w:val="16"/>
                <w:szCs w:val="16"/>
                <w:lang w:val="uz-Cyrl-UZ" w:eastAsia="en-US" w:bidi="ar-SA"/>
              </w:rPr>
              <w:t>BASELINE</w:t>
            </w:r>
            <w:r w:rsidRPr="00ED2090">
              <w:rPr>
                <w:rFonts w:ascii="Garamond" w:eastAsia="Calibri" w:hAnsi="Garamond"/>
                <w:b/>
                <w:caps/>
                <w:sz w:val="16"/>
                <w:szCs w:val="16"/>
                <w:lang w:val="en-GB" w:eastAsia="en-US" w:bidi="ar-SA"/>
              </w:rPr>
              <w:t xml:space="preserve"> DATA</w:t>
            </w:r>
          </w:p>
        </w:tc>
        <w:tc>
          <w:tcPr>
            <w:tcW w:w="6836" w:type="dxa"/>
            <w:gridSpan w:val="4"/>
            <w:vAlign w:val="center"/>
          </w:tcPr>
          <w:p w:rsidR="00822436" w:rsidRPr="00ED2090" w:rsidRDefault="00822436" w:rsidP="00D15F76">
            <w:pPr>
              <w:pStyle w:val="TabelaTekst"/>
              <w:spacing w:before="0" w:after="0" w:line="240" w:lineRule="auto"/>
              <w:rPr>
                <w:rFonts w:ascii="Garamond" w:hAnsi="Garamond"/>
                <w:sz w:val="16"/>
                <w:szCs w:val="16"/>
                <w:lang w:val="en-GB"/>
              </w:rPr>
            </w:pPr>
            <w:r w:rsidRPr="00ED2090">
              <w:rPr>
                <w:rFonts w:ascii="Garamond" w:hAnsi="Garamond"/>
                <w:sz w:val="16"/>
                <w:szCs w:val="16"/>
              </w:rPr>
              <w:t>PV (2014</w:t>
            </w:r>
            <w:r w:rsidRPr="00ED2090">
              <w:rPr>
                <w:rFonts w:ascii="Garamond" w:hAnsi="Garamond"/>
                <w:sz w:val="16"/>
                <w:szCs w:val="16"/>
                <w:lang w:val="en-GB"/>
              </w:rPr>
              <w:t xml:space="preserve">): </w:t>
            </w:r>
            <w:r w:rsidR="00D15F76" w:rsidRPr="00ED2090">
              <w:rPr>
                <w:rFonts w:ascii="Garamond" w:hAnsi="Garamond"/>
                <w:sz w:val="16"/>
                <w:szCs w:val="16"/>
                <w:lang w:val="en-GB"/>
              </w:rPr>
              <w:t>1.5</w:t>
            </w:r>
            <w:r w:rsidRPr="00ED2090">
              <w:rPr>
                <w:rFonts w:ascii="Garamond" w:hAnsi="Garamond"/>
                <w:sz w:val="16"/>
                <w:szCs w:val="16"/>
                <w:lang w:val="en-GB"/>
              </w:rPr>
              <w:t>%</w:t>
            </w:r>
          </w:p>
        </w:tc>
      </w:tr>
      <w:tr w:rsidR="00822436" w:rsidRPr="00ED2090" w:rsidTr="00D15F76">
        <w:trPr>
          <w:gridAfter w:val="1"/>
          <w:wAfter w:w="19" w:type="dxa"/>
          <w:trHeight w:val="160"/>
          <w:jc w:val="center"/>
        </w:trPr>
        <w:tc>
          <w:tcPr>
            <w:tcW w:w="2721" w:type="dxa"/>
            <w:vMerge w:val="restart"/>
            <w:vAlign w:val="center"/>
          </w:tcPr>
          <w:p w:rsidR="00822436" w:rsidRPr="00ED2090" w:rsidRDefault="00822436" w:rsidP="00D15F76">
            <w:pPr>
              <w:autoSpaceDE/>
              <w:autoSpaceDN/>
              <w:rPr>
                <w:rFonts w:ascii="Garamond" w:eastAsia="Calibri" w:hAnsi="Garamond"/>
                <w:b/>
                <w:bCs/>
                <w:caps/>
                <w:sz w:val="16"/>
                <w:szCs w:val="16"/>
                <w:lang w:val="uz-Cyrl-UZ" w:eastAsia="en-US" w:bidi="ar-SA"/>
              </w:rPr>
            </w:pPr>
            <w:r w:rsidRPr="00ED2090">
              <w:rPr>
                <w:rFonts w:ascii="Garamond" w:eastAsia="Calibri" w:hAnsi="Garamond"/>
                <w:b/>
                <w:caps/>
                <w:sz w:val="16"/>
                <w:szCs w:val="16"/>
                <w:lang w:val="uz-Cyrl-UZ" w:eastAsia="en-US" w:bidi="ar-SA"/>
              </w:rPr>
              <w:t>TARGET VALUE DATA</w:t>
            </w:r>
          </w:p>
        </w:tc>
        <w:tc>
          <w:tcPr>
            <w:tcW w:w="1771" w:type="dxa"/>
            <w:vAlign w:val="center"/>
          </w:tcPr>
          <w:p w:rsidR="00822436" w:rsidRPr="00ED2090" w:rsidRDefault="00822436" w:rsidP="00D15F76">
            <w:pPr>
              <w:autoSpaceDE/>
              <w:autoSpaceDN/>
              <w:jc w:val="center"/>
              <w:rPr>
                <w:rFonts w:ascii="Garamond" w:eastAsia="Calibri" w:hAnsi="Garamond"/>
                <w:sz w:val="16"/>
                <w:szCs w:val="16"/>
                <w:lang w:val="uz-Cyrl-UZ" w:eastAsia="en-US" w:bidi="ar-SA"/>
              </w:rPr>
            </w:pPr>
            <w:r w:rsidRPr="00ED2090">
              <w:rPr>
                <w:rFonts w:ascii="Garamond" w:eastAsia="Calibri" w:hAnsi="Garamond"/>
                <w:sz w:val="16"/>
                <w:szCs w:val="16"/>
                <w:lang w:val="uz-Cyrl-UZ" w:eastAsia="en-US" w:bidi="ar-SA"/>
              </w:rPr>
              <w:t>2017</w:t>
            </w:r>
          </w:p>
        </w:tc>
        <w:tc>
          <w:tcPr>
            <w:tcW w:w="1771" w:type="dxa"/>
            <w:vAlign w:val="center"/>
          </w:tcPr>
          <w:p w:rsidR="00822436" w:rsidRPr="00ED2090" w:rsidRDefault="00822436" w:rsidP="00D15F76">
            <w:pPr>
              <w:autoSpaceDE/>
              <w:autoSpaceDN/>
              <w:jc w:val="center"/>
              <w:rPr>
                <w:rFonts w:ascii="Garamond" w:eastAsia="Calibri" w:hAnsi="Garamond"/>
                <w:sz w:val="16"/>
                <w:szCs w:val="16"/>
                <w:lang w:val="uz-Cyrl-UZ" w:eastAsia="en-US" w:bidi="ar-SA"/>
              </w:rPr>
            </w:pPr>
            <w:r w:rsidRPr="00ED2090">
              <w:rPr>
                <w:rFonts w:ascii="Garamond" w:eastAsia="Calibri" w:hAnsi="Garamond"/>
                <w:sz w:val="16"/>
                <w:szCs w:val="16"/>
                <w:lang w:val="uz-Cyrl-UZ" w:eastAsia="en-US" w:bidi="ar-SA"/>
              </w:rPr>
              <w:t>2018</w:t>
            </w:r>
          </w:p>
        </w:tc>
        <w:tc>
          <w:tcPr>
            <w:tcW w:w="1771" w:type="dxa"/>
            <w:vAlign w:val="center"/>
          </w:tcPr>
          <w:p w:rsidR="00822436" w:rsidRPr="00ED2090" w:rsidRDefault="00822436" w:rsidP="00D15F76">
            <w:pPr>
              <w:autoSpaceDE/>
              <w:autoSpaceDN/>
              <w:jc w:val="center"/>
              <w:rPr>
                <w:rFonts w:ascii="Garamond" w:eastAsia="Calibri" w:hAnsi="Garamond"/>
                <w:sz w:val="16"/>
                <w:szCs w:val="16"/>
                <w:lang w:val="uz-Cyrl-UZ" w:eastAsia="en-US" w:bidi="ar-SA"/>
              </w:rPr>
            </w:pPr>
            <w:r w:rsidRPr="00ED2090">
              <w:rPr>
                <w:rFonts w:ascii="Garamond" w:eastAsia="Calibri" w:hAnsi="Garamond"/>
                <w:sz w:val="16"/>
                <w:szCs w:val="16"/>
                <w:lang w:val="uz-Cyrl-UZ" w:eastAsia="en-US" w:bidi="ar-SA"/>
              </w:rPr>
              <w:t>2019</w:t>
            </w:r>
          </w:p>
        </w:tc>
        <w:tc>
          <w:tcPr>
            <w:tcW w:w="1523" w:type="dxa"/>
            <w:vAlign w:val="center"/>
          </w:tcPr>
          <w:p w:rsidR="00822436" w:rsidRPr="00ED2090" w:rsidRDefault="00822436" w:rsidP="00D15F76">
            <w:pPr>
              <w:autoSpaceDE/>
              <w:autoSpaceDN/>
              <w:jc w:val="center"/>
              <w:rPr>
                <w:rFonts w:ascii="Garamond" w:eastAsia="Calibri" w:hAnsi="Garamond"/>
                <w:sz w:val="16"/>
                <w:szCs w:val="16"/>
                <w:lang w:val="uz-Cyrl-UZ" w:eastAsia="en-US" w:bidi="ar-SA"/>
              </w:rPr>
            </w:pPr>
            <w:r w:rsidRPr="00ED2090">
              <w:rPr>
                <w:rFonts w:ascii="Garamond" w:eastAsia="Calibri" w:hAnsi="Garamond"/>
                <w:sz w:val="16"/>
                <w:szCs w:val="16"/>
                <w:lang w:val="uz-Cyrl-UZ" w:eastAsia="en-US" w:bidi="ar-SA"/>
              </w:rPr>
              <w:t>2020</w:t>
            </w:r>
          </w:p>
        </w:tc>
      </w:tr>
      <w:tr w:rsidR="00822436" w:rsidRPr="00ED2090" w:rsidTr="00D15F76">
        <w:trPr>
          <w:gridAfter w:val="1"/>
          <w:wAfter w:w="19" w:type="dxa"/>
          <w:trHeight w:val="160"/>
          <w:jc w:val="center"/>
        </w:trPr>
        <w:tc>
          <w:tcPr>
            <w:tcW w:w="2721" w:type="dxa"/>
            <w:vMerge/>
            <w:vAlign w:val="center"/>
          </w:tcPr>
          <w:p w:rsidR="00822436" w:rsidRPr="00ED2090" w:rsidRDefault="00822436" w:rsidP="00D15F76">
            <w:pPr>
              <w:autoSpaceDE/>
              <w:autoSpaceDN/>
              <w:rPr>
                <w:rFonts w:ascii="Garamond" w:eastAsia="Calibri" w:hAnsi="Garamond"/>
                <w:b/>
                <w:bCs/>
                <w:caps/>
                <w:sz w:val="16"/>
                <w:szCs w:val="16"/>
                <w:lang w:val="uz-Cyrl-UZ" w:eastAsia="en-US" w:bidi="ar-SA"/>
              </w:rPr>
            </w:pPr>
          </w:p>
        </w:tc>
        <w:tc>
          <w:tcPr>
            <w:tcW w:w="1771" w:type="dxa"/>
            <w:vAlign w:val="center"/>
          </w:tcPr>
          <w:p w:rsidR="00822436" w:rsidRPr="00ED2090" w:rsidRDefault="00D15F76" w:rsidP="00D15F76">
            <w:pPr>
              <w:pStyle w:val="TabelaTekst"/>
              <w:spacing w:before="0" w:after="0" w:line="240" w:lineRule="auto"/>
              <w:jc w:val="center"/>
              <w:rPr>
                <w:rFonts w:ascii="Garamond" w:hAnsi="Garamond"/>
                <w:sz w:val="16"/>
                <w:szCs w:val="16"/>
              </w:rPr>
            </w:pPr>
            <w:r w:rsidRPr="00ED2090">
              <w:rPr>
                <w:rFonts w:ascii="Garamond" w:hAnsi="Garamond"/>
                <w:sz w:val="16"/>
                <w:szCs w:val="16"/>
                <w:lang w:val="en-GB"/>
              </w:rPr>
              <w:t>1.5%</w:t>
            </w:r>
          </w:p>
        </w:tc>
        <w:tc>
          <w:tcPr>
            <w:tcW w:w="1771" w:type="dxa"/>
            <w:vAlign w:val="center"/>
          </w:tcPr>
          <w:p w:rsidR="00822436" w:rsidRPr="00ED2090" w:rsidRDefault="00D15F76" w:rsidP="00D15F76">
            <w:pPr>
              <w:pStyle w:val="TabelaTekst"/>
              <w:spacing w:before="0" w:after="0" w:line="240" w:lineRule="auto"/>
              <w:jc w:val="center"/>
              <w:rPr>
                <w:rFonts w:ascii="Garamond" w:hAnsi="Garamond"/>
                <w:sz w:val="16"/>
                <w:szCs w:val="16"/>
              </w:rPr>
            </w:pPr>
            <w:r w:rsidRPr="00ED2090">
              <w:rPr>
                <w:rFonts w:ascii="Garamond" w:hAnsi="Garamond"/>
                <w:sz w:val="16"/>
                <w:szCs w:val="16"/>
                <w:lang w:val="en-GB"/>
              </w:rPr>
              <w:t>1.5%</w:t>
            </w:r>
          </w:p>
        </w:tc>
        <w:tc>
          <w:tcPr>
            <w:tcW w:w="1771" w:type="dxa"/>
            <w:vAlign w:val="center"/>
          </w:tcPr>
          <w:p w:rsidR="00822436" w:rsidRPr="00ED2090" w:rsidRDefault="00D15F76" w:rsidP="00D15F76">
            <w:pPr>
              <w:pStyle w:val="TabelaTekst"/>
              <w:spacing w:before="0" w:after="0" w:line="240" w:lineRule="auto"/>
              <w:jc w:val="center"/>
              <w:rPr>
                <w:rFonts w:ascii="Garamond" w:hAnsi="Garamond"/>
                <w:sz w:val="16"/>
                <w:szCs w:val="16"/>
              </w:rPr>
            </w:pPr>
            <w:r w:rsidRPr="00ED2090">
              <w:rPr>
                <w:rFonts w:ascii="Garamond" w:hAnsi="Garamond"/>
                <w:sz w:val="16"/>
                <w:szCs w:val="16"/>
                <w:lang w:val="en-GB"/>
              </w:rPr>
              <w:t>1.5%</w:t>
            </w:r>
          </w:p>
        </w:tc>
        <w:tc>
          <w:tcPr>
            <w:tcW w:w="1523" w:type="dxa"/>
            <w:vAlign w:val="center"/>
          </w:tcPr>
          <w:p w:rsidR="00822436" w:rsidRPr="00ED2090" w:rsidRDefault="00D15F76" w:rsidP="00D15F76">
            <w:pPr>
              <w:pStyle w:val="TabelaTekst"/>
              <w:spacing w:before="0" w:after="0" w:line="240" w:lineRule="auto"/>
              <w:jc w:val="center"/>
              <w:rPr>
                <w:rFonts w:ascii="Garamond" w:hAnsi="Garamond"/>
                <w:sz w:val="16"/>
                <w:szCs w:val="16"/>
              </w:rPr>
            </w:pPr>
            <w:r w:rsidRPr="00ED2090">
              <w:rPr>
                <w:rFonts w:ascii="Garamond" w:hAnsi="Garamond"/>
                <w:sz w:val="16"/>
                <w:szCs w:val="16"/>
                <w:lang w:val="en-GB"/>
              </w:rPr>
              <w:t>1.5%</w:t>
            </w:r>
          </w:p>
        </w:tc>
      </w:tr>
      <w:tr w:rsidR="00822436" w:rsidRPr="00ED2090" w:rsidTr="00D15F76">
        <w:trPr>
          <w:gridAfter w:val="1"/>
          <w:wAfter w:w="19" w:type="dxa"/>
          <w:trHeight w:val="160"/>
          <w:jc w:val="center"/>
        </w:trPr>
        <w:tc>
          <w:tcPr>
            <w:tcW w:w="2721" w:type="dxa"/>
            <w:vAlign w:val="center"/>
          </w:tcPr>
          <w:p w:rsidR="00822436" w:rsidRPr="00ED2090" w:rsidRDefault="0062456A" w:rsidP="00D15F76">
            <w:pPr>
              <w:autoSpaceDE/>
              <w:autoSpaceDN/>
              <w:rPr>
                <w:rFonts w:ascii="Garamond" w:eastAsia="Calibri" w:hAnsi="Garamond"/>
                <w:b/>
                <w:bCs/>
                <w:caps/>
                <w:sz w:val="16"/>
                <w:szCs w:val="16"/>
                <w:lang w:val="uz-Cyrl-UZ" w:eastAsia="en-US" w:bidi="ar-SA"/>
              </w:rPr>
            </w:pPr>
            <w:r w:rsidRPr="00ED2090">
              <w:rPr>
                <w:rFonts w:ascii="Garamond" w:eastAsia="Calibri" w:hAnsi="Garamond"/>
                <w:b/>
                <w:bCs/>
                <w:caps/>
                <w:sz w:val="16"/>
                <w:szCs w:val="16"/>
                <w:lang w:val="uz-Cyrl-UZ" w:eastAsia="en-US" w:bidi="ar-SA"/>
              </w:rPr>
              <w:t>DATA ON VALUES ACHIEVED</w:t>
            </w:r>
          </w:p>
        </w:tc>
        <w:tc>
          <w:tcPr>
            <w:tcW w:w="1771" w:type="dxa"/>
            <w:vAlign w:val="center"/>
          </w:tcPr>
          <w:p w:rsidR="00822436" w:rsidRPr="00ED2090" w:rsidRDefault="00D15F76" w:rsidP="00D15F76">
            <w:pPr>
              <w:pStyle w:val="TabelaTekst"/>
              <w:spacing w:before="0" w:after="0" w:line="240" w:lineRule="auto"/>
              <w:jc w:val="center"/>
              <w:rPr>
                <w:rFonts w:ascii="Garamond" w:hAnsi="Garamond"/>
                <w:sz w:val="16"/>
                <w:szCs w:val="16"/>
              </w:rPr>
            </w:pPr>
            <w:r w:rsidRPr="00ED2090">
              <w:rPr>
                <w:rFonts w:ascii="Garamond" w:hAnsi="Garamond"/>
                <w:bCs/>
                <w:sz w:val="16"/>
                <w:szCs w:val="16"/>
              </w:rPr>
              <w:t>Public debt is 3.2% lower than planned</w:t>
            </w:r>
          </w:p>
        </w:tc>
        <w:tc>
          <w:tcPr>
            <w:tcW w:w="1771" w:type="dxa"/>
            <w:vAlign w:val="center"/>
          </w:tcPr>
          <w:p w:rsidR="00822436" w:rsidRPr="00ED2090" w:rsidRDefault="00D15F76" w:rsidP="00D15F76">
            <w:pPr>
              <w:pStyle w:val="TabelaTekst"/>
              <w:spacing w:before="0" w:after="0" w:line="240" w:lineRule="auto"/>
              <w:jc w:val="center"/>
              <w:rPr>
                <w:rFonts w:ascii="Garamond" w:hAnsi="Garamond"/>
                <w:sz w:val="16"/>
                <w:szCs w:val="16"/>
              </w:rPr>
            </w:pPr>
            <w:r w:rsidRPr="00ED2090">
              <w:rPr>
                <w:rFonts w:ascii="Garamond" w:hAnsi="Garamond"/>
                <w:sz w:val="16"/>
                <w:szCs w:val="16"/>
              </w:rPr>
              <w:t>Public debt is 3.</w:t>
            </w:r>
            <w:r w:rsidRPr="00ED2090">
              <w:rPr>
                <w:rFonts w:ascii="Garamond" w:hAnsi="Garamond"/>
                <w:sz w:val="16"/>
                <w:szCs w:val="16"/>
                <w:lang w:val="en-GB"/>
              </w:rPr>
              <w:t xml:space="preserve">07% higher </w:t>
            </w:r>
            <w:r w:rsidRPr="00ED2090">
              <w:rPr>
                <w:rFonts w:ascii="Garamond" w:hAnsi="Garamond"/>
                <w:sz w:val="16"/>
                <w:szCs w:val="16"/>
              </w:rPr>
              <w:t>han planned</w:t>
            </w:r>
          </w:p>
        </w:tc>
        <w:tc>
          <w:tcPr>
            <w:tcW w:w="1771" w:type="dxa"/>
            <w:vAlign w:val="center"/>
          </w:tcPr>
          <w:p w:rsidR="00822436" w:rsidRPr="00ED2090" w:rsidRDefault="00FF2126" w:rsidP="00D15F76">
            <w:pPr>
              <w:pStyle w:val="TabelaTekst"/>
              <w:spacing w:before="0" w:after="0" w:line="240" w:lineRule="auto"/>
              <w:jc w:val="center"/>
              <w:rPr>
                <w:rFonts w:ascii="Garamond" w:hAnsi="Garamond"/>
                <w:sz w:val="16"/>
                <w:szCs w:val="16"/>
              </w:rPr>
            </w:pPr>
            <w:r w:rsidRPr="00ED2090">
              <w:rPr>
                <w:rFonts w:ascii="Garamond" w:hAnsi="Garamond" w:cs="Calibri"/>
                <w:noProof/>
                <w:sz w:val="16"/>
                <w:szCs w:val="16"/>
                <w:lang w:val="en-GB" w:eastAsia="en-GB"/>
              </w:rPr>
              <w:t>Realis</w:t>
            </w:r>
            <w:r w:rsidR="00D15F76" w:rsidRPr="00ED2090">
              <w:rPr>
                <w:rFonts w:ascii="Garamond" w:hAnsi="Garamond" w:cs="Calibri"/>
                <w:noProof/>
                <w:sz w:val="16"/>
                <w:szCs w:val="16"/>
                <w:lang w:val="en-GB" w:eastAsia="en-GB"/>
              </w:rPr>
              <w:t>ed difference in gross public debt 16.6%</w:t>
            </w:r>
          </w:p>
        </w:tc>
        <w:tc>
          <w:tcPr>
            <w:tcW w:w="1523" w:type="dxa"/>
            <w:vAlign w:val="center"/>
          </w:tcPr>
          <w:p w:rsidR="00822436" w:rsidRPr="00ED2090" w:rsidRDefault="00FF2126" w:rsidP="00D15F76">
            <w:pPr>
              <w:pStyle w:val="TabelaTekst"/>
              <w:spacing w:before="0" w:after="0" w:line="240" w:lineRule="auto"/>
              <w:jc w:val="center"/>
              <w:rPr>
                <w:rFonts w:ascii="Garamond" w:hAnsi="Garamond"/>
                <w:sz w:val="16"/>
                <w:szCs w:val="16"/>
              </w:rPr>
            </w:pPr>
            <w:r w:rsidRPr="00ED2090">
              <w:rPr>
                <w:rFonts w:ascii="Garamond" w:hAnsi="Garamond"/>
                <w:sz w:val="16"/>
                <w:szCs w:val="16"/>
              </w:rPr>
              <w:t>Reali</w:t>
            </w:r>
            <w:r w:rsidRPr="00ED2090">
              <w:rPr>
                <w:rFonts w:ascii="Garamond" w:hAnsi="Garamond"/>
                <w:sz w:val="16"/>
                <w:szCs w:val="16"/>
                <w:lang w:val="en-GB"/>
              </w:rPr>
              <w:t>s</w:t>
            </w:r>
            <w:r w:rsidR="00D15F76" w:rsidRPr="00ED2090">
              <w:rPr>
                <w:rFonts w:ascii="Garamond" w:hAnsi="Garamond"/>
                <w:sz w:val="16"/>
                <w:szCs w:val="16"/>
              </w:rPr>
              <w:t>ed difference in gross public debt 16%</w:t>
            </w:r>
            <w:r w:rsidR="00D15F76" w:rsidRPr="00ED2090">
              <w:rPr>
                <w:rStyle w:val="FootnoteReference"/>
                <w:rFonts w:ascii="Garamond" w:hAnsi="Garamond"/>
                <w:sz w:val="16"/>
                <w:szCs w:val="16"/>
              </w:rPr>
              <w:footnoteReference w:id="71"/>
            </w:r>
          </w:p>
        </w:tc>
      </w:tr>
    </w:tbl>
    <w:p w:rsidR="00822436" w:rsidRDefault="00822436" w:rsidP="004D1343">
      <w:pPr>
        <w:rPr>
          <w:rFonts w:ascii="Garamond" w:hAnsi="Garamond"/>
          <w:sz w:val="24"/>
          <w:szCs w:val="24"/>
        </w:rPr>
      </w:pPr>
    </w:p>
    <w:p w:rsidR="004D1343" w:rsidRPr="00C32887" w:rsidRDefault="00D15F76" w:rsidP="00D15F76">
      <w:pPr>
        <w:pStyle w:val="Heading1"/>
        <w:rPr>
          <w:rFonts w:ascii="Garamond" w:hAnsi="Garamond"/>
          <w:sz w:val="24"/>
          <w:szCs w:val="24"/>
        </w:rPr>
      </w:pPr>
      <w:bookmarkStart w:id="69" w:name="_Toc77688246"/>
      <w:r>
        <w:rPr>
          <w:rFonts w:ascii="Garamond" w:hAnsi="Garamond"/>
          <w:sz w:val="24"/>
          <w:szCs w:val="24"/>
        </w:rPr>
        <w:t>3.</w:t>
      </w:r>
      <w:r w:rsidR="004D1343" w:rsidRPr="00C32887">
        <w:rPr>
          <w:rFonts w:ascii="Garamond" w:hAnsi="Garamond"/>
          <w:sz w:val="24"/>
          <w:szCs w:val="24"/>
        </w:rPr>
        <w:t xml:space="preserve">    </w:t>
      </w:r>
      <w:r w:rsidR="003A313E">
        <w:rPr>
          <w:rFonts w:ascii="Garamond" w:hAnsi="Garamond"/>
          <w:sz w:val="24"/>
          <w:szCs w:val="24"/>
        </w:rPr>
        <w:t xml:space="preserve">Public </w:t>
      </w:r>
      <w:r w:rsidR="003A313E" w:rsidRPr="00C32887">
        <w:rPr>
          <w:rFonts w:ascii="Garamond" w:hAnsi="Garamond"/>
          <w:sz w:val="24"/>
          <w:szCs w:val="24"/>
        </w:rPr>
        <w:t>Internal Financial Control Development</w:t>
      </w:r>
      <w:bookmarkEnd w:id="69"/>
    </w:p>
    <w:p w:rsidR="004D1343" w:rsidRPr="00C32887" w:rsidRDefault="004D1343" w:rsidP="004D1343">
      <w:pPr>
        <w:rPr>
          <w:rFonts w:ascii="Garamond" w:hAnsi="Garamond"/>
          <w:sz w:val="24"/>
          <w:szCs w:val="24"/>
        </w:rPr>
      </w:pPr>
    </w:p>
    <w:p w:rsidR="004D1343" w:rsidRPr="00C32887" w:rsidRDefault="004D1343" w:rsidP="00D15F76">
      <w:pPr>
        <w:pStyle w:val="Heading2"/>
        <w:rPr>
          <w:rFonts w:ascii="Garamond" w:hAnsi="Garamond"/>
          <w:sz w:val="24"/>
          <w:szCs w:val="24"/>
        </w:rPr>
      </w:pPr>
      <w:bookmarkStart w:id="70" w:name="_Toc77688247"/>
      <w:r w:rsidRPr="00C32887">
        <w:rPr>
          <w:rFonts w:ascii="Garamond" w:hAnsi="Garamond"/>
          <w:sz w:val="24"/>
          <w:szCs w:val="24"/>
        </w:rPr>
        <w:t xml:space="preserve">3.1     Managing public finances in an efficient, economical, effective and transparent way </w:t>
      </w:r>
      <w:r w:rsidR="003A313E">
        <w:rPr>
          <w:rFonts w:ascii="Garamond" w:hAnsi="Garamond"/>
          <w:sz w:val="24"/>
          <w:szCs w:val="24"/>
        </w:rPr>
        <w:t>by</w:t>
      </w:r>
      <w:r w:rsidRPr="00C32887">
        <w:rPr>
          <w:rFonts w:ascii="Garamond" w:hAnsi="Garamond"/>
          <w:sz w:val="24"/>
          <w:szCs w:val="24"/>
        </w:rPr>
        <w:t xml:space="preserve"> all spending units</w:t>
      </w:r>
      <w:bookmarkEnd w:id="70"/>
    </w:p>
    <w:p w:rsidR="004D1343" w:rsidRPr="00C32887" w:rsidRDefault="004D1343" w:rsidP="004D1343">
      <w:pPr>
        <w:rPr>
          <w:rFonts w:ascii="Garamond" w:hAnsi="Garamond"/>
          <w:sz w:val="24"/>
          <w:szCs w:val="24"/>
        </w:rPr>
      </w:pPr>
    </w:p>
    <w:p w:rsidR="004D1343" w:rsidRDefault="004D1343" w:rsidP="00D15F76">
      <w:pPr>
        <w:pStyle w:val="Heading3"/>
        <w:rPr>
          <w:rFonts w:ascii="Garamond" w:hAnsi="Garamond"/>
          <w:sz w:val="24"/>
          <w:szCs w:val="24"/>
        </w:rPr>
      </w:pPr>
      <w:bookmarkStart w:id="71" w:name="_Toc77688248"/>
      <w:r w:rsidRPr="00C32887">
        <w:rPr>
          <w:rFonts w:ascii="Garamond" w:hAnsi="Garamond"/>
          <w:sz w:val="24"/>
          <w:szCs w:val="24"/>
        </w:rPr>
        <w:t xml:space="preserve">3.1.1      </w:t>
      </w:r>
      <w:r w:rsidR="00D15F76">
        <w:rPr>
          <w:rFonts w:ascii="Garamond" w:hAnsi="Garamond"/>
          <w:sz w:val="24"/>
          <w:szCs w:val="24"/>
        </w:rPr>
        <w:t>PERFORMANCE INDICATOR 26</w:t>
      </w:r>
      <w:r w:rsidR="00D15F76" w:rsidRPr="00D15F76">
        <w:rPr>
          <w:rFonts w:ascii="Garamond" w:hAnsi="Garamond"/>
          <w:sz w:val="24"/>
          <w:szCs w:val="24"/>
        </w:rPr>
        <w:t xml:space="preserve"> </w:t>
      </w:r>
      <w:r w:rsidR="00D15F76" w:rsidRPr="00C32887">
        <w:rPr>
          <w:rFonts w:ascii="Garamond" w:hAnsi="Garamond"/>
          <w:sz w:val="24"/>
          <w:szCs w:val="24"/>
        </w:rPr>
        <w:t>PASSPORT</w:t>
      </w:r>
      <w:bookmarkEnd w:id="71"/>
    </w:p>
    <w:p w:rsidR="006225A7" w:rsidRPr="006225A7" w:rsidRDefault="006225A7" w:rsidP="006225A7"/>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D15F76" w:rsidRPr="008D6CCA" w:rsidTr="00D15F76">
        <w:trPr>
          <w:jc w:val="center"/>
        </w:trPr>
        <w:tc>
          <w:tcPr>
            <w:tcW w:w="2721" w:type="dxa"/>
            <w:tcBorders>
              <w:right w:val="single" w:sz="4" w:space="0" w:color="FFFFFF"/>
            </w:tcBorders>
            <w:shd w:val="clear" w:color="auto" w:fill="BFBFBF"/>
            <w:vAlign w:val="center"/>
          </w:tcPr>
          <w:p w:rsidR="00D15F76" w:rsidRPr="008D6CCA" w:rsidRDefault="00D15F76" w:rsidP="00D15F76">
            <w:pPr>
              <w:autoSpaceDE/>
              <w:autoSpaceDN/>
              <w:rPr>
                <w:rFonts w:ascii="Garamond" w:eastAsia="Calibri" w:hAnsi="Garamond"/>
                <w:b/>
                <w:caps/>
                <w:sz w:val="16"/>
                <w:szCs w:val="16"/>
                <w:lang w:val="en-GB" w:eastAsia="en-US" w:bidi="ar-SA"/>
              </w:rPr>
            </w:pPr>
            <w:r w:rsidRPr="008D6CCA">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D15F76" w:rsidRPr="008D6CCA" w:rsidRDefault="00D15F76" w:rsidP="00D15F76">
            <w:pPr>
              <w:pStyle w:val="Default"/>
              <w:jc w:val="both"/>
              <w:rPr>
                <w:rFonts w:ascii="Garamond" w:hAnsi="Garamond"/>
                <w:sz w:val="16"/>
                <w:szCs w:val="16"/>
              </w:rPr>
            </w:pPr>
            <w:r w:rsidRPr="008D6CCA">
              <w:rPr>
                <w:rFonts w:ascii="Garamond" w:hAnsi="Garamond"/>
                <w:sz w:val="16"/>
                <w:szCs w:val="16"/>
              </w:rPr>
              <w:t xml:space="preserve">The percentage of ministries that formally delegated decision-making responsibilities and authorities to the line managers </w:t>
            </w:r>
          </w:p>
          <w:p w:rsidR="00D15F76" w:rsidRPr="008D6CCA" w:rsidRDefault="00D15F76" w:rsidP="00D15F76">
            <w:pPr>
              <w:pStyle w:val="Default"/>
              <w:jc w:val="both"/>
              <w:rPr>
                <w:rFonts w:ascii="Garamond" w:eastAsia="Calibri" w:hAnsi="Garamond"/>
                <w:b/>
                <w:sz w:val="16"/>
                <w:szCs w:val="16"/>
                <w:lang w:eastAsia="en-US"/>
              </w:rPr>
            </w:pPr>
          </w:p>
        </w:tc>
      </w:tr>
      <w:tr w:rsidR="00D15F76" w:rsidRPr="008D6CCA" w:rsidTr="00D15F76">
        <w:trPr>
          <w:gridAfter w:val="1"/>
          <w:wAfter w:w="19" w:type="dxa"/>
          <w:jc w:val="center"/>
        </w:trPr>
        <w:tc>
          <w:tcPr>
            <w:tcW w:w="2721" w:type="dxa"/>
            <w:vAlign w:val="center"/>
          </w:tcPr>
          <w:p w:rsidR="00D15F76" w:rsidRPr="008D6CCA" w:rsidRDefault="00D15F76" w:rsidP="006225A7">
            <w:pPr>
              <w:rPr>
                <w:rFonts w:ascii="Garamond" w:eastAsia="Calibri" w:hAnsi="Garamond"/>
                <w:b/>
                <w:caps/>
                <w:sz w:val="16"/>
                <w:szCs w:val="16"/>
                <w:lang w:val="en-GB" w:eastAsia="en-US" w:bidi="ar-SA"/>
              </w:rPr>
            </w:pPr>
            <w:r w:rsidRPr="008D6CCA">
              <w:rPr>
                <w:rFonts w:ascii="Garamond" w:eastAsia="Calibri" w:hAnsi="Garamond"/>
                <w:b/>
                <w:caps/>
                <w:sz w:val="16"/>
                <w:szCs w:val="16"/>
                <w:lang w:val="en-GB" w:eastAsia="en-US" w:bidi="ar-SA"/>
              </w:rPr>
              <w:t>corresponding objective or activity</w:t>
            </w:r>
          </w:p>
        </w:tc>
        <w:tc>
          <w:tcPr>
            <w:tcW w:w="6836" w:type="dxa"/>
            <w:gridSpan w:val="4"/>
            <w:vAlign w:val="center"/>
          </w:tcPr>
          <w:p w:rsidR="003A313E" w:rsidRPr="008D6CCA" w:rsidRDefault="003A313E" w:rsidP="006225A7">
            <w:pPr>
              <w:rPr>
                <w:rFonts w:ascii="Garamond" w:hAnsi="Garamond"/>
                <w:color w:val="365F91" w:themeColor="accent1" w:themeShade="BF"/>
                <w:sz w:val="16"/>
                <w:szCs w:val="16"/>
              </w:rPr>
            </w:pPr>
            <w:r w:rsidRPr="008D6CCA">
              <w:rPr>
                <w:rFonts w:ascii="Garamond" w:hAnsi="Garamond"/>
                <w:color w:val="365F91" w:themeColor="accent1" w:themeShade="BF"/>
                <w:sz w:val="16"/>
                <w:szCs w:val="16"/>
              </w:rPr>
              <w:t>Public Internal Financial Control Development</w:t>
            </w:r>
          </w:p>
          <w:p w:rsidR="00D15F76" w:rsidRPr="008D6CCA" w:rsidRDefault="003A313E" w:rsidP="006225A7">
            <w:pPr>
              <w:pStyle w:val="ListParagraph"/>
              <w:numPr>
                <w:ilvl w:val="0"/>
                <w:numId w:val="28"/>
              </w:numPr>
              <w:rPr>
                <w:rFonts w:ascii="Garamond" w:eastAsia="Calibri" w:hAnsi="Garamond"/>
                <w:color w:val="365F91" w:themeColor="accent1" w:themeShade="BF"/>
                <w:sz w:val="16"/>
                <w:szCs w:val="16"/>
                <w:lang w:eastAsia="en-US" w:bidi="ar-SA"/>
              </w:rPr>
            </w:pPr>
            <w:r w:rsidRPr="008D6CCA">
              <w:rPr>
                <w:rFonts w:ascii="Garamond" w:hAnsi="Garamond"/>
                <w:color w:val="365F91" w:themeColor="accent1" w:themeShade="BF"/>
                <w:sz w:val="16"/>
                <w:szCs w:val="16"/>
              </w:rPr>
              <w:t>Managing public finances in an efficient, economical, effective and transparent way by all spending units</w:t>
            </w:r>
          </w:p>
        </w:tc>
      </w:tr>
      <w:tr w:rsidR="00D15F76" w:rsidRPr="008D6CCA" w:rsidTr="00D15F76">
        <w:trPr>
          <w:gridAfter w:val="1"/>
          <w:wAfter w:w="19" w:type="dxa"/>
          <w:jc w:val="center"/>
        </w:trPr>
        <w:tc>
          <w:tcPr>
            <w:tcW w:w="2721" w:type="dxa"/>
            <w:vAlign w:val="center"/>
          </w:tcPr>
          <w:p w:rsidR="00D15F76" w:rsidRPr="008D6CCA" w:rsidRDefault="00D15F76" w:rsidP="00D15F76">
            <w:pPr>
              <w:autoSpaceDE/>
              <w:autoSpaceDN/>
              <w:rPr>
                <w:rFonts w:ascii="Garamond" w:eastAsia="Calibri" w:hAnsi="Garamond"/>
                <w:b/>
                <w:caps/>
                <w:sz w:val="16"/>
                <w:szCs w:val="16"/>
                <w:lang w:val="uz-Cyrl-UZ" w:eastAsia="en-US" w:bidi="ar-SA"/>
              </w:rPr>
            </w:pPr>
            <w:r w:rsidRPr="008D6CCA">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3A313E" w:rsidRPr="008D6CCA" w:rsidRDefault="003A313E" w:rsidP="003A313E">
            <w:pPr>
              <w:jc w:val="both"/>
              <w:rPr>
                <w:rFonts w:ascii="Garamond" w:eastAsia="Calibri" w:hAnsi="Garamond"/>
                <w:sz w:val="16"/>
                <w:szCs w:val="16"/>
                <w:lang w:val="uz-Cyrl-UZ" w:eastAsia="en-US" w:bidi="ar-SA"/>
              </w:rPr>
            </w:pPr>
            <w:r w:rsidRPr="008D6CCA">
              <w:rPr>
                <w:rFonts w:ascii="Garamond" w:eastAsia="Calibri" w:hAnsi="Garamond"/>
                <w:sz w:val="16"/>
                <w:szCs w:val="16"/>
                <w:lang w:val="uz-Cyrl-UZ" w:eastAsia="en-US" w:bidi="ar-SA"/>
              </w:rPr>
              <w:t>Annual reports on the implementation of planned activities on the establishment and development of financial management and control systems</w:t>
            </w:r>
            <w:r w:rsidRPr="008D6CCA">
              <w:rPr>
                <w:rStyle w:val="FootnoteReference"/>
                <w:rFonts w:ascii="Garamond" w:eastAsia="Calibri" w:hAnsi="Garamond"/>
                <w:sz w:val="16"/>
                <w:szCs w:val="16"/>
                <w:lang w:val="uz-Cyrl-UZ" w:eastAsia="en-US" w:bidi="ar-SA"/>
              </w:rPr>
              <w:footnoteReference w:id="72"/>
            </w:r>
          </w:p>
          <w:p w:rsidR="00D15F76" w:rsidRPr="008D6CCA" w:rsidRDefault="003A313E" w:rsidP="003A313E">
            <w:pPr>
              <w:jc w:val="both"/>
              <w:rPr>
                <w:rFonts w:ascii="Garamond" w:eastAsia="Calibri" w:hAnsi="Garamond"/>
                <w:sz w:val="16"/>
                <w:szCs w:val="16"/>
                <w:lang w:eastAsia="en-US" w:bidi="ar-SA"/>
              </w:rPr>
            </w:pPr>
            <w:r w:rsidRPr="008D6CCA">
              <w:rPr>
                <w:rFonts w:ascii="Garamond" w:eastAsia="Calibri" w:hAnsi="Garamond"/>
                <w:sz w:val="16"/>
                <w:szCs w:val="16"/>
                <w:lang w:val="uz-Cyrl-UZ" w:eastAsia="en-US" w:bidi="ar-SA"/>
              </w:rPr>
              <w:t>Decisions delegating powers and responsibilities to directors of management boards and general directors for defined goals</w:t>
            </w:r>
          </w:p>
        </w:tc>
      </w:tr>
      <w:tr w:rsidR="00D15F76" w:rsidRPr="008D6CCA" w:rsidTr="00D15F76">
        <w:trPr>
          <w:gridAfter w:val="1"/>
          <w:wAfter w:w="19" w:type="dxa"/>
          <w:jc w:val="center"/>
        </w:trPr>
        <w:tc>
          <w:tcPr>
            <w:tcW w:w="2721" w:type="dxa"/>
            <w:vAlign w:val="center"/>
          </w:tcPr>
          <w:p w:rsidR="00D15F76" w:rsidRPr="008D6CCA" w:rsidRDefault="00D15F76" w:rsidP="00D15F76">
            <w:pPr>
              <w:autoSpaceDE/>
              <w:autoSpaceDN/>
              <w:rPr>
                <w:rFonts w:ascii="Garamond" w:eastAsia="Calibri" w:hAnsi="Garamond"/>
                <w:b/>
                <w:caps/>
                <w:sz w:val="16"/>
                <w:szCs w:val="16"/>
                <w:lang w:val="uz-Cyrl-UZ" w:eastAsia="en-US" w:bidi="ar-SA"/>
              </w:rPr>
            </w:pPr>
            <w:r w:rsidRPr="008D6CCA">
              <w:rPr>
                <w:rFonts w:ascii="Garamond" w:eastAsia="Calibri" w:hAnsi="Garamond"/>
                <w:b/>
                <w:caps/>
                <w:sz w:val="16"/>
                <w:szCs w:val="16"/>
                <w:lang w:val="uz-Cyrl-UZ" w:eastAsia="en-US" w:bidi="ar-SA"/>
              </w:rPr>
              <w:t>NAME OF DATA COLLECTION HOLDER</w:t>
            </w:r>
          </w:p>
        </w:tc>
        <w:tc>
          <w:tcPr>
            <w:tcW w:w="6836" w:type="dxa"/>
            <w:gridSpan w:val="4"/>
            <w:vAlign w:val="center"/>
          </w:tcPr>
          <w:p w:rsidR="003A313E" w:rsidRPr="008D6CCA" w:rsidRDefault="003A313E" w:rsidP="003A313E">
            <w:pPr>
              <w:rPr>
                <w:rFonts w:ascii="Garamond" w:hAnsi="Garamond"/>
                <w:sz w:val="16"/>
                <w:szCs w:val="16"/>
              </w:rPr>
            </w:pPr>
            <w:r w:rsidRPr="008D6CCA">
              <w:rPr>
                <w:rFonts w:ascii="Garamond" w:hAnsi="Garamond"/>
                <w:sz w:val="16"/>
                <w:szCs w:val="16"/>
              </w:rPr>
              <w:t>Ministry of Finance and Social Welfare</w:t>
            </w:r>
          </w:p>
          <w:p w:rsidR="003A313E" w:rsidRPr="008D6CCA" w:rsidRDefault="003A313E" w:rsidP="003A313E">
            <w:pPr>
              <w:rPr>
                <w:rFonts w:ascii="Garamond" w:hAnsi="Garamond"/>
                <w:sz w:val="16"/>
                <w:szCs w:val="16"/>
              </w:rPr>
            </w:pPr>
            <w:r w:rsidRPr="008D6CCA">
              <w:rPr>
                <w:rFonts w:ascii="Garamond" w:hAnsi="Garamond"/>
                <w:sz w:val="16"/>
                <w:szCs w:val="16"/>
              </w:rPr>
              <w:t>Nina Blečić</w:t>
            </w:r>
          </w:p>
          <w:p w:rsidR="00D15F76" w:rsidRPr="008D6CCA" w:rsidRDefault="003A313E" w:rsidP="003A313E">
            <w:pPr>
              <w:rPr>
                <w:rFonts w:ascii="Garamond" w:eastAsia="Calibri" w:hAnsi="Garamond"/>
                <w:sz w:val="16"/>
                <w:szCs w:val="16"/>
                <w:lang w:eastAsia="en-US" w:bidi="ar-SA"/>
              </w:rPr>
            </w:pPr>
            <w:r w:rsidRPr="008D6CCA">
              <w:rPr>
                <w:rFonts w:ascii="Garamond" w:hAnsi="Garamond"/>
                <w:sz w:val="16"/>
                <w:szCs w:val="16"/>
              </w:rPr>
              <w:t>Contact Email: nina.blecic@mif.gov.me</w:t>
            </w:r>
          </w:p>
        </w:tc>
      </w:tr>
      <w:tr w:rsidR="00D15F76" w:rsidRPr="008D6CCA" w:rsidTr="00D15F76">
        <w:trPr>
          <w:gridAfter w:val="1"/>
          <w:wAfter w:w="19" w:type="dxa"/>
          <w:jc w:val="center"/>
        </w:trPr>
        <w:tc>
          <w:tcPr>
            <w:tcW w:w="2721" w:type="dxa"/>
            <w:vAlign w:val="center"/>
          </w:tcPr>
          <w:p w:rsidR="00D15F76" w:rsidRPr="008D6CCA" w:rsidRDefault="00D15F76" w:rsidP="00D15F76">
            <w:pPr>
              <w:autoSpaceDE/>
              <w:autoSpaceDN/>
              <w:rPr>
                <w:rFonts w:ascii="Garamond" w:eastAsia="Calibri" w:hAnsi="Garamond"/>
                <w:b/>
                <w:caps/>
                <w:sz w:val="16"/>
                <w:szCs w:val="16"/>
                <w:lang w:val="uz-Cyrl-UZ" w:eastAsia="en-US" w:bidi="ar-SA"/>
              </w:rPr>
            </w:pPr>
            <w:r w:rsidRPr="008D6CCA">
              <w:rPr>
                <w:rFonts w:ascii="Garamond" w:eastAsia="Calibri" w:hAnsi="Garamond"/>
                <w:b/>
                <w:caps/>
                <w:sz w:val="16"/>
                <w:szCs w:val="16"/>
                <w:lang w:val="uz-Cyrl-UZ" w:eastAsia="en-US" w:bidi="ar-SA"/>
              </w:rPr>
              <w:t>FREQUENCY OF DATA PUBLICATION</w:t>
            </w:r>
          </w:p>
        </w:tc>
        <w:tc>
          <w:tcPr>
            <w:tcW w:w="6836" w:type="dxa"/>
            <w:gridSpan w:val="4"/>
            <w:vAlign w:val="center"/>
          </w:tcPr>
          <w:p w:rsidR="00D15F76" w:rsidRPr="008D6CCA" w:rsidRDefault="003A313E" w:rsidP="007A300C">
            <w:pPr>
              <w:rPr>
                <w:rFonts w:ascii="Garamond" w:eastAsia="Calibri" w:hAnsi="Garamond"/>
                <w:sz w:val="16"/>
                <w:szCs w:val="16"/>
                <w:lang w:eastAsia="en-US" w:bidi="ar-SA"/>
              </w:rPr>
            </w:pPr>
            <w:r w:rsidRPr="008D6CCA">
              <w:rPr>
                <w:rFonts w:ascii="Garamond" w:eastAsia="Calibri" w:hAnsi="Garamond"/>
                <w:sz w:val="16"/>
                <w:szCs w:val="16"/>
                <w:lang w:eastAsia="en-US" w:bidi="ar-SA"/>
              </w:rPr>
              <w:t xml:space="preserve">Once a year, during the adoption of the Consolidated Report, </w:t>
            </w:r>
            <w:proofErr w:type="gramStart"/>
            <w:r w:rsidRPr="008D6CCA">
              <w:rPr>
                <w:rFonts w:ascii="Garamond" w:eastAsia="Calibri" w:hAnsi="Garamond"/>
                <w:sz w:val="16"/>
                <w:szCs w:val="16"/>
                <w:lang w:eastAsia="en-US" w:bidi="ar-SA"/>
              </w:rPr>
              <w:t>which is published on the website of the Government of Montenegro, after the adoption</w:t>
            </w:r>
            <w:r w:rsidR="008D6CCA">
              <w:rPr>
                <w:rFonts w:ascii="Garamond" w:eastAsia="Calibri" w:hAnsi="Garamond"/>
                <w:sz w:val="16"/>
                <w:szCs w:val="16"/>
                <w:lang w:eastAsia="en-US" w:bidi="ar-SA"/>
              </w:rPr>
              <w:t>,</w:t>
            </w:r>
            <w:r w:rsidRPr="008D6CCA">
              <w:rPr>
                <w:rFonts w:ascii="Garamond" w:eastAsia="Calibri" w:hAnsi="Garamond"/>
                <w:sz w:val="16"/>
                <w:szCs w:val="16"/>
                <w:lang w:eastAsia="en-US" w:bidi="ar-SA"/>
              </w:rPr>
              <w:t xml:space="preserve"> by the end of </w:t>
            </w:r>
            <w:r w:rsidR="007A300C" w:rsidRPr="008D6CCA">
              <w:rPr>
                <w:rFonts w:ascii="Garamond" w:eastAsia="Calibri" w:hAnsi="Garamond"/>
                <w:sz w:val="16"/>
                <w:szCs w:val="16"/>
                <w:lang w:eastAsia="en-US" w:bidi="ar-SA"/>
              </w:rPr>
              <w:t>Q2</w:t>
            </w:r>
            <w:r w:rsidRPr="008D6CCA">
              <w:rPr>
                <w:rFonts w:ascii="Garamond" w:eastAsia="Calibri" w:hAnsi="Garamond"/>
                <w:sz w:val="16"/>
                <w:szCs w:val="16"/>
                <w:lang w:eastAsia="en-US" w:bidi="ar-SA"/>
              </w:rPr>
              <w:t xml:space="preserve"> of the current year.</w:t>
            </w:r>
            <w:proofErr w:type="gramEnd"/>
          </w:p>
        </w:tc>
      </w:tr>
      <w:tr w:rsidR="00D15F76" w:rsidRPr="008D6CCA" w:rsidTr="00D15F76">
        <w:trPr>
          <w:gridAfter w:val="1"/>
          <w:wAfter w:w="19" w:type="dxa"/>
          <w:trHeight w:val="458"/>
          <w:jc w:val="center"/>
        </w:trPr>
        <w:tc>
          <w:tcPr>
            <w:tcW w:w="2721" w:type="dxa"/>
            <w:vMerge w:val="restart"/>
            <w:vAlign w:val="center"/>
          </w:tcPr>
          <w:p w:rsidR="00D15F76" w:rsidRPr="008D6CCA" w:rsidRDefault="00D15F76" w:rsidP="00D15F76">
            <w:pPr>
              <w:autoSpaceDE/>
              <w:autoSpaceDN/>
              <w:rPr>
                <w:rFonts w:ascii="Garamond" w:eastAsia="Calibri" w:hAnsi="Garamond"/>
                <w:b/>
                <w:caps/>
                <w:sz w:val="16"/>
                <w:szCs w:val="16"/>
                <w:lang w:val="uz-Cyrl-UZ" w:eastAsia="en-US" w:bidi="ar-SA"/>
              </w:rPr>
            </w:pPr>
            <w:r w:rsidRPr="008D6CCA">
              <w:rPr>
                <w:rFonts w:ascii="Garamond" w:eastAsia="Calibri" w:hAnsi="Garamond"/>
                <w:b/>
                <w:caps/>
                <w:sz w:val="16"/>
                <w:szCs w:val="16"/>
                <w:lang w:val="uz-Cyrl-UZ" w:eastAsia="en-US" w:bidi="ar-SA"/>
              </w:rPr>
              <w:t xml:space="preserve">BRIEF DESCRIPTION </w:t>
            </w:r>
            <w:r w:rsidRPr="008D6CCA">
              <w:rPr>
                <w:rFonts w:ascii="Garamond" w:eastAsia="Calibri" w:hAnsi="Garamond"/>
                <w:b/>
                <w:caps/>
                <w:sz w:val="16"/>
                <w:szCs w:val="16"/>
                <w:lang w:val="en-GB" w:eastAsia="en-US" w:bidi="ar-SA"/>
              </w:rPr>
              <w:t xml:space="preserve">OF </w:t>
            </w:r>
            <w:r w:rsidRPr="008D6CCA">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D15F76" w:rsidRPr="008D6CCA" w:rsidRDefault="003A313E" w:rsidP="001D1E5B">
            <w:pPr>
              <w:jc w:val="both"/>
              <w:rPr>
                <w:rFonts w:ascii="Garamond" w:eastAsia="Calibri" w:hAnsi="Garamond"/>
                <w:sz w:val="16"/>
                <w:szCs w:val="16"/>
                <w:u w:val="single"/>
                <w:lang w:val="uz-Cyrl-UZ" w:eastAsia="en-US" w:bidi="ar-SA"/>
              </w:rPr>
            </w:pPr>
            <w:r w:rsidRPr="008D6CCA">
              <w:rPr>
                <w:rFonts w:ascii="Garamond" w:eastAsia="Calibri" w:hAnsi="Garamond"/>
                <w:sz w:val="16"/>
                <w:szCs w:val="16"/>
                <w:lang w:val="uz-Cyrl-UZ" w:eastAsia="en-US" w:bidi="ar-SA"/>
              </w:rPr>
              <w:t xml:space="preserve">The performance indicator refers to the ministries where the directors of administrations and </w:t>
            </w:r>
            <w:r w:rsidR="001D1E5B" w:rsidRPr="008D6CCA">
              <w:rPr>
                <w:rFonts w:ascii="Garamond" w:eastAsia="Calibri" w:hAnsi="Garamond"/>
                <w:sz w:val="16"/>
                <w:szCs w:val="16"/>
                <w:lang w:val="uz-Cyrl-UZ" w:eastAsia="en-US" w:bidi="ar-SA"/>
              </w:rPr>
              <w:t>director</w:t>
            </w:r>
            <w:r w:rsidR="001D1E5B">
              <w:rPr>
                <w:rFonts w:ascii="Garamond" w:eastAsia="Calibri" w:hAnsi="Garamond"/>
                <w:sz w:val="16"/>
                <w:szCs w:val="16"/>
                <w:lang w:eastAsia="en-US" w:bidi="ar-SA"/>
              </w:rPr>
              <w:t>s</w:t>
            </w:r>
            <w:r w:rsidR="001D1E5B" w:rsidRPr="008D6CCA">
              <w:rPr>
                <w:rFonts w:ascii="Garamond" w:eastAsia="Calibri" w:hAnsi="Garamond"/>
                <w:sz w:val="16"/>
                <w:szCs w:val="16"/>
                <w:lang w:val="uz-Cyrl-UZ" w:eastAsia="en-US" w:bidi="ar-SA"/>
              </w:rPr>
              <w:t xml:space="preserve"> </w:t>
            </w:r>
            <w:r w:rsidRPr="008D6CCA">
              <w:rPr>
                <w:rFonts w:ascii="Garamond" w:eastAsia="Calibri" w:hAnsi="Garamond"/>
                <w:sz w:val="16"/>
                <w:szCs w:val="16"/>
                <w:lang w:val="uz-Cyrl-UZ" w:eastAsia="en-US" w:bidi="ar-SA"/>
              </w:rPr>
              <w:t xml:space="preserve">general are delegated responsibility </w:t>
            </w:r>
            <w:r w:rsidR="007A300C" w:rsidRPr="008D6CCA">
              <w:rPr>
                <w:rFonts w:ascii="Garamond" w:eastAsia="Calibri" w:hAnsi="Garamond"/>
                <w:sz w:val="16"/>
                <w:szCs w:val="16"/>
                <w:lang w:val="en-GB" w:eastAsia="en-US" w:bidi="ar-SA"/>
              </w:rPr>
              <w:t xml:space="preserve">through decisions </w:t>
            </w:r>
            <w:r w:rsidRPr="008D6CCA">
              <w:rPr>
                <w:rFonts w:ascii="Garamond" w:eastAsia="Calibri" w:hAnsi="Garamond"/>
                <w:sz w:val="16"/>
                <w:szCs w:val="16"/>
                <w:lang w:val="uz-Cyrl-UZ" w:eastAsia="en-US" w:bidi="ar-SA"/>
              </w:rPr>
              <w:t>for the defined goals and authority to manage the determined budgets for their implementation.</w:t>
            </w:r>
          </w:p>
        </w:tc>
      </w:tr>
      <w:tr w:rsidR="00D15F76" w:rsidRPr="008D6CCA" w:rsidTr="00D15F76">
        <w:trPr>
          <w:gridAfter w:val="1"/>
          <w:wAfter w:w="19" w:type="dxa"/>
          <w:trHeight w:val="620"/>
          <w:jc w:val="center"/>
        </w:trPr>
        <w:tc>
          <w:tcPr>
            <w:tcW w:w="2721" w:type="dxa"/>
            <w:vMerge/>
            <w:shd w:val="clear" w:color="auto" w:fill="auto"/>
            <w:vAlign w:val="center"/>
          </w:tcPr>
          <w:p w:rsidR="00D15F76" w:rsidRPr="008D6CCA" w:rsidRDefault="00D15F76" w:rsidP="00D15F76">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D15F76" w:rsidRPr="008D6CCA" w:rsidRDefault="00D15F76" w:rsidP="00D15F76">
            <w:pPr>
              <w:jc w:val="center"/>
              <w:rPr>
                <w:rFonts w:ascii="Garamond" w:hAnsi="Garamond"/>
                <w:color w:val="365F91" w:themeColor="accent1" w:themeShade="BF"/>
                <w:sz w:val="16"/>
                <w:szCs w:val="16"/>
                <w:lang w:val="uz-Cyrl-UZ"/>
              </w:rPr>
            </w:pPr>
            <w:r w:rsidRPr="008D6CCA">
              <w:rPr>
                <w:rFonts w:ascii="Garamond" w:hAnsi="Garamond"/>
                <w:color w:val="365F91" w:themeColor="accent1" w:themeShade="BF"/>
                <w:sz w:val="16"/>
                <w:szCs w:val="16"/>
                <w:lang w:val="uz-Cyrl-UZ"/>
              </w:rPr>
              <w:t>FORMULA / EQUATION</w:t>
            </w:r>
          </w:p>
          <w:p w:rsidR="00D15F76" w:rsidRPr="008D6CCA" w:rsidRDefault="001D1E5B" w:rsidP="001D1E5B">
            <w:pPr>
              <w:jc w:val="center"/>
              <w:rPr>
                <w:rFonts w:ascii="Garamond" w:eastAsia="Calibri" w:hAnsi="Garamond"/>
                <w:sz w:val="16"/>
                <w:szCs w:val="16"/>
                <w:lang w:val="en-GB" w:eastAsia="en-US" w:bidi="ar-SA"/>
              </w:rPr>
            </w:pPr>
            <w:r>
              <w:rPr>
                <w:rFonts w:ascii="Garamond" w:eastAsia="Calibri" w:hAnsi="Garamond"/>
                <w:sz w:val="16"/>
                <w:szCs w:val="16"/>
                <w:lang w:val="en-GB" w:eastAsia="en-US" w:bidi="ar-SA"/>
              </w:rPr>
              <w:t>Ratio between the n</w:t>
            </w:r>
            <w:r w:rsidR="009F1F39" w:rsidRPr="008D6CCA">
              <w:rPr>
                <w:rFonts w:ascii="Garamond" w:eastAsia="Calibri" w:hAnsi="Garamond"/>
                <w:sz w:val="16"/>
                <w:szCs w:val="16"/>
                <w:lang w:val="en-GB" w:eastAsia="en-US" w:bidi="ar-SA"/>
              </w:rPr>
              <w:t xml:space="preserve">umber of ministries that delegated </w:t>
            </w:r>
            <w:r w:rsidR="004876D7" w:rsidRPr="008D6CCA">
              <w:rPr>
                <w:rFonts w:ascii="Garamond" w:eastAsia="Calibri" w:hAnsi="Garamond"/>
                <w:sz w:val="16"/>
                <w:szCs w:val="16"/>
                <w:lang w:val="en-GB" w:eastAsia="en-US" w:bidi="ar-SA"/>
              </w:rPr>
              <w:t xml:space="preserve">authorities </w:t>
            </w:r>
            <w:r>
              <w:rPr>
                <w:rFonts w:ascii="Garamond" w:eastAsia="Calibri" w:hAnsi="Garamond"/>
                <w:sz w:val="16"/>
                <w:szCs w:val="16"/>
                <w:lang w:val="en-GB" w:eastAsia="en-US" w:bidi="ar-SA"/>
              </w:rPr>
              <w:t>and</w:t>
            </w:r>
            <w:r w:rsidR="009F1F39" w:rsidRPr="008D6CCA">
              <w:rPr>
                <w:rFonts w:ascii="Garamond" w:eastAsia="Calibri" w:hAnsi="Garamond"/>
                <w:sz w:val="16"/>
                <w:szCs w:val="16"/>
                <w:lang w:val="en-GB" w:eastAsia="en-US" w:bidi="ar-SA"/>
              </w:rPr>
              <w:t xml:space="preserve"> the total number of ministries x 100</w:t>
            </w:r>
          </w:p>
        </w:tc>
      </w:tr>
      <w:tr w:rsidR="00D15F76" w:rsidRPr="008D6CCA" w:rsidTr="00D15F76">
        <w:trPr>
          <w:gridAfter w:val="1"/>
          <w:wAfter w:w="19" w:type="dxa"/>
          <w:trHeight w:val="585"/>
          <w:jc w:val="center"/>
        </w:trPr>
        <w:tc>
          <w:tcPr>
            <w:tcW w:w="2721" w:type="dxa"/>
            <w:vAlign w:val="center"/>
          </w:tcPr>
          <w:p w:rsidR="00D15F76" w:rsidRPr="008D6CCA" w:rsidRDefault="00D15F76" w:rsidP="00D15F76">
            <w:pPr>
              <w:autoSpaceDE/>
              <w:autoSpaceDN/>
              <w:rPr>
                <w:rFonts w:ascii="Garamond" w:eastAsia="Calibri" w:hAnsi="Garamond"/>
                <w:b/>
                <w:bCs/>
                <w:caps/>
                <w:sz w:val="16"/>
                <w:szCs w:val="16"/>
                <w:lang w:val="en-GB" w:eastAsia="en-US" w:bidi="ar-SA"/>
              </w:rPr>
            </w:pPr>
            <w:r w:rsidRPr="008D6CCA">
              <w:rPr>
                <w:rFonts w:ascii="Garamond" w:eastAsia="Calibri" w:hAnsi="Garamond"/>
                <w:b/>
                <w:caps/>
                <w:sz w:val="16"/>
                <w:szCs w:val="16"/>
                <w:lang w:val="uz-Cyrl-UZ" w:eastAsia="en-US" w:bidi="ar-SA"/>
              </w:rPr>
              <w:t>BASELINE</w:t>
            </w:r>
            <w:r w:rsidRPr="008D6CCA">
              <w:rPr>
                <w:rFonts w:ascii="Garamond" w:eastAsia="Calibri" w:hAnsi="Garamond"/>
                <w:b/>
                <w:caps/>
                <w:sz w:val="16"/>
                <w:szCs w:val="16"/>
                <w:lang w:val="en-GB" w:eastAsia="en-US" w:bidi="ar-SA"/>
              </w:rPr>
              <w:t xml:space="preserve"> DATA</w:t>
            </w:r>
          </w:p>
        </w:tc>
        <w:tc>
          <w:tcPr>
            <w:tcW w:w="6836" w:type="dxa"/>
            <w:gridSpan w:val="4"/>
            <w:vAlign w:val="center"/>
          </w:tcPr>
          <w:p w:rsidR="009F1F39" w:rsidRPr="008D6CCA" w:rsidRDefault="00D15F76" w:rsidP="009F1F39">
            <w:pPr>
              <w:pStyle w:val="TabelaTekst"/>
              <w:rPr>
                <w:rFonts w:ascii="Garamond" w:hAnsi="Garamond"/>
                <w:sz w:val="16"/>
                <w:szCs w:val="16"/>
                <w:lang w:val="en-GB"/>
              </w:rPr>
            </w:pPr>
            <w:r w:rsidRPr="008D6CCA">
              <w:rPr>
                <w:rFonts w:ascii="Garamond" w:hAnsi="Garamond"/>
                <w:sz w:val="16"/>
                <w:szCs w:val="16"/>
              </w:rPr>
              <w:t>PV (2014</w:t>
            </w:r>
            <w:r w:rsidRPr="008D6CCA">
              <w:rPr>
                <w:rFonts w:ascii="Garamond" w:hAnsi="Garamond"/>
                <w:sz w:val="16"/>
                <w:szCs w:val="16"/>
                <w:lang w:val="en-GB"/>
              </w:rPr>
              <w:t xml:space="preserve">): </w:t>
            </w:r>
            <w:r w:rsidR="009F1F39" w:rsidRPr="008D6CCA">
              <w:rPr>
                <w:rFonts w:ascii="Garamond" w:hAnsi="Garamond"/>
                <w:sz w:val="16"/>
                <w:szCs w:val="16"/>
                <w:lang w:val="en-GB"/>
              </w:rPr>
              <w:t>6.25%</w:t>
            </w:r>
          </w:p>
          <w:p w:rsidR="009F1F39" w:rsidRPr="008D6CCA" w:rsidRDefault="009F1F39" w:rsidP="009F1F39">
            <w:pPr>
              <w:pStyle w:val="TabelaTekst"/>
              <w:rPr>
                <w:rFonts w:ascii="Garamond" w:hAnsi="Garamond"/>
                <w:sz w:val="16"/>
                <w:szCs w:val="16"/>
                <w:lang w:val="en-GB"/>
              </w:rPr>
            </w:pPr>
            <w:r w:rsidRPr="008D6CCA">
              <w:rPr>
                <w:rFonts w:ascii="Garamond" w:hAnsi="Garamond"/>
                <w:sz w:val="16"/>
                <w:szCs w:val="16"/>
                <w:lang w:val="en-GB"/>
              </w:rPr>
              <w:t>2015: 6.3%</w:t>
            </w:r>
          </w:p>
          <w:p w:rsidR="00D15F76" w:rsidRPr="008D6CCA" w:rsidRDefault="009F1F39" w:rsidP="009F1F39">
            <w:pPr>
              <w:pStyle w:val="TabelaTekst"/>
              <w:spacing w:before="0" w:after="0" w:line="240" w:lineRule="auto"/>
              <w:rPr>
                <w:rFonts w:ascii="Garamond" w:hAnsi="Garamond"/>
                <w:sz w:val="16"/>
                <w:szCs w:val="16"/>
                <w:lang w:val="en-GB"/>
              </w:rPr>
            </w:pPr>
            <w:r w:rsidRPr="008D6CCA">
              <w:rPr>
                <w:rFonts w:ascii="Garamond" w:hAnsi="Garamond"/>
                <w:sz w:val="16"/>
                <w:szCs w:val="16"/>
                <w:lang w:val="en-GB"/>
              </w:rPr>
              <w:t>2016: 6.3%   (Report: 2016: 22.22%)</w:t>
            </w:r>
          </w:p>
        </w:tc>
      </w:tr>
      <w:tr w:rsidR="00D15F76" w:rsidRPr="008D6CCA" w:rsidTr="00D15F76">
        <w:trPr>
          <w:gridAfter w:val="1"/>
          <w:wAfter w:w="19" w:type="dxa"/>
          <w:trHeight w:val="160"/>
          <w:jc w:val="center"/>
        </w:trPr>
        <w:tc>
          <w:tcPr>
            <w:tcW w:w="2721" w:type="dxa"/>
            <w:vMerge w:val="restart"/>
            <w:vAlign w:val="center"/>
          </w:tcPr>
          <w:p w:rsidR="00D15F76" w:rsidRPr="008D6CCA" w:rsidRDefault="00D15F76" w:rsidP="00D15F76">
            <w:pPr>
              <w:autoSpaceDE/>
              <w:autoSpaceDN/>
              <w:rPr>
                <w:rFonts w:ascii="Garamond" w:eastAsia="Calibri" w:hAnsi="Garamond"/>
                <w:b/>
                <w:bCs/>
                <w:caps/>
                <w:sz w:val="16"/>
                <w:szCs w:val="16"/>
                <w:lang w:val="uz-Cyrl-UZ" w:eastAsia="en-US" w:bidi="ar-SA"/>
              </w:rPr>
            </w:pPr>
            <w:r w:rsidRPr="008D6CCA">
              <w:rPr>
                <w:rFonts w:ascii="Garamond" w:eastAsia="Calibri" w:hAnsi="Garamond"/>
                <w:b/>
                <w:caps/>
                <w:sz w:val="16"/>
                <w:szCs w:val="16"/>
                <w:lang w:val="uz-Cyrl-UZ" w:eastAsia="en-US" w:bidi="ar-SA"/>
              </w:rPr>
              <w:t>TARGET VALUE DATA</w:t>
            </w:r>
          </w:p>
        </w:tc>
        <w:tc>
          <w:tcPr>
            <w:tcW w:w="1771" w:type="dxa"/>
            <w:vAlign w:val="center"/>
          </w:tcPr>
          <w:p w:rsidR="00D15F76" w:rsidRPr="008D6CCA" w:rsidRDefault="00D15F76" w:rsidP="00D15F76">
            <w:pPr>
              <w:autoSpaceDE/>
              <w:autoSpaceDN/>
              <w:jc w:val="center"/>
              <w:rPr>
                <w:rFonts w:ascii="Garamond" w:eastAsia="Calibri" w:hAnsi="Garamond"/>
                <w:sz w:val="16"/>
                <w:szCs w:val="16"/>
                <w:lang w:val="uz-Cyrl-UZ" w:eastAsia="en-US" w:bidi="ar-SA"/>
              </w:rPr>
            </w:pPr>
            <w:r w:rsidRPr="008D6CCA">
              <w:rPr>
                <w:rFonts w:ascii="Garamond" w:eastAsia="Calibri" w:hAnsi="Garamond"/>
                <w:sz w:val="16"/>
                <w:szCs w:val="16"/>
                <w:lang w:val="uz-Cyrl-UZ" w:eastAsia="en-US" w:bidi="ar-SA"/>
              </w:rPr>
              <w:t>2017</w:t>
            </w:r>
          </w:p>
        </w:tc>
        <w:tc>
          <w:tcPr>
            <w:tcW w:w="1771" w:type="dxa"/>
            <w:vAlign w:val="center"/>
          </w:tcPr>
          <w:p w:rsidR="00D15F76" w:rsidRPr="008D6CCA" w:rsidRDefault="00D15F76" w:rsidP="00D15F76">
            <w:pPr>
              <w:autoSpaceDE/>
              <w:autoSpaceDN/>
              <w:jc w:val="center"/>
              <w:rPr>
                <w:rFonts w:ascii="Garamond" w:eastAsia="Calibri" w:hAnsi="Garamond"/>
                <w:sz w:val="16"/>
                <w:szCs w:val="16"/>
                <w:lang w:val="uz-Cyrl-UZ" w:eastAsia="en-US" w:bidi="ar-SA"/>
              </w:rPr>
            </w:pPr>
            <w:r w:rsidRPr="008D6CCA">
              <w:rPr>
                <w:rFonts w:ascii="Garamond" w:eastAsia="Calibri" w:hAnsi="Garamond"/>
                <w:sz w:val="16"/>
                <w:szCs w:val="16"/>
                <w:lang w:val="uz-Cyrl-UZ" w:eastAsia="en-US" w:bidi="ar-SA"/>
              </w:rPr>
              <w:t>2018</w:t>
            </w:r>
          </w:p>
        </w:tc>
        <w:tc>
          <w:tcPr>
            <w:tcW w:w="1771" w:type="dxa"/>
            <w:vAlign w:val="center"/>
          </w:tcPr>
          <w:p w:rsidR="00D15F76" w:rsidRPr="008D6CCA" w:rsidRDefault="00D15F76" w:rsidP="00D15F76">
            <w:pPr>
              <w:autoSpaceDE/>
              <w:autoSpaceDN/>
              <w:jc w:val="center"/>
              <w:rPr>
                <w:rFonts w:ascii="Garamond" w:eastAsia="Calibri" w:hAnsi="Garamond"/>
                <w:sz w:val="16"/>
                <w:szCs w:val="16"/>
                <w:lang w:val="uz-Cyrl-UZ" w:eastAsia="en-US" w:bidi="ar-SA"/>
              </w:rPr>
            </w:pPr>
            <w:r w:rsidRPr="008D6CCA">
              <w:rPr>
                <w:rFonts w:ascii="Garamond" w:eastAsia="Calibri" w:hAnsi="Garamond"/>
                <w:sz w:val="16"/>
                <w:szCs w:val="16"/>
                <w:lang w:val="uz-Cyrl-UZ" w:eastAsia="en-US" w:bidi="ar-SA"/>
              </w:rPr>
              <w:t>2019</w:t>
            </w:r>
          </w:p>
        </w:tc>
        <w:tc>
          <w:tcPr>
            <w:tcW w:w="1523" w:type="dxa"/>
            <w:vAlign w:val="center"/>
          </w:tcPr>
          <w:p w:rsidR="00D15F76" w:rsidRPr="008D6CCA" w:rsidRDefault="00D15F76" w:rsidP="00D15F76">
            <w:pPr>
              <w:autoSpaceDE/>
              <w:autoSpaceDN/>
              <w:jc w:val="center"/>
              <w:rPr>
                <w:rFonts w:ascii="Garamond" w:eastAsia="Calibri" w:hAnsi="Garamond"/>
                <w:sz w:val="16"/>
                <w:szCs w:val="16"/>
                <w:lang w:val="uz-Cyrl-UZ" w:eastAsia="en-US" w:bidi="ar-SA"/>
              </w:rPr>
            </w:pPr>
            <w:r w:rsidRPr="008D6CCA">
              <w:rPr>
                <w:rFonts w:ascii="Garamond" w:eastAsia="Calibri" w:hAnsi="Garamond"/>
                <w:sz w:val="16"/>
                <w:szCs w:val="16"/>
                <w:lang w:val="uz-Cyrl-UZ" w:eastAsia="en-US" w:bidi="ar-SA"/>
              </w:rPr>
              <w:t>2020</w:t>
            </w:r>
          </w:p>
        </w:tc>
      </w:tr>
      <w:tr w:rsidR="009F1F39" w:rsidRPr="008D6CCA" w:rsidTr="00D15F76">
        <w:trPr>
          <w:gridAfter w:val="1"/>
          <w:wAfter w:w="19" w:type="dxa"/>
          <w:trHeight w:val="160"/>
          <w:jc w:val="center"/>
        </w:trPr>
        <w:tc>
          <w:tcPr>
            <w:tcW w:w="2721" w:type="dxa"/>
            <w:vMerge/>
            <w:vAlign w:val="center"/>
          </w:tcPr>
          <w:p w:rsidR="009F1F39" w:rsidRPr="008D6CCA" w:rsidRDefault="009F1F39" w:rsidP="00D15F76">
            <w:pPr>
              <w:autoSpaceDE/>
              <w:autoSpaceDN/>
              <w:rPr>
                <w:rFonts w:ascii="Garamond" w:eastAsia="Calibri" w:hAnsi="Garamond"/>
                <w:b/>
                <w:bCs/>
                <w:caps/>
                <w:sz w:val="16"/>
                <w:szCs w:val="16"/>
                <w:lang w:val="uz-Cyrl-UZ" w:eastAsia="en-US" w:bidi="ar-SA"/>
              </w:rPr>
            </w:pPr>
          </w:p>
        </w:tc>
        <w:tc>
          <w:tcPr>
            <w:tcW w:w="1771" w:type="dxa"/>
            <w:vAlign w:val="center"/>
          </w:tcPr>
          <w:p w:rsidR="009F1F39" w:rsidRPr="008D6CCA" w:rsidRDefault="009F1F39" w:rsidP="00213533">
            <w:pPr>
              <w:pStyle w:val="TabelaTekst"/>
              <w:spacing w:before="0" w:after="0" w:line="240" w:lineRule="auto"/>
              <w:jc w:val="center"/>
              <w:rPr>
                <w:rFonts w:ascii="Garamond" w:hAnsi="Garamond"/>
                <w:sz w:val="16"/>
                <w:szCs w:val="16"/>
              </w:rPr>
            </w:pPr>
            <w:r w:rsidRPr="008D6CCA">
              <w:rPr>
                <w:rFonts w:ascii="Garamond" w:hAnsi="Garamond"/>
                <w:sz w:val="16"/>
                <w:szCs w:val="16"/>
              </w:rPr>
              <w:t>30%</w:t>
            </w:r>
          </w:p>
        </w:tc>
        <w:tc>
          <w:tcPr>
            <w:tcW w:w="1771" w:type="dxa"/>
            <w:vAlign w:val="center"/>
          </w:tcPr>
          <w:p w:rsidR="009F1F39" w:rsidRPr="008D6CCA" w:rsidRDefault="009F1F39" w:rsidP="00213533">
            <w:pPr>
              <w:pStyle w:val="TabelaTekst"/>
              <w:spacing w:before="0" w:after="0" w:line="240" w:lineRule="auto"/>
              <w:jc w:val="center"/>
              <w:rPr>
                <w:rFonts w:ascii="Garamond" w:hAnsi="Garamond"/>
                <w:sz w:val="16"/>
                <w:szCs w:val="16"/>
              </w:rPr>
            </w:pPr>
            <w:r w:rsidRPr="008D6CCA">
              <w:rPr>
                <w:rFonts w:ascii="Garamond" w:hAnsi="Garamond"/>
                <w:sz w:val="16"/>
                <w:szCs w:val="16"/>
              </w:rPr>
              <w:t>16%</w:t>
            </w:r>
          </w:p>
        </w:tc>
        <w:tc>
          <w:tcPr>
            <w:tcW w:w="1771" w:type="dxa"/>
            <w:vAlign w:val="center"/>
          </w:tcPr>
          <w:p w:rsidR="009F1F39" w:rsidRPr="008D6CCA" w:rsidRDefault="009F1F39" w:rsidP="00213533">
            <w:pPr>
              <w:pStyle w:val="TabelaTekst"/>
              <w:spacing w:before="0" w:after="0" w:line="240" w:lineRule="auto"/>
              <w:jc w:val="center"/>
              <w:rPr>
                <w:rFonts w:ascii="Garamond" w:hAnsi="Garamond"/>
                <w:sz w:val="16"/>
                <w:szCs w:val="16"/>
              </w:rPr>
            </w:pPr>
            <w:r w:rsidRPr="008D6CCA">
              <w:rPr>
                <w:rFonts w:ascii="Garamond" w:hAnsi="Garamond"/>
                <w:sz w:val="16"/>
                <w:szCs w:val="16"/>
              </w:rPr>
              <w:t>50%</w:t>
            </w:r>
          </w:p>
        </w:tc>
        <w:tc>
          <w:tcPr>
            <w:tcW w:w="1523" w:type="dxa"/>
            <w:vAlign w:val="center"/>
          </w:tcPr>
          <w:p w:rsidR="009F1F39" w:rsidRPr="008D6CCA" w:rsidRDefault="009F1F39" w:rsidP="00213533">
            <w:pPr>
              <w:pStyle w:val="TabelaTekst"/>
              <w:spacing w:before="0" w:after="0" w:line="240" w:lineRule="auto"/>
              <w:jc w:val="center"/>
              <w:rPr>
                <w:rFonts w:ascii="Garamond" w:hAnsi="Garamond"/>
                <w:sz w:val="16"/>
                <w:szCs w:val="16"/>
              </w:rPr>
            </w:pPr>
            <w:r w:rsidRPr="008D6CCA">
              <w:rPr>
                <w:rFonts w:ascii="Garamond" w:hAnsi="Garamond"/>
                <w:sz w:val="16"/>
                <w:szCs w:val="16"/>
              </w:rPr>
              <w:t>90%</w:t>
            </w:r>
          </w:p>
        </w:tc>
      </w:tr>
      <w:tr w:rsidR="009F1F39" w:rsidRPr="008D6CCA" w:rsidTr="00D15F76">
        <w:trPr>
          <w:gridAfter w:val="1"/>
          <w:wAfter w:w="19" w:type="dxa"/>
          <w:trHeight w:val="160"/>
          <w:jc w:val="center"/>
        </w:trPr>
        <w:tc>
          <w:tcPr>
            <w:tcW w:w="2721" w:type="dxa"/>
            <w:vAlign w:val="center"/>
          </w:tcPr>
          <w:p w:rsidR="009F1F39" w:rsidRPr="008D6CCA" w:rsidRDefault="0062456A" w:rsidP="00D15F76">
            <w:pPr>
              <w:autoSpaceDE/>
              <w:autoSpaceDN/>
              <w:rPr>
                <w:rFonts w:ascii="Garamond" w:eastAsia="Calibri" w:hAnsi="Garamond"/>
                <w:b/>
                <w:bCs/>
                <w:caps/>
                <w:sz w:val="16"/>
                <w:szCs w:val="16"/>
                <w:lang w:val="uz-Cyrl-UZ" w:eastAsia="en-US" w:bidi="ar-SA"/>
              </w:rPr>
            </w:pPr>
            <w:r w:rsidRPr="008D6CCA">
              <w:rPr>
                <w:rFonts w:ascii="Garamond" w:eastAsia="Calibri" w:hAnsi="Garamond"/>
                <w:b/>
                <w:bCs/>
                <w:caps/>
                <w:sz w:val="16"/>
                <w:szCs w:val="16"/>
                <w:lang w:val="uz-Cyrl-UZ" w:eastAsia="en-US" w:bidi="ar-SA"/>
              </w:rPr>
              <w:t>DATA ON VALUES ACHIEVED</w:t>
            </w:r>
          </w:p>
        </w:tc>
        <w:tc>
          <w:tcPr>
            <w:tcW w:w="1771" w:type="dxa"/>
            <w:vAlign w:val="center"/>
          </w:tcPr>
          <w:p w:rsidR="009F1F39" w:rsidRPr="008D6CCA" w:rsidRDefault="009F1F39" w:rsidP="00213533">
            <w:pPr>
              <w:pStyle w:val="TabelaTekst"/>
              <w:spacing w:before="0" w:after="0" w:line="240" w:lineRule="auto"/>
              <w:jc w:val="center"/>
              <w:rPr>
                <w:rFonts w:ascii="Garamond" w:hAnsi="Garamond"/>
                <w:sz w:val="16"/>
                <w:szCs w:val="16"/>
              </w:rPr>
            </w:pPr>
            <w:r w:rsidRPr="008D6CCA">
              <w:rPr>
                <w:rFonts w:ascii="Garamond" w:hAnsi="Garamond"/>
                <w:sz w:val="16"/>
                <w:szCs w:val="16"/>
              </w:rPr>
              <w:t>11.11%</w:t>
            </w:r>
          </w:p>
        </w:tc>
        <w:tc>
          <w:tcPr>
            <w:tcW w:w="1771" w:type="dxa"/>
            <w:vAlign w:val="center"/>
          </w:tcPr>
          <w:p w:rsidR="009F1F39" w:rsidRPr="008D6CCA" w:rsidRDefault="009F1F39" w:rsidP="00213533">
            <w:pPr>
              <w:pStyle w:val="TabelaTekst"/>
              <w:spacing w:before="0" w:after="0" w:line="240" w:lineRule="auto"/>
              <w:jc w:val="center"/>
              <w:rPr>
                <w:rFonts w:ascii="Garamond" w:hAnsi="Garamond"/>
                <w:sz w:val="16"/>
                <w:szCs w:val="16"/>
              </w:rPr>
            </w:pPr>
            <w:r w:rsidRPr="008D6CCA">
              <w:rPr>
                <w:rFonts w:ascii="Garamond" w:hAnsi="Garamond"/>
                <w:sz w:val="16"/>
                <w:szCs w:val="16"/>
              </w:rPr>
              <w:t>18%</w:t>
            </w:r>
          </w:p>
        </w:tc>
        <w:tc>
          <w:tcPr>
            <w:tcW w:w="1771" w:type="dxa"/>
            <w:vAlign w:val="center"/>
          </w:tcPr>
          <w:p w:rsidR="009F1F39" w:rsidRPr="008D6CCA" w:rsidRDefault="009F1F39" w:rsidP="00213533">
            <w:pPr>
              <w:pStyle w:val="TabelaTekst"/>
              <w:spacing w:before="0" w:after="0" w:line="240" w:lineRule="auto"/>
              <w:jc w:val="center"/>
              <w:rPr>
                <w:rFonts w:ascii="Garamond" w:hAnsi="Garamond"/>
                <w:sz w:val="16"/>
                <w:szCs w:val="16"/>
              </w:rPr>
            </w:pPr>
            <w:r w:rsidRPr="008D6CCA">
              <w:rPr>
                <w:rFonts w:ascii="Garamond" w:eastAsia="Times New Roman" w:hAnsi="Garamond" w:cs="Calibri"/>
                <w:color w:val="000000"/>
                <w:sz w:val="16"/>
                <w:szCs w:val="16"/>
              </w:rPr>
              <w:t>12%</w:t>
            </w:r>
          </w:p>
        </w:tc>
        <w:tc>
          <w:tcPr>
            <w:tcW w:w="1523" w:type="dxa"/>
            <w:vAlign w:val="center"/>
          </w:tcPr>
          <w:p w:rsidR="009F1F39" w:rsidRPr="008D6CCA" w:rsidRDefault="009F1F39" w:rsidP="00213533">
            <w:pPr>
              <w:pStyle w:val="TabelaTekst"/>
              <w:spacing w:before="0" w:after="0" w:line="240" w:lineRule="auto"/>
              <w:jc w:val="center"/>
              <w:rPr>
                <w:rFonts w:ascii="Garamond" w:hAnsi="Garamond"/>
                <w:sz w:val="16"/>
                <w:szCs w:val="16"/>
              </w:rPr>
            </w:pPr>
            <w:r w:rsidRPr="008D6CCA">
              <w:rPr>
                <w:rFonts w:ascii="Garamond" w:hAnsi="Garamond" w:cstheme="majorHAnsi"/>
                <w:noProof/>
                <w:sz w:val="16"/>
                <w:szCs w:val="16"/>
                <w:lang w:eastAsia="en-GB"/>
              </w:rPr>
              <w:t>8.3%</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Default="004D1343" w:rsidP="004D1343">
      <w:pPr>
        <w:rPr>
          <w:rFonts w:ascii="Garamond" w:hAnsi="Garamond"/>
          <w:sz w:val="24"/>
          <w:szCs w:val="24"/>
        </w:rPr>
      </w:pPr>
    </w:p>
    <w:p w:rsidR="004D1343" w:rsidRDefault="004D1343" w:rsidP="006225A7">
      <w:pPr>
        <w:pStyle w:val="Heading3"/>
        <w:rPr>
          <w:rFonts w:ascii="Garamond" w:hAnsi="Garamond"/>
          <w:sz w:val="24"/>
          <w:szCs w:val="24"/>
        </w:rPr>
      </w:pPr>
      <w:bookmarkStart w:id="72" w:name="_Toc77688249"/>
      <w:r w:rsidRPr="00C32887">
        <w:rPr>
          <w:rFonts w:ascii="Garamond" w:hAnsi="Garamond"/>
          <w:sz w:val="24"/>
          <w:szCs w:val="24"/>
        </w:rPr>
        <w:t>3.1.2      P</w:t>
      </w:r>
      <w:r w:rsidR="009F1F39">
        <w:rPr>
          <w:rFonts w:ascii="Garamond" w:hAnsi="Garamond"/>
          <w:sz w:val="24"/>
          <w:szCs w:val="24"/>
        </w:rPr>
        <w:t xml:space="preserve">ERFORMANCE INDICATOR 27 </w:t>
      </w:r>
      <w:r w:rsidR="009F1F39" w:rsidRPr="00C32887">
        <w:rPr>
          <w:rFonts w:ascii="Garamond" w:hAnsi="Garamond"/>
          <w:sz w:val="24"/>
          <w:szCs w:val="24"/>
        </w:rPr>
        <w:t>PASSPORT</w:t>
      </w:r>
      <w:bookmarkEnd w:id="72"/>
    </w:p>
    <w:p w:rsidR="006225A7" w:rsidRPr="006225A7" w:rsidRDefault="006225A7" w:rsidP="006225A7"/>
    <w:p w:rsidR="009F1F39" w:rsidRPr="00C32887" w:rsidRDefault="004D1343" w:rsidP="004D1343">
      <w:pPr>
        <w:rPr>
          <w:rFonts w:ascii="Garamond" w:hAnsi="Garamond"/>
          <w:sz w:val="24"/>
          <w:szCs w:val="24"/>
        </w:rPr>
      </w:pPr>
      <w:r w:rsidRPr="00C32887">
        <w:rPr>
          <w:rFonts w:ascii="Garamond" w:hAnsi="Garamond"/>
          <w:sz w:val="24"/>
          <w:szCs w:val="24"/>
        </w:rPr>
        <w:tab/>
      </w: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9F1F39" w:rsidRPr="001D1E5B" w:rsidTr="00213533">
        <w:trPr>
          <w:jc w:val="center"/>
        </w:trPr>
        <w:tc>
          <w:tcPr>
            <w:tcW w:w="2721" w:type="dxa"/>
            <w:tcBorders>
              <w:right w:val="single" w:sz="4" w:space="0" w:color="FFFFFF"/>
            </w:tcBorders>
            <w:shd w:val="clear" w:color="auto" w:fill="BFBFBF"/>
            <w:vAlign w:val="center"/>
          </w:tcPr>
          <w:p w:rsidR="009F1F39" w:rsidRPr="001D1E5B" w:rsidRDefault="009F1F39" w:rsidP="00213533">
            <w:pPr>
              <w:autoSpaceDE/>
              <w:autoSpaceDN/>
              <w:rPr>
                <w:rFonts w:ascii="Garamond" w:eastAsia="Calibri" w:hAnsi="Garamond"/>
                <w:b/>
                <w:caps/>
                <w:sz w:val="16"/>
                <w:szCs w:val="16"/>
                <w:lang w:val="en-GB" w:eastAsia="en-US" w:bidi="ar-SA"/>
              </w:rPr>
            </w:pPr>
            <w:r w:rsidRPr="001D1E5B">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195CE7" w:rsidRPr="001D1E5B" w:rsidRDefault="00195CE7" w:rsidP="00195CE7">
            <w:pPr>
              <w:pStyle w:val="Default"/>
              <w:jc w:val="both"/>
              <w:rPr>
                <w:rFonts w:ascii="Garamond" w:hAnsi="Garamond"/>
                <w:sz w:val="16"/>
                <w:szCs w:val="16"/>
              </w:rPr>
            </w:pPr>
            <w:r w:rsidRPr="001D1E5B">
              <w:rPr>
                <w:rFonts w:ascii="Garamond" w:hAnsi="Garamond"/>
                <w:sz w:val="16"/>
                <w:szCs w:val="16"/>
              </w:rPr>
              <w:t xml:space="preserve">Percentage of the budget users on central and local level submitting annual FMC reports </w:t>
            </w:r>
          </w:p>
          <w:p w:rsidR="009F1F39" w:rsidRPr="001D1E5B" w:rsidRDefault="009F1F39" w:rsidP="00213533">
            <w:pPr>
              <w:pStyle w:val="Default"/>
              <w:jc w:val="both"/>
              <w:rPr>
                <w:rFonts w:ascii="Garamond" w:eastAsia="Calibri" w:hAnsi="Garamond"/>
                <w:b/>
                <w:sz w:val="16"/>
                <w:szCs w:val="16"/>
                <w:lang w:eastAsia="en-US"/>
              </w:rPr>
            </w:pPr>
          </w:p>
        </w:tc>
      </w:tr>
      <w:tr w:rsidR="009F1F39" w:rsidRPr="001D1E5B" w:rsidTr="00213533">
        <w:trPr>
          <w:gridAfter w:val="1"/>
          <w:wAfter w:w="19" w:type="dxa"/>
          <w:jc w:val="center"/>
        </w:trPr>
        <w:tc>
          <w:tcPr>
            <w:tcW w:w="2721" w:type="dxa"/>
            <w:vAlign w:val="center"/>
          </w:tcPr>
          <w:p w:rsidR="009F1F39" w:rsidRPr="001D1E5B" w:rsidRDefault="009F1F39" w:rsidP="006225A7">
            <w:pPr>
              <w:rPr>
                <w:rFonts w:ascii="Garamond" w:eastAsia="Calibri" w:hAnsi="Garamond"/>
                <w:b/>
                <w:caps/>
                <w:sz w:val="16"/>
                <w:szCs w:val="16"/>
                <w:lang w:val="en-GB" w:eastAsia="en-US" w:bidi="ar-SA"/>
              </w:rPr>
            </w:pPr>
            <w:r w:rsidRPr="001D1E5B">
              <w:rPr>
                <w:rFonts w:ascii="Garamond" w:eastAsia="Calibri" w:hAnsi="Garamond"/>
                <w:b/>
                <w:caps/>
                <w:sz w:val="16"/>
                <w:szCs w:val="16"/>
                <w:lang w:val="en-GB" w:eastAsia="en-US" w:bidi="ar-SA"/>
              </w:rPr>
              <w:t>corresponding objective or activity</w:t>
            </w:r>
          </w:p>
        </w:tc>
        <w:tc>
          <w:tcPr>
            <w:tcW w:w="6836" w:type="dxa"/>
            <w:gridSpan w:val="4"/>
            <w:vAlign w:val="center"/>
          </w:tcPr>
          <w:p w:rsidR="009F1F39" w:rsidRPr="001D1E5B" w:rsidRDefault="009F1F39" w:rsidP="006225A7">
            <w:pPr>
              <w:rPr>
                <w:rFonts w:ascii="Garamond" w:hAnsi="Garamond"/>
                <w:color w:val="365F91" w:themeColor="accent1" w:themeShade="BF"/>
                <w:sz w:val="16"/>
                <w:szCs w:val="16"/>
              </w:rPr>
            </w:pPr>
            <w:r w:rsidRPr="001D1E5B">
              <w:rPr>
                <w:rFonts w:ascii="Garamond" w:hAnsi="Garamond"/>
                <w:color w:val="365F91" w:themeColor="accent1" w:themeShade="BF"/>
                <w:sz w:val="16"/>
                <w:szCs w:val="16"/>
              </w:rPr>
              <w:t>Public Internal Financial Control Development</w:t>
            </w:r>
          </w:p>
          <w:p w:rsidR="009F1F39" w:rsidRPr="001D1E5B" w:rsidRDefault="009F1F39" w:rsidP="006225A7">
            <w:pPr>
              <w:pStyle w:val="ListParagraph"/>
              <w:numPr>
                <w:ilvl w:val="0"/>
                <w:numId w:val="28"/>
              </w:numPr>
              <w:rPr>
                <w:rFonts w:ascii="Garamond" w:eastAsia="Calibri" w:hAnsi="Garamond"/>
                <w:color w:val="365F91" w:themeColor="accent1" w:themeShade="BF"/>
                <w:sz w:val="16"/>
                <w:szCs w:val="16"/>
                <w:lang w:eastAsia="en-US" w:bidi="ar-SA"/>
              </w:rPr>
            </w:pPr>
            <w:r w:rsidRPr="001D1E5B">
              <w:rPr>
                <w:rFonts w:ascii="Garamond" w:hAnsi="Garamond"/>
                <w:color w:val="365F91" w:themeColor="accent1" w:themeShade="BF"/>
                <w:sz w:val="16"/>
                <w:szCs w:val="16"/>
              </w:rPr>
              <w:t>Managing public finances in an efficient, economical, effective and transparent way by all spending units</w:t>
            </w:r>
          </w:p>
        </w:tc>
      </w:tr>
      <w:tr w:rsidR="009F1F39" w:rsidRPr="001D1E5B" w:rsidTr="00213533">
        <w:trPr>
          <w:gridAfter w:val="1"/>
          <w:wAfter w:w="19" w:type="dxa"/>
          <w:jc w:val="center"/>
        </w:trPr>
        <w:tc>
          <w:tcPr>
            <w:tcW w:w="2721" w:type="dxa"/>
            <w:vAlign w:val="center"/>
          </w:tcPr>
          <w:p w:rsidR="009F1F39" w:rsidRPr="001D1E5B" w:rsidRDefault="009F1F39"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9F1F39" w:rsidRPr="001D1E5B" w:rsidRDefault="009F1F39" w:rsidP="00213533">
            <w:pPr>
              <w:jc w:val="both"/>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Annual reports on the implementation of planned activities on the establishment and development of financial management and control systems</w:t>
            </w:r>
            <w:r w:rsidRPr="001D1E5B">
              <w:rPr>
                <w:rStyle w:val="FootnoteReference"/>
                <w:rFonts w:ascii="Garamond" w:eastAsia="Calibri" w:hAnsi="Garamond"/>
                <w:sz w:val="16"/>
                <w:szCs w:val="16"/>
                <w:lang w:val="uz-Cyrl-UZ" w:eastAsia="en-US" w:bidi="ar-SA"/>
              </w:rPr>
              <w:footnoteReference w:id="73"/>
            </w:r>
          </w:p>
          <w:p w:rsidR="009F1F39" w:rsidRPr="001D1E5B" w:rsidRDefault="00195CE7" w:rsidP="00213533">
            <w:pPr>
              <w:jc w:val="both"/>
              <w:rPr>
                <w:rFonts w:ascii="Garamond" w:eastAsia="Calibri" w:hAnsi="Garamond"/>
                <w:sz w:val="16"/>
                <w:szCs w:val="16"/>
                <w:lang w:val="en-GB" w:eastAsia="en-US" w:bidi="ar-SA"/>
              </w:rPr>
            </w:pPr>
            <w:r w:rsidRPr="001D1E5B">
              <w:rPr>
                <w:rFonts w:ascii="Garamond" w:eastAsia="Calibri" w:hAnsi="Garamond"/>
                <w:sz w:val="16"/>
                <w:szCs w:val="16"/>
                <w:lang w:val="uz-Cyrl-UZ" w:eastAsia="en-US" w:bidi="ar-SA"/>
              </w:rPr>
              <w:t xml:space="preserve">Data can be downloaded at: </w:t>
            </w:r>
            <w:hyperlink r:id="rId33" w:history="1">
              <w:r w:rsidRPr="001D1E5B">
                <w:rPr>
                  <w:rStyle w:val="Hyperlink"/>
                  <w:rFonts w:ascii="Garamond" w:eastAsia="Calibri" w:hAnsi="Garamond"/>
                  <w:sz w:val="16"/>
                  <w:szCs w:val="16"/>
                  <w:lang w:val="uz-Cyrl-UZ" w:eastAsia="en-US" w:bidi="ar-SA"/>
                </w:rPr>
                <w:t>www.gov.me/ResourceManager/FileDownload.aspx?rId=279138&amp;rType=2</w:t>
              </w:r>
            </w:hyperlink>
            <w:r w:rsidRPr="001D1E5B">
              <w:rPr>
                <w:rFonts w:ascii="Garamond" w:eastAsia="Calibri" w:hAnsi="Garamond"/>
                <w:sz w:val="16"/>
                <w:szCs w:val="16"/>
                <w:lang w:val="en-GB" w:eastAsia="en-US" w:bidi="ar-SA"/>
              </w:rPr>
              <w:t xml:space="preserve"> </w:t>
            </w:r>
          </w:p>
        </w:tc>
      </w:tr>
      <w:tr w:rsidR="009F1F39" w:rsidRPr="001D1E5B" w:rsidTr="00213533">
        <w:trPr>
          <w:gridAfter w:val="1"/>
          <w:wAfter w:w="19" w:type="dxa"/>
          <w:jc w:val="center"/>
        </w:trPr>
        <w:tc>
          <w:tcPr>
            <w:tcW w:w="2721" w:type="dxa"/>
            <w:vAlign w:val="center"/>
          </w:tcPr>
          <w:p w:rsidR="009F1F39" w:rsidRPr="001D1E5B" w:rsidRDefault="009F1F39"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NAME OF DATA COLLECTION HOLDER</w:t>
            </w:r>
          </w:p>
        </w:tc>
        <w:tc>
          <w:tcPr>
            <w:tcW w:w="6836" w:type="dxa"/>
            <w:gridSpan w:val="4"/>
            <w:vAlign w:val="center"/>
          </w:tcPr>
          <w:p w:rsidR="009F1F39" w:rsidRPr="001D1E5B" w:rsidRDefault="009F1F39" w:rsidP="00213533">
            <w:pPr>
              <w:rPr>
                <w:rFonts w:ascii="Garamond" w:hAnsi="Garamond"/>
                <w:sz w:val="16"/>
                <w:szCs w:val="16"/>
              </w:rPr>
            </w:pPr>
            <w:r w:rsidRPr="001D1E5B">
              <w:rPr>
                <w:rFonts w:ascii="Garamond" w:hAnsi="Garamond"/>
                <w:sz w:val="16"/>
                <w:szCs w:val="16"/>
              </w:rPr>
              <w:t>Ministry of Finance and Social Welfare</w:t>
            </w:r>
          </w:p>
          <w:p w:rsidR="004876D7" w:rsidRPr="001D1E5B" w:rsidRDefault="004876D7" w:rsidP="004876D7">
            <w:pPr>
              <w:rPr>
                <w:rFonts w:ascii="Garamond" w:hAnsi="Garamond"/>
                <w:sz w:val="16"/>
                <w:szCs w:val="16"/>
              </w:rPr>
            </w:pPr>
            <w:r w:rsidRPr="001D1E5B">
              <w:rPr>
                <w:rFonts w:ascii="Garamond" w:hAnsi="Garamond"/>
                <w:sz w:val="16"/>
                <w:szCs w:val="16"/>
              </w:rPr>
              <w:t>Svetlana Karadžić</w:t>
            </w:r>
          </w:p>
          <w:p w:rsidR="009F1F39" w:rsidRPr="001D1E5B" w:rsidRDefault="004876D7" w:rsidP="004876D7">
            <w:pPr>
              <w:rPr>
                <w:rFonts w:ascii="Garamond" w:eastAsia="Calibri" w:hAnsi="Garamond"/>
                <w:sz w:val="16"/>
                <w:szCs w:val="16"/>
                <w:lang w:eastAsia="en-US" w:bidi="ar-SA"/>
              </w:rPr>
            </w:pPr>
            <w:r w:rsidRPr="001D1E5B">
              <w:rPr>
                <w:rFonts w:ascii="Garamond" w:hAnsi="Garamond"/>
                <w:sz w:val="16"/>
                <w:szCs w:val="16"/>
              </w:rPr>
              <w:t>Kontakt Email: svetlana.karadzic@mif.gov.me</w:t>
            </w:r>
          </w:p>
        </w:tc>
      </w:tr>
      <w:tr w:rsidR="009F1F39" w:rsidRPr="001D1E5B" w:rsidTr="00213533">
        <w:trPr>
          <w:gridAfter w:val="1"/>
          <w:wAfter w:w="19" w:type="dxa"/>
          <w:jc w:val="center"/>
        </w:trPr>
        <w:tc>
          <w:tcPr>
            <w:tcW w:w="2721" w:type="dxa"/>
            <w:vAlign w:val="center"/>
          </w:tcPr>
          <w:p w:rsidR="009F1F39" w:rsidRPr="001D1E5B" w:rsidRDefault="009F1F39"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FREQUENCY OF DATA PUBLICATION</w:t>
            </w:r>
          </w:p>
        </w:tc>
        <w:tc>
          <w:tcPr>
            <w:tcW w:w="6836" w:type="dxa"/>
            <w:gridSpan w:val="4"/>
            <w:vAlign w:val="center"/>
          </w:tcPr>
          <w:p w:rsidR="009F1F39" w:rsidRPr="001D1E5B" w:rsidRDefault="009F1F39" w:rsidP="004876D7">
            <w:pPr>
              <w:rPr>
                <w:rFonts w:ascii="Garamond" w:eastAsia="Calibri" w:hAnsi="Garamond"/>
                <w:sz w:val="16"/>
                <w:szCs w:val="16"/>
                <w:lang w:eastAsia="en-US" w:bidi="ar-SA"/>
              </w:rPr>
            </w:pPr>
            <w:r w:rsidRPr="001D1E5B">
              <w:rPr>
                <w:rFonts w:ascii="Garamond" w:eastAsia="Calibri" w:hAnsi="Garamond"/>
                <w:sz w:val="16"/>
                <w:szCs w:val="16"/>
                <w:lang w:eastAsia="en-US" w:bidi="ar-SA"/>
              </w:rPr>
              <w:t xml:space="preserve">Once a year, during the adoption of the Consolidated Report, </w:t>
            </w:r>
            <w:proofErr w:type="gramStart"/>
            <w:r w:rsidRPr="001D1E5B">
              <w:rPr>
                <w:rFonts w:ascii="Garamond" w:eastAsia="Calibri" w:hAnsi="Garamond"/>
                <w:sz w:val="16"/>
                <w:szCs w:val="16"/>
                <w:lang w:eastAsia="en-US" w:bidi="ar-SA"/>
              </w:rPr>
              <w:t>which is published on the website of the Government of Montenegro, after the adoption</w:t>
            </w:r>
            <w:r w:rsidR="001D1E5B">
              <w:rPr>
                <w:rFonts w:ascii="Garamond" w:eastAsia="Calibri" w:hAnsi="Garamond"/>
                <w:sz w:val="16"/>
                <w:szCs w:val="16"/>
                <w:lang w:eastAsia="en-US" w:bidi="ar-SA"/>
              </w:rPr>
              <w:t>,</w:t>
            </w:r>
            <w:r w:rsidRPr="001D1E5B">
              <w:rPr>
                <w:rFonts w:ascii="Garamond" w:eastAsia="Calibri" w:hAnsi="Garamond"/>
                <w:sz w:val="16"/>
                <w:szCs w:val="16"/>
                <w:lang w:eastAsia="en-US" w:bidi="ar-SA"/>
              </w:rPr>
              <w:t xml:space="preserve"> by the end of </w:t>
            </w:r>
            <w:r w:rsidR="004876D7" w:rsidRPr="001D1E5B">
              <w:rPr>
                <w:rFonts w:ascii="Garamond" w:eastAsia="Calibri" w:hAnsi="Garamond"/>
                <w:sz w:val="16"/>
                <w:szCs w:val="16"/>
                <w:lang w:eastAsia="en-US" w:bidi="ar-SA"/>
              </w:rPr>
              <w:t>Q2</w:t>
            </w:r>
            <w:r w:rsidRPr="001D1E5B">
              <w:rPr>
                <w:rFonts w:ascii="Garamond" w:eastAsia="Calibri" w:hAnsi="Garamond"/>
                <w:sz w:val="16"/>
                <w:szCs w:val="16"/>
                <w:lang w:eastAsia="en-US" w:bidi="ar-SA"/>
              </w:rPr>
              <w:t xml:space="preserve"> of the current year.</w:t>
            </w:r>
            <w:proofErr w:type="gramEnd"/>
          </w:p>
        </w:tc>
      </w:tr>
      <w:tr w:rsidR="009F1F39" w:rsidRPr="001D1E5B" w:rsidTr="00213533">
        <w:trPr>
          <w:gridAfter w:val="1"/>
          <w:wAfter w:w="19" w:type="dxa"/>
          <w:trHeight w:val="458"/>
          <w:jc w:val="center"/>
        </w:trPr>
        <w:tc>
          <w:tcPr>
            <w:tcW w:w="2721" w:type="dxa"/>
            <w:vMerge w:val="restart"/>
            <w:vAlign w:val="center"/>
          </w:tcPr>
          <w:p w:rsidR="009F1F39" w:rsidRPr="001D1E5B" w:rsidRDefault="009F1F39"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 xml:space="preserve">BRIEF DESCRIPTION </w:t>
            </w:r>
            <w:r w:rsidRPr="001D1E5B">
              <w:rPr>
                <w:rFonts w:ascii="Garamond" w:eastAsia="Calibri" w:hAnsi="Garamond"/>
                <w:b/>
                <w:caps/>
                <w:sz w:val="16"/>
                <w:szCs w:val="16"/>
                <w:lang w:val="en-GB" w:eastAsia="en-US" w:bidi="ar-SA"/>
              </w:rPr>
              <w:t xml:space="preserve">OF </w:t>
            </w:r>
            <w:r w:rsidRPr="001D1E5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9F1F39" w:rsidRPr="001D1E5B" w:rsidRDefault="004876D7" w:rsidP="004876D7">
            <w:pPr>
              <w:jc w:val="both"/>
              <w:rPr>
                <w:rFonts w:ascii="Garamond" w:eastAsia="Calibri" w:hAnsi="Garamond"/>
                <w:sz w:val="16"/>
                <w:szCs w:val="16"/>
                <w:u w:val="single"/>
                <w:lang w:val="uz-Cyrl-UZ" w:eastAsia="en-US" w:bidi="ar-SA"/>
              </w:rPr>
            </w:pPr>
            <w:r w:rsidRPr="001D1E5B">
              <w:rPr>
                <w:rFonts w:ascii="Garamond" w:eastAsia="Calibri" w:hAnsi="Garamond"/>
                <w:sz w:val="16"/>
                <w:szCs w:val="16"/>
                <w:lang w:val="uz-Cyrl-UZ" w:eastAsia="en-US" w:bidi="ar-SA"/>
              </w:rPr>
              <w:t>The performance indicator refers to budget users at the central and local level who, in accordance with the Law on the Public Internal Financial Control System, are obliged to submit a report on the activities carried out in the entity</w:t>
            </w:r>
            <w:r w:rsidR="009F1F39" w:rsidRPr="001D1E5B">
              <w:rPr>
                <w:rFonts w:ascii="Garamond" w:eastAsia="Calibri" w:hAnsi="Garamond"/>
                <w:sz w:val="16"/>
                <w:szCs w:val="16"/>
                <w:lang w:val="uz-Cyrl-UZ" w:eastAsia="en-US" w:bidi="ar-SA"/>
              </w:rPr>
              <w:t>.</w:t>
            </w:r>
            <w:r w:rsidR="00195CE7" w:rsidRPr="001D1E5B">
              <w:rPr>
                <w:rStyle w:val="FootnoteReference"/>
                <w:rFonts w:ascii="Garamond" w:eastAsia="Calibri" w:hAnsi="Garamond"/>
                <w:sz w:val="16"/>
                <w:szCs w:val="16"/>
                <w:lang w:val="uz-Cyrl-UZ" w:eastAsia="en-US" w:bidi="ar-SA"/>
              </w:rPr>
              <w:footnoteReference w:id="74"/>
            </w:r>
          </w:p>
        </w:tc>
      </w:tr>
      <w:tr w:rsidR="009F1F39" w:rsidRPr="001D1E5B" w:rsidTr="00213533">
        <w:trPr>
          <w:gridAfter w:val="1"/>
          <w:wAfter w:w="19" w:type="dxa"/>
          <w:trHeight w:val="620"/>
          <w:jc w:val="center"/>
        </w:trPr>
        <w:tc>
          <w:tcPr>
            <w:tcW w:w="2721" w:type="dxa"/>
            <w:vMerge/>
            <w:shd w:val="clear" w:color="auto" w:fill="auto"/>
            <w:vAlign w:val="center"/>
          </w:tcPr>
          <w:p w:rsidR="009F1F39" w:rsidRPr="001D1E5B" w:rsidRDefault="009F1F39" w:rsidP="00213533">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9F1F39" w:rsidRPr="001D1E5B" w:rsidRDefault="009F1F39" w:rsidP="00213533">
            <w:pPr>
              <w:jc w:val="center"/>
              <w:rPr>
                <w:rFonts w:ascii="Garamond" w:hAnsi="Garamond"/>
                <w:color w:val="365F91" w:themeColor="accent1" w:themeShade="BF"/>
                <w:sz w:val="16"/>
                <w:szCs w:val="16"/>
                <w:lang w:val="uz-Cyrl-UZ"/>
              </w:rPr>
            </w:pPr>
            <w:r w:rsidRPr="001D1E5B">
              <w:rPr>
                <w:rFonts w:ascii="Garamond" w:hAnsi="Garamond"/>
                <w:color w:val="365F91" w:themeColor="accent1" w:themeShade="BF"/>
                <w:sz w:val="16"/>
                <w:szCs w:val="16"/>
                <w:lang w:val="uz-Cyrl-UZ"/>
              </w:rPr>
              <w:t>FORMULA / EQUATION</w:t>
            </w:r>
          </w:p>
          <w:p w:rsidR="009F1F39" w:rsidRPr="001D1E5B" w:rsidRDefault="001D1E5B" w:rsidP="001D1E5B">
            <w:pPr>
              <w:jc w:val="center"/>
              <w:rPr>
                <w:rFonts w:ascii="Garamond" w:eastAsia="Calibri" w:hAnsi="Garamond"/>
                <w:sz w:val="16"/>
                <w:szCs w:val="16"/>
                <w:lang w:val="en-GB" w:eastAsia="en-US" w:bidi="ar-SA"/>
              </w:rPr>
            </w:pPr>
            <w:r>
              <w:rPr>
                <w:rFonts w:ascii="Garamond" w:eastAsia="Calibri" w:hAnsi="Garamond"/>
                <w:sz w:val="16"/>
                <w:szCs w:val="16"/>
                <w:lang w:val="en-GB" w:eastAsia="en-US" w:bidi="ar-SA"/>
              </w:rPr>
              <w:t>Ratio between the n</w:t>
            </w:r>
            <w:r w:rsidR="00195CE7" w:rsidRPr="001D1E5B">
              <w:rPr>
                <w:rFonts w:ascii="Garamond" w:eastAsia="Calibri" w:hAnsi="Garamond"/>
                <w:sz w:val="16"/>
                <w:szCs w:val="16"/>
                <w:lang w:val="en-GB" w:eastAsia="en-US" w:bidi="ar-SA"/>
              </w:rPr>
              <w:t xml:space="preserve">umber of budget users at central and local level who submit annual report </w:t>
            </w:r>
            <w:r>
              <w:rPr>
                <w:rFonts w:ascii="Garamond" w:eastAsia="Calibri" w:hAnsi="Garamond"/>
                <w:sz w:val="16"/>
                <w:szCs w:val="16"/>
                <w:lang w:val="en-GB" w:eastAsia="en-US" w:bidi="ar-SA"/>
              </w:rPr>
              <w:t>and</w:t>
            </w:r>
            <w:r w:rsidR="00195CE7" w:rsidRPr="001D1E5B">
              <w:rPr>
                <w:rFonts w:ascii="Garamond" w:eastAsia="Calibri" w:hAnsi="Garamond"/>
                <w:sz w:val="16"/>
                <w:szCs w:val="16"/>
                <w:lang w:val="en-GB" w:eastAsia="en-US" w:bidi="ar-SA"/>
              </w:rPr>
              <w:t xml:space="preserve"> the total number of users at central and local level who are obliged to submit annual report X 100</w:t>
            </w:r>
          </w:p>
        </w:tc>
      </w:tr>
      <w:tr w:rsidR="009F1F39" w:rsidRPr="001D1E5B" w:rsidTr="00213533">
        <w:trPr>
          <w:gridAfter w:val="1"/>
          <w:wAfter w:w="19" w:type="dxa"/>
          <w:trHeight w:val="585"/>
          <w:jc w:val="center"/>
        </w:trPr>
        <w:tc>
          <w:tcPr>
            <w:tcW w:w="2721" w:type="dxa"/>
            <w:vAlign w:val="center"/>
          </w:tcPr>
          <w:p w:rsidR="009F1F39" w:rsidRPr="001D1E5B" w:rsidRDefault="009F1F39" w:rsidP="00213533">
            <w:pPr>
              <w:autoSpaceDE/>
              <w:autoSpaceDN/>
              <w:rPr>
                <w:rFonts w:ascii="Garamond" w:eastAsia="Calibri" w:hAnsi="Garamond"/>
                <w:b/>
                <w:bCs/>
                <w:caps/>
                <w:sz w:val="16"/>
                <w:szCs w:val="16"/>
                <w:lang w:val="en-GB" w:eastAsia="en-US" w:bidi="ar-SA"/>
              </w:rPr>
            </w:pPr>
            <w:r w:rsidRPr="001D1E5B">
              <w:rPr>
                <w:rFonts w:ascii="Garamond" w:eastAsia="Calibri" w:hAnsi="Garamond"/>
                <w:b/>
                <w:caps/>
                <w:sz w:val="16"/>
                <w:szCs w:val="16"/>
                <w:lang w:val="uz-Cyrl-UZ" w:eastAsia="en-US" w:bidi="ar-SA"/>
              </w:rPr>
              <w:t>BASELINE</w:t>
            </w:r>
            <w:r w:rsidRPr="001D1E5B">
              <w:rPr>
                <w:rFonts w:ascii="Garamond" w:eastAsia="Calibri" w:hAnsi="Garamond"/>
                <w:b/>
                <w:caps/>
                <w:sz w:val="16"/>
                <w:szCs w:val="16"/>
                <w:lang w:val="en-GB" w:eastAsia="en-US" w:bidi="ar-SA"/>
              </w:rPr>
              <w:t xml:space="preserve"> DATA</w:t>
            </w:r>
          </w:p>
        </w:tc>
        <w:tc>
          <w:tcPr>
            <w:tcW w:w="6836" w:type="dxa"/>
            <w:gridSpan w:val="4"/>
            <w:vAlign w:val="center"/>
          </w:tcPr>
          <w:p w:rsidR="009F1F39" w:rsidRPr="001D1E5B" w:rsidRDefault="009F1F39" w:rsidP="004876D7">
            <w:pPr>
              <w:pStyle w:val="TabelaTekst"/>
              <w:spacing w:after="0"/>
              <w:rPr>
                <w:rFonts w:ascii="Garamond" w:hAnsi="Garamond"/>
                <w:sz w:val="16"/>
                <w:szCs w:val="16"/>
                <w:lang w:val="en-GB"/>
              </w:rPr>
            </w:pPr>
            <w:r w:rsidRPr="001D1E5B">
              <w:rPr>
                <w:rFonts w:ascii="Garamond" w:hAnsi="Garamond"/>
                <w:sz w:val="16"/>
                <w:szCs w:val="16"/>
              </w:rPr>
              <w:t>PV (2014</w:t>
            </w:r>
            <w:r w:rsidRPr="001D1E5B">
              <w:rPr>
                <w:rFonts w:ascii="Garamond" w:hAnsi="Garamond"/>
                <w:sz w:val="16"/>
                <w:szCs w:val="16"/>
                <w:lang w:val="en-GB"/>
              </w:rPr>
              <w:t xml:space="preserve">): </w:t>
            </w:r>
            <w:r w:rsidR="00195CE7" w:rsidRPr="001D1E5B">
              <w:rPr>
                <w:rFonts w:ascii="Garamond" w:hAnsi="Garamond"/>
                <w:sz w:val="16"/>
                <w:szCs w:val="16"/>
                <w:lang w:val="en-GB"/>
              </w:rPr>
              <w:t>69</w:t>
            </w:r>
            <w:r w:rsidRPr="001D1E5B">
              <w:rPr>
                <w:rFonts w:ascii="Garamond" w:hAnsi="Garamond"/>
                <w:sz w:val="16"/>
                <w:szCs w:val="16"/>
                <w:lang w:val="en-GB"/>
              </w:rPr>
              <w:t>%</w:t>
            </w:r>
          </w:p>
          <w:p w:rsidR="009F1F39" w:rsidRPr="001D1E5B" w:rsidRDefault="00195CE7" w:rsidP="004876D7">
            <w:pPr>
              <w:pStyle w:val="TabelaTekst"/>
              <w:spacing w:before="0" w:after="0"/>
              <w:rPr>
                <w:rFonts w:ascii="Garamond" w:hAnsi="Garamond"/>
                <w:sz w:val="16"/>
                <w:szCs w:val="16"/>
                <w:lang w:val="en-GB"/>
              </w:rPr>
            </w:pPr>
            <w:r w:rsidRPr="001D1E5B">
              <w:rPr>
                <w:rFonts w:ascii="Garamond" w:hAnsi="Garamond"/>
                <w:sz w:val="16"/>
                <w:szCs w:val="16"/>
                <w:lang w:val="en-GB"/>
              </w:rPr>
              <w:t>2015: 76</w:t>
            </w:r>
            <w:r w:rsidR="009F1F39" w:rsidRPr="001D1E5B">
              <w:rPr>
                <w:rFonts w:ascii="Garamond" w:hAnsi="Garamond"/>
                <w:sz w:val="16"/>
                <w:szCs w:val="16"/>
                <w:lang w:val="en-GB"/>
              </w:rPr>
              <w:t>%</w:t>
            </w:r>
          </w:p>
          <w:p w:rsidR="009F1F39" w:rsidRPr="001D1E5B" w:rsidRDefault="00195CE7" w:rsidP="00195CE7">
            <w:pPr>
              <w:pStyle w:val="TabelaTekst"/>
              <w:spacing w:before="0" w:after="0" w:line="240" w:lineRule="auto"/>
              <w:rPr>
                <w:rFonts w:ascii="Garamond" w:hAnsi="Garamond"/>
                <w:sz w:val="16"/>
                <w:szCs w:val="16"/>
                <w:lang w:val="en-GB"/>
              </w:rPr>
            </w:pPr>
            <w:r w:rsidRPr="001D1E5B">
              <w:rPr>
                <w:rFonts w:ascii="Garamond" w:hAnsi="Garamond"/>
                <w:sz w:val="16"/>
                <w:szCs w:val="16"/>
                <w:lang w:val="en-GB"/>
              </w:rPr>
              <w:t>2016: 76</w:t>
            </w:r>
            <w:r w:rsidR="009F1F39" w:rsidRPr="001D1E5B">
              <w:rPr>
                <w:rFonts w:ascii="Garamond" w:hAnsi="Garamond"/>
                <w:sz w:val="16"/>
                <w:szCs w:val="16"/>
                <w:lang w:val="en-GB"/>
              </w:rPr>
              <w:t xml:space="preserve">%   </w:t>
            </w:r>
          </w:p>
        </w:tc>
      </w:tr>
      <w:tr w:rsidR="009F1F39" w:rsidRPr="001D1E5B" w:rsidTr="00213533">
        <w:trPr>
          <w:gridAfter w:val="1"/>
          <w:wAfter w:w="19" w:type="dxa"/>
          <w:trHeight w:val="160"/>
          <w:jc w:val="center"/>
        </w:trPr>
        <w:tc>
          <w:tcPr>
            <w:tcW w:w="2721" w:type="dxa"/>
            <w:vMerge w:val="restart"/>
            <w:vAlign w:val="center"/>
          </w:tcPr>
          <w:p w:rsidR="009F1F39" w:rsidRPr="001D1E5B" w:rsidRDefault="009F1F39" w:rsidP="00213533">
            <w:pPr>
              <w:autoSpaceDE/>
              <w:autoSpaceDN/>
              <w:rPr>
                <w:rFonts w:ascii="Garamond" w:eastAsia="Calibri" w:hAnsi="Garamond"/>
                <w:b/>
                <w:bCs/>
                <w:caps/>
                <w:sz w:val="16"/>
                <w:szCs w:val="16"/>
                <w:lang w:val="uz-Cyrl-UZ" w:eastAsia="en-US" w:bidi="ar-SA"/>
              </w:rPr>
            </w:pPr>
            <w:r w:rsidRPr="001D1E5B">
              <w:rPr>
                <w:rFonts w:ascii="Garamond" w:eastAsia="Calibri" w:hAnsi="Garamond"/>
                <w:b/>
                <w:caps/>
                <w:sz w:val="16"/>
                <w:szCs w:val="16"/>
                <w:lang w:val="uz-Cyrl-UZ" w:eastAsia="en-US" w:bidi="ar-SA"/>
              </w:rPr>
              <w:t>TARGET VALUE DATA</w:t>
            </w:r>
          </w:p>
        </w:tc>
        <w:tc>
          <w:tcPr>
            <w:tcW w:w="1771" w:type="dxa"/>
            <w:vAlign w:val="center"/>
          </w:tcPr>
          <w:p w:rsidR="009F1F39" w:rsidRPr="001D1E5B" w:rsidRDefault="009F1F39" w:rsidP="00213533">
            <w:pPr>
              <w:autoSpaceDE/>
              <w:autoSpaceDN/>
              <w:jc w:val="center"/>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2017</w:t>
            </w:r>
          </w:p>
        </w:tc>
        <w:tc>
          <w:tcPr>
            <w:tcW w:w="1771" w:type="dxa"/>
            <w:vAlign w:val="center"/>
          </w:tcPr>
          <w:p w:rsidR="009F1F39" w:rsidRPr="001D1E5B" w:rsidRDefault="009F1F39" w:rsidP="00213533">
            <w:pPr>
              <w:autoSpaceDE/>
              <w:autoSpaceDN/>
              <w:jc w:val="center"/>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2018</w:t>
            </w:r>
          </w:p>
        </w:tc>
        <w:tc>
          <w:tcPr>
            <w:tcW w:w="1771" w:type="dxa"/>
            <w:vAlign w:val="center"/>
          </w:tcPr>
          <w:p w:rsidR="009F1F39" w:rsidRPr="001D1E5B" w:rsidRDefault="009F1F39" w:rsidP="00213533">
            <w:pPr>
              <w:autoSpaceDE/>
              <w:autoSpaceDN/>
              <w:jc w:val="center"/>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2019</w:t>
            </w:r>
          </w:p>
        </w:tc>
        <w:tc>
          <w:tcPr>
            <w:tcW w:w="1523" w:type="dxa"/>
            <w:vAlign w:val="center"/>
          </w:tcPr>
          <w:p w:rsidR="009F1F39" w:rsidRPr="001D1E5B" w:rsidRDefault="009F1F39" w:rsidP="00213533">
            <w:pPr>
              <w:autoSpaceDE/>
              <w:autoSpaceDN/>
              <w:jc w:val="center"/>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2020</w:t>
            </w:r>
          </w:p>
        </w:tc>
      </w:tr>
      <w:tr w:rsidR="00195CE7" w:rsidRPr="001D1E5B" w:rsidTr="00213533">
        <w:trPr>
          <w:gridAfter w:val="1"/>
          <w:wAfter w:w="19" w:type="dxa"/>
          <w:trHeight w:val="160"/>
          <w:jc w:val="center"/>
        </w:trPr>
        <w:tc>
          <w:tcPr>
            <w:tcW w:w="2721" w:type="dxa"/>
            <w:vMerge/>
            <w:vAlign w:val="center"/>
          </w:tcPr>
          <w:p w:rsidR="00195CE7" w:rsidRPr="001D1E5B" w:rsidRDefault="00195CE7" w:rsidP="00213533">
            <w:pPr>
              <w:autoSpaceDE/>
              <w:autoSpaceDN/>
              <w:rPr>
                <w:rFonts w:ascii="Garamond" w:eastAsia="Calibri" w:hAnsi="Garamond"/>
                <w:b/>
                <w:bCs/>
                <w:caps/>
                <w:sz w:val="16"/>
                <w:szCs w:val="16"/>
                <w:lang w:val="uz-Cyrl-UZ" w:eastAsia="en-US" w:bidi="ar-SA"/>
              </w:rPr>
            </w:pPr>
          </w:p>
        </w:tc>
        <w:tc>
          <w:tcPr>
            <w:tcW w:w="1771" w:type="dxa"/>
            <w:vAlign w:val="center"/>
          </w:tcPr>
          <w:p w:rsidR="00195CE7" w:rsidRPr="001D1E5B" w:rsidRDefault="00195CE7" w:rsidP="00213533">
            <w:pPr>
              <w:pStyle w:val="TabelaTekst"/>
              <w:spacing w:before="0" w:after="0" w:line="240" w:lineRule="auto"/>
              <w:jc w:val="center"/>
              <w:rPr>
                <w:rFonts w:ascii="Garamond" w:hAnsi="Garamond"/>
                <w:sz w:val="16"/>
                <w:szCs w:val="16"/>
              </w:rPr>
            </w:pPr>
            <w:r w:rsidRPr="001D1E5B">
              <w:rPr>
                <w:rFonts w:ascii="Garamond" w:hAnsi="Garamond"/>
                <w:sz w:val="16"/>
                <w:szCs w:val="16"/>
              </w:rPr>
              <w:t>75%</w:t>
            </w:r>
          </w:p>
        </w:tc>
        <w:tc>
          <w:tcPr>
            <w:tcW w:w="1771" w:type="dxa"/>
            <w:vAlign w:val="center"/>
          </w:tcPr>
          <w:p w:rsidR="00195CE7" w:rsidRPr="001D1E5B" w:rsidRDefault="00195CE7" w:rsidP="00213533">
            <w:pPr>
              <w:pStyle w:val="TabelaTekst"/>
              <w:spacing w:before="0" w:after="0" w:line="240" w:lineRule="auto"/>
              <w:jc w:val="center"/>
              <w:rPr>
                <w:rFonts w:ascii="Garamond" w:hAnsi="Garamond"/>
                <w:sz w:val="16"/>
                <w:szCs w:val="16"/>
              </w:rPr>
            </w:pPr>
            <w:r w:rsidRPr="001D1E5B">
              <w:rPr>
                <w:rFonts w:ascii="Garamond" w:hAnsi="Garamond"/>
                <w:sz w:val="16"/>
                <w:szCs w:val="16"/>
              </w:rPr>
              <w:t>80%</w:t>
            </w:r>
          </w:p>
        </w:tc>
        <w:tc>
          <w:tcPr>
            <w:tcW w:w="1771" w:type="dxa"/>
            <w:vAlign w:val="center"/>
          </w:tcPr>
          <w:p w:rsidR="00195CE7" w:rsidRPr="001D1E5B" w:rsidRDefault="00195CE7" w:rsidP="00213533">
            <w:pPr>
              <w:pStyle w:val="TabelaTekst"/>
              <w:spacing w:before="0" w:after="0" w:line="240" w:lineRule="auto"/>
              <w:jc w:val="center"/>
              <w:rPr>
                <w:rFonts w:ascii="Garamond" w:hAnsi="Garamond"/>
                <w:sz w:val="16"/>
                <w:szCs w:val="16"/>
              </w:rPr>
            </w:pPr>
            <w:r w:rsidRPr="001D1E5B">
              <w:rPr>
                <w:rFonts w:ascii="Garamond" w:hAnsi="Garamond"/>
                <w:sz w:val="16"/>
                <w:szCs w:val="16"/>
              </w:rPr>
              <w:t>90%</w:t>
            </w:r>
          </w:p>
        </w:tc>
        <w:tc>
          <w:tcPr>
            <w:tcW w:w="1523" w:type="dxa"/>
            <w:vAlign w:val="center"/>
          </w:tcPr>
          <w:p w:rsidR="00195CE7" w:rsidRPr="001D1E5B" w:rsidRDefault="00195CE7" w:rsidP="00213533">
            <w:pPr>
              <w:pStyle w:val="TabelaTekst"/>
              <w:spacing w:before="0" w:after="0" w:line="240" w:lineRule="auto"/>
              <w:jc w:val="center"/>
              <w:rPr>
                <w:rFonts w:ascii="Garamond" w:hAnsi="Garamond"/>
                <w:sz w:val="16"/>
                <w:szCs w:val="16"/>
              </w:rPr>
            </w:pPr>
            <w:r w:rsidRPr="001D1E5B">
              <w:rPr>
                <w:rFonts w:ascii="Garamond" w:hAnsi="Garamond"/>
                <w:sz w:val="16"/>
                <w:szCs w:val="16"/>
              </w:rPr>
              <w:t>95%</w:t>
            </w:r>
          </w:p>
        </w:tc>
      </w:tr>
      <w:tr w:rsidR="00195CE7" w:rsidRPr="001D1E5B" w:rsidTr="00213533">
        <w:trPr>
          <w:gridAfter w:val="1"/>
          <w:wAfter w:w="19" w:type="dxa"/>
          <w:trHeight w:val="160"/>
          <w:jc w:val="center"/>
        </w:trPr>
        <w:tc>
          <w:tcPr>
            <w:tcW w:w="2721" w:type="dxa"/>
            <w:vAlign w:val="center"/>
          </w:tcPr>
          <w:p w:rsidR="00195CE7" w:rsidRPr="001D1E5B" w:rsidRDefault="0062456A" w:rsidP="00213533">
            <w:pPr>
              <w:autoSpaceDE/>
              <w:autoSpaceDN/>
              <w:rPr>
                <w:rFonts w:ascii="Garamond" w:eastAsia="Calibri" w:hAnsi="Garamond"/>
                <w:b/>
                <w:bCs/>
                <w:caps/>
                <w:sz w:val="16"/>
                <w:szCs w:val="16"/>
                <w:lang w:val="uz-Cyrl-UZ" w:eastAsia="en-US" w:bidi="ar-SA"/>
              </w:rPr>
            </w:pPr>
            <w:r w:rsidRPr="001D1E5B">
              <w:rPr>
                <w:rFonts w:ascii="Garamond" w:eastAsia="Calibri" w:hAnsi="Garamond"/>
                <w:b/>
                <w:bCs/>
                <w:caps/>
                <w:sz w:val="16"/>
                <w:szCs w:val="16"/>
                <w:lang w:val="uz-Cyrl-UZ" w:eastAsia="en-US" w:bidi="ar-SA"/>
              </w:rPr>
              <w:t>DATA ON VALUES ACHIEVED</w:t>
            </w:r>
          </w:p>
        </w:tc>
        <w:tc>
          <w:tcPr>
            <w:tcW w:w="1771" w:type="dxa"/>
            <w:vAlign w:val="center"/>
          </w:tcPr>
          <w:p w:rsidR="00195CE7" w:rsidRPr="001D1E5B" w:rsidRDefault="00195CE7" w:rsidP="00213533">
            <w:pPr>
              <w:pStyle w:val="TabelaTekst"/>
              <w:spacing w:before="0" w:after="0" w:line="240" w:lineRule="auto"/>
              <w:jc w:val="center"/>
              <w:rPr>
                <w:rFonts w:ascii="Garamond" w:hAnsi="Garamond"/>
                <w:sz w:val="16"/>
                <w:szCs w:val="16"/>
              </w:rPr>
            </w:pPr>
            <w:r w:rsidRPr="001D1E5B">
              <w:rPr>
                <w:rFonts w:ascii="Garamond" w:hAnsi="Garamond"/>
                <w:sz w:val="16"/>
                <w:szCs w:val="16"/>
              </w:rPr>
              <w:t>77%</w:t>
            </w:r>
          </w:p>
        </w:tc>
        <w:tc>
          <w:tcPr>
            <w:tcW w:w="1771" w:type="dxa"/>
            <w:vAlign w:val="center"/>
          </w:tcPr>
          <w:p w:rsidR="00195CE7" w:rsidRPr="001D1E5B" w:rsidRDefault="00195CE7" w:rsidP="00213533">
            <w:pPr>
              <w:pStyle w:val="TabelaTekst"/>
              <w:spacing w:before="0" w:after="0" w:line="240" w:lineRule="auto"/>
              <w:jc w:val="center"/>
              <w:rPr>
                <w:rFonts w:ascii="Garamond" w:hAnsi="Garamond"/>
                <w:sz w:val="16"/>
                <w:szCs w:val="16"/>
              </w:rPr>
            </w:pPr>
            <w:r w:rsidRPr="001D1E5B">
              <w:rPr>
                <w:rFonts w:ascii="Garamond" w:hAnsi="Garamond"/>
                <w:sz w:val="16"/>
                <w:szCs w:val="16"/>
              </w:rPr>
              <w:t>90%</w:t>
            </w:r>
          </w:p>
        </w:tc>
        <w:tc>
          <w:tcPr>
            <w:tcW w:w="1771" w:type="dxa"/>
            <w:vAlign w:val="center"/>
          </w:tcPr>
          <w:p w:rsidR="00195CE7" w:rsidRPr="001D1E5B" w:rsidRDefault="00195CE7" w:rsidP="00213533">
            <w:pPr>
              <w:pStyle w:val="TabelaTekst"/>
              <w:spacing w:before="0" w:after="0" w:line="240" w:lineRule="auto"/>
              <w:jc w:val="center"/>
              <w:rPr>
                <w:rFonts w:ascii="Garamond" w:hAnsi="Garamond"/>
                <w:sz w:val="16"/>
                <w:szCs w:val="16"/>
              </w:rPr>
            </w:pPr>
            <w:r w:rsidRPr="001D1E5B">
              <w:rPr>
                <w:rFonts w:ascii="Garamond" w:hAnsi="Garamond" w:cs="Calibri"/>
                <w:noProof/>
                <w:sz w:val="16"/>
                <w:szCs w:val="16"/>
                <w:lang w:val="en-GB" w:eastAsia="en-GB"/>
              </w:rPr>
              <w:t>94%</w:t>
            </w:r>
          </w:p>
        </w:tc>
        <w:tc>
          <w:tcPr>
            <w:tcW w:w="1523" w:type="dxa"/>
            <w:vAlign w:val="center"/>
          </w:tcPr>
          <w:p w:rsidR="00195CE7" w:rsidRPr="001D1E5B" w:rsidRDefault="00195CE7" w:rsidP="00213533">
            <w:pPr>
              <w:pStyle w:val="TabelaTekst"/>
              <w:spacing w:before="0" w:after="0" w:line="240" w:lineRule="auto"/>
              <w:jc w:val="center"/>
              <w:rPr>
                <w:rFonts w:ascii="Garamond" w:hAnsi="Garamond"/>
                <w:sz w:val="16"/>
                <w:szCs w:val="16"/>
              </w:rPr>
            </w:pPr>
            <w:r w:rsidRPr="001D1E5B">
              <w:rPr>
                <w:rFonts w:ascii="Garamond" w:hAnsi="Garamond" w:cstheme="majorHAnsi"/>
                <w:noProof/>
                <w:sz w:val="16"/>
                <w:szCs w:val="16"/>
                <w:lang w:eastAsia="en-GB"/>
              </w:rPr>
              <w:t>93%</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195CE7">
      <w:pPr>
        <w:pStyle w:val="Heading3"/>
        <w:rPr>
          <w:rFonts w:ascii="Garamond" w:hAnsi="Garamond"/>
          <w:sz w:val="24"/>
          <w:szCs w:val="24"/>
        </w:rPr>
      </w:pPr>
      <w:bookmarkStart w:id="73" w:name="_Toc77688250"/>
      <w:r w:rsidRPr="00C32887">
        <w:rPr>
          <w:rFonts w:ascii="Garamond" w:hAnsi="Garamond"/>
          <w:sz w:val="24"/>
          <w:szCs w:val="24"/>
        </w:rPr>
        <w:t xml:space="preserve">3.1.3      </w:t>
      </w:r>
      <w:r w:rsidR="00195CE7">
        <w:rPr>
          <w:rFonts w:ascii="Garamond" w:hAnsi="Garamond"/>
          <w:sz w:val="24"/>
          <w:szCs w:val="24"/>
        </w:rPr>
        <w:t>PERFORMANCE INDICATOR 28</w:t>
      </w:r>
      <w:r w:rsidR="00195CE7" w:rsidRPr="00195CE7">
        <w:rPr>
          <w:rFonts w:ascii="Garamond" w:hAnsi="Garamond"/>
          <w:sz w:val="24"/>
          <w:szCs w:val="24"/>
        </w:rPr>
        <w:t xml:space="preserve"> </w:t>
      </w:r>
      <w:r w:rsidR="00195CE7" w:rsidRPr="00C32887">
        <w:rPr>
          <w:rFonts w:ascii="Garamond" w:hAnsi="Garamond"/>
          <w:sz w:val="24"/>
          <w:szCs w:val="24"/>
        </w:rPr>
        <w:t>PASSPORT</w:t>
      </w:r>
      <w:bookmarkEnd w:id="73"/>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9F1F39" w:rsidRPr="00F056F9" w:rsidTr="00213533">
        <w:trPr>
          <w:jc w:val="center"/>
        </w:trPr>
        <w:tc>
          <w:tcPr>
            <w:tcW w:w="2721" w:type="dxa"/>
            <w:tcBorders>
              <w:right w:val="single" w:sz="4" w:space="0" w:color="FFFFFF"/>
            </w:tcBorders>
            <w:shd w:val="clear" w:color="auto" w:fill="BFBFBF"/>
            <w:vAlign w:val="center"/>
          </w:tcPr>
          <w:p w:rsidR="009F1F39" w:rsidRPr="001D1E5B" w:rsidRDefault="009F1F39" w:rsidP="00213533">
            <w:pPr>
              <w:autoSpaceDE/>
              <w:autoSpaceDN/>
              <w:rPr>
                <w:rFonts w:ascii="Garamond" w:eastAsia="Calibri" w:hAnsi="Garamond"/>
                <w:b/>
                <w:caps/>
                <w:sz w:val="16"/>
                <w:szCs w:val="16"/>
                <w:lang w:val="en-GB" w:eastAsia="en-US" w:bidi="ar-SA"/>
              </w:rPr>
            </w:pPr>
            <w:r w:rsidRPr="001D1E5B">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195CE7" w:rsidRPr="00195CE7" w:rsidRDefault="00195CE7" w:rsidP="00195CE7">
            <w:pPr>
              <w:pStyle w:val="Default"/>
              <w:jc w:val="both"/>
              <w:rPr>
                <w:rFonts w:ascii="Garamond" w:hAnsi="Garamond"/>
                <w:sz w:val="16"/>
                <w:szCs w:val="16"/>
              </w:rPr>
            </w:pPr>
            <w:r w:rsidRPr="00195CE7">
              <w:rPr>
                <w:rFonts w:ascii="Garamond" w:hAnsi="Garamond"/>
                <w:sz w:val="16"/>
                <w:szCs w:val="16"/>
              </w:rPr>
              <w:t xml:space="preserve">Average number of internal auditors per unit </w:t>
            </w:r>
          </w:p>
          <w:p w:rsidR="009F1F39" w:rsidRPr="00195CE7" w:rsidRDefault="009F1F39" w:rsidP="00213533">
            <w:pPr>
              <w:pStyle w:val="Default"/>
              <w:jc w:val="both"/>
              <w:rPr>
                <w:rFonts w:ascii="Garamond" w:eastAsia="Calibri" w:hAnsi="Garamond"/>
                <w:b/>
                <w:sz w:val="16"/>
                <w:szCs w:val="16"/>
                <w:lang w:eastAsia="en-US"/>
              </w:rPr>
            </w:pPr>
          </w:p>
        </w:tc>
      </w:tr>
      <w:tr w:rsidR="009F1F39" w:rsidRPr="00290B32" w:rsidTr="00213533">
        <w:trPr>
          <w:gridAfter w:val="1"/>
          <w:wAfter w:w="19" w:type="dxa"/>
          <w:jc w:val="center"/>
        </w:trPr>
        <w:tc>
          <w:tcPr>
            <w:tcW w:w="2721" w:type="dxa"/>
            <w:vAlign w:val="center"/>
          </w:tcPr>
          <w:p w:rsidR="009F1F39" w:rsidRPr="001D1E5B" w:rsidRDefault="009F1F39" w:rsidP="006225A7">
            <w:pPr>
              <w:rPr>
                <w:rFonts w:ascii="Garamond" w:eastAsia="Calibri" w:hAnsi="Garamond"/>
                <w:b/>
                <w:caps/>
                <w:sz w:val="16"/>
                <w:szCs w:val="16"/>
                <w:lang w:val="en-GB" w:eastAsia="en-US" w:bidi="ar-SA"/>
              </w:rPr>
            </w:pPr>
            <w:r w:rsidRPr="001D1E5B">
              <w:rPr>
                <w:rFonts w:ascii="Garamond" w:eastAsia="Calibri" w:hAnsi="Garamond"/>
                <w:b/>
                <w:caps/>
                <w:sz w:val="16"/>
                <w:szCs w:val="16"/>
                <w:lang w:val="en-GB" w:eastAsia="en-US" w:bidi="ar-SA"/>
              </w:rPr>
              <w:t>corresponding objective or activity</w:t>
            </w:r>
          </w:p>
        </w:tc>
        <w:tc>
          <w:tcPr>
            <w:tcW w:w="6836" w:type="dxa"/>
            <w:gridSpan w:val="4"/>
            <w:vAlign w:val="center"/>
          </w:tcPr>
          <w:p w:rsidR="009F1F39" w:rsidRPr="006225A7" w:rsidRDefault="009F1F39" w:rsidP="006225A7">
            <w:pPr>
              <w:rPr>
                <w:rFonts w:ascii="Garamond" w:hAnsi="Garamond"/>
                <w:color w:val="365F91" w:themeColor="accent1" w:themeShade="BF"/>
                <w:sz w:val="18"/>
                <w:szCs w:val="18"/>
              </w:rPr>
            </w:pPr>
            <w:r w:rsidRPr="006225A7">
              <w:rPr>
                <w:rFonts w:ascii="Garamond" w:hAnsi="Garamond"/>
                <w:color w:val="365F91" w:themeColor="accent1" w:themeShade="BF"/>
                <w:sz w:val="18"/>
                <w:szCs w:val="18"/>
              </w:rPr>
              <w:t>Public Internal Financial Control Development</w:t>
            </w:r>
          </w:p>
          <w:p w:rsidR="009F1F39" w:rsidRPr="006225A7" w:rsidRDefault="009F1F39" w:rsidP="006225A7">
            <w:pPr>
              <w:pStyle w:val="ListParagraph"/>
              <w:numPr>
                <w:ilvl w:val="0"/>
                <w:numId w:val="28"/>
              </w:numPr>
              <w:rPr>
                <w:rFonts w:ascii="Garamond" w:eastAsia="Calibri" w:hAnsi="Garamond"/>
                <w:color w:val="365F91" w:themeColor="accent1" w:themeShade="BF"/>
                <w:sz w:val="18"/>
                <w:szCs w:val="18"/>
                <w:lang w:eastAsia="en-US" w:bidi="ar-SA"/>
              </w:rPr>
            </w:pPr>
            <w:r w:rsidRPr="006225A7">
              <w:rPr>
                <w:rFonts w:ascii="Garamond" w:hAnsi="Garamond"/>
                <w:color w:val="365F91" w:themeColor="accent1" w:themeShade="BF"/>
                <w:sz w:val="18"/>
                <w:szCs w:val="18"/>
              </w:rPr>
              <w:t>Managing public finances in an efficient, economical, effective and transparent way by all spending units</w:t>
            </w:r>
          </w:p>
        </w:tc>
      </w:tr>
      <w:tr w:rsidR="009F1F39" w:rsidRPr="00290B32" w:rsidTr="00213533">
        <w:trPr>
          <w:gridAfter w:val="1"/>
          <w:wAfter w:w="19" w:type="dxa"/>
          <w:jc w:val="center"/>
        </w:trPr>
        <w:tc>
          <w:tcPr>
            <w:tcW w:w="2721" w:type="dxa"/>
            <w:vAlign w:val="center"/>
          </w:tcPr>
          <w:p w:rsidR="009F1F39" w:rsidRPr="001D1E5B" w:rsidRDefault="009F1F39"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195CE7" w:rsidRPr="00195CE7" w:rsidRDefault="00195CE7" w:rsidP="00195CE7">
            <w:pPr>
              <w:jc w:val="both"/>
              <w:rPr>
                <w:rFonts w:ascii="Garamond" w:eastAsia="Calibri" w:hAnsi="Garamond"/>
                <w:sz w:val="16"/>
                <w:szCs w:val="16"/>
                <w:lang w:val="uz-Cyrl-UZ" w:eastAsia="en-US" w:bidi="ar-SA"/>
              </w:rPr>
            </w:pPr>
            <w:r w:rsidRPr="00195CE7">
              <w:rPr>
                <w:rFonts w:ascii="Garamond" w:eastAsia="Calibri" w:hAnsi="Garamond"/>
                <w:sz w:val="16"/>
                <w:szCs w:val="16"/>
                <w:lang w:val="uz-Cyrl-UZ" w:eastAsia="en-US" w:bidi="ar-SA"/>
              </w:rPr>
              <w:t>Register of deployed internal auditors</w:t>
            </w:r>
          </w:p>
          <w:p w:rsidR="009F1F39" w:rsidRPr="00290B32" w:rsidRDefault="00195CE7" w:rsidP="006550F4">
            <w:pPr>
              <w:jc w:val="both"/>
              <w:rPr>
                <w:rFonts w:ascii="Garamond" w:eastAsia="Calibri" w:hAnsi="Garamond"/>
                <w:sz w:val="16"/>
                <w:szCs w:val="16"/>
                <w:lang w:eastAsia="en-US" w:bidi="ar-SA"/>
              </w:rPr>
            </w:pPr>
            <w:r w:rsidRPr="00195CE7">
              <w:rPr>
                <w:rFonts w:ascii="Garamond" w:eastAsia="Calibri" w:hAnsi="Garamond"/>
                <w:sz w:val="16"/>
                <w:szCs w:val="16"/>
                <w:lang w:val="uz-Cyrl-UZ" w:eastAsia="en-US" w:bidi="ar-SA"/>
              </w:rPr>
              <w:t>Consolidated report on the system of internal financial controls in the</w:t>
            </w:r>
            <w:r w:rsidR="006550F4">
              <w:rPr>
                <w:rFonts w:ascii="Garamond" w:eastAsia="Calibri" w:hAnsi="Garamond"/>
                <w:sz w:val="16"/>
                <w:szCs w:val="16"/>
                <w:lang w:val="uz-Cyrl-UZ" w:eastAsia="en-US" w:bidi="ar-SA"/>
              </w:rPr>
              <w:t xml:space="preserve"> public sector published in </w:t>
            </w:r>
            <w:r w:rsidR="006550F4">
              <w:rPr>
                <w:rFonts w:ascii="Garamond" w:eastAsia="Calibri" w:hAnsi="Garamond"/>
                <w:sz w:val="16"/>
                <w:szCs w:val="16"/>
                <w:lang w:val="en-GB" w:eastAsia="en-US" w:bidi="ar-SA"/>
              </w:rPr>
              <w:t xml:space="preserve">Q2 </w:t>
            </w:r>
            <w:r w:rsidRPr="00195CE7">
              <w:rPr>
                <w:rFonts w:ascii="Garamond" w:eastAsia="Calibri" w:hAnsi="Garamond"/>
                <w:sz w:val="16"/>
                <w:szCs w:val="16"/>
                <w:lang w:val="uz-Cyrl-UZ" w:eastAsia="en-US" w:bidi="ar-SA"/>
              </w:rPr>
              <w:t>of the current year for the previous calendar year</w:t>
            </w:r>
          </w:p>
        </w:tc>
      </w:tr>
      <w:tr w:rsidR="009F1F39" w:rsidRPr="00290B32" w:rsidTr="00213533">
        <w:trPr>
          <w:gridAfter w:val="1"/>
          <w:wAfter w:w="19" w:type="dxa"/>
          <w:jc w:val="center"/>
        </w:trPr>
        <w:tc>
          <w:tcPr>
            <w:tcW w:w="2721" w:type="dxa"/>
            <w:vAlign w:val="center"/>
          </w:tcPr>
          <w:p w:rsidR="009F1F39" w:rsidRPr="001D1E5B" w:rsidRDefault="009F1F39"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NAME OF DATA COLLECTION HOLDER</w:t>
            </w:r>
          </w:p>
        </w:tc>
        <w:tc>
          <w:tcPr>
            <w:tcW w:w="6836" w:type="dxa"/>
            <w:gridSpan w:val="4"/>
            <w:vAlign w:val="center"/>
          </w:tcPr>
          <w:p w:rsidR="009F1F39" w:rsidRPr="003A313E" w:rsidRDefault="009F1F39" w:rsidP="00213533">
            <w:pPr>
              <w:rPr>
                <w:rFonts w:ascii="Garamond" w:hAnsi="Garamond"/>
                <w:sz w:val="16"/>
                <w:szCs w:val="16"/>
              </w:rPr>
            </w:pPr>
            <w:r w:rsidRPr="003A313E">
              <w:rPr>
                <w:rFonts w:ascii="Garamond" w:hAnsi="Garamond"/>
                <w:sz w:val="16"/>
                <w:szCs w:val="16"/>
              </w:rPr>
              <w:t>Ministry of Finance and Social Welfare</w:t>
            </w:r>
          </w:p>
          <w:p w:rsidR="00195CE7" w:rsidRPr="00195CE7" w:rsidRDefault="00195CE7" w:rsidP="00195CE7">
            <w:pPr>
              <w:rPr>
                <w:rFonts w:ascii="Garamond" w:hAnsi="Garamond"/>
                <w:sz w:val="16"/>
                <w:szCs w:val="16"/>
              </w:rPr>
            </w:pPr>
            <w:r w:rsidRPr="00195CE7">
              <w:rPr>
                <w:rFonts w:ascii="Garamond" w:hAnsi="Garamond"/>
                <w:sz w:val="16"/>
                <w:szCs w:val="16"/>
              </w:rPr>
              <w:t>Miloš Baletić</w:t>
            </w:r>
          </w:p>
          <w:p w:rsidR="009F1F39" w:rsidRPr="00290B32" w:rsidRDefault="00195CE7" w:rsidP="00195CE7">
            <w:pPr>
              <w:rPr>
                <w:rFonts w:ascii="Garamond" w:eastAsia="Calibri" w:hAnsi="Garamond"/>
                <w:sz w:val="16"/>
                <w:szCs w:val="16"/>
                <w:lang w:eastAsia="en-US" w:bidi="ar-SA"/>
              </w:rPr>
            </w:pPr>
            <w:r w:rsidRPr="00195CE7">
              <w:rPr>
                <w:rFonts w:ascii="Garamond" w:hAnsi="Garamond"/>
                <w:sz w:val="16"/>
                <w:szCs w:val="16"/>
              </w:rPr>
              <w:t>milos.baletic@mif.gov.me</w:t>
            </w:r>
          </w:p>
        </w:tc>
      </w:tr>
      <w:tr w:rsidR="009F1F39" w:rsidRPr="00290B32" w:rsidTr="00213533">
        <w:trPr>
          <w:gridAfter w:val="1"/>
          <w:wAfter w:w="19" w:type="dxa"/>
          <w:jc w:val="center"/>
        </w:trPr>
        <w:tc>
          <w:tcPr>
            <w:tcW w:w="2721" w:type="dxa"/>
            <w:vAlign w:val="center"/>
          </w:tcPr>
          <w:p w:rsidR="009F1F39" w:rsidRPr="001D1E5B" w:rsidRDefault="009F1F39"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FREQUENCY OF DATA PUBLICATION</w:t>
            </w:r>
          </w:p>
        </w:tc>
        <w:tc>
          <w:tcPr>
            <w:tcW w:w="6836" w:type="dxa"/>
            <w:gridSpan w:val="4"/>
            <w:vAlign w:val="center"/>
          </w:tcPr>
          <w:p w:rsidR="009F1F39" w:rsidRPr="00876280" w:rsidRDefault="009F1F39" w:rsidP="006550F4">
            <w:pPr>
              <w:rPr>
                <w:rFonts w:ascii="Garamond" w:eastAsia="Calibri" w:hAnsi="Garamond"/>
                <w:sz w:val="16"/>
                <w:szCs w:val="16"/>
                <w:lang w:eastAsia="en-US" w:bidi="ar-SA"/>
              </w:rPr>
            </w:pPr>
            <w:r w:rsidRPr="003A313E">
              <w:rPr>
                <w:rFonts w:ascii="Garamond" w:eastAsia="Calibri" w:hAnsi="Garamond"/>
                <w:sz w:val="16"/>
                <w:szCs w:val="16"/>
                <w:lang w:eastAsia="en-US" w:bidi="ar-SA"/>
              </w:rPr>
              <w:t xml:space="preserve">Once a year, during the adoption of the Consolidated Report, </w:t>
            </w:r>
            <w:proofErr w:type="gramStart"/>
            <w:r w:rsidRPr="003A313E">
              <w:rPr>
                <w:rFonts w:ascii="Garamond" w:eastAsia="Calibri" w:hAnsi="Garamond"/>
                <w:sz w:val="16"/>
                <w:szCs w:val="16"/>
                <w:lang w:eastAsia="en-US" w:bidi="ar-SA"/>
              </w:rPr>
              <w:t xml:space="preserve">which is published on the website of the Government of Montenegro, after the adoption by the end of </w:t>
            </w:r>
            <w:r w:rsidR="006550F4">
              <w:rPr>
                <w:rFonts w:ascii="Garamond" w:eastAsia="Calibri" w:hAnsi="Garamond"/>
                <w:sz w:val="16"/>
                <w:szCs w:val="16"/>
                <w:lang w:eastAsia="en-US" w:bidi="ar-SA"/>
              </w:rPr>
              <w:t>Q2</w:t>
            </w:r>
            <w:r w:rsidRPr="003A313E">
              <w:rPr>
                <w:rFonts w:ascii="Garamond" w:eastAsia="Calibri" w:hAnsi="Garamond"/>
                <w:sz w:val="16"/>
                <w:szCs w:val="16"/>
                <w:lang w:eastAsia="en-US" w:bidi="ar-SA"/>
              </w:rPr>
              <w:t xml:space="preserve"> of the current year.</w:t>
            </w:r>
            <w:proofErr w:type="gramEnd"/>
          </w:p>
        </w:tc>
      </w:tr>
      <w:tr w:rsidR="009F1F39" w:rsidRPr="00290B32" w:rsidTr="00213533">
        <w:trPr>
          <w:gridAfter w:val="1"/>
          <w:wAfter w:w="19" w:type="dxa"/>
          <w:trHeight w:val="458"/>
          <w:jc w:val="center"/>
        </w:trPr>
        <w:tc>
          <w:tcPr>
            <w:tcW w:w="2721" w:type="dxa"/>
            <w:vMerge w:val="restart"/>
            <w:vAlign w:val="center"/>
          </w:tcPr>
          <w:p w:rsidR="009F1F39" w:rsidRPr="001D1E5B" w:rsidRDefault="009F1F39"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 xml:space="preserve">BRIEF DESCRIPTION </w:t>
            </w:r>
            <w:r w:rsidRPr="001D1E5B">
              <w:rPr>
                <w:rFonts w:ascii="Garamond" w:eastAsia="Calibri" w:hAnsi="Garamond"/>
                <w:b/>
                <w:caps/>
                <w:sz w:val="16"/>
                <w:szCs w:val="16"/>
                <w:lang w:val="en-GB" w:eastAsia="en-US" w:bidi="ar-SA"/>
              </w:rPr>
              <w:t xml:space="preserve">OF </w:t>
            </w:r>
            <w:r w:rsidRPr="001D1E5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9F1F39" w:rsidRPr="00420F5A" w:rsidRDefault="00195CE7" w:rsidP="006550F4">
            <w:pPr>
              <w:jc w:val="both"/>
              <w:rPr>
                <w:rFonts w:ascii="Garamond" w:eastAsia="Calibri" w:hAnsi="Garamond"/>
                <w:sz w:val="16"/>
                <w:szCs w:val="16"/>
                <w:u w:val="single"/>
                <w:lang w:val="uz-Cyrl-UZ" w:eastAsia="en-US" w:bidi="ar-SA"/>
              </w:rPr>
            </w:pPr>
            <w:r w:rsidRPr="00195CE7">
              <w:rPr>
                <w:rFonts w:ascii="Garamond" w:eastAsia="Calibri" w:hAnsi="Garamond"/>
                <w:sz w:val="16"/>
                <w:szCs w:val="16"/>
                <w:lang w:val="uz-Cyrl-UZ" w:eastAsia="en-US" w:bidi="ar-SA"/>
              </w:rPr>
              <w:t>By the Decree on Amendments to the Decree on the Establishment of Internal Audit in the Public Sector, 30 users of budget funds (15 at the central and 15 at the local level) are obliged to establish a special organi</w:t>
            </w:r>
            <w:r w:rsidR="00F254DD">
              <w:rPr>
                <w:rFonts w:ascii="Garamond" w:eastAsia="Calibri" w:hAnsi="Garamond"/>
                <w:sz w:val="16"/>
                <w:szCs w:val="16"/>
                <w:lang w:val="uz-Cyrl-UZ" w:eastAsia="en-US" w:bidi="ar-SA"/>
              </w:rPr>
              <w:t>sation</w:t>
            </w:r>
            <w:r w:rsidRPr="00195CE7">
              <w:rPr>
                <w:rFonts w:ascii="Garamond" w:eastAsia="Calibri" w:hAnsi="Garamond"/>
                <w:sz w:val="16"/>
                <w:szCs w:val="16"/>
                <w:lang w:val="uz-Cyrl-UZ" w:eastAsia="en-US" w:bidi="ar-SA"/>
              </w:rPr>
              <w:t xml:space="preserve">al unit for internal audit. Other </w:t>
            </w:r>
            <w:r w:rsidR="006550F4" w:rsidRPr="00195CE7">
              <w:rPr>
                <w:rFonts w:ascii="Garamond" w:eastAsia="Calibri" w:hAnsi="Garamond"/>
                <w:sz w:val="16"/>
                <w:szCs w:val="16"/>
                <w:lang w:val="uz-Cyrl-UZ" w:eastAsia="en-US" w:bidi="ar-SA"/>
              </w:rPr>
              <w:t xml:space="preserve">budget </w:t>
            </w:r>
            <w:r w:rsidRPr="00195CE7">
              <w:rPr>
                <w:rFonts w:ascii="Garamond" w:eastAsia="Calibri" w:hAnsi="Garamond"/>
                <w:sz w:val="16"/>
                <w:szCs w:val="16"/>
                <w:lang w:val="uz-Cyrl-UZ" w:eastAsia="en-US" w:bidi="ar-SA"/>
              </w:rPr>
              <w:t xml:space="preserve">users </w:t>
            </w:r>
            <w:r w:rsidR="006550F4">
              <w:rPr>
                <w:rFonts w:ascii="Garamond" w:eastAsia="Calibri" w:hAnsi="Garamond"/>
                <w:sz w:val="16"/>
                <w:szCs w:val="16"/>
                <w:lang w:val="uz-Cyrl-UZ" w:eastAsia="en-US" w:bidi="ar-SA"/>
              </w:rPr>
              <w:t>must organi</w:t>
            </w:r>
            <w:r w:rsidR="006550F4">
              <w:rPr>
                <w:rFonts w:ascii="Garamond" w:eastAsia="Calibri" w:hAnsi="Garamond"/>
                <w:sz w:val="16"/>
                <w:szCs w:val="16"/>
                <w:lang w:val="en-GB" w:eastAsia="en-US" w:bidi="ar-SA"/>
              </w:rPr>
              <w:t>s</w:t>
            </w:r>
            <w:r w:rsidRPr="00195CE7">
              <w:rPr>
                <w:rFonts w:ascii="Garamond" w:eastAsia="Calibri" w:hAnsi="Garamond"/>
                <w:sz w:val="16"/>
                <w:szCs w:val="16"/>
                <w:lang w:val="uz-Cyrl-UZ" w:eastAsia="en-US" w:bidi="ar-SA"/>
              </w:rPr>
              <w:t xml:space="preserve">e a special unit for internal audit or entrust the performance of internal audit tasks to a </w:t>
            </w:r>
            <w:r w:rsidR="008D659B" w:rsidRPr="00195CE7">
              <w:rPr>
                <w:rFonts w:ascii="Garamond" w:eastAsia="Calibri" w:hAnsi="Garamond"/>
                <w:sz w:val="16"/>
                <w:szCs w:val="16"/>
                <w:lang w:val="uz-Cyrl-UZ" w:eastAsia="en-US" w:bidi="ar-SA"/>
              </w:rPr>
              <w:t xml:space="preserve">budget </w:t>
            </w:r>
            <w:r w:rsidRPr="00195CE7">
              <w:rPr>
                <w:rFonts w:ascii="Garamond" w:eastAsia="Calibri" w:hAnsi="Garamond"/>
                <w:sz w:val="16"/>
                <w:szCs w:val="16"/>
                <w:lang w:val="uz-Cyrl-UZ" w:eastAsia="en-US" w:bidi="ar-SA"/>
              </w:rPr>
              <w:t>user who has formed an internal audit unit.</w:t>
            </w:r>
          </w:p>
        </w:tc>
      </w:tr>
      <w:tr w:rsidR="009F1F39" w:rsidRPr="00290B32" w:rsidTr="00213533">
        <w:trPr>
          <w:gridAfter w:val="1"/>
          <w:wAfter w:w="19" w:type="dxa"/>
          <w:trHeight w:val="620"/>
          <w:jc w:val="center"/>
        </w:trPr>
        <w:tc>
          <w:tcPr>
            <w:tcW w:w="2721" w:type="dxa"/>
            <w:vMerge/>
            <w:shd w:val="clear" w:color="auto" w:fill="auto"/>
            <w:vAlign w:val="center"/>
          </w:tcPr>
          <w:p w:rsidR="009F1F39" w:rsidRPr="001D1E5B" w:rsidRDefault="009F1F39" w:rsidP="00213533">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9F1F39" w:rsidRPr="00A03F93" w:rsidRDefault="009F1F39" w:rsidP="00213533">
            <w:pPr>
              <w:jc w:val="center"/>
              <w:rPr>
                <w:rFonts w:ascii="Garamond" w:hAnsi="Garamond"/>
                <w:color w:val="365F91" w:themeColor="accent1" w:themeShade="BF"/>
                <w:sz w:val="16"/>
                <w:szCs w:val="16"/>
                <w:lang w:val="uz-Cyrl-UZ"/>
              </w:rPr>
            </w:pPr>
            <w:r w:rsidRPr="00A03F93">
              <w:rPr>
                <w:rFonts w:ascii="Garamond" w:hAnsi="Garamond"/>
                <w:color w:val="365F91" w:themeColor="accent1" w:themeShade="BF"/>
                <w:sz w:val="16"/>
                <w:szCs w:val="16"/>
                <w:lang w:val="uz-Cyrl-UZ"/>
              </w:rPr>
              <w:t>FORMULA / EQUATION</w:t>
            </w:r>
          </w:p>
          <w:p w:rsidR="009F1F39" w:rsidRPr="00876280" w:rsidRDefault="008D659B" w:rsidP="00213533">
            <w:pPr>
              <w:jc w:val="center"/>
              <w:rPr>
                <w:rFonts w:ascii="Garamond" w:eastAsia="Calibri" w:hAnsi="Garamond"/>
                <w:sz w:val="16"/>
                <w:szCs w:val="16"/>
                <w:lang w:val="en-GB" w:eastAsia="en-US" w:bidi="ar-SA"/>
              </w:rPr>
            </w:pPr>
            <w:r w:rsidRPr="008D659B">
              <w:rPr>
                <w:rFonts w:ascii="Garamond" w:eastAsia="Calibri" w:hAnsi="Garamond"/>
                <w:sz w:val="16"/>
                <w:szCs w:val="16"/>
                <w:lang w:val="en-GB" w:eastAsia="en-US" w:bidi="ar-SA"/>
              </w:rPr>
              <w:t>Average number of appointed internal auditors per unit = number of appointed internal auditors / number of established internal audit units</w:t>
            </w:r>
          </w:p>
        </w:tc>
      </w:tr>
      <w:tr w:rsidR="009F1F39" w:rsidRPr="00AD2338" w:rsidTr="00213533">
        <w:trPr>
          <w:gridAfter w:val="1"/>
          <w:wAfter w:w="19" w:type="dxa"/>
          <w:trHeight w:val="585"/>
          <w:jc w:val="center"/>
        </w:trPr>
        <w:tc>
          <w:tcPr>
            <w:tcW w:w="2721" w:type="dxa"/>
            <w:vAlign w:val="center"/>
          </w:tcPr>
          <w:p w:rsidR="009F1F39" w:rsidRPr="001D1E5B" w:rsidRDefault="009F1F39" w:rsidP="00213533">
            <w:pPr>
              <w:autoSpaceDE/>
              <w:autoSpaceDN/>
              <w:rPr>
                <w:rFonts w:ascii="Garamond" w:eastAsia="Calibri" w:hAnsi="Garamond"/>
                <w:b/>
                <w:bCs/>
                <w:caps/>
                <w:sz w:val="16"/>
                <w:szCs w:val="16"/>
                <w:lang w:val="en-GB" w:eastAsia="en-US" w:bidi="ar-SA"/>
              </w:rPr>
            </w:pPr>
            <w:r w:rsidRPr="001D1E5B">
              <w:rPr>
                <w:rFonts w:ascii="Garamond" w:eastAsia="Calibri" w:hAnsi="Garamond"/>
                <w:b/>
                <w:caps/>
                <w:sz w:val="16"/>
                <w:szCs w:val="16"/>
                <w:lang w:val="uz-Cyrl-UZ" w:eastAsia="en-US" w:bidi="ar-SA"/>
              </w:rPr>
              <w:t>BASELINE</w:t>
            </w:r>
            <w:r w:rsidRPr="001D1E5B">
              <w:rPr>
                <w:rFonts w:ascii="Garamond" w:eastAsia="Calibri" w:hAnsi="Garamond"/>
                <w:b/>
                <w:caps/>
                <w:sz w:val="16"/>
                <w:szCs w:val="16"/>
                <w:lang w:val="en-GB" w:eastAsia="en-US" w:bidi="ar-SA"/>
              </w:rPr>
              <w:t xml:space="preserve"> DATA</w:t>
            </w:r>
          </w:p>
        </w:tc>
        <w:tc>
          <w:tcPr>
            <w:tcW w:w="6836" w:type="dxa"/>
            <w:gridSpan w:val="4"/>
            <w:vAlign w:val="center"/>
          </w:tcPr>
          <w:p w:rsidR="009F1F39" w:rsidRPr="00AD2338" w:rsidRDefault="009F1F39" w:rsidP="008D659B">
            <w:pPr>
              <w:pStyle w:val="TabelaTekst"/>
              <w:rPr>
                <w:rFonts w:ascii="Garamond" w:hAnsi="Garamond"/>
                <w:lang w:val="en-GB"/>
              </w:rPr>
            </w:pPr>
            <w:r w:rsidRPr="00AE0CB3">
              <w:rPr>
                <w:rFonts w:ascii="Garamond" w:hAnsi="Garamond"/>
              </w:rPr>
              <w:t>PV (2014</w:t>
            </w:r>
            <w:r>
              <w:rPr>
                <w:rFonts w:ascii="Garamond" w:hAnsi="Garamond"/>
                <w:lang w:val="en-GB"/>
              </w:rPr>
              <w:t xml:space="preserve">): </w:t>
            </w:r>
            <w:r w:rsidR="008D659B">
              <w:rPr>
                <w:rFonts w:ascii="Garamond" w:hAnsi="Garamond"/>
                <w:lang w:val="en-GB"/>
              </w:rPr>
              <w:t>1.76</w:t>
            </w:r>
            <w:r w:rsidRPr="009F1F39">
              <w:rPr>
                <w:rFonts w:ascii="Garamond" w:hAnsi="Garamond"/>
                <w:lang w:val="en-GB"/>
              </w:rPr>
              <w:t>%</w:t>
            </w:r>
          </w:p>
        </w:tc>
      </w:tr>
      <w:tr w:rsidR="009F1F39" w:rsidRPr="00290B32" w:rsidTr="00213533">
        <w:trPr>
          <w:gridAfter w:val="1"/>
          <w:wAfter w:w="19" w:type="dxa"/>
          <w:trHeight w:val="160"/>
          <w:jc w:val="center"/>
        </w:trPr>
        <w:tc>
          <w:tcPr>
            <w:tcW w:w="2721" w:type="dxa"/>
            <w:vMerge w:val="restart"/>
            <w:vAlign w:val="center"/>
          </w:tcPr>
          <w:p w:rsidR="009F1F39" w:rsidRPr="001D1E5B" w:rsidRDefault="009F1F39" w:rsidP="00213533">
            <w:pPr>
              <w:autoSpaceDE/>
              <w:autoSpaceDN/>
              <w:rPr>
                <w:rFonts w:ascii="Garamond" w:eastAsia="Calibri" w:hAnsi="Garamond"/>
                <w:b/>
                <w:bCs/>
                <w:caps/>
                <w:sz w:val="16"/>
                <w:szCs w:val="16"/>
                <w:lang w:val="uz-Cyrl-UZ" w:eastAsia="en-US" w:bidi="ar-SA"/>
              </w:rPr>
            </w:pPr>
            <w:r w:rsidRPr="001D1E5B">
              <w:rPr>
                <w:rFonts w:ascii="Garamond" w:eastAsia="Calibri" w:hAnsi="Garamond"/>
                <w:b/>
                <w:caps/>
                <w:sz w:val="16"/>
                <w:szCs w:val="16"/>
                <w:lang w:val="uz-Cyrl-UZ" w:eastAsia="en-US" w:bidi="ar-SA"/>
              </w:rPr>
              <w:t>TARGET VALUE DATA</w:t>
            </w:r>
          </w:p>
        </w:tc>
        <w:tc>
          <w:tcPr>
            <w:tcW w:w="1771" w:type="dxa"/>
            <w:vAlign w:val="center"/>
          </w:tcPr>
          <w:p w:rsidR="009F1F39" w:rsidRPr="00290B32" w:rsidRDefault="009F1F39" w:rsidP="00213533">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2017</w:t>
            </w:r>
          </w:p>
        </w:tc>
        <w:tc>
          <w:tcPr>
            <w:tcW w:w="1771" w:type="dxa"/>
            <w:vAlign w:val="center"/>
          </w:tcPr>
          <w:p w:rsidR="009F1F39" w:rsidRPr="00290B32" w:rsidRDefault="009F1F39" w:rsidP="00213533">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2018</w:t>
            </w:r>
          </w:p>
        </w:tc>
        <w:tc>
          <w:tcPr>
            <w:tcW w:w="1771" w:type="dxa"/>
            <w:vAlign w:val="center"/>
          </w:tcPr>
          <w:p w:rsidR="009F1F39" w:rsidRPr="00290B32" w:rsidRDefault="009F1F39" w:rsidP="00213533">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2019</w:t>
            </w:r>
          </w:p>
        </w:tc>
        <w:tc>
          <w:tcPr>
            <w:tcW w:w="1523" w:type="dxa"/>
            <w:vAlign w:val="center"/>
          </w:tcPr>
          <w:p w:rsidR="009F1F39" w:rsidRPr="00290B32" w:rsidRDefault="009F1F39" w:rsidP="00213533">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2020</w:t>
            </w:r>
          </w:p>
        </w:tc>
      </w:tr>
      <w:tr w:rsidR="008D659B" w:rsidRPr="00290B32" w:rsidTr="00213533">
        <w:trPr>
          <w:gridAfter w:val="1"/>
          <w:wAfter w:w="19" w:type="dxa"/>
          <w:trHeight w:val="160"/>
          <w:jc w:val="center"/>
        </w:trPr>
        <w:tc>
          <w:tcPr>
            <w:tcW w:w="2721" w:type="dxa"/>
            <w:vMerge/>
            <w:vAlign w:val="center"/>
          </w:tcPr>
          <w:p w:rsidR="008D659B" w:rsidRPr="001D1E5B" w:rsidRDefault="008D659B" w:rsidP="00213533">
            <w:pPr>
              <w:autoSpaceDE/>
              <w:autoSpaceDN/>
              <w:rPr>
                <w:rFonts w:ascii="Garamond" w:eastAsia="Calibri" w:hAnsi="Garamond"/>
                <w:b/>
                <w:bCs/>
                <w:caps/>
                <w:sz w:val="16"/>
                <w:szCs w:val="16"/>
                <w:lang w:val="uz-Cyrl-UZ" w:eastAsia="en-US" w:bidi="ar-SA"/>
              </w:rPr>
            </w:pPr>
          </w:p>
        </w:tc>
        <w:tc>
          <w:tcPr>
            <w:tcW w:w="1771" w:type="dxa"/>
            <w:vAlign w:val="center"/>
          </w:tcPr>
          <w:p w:rsidR="008D659B" w:rsidRPr="00AE0CB3" w:rsidRDefault="008D659B" w:rsidP="00213533">
            <w:pPr>
              <w:pStyle w:val="TabelaTekst"/>
              <w:spacing w:before="0" w:after="0" w:line="240" w:lineRule="auto"/>
              <w:jc w:val="center"/>
              <w:rPr>
                <w:rFonts w:ascii="Garamond" w:hAnsi="Garamond"/>
              </w:rPr>
            </w:pPr>
            <w:r w:rsidRPr="00AE0CB3">
              <w:rPr>
                <w:rFonts w:ascii="Garamond" w:hAnsi="Garamond"/>
              </w:rPr>
              <w:t>2</w:t>
            </w:r>
          </w:p>
        </w:tc>
        <w:tc>
          <w:tcPr>
            <w:tcW w:w="1771" w:type="dxa"/>
            <w:vAlign w:val="center"/>
          </w:tcPr>
          <w:p w:rsidR="008D659B" w:rsidRPr="00AE0CB3" w:rsidRDefault="008D659B" w:rsidP="00213533">
            <w:pPr>
              <w:pStyle w:val="TabelaTekst"/>
              <w:spacing w:before="0" w:after="0" w:line="240" w:lineRule="auto"/>
              <w:jc w:val="center"/>
              <w:rPr>
                <w:rFonts w:ascii="Garamond" w:hAnsi="Garamond"/>
              </w:rPr>
            </w:pPr>
            <w:r w:rsidRPr="00AE0CB3">
              <w:rPr>
                <w:rFonts w:ascii="Garamond" w:hAnsi="Garamond"/>
              </w:rPr>
              <w:t>2.3</w:t>
            </w:r>
          </w:p>
        </w:tc>
        <w:tc>
          <w:tcPr>
            <w:tcW w:w="1771" w:type="dxa"/>
            <w:vAlign w:val="center"/>
          </w:tcPr>
          <w:p w:rsidR="008D659B" w:rsidRPr="00AE0CB3" w:rsidRDefault="008D659B" w:rsidP="00213533">
            <w:pPr>
              <w:pStyle w:val="TabelaTekst"/>
              <w:spacing w:before="0" w:after="0" w:line="240" w:lineRule="auto"/>
              <w:jc w:val="center"/>
              <w:rPr>
                <w:rFonts w:ascii="Garamond" w:hAnsi="Garamond"/>
              </w:rPr>
            </w:pPr>
            <w:r w:rsidRPr="00AE0CB3">
              <w:rPr>
                <w:rFonts w:ascii="Garamond" w:hAnsi="Garamond"/>
              </w:rPr>
              <w:t>2.5</w:t>
            </w:r>
          </w:p>
        </w:tc>
        <w:tc>
          <w:tcPr>
            <w:tcW w:w="1523" w:type="dxa"/>
            <w:vAlign w:val="center"/>
          </w:tcPr>
          <w:p w:rsidR="008D659B" w:rsidRPr="00AE0CB3" w:rsidRDefault="008D659B" w:rsidP="00213533">
            <w:pPr>
              <w:pStyle w:val="TabelaTekst"/>
              <w:spacing w:before="0" w:after="0" w:line="240" w:lineRule="auto"/>
              <w:jc w:val="center"/>
              <w:rPr>
                <w:rFonts w:ascii="Garamond" w:hAnsi="Garamond"/>
              </w:rPr>
            </w:pPr>
            <w:r w:rsidRPr="00AE0CB3">
              <w:rPr>
                <w:rFonts w:ascii="Garamond" w:hAnsi="Garamond"/>
              </w:rPr>
              <w:t>2.7</w:t>
            </w:r>
          </w:p>
        </w:tc>
      </w:tr>
      <w:tr w:rsidR="008D659B" w:rsidRPr="00290B32" w:rsidTr="00213533">
        <w:trPr>
          <w:gridAfter w:val="1"/>
          <w:wAfter w:w="19" w:type="dxa"/>
          <w:trHeight w:val="160"/>
          <w:jc w:val="center"/>
        </w:trPr>
        <w:tc>
          <w:tcPr>
            <w:tcW w:w="2721" w:type="dxa"/>
            <w:vAlign w:val="center"/>
          </w:tcPr>
          <w:p w:rsidR="008D659B" w:rsidRPr="001D1E5B" w:rsidRDefault="0062456A" w:rsidP="00213533">
            <w:pPr>
              <w:autoSpaceDE/>
              <w:autoSpaceDN/>
              <w:rPr>
                <w:rFonts w:ascii="Garamond" w:eastAsia="Calibri" w:hAnsi="Garamond"/>
                <w:b/>
                <w:bCs/>
                <w:caps/>
                <w:sz w:val="16"/>
                <w:szCs w:val="16"/>
                <w:lang w:val="uz-Cyrl-UZ" w:eastAsia="en-US" w:bidi="ar-SA"/>
              </w:rPr>
            </w:pPr>
            <w:r w:rsidRPr="001D1E5B">
              <w:rPr>
                <w:rFonts w:ascii="Garamond" w:eastAsia="Calibri" w:hAnsi="Garamond"/>
                <w:b/>
                <w:bCs/>
                <w:caps/>
                <w:sz w:val="16"/>
                <w:szCs w:val="16"/>
                <w:lang w:val="uz-Cyrl-UZ" w:eastAsia="en-US" w:bidi="ar-SA"/>
              </w:rPr>
              <w:t>DATA ON VALUES ACHIEVED</w:t>
            </w:r>
          </w:p>
        </w:tc>
        <w:tc>
          <w:tcPr>
            <w:tcW w:w="1771" w:type="dxa"/>
            <w:vAlign w:val="center"/>
          </w:tcPr>
          <w:p w:rsidR="008D659B" w:rsidRPr="00AE0CB3" w:rsidRDefault="008D659B" w:rsidP="00213533">
            <w:pPr>
              <w:pStyle w:val="TabelaTekst"/>
              <w:spacing w:before="0" w:after="0" w:line="240" w:lineRule="auto"/>
              <w:jc w:val="center"/>
              <w:rPr>
                <w:rFonts w:ascii="Garamond" w:hAnsi="Garamond"/>
              </w:rPr>
            </w:pPr>
            <w:r w:rsidRPr="00AE0CB3">
              <w:rPr>
                <w:rFonts w:ascii="Garamond" w:hAnsi="Garamond"/>
              </w:rPr>
              <w:t>2</w:t>
            </w:r>
          </w:p>
        </w:tc>
        <w:tc>
          <w:tcPr>
            <w:tcW w:w="1771" w:type="dxa"/>
            <w:vAlign w:val="center"/>
          </w:tcPr>
          <w:p w:rsidR="008D659B" w:rsidRPr="00AE0CB3" w:rsidRDefault="008D659B" w:rsidP="00213533">
            <w:pPr>
              <w:pStyle w:val="TabelaTekst"/>
              <w:spacing w:before="0" w:after="0" w:line="240" w:lineRule="auto"/>
              <w:jc w:val="center"/>
              <w:rPr>
                <w:rFonts w:ascii="Garamond" w:hAnsi="Garamond"/>
              </w:rPr>
            </w:pPr>
            <w:r w:rsidRPr="00AE0CB3">
              <w:rPr>
                <w:rFonts w:ascii="Garamond" w:hAnsi="Garamond"/>
              </w:rPr>
              <w:t>2.21</w:t>
            </w:r>
          </w:p>
        </w:tc>
        <w:tc>
          <w:tcPr>
            <w:tcW w:w="1771" w:type="dxa"/>
            <w:vAlign w:val="center"/>
          </w:tcPr>
          <w:p w:rsidR="008D659B" w:rsidRPr="00AE0CB3" w:rsidRDefault="008D659B" w:rsidP="00213533">
            <w:pPr>
              <w:pStyle w:val="TabelaTekst"/>
              <w:spacing w:before="0" w:after="0" w:line="240" w:lineRule="auto"/>
              <w:jc w:val="center"/>
              <w:rPr>
                <w:rFonts w:ascii="Garamond" w:hAnsi="Garamond"/>
              </w:rPr>
            </w:pPr>
            <w:r w:rsidRPr="00AE0CB3">
              <w:rPr>
                <w:rFonts w:ascii="Garamond" w:eastAsia="Times New Roman" w:hAnsi="Garamond" w:cs="Calibri"/>
                <w:color w:val="000000"/>
                <w:szCs w:val="18"/>
              </w:rPr>
              <w:t>2.1</w:t>
            </w:r>
            <w:r w:rsidRPr="00AE0CB3">
              <w:rPr>
                <w:rFonts w:ascii="Garamond" w:hAnsi="Garamond"/>
                <w:szCs w:val="18"/>
                <w:vertAlign w:val="superscript"/>
              </w:rPr>
              <w:footnoteReference w:id="75"/>
            </w:r>
          </w:p>
        </w:tc>
        <w:tc>
          <w:tcPr>
            <w:tcW w:w="1523" w:type="dxa"/>
            <w:vAlign w:val="center"/>
          </w:tcPr>
          <w:p w:rsidR="008D659B" w:rsidRPr="00F40104" w:rsidRDefault="008D659B" w:rsidP="00213533">
            <w:pPr>
              <w:pStyle w:val="TabelaTekst"/>
              <w:spacing w:before="0" w:after="0" w:line="240" w:lineRule="auto"/>
              <w:jc w:val="center"/>
              <w:rPr>
                <w:rFonts w:ascii="Garamond" w:hAnsi="Garamond"/>
              </w:rPr>
            </w:pPr>
            <w:r>
              <w:rPr>
                <w:rFonts w:ascii="Garamond" w:hAnsi="Garamond" w:cstheme="majorHAnsi"/>
                <w:noProof/>
                <w:szCs w:val="18"/>
                <w:lang w:eastAsia="en-GB"/>
              </w:rPr>
              <w:t>2.1</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8D659B">
      <w:pPr>
        <w:pStyle w:val="Heading3"/>
        <w:rPr>
          <w:rFonts w:ascii="Garamond" w:hAnsi="Garamond"/>
          <w:sz w:val="24"/>
          <w:szCs w:val="24"/>
        </w:rPr>
      </w:pPr>
      <w:bookmarkStart w:id="74" w:name="_Toc77688251"/>
      <w:r w:rsidRPr="00C32887">
        <w:rPr>
          <w:rFonts w:ascii="Garamond" w:hAnsi="Garamond"/>
          <w:sz w:val="24"/>
          <w:szCs w:val="24"/>
        </w:rPr>
        <w:t>3.1.4      PERFORMANCE INDICATOR 29</w:t>
      </w:r>
      <w:r w:rsidR="008D659B" w:rsidRPr="008D659B">
        <w:rPr>
          <w:rFonts w:ascii="Garamond" w:hAnsi="Garamond"/>
          <w:sz w:val="24"/>
          <w:szCs w:val="24"/>
        </w:rPr>
        <w:t xml:space="preserve"> </w:t>
      </w:r>
      <w:r w:rsidR="008D659B" w:rsidRPr="00C32887">
        <w:rPr>
          <w:rFonts w:ascii="Garamond" w:hAnsi="Garamond"/>
          <w:sz w:val="24"/>
          <w:szCs w:val="24"/>
        </w:rPr>
        <w:t>PASSPORT</w:t>
      </w:r>
      <w:bookmarkEnd w:id="74"/>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ab/>
      </w: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8D659B" w:rsidRPr="001D1E5B" w:rsidTr="00213533">
        <w:trPr>
          <w:jc w:val="center"/>
        </w:trPr>
        <w:tc>
          <w:tcPr>
            <w:tcW w:w="2721" w:type="dxa"/>
            <w:tcBorders>
              <w:right w:val="single" w:sz="4" w:space="0" w:color="FFFFFF"/>
            </w:tcBorders>
            <w:shd w:val="clear" w:color="auto" w:fill="BFBFBF"/>
            <w:vAlign w:val="center"/>
          </w:tcPr>
          <w:p w:rsidR="008D659B" w:rsidRPr="001D1E5B" w:rsidRDefault="008D659B" w:rsidP="00213533">
            <w:pPr>
              <w:autoSpaceDE/>
              <w:autoSpaceDN/>
              <w:rPr>
                <w:rFonts w:ascii="Garamond" w:eastAsia="Calibri" w:hAnsi="Garamond"/>
                <w:b/>
                <w:caps/>
                <w:sz w:val="16"/>
                <w:szCs w:val="16"/>
                <w:lang w:val="en-GB" w:eastAsia="en-US" w:bidi="ar-SA"/>
              </w:rPr>
            </w:pPr>
            <w:r w:rsidRPr="001D1E5B">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8D659B" w:rsidRPr="001D1E5B" w:rsidRDefault="008D659B" w:rsidP="00213533">
            <w:pPr>
              <w:pStyle w:val="Default"/>
              <w:jc w:val="both"/>
              <w:rPr>
                <w:rFonts w:ascii="Garamond" w:eastAsia="Calibri" w:hAnsi="Garamond"/>
                <w:b/>
                <w:sz w:val="16"/>
                <w:szCs w:val="16"/>
                <w:lang w:eastAsia="en-US"/>
              </w:rPr>
            </w:pPr>
            <w:r w:rsidRPr="001D1E5B">
              <w:rPr>
                <w:rFonts w:ascii="Garamond" w:hAnsi="Garamond"/>
                <w:sz w:val="16"/>
                <w:szCs w:val="16"/>
              </w:rPr>
              <w:t>Percentage of appointed certified internal auditors</w:t>
            </w:r>
          </w:p>
        </w:tc>
      </w:tr>
      <w:tr w:rsidR="008D659B" w:rsidRPr="001D1E5B" w:rsidTr="00213533">
        <w:trPr>
          <w:gridAfter w:val="1"/>
          <w:wAfter w:w="19" w:type="dxa"/>
          <w:jc w:val="center"/>
        </w:trPr>
        <w:tc>
          <w:tcPr>
            <w:tcW w:w="2721" w:type="dxa"/>
            <w:vAlign w:val="center"/>
          </w:tcPr>
          <w:p w:rsidR="008D659B" w:rsidRPr="001D1E5B" w:rsidRDefault="008D659B" w:rsidP="006225A7">
            <w:pPr>
              <w:rPr>
                <w:rFonts w:ascii="Garamond" w:eastAsia="Calibri" w:hAnsi="Garamond"/>
                <w:b/>
                <w:caps/>
                <w:sz w:val="16"/>
                <w:szCs w:val="16"/>
                <w:lang w:val="en-GB" w:eastAsia="en-US" w:bidi="ar-SA"/>
              </w:rPr>
            </w:pPr>
            <w:r w:rsidRPr="001D1E5B">
              <w:rPr>
                <w:rFonts w:ascii="Garamond" w:eastAsia="Calibri" w:hAnsi="Garamond"/>
                <w:b/>
                <w:caps/>
                <w:sz w:val="16"/>
                <w:szCs w:val="16"/>
                <w:lang w:val="en-GB" w:eastAsia="en-US" w:bidi="ar-SA"/>
              </w:rPr>
              <w:t>corresponding objective or activity</w:t>
            </w:r>
          </w:p>
        </w:tc>
        <w:tc>
          <w:tcPr>
            <w:tcW w:w="6836" w:type="dxa"/>
            <w:gridSpan w:val="4"/>
            <w:vAlign w:val="center"/>
          </w:tcPr>
          <w:p w:rsidR="008D659B" w:rsidRPr="001D1E5B" w:rsidRDefault="008D659B" w:rsidP="006225A7">
            <w:pPr>
              <w:rPr>
                <w:rFonts w:ascii="Garamond" w:hAnsi="Garamond"/>
                <w:color w:val="365F91" w:themeColor="accent1" w:themeShade="BF"/>
                <w:sz w:val="16"/>
                <w:szCs w:val="16"/>
              </w:rPr>
            </w:pPr>
            <w:r w:rsidRPr="001D1E5B">
              <w:rPr>
                <w:rFonts w:ascii="Garamond" w:hAnsi="Garamond"/>
                <w:color w:val="365F91" w:themeColor="accent1" w:themeShade="BF"/>
                <w:sz w:val="16"/>
                <w:szCs w:val="16"/>
              </w:rPr>
              <w:t xml:space="preserve">Public Internal Financial Control </w:t>
            </w:r>
            <w:r w:rsidR="006550F4" w:rsidRPr="001D1E5B">
              <w:rPr>
                <w:rFonts w:ascii="Garamond" w:hAnsi="Garamond"/>
                <w:color w:val="365F91" w:themeColor="accent1" w:themeShade="BF"/>
                <w:sz w:val="16"/>
                <w:szCs w:val="16"/>
              </w:rPr>
              <w:t xml:space="preserve">System </w:t>
            </w:r>
            <w:r w:rsidRPr="001D1E5B">
              <w:rPr>
                <w:rFonts w:ascii="Garamond" w:hAnsi="Garamond"/>
                <w:color w:val="365F91" w:themeColor="accent1" w:themeShade="BF"/>
                <w:sz w:val="16"/>
                <w:szCs w:val="16"/>
              </w:rPr>
              <w:t>Development</w:t>
            </w:r>
          </w:p>
          <w:p w:rsidR="008D659B" w:rsidRPr="001D1E5B" w:rsidRDefault="008D659B" w:rsidP="006225A7">
            <w:pPr>
              <w:pStyle w:val="ListParagraph"/>
              <w:numPr>
                <w:ilvl w:val="0"/>
                <w:numId w:val="28"/>
              </w:numPr>
              <w:rPr>
                <w:rFonts w:ascii="Garamond" w:eastAsia="Calibri" w:hAnsi="Garamond"/>
                <w:color w:val="365F91" w:themeColor="accent1" w:themeShade="BF"/>
                <w:sz w:val="16"/>
                <w:szCs w:val="16"/>
                <w:lang w:eastAsia="en-US" w:bidi="ar-SA"/>
              </w:rPr>
            </w:pPr>
            <w:r w:rsidRPr="001D1E5B">
              <w:rPr>
                <w:rFonts w:ascii="Garamond" w:hAnsi="Garamond"/>
                <w:color w:val="365F91" w:themeColor="accent1" w:themeShade="BF"/>
                <w:sz w:val="16"/>
                <w:szCs w:val="16"/>
              </w:rPr>
              <w:t>Managing public finances in an efficient, economical, effective and transparent way by all spending units</w:t>
            </w:r>
          </w:p>
        </w:tc>
      </w:tr>
      <w:tr w:rsidR="008D659B" w:rsidRPr="001D1E5B" w:rsidTr="00213533">
        <w:trPr>
          <w:gridAfter w:val="1"/>
          <w:wAfter w:w="19" w:type="dxa"/>
          <w:jc w:val="center"/>
        </w:trPr>
        <w:tc>
          <w:tcPr>
            <w:tcW w:w="2721" w:type="dxa"/>
            <w:vAlign w:val="center"/>
          </w:tcPr>
          <w:p w:rsidR="008D659B" w:rsidRPr="001D1E5B" w:rsidRDefault="008D659B"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8D659B" w:rsidRPr="001D1E5B" w:rsidRDefault="008D659B" w:rsidP="00213533">
            <w:pPr>
              <w:jc w:val="both"/>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Register of deployed internal auditors</w:t>
            </w:r>
          </w:p>
          <w:p w:rsidR="008D659B" w:rsidRPr="001D1E5B" w:rsidRDefault="008D659B" w:rsidP="00F36664">
            <w:pPr>
              <w:jc w:val="both"/>
              <w:rPr>
                <w:rFonts w:ascii="Garamond" w:eastAsia="Calibri" w:hAnsi="Garamond"/>
                <w:sz w:val="16"/>
                <w:szCs w:val="16"/>
                <w:lang w:eastAsia="en-US" w:bidi="ar-SA"/>
              </w:rPr>
            </w:pPr>
            <w:r w:rsidRPr="001D1E5B">
              <w:rPr>
                <w:rFonts w:ascii="Garamond" w:eastAsia="Calibri" w:hAnsi="Garamond"/>
                <w:sz w:val="16"/>
                <w:szCs w:val="16"/>
                <w:lang w:val="uz-Cyrl-UZ" w:eastAsia="en-US" w:bidi="ar-SA"/>
              </w:rPr>
              <w:t xml:space="preserve">Consolidated report on the </w:t>
            </w:r>
            <w:r w:rsidR="00F36664" w:rsidRPr="001D1E5B">
              <w:rPr>
                <w:rFonts w:ascii="Garamond" w:eastAsia="Calibri" w:hAnsi="Garamond"/>
                <w:sz w:val="16"/>
                <w:szCs w:val="16"/>
                <w:lang w:val="uz-Cyrl-UZ" w:eastAsia="en-US" w:bidi="ar-SA"/>
              </w:rPr>
              <w:t xml:space="preserve">public </w:t>
            </w:r>
            <w:r w:rsidR="00F36664">
              <w:rPr>
                <w:rFonts w:ascii="Garamond" w:eastAsia="Calibri" w:hAnsi="Garamond"/>
                <w:sz w:val="16"/>
                <w:szCs w:val="16"/>
                <w:lang w:val="uz-Cyrl-UZ" w:eastAsia="en-US" w:bidi="ar-SA"/>
              </w:rPr>
              <w:t>internal financial control</w:t>
            </w:r>
            <w:r w:rsidRPr="001D1E5B">
              <w:rPr>
                <w:rFonts w:ascii="Garamond" w:eastAsia="Calibri" w:hAnsi="Garamond"/>
                <w:sz w:val="16"/>
                <w:szCs w:val="16"/>
                <w:lang w:val="uz-Cyrl-UZ" w:eastAsia="en-US" w:bidi="ar-SA"/>
              </w:rPr>
              <w:t xml:space="preserve"> </w:t>
            </w:r>
            <w:r w:rsidR="00F36664" w:rsidRPr="001D1E5B">
              <w:rPr>
                <w:rFonts w:ascii="Garamond" w:eastAsia="Calibri" w:hAnsi="Garamond"/>
                <w:sz w:val="16"/>
                <w:szCs w:val="16"/>
                <w:lang w:val="uz-Cyrl-UZ" w:eastAsia="en-US" w:bidi="ar-SA"/>
              </w:rPr>
              <w:t xml:space="preserve">system </w:t>
            </w:r>
            <w:r w:rsidRPr="001D1E5B">
              <w:rPr>
                <w:rFonts w:ascii="Garamond" w:eastAsia="Calibri" w:hAnsi="Garamond"/>
                <w:sz w:val="16"/>
                <w:szCs w:val="16"/>
                <w:lang w:val="uz-Cyrl-UZ" w:eastAsia="en-US" w:bidi="ar-SA"/>
              </w:rPr>
              <w:t xml:space="preserve">published in </w:t>
            </w:r>
            <w:r w:rsidR="00F36664">
              <w:rPr>
                <w:rFonts w:ascii="Garamond" w:eastAsia="Calibri" w:hAnsi="Garamond"/>
                <w:sz w:val="16"/>
                <w:szCs w:val="16"/>
                <w:lang w:eastAsia="en-US" w:bidi="ar-SA"/>
              </w:rPr>
              <w:t xml:space="preserve">Q2 </w:t>
            </w:r>
            <w:r w:rsidRPr="001D1E5B">
              <w:rPr>
                <w:rFonts w:ascii="Garamond" w:eastAsia="Calibri" w:hAnsi="Garamond"/>
                <w:sz w:val="16"/>
                <w:szCs w:val="16"/>
                <w:lang w:val="uz-Cyrl-UZ" w:eastAsia="en-US" w:bidi="ar-SA"/>
              </w:rPr>
              <w:t>of the current year for the previous calendar year</w:t>
            </w:r>
          </w:p>
        </w:tc>
      </w:tr>
      <w:tr w:rsidR="008D659B" w:rsidRPr="001D1E5B" w:rsidTr="00213533">
        <w:trPr>
          <w:gridAfter w:val="1"/>
          <w:wAfter w:w="19" w:type="dxa"/>
          <w:jc w:val="center"/>
        </w:trPr>
        <w:tc>
          <w:tcPr>
            <w:tcW w:w="2721" w:type="dxa"/>
            <w:vAlign w:val="center"/>
          </w:tcPr>
          <w:p w:rsidR="008D659B" w:rsidRPr="001D1E5B" w:rsidRDefault="008D659B"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NAME OF DATA COLLECTION HOLDER</w:t>
            </w:r>
          </w:p>
        </w:tc>
        <w:tc>
          <w:tcPr>
            <w:tcW w:w="6836" w:type="dxa"/>
            <w:gridSpan w:val="4"/>
            <w:vAlign w:val="center"/>
          </w:tcPr>
          <w:p w:rsidR="008D659B" w:rsidRPr="001D1E5B" w:rsidRDefault="008D659B" w:rsidP="00213533">
            <w:pPr>
              <w:rPr>
                <w:rFonts w:ascii="Garamond" w:hAnsi="Garamond"/>
                <w:sz w:val="16"/>
                <w:szCs w:val="16"/>
              </w:rPr>
            </w:pPr>
            <w:r w:rsidRPr="001D1E5B">
              <w:rPr>
                <w:rFonts w:ascii="Garamond" w:hAnsi="Garamond"/>
                <w:sz w:val="16"/>
                <w:szCs w:val="16"/>
              </w:rPr>
              <w:t>Ministry of Finance and Social Welfare</w:t>
            </w:r>
          </w:p>
          <w:p w:rsidR="008D659B" w:rsidRPr="001D1E5B" w:rsidRDefault="008D659B" w:rsidP="00213533">
            <w:pPr>
              <w:rPr>
                <w:rFonts w:ascii="Garamond" w:hAnsi="Garamond"/>
                <w:sz w:val="16"/>
                <w:szCs w:val="16"/>
              </w:rPr>
            </w:pPr>
            <w:r w:rsidRPr="001D1E5B">
              <w:rPr>
                <w:rFonts w:ascii="Garamond" w:hAnsi="Garamond"/>
                <w:sz w:val="16"/>
                <w:szCs w:val="16"/>
              </w:rPr>
              <w:t>Miloš Baletić</w:t>
            </w:r>
          </w:p>
          <w:p w:rsidR="008D659B" w:rsidRPr="001D1E5B" w:rsidRDefault="008D659B" w:rsidP="00213533">
            <w:pPr>
              <w:rPr>
                <w:rFonts w:ascii="Garamond" w:eastAsia="Calibri" w:hAnsi="Garamond"/>
                <w:sz w:val="16"/>
                <w:szCs w:val="16"/>
                <w:lang w:eastAsia="en-US" w:bidi="ar-SA"/>
              </w:rPr>
            </w:pPr>
            <w:r w:rsidRPr="001D1E5B">
              <w:rPr>
                <w:rFonts w:ascii="Garamond" w:hAnsi="Garamond"/>
                <w:sz w:val="16"/>
                <w:szCs w:val="16"/>
              </w:rPr>
              <w:t>milos.baletic@mif.gov.me</w:t>
            </w:r>
          </w:p>
        </w:tc>
      </w:tr>
      <w:tr w:rsidR="008D659B" w:rsidRPr="001D1E5B" w:rsidTr="00213533">
        <w:trPr>
          <w:gridAfter w:val="1"/>
          <w:wAfter w:w="19" w:type="dxa"/>
          <w:jc w:val="center"/>
        </w:trPr>
        <w:tc>
          <w:tcPr>
            <w:tcW w:w="2721" w:type="dxa"/>
            <w:vAlign w:val="center"/>
          </w:tcPr>
          <w:p w:rsidR="008D659B" w:rsidRPr="001D1E5B" w:rsidRDefault="008D659B"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FREQUENCY OF DATA PUBLICATION</w:t>
            </w:r>
          </w:p>
        </w:tc>
        <w:tc>
          <w:tcPr>
            <w:tcW w:w="6836" w:type="dxa"/>
            <w:gridSpan w:val="4"/>
            <w:vAlign w:val="center"/>
          </w:tcPr>
          <w:p w:rsidR="008D659B" w:rsidRPr="001D1E5B" w:rsidRDefault="008D659B" w:rsidP="003B3AE5">
            <w:pPr>
              <w:rPr>
                <w:rFonts w:ascii="Garamond" w:eastAsia="Calibri" w:hAnsi="Garamond"/>
                <w:sz w:val="16"/>
                <w:szCs w:val="16"/>
                <w:lang w:eastAsia="en-US" w:bidi="ar-SA"/>
              </w:rPr>
            </w:pPr>
            <w:r w:rsidRPr="001D1E5B">
              <w:rPr>
                <w:rFonts w:ascii="Garamond" w:eastAsia="Calibri" w:hAnsi="Garamond"/>
                <w:sz w:val="16"/>
                <w:szCs w:val="16"/>
                <w:lang w:eastAsia="en-US" w:bidi="ar-SA"/>
              </w:rPr>
              <w:t xml:space="preserve">Once a year, during the adoption of the Consolidated Report, </w:t>
            </w:r>
            <w:proofErr w:type="gramStart"/>
            <w:r w:rsidRPr="001D1E5B">
              <w:rPr>
                <w:rFonts w:ascii="Garamond" w:eastAsia="Calibri" w:hAnsi="Garamond"/>
                <w:sz w:val="16"/>
                <w:szCs w:val="16"/>
                <w:lang w:eastAsia="en-US" w:bidi="ar-SA"/>
              </w:rPr>
              <w:t>which is published on the website of the Government of Montenegro, after the adoption</w:t>
            </w:r>
            <w:r w:rsidR="00F36664">
              <w:rPr>
                <w:rFonts w:ascii="Garamond" w:eastAsia="Calibri" w:hAnsi="Garamond"/>
                <w:sz w:val="16"/>
                <w:szCs w:val="16"/>
                <w:lang w:eastAsia="en-US" w:bidi="ar-SA"/>
              </w:rPr>
              <w:t>,</w:t>
            </w:r>
            <w:r w:rsidRPr="001D1E5B">
              <w:rPr>
                <w:rFonts w:ascii="Garamond" w:eastAsia="Calibri" w:hAnsi="Garamond"/>
                <w:sz w:val="16"/>
                <w:szCs w:val="16"/>
                <w:lang w:eastAsia="en-US" w:bidi="ar-SA"/>
              </w:rPr>
              <w:t xml:space="preserve"> by the end of </w:t>
            </w:r>
            <w:r w:rsidR="003B3AE5" w:rsidRPr="001D1E5B">
              <w:rPr>
                <w:rFonts w:ascii="Garamond" w:eastAsia="Calibri" w:hAnsi="Garamond"/>
                <w:sz w:val="16"/>
                <w:szCs w:val="16"/>
                <w:lang w:eastAsia="en-US" w:bidi="ar-SA"/>
              </w:rPr>
              <w:t>Q2</w:t>
            </w:r>
            <w:r w:rsidRPr="001D1E5B">
              <w:rPr>
                <w:rFonts w:ascii="Garamond" w:eastAsia="Calibri" w:hAnsi="Garamond"/>
                <w:sz w:val="16"/>
                <w:szCs w:val="16"/>
                <w:lang w:eastAsia="en-US" w:bidi="ar-SA"/>
              </w:rPr>
              <w:t xml:space="preserve"> of the current year.</w:t>
            </w:r>
            <w:proofErr w:type="gramEnd"/>
          </w:p>
        </w:tc>
      </w:tr>
      <w:tr w:rsidR="008D659B" w:rsidRPr="001D1E5B" w:rsidTr="00213533">
        <w:trPr>
          <w:gridAfter w:val="1"/>
          <w:wAfter w:w="19" w:type="dxa"/>
          <w:trHeight w:val="458"/>
          <w:jc w:val="center"/>
        </w:trPr>
        <w:tc>
          <w:tcPr>
            <w:tcW w:w="2721" w:type="dxa"/>
            <w:vMerge w:val="restart"/>
            <w:vAlign w:val="center"/>
          </w:tcPr>
          <w:p w:rsidR="008D659B" w:rsidRPr="001D1E5B" w:rsidRDefault="008D659B" w:rsidP="00213533">
            <w:pPr>
              <w:autoSpaceDE/>
              <w:autoSpaceDN/>
              <w:rPr>
                <w:rFonts w:ascii="Garamond" w:eastAsia="Calibri" w:hAnsi="Garamond"/>
                <w:b/>
                <w:caps/>
                <w:sz w:val="16"/>
                <w:szCs w:val="16"/>
                <w:lang w:val="uz-Cyrl-UZ" w:eastAsia="en-US" w:bidi="ar-SA"/>
              </w:rPr>
            </w:pPr>
            <w:r w:rsidRPr="001D1E5B">
              <w:rPr>
                <w:rFonts w:ascii="Garamond" w:eastAsia="Calibri" w:hAnsi="Garamond"/>
                <w:b/>
                <w:caps/>
                <w:sz w:val="16"/>
                <w:szCs w:val="16"/>
                <w:lang w:val="uz-Cyrl-UZ" w:eastAsia="en-US" w:bidi="ar-SA"/>
              </w:rPr>
              <w:t xml:space="preserve">BRIEF DESCRIPTION </w:t>
            </w:r>
            <w:r w:rsidRPr="001D1E5B">
              <w:rPr>
                <w:rFonts w:ascii="Garamond" w:eastAsia="Calibri" w:hAnsi="Garamond"/>
                <w:b/>
                <w:caps/>
                <w:sz w:val="16"/>
                <w:szCs w:val="16"/>
                <w:lang w:val="en-GB" w:eastAsia="en-US" w:bidi="ar-SA"/>
              </w:rPr>
              <w:t xml:space="preserve">OF </w:t>
            </w:r>
            <w:r w:rsidRPr="001D1E5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8D659B" w:rsidRPr="001D1E5B" w:rsidRDefault="008D659B" w:rsidP="00F36664">
            <w:pPr>
              <w:jc w:val="both"/>
              <w:rPr>
                <w:rFonts w:ascii="Garamond" w:eastAsia="Calibri" w:hAnsi="Garamond"/>
                <w:sz w:val="16"/>
                <w:szCs w:val="16"/>
                <w:u w:val="single"/>
                <w:lang w:val="uz-Cyrl-UZ" w:eastAsia="en-US" w:bidi="ar-SA"/>
              </w:rPr>
            </w:pPr>
            <w:r w:rsidRPr="001D1E5B">
              <w:rPr>
                <w:rFonts w:ascii="Garamond" w:eastAsia="Calibri" w:hAnsi="Garamond"/>
                <w:sz w:val="16"/>
                <w:szCs w:val="16"/>
                <w:lang w:val="uz-Cyrl-UZ" w:eastAsia="en-US" w:bidi="ar-SA"/>
              </w:rPr>
              <w:t xml:space="preserve">The Law on the </w:t>
            </w:r>
            <w:r w:rsidR="003B3AE5" w:rsidRPr="001D1E5B">
              <w:rPr>
                <w:rFonts w:ascii="Garamond" w:eastAsia="Calibri" w:hAnsi="Garamond"/>
                <w:sz w:val="16"/>
                <w:szCs w:val="16"/>
                <w:lang w:val="uz-Cyrl-UZ" w:eastAsia="en-US" w:bidi="ar-SA"/>
              </w:rPr>
              <w:t xml:space="preserve">Public Internal Financial Control </w:t>
            </w:r>
            <w:r w:rsidRPr="001D1E5B">
              <w:rPr>
                <w:rFonts w:ascii="Garamond" w:eastAsia="Calibri" w:hAnsi="Garamond"/>
                <w:sz w:val="16"/>
                <w:szCs w:val="16"/>
                <w:lang w:val="uz-Cyrl-UZ" w:eastAsia="en-US" w:bidi="ar-SA"/>
              </w:rPr>
              <w:t>System stipulates that in order for an internal auditor to be employed on audit</w:t>
            </w:r>
            <w:r w:rsidR="003B3AE5" w:rsidRPr="001D1E5B">
              <w:rPr>
                <w:rFonts w:ascii="Garamond" w:eastAsia="Calibri" w:hAnsi="Garamond"/>
                <w:sz w:val="16"/>
                <w:szCs w:val="16"/>
                <w:lang w:val="en-GB" w:eastAsia="en-US" w:bidi="ar-SA"/>
              </w:rPr>
              <w:t>s</w:t>
            </w:r>
            <w:r w:rsidRPr="001D1E5B">
              <w:rPr>
                <w:rFonts w:ascii="Garamond" w:eastAsia="Calibri" w:hAnsi="Garamond"/>
                <w:sz w:val="16"/>
                <w:szCs w:val="16"/>
                <w:lang w:val="uz-Cyrl-UZ" w:eastAsia="en-US" w:bidi="ar-SA"/>
              </w:rPr>
              <w:t xml:space="preserve">, he must have passed the exam for a certified internal auditor. The internal auditor may establish employment </w:t>
            </w:r>
            <w:r w:rsidR="00F36664">
              <w:rPr>
                <w:rFonts w:ascii="Garamond" w:eastAsia="Calibri" w:hAnsi="Garamond"/>
                <w:sz w:val="16"/>
                <w:szCs w:val="16"/>
                <w:lang w:eastAsia="en-US" w:bidi="ar-SA"/>
              </w:rPr>
              <w:t>for</w:t>
            </w:r>
            <w:r w:rsidRPr="001D1E5B">
              <w:rPr>
                <w:rFonts w:ascii="Garamond" w:eastAsia="Calibri" w:hAnsi="Garamond"/>
                <w:sz w:val="16"/>
                <w:szCs w:val="16"/>
                <w:lang w:val="uz-Cyrl-UZ" w:eastAsia="en-US" w:bidi="ar-SA"/>
              </w:rPr>
              <w:t xml:space="preserve"> internal audit work without passing the exam for a certified internal auditor, provided that he passes that exam no later than one ye</w:t>
            </w:r>
            <w:r w:rsidR="00DE1FD5" w:rsidRPr="001D1E5B">
              <w:rPr>
                <w:rFonts w:ascii="Garamond" w:eastAsia="Calibri" w:hAnsi="Garamond"/>
                <w:sz w:val="16"/>
                <w:szCs w:val="16"/>
                <w:lang w:val="uz-Cyrl-UZ" w:eastAsia="en-US" w:bidi="ar-SA"/>
              </w:rPr>
              <w:t xml:space="preserve">ar from the day of employment, </w:t>
            </w:r>
            <w:r w:rsidR="00DE1FD5" w:rsidRPr="001D1E5B">
              <w:rPr>
                <w:rFonts w:ascii="Garamond" w:eastAsia="Calibri" w:hAnsi="Garamond"/>
                <w:sz w:val="16"/>
                <w:szCs w:val="16"/>
                <w:lang w:val="en-GB" w:eastAsia="en-US" w:bidi="ar-SA"/>
              </w:rPr>
              <w:t>that is,</w:t>
            </w:r>
            <w:r w:rsidRPr="001D1E5B">
              <w:rPr>
                <w:rFonts w:ascii="Garamond" w:eastAsia="Calibri" w:hAnsi="Garamond"/>
                <w:sz w:val="16"/>
                <w:szCs w:val="16"/>
                <w:lang w:val="uz-Cyrl-UZ" w:eastAsia="en-US" w:bidi="ar-SA"/>
              </w:rPr>
              <w:t xml:space="preserve"> from the day of assignment.</w:t>
            </w:r>
          </w:p>
        </w:tc>
      </w:tr>
      <w:tr w:rsidR="008D659B" w:rsidRPr="00F36664" w:rsidTr="00213533">
        <w:trPr>
          <w:gridAfter w:val="1"/>
          <w:wAfter w:w="19" w:type="dxa"/>
          <w:trHeight w:val="620"/>
          <w:jc w:val="center"/>
        </w:trPr>
        <w:tc>
          <w:tcPr>
            <w:tcW w:w="2721" w:type="dxa"/>
            <w:vMerge/>
            <w:shd w:val="clear" w:color="auto" w:fill="auto"/>
            <w:vAlign w:val="center"/>
          </w:tcPr>
          <w:p w:rsidR="008D659B" w:rsidRPr="001D1E5B" w:rsidRDefault="008D659B" w:rsidP="00213533">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8D659B" w:rsidRPr="001D1E5B" w:rsidRDefault="008D659B" w:rsidP="00213533">
            <w:pPr>
              <w:jc w:val="center"/>
              <w:rPr>
                <w:rFonts w:ascii="Garamond" w:hAnsi="Garamond"/>
                <w:color w:val="365F91" w:themeColor="accent1" w:themeShade="BF"/>
                <w:sz w:val="16"/>
                <w:szCs w:val="16"/>
                <w:lang w:val="uz-Cyrl-UZ"/>
              </w:rPr>
            </w:pPr>
            <w:r w:rsidRPr="001D1E5B">
              <w:rPr>
                <w:rFonts w:ascii="Garamond" w:hAnsi="Garamond"/>
                <w:color w:val="365F91" w:themeColor="accent1" w:themeShade="BF"/>
                <w:sz w:val="16"/>
                <w:szCs w:val="16"/>
                <w:lang w:val="uz-Cyrl-UZ"/>
              </w:rPr>
              <w:t>FORMULA / EQUATION</w:t>
            </w:r>
          </w:p>
          <w:p w:rsidR="00DE1FD5" w:rsidRPr="001D1E5B" w:rsidRDefault="00613C2B" w:rsidP="00DE1FD5">
            <w:pPr>
              <w:autoSpaceDE/>
              <w:autoSpaceDN/>
              <w:jc w:val="center"/>
              <w:rPr>
                <w:rFonts w:ascii="Garamond" w:eastAsia="Calibri" w:hAnsi="Garamond"/>
                <w:i/>
                <w:sz w:val="16"/>
                <w:szCs w:val="16"/>
                <w:lang w:val="sr-Latn-CS" w:eastAsia="en-US" w:bidi="ar-SA"/>
              </w:rPr>
            </w:pPr>
            <m:oMath>
              <m:f>
                <m:fPr>
                  <m:ctrlPr>
                    <w:rPr>
                      <w:rFonts w:ascii="Cambria Math" w:eastAsia="Calibri" w:hAnsi="Cambria Math"/>
                      <w:i/>
                      <w:sz w:val="16"/>
                      <w:szCs w:val="16"/>
                      <w:lang w:val="uz-Cyrl-UZ" w:eastAsia="en-US" w:bidi="ar-SA"/>
                    </w:rPr>
                  </m:ctrlPr>
                </m:fPr>
                <m:num>
                  <m:r>
                    <w:rPr>
                      <w:rFonts w:ascii="Cambria Math" w:eastAsia="Calibri" w:hAnsi="Cambria Math"/>
                      <w:sz w:val="16"/>
                      <w:szCs w:val="16"/>
                      <w:lang w:val="uz-Cyrl-UZ" w:eastAsia="en-US" w:bidi="ar-SA"/>
                    </w:rPr>
                    <m:t>number of certified auditors per year</m:t>
                  </m:r>
                </m:num>
                <m:den>
                  <m:r>
                    <w:rPr>
                      <w:rFonts w:ascii="Cambria Math" w:eastAsia="Calibri" w:hAnsi="Cambria Math"/>
                      <w:sz w:val="16"/>
                      <w:szCs w:val="16"/>
                      <w:lang w:val="uz-Cyrl-UZ" w:eastAsia="en-US" w:bidi="ar-SA"/>
                    </w:rPr>
                    <m:t>number of appointed internal auditors per year</m:t>
                  </m:r>
                </m:den>
              </m:f>
            </m:oMath>
            <w:r w:rsidR="00DE1FD5" w:rsidRPr="001D1E5B">
              <w:rPr>
                <w:rFonts w:ascii="Garamond" w:eastAsia="Calibri" w:hAnsi="Garamond"/>
                <w:i/>
                <w:sz w:val="16"/>
                <w:szCs w:val="16"/>
                <w:lang w:val="uz-Cyrl-UZ" w:eastAsia="en-US" w:bidi="ar-SA"/>
              </w:rPr>
              <w:t>x</w:t>
            </w:r>
            <w:r w:rsidR="00DE1FD5" w:rsidRPr="001D1E5B">
              <w:rPr>
                <w:rFonts w:ascii="Garamond" w:eastAsia="Calibri" w:hAnsi="Garamond"/>
                <w:i/>
                <w:sz w:val="16"/>
                <w:szCs w:val="16"/>
                <w:lang w:val="sr-Latn-CS" w:eastAsia="en-US" w:bidi="ar-SA"/>
              </w:rPr>
              <w:t>100</w:t>
            </w:r>
          </w:p>
          <w:p w:rsidR="008D659B" w:rsidRPr="001D1E5B" w:rsidRDefault="008D659B" w:rsidP="00213533">
            <w:pPr>
              <w:jc w:val="center"/>
              <w:rPr>
                <w:rFonts w:ascii="Garamond" w:eastAsia="Calibri" w:hAnsi="Garamond"/>
                <w:sz w:val="16"/>
                <w:szCs w:val="16"/>
                <w:lang w:val="sr-Latn-CS" w:eastAsia="en-US" w:bidi="ar-SA"/>
              </w:rPr>
            </w:pPr>
          </w:p>
        </w:tc>
      </w:tr>
      <w:tr w:rsidR="008D659B" w:rsidRPr="001D1E5B" w:rsidTr="00213533">
        <w:trPr>
          <w:gridAfter w:val="1"/>
          <w:wAfter w:w="19" w:type="dxa"/>
          <w:trHeight w:val="585"/>
          <w:jc w:val="center"/>
        </w:trPr>
        <w:tc>
          <w:tcPr>
            <w:tcW w:w="2721" w:type="dxa"/>
            <w:vAlign w:val="center"/>
          </w:tcPr>
          <w:p w:rsidR="008D659B" w:rsidRPr="001D1E5B" w:rsidRDefault="008D659B" w:rsidP="00213533">
            <w:pPr>
              <w:autoSpaceDE/>
              <w:autoSpaceDN/>
              <w:rPr>
                <w:rFonts w:ascii="Garamond" w:eastAsia="Calibri" w:hAnsi="Garamond"/>
                <w:b/>
                <w:bCs/>
                <w:caps/>
                <w:sz w:val="16"/>
                <w:szCs w:val="16"/>
                <w:lang w:val="en-GB" w:eastAsia="en-US" w:bidi="ar-SA"/>
              </w:rPr>
            </w:pPr>
            <w:r w:rsidRPr="001D1E5B">
              <w:rPr>
                <w:rFonts w:ascii="Garamond" w:eastAsia="Calibri" w:hAnsi="Garamond"/>
                <w:b/>
                <w:caps/>
                <w:sz w:val="16"/>
                <w:szCs w:val="16"/>
                <w:lang w:val="uz-Cyrl-UZ" w:eastAsia="en-US" w:bidi="ar-SA"/>
              </w:rPr>
              <w:t>BASELINE</w:t>
            </w:r>
            <w:r w:rsidRPr="001D1E5B">
              <w:rPr>
                <w:rFonts w:ascii="Garamond" w:eastAsia="Calibri" w:hAnsi="Garamond"/>
                <w:b/>
                <w:caps/>
                <w:sz w:val="16"/>
                <w:szCs w:val="16"/>
                <w:lang w:val="en-GB" w:eastAsia="en-US" w:bidi="ar-SA"/>
              </w:rPr>
              <w:t xml:space="preserve"> DATA</w:t>
            </w:r>
          </w:p>
        </w:tc>
        <w:tc>
          <w:tcPr>
            <w:tcW w:w="6836" w:type="dxa"/>
            <w:gridSpan w:val="4"/>
            <w:vAlign w:val="center"/>
          </w:tcPr>
          <w:p w:rsidR="008D659B" w:rsidRPr="001D1E5B" w:rsidRDefault="008D659B" w:rsidP="00213533">
            <w:pPr>
              <w:pStyle w:val="TabelaTekst"/>
              <w:rPr>
                <w:rFonts w:ascii="Garamond" w:hAnsi="Garamond"/>
                <w:sz w:val="16"/>
                <w:szCs w:val="16"/>
                <w:lang w:val="en-GB"/>
              </w:rPr>
            </w:pPr>
            <w:r w:rsidRPr="001D1E5B">
              <w:rPr>
                <w:rFonts w:ascii="Garamond" w:hAnsi="Garamond"/>
                <w:sz w:val="16"/>
                <w:szCs w:val="16"/>
              </w:rPr>
              <w:t>PV (2014</w:t>
            </w:r>
            <w:r w:rsidRPr="001D1E5B">
              <w:rPr>
                <w:rFonts w:ascii="Garamond" w:hAnsi="Garamond"/>
                <w:sz w:val="16"/>
                <w:szCs w:val="16"/>
                <w:lang w:val="en-GB"/>
              </w:rPr>
              <w:t xml:space="preserve">): </w:t>
            </w:r>
            <w:r w:rsidR="00DE1FD5" w:rsidRPr="001D1E5B">
              <w:rPr>
                <w:rFonts w:ascii="Garamond" w:hAnsi="Garamond"/>
                <w:sz w:val="16"/>
                <w:szCs w:val="16"/>
                <w:lang w:val="en-GB"/>
              </w:rPr>
              <w:t>60</w:t>
            </w:r>
            <w:r w:rsidRPr="001D1E5B">
              <w:rPr>
                <w:rFonts w:ascii="Garamond" w:hAnsi="Garamond"/>
                <w:sz w:val="16"/>
                <w:szCs w:val="16"/>
                <w:lang w:val="en-GB"/>
              </w:rPr>
              <w:t>%</w:t>
            </w:r>
          </w:p>
        </w:tc>
      </w:tr>
      <w:tr w:rsidR="008D659B" w:rsidRPr="001D1E5B" w:rsidTr="00213533">
        <w:trPr>
          <w:gridAfter w:val="1"/>
          <w:wAfter w:w="19" w:type="dxa"/>
          <w:trHeight w:val="160"/>
          <w:jc w:val="center"/>
        </w:trPr>
        <w:tc>
          <w:tcPr>
            <w:tcW w:w="2721" w:type="dxa"/>
            <w:vMerge w:val="restart"/>
            <w:vAlign w:val="center"/>
          </w:tcPr>
          <w:p w:rsidR="008D659B" w:rsidRPr="001D1E5B" w:rsidRDefault="008D659B" w:rsidP="00213533">
            <w:pPr>
              <w:autoSpaceDE/>
              <w:autoSpaceDN/>
              <w:rPr>
                <w:rFonts w:ascii="Garamond" w:eastAsia="Calibri" w:hAnsi="Garamond"/>
                <w:b/>
                <w:bCs/>
                <w:caps/>
                <w:sz w:val="16"/>
                <w:szCs w:val="16"/>
                <w:lang w:val="uz-Cyrl-UZ" w:eastAsia="en-US" w:bidi="ar-SA"/>
              </w:rPr>
            </w:pPr>
            <w:r w:rsidRPr="001D1E5B">
              <w:rPr>
                <w:rFonts w:ascii="Garamond" w:eastAsia="Calibri" w:hAnsi="Garamond"/>
                <w:b/>
                <w:caps/>
                <w:sz w:val="16"/>
                <w:szCs w:val="16"/>
                <w:lang w:val="uz-Cyrl-UZ" w:eastAsia="en-US" w:bidi="ar-SA"/>
              </w:rPr>
              <w:t>TARGET VALUE DATA</w:t>
            </w:r>
          </w:p>
        </w:tc>
        <w:tc>
          <w:tcPr>
            <w:tcW w:w="1771" w:type="dxa"/>
            <w:vAlign w:val="center"/>
          </w:tcPr>
          <w:p w:rsidR="008D659B" w:rsidRPr="001D1E5B" w:rsidRDefault="008D659B" w:rsidP="00213533">
            <w:pPr>
              <w:autoSpaceDE/>
              <w:autoSpaceDN/>
              <w:jc w:val="center"/>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2017</w:t>
            </w:r>
          </w:p>
        </w:tc>
        <w:tc>
          <w:tcPr>
            <w:tcW w:w="1771" w:type="dxa"/>
            <w:vAlign w:val="center"/>
          </w:tcPr>
          <w:p w:rsidR="008D659B" w:rsidRPr="001D1E5B" w:rsidRDefault="008D659B" w:rsidP="00213533">
            <w:pPr>
              <w:autoSpaceDE/>
              <w:autoSpaceDN/>
              <w:jc w:val="center"/>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2018</w:t>
            </w:r>
          </w:p>
        </w:tc>
        <w:tc>
          <w:tcPr>
            <w:tcW w:w="1771" w:type="dxa"/>
            <w:vAlign w:val="center"/>
          </w:tcPr>
          <w:p w:rsidR="008D659B" w:rsidRPr="001D1E5B" w:rsidRDefault="008D659B" w:rsidP="00213533">
            <w:pPr>
              <w:autoSpaceDE/>
              <w:autoSpaceDN/>
              <w:jc w:val="center"/>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2019</w:t>
            </w:r>
          </w:p>
        </w:tc>
        <w:tc>
          <w:tcPr>
            <w:tcW w:w="1523" w:type="dxa"/>
            <w:vAlign w:val="center"/>
          </w:tcPr>
          <w:p w:rsidR="008D659B" w:rsidRPr="001D1E5B" w:rsidRDefault="008D659B" w:rsidP="00213533">
            <w:pPr>
              <w:autoSpaceDE/>
              <w:autoSpaceDN/>
              <w:jc w:val="center"/>
              <w:rPr>
                <w:rFonts w:ascii="Garamond" w:eastAsia="Calibri" w:hAnsi="Garamond"/>
                <w:sz w:val="16"/>
                <w:szCs w:val="16"/>
                <w:lang w:val="uz-Cyrl-UZ" w:eastAsia="en-US" w:bidi="ar-SA"/>
              </w:rPr>
            </w:pPr>
            <w:r w:rsidRPr="001D1E5B">
              <w:rPr>
                <w:rFonts w:ascii="Garamond" w:eastAsia="Calibri" w:hAnsi="Garamond"/>
                <w:sz w:val="16"/>
                <w:szCs w:val="16"/>
                <w:lang w:val="uz-Cyrl-UZ" w:eastAsia="en-US" w:bidi="ar-SA"/>
              </w:rPr>
              <w:t>2020</w:t>
            </w:r>
          </w:p>
        </w:tc>
      </w:tr>
      <w:tr w:rsidR="00DE1FD5" w:rsidRPr="001D1E5B" w:rsidTr="00213533">
        <w:trPr>
          <w:gridAfter w:val="1"/>
          <w:wAfter w:w="19" w:type="dxa"/>
          <w:trHeight w:val="160"/>
          <w:jc w:val="center"/>
        </w:trPr>
        <w:tc>
          <w:tcPr>
            <w:tcW w:w="2721" w:type="dxa"/>
            <w:vMerge/>
            <w:vAlign w:val="center"/>
          </w:tcPr>
          <w:p w:rsidR="00DE1FD5" w:rsidRPr="001D1E5B" w:rsidRDefault="00DE1FD5" w:rsidP="00213533">
            <w:pPr>
              <w:autoSpaceDE/>
              <w:autoSpaceDN/>
              <w:rPr>
                <w:rFonts w:ascii="Garamond" w:eastAsia="Calibri" w:hAnsi="Garamond"/>
                <w:b/>
                <w:bCs/>
                <w:caps/>
                <w:sz w:val="16"/>
                <w:szCs w:val="16"/>
                <w:lang w:val="uz-Cyrl-UZ" w:eastAsia="en-US" w:bidi="ar-SA"/>
              </w:rPr>
            </w:pPr>
          </w:p>
        </w:tc>
        <w:tc>
          <w:tcPr>
            <w:tcW w:w="1771" w:type="dxa"/>
            <w:vAlign w:val="center"/>
          </w:tcPr>
          <w:p w:rsidR="00DE1FD5" w:rsidRPr="001D1E5B" w:rsidRDefault="00DE1FD5" w:rsidP="00213533">
            <w:pPr>
              <w:pStyle w:val="TabelaTekst"/>
              <w:spacing w:before="0" w:after="0" w:line="240" w:lineRule="auto"/>
              <w:rPr>
                <w:rFonts w:ascii="Garamond" w:hAnsi="Garamond"/>
                <w:sz w:val="16"/>
                <w:szCs w:val="16"/>
              </w:rPr>
            </w:pPr>
            <w:r w:rsidRPr="001D1E5B">
              <w:rPr>
                <w:rFonts w:ascii="Garamond" w:hAnsi="Garamond"/>
                <w:sz w:val="16"/>
                <w:szCs w:val="16"/>
              </w:rPr>
              <w:t>75%</w:t>
            </w:r>
          </w:p>
        </w:tc>
        <w:tc>
          <w:tcPr>
            <w:tcW w:w="1771" w:type="dxa"/>
            <w:vAlign w:val="center"/>
          </w:tcPr>
          <w:p w:rsidR="00DE1FD5" w:rsidRPr="001D1E5B" w:rsidRDefault="00DE1FD5" w:rsidP="00213533">
            <w:pPr>
              <w:pStyle w:val="TabelaTekst"/>
              <w:spacing w:before="0" w:after="0" w:line="240" w:lineRule="auto"/>
              <w:rPr>
                <w:rFonts w:ascii="Garamond" w:hAnsi="Garamond"/>
                <w:sz w:val="16"/>
                <w:szCs w:val="16"/>
              </w:rPr>
            </w:pPr>
            <w:r w:rsidRPr="001D1E5B">
              <w:rPr>
                <w:rFonts w:ascii="Garamond" w:hAnsi="Garamond"/>
                <w:sz w:val="16"/>
                <w:szCs w:val="16"/>
              </w:rPr>
              <w:t>80%</w:t>
            </w:r>
          </w:p>
        </w:tc>
        <w:tc>
          <w:tcPr>
            <w:tcW w:w="1771" w:type="dxa"/>
            <w:vAlign w:val="center"/>
          </w:tcPr>
          <w:p w:rsidR="00DE1FD5" w:rsidRPr="001D1E5B" w:rsidRDefault="00DE1FD5" w:rsidP="00213533">
            <w:pPr>
              <w:pStyle w:val="TabelaTekst"/>
              <w:spacing w:before="0" w:after="0" w:line="240" w:lineRule="auto"/>
              <w:rPr>
                <w:rFonts w:ascii="Garamond" w:hAnsi="Garamond"/>
                <w:sz w:val="16"/>
                <w:szCs w:val="16"/>
              </w:rPr>
            </w:pPr>
            <w:r w:rsidRPr="001D1E5B">
              <w:rPr>
                <w:rFonts w:ascii="Garamond" w:hAnsi="Garamond"/>
                <w:sz w:val="16"/>
                <w:szCs w:val="16"/>
              </w:rPr>
              <w:t>85%</w:t>
            </w:r>
          </w:p>
        </w:tc>
        <w:tc>
          <w:tcPr>
            <w:tcW w:w="1523" w:type="dxa"/>
            <w:vAlign w:val="center"/>
          </w:tcPr>
          <w:p w:rsidR="00DE1FD5" w:rsidRPr="001D1E5B" w:rsidRDefault="00DE1FD5" w:rsidP="00213533">
            <w:pPr>
              <w:pStyle w:val="TabelaTekst"/>
              <w:spacing w:before="0" w:after="0" w:line="240" w:lineRule="auto"/>
              <w:rPr>
                <w:rFonts w:ascii="Garamond" w:hAnsi="Garamond"/>
                <w:sz w:val="16"/>
                <w:szCs w:val="16"/>
              </w:rPr>
            </w:pPr>
            <w:r w:rsidRPr="001D1E5B">
              <w:rPr>
                <w:rFonts w:ascii="Garamond" w:hAnsi="Garamond"/>
                <w:sz w:val="16"/>
                <w:szCs w:val="16"/>
              </w:rPr>
              <w:t>90%</w:t>
            </w:r>
          </w:p>
        </w:tc>
      </w:tr>
      <w:tr w:rsidR="00DE1FD5" w:rsidRPr="001D1E5B" w:rsidTr="00213533">
        <w:trPr>
          <w:gridAfter w:val="1"/>
          <w:wAfter w:w="19" w:type="dxa"/>
          <w:trHeight w:val="160"/>
          <w:jc w:val="center"/>
        </w:trPr>
        <w:tc>
          <w:tcPr>
            <w:tcW w:w="2721" w:type="dxa"/>
            <w:vAlign w:val="center"/>
          </w:tcPr>
          <w:p w:rsidR="00DE1FD5" w:rsidRPr="001D1E5B" w:rsidRDefault="0062456A" w:rsidP="00213533">
            <w:pPr>
              <w:autoSpaceDE/>
              <w:autoSpaceDN/>
              <w:rPr>
                <w:rFonts w:ascii="Garamond" w:eastAsia="Calibri" w:hAnsi="Garamond"/>
                <w:b/>
                <w:bCs/>
                <w:caps/>
                <w:sz w:val="16"/>
                <w:szCs w:val="16"/>
                <w:lang w:val="uz-Cyrl-UZ" w:eastAsia="en-US" w:bidi="ar-SA"/>
              </w:rPr>
            </w:pPr>
            <w:r w:rsidRPr="001D1E5B">
              <w:rPr>
                <w:rFonts w:ascii="Garamond" w:eastAsia="Calibri" w:hAnsi="Garamond"/>
                <w:b/>
                <w:bCs/>
                <w:caps/>
                <w:sz w:val="16"/>
                <w:szCs w:val="16"/>
                <w:lang w:val="uz-Cyrl-UZ" w:eastAsia="en-US" w:bidi="ar-SA"/>
              </w:rPr>
              <w:t>DATA ON VALUES ACHIEVED</w:t>
            </w:r>
          </w:p>
        </w:tc>
        <w:tc>
          <w:tcPr>
            <w:tcW w:w="1771" w:type="dxa"/>
            <w:vAlign w:val="center"/>
          </w:tcPr>
          <w:p w:rsidR="00DE1FD5" w:rsidRPr="001D1E5B" w:rsidRDefault="003B3AE5" w:rsidP="00213533">
            <w:pPr>
              <w:pStyle w:val="TabelaTekst"/>
              <w:spacing w:before="0" w:after="0" w:line="240" w:lineRule="auto"/>
              <w:rPr>
                <w:rFonts w:ascii="Garamond" w:hAnsi="Garamond"/>
                <w:sz w:val="16"/>
                <w:szCs w:val="16"/>
              </w:rPr>
            </w:pPr>
            <w:r w:rsidRPr="001D1E5B">
              <w:rPr>
                <w:rFonts w:ascii="Garamond" w:hAnsi="Garamond"/>
                <w:sz w:val="16"/>
                <w:szCs w:val="16"/>
              </w:rPr>
              <w:t>90</w:t>
            </w:r>
            <w:r w:rsidRPr="001D1E5B">
              <w:rPr>
                <w:rFonts w:ascii="Garamond" w:hAnsi="Garamond"/>
                <w:sz w:val="16"/>
                <w:szCs w:val="16"/>
                <w:lang w:val="en-GB"/>
              </w:rPr>
              <w:t>.</w:t>
            </w:r>
            <w:r w:rsidR="00DE1FD5" w:rsidRPr="001D1E5B">
              <w:rPr>
                <w:rFonts w:ascii="Garamond" w:hAnsi="Garamond"/>
                <w:sz w:val="16"/>
                <w:szCs w:val="16"/>
              </w:rPr>
              <w:t>90%</w:t>
            </w:r>
          </w:p>
        </w:tc>
        <w:tc>
          <w:tcPr>
            <w:tcW w:w="1771" w:type="dxa"/>
            <w:vAlign w:val="center"/>
          </w:tcPr>
          <w:p w:rsidR="00DE1FD5" w:rsidRPr="001D1E5B" w:rsidRDefault="00DE1FD5" w:rsidP="00213533">
            <w:pPr>
              <w:pStyle w:val="TabelaTekst"/>
              <w:spacing w:before="0" w:after="0" w:line="240" w:lineRule="auto"/>
              <w:rPr>
                <w:rFonts w:ascii="Garamond" w:hAnsi="Garamond"/>
                <w:sz w:val="16"/>
                <w:szCs w:val="16"/>
              </w:rPr>
            </w:pPr>
            <w:r w:rsidRPr="001D1E5B">
              <w:rPr>
                <w:rFonts w:ascii="Garamond" w:hAnsi="Garamond"/>
                <w:sz w:val="16"/>
                <w:szCs w:val="16"/>
              </w:rPr>
              <w:t>94.05%</w:t>
            </w:r>
          </w:p>
        </w:tc>
        <w:tc>
          <w:tcPr>
            <w:tcW w:w="1771" w:type="dxa"/>
            <w:vAlign w:val="center"/>
          </w:tcPr>
          <w:p w:rsidR="00DE1FD5" w:rsidRPr="001D1E5B" w:rsidRDefault="00DE1FD5" w:rsidP="00213533">
            <w:pPr>
              <w:pStyle w:val="TabelaTekst"/>
              <w:spacing w:before="0" w:after="0" w:line="240" w:lineRule="auto"/>
              <w:rPr>
                <w:rFonts w:ascii="Garamond" w:hAnsi="Garamond"/>
                <w:sz w:val="16"/>
                <w:szCs w:val="16"/>
              </w:rPr>
            </w:pPr>
            <w:r w:rsidRPr="001D1E5B">
              <w:rPr>
                <w:rFonts w:ascii="Garamond" w:eastAsia="Times New Roman" w:hAnsi="Garamond" w:cs="Calibri"/>
                <w:color w:val="000000"/>
                <w:sz w:val="16"/>
                <w:szCs w:val="16"/>
              </w:rPr>
              <w:t>100.00%</w:t>
            </w:r>
          </w:p>
        </w:tc>
        <w:tc>
          <w:tcPr>
            <w:tcW w:w="1523" w:type="dxa"/>
            <w:vAlign w:val="center"/>
          </w:tcPr>
          <w:p w:rsidR="00DE1FD5" w:rsidRPr="001D1E5B" w:rsidRDefault="00DE1FD5" w:rsidP="00213533">
            <w:pPr>
              <w:pStyle w:val="TabelaTekst"/>
              <w:spacing w:before="0" w:after="0" w:line="240" w:lineRule="auto"/>
              <w:rPr>
                <w:rFonts w:ascii="Garamond" w:hAnsi="Garamond"/>
                <w:sz w:val="16"/>
                <w:szCs w:val="16"/>
              </w:rPr>
            </w:pPr>
            <w:r w:rsidRPr="001D1E5B">
              <w:rPr>
                <w:rFonts w:ascii="Garamond" w:hAnsi="Garamond" w:cstheme="majorHAnsi"/>
                <w:noProof/>
                <w:sz w:val="16"/>
                <w:szCs w:val="16"/>
                <w:lang w:eastAsia="en-GB"/>
              </w:rPr>
              <w:t>93.1%</w:t>
            </w:r>
          </w:p>
        </w:tc>
      </w:tr>
    </w:tbl>
    <w:p w:rsidR="004D1343" w:rsidRPr="00C32887" w:rsidRDefault="004D1343" w:rsidP="004D1343">
      <w:pPr>
        <w:rPr>
          <w:rFonts w:ascii="Garamond" w:hAnsi="Garamond"/>
          <w:sz w:val="24"/>
          <w:szCs w:val="24"/>
        </w:rPr>
      </w:pPr>
    </w:p>
    <w:p w:rsidR="004D1343" w:rsidRPr="00C32887" w:rsidRDefault="004D1343" w:rsidP="008D659B">
      <w:pPr>
        <w:pStyle w:val="Heading3"/>
        <w:rPr>
          <w:rFonts w:ascii="Garamond" w:hAnsi="Garamond"/>
          <w:sz w:val="24"/>
          <w:szCs w:val="24"/>
        </w:rPr>
      </w:pPr>
      <w:bookmarkStart w:id="75" w:name="_Toc77688252"/>
      <w:r w:rsidRPr="00C32887">
        <w:rPr>
          <w:rFonts w:ascii="Garamond" w:hAnsi="Garamond"/>
          <w:sz w:val="24"/>
          <w:szCs w:val="24"/>
        </w:rPr>
        <w:t xml:space="preserve">3.1.5      </w:t>
      </w:r>
      <w:r w:rsidR="008D659B">
        <w:rPr>
          <w:rFonts w:ascii="Garamond" w:hAnsi="Garamond"/>
          <w:sz w:val="24"/>
          <w:szCs w:val="24"/>
        </w:rPr>
        <w:t>PERFORMANCE INDICATOR 30</w:t>
      </w:r>
      <w:r w:rsidR="008D659B" w:rsidRPr="008D659B">
        <w:rPr>
          <w:rFonts w:ascii="Garamond" w:hAnsi="Garamond"/>
          <w:sz w:val="24"/>
          <w:szCs w:val="24"/>
        </w:rPr>
        <w:t xml:space="preserve"> </w:t>
      </w:r>
      <w:r w:rsidR="008D659B" w:rsidRPr="00C32887">
        <w:rPr>
          <w:rFonts w:ascii="Garamond" w:hAnsi="Garamond"/>
          <w:sz w:val="24"/>
          <w:szCs w:val="24"/>
        </w:rPr>
        <w:t>PASSPORT</w:t>
      </w:r>
      <w:bookmarkEnd w:id="75"/>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8D659B" w:rsidRPr="00F056F9" w:rsidTr="00213533">
        <w:trPr>
          <w:jc w:val="center"/>
        </w:trPr>
        <w:tc>
          <w:tcPr>
            <w:tcW w:w="2721" w:type="dxa"/>
            <w:tcBorders>
              <w:right w:val="single" w:sz="4" w:space="0" w:color="FFFFFF"/>
            </w:tcBorders>
            <w:shd w:val="clear" w:color="auto" w:fill="BFBFBF"/>
            <w:vAlign w:val="center"/>
          </w:tcPr>
          <w:p w:rsidR="008D659B" w:rsidRPr="00F056F9" w:rsidRDefault="008D659B" w:rsidP="00213533">
            <w:pPr>
              <w:autoSpaceDE/>
              <w:autoSpaceDN/>
              <w:rPr>
                <w:rFonts w:ascii="Garamond" w:eastAsia="Calibri" w:hAnsi="Garamond"/>
                <w:b/>
                <w:caps/>
                <w:sz w:val="18"/>
                <w:szCs w:val="18"/>
                <w:lang w:val="en-GB" w:eastAsia="en-US" w:bidi="ar-SA"/>
              </w:rPr>
            </w:pPr>
            <w:r w:rsidRPr="00F056F9">
              <w:rPr>
                <w:rFonts w:ascii="Garamond" w:eastAsia="Calibri" w:hAnsi="Garamond"/>
                <w:b/>
                <w:caps/>
                <w:sz w:val="18"/>
                <w:szCs w:val="18"/>
                <w:lang w:val="en-GB" w:eastAsia="en-US" w:bidi="ar-SA"/>
              </w:rPr>
              <w:t>performance indicator</w:t>
            </w:r>
          </w:p>
        </w:tc>
        <w:tc>
          <w:tcPr>
            <w:tcW w:w="6855" w:type="dxa"/>
            <w:gridSpan w:val="5"/>
            <w:tcBorders>
              <w:left w:val="single" w:sz="4" w:space="0" w:color="FFFFFF"/>
            </w:tcBorders>
            <w:shd w:val="clear" w:color="auto" w:fill="BFBFBF"/>
            <w:vAlign w:val="center"/>
          </w:tcPr>
          <w:p w:rsidR="00DE1FD5" w:rsidRPr="00DE1FD5" w:rsidRDefault="00DE1FD5" w:rsidP="00DE1FD5">
            <w:pPr>
              <w:pStyle w:val="Default"/>
              <w:jc w:val="both"/>
              <w:rPr>
                <w:rFonts w:ascii="Garamond" w:hAnsi="Garamond"/>
                <w:sz w:val="18"/>
                <w:szCs w:val="18"/>
              </w:rPr>
            </w:pPr>
            <w:r w:rsidRPr="00DE1FD5">
              <w:rPr>
                <w:rFonts w:ascii="Garamond" w:hAnsi="Garamond"/>
                <w:sz w:val="18"/>
                <w:szCs w:val="18"/>
              </w:rPr>
              <w:t xml:space="preserve">Percentage of appointed certified internal auditors who undergo CPD </w:t>
            </w:r>
          </w:p>
          <w:p w:rsidR="008D659B" w:rsidRPr="00DE1FD5" w:rsidRDefault="008D659B" w:rsidP="00213533">
            <w:pPr>
              <w:pStyle w:val="Default"/>
              <w:jc w:val="both"/>
              <w:rPr>
                <w:rFonts w:ascii="Garamond" w:eastAsia="Calibri" w:hAnsi="Garamond"/>
                <w:b/>
                <w:sz w:val="18"/>
                <w:szCs w:val="18"/>
                <w:lang w:eastAsia="en-US"/>
              </w:rPr>
            </w:pPr>
          </w:p>
        </w:tc>
      </w:tr>
      <w:tr w:rsidR="008D659B" w:rsidRPr="00290B32" w:rsidTr="00213533">
        <w:trPr>
          <w:gridAfter w:val="1"/>
          <w:wAfter w:w="19" w:type="dxa"/>
          <w:jc w:val="center"/>
        </w:trPr>
        <w:tc>
          <w:tcPr>
            <w:tcW w:w="2721" w:type="dxa"/>
            <w:vAlign w:val="center"/>
          </w:tcPr>
          <w:p w:rsidR="008D659B" w:rsidRPr="00290B32" w:rsidRDefault="008D659B" w:rsidP="006225A7">
            <w:pPr>
              <w:rPr>
                <w:rFonts w:ascii="Garamond" w:eastAsia="Calibri" w:hAnsi="Garamond"/>
                <w:b/>
                <w:caps/>
                <w:sz w:val="16"/>
                <w:szCs w:val="16"/>
                <w:lang w:val="en-GB" w:eastAsia="en-US" w:bidi="ar-SA"/>
              </w:rPr>
            </w:pPr>
            <w:r w:rsidRPr="0056213B">
              <w:rPr>
                <w:rFonts w:ascii="Garamond" w:eastAsia="Calibri" w:hAnsi="Garamond"/>
                <w:b/>
                <w:caps/>
                <w:sz w:val="16"/>
                <w:szCs w:val="16"/>
                <w:lang w:val="en-GB" w:eastAsia="en-US" w:bidi="ar-SA"/>
              </w:rPr>
              <w:t>corresponding objective or activity</w:t>
            </w:r>
          </w:p>
        </w:tc>
        <w:tc>
          <w:tcPr>
            <w:tcW w:w="6836" w:type="dxa"/>
            <w:gridSpan w:val="4"/>
            <w:vAlign w:val="center"/>
          </w:tcPr>
          <w:p w:rsidR="008D659B" w:rsidRPr="006225A7" w:rsidRDefault="008D659B" w:rsidP="006225A7">
            <w:pPr>
              <w:rPr>
                <w:rFonts w:ascii="Garamond" w:hAnsi="Garamond"/>
                <w:color w:val="365F91" w:themeColor="accent1" w:themeShade="BF"/>
                <w:sz w:val="18"/>
                <w:szCs w:val="18"/>
              </w:rPr>
            </w:pPr>
            <w:r w:rsidRPr="006225A7">
              <w:rPr>
                <w:rFonts w:ascii="Garamond" w:hAnsi="Garamond"/>
                <w:color w:val="365F91" w:themeColor="accent1" w:themeShade="BF"/>
                <w:sz w:val="18"/>
                <w:szCs w:val="18"/>
              </w:rPr>
              <w:t>Public Internal Financial Control Development</w:t>
            </w:r>
          </w:p>
          <w:p w:rsidR="008D659B" w:rsidRPr="006225A7" w:rsidRDefault="008D659B" w:rsidP="006225A7">
            <w:pPr>
              <w:pStyle w:val="ListParagraph"/>
              <w:numPr>
                <w:ilvl w:val="0"/>
                <w:numId w:val="28"/>
              </w:numPr>
              <w:rPr>
                <w:rFonts w:ascii="Garamond" w:eastAsia="Calibri" w:hAnsi="Garamond"/>
                <w:color w:val="365F91" w:themeColor="accent1" w:themeShade="BF"/>
                <w:sz w:val="18"/>
                <w:szCs w:val="18"/>
                <w:lang w:eastAsia="en-US" w:bidi="ar-SA"/>
              </w:rPr>
            </w:pPr>
            <w:r w:rsidRPr="006225A7">
              <w:rPr>
                <w:rFonts w:ascii="Garamond" w:hAnsi="Garamond"/>
                <w:color w:val="365F91" w:themeColor="accent1" w:themeShade="BF"/>
                <w:sz w:val="18"/>
                <w:szCs w:val="18"/>
              </w:rPr>
              <w:t>Managing public finances in an efficient, economical, effective and transparent way by all spending units</w:t>
            </w:r>
          </w:p>
        </w:tc>
      </w:tr>
      <w:tr w:rsidR="008D659B" w:rsidRPr="00290B32" w:rsidTr="00213533">
        <w:trPr>
          <w:gridAfter w:val="1"/>
          <w:wAfter w:w="19" w:type="dxa"/>
          <w:jc w:val="center"/>
        </w:trPr>
        <w:tc>
          <w:tcPr>
            <w:tcW w:w="2721" w:type="dxa"/>
            <w:vAlign w:val="center"/>
          </w:tcPr>
          <w:p w:rsidR="008D659B" w:rsidRPr="00290B32" w:rsidRDefault="008D659B" w:rsidP="00213533">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8D659B" w:rsidRPr="00290B32" w:rsidRDefault="00DE1FD5" w:rsidP="00213533">
            <w:pPr>
              <w:jc w:val="both"/>
              <w:rPr>
                <w:rFonts w:ascii="Garamond" w:eastAsia="Calibri" w:hAnsi="Garamond"/>
                <w:sz w:val="16"/>
                <w:szCs w:val="16"/>
                <w:lang w:eastAsia="en-US" w:bidi="ar-SA"/>
              </w:rPr>
            </w:pPr>
            <w:r w:rsidRPr="00DE1FD5">
              <w:rPr>
                <w:rFonts w:ascii="Garamond" w:eastAsia="Calibri" w:hAnsi="Garamond"/>
                <w:sz w:val="16"/>
                <w:szCs w:val="16"/>
                <w:lang w:val="uz-Cyrl-UZ" w:eastAsia="en-US" w:bidi="ar-SA"/>
              </w:rPr>
              <w:t>Continuing professional development reports</w:t>
            </w:r>
          </w:p>
        </w:tc>
      </w:tr>
      <w:tr w:rsidR="008D659B" w:rsidRPr="00290B32" w:rsidTr="00213533">
        <w:trPr>
          <w:gridAfter w:val="1"/>
          <w:wAfter w:w="19" w:type="dxa"/>
          <w:jc w:val="center"/>
        </w:trPr>
        <w:tc>
          <w:tcPr>
            <w:tcW w:w="2721" w:type="dxa"/>
            <w:vAlign w:val="center"/>
          </w:tcPr>
          <w:p w:rsidR="008D659B" w:rsidRPr="00290B32" w:rsidRDefault="008D659B" w:rsidP="00213533">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NAME OF DATA COLLECTION HOLDER</w:t>
            </w:r>
          </w:p>
        </w:tc>
        <w:tc>
          <w:tcPr>
            <w:tcW w:w="6836" w:type="dxa"/>
            <w:gridSpan w:val="4"/>
            <w:vAlign w:val="center"/>
          </w:tcPr>
          <w:p w:rsidR="008D659B" w:rsidRPr="003A313E" w:rsidRDefault="008D659B" w:rsidP="00213533">
            <w:pPr>
              <w:rPr>
                <w:rFonts w:ascii="Garamond" w:hAnsi="Garamond"/>
                <w:sz w:val="16"/>
                <w:szCs w:val="16"/>
              </w:rPr>
            </w:pPr>
            <w:r w:rsidRPr="003A313E">
              <w:rPr>
                <w:rFonts w:ascii="Garamond" w:hAnsi="Garamond"/>
                <w:sz w:val="16"/>
                <w:szCs w:val="16"/>
              </w:rPr>
              <w:t>Ministry of Finance and Social Welfare</w:t>
            </w:r>
          </w:p>
          <w:p w:rsidR="008D659B" w:rsidRPr="00195CE7" w:rsidRDefault="008D659B" w:rsidP="00213533">
            <w:pPr>
              <w:rPr>
                <w:rFonts w:ascii="Garamond" w:hAnsi="Garamond"/>
                <w:sz w:val="16"/>
                <w:szCs w:val="16"/>
              </w:rPr>
            </w:pPr>
            <w:r w:rsidRPr="00195CE7">
              <w:rPr>
                <w:rFonts w:ascii="Garamond" w:hAnsi="Garamond"/>
                <w:sz w:val="16"/>
                <w:szCs w:val="16"/>
              </w:rPr>
              <w:t>Miloš Baletić</w:t>
            </w:r>
          </w:p>
          <w:p w:rsidR="008D659B" w:rsidRPr="00290B32" w:rsidRDefault="008D659B" w:rsidP="00213533">
            <w:pPr>
              <w:rPr>
                <w:rFonts w:ascii="Garamond" w:eastAsia="Calibri" w:hAnsi="Garamond"/>
                <w:sz w:val="16"/>
                <w:szCs w:val="16"/>
                <w:lang w:eastAsia="en-US" w:bidi="ar-SA"/>
              </w:rPr>
            </w:pPr>
            <w:r w:rsidRPr="00195CE7">
              <w:rPr>
                <w:rFonts w:ascii="Garamond" w:hAnsi="Garamond"/>
                <w:sz w:val="16"/>
                <w:szCs w:val="16"/>
              </w:rPr>
              <w:t>milos.baletic@mif.gov.me</w:t>
            </w:r>
          </w:p>
        </w:tc>
      </w:tr>
      <w:tr w:rsidR="008D659B" w:rsidRPr="00290B32" w:rsidTr="00213533">
        <w:trPr>
          <w:gridAfter w:val="1"/>
          <w:wAfter w:w="19" w:type="dxa"/>
          <w:jc w:val="center"/>
        </w:trPr>
        <w:tc>
          <w:tcPr>
            <w:tcW w:w="2721" w:type="dxa"/>
            <w:vAlign w:val="center"/>
          </w:tcPr>
          <w:p w:rsidR="008D659B" w:rsidRPr="00290B32" w:rsidRDefault="008D659B" w:rsidP="00213533">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FREQUENCY OF DATA PUBLICATION</w:t>
            </w:r>
          </w:p>
        </w:tc>
        <w:tc>
          <w:tcPr>
            <w:tcW w:w="6836" w:type="dxa"/>
            <w:gridSpan w:val="4"/>
            <w:vAlign w:val="center"/>
          </w:tcPr>
          <w:p w:rsidR="008D659B" w:rsidRPr="00876280" w:rsidRDefault="008D659B" w:rsidP="003B3AE5">
            <w:pPr>
              <w:rPr>
                <w:rFonts w:ascii="Garamond" w:eastAsia="Calibri" w:hAnsi="Garamond"/>
                <w:sz w:val="16"/>
                <w:szCs w:val="16"/>
                <w:lang w:eastAsia="en-US" w:bidi="ar-SA"/>
              </w:rPr>
            </w:pPr>
            <w:r w:rsidRPr="003A313E">
              <w:rPr>
                <w:rFonts w:ascii="Garamond" w:eastAsia="Calibri" w:hAnsi="Garamond"/>
                <w:sz w:val="16"/>
                <w:szCs w:val="16"/>
                <w:lang w:eastAsia="en-US" w:bidi="ar-SA"/>
              </w:rPr>
              <w:t xml:space="preserve">Once a year, during the adoption of the Consolidated Report, </w:t>
            </w:r>
            <w:proofErr w:type="gramStart"/>
            <w:r w:rsidRPr="003A313E">
              <w:rPr>
                <w:rFonts w:ascii="Garamond" w:eastAsia="Calibri" w:hAnsi="Garamond"/>
                <w:sz w:val="16"/>
                <w:szCs w:val="16"/>
                <w:lang w:eastAsia="en-US" w:bidi="ar-SA"/>
              </w:rPr>
              <w:t>which is published on the website of the Government of Montenegro, after the adoption</w:t>
            </w:r>
            <w:r w:rsidR="000E17CE">
              <w:rPr>
                <w:rFonts w:ascii="Garamond" w:eastAsia="Calibri" w:hAnsi="Garamond"/>
                <w:sz w:val="16"/>
                <w:szCs w:val="16"/>
                <w:lang w:eastAsia="en-US" w:bidi="ar-SA"/>
              </w:rPr>
              <w:t>,</w:t>
            </w:r>
            <w:r w:rsidRPr="003A313E">
              <w:rPr>
                <w:rFonts w:ascii="Garamond" w:eastAsia="Calibri" w:hAnsi="Garamond"/>
                <w:sz w:val="16"/>
                <w:szCs w:val="16"/>
                <w:lang w:eastAsia="en-US" w:bidi="ar-SA"/>
              </w:rPr>
              <w:t xml:space="preserve"> by the end of </w:t>
            </w:r>
            <w:r w:rsidR="003B3AE5">
              <w:rPr>
                <w:rFonts w:ascii="Garamond" w:eastAsia="Calibri" w:hAnsi="Garamond"/>
                <w:sz w:val="16"/>
                <w:szCs w:val="16"/>
                <w:lang w:eastAsia="en-US" w:bidi="ar-SA"/>
              </w:rPr>
              <w:t>Q2</w:t>
            </w:r>
            <w:r w:rsidRPr="003A313E">
              <w:rPr>
                <w:rFonts w:ascii="Garamond" w:eastAsia="Calibri" w:hAnsi="Garamond"/>
                <w:sz w:val="16"/>
                <w:szCs w:val="16"/>
                <w:lang w:eastAsia="en-US" w:bidi="ar-SA"/>
              </w:rPr>
              <w:t xml:space="preserve"> of the current year.</w:t>
            </w:r>
            <w:proofErr w:type="gramEnd"/>
          </w:p>
        </w:tc>
      </w:tr>
      <w:tr w:rsidR="008D659B" w:rsidRPr="00290B32" w:rsidTr="00213533">
        <w:trPr>
          <w:gridAfter w:val="1"/>
          <w:wAfter w:w="19" w:type="dxa"/>
          <w:trHeight w:val="458"/>
          <w:jc w:val="center"/>
        </w:trPr>
        <w:tc>
          <w:tcPr>
            <w:tcW w:w="2721" w:type="dxa"/>
            <w:vMerge w:val="restart"/>
            <w:vAlign w:val="center"/>
          </w:tcPr>
          <w:p w:rsidR="008D659B" w:rsidRPr="00290B32" w:rsidRDefault="008D659B" w:rsidP="00213533">
            <w:pPr>
              <w:autoSpaceDE/>
              <w:autoSpaceDN/>
              <w:rPr>
                <w:rFonts w:ascii="Garamond" w:eastAsia="Calibri" w:hAnsi="Garamond"/>
                <w:b/>
                <w:caps/>
                <w:sz w:val="16"/>
                <w:szCs w:val="16"/>
                <w:lang w:val="uz-Cyrl-UZ" w:eastAsia="en-US" w:bidi="ar-SA"/>
              </w:rPr>
            </w:pPr>
            <w:r w:rsidRPr="0056213B">
              <w:rPr>
                <w:rFonts w:ascii="Garamond" w:eastAsia="Calibri" w:hAnsi="Garamond"/>
                <w:b/>
                <w:caps/>
                <w:sz w:val="16"/>
                <w:szCs w:val="16"/>
                <w:lang w:val="uz-Cyrl-UZ" w:eastAsia="en-US" w:bidi="ar-SA"/>
              </w:rPr>
              <w:t xml:space="preserve">BRIEF DESCRIPTION </w:t>
            </w:r>
            <w:r w:rsidRPr="0056213B">
              <w:rPr>
                <w:rFonts w:ascii="Garamond" w:eastAsia="Calibri" w:hAnsi="Garamond"/>
                <w:b/>
                <w:caps/>
                <w:sz w:val="16"/>
                <w:szCs w:val="16"/>
                <w:lang w:val="en-GB" w:eastAsia="en-US" w:bidi="ar-SA"/>
              </w:rPr>
              <w:t xml:space="preserve">OF </w:t>
            </w:r>
            <w:r w:rsidRPr="0056213B">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8D659B" w:rsidRPr="00420F5A" w:rsidRDefault="00DE1FD5" w:rsidP="00213533">
            <w:pPr>
              <w:jc w:val="both"/>
              <w:rPr>
                <w:rFonts w:ascii="Garamond" w:eastAsia="Calibri" w:hAnsi="Garamond"/>
                <w:sz w:val="16"/>
                <w:szCs w:val="16"/>
                <w:u w:val="single"/>
                <w:lang w:val="uz-Cyrl-UZ" w:eastAsia="en-US" w:bidi="ar-SA"/>
              </w:rPr>
            </w:pPr>
            <w:r w:rsidRPr="00DE1FD5">
              <w:rPr>
                <w:rFonts w:ascii="Garamond" w:eastAsia="Calibri" w:hAnsi="Garamond"/>
                <w:sz w:val="16"/>
                <w:szCs w:val="16"/>
                <w:lang w:val="uz-Cyrl-UZ" w:eastAsia="en-US" w:bidi="ar-SA"/>
              </w:rPr>
              <w:t>Internal auditors must continuously improve their knowledge and skills in order to contribute to their improvement by assessing the effectiveness of risk management, governance and control.</w:t>
            </w:r>
          </w:p>
        </w:tc>
      </w:tr>
      <w:tr w:rsidR="008D659B" w:rsidRPr="00290B32" w:rsidTr="00213533">
        <w:trPr>
          <w:gridAfter w:val="1"/>
          <w:wAfter w:w="19" w:type="dxa"/>
          <w:trHeight w:val="620"/>
          <w:jc w:val="center"/>
        </w:trPr>
        <w:tc>
          <w:tcPr>
            <w:tcW w:w="2721" w:type="dxa"/>
            <w:vMerge/>
            <w:shd w:val="clear" w:color="auto" w:fill="auto"/>
            <w:vAlign w:val="center"/>
          </w:tcPr>
          <w:p w:rsidR="008D659B" w:rsidRPr="00290B32" w:rsidRDefault="008D659B" w:rsidP="00213533">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8D659B" w:rsidRPr="00A03F93" w:rsidRDefault="008D659B" w:rsidP="00213533">
            <w:pPr>
              <w:jc w:val="center"/>
              <w:rPr>
                <w:rFonts w:ascii="Garamond" w:hAnsi="Garamond"/>
                <w:color w:val="365F91" w:themeColor="accent1" w:themeShade="BF"/>
                <w:sz w:val="16"/>
                <w:szCs w:val="16"/>
                <w:lang w:val="uz-Cyrl-UZ"/>
              </w:rPr>
            </w:pPr>
            <w:r w:rsidRPr="00A03F93">
              <w:rPr>
                <w:rFonts w:ascii="Garamond" w:hAnsi="Garamond"/>
                <w:color w:val="365F91" w:themeColor="accent1" w:themeShade="BF"/>
                <w:sz w:val="16"/>
                <w:szCs w:val="16"/>
                <w:lang w:val="uz-Cyrl-UZ"/>
              </w:rPr>
              <w:t>FORMULA / EQUATION</w:t>
            </w:r>
          </w:p>
          <w:p w:rsidR="008D659B" w:rsidRPr="00876280" w:rsidRDefault="00DE1FD5" w:rsidP="00213533">
            <w:pPr>
              <w:jc w:val="center"/>
              <w:rPr>
                <w:rFonts w:ascii="Garamond" w:eastAsia="Calibri" w:hAnsi="Garamond"/>
                <w:sz w:val="16"/>
                <w:szCs w:val="16"/>
                <w:lang w:val="en-GB" w:eastAsia="en-US" w:bidi="ar-SA"/>
              </w:rPr>
            </w:pPr>
            <w:r w:rsidRPr="00DE1FD5">
              <w:rPr>
                <w:rFonts w:ascii="Garamond" w:eastAsia="Calibri" w:hAnsi="Garamond"/>
                <w:sz w:val="16"/>
                <w:szCs w:val="16"/>
                <w:lang w:val="en-GB" w:eastAsia="en-US" w:bidi="ar-SA"/>
              </w:rPr>
              <w:t>Number of internal auditors who were assigned to audit activities throughout the year and achieved the necessary number of points</w:t>
            </w:r>
            <w:r w:rsidR="005D50C7">
              <w:rPr>
                <w:rStyle w:val="FootnoteReference"/>
                <w:rFonts w:ascii="Garamond" w:eastAsia="Calibri" w:hAnsi="Garamond"/>
                <w:sz w:val="16"/>
                <w:szCs w:val="16"/>
                <w:lang w:val="en-GB" w:eastAsia="en-US" w:bidi="ar-SA"/>
              </w:rPr>
              <w:footnoteReference w:id="76"/>
            </w:r>
            <w:r w:rsidRPr="00DE1FD5">
              <w:rPr>
                <w:rFonts w:ascii="Garamond" w:eastAsia="Calibri" w:hAnsi="Garamond"/>
                <w:sz w:val="16"/>
                <w:szCs w:val="16"/>
                <w:lang w:val="en-GB" w:eastAsia="en-US" w:bidi="ar-SA"/>
              </w:rPr>
              <w:t xml:space="preserve"> for continuous professional development / Number of internal auditors</w:t>
            </w:r>
          </w:p>
        </w:tc>
      </w:tr>
      <w:tr w:rsidR="008D659B" w:rsidRPr="00AD2338" w:rsidTr="00213533">
        <w:trPr>
          <w:gridAfter w:val="1"/>
          <w:wAfter w:w="19" w:type="dxa"/>
          <w:trHeight w:val="585"/>
          <w:jc w:val="center"/>
        </w:trPr>
        <w:tc>
          <w:tcPr>
            <w:tcW w:w="2721" w:type="dxa"/>
            <w:vAlign w:val="center"/>
          </w:tcPr>
          <w:p w:rsidR="008D659B" w:rsidRPr="00290B32" w:rsidRDefault="008D659B" w:rsidP="00213533">
            <w:pPr>
              <w:autoSpaceDE/>
              <w:autoSpaceDN/>
              <w:rPr>
                <w:rFonts w:ascii="Garamond" w:eastAsia="Calibri" w:hAnsi="Garamond"/>
                <w:b/>
                <w:bCs/>
                <w:caps/>
                <w:sz w:val="16"/>
                <w:szCs w:val="16"/>
                <w:lang w:val="en-GB" w:eastAsia="en-US" w:bidi="ar-SA"/>
              </w:rPr>
            </w:pPr>
            <w:r w:rsidRPr="0056213B">
              <w:rPr>
                <w:rFonts w:ascii="Garamond" w:eastAsia="Calibri" w:hAnsi="Garamond"/>
                <w:b/>
                <w:caps/>
                <w:sz w:val="16"/>
                <w:szCs w:val="16"/>
                <w:lang w:val="uz-Cyrl-UZ" w:eastAsia="en-US" w:bidi="ar-SA"/>
              </w:rPr>
              <w:t>BASELINE</w:t>
            </w:r>
            <w:r w:rsidRPr="0056213B">
              <w:rPr>
                <w:rFonts w:ascii="Garamond" w:eastAsia="Calibri" w:hAnsi="Garamond"/>
                <w:b/>
                <w:caps/>
                <w:sz w:val="16"/>
                <w:szCs w:val="16"/>
                <w:lang w:val="en-GB" w:eastAsia="en-US" w:bidi="ar-SA"/>
              </w:rPr>
              <w:t xml:space="preserve"> DATA</w:t>
            </w:r>
          </w:p>
        </w:tc>
        <w:tc>
          <w:tcPr>
            <w:tcW w:w="6836" w:type="dxa"/>
            <w:gridSpan w:val="4"/>
            <w:vAlign w:val="center"/>
          </w:tcPr>
          <w:p w:rsidR="008D659B" w:rsidRPr="00AD2338" w:rsidRDefault="008D659B" w:rsidP="00213533">
            <w:pPr>
              <w:pStyle w:val="TabelaTekst"/>
              <w:rPr>
                <w:rFonts w:ascii="Garamond" w:hAnsi="Garamond"/>
                <w:lang w:val="en-GB"/>
              </w:rPr>
            </w:pPr>
            <w:r w:rsidRPr="00AE0CB3">
              <w:rPr>
                <w:rFonts w:ascii="Garamond" w:hAnsi="Garamond"/>
              </w:rPr>
              <w:t>PV (2014</w:t>
            </w:r>
            <w:r>
              <w:rPr>
                <w:rFonts w:ascii="Garamond" w:hAnsi="Garamond"/>
                <w:lang w:val="en-GB"/>
              </w:rPr>
              <w:t xml:space="preserve">): </w:t>
            </w:r>
            <w:r w:rsidR="005D50C7">
              <w:rPr>
                <w:rFonts w:ascii="Garamond" w:hAnsi="Garamond"/>
                <w:lang w:val="en-GB"/>
              </w:rPr>
              <w:t>0</w:t>
            </w:r>
            <w:r w:rsidRPr="009F1F39">
              <w:rPr>
                <w:rFonts w:ascii="Garamond" w:hAnsi="Garamond"/>
                <w:lang w:val="en-GB"/>
              </w:rPr>
              <w:t>%</w:t>
            </w:r>
          </w:p>
        </w:tc>
      </w:tr>
      <w:tr w:rsidR="008D659B" w:rsidRPr="00290B32" w:rsidTr="00213533">
        <w:trPr>
          <w:gridAfter w:val="1"/>
          <w:wAfter w:w="19" w:type="dxa"/>
          <w:trHeight w:val="160"/>
          <w:jc w:val="center"/>
        </w:trPr>
        <w:tc>
          <w:tcPr>
            <w:tcW w:w="2721" w:type="dxa"/>
            <w:vMerge w:val="restart"/>
            <w:vAlign w:val="center"/>
          </w:tcPr>
          <w:p w:rsidR="008D659B" w:rsidRPr="00290B32" w:rsidRDefault="008D659B" w:rsidP="00213533">
            <w:pPr>
              <w:autoSpaceDE/>
              <w:autoSpaceDN/>
              <w:rPr>
                <w:rFonts w:ascii="Garamond" w:eastAsia="Calibri" w:hAnsi="Garamond"/>
                <w:b/>
                <w:bCs/>
                <w:caps/>
                <w:sz w:val="16"/>
                <w:szCs w:val="16"/>
                <w:lang w:val="uz-Cyrl-UZ" w:eastAsia="en-US" w:bidi="ar-SA"/>
              </w:rPr>
            </w:pPr>
            <w:r w:rsidRPr="0056213B">
              <w:rPr>
                <w:rFonts w:ascii="Garamond" w:eastAsia="Calibri" w:hAnsi="Garamond"/>
                <w:b/>
                <w:caps/>
                <w:sz w:val="16"/>
                <w:szCs w:val="16"/>
                <w:lang w:val="uz-Cyrl-UZ" w:eastAsia="en-US" w:bidi="ar-SA"/>
              </w:rPr>
              <w:t>TARGET VALUE DATA</w:t>
            </w:r>
          </w:p>
        </w:tc>
        <w:tc>
          <w:tcPr>
            <w:tcW w:w="1771" w:type="dxa"/>
            <w:vAlign w:val="center"/>
          </w:tcPr>
          <w:p w:rsidR="008D659B" w:rsidRPr="00290B32" w:rsidRDefault="008D659B" w:rsidP="00213533">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2017</w:t>
            </w:r>
          </w:p>
        </w:tc>
        <w:tc>
          <w:tcPr>
            <w:tcW w:w="1771" w:type="dxa"/>
            <w:vAlign w:val="center"/>
          </w:tcPr>
          <w:p w:rsidR="008D659B" w:rsidRPr="00290B32" w:rsidRDefault="008D659B" w:rsidP="00213533">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2018</w:t>
            </w:r>
          </w:p>
        </w:tc>
        <w:tc>
          <w:tcPr>
            <w:tcW w:w="1771" w:type="dxa"/>
            <w:vAlign w:val="center"/>
          </w:tcPr>
          <w:p w:rsidR="008D659B" w:rsidRPr="00290B32" w:rsidRDefault="008D659B" w:rsidP="00213533">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2019</w:t>
            </w:r>
          </w:p>
        </w:tc>
        <w:tc>
          <w:tcPr>
            <w:tcW w:w="1523" w:type="dxa"/>
            <w:vAlign w:val="center"/>
          </w:tcPr>
          <w:p w:rsidR="008D659B" w:rsidRPr="00290B32" w:rsidRDefault="008D659B" w:rsidP="00213533">
            <w:pPr>
              <w:autoSpaceDE/>
              <w:autoSpaceDN/>
              <w:jc w:val="center"/>
              <w:rPr>
                <w:rFonts w:ascii="Garamond" w:eastAsia="Calibri" w:hAnsi="Garamond"/>
                <w:sz w:val="16"/>
                <w:szCs w:val="16"/>
                <w:lang w:val="uz-Cyrl-UZ" w:eastAsia="en-US" w:bidi="ar-SA"/>
              </w:rPr>
            </w:pPr>
            <w:r w:rsidRPr="00290B32">
              <w:rPr>
                <w:rFonts w:ascii="Garamond" w:eastAsia="Calibri" w:hAnsi="Garamond"/>
                <w:sz w:val="16"/>
                <w:szCs w:val="16"/>
                <w:lang w:val="uz-Cyrl-UZ" w:eastAsia="en-US" w:bidi="ar-SA"/>
              </w:rPr>
              <w:t>2020</w:t>
            </w:r>
          </w:p>
        </w:tc>
      </w:tr>
      <w:tr w:rsidR="005D50C7" w:rsidRPr="00290B32" w:rsidTr="00213533">
        <w:trPr>
          <w:gridAfter w:val="1"/>
          <w:wAfter w:w="19" w:type="dxa"/>
          <w:trHeight w:val="160"/>
          <w:jc w:val="center"/>
        </w:trPr>
        <w:tc>
          <w:tcPr>
            <w:tcW w:w="2721" w:type="dxa"/>
            <w:vMerge/>
            <w:vAlign w:val="center"/>
          </w:tcPr>
          <w:p w:rsidR="005D50C7" w:rsidRPr="00290B32" w:rsidRDefault="005D50C7" w:rsidP="00213533">
            <w:pPr>
              <w:autoSpaceDE/>
              <w:autoSpaceDN/>
              <w:rPr>
                <w:rFonts w:ascii="Garamond" w:eastAsia="Calibri" w:hAnsi="Garamond"/>
                <w:b/>
                <w:bCs/>
                <w:caps/>
                <w:sz w:val="16"/>
                <w:szCs w:val="16"/>
                <w:lang w:val="uz-Cyrl-UZ" w:eastAsia="en-US" w:bidi="ar-SA"/>
              </w:rPr>
            </w:pPr>
          </w:p>
        </w:tc>
        <w:tc>
          <w:tcPr>
            <w:tcW w:w="1771" w:type="dxa"/>
            <w:vAlign w:val="center"/>
          </w:tcPr>
          <w:p w:rsidR="005D50C7" w:rsidRPr="00AE0CB3" w:rsidRDefault="005D50C7" w:rsidP="00213533">
            <w:pPr>
              <w:pStyle w:val="TabelaTekst"/>
              <w:spacing w:before="0" w:after="0" w:line="240" w:lineRule="auto"/>
              <w:jc w:val="center"/>
              <w:rPr>
                <w:rFonts w:ascii="Garamond" w:hAnsi="Garamond"/>
              </w:rPr>
            </w:pPr>
            <w:r w:rsidRPr="00AE0CB3">
              <w:rPr>
                <w:rFonts w:ascii="Garamond" w:hAnsi="Garamond"/>
              </w:rPr>
              <w:t>70%</w:t>
            </w:r>
          </w:p>
        </w:tc>
        <w:tc>
          <w:tcPr>
            <w:tcW w:w="1771" w:type="dxa"/>
            <w:vAlign w:val="center"/>
          </w:tcPr>
          <w:p w:rsidR="005D50C7" w:rsidRPr="005260E4" w:rsidRDefault="005D50C7" w:rsidP="00213533">
            <w:pPr>
              <w:pStyle w:val="TabelaTekst"/>
              <w:spacing w:before="0" w:after="0" w:line="240" w:lineRule="auto"/>
              <w:jc w:val="center"/>
              <w:rPr>
                <w:rFonts w:ascii="Garamond" w:hAnsi="Garamond"/>
              </w:rPr>
            </w:pPr>
            <w:r w:rsidRPr="005260E4">
              <w:rPr>
                <w:rFonts w:ascii="Garamond" w:hAnsi="Garamond"/>
              </w:rPr>
              <w:t>75%</w:t>
            </w:r>
          </w:p>
        </w:tc>
        <w:tc>
          <w:tcPr>
            <w:tcW w:w="1771" w:type="dxa"/>
            <w:vAlign w:val="center"/>
          </w:tcPr>
          <w:p w:rsidR="005D50C7" w:rsidRPr="005260E4" w:rsidRDefault="005D50C7" w:rsidP="00213533">
            <w:pPr>
              <w:pStyle w:val="TabelaTekst"/>
              <w:spacing w:before="0" w:after="0" w:line="240" w:lineRule="auto"/>
              <w:jc w:val="center"/>
              <w:rPr>
                <w:rFonts w:ascii="Garamond" w:hAnsi="Garamond"/>
              </w:rPr>
            </w:pPr>
            <w:r w:rsidRPr="005260E4">
              <w:rPr>
                <w:rFonts w:ascii="Garamond" w:hAnsi="Garamond"/>
              </w:rPr>
              <w:t>80%</w:t>
            </w:r>
          </w:p>
        </w:tc>
        <w:tc>
          <w:tcPr>
            <w:tcW w:w="1523" w:type="dxa"/>
            <w:vAlign w:val="center"/>
          </w:tcPr>
          <w:p w:rsidR="005D50C7" w:rsidRPr="005260E4" w:rsidRDefault="005D50C7" w:rsidP="00213533">
            <w:pPr>
              <w:pStyle w:val="TabelaTekst"/>
              <w:spacing w:before="0" w:after="0" w:line="240" w:lineRule="auto"/>
              <w:jc w:val="center"/>
              <w:rPr>
                <w:rFonts w:ascii="Garamond" w:hAnsi="Garamond"/>
              </w:rPr>
            </w:pPr>
            <w:r w:rsidRPr="005260E4">
              <w:rPr>
                <w:rFonts w:ascii="Garamond" w:hAnsi="Garamond"/>
              </w:rPr>
              <w:t>90%</w:t>
            </w:r>
          </w:p>
        </w:tc>
      </w:tr>
      <w:tr w:rsidR="005D50C7" w:rsidRPr="00290B32" w:rsidTr="00213533">
        <w:trPr>
          <w:gridAfter w:val="1"/>
          <w:wAfter w:w="19" w:type="dxa"/>
          <w:trHeight w:val="160"/>
          <w:jc w:val="center"/>
        </w:trPr>
        <w:tc>
          <w:tcPr>
            <w:tcW w:w="2721" w:type="dxa"/>
            <w:vAlign w:val="center"/>
          </w:tcPr>
          <w:p w:rsidR="005D50C7" w:rsidRPr="00290B32" w:rsidRDefault="0062456A" w:rsidP="00213533">
            <w:pPr>
              <w:autoSpaceDE/>
              <w:autoSpaceDN/>
              <w:rPr>
                <w:rFonts w:ascii="Garamond" w:eastAsia="Calibri" w:hAnsi="Garamond"/>
                <w:b/>
                <w:bCs/>
                <w:caps/>
                <w:sz w:val="16"/>
                <w:szCs w:val="16"/>
                <w:lang w:val="uz-Cyrl-UZ" w:eastAsia="en-US" w:bidi="ar-SA"/>
              </w:rPr>
            </w:pPr>
            <w:r>
              <w:rPr>
                <w:rFonts w:ascii="Garamond" w:eastAsia="Calibri" w:hAnsi="Garamond"/>
                <w:b/>
                <w:bCs/>
                <w:caps/>
                <w:sz w:val="16"/>
                <w:szCs w:val="16"/>
                <w:lang w:val="uz-Cyrl-UZ" w:eastAsia="en-US" w:bidi="ar-SA"/>
              </w:rPr>
              <w:t>DATA ON VALUES ACHIEVED</w:t>
            </w:r>
          </w:p>
        </w:tc>
        <w:tc>
          <w:tcPr>
            <w:tcW w:w="1771" w:type="dxa"/>
            <w:vAlign w:val="center"/>
          </w:tcPr>
          <w:p w:rsidR="005D50C7" w:rsidRPr="00AE0CB3" w:rsidRDefault="005D50C7" w:rsidP="00213533">
            <w:pPr>
              <w:pStyle w:val="TabelaTekst"/>
              <w:spacing w:before="0" w:after="0" w:line="240" w:lineRule="auto"/>
              <w:jc w:val="center"/>
              <w:rPr>
                <w:rFonts w:ascii="Garamond" w:hAnsi="Garamond"/>
              </w:rPr>
            </w:pPr>
            <w:r w:rsidRPr="00AE0CB3">
              <w:rPr>
                <w:rFonts w:ascii="Garamond" w:hAnsi="Garamond"/>
              </w:rPr>
              <w:t>74%</w:t>
            </w:r>
          </w:p>
        </w:tc>
        <w:tc>
          <w:tcPr>
            <w:tcW w:w="1771" w:type="dxa"/>
            <w:vAlign w:val="center"/>
          </w:tcPr>
          <w:p w:rsidR="005D50C7" w:rsidRPr="005260E4" w:rsidRDefault="005D50C7" w:rsidP="00213533">
            <w:pPr>
              <w:pStyle w:val="TabelaTekst"/>
              <w:spacing w:before="0" w:after="0" w:line="240" w:lineRule="auto"/>
              <w:jc w:val="center"/>
              <w:rPr>
                <w:rFonts w:ascii="Garamond" w:hAnsi="Garamond"/>
              </w:rPr>
            </w:pPr>
            <w:r w:rsidRPr="005260E4">
              <w:rPr>
                <w:rFonts w:ascii="Garamond" w:hAnsi="Garamond"/>
              </w:rPr>
              <w:t>83.64%</w:t>
            </w:r>
          </w:p>
        </w:tc>
        <w:tc>
          <w:tcPr>
            <w:tcW w:w="1771" w:type="dxa"/>
            <w:vAlign w:val="center"/>
          </w:tcPr>
          <w:p w:rsidR="005D50C7" w:rsidRPr="005260E4" w:rsidRDefault="005D50C7" w:rsidP="00213533">
            <w:pPr>
              <w:pStyle w:val="TabelaTekst"/>
              <w:spacing w:before="0" w:after="0" w:line="240" w:lineRule="auto"/>
              <w:jc w:val="center"/>
              <w:rPr>
                <w:rFonts w:ascii="Garamond" w:hAnsi="Garamond"/>
              </w:rPr>
            </w:pPr>
            <w:r>
              <w:rPr>
                <w:rFonts w:ascii="Garamond" w:eastAsia="Times New Roman" w:hAnsi="Garamond" w:cs="Calibri"/>
                <w:color w:val="000000"/>
                <w:szCs w:val="18"/>
              </w:rPr>
              <w:t>81</w:t>
            </w:r>
            <w:r>
              <w:rPr>
                <w:rFonts w:ascii="Garamond" w:eastAsia="Times New Roman" w:hAnsi="Garamond" w:cs="Calibri"/>
                <w:color w:val="000000"/>
                <w:szCs w:val="18"/>
                <w:lang w:val="en-GB"/>
              </w:rPr>
              <w:t>.</w:t>
            </w:r>
            <w:r w:rsidRPr="005260E4">
              <w:rPr>
                <w:rFonts w:ascii="Garamond" w:eastAsia="Times New Roman" w:hAnsi="Garamond" w:cs="Calibri"/>
                <w:color w:val="000000"/>
                <w:szCs w:val="18"/>
              </w:rPr>
              <w:t>36</w:t>
            </w:r>
            <w:r w:rsidRPr="005260E4">
              <w:rPr>
                <w:rFonts w:ascii="Garamond" w:hAnsi="Garamond"/>
                <w:szCs w:val="18"/>
              </w:rPr>
              <w:t>%</w:t>
            </w:r>
          </w:p>
        </w:tc>
        <w:tc>
          <w:tcPr>
            <w:tcW w:w="1523" w:type="dxa"/>
            <w:vAlign w:val="center"/>
          </w:tcPr>
          <w:p w:rsidR="005D50C7" w:rsidRPr="005260E4" w:rsidRDefault="005D50C7" w:rsidP="00213533">
            <w:pPr>
              <w:pStyle w:val="TabelaTekst"/>
              <w:spacing w:before="0" w:after="0" w:line="240" w:lineRule="auto"/>
              <w:jc w:val="center"/>
              <w:rPr>
                <w:rFonts w:ascii="Garamond" w:hAnsi="Garamond"/>
              </w:rPr>
            </w:pPr>
            <w:r w:rsidRPr="005260E4">
              <w:rPr>
                <w:rFonts w:ascii="Garamond" w:hAnsi="Garamond" w:cstheme="majorHAnsi"/>
                <w:noProof/>
                <w:szCs w:val="18"/>
                <w:lang w:eastAsia="en-GB"/>
              </w:rPr>
              <w:t>80.0%</w:t>
            </w:r>
          </w:p>
        </w:tc>
      </w:tr>
    </w:tbl>
    <w:p w:rsidR="004D1343" w:rsidRPr="00C32887" w:rsidRDefault="004D1343" w:rsidP="004D1343">
      <w:pPr>
        <w:rPr>
          <w:rFonts w:ascii="Garamond" w:hAnsi="Garamond"/>
          <w:sz w:val="24"/>
          <w:szCs w:val="24"/>
        </w:rPr>
      </w:pPr>
    </w:p>
    <w:p w:rsidR="004D1343" w:rsidRPr="00C32887" w:rsidRDefault="004D1343" w:rsidP="005D50C7">
      <w:pPr>
        <w:pStyle w:val="Heading3"/>
        <w:rPr>
          <w:rFonts w:ascii="Garamond" w:hAnsi="Garamond"/>
          <w:sz w:val="24"/>
          <w:szCs w:val="24"/>
        </w:rPr>
      </w:pPr>
      <w:bookmarkStart w:id="76" w:name="_Toc77688253"/>
      <w:r w:rsidRPr="00C32887">
        <w:rPr>
          <w:rFonts w:ascii="Garamond" w:hAnsi="Garamond"/>
          <w:sz w:val="24"/>
          <w:szCs w:val="24"/>
        </w:rPr>
        <w:t xml:space="preserve">3.1.6      </w:t>
      </w:r>
      <w:r w:rsidR="005D50C7">
        <w:rPr>
          <w:rFonts w:ascii="Garamond" w:hAnsi="Garamond"/>
          <w:sz w:val="24"/>
          <w:szCs w:val="24"/>
        </w:rPr>
        <w:t>PERFORMANCE INDICATOR 31</w:t>
      </w:r>
      <w:r w:rsidR="005D50C7" w:rsidRPr="005D50C7">
        <w:rPr>
          <w:rFonts w:ascii="Garamond" w:hAnsi="Garamond"/>
          <w:sz w:val="24"/>
          <w:szCs w:val="24"/>
        </w:rPr>
        <w:t xml:space="preserve"> </w:t>
      </w:r>
      <w:r w:rsidR="005D50C7" w:rsidRPr="00C32887">
        <w:rPr>
          <w:rFonts w:ascii="Garamond" w:hAnsi="Garamond"/>
          <w:sz w:val="24"/>
          <w:szCs w:val="24"/>
        </w:rPr>
        <w:t>PASSPORT</w:t>
      </w:r>
      <w:bookmarkEnd w:id="76"/>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5D50C7" w:rsidRPr="000E17CE" w:rsidTr="00213533">
        <w:trPr>
          <w:jc w:val="center"/>
        </w:trPr>
        <w:tc>
          <w:tcPr>
            <w:tcW w:w="2721" w:type="dxa"/>
            <w:tcBorders>
              <w:right w:val="single" w:sz="4" w:space="0" w:color="FFFFFF"/>
            </w:tcBorders>
            <w:shd w:val="clear" w:color="auto" w:fill="BFBFBF"/>
            <w:vAlign w:val="center"/>
          </w:tcPr>
          <w:p w:rsidR="005D50C7" w:rsidRPr="000E17CE" w:rsidRDefault="005D50C7" w:rsidP="00213533">
            <w:pPr>
              <w:autoSpaceDE/>
              <w:autoSpaceDN/>
              <w:rPr>
                <w:rFonts w:ascii="Garamond" w:eastAsia="Calibri" w:hAnsi="Garamond"/>
                <w:b/>
                <w:caps/>
                <w:sz w:val="16"/>
                <w:szCs w:val="16"/>
                <w:lang w:val="en-GB" w:eastAsia="en-US" w:bidi="ar-SA"/>
              </w:rPr>
            </w:pPr>
            <w:r w:rsidRPr="000E17CE">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5D50C7" w:rsidRPr="000E17CE" w:rsidRDefault="005D50C7" w:rsidP="00213533">
            <w:pPr>
              <w:pStyle w:val="Default"/>
              <w:jc w:val="both"/>
              <w:rPr>
                <w:rFonts w:ascii="Garamond" w:eastAsia="Calibri" w:hAnsi="Garamond"/>
                <w:b/>
                <w:sz w:val="16"/>
                <w:szCs w:val="16"/>
                <w:lang w:eastAsia="en-US"/>
              </w:rPr>
            </w:pPr>
            <w:r w:rsidRPr="000E17CE">
              <w:rPr>
                <w:rFonts w:ascii="Garamond" w:hAnsi="Garamond"/>
                <w:sz w:val="16"/>
                <w:szCs w:val="16"/>
              </w:rPr>
              <w:t>Percentage of implemented and partially implemented recommendations given by internal auditors in the previous year that were implemented by the end of the current year</w:t>
            </w:r>
          </w:p>
        </w:tc>
      </w:tr>
      <w:tr w:rsidR="005D50C7" w:rsidRPr="000E17CE" w:rsidTr="00213533">
        <w:trPr>
          <w:gridAfter w:val="1"/>
          <w:wAfter w:w="19" w:type="dxa"/>
          <w:jc w:val="center"/>
        </w:trPr>
        <w:tc>
          <w:tcPr>
            <w:tcW w:w="2721" w:type="dxa"/>
            <w:vAlign w:val="center"/>
          </w:tcPr>
          <w:p w:rsidR="005D50C7" w:rsidRPr="000E17CE" w:rsidRDefault="005D50C7" w:rsidP="006225A7">
            <w:pPr>
              <w:rPr>
                <w:rFonts w:ascii="Garamond" w:eastAsia="Calibri" w:hAnsi="Garamond"/>
                <w:b/>
                <w:caps/>
                <w:sz w:val="16"/>
                <w:szCs w:val="16"/>
                <w:lang w:val="en-GB" w:eastAsia="en-US" w:bidi="ar-SA"/>
              </w:rPr>
            </w:pPr>
            <w:r w:rsidRPr="000E17CE">
              <w:rPr>
                <w:rFonts w:ascii="Garamond" w:eastAsia="Calibri" w:hAnsi="Garamond"/>
                <w:b/>
                <w:caps/>
                <w:sz w:val="16"/>
                <w:szCs w:val="16"/>
                <w:lang w:val="en-GB" w:eastAsia="en-US" w:bidi="ar-SA"/>
              </w:rPr>
              <w:t>corresponding objective or activity</w:t>
            </w:r>
          </w:p>
        </w:tc>
        <w:tc>
          <w:tcPr>
            <w:tcW w:w="6836" w:type="dxa"/>
            <w:gridSpan w:val="4"/>
            <w:vAlign w:val="center"/>
          </w:tcPr>
          <w:p w:rsidR="005D50C7" w:rsidRPr="000E17CE" w:rsidRDefault="005D50C7" w:rsidP="006225A7">
            <w:pPr>
              <w:rPr>
                <w:rFonts w:ascii="Garamond" w:hAnsi="Garamond"/>
                <w:color w:val="365F91" w:themeColor="accent1" w:themeShade="BF"/>
                <w:sz w:val="16"/>
                <w:szCs w:val="16"/>
              </w:rPr>
            </w:pPr>
            <w:r w:rsidRPr="000E17CE">
              <w:rPr>
                <w:rFonts w:ascii="Garamond" w:hAnsi="Garamond"/>
                <w:color w:val="365F91" w:themeColor="accent1" w:themeShade="BF"/>
                <w:sz w:val="16"/>
                <w:szCs w:val="16"/>
              </w:rPr>
              <w:t>Public Internal Financial Control Development</w:t>
            </w:r>
          </w:p>
          <w:p w:rsidR="005D50C7" w:rsidRPr="000E17CE" w:rsidRDefault="005D50C7" w:rsidP="006225A7">
            <w:pPr>
              <w:pStyle w:val="ListParagraph"/>
              <w:numPr>
                <w:ilvl w:val="0"/>
                <w:numId w:val="28"/>
              </w:numPr>
              <w:rPr>
                <w:rFonts w:ascii="Garamond" w:eastAsia="Calibri" w:hAnsi="Garamond"/>
                <w:color w:val="365F91" w:themeColor="accent1" w:themeShade="BF"/>
                <w:sz w:val="16"/>
                <w:szCs w:val="16"/>
                <w:lang w:eastAsia="en-US" w:bidi="ar-SA"/>
              </w:rPr>
            </w:pPr>
            <w:r w:rsidRPr="000E17CE">
              <w:rPr>
                <w:rFonts w:ascii="Garamond" w:hAnsi="Garamond"/>
                <w:color w:val="365F91" w:themeColor="accent1" w:themeShade="BF"/>
                <w:sz w:val="16"/>
                <w:szCs w:val="16"/>
              </w:rPr>
              <w:t>Managing public finances in an efficient, economical, effective and transparent way by all spending units</w:t>
            </w:r>
          </w:p>
        </w:tc>
      </w:tr>
      <w:tr w:rsidR="005D50C7" w:rsidRPr="000E17CE" w:rsidTr="00213533">
        <w:trPr>
          <w:gridAfter w:val="1"/>
          <w:wAfter w:w="19" w:type="dxa"/>
          <w:jc w:val="center"/>
        </w:trPr>
        <w:tc>
          <w:tcPr>
            <w:tcW w:w="2721" w:type="dxa"/>
            <w:vAlign w:val="center"/>
          </w:tcPr>
          <w:p w:rsidR="005D50C7" w:rsidRPr="000E17CE" w:rsidRDefault="005D50C7"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5D50C7" w:rsidRPr="000E17CE" w:rsidRDefault="005D50C7" w:rsidP="005D50C7">
            <w:pPr>
              <w:jc w:val="both"/>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Annual reports of internal audit units</w:t>
            </w:r>
          </w:p>
          <w:p w:rsidR="005D50C7" w:rsidRPr="000E17CE" w:rsidRDefault="005D50C7" w:rsidP="003B3AE5">
            <w:pPr>
              <w:jc w:val="both"/>
              <w:rPr>
                <w:rFonts w:ascii="Garamond" w:eastAsia="Calibri" w:hAnsi="Garamond"/>
                <w:sz w:val="16"/>
                <w:szCs w:val="16"/>
                <w:lang w:eastAsia="en-US" w:bidi="ar-SA"/>
              </w:rPr>
            </w:pPr>
            <w:r w:rsidRPr="000E17CE">
              <w:rPr>
                <w:rFonts w:ascii="Garamond" w:eastAsia="Calibri" w:hAnsi="Garamond"/>
                <w:sz w:val="16"/>
                <w:szCs w:val="16"/>
                <w:lang w:val="uz-Cyrl-UZ" w:eastAsia="en-US" w:bidi="ar-SA"/>
              </w:rPr>
              <w:t>Consolidated report on the system of public internal financial controls of the current year for the previous year. The consolidated report is published on the website of the Government of Montenegro, after its adoption</w:t>
            </w:r>
            <w:r w:rsidR="000E17CE">
              <w:rPr>
                <w:rFonts w:ascii="Garamond" w:eastAsia="Calibri" w:hAnsi="Garamond"/>
                <w:sz w:val="16"/>
                <w:szCs w:val="16"/>
                <w:lang w:eastAsia="en-US" w:bidi="ar-SA"/>
              </w:rPr>
              <w:t>,</w:t>
            </w:r>
            <w:r w:rsidRPr="000E17CE">
              <w:rPr>
                <w:rFonts w:ascii="Garamond" w:eastAsia="Calibri" w:hAnsi="Garamond"/>
                <w:sz w:val="16"/>
                <w:szCs w:val="16"/>
                <w:lang w:val="uz-Cyrl-UZ" w:eastAsia="en-US" w:bidi="ar-SA"/>
              </w:rPr>
              <w:t xml:space="preserve"> by the end of </w:t>
            </w:r>
            <w:r w:rsidR="003B3AE5" w:rsidRPr="000E17CE">
              <w:rPr>
                <w:rFonts w:ascii="Garamond" w:eastAsia="Calibri" w:hAnsi="Garamond"/>
                <w:sz w:val="16"/>
                <w:szCs w:val="16"/>
                <w:lang w:val="en-GB" w:eastAsia="en-US" w:bidi="ar-SA"/>
              </w:rPr>
              <w:t>Q2</w:t>
            </w:r>
            <w:r w:rsidRPr="000E17CE">
              <w:rPr>
                <w:rFonts w:ascii="Garamond" w:eastAsia="Calibri" w:hAnsi="Garamond"/>
                <w:sz w:val="16"/>
                <w:szCs w:val="16"/>
                <w:lang w:val="uz-Cyrl-UZ" w:eastAsia="en-US" w:bidi="ar-SA"/>
              </w:rPr>
              <w:t xml:space="preserve"> of the current year.</w:t>
            </w:r>
          </w:p>
        </w:tc>
      </w:tr>
      <w:tr w:rsidR="005D50C7" w:rsidRPr="000E17CE" w:rsidTr="00213533">
        <w:trPr>
          <w:gridAfter w:val="1"/>
          <w:wAfter w:w="19" w:type="dxa"/>
          <w:jc w:val="center"/>
        </w:trPr>
        <w:tc>
          <w:tcPr>
            <w:tcW w:w="2721" w:type="dxa"/>
            <w:vAlign w:val="center"/>
          </w:tcPr>
          <w:p w:rsidR="005D50C7" w:rsidRPr="000E17CE" w:rsidRDefault="005D50C7"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NAME OF DATA COLLECTION HOLDER</w:t>
            </w:r>
          </w:p>
        </w:tc>
        <w:tc>
          <w:tcPr>
            <w:tcW w:w="6836" w:type="dxa"/>
            <w:gridSpan w:val="4"/>
            <w:vAlign w:val="center"/>
          </w:tcPr>
          <w:p w:rsidR="005D50C7" w:rsidRPr="000E17CE" w:rsidRDefault="005D50C7" w:rsidP="00213533">
            <w:pPr>
              <w:rPr>
                <w:rFonts w:ascii="Garamond" w:hAnsi="Garamond"/>
                <w:sz w:val="16"/>
                <w:szCs w:val="16"/>
              </w:rPr>
            </w:pPr>
            <w:r w:rsidRPr="000E17CE">
              <w:rPr>
                <w:rFonts w:ascii="Garamond" w:hAnsi="Garamond"/>
                <w:sz w:val="16"/>
                <w:szCs w:val="16"/>
              </w:rPr>
              <w:t>Ministry of Finance and Social Welfare</w:t>
            </w:r>
          </w:p>
          <w:p w:rsidR="005D50C7" w:rsidRPr="000E17CE" w:rsidRDefault="005D50C7" w:rsidP="00213533">
            <w:pPr>
              <w:rPr>
                <w:rFonts w:ascii="Garamond" w:hAnsi="Garamond"/>
                <w:sz w:val="16"/>
                <w:szCs w:val="16"/>
              </w:rPr>
            </w:pPr>
            <w:r w:rsidRPr="000E17CE">
              <w:rPr>
                <w:rFonts w:ascii="Garamond" w:hAnsi="Garamond"/>
                <w:sz w:val="16"/>
                <w:szCs w:val="16"/>
              </w:rPr>
              <w:t>Miloš Baletić</w:t>
            </w:r>
          </w:p>
          <w:p w:rsidR="005D50C7" w:rsidRPr="000E17CE" w:rsidRDefault="005D50C7" w:rsidP="00213533">
            <w:pPr>
              <w:rPr>
                <w:rFonts w:ascii="Garamond" w:eastAsia="Calibri" w:hAnsi="Garamond"/>
                <w:sz w:val="16"/>
                <w:szCs w:val="16"/>
                <w:lang w:eastAsia="en-US" w:bidi="ar-SA"/>
              </w:rPr>
            </w:pPr>
            <w:r w:rsidRPr="000E17CE">
              <w:rPr>
                <w:rFonts w:ascii="Garamond" w:hAnsi="Garamond"/>
                <w:sz w:val="16"/>
                <w:szCs w:val="16"/>
              </w:rPr>
              <w:t>milos.baletic@mif.gov.me</w:t>
            </w:r>
          </w:p>
        </w:tc>
      </w:tr>
      <w:tr w:rsidR="005D50C7" w:rsidRPr="000E17CE" w:rsidTr="00213533">
        <w:trPr>
          <w:gridAfter w:val="1"/>
          <w:wAfter w:w="19" w:type="dxa"/>
          <w:jc w:val="center"/>
        </w:trPr>
        <w:tc>
          <w:tcPr>
            <w:tcW w:w="2721" w:type="dxa"/>
            <w:vAlign w:val="center"/>
          </w:tcPr>
          <w:p w:rsidR="005D50C7" w:rsidRPr="000E17CE" w:rsidRDefault="005D50C7"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FREQUENCY OF DATA PUBLICATION</w:t>
            </w:r>
          </w:p>
        </w:tc>
        <w:tc>
          <w:tcPr>
            <w:tcW w:w="6836" w:type="dxa"/>
            <w:gridSpan w:val="4"/>
            <w:vAlign w:val="center"/>
          </w:tcPr>
          <w:p w:rsidR="005D50C7" w:rsidRPr="000E17CE" w:rsidRDefault="005D50C7" w:rsidP="008717C8">
            <w:pPr>
              <w:rPr>
                <w:rFonts w:ascii="Garamond" w:eastAsia="Calibri" w:hAnsi="Garamond"/>
                <w:sz w:val="16"/>
                <w:szCs w:val="16"/>
                <w:lang w:eastAsia="en-US" w:bidi="ar-SA"/>
              </w:rPr>
            </w:pPr>
            <w:r w:rsidRPr="000E17CE">
              <w:rPr>
                <w:rFonts w:ascii="Garamond" w:eastAsia="Calibri" w:hAnsi="Garamond"/>
                <w:sz w:val="16"/>
                <w:szCs w:val="16"/>
                <w:lang w:eastAsia="en-US" w:bidi="ar-SA"/>
              </w:rPr>
              <w:t xml:space="preserve">Once a year, during the adoption of the Consolidated Report, </w:t>
            </w:r>
            <w:proofErr w:type="gramStart"/>
            <w:r w:rsidRPr="000E17CE">
              <w:rPr>
                <w:rFonts w:ascii="Garamond" w:eastAsia="Calibri" w:hAnsi="Garamond"/>
                <w:sz w:val="16"/>
                <w:szCs w:val="16"/>
                <w:lang w:eastAsia="en-US" w:bidi="ar-SA"/>
              </w:rPr>
              <w:t>which is published on the website of the Government of Montenegro, after the adoption</w:t>
            </w:r>
            <w:r w:rsidR="000E17CE">
              <w:rPr>
                <w:rFonts w:ascii="Garamond" w:eastAsia="Calibri" w:hAnsi="Garamond"/>
                <w:sz w:val="16"/>
                <w:szCs w:val="16"/>
                <w:lang w:eastAsia="en-US" w:bidi="ar-SA"/>
              </w:rPr>
              <w:t>,</w:t>
            </w:r>
            <w:r w:rsidRPr="000E17CE">
              <w:rPr>
                <w:rFonts w:ascii="Garamond" w:eastAsia="Calibri" w:hAnsi="Garamond"/>
                <w:sz w:val="16"/>
                <w:szCs w:val="16"/>
                <w:lang w:eastAsia="en-US" w:bidi="ar-SA"/>
              </w:rPr>
              <w:t xml:space="preserve"> by the end of </w:t>
            </w:r>
            <w:r w:rsidR="008717C8" w:rsidRPr="000E17CE">
              <w:rPr>
                <w:rFonts w:ascii="Garamond" w:eastAsia="Calibri" w:hAnsi="Garamond"/>
                <w:sz w:val="16"/>
                <w:szCs w:val="16"/>
                <w:lang w:eastAsia="en-US" w:bidi="ar-SA"/>
              </w:rPr>
              <w:t>Q2</w:t>
            </w:r>
            <w:r w:rsidRPr="000E17CE">
              <w:rPr>
                <w:rFonts w:ascii="Garamond" w:eastAsia="Calibri" w:hAnsi="Garamond"/>
                <w:sz w:val="16"/>
                <w:szCs w:val="16"/>
                <w:lang w:eastAsia="en-US" w:bidi="ar-SA"/>
              </w:rPr>
              <w:t xml:space="preserve"> of the current year.</w:t>
            </w:r>
            <w:proofErr w:type="gramEnd"/>
          </w:p>
        </w:tc>
      </w:tr>
      <w:tr w:rsidR="005D50C7" w:rsidRPr="000E17CE" w:rsidTr="00213533">
        <w:trPr>
          <w:gridAfter w:val="1"/>
          <w:wAfter w:w="19" w:type="dxa"/>
          <w:trHeight w:val="458"/>
          <w:jc w:val="center"/>
        </w:trPr>
        <w:tc>
          <w:tcPr>
            <w:tcW w:w="2721" w:type="dxa"/>
            <w:vMerge w:val="restart"/>
            <w:vAlign w:val="center"/>
          </w:tcPr>
          <w:p w:rsidR="005D50C7" w:rsidRPr="000E17CE" w:rsidRDefault="005D50C7"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 xml:space="preserve">BRIEF DESCRIPTION </w:t>
            </w:r>
            <w:r w:rsidRPr="000E17CE">
              <w:rPr>
                <w:rFonts w:ascii="Garamond" w:eastAsia="Calibri" w:hAnsi="Garamond"/>
                <w:b/>
                <w:caps/>
                <w:sz w:val="16"/>
                <w:szCs w:val="16"/>
                <w:lang w:val="en-GB" w:eastAsia="en-US" w:bidi="ar-SA"/>
              </w:rPr>
              <w:t xml:space="preserve">OF </w:t>
            </w:r>
            <w:r w:rsidRPr="000E17CE">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5D50C7" w:rsidRPr="000E17CE" w:rsidRDefault="005D50C7" w:rsidP="00213533">
            <w:pPr>
              <w:jc w:val="both"/>
              <w:rPr>
                <w:rFonts w:ascii="Garamond" w:eastAsia="Calibri" w:hAnsi="Garamond"/>
                <w:sz w:val="16"/>
                <w:szCs w:val="16"/>
                <w:u w:val="single"/>
                <w:lang w:val="uz-Cyrl-UZ" w:eastAsia="en-US" w:bidi="ar-SA"/>
              </w:rPr>
            </w:pPr>
            <w:r w:rsidRPr="000E17CE">
              <w:rPr>
                <w:rFonts w:ascii="Garamond" w:eastAsia="Calibri" w:hAnsi="Garamond"/>
                <w:sz w:val="16"/>
                <w:szCs w:val="16"/>
                <w:lang w:val="uz-Cyrl-UZ" w:eastAsia="en-US" w:bidi="ar-SA"/>
              </w:rPr>
              <w:t>The percentage is calculated for all internal audit units that are obliged to submit the annual work report to the Directorate for Central Harmoni</w:t>
            </w:r>
            <w:r w:rsidR="00F254DD" w:rsidRPr="000E17CE">
              <w:rPr>
                <w:rFonts w:ascii="Garamond" w:eastAsia="Calibri" w:hAnsi="Garamond"/>
                <w:sz w:val="16"/>
                <w:szCs w:val="16"/>
                <w:lang w:val="uz-Cyrl-UZ" w:eastAsia="en-US" w:bidi="ar-SA"/>
              </w:rPr>
              <w:t>sation</w:t>
            </w:r>
            <w:r w:rsidRPr="000E17CE">
              <w:rPr>
                <w:rFonts w:ascii="Garamond" w:eastAsia="Calibri" w:hAnsi="Garamond"/>
                <w:sz w:val="16"/>
                <w:szCs w:val="16"/>
                <w:lang w:val="uz-Cyrl-UZ" w:eastAsia="en-US" w:bidi="ar-SA"/>
              </w:rPr>
              <w:t>. The percentage is calculated for all recommendations given in the previous year.</w:t>
            </w:r>
          </w:p>
        </w:tc>
      </w:tr>
      <w:tr w:rsidR="005D50C7" w:rsidRPr="000E17CE" w:rsidTr="00213533">
        <w:trPr>
          <w:gridAfter w:val="1"/>
          <w:wAfter w:w="19" w:type="dxa"/>
          <w:trHeight w:val="620"/>
          <w:jc w:val="center"/>
        </w:trPr>
        <w:tc>
          <w:tcPr>
            <w:tcW w:w="2721" w:type="dxa"/>
            <w:vMerge/>
            <w:shd w:val="clear" w:color="auto" w:fill="auto"/>
            <w:vAlign w:val="center"/>
          </w:tcPr>
          <w:p w:rsidR="005D50C7" w:rsidRPr="000E17CE" w:rsidRDefault="005D50C7" w:rsidP="00213533">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5D50C7" w:rsidRPr="000E17CE" w:rsidRDefault="005D50C7" w:rsidP="00213533">
            <w:pPr>
              <w:jc w:val="center"/>
              <w:rPr>
                <w:rFonts w:ascii="Garamond" w:hAnsi="Garamond"/>
                <w:color w:val="365F91" w:themeColor="accent1" w:themeShade="BF"/>
                <w:sz w:val="16"/>
                <w:szCs w:val="16"/>
                <w:lang w:val="uz-Cyrl-UZ"/>
              </w:rPr>
            </w:pPr>
            <w:r w:rsidRPr="000E17CE">
              <w:rPr>
                <w:rFonts w:ascii="Garamond" w:hAnsi="Garamond"/>
                <w:color w:val="365F91" w:themeColor="accent1" w:themeShade="BF"/>
                <w:sz w:val="16"/>
                <w:szCs w:val="16"/>
                <w:lang w:val="uz-Cyrl-UZ"/>
              </w:rPr>
              <w:t>FORMULA / EQUATION</w:t>
            </w:r>
          </w:p>
          <w:p w:rsidR="005D50C7" w:rsidRPr="000E17CE" w:rsidRDefault="008717C8" w:rsidP="008717C8">
            <w:pPr>
              <w:jc w:val="center"/>
              <w:rPr>
                <w:rFonts w:ascii="Garamond" w:eastAsia="Calibri" w:hAnsi="Garamond"/>
                <w:sz w:val="16"/>
                <w:szCs w:val="16"/>
                <w:lang w:val="en-GB" w:eastAsia="en-US" w:bidi="ar-SA"/>
              </w:rPr>
            </w:pPr>
            <w:r w:rsidRPr="000E17CE">
              <w:rPr>
                <w:rFonts w:ascii="Garamond" w:eastAsia="Calibri" w:hAnsi="Garamond"/>
                <w:sz w:val="16"/>
                <w:szCs w:val="16"/>
                <w:lang w:val="en-GB" w:eastAsia="en-US" w:bidi="ar-SA"/>
              </w:rPr>
              <w:t>Number of implemented or part</w:t>
            </w:r>
            <w:r w:rsidR="009F039E" w:rsidRPr="000E17CE">
              <w:rPr>
                <w:rFonts w:ascii="Garamond" w:eastAsia="Calibri" w:hAnsi="Garamond"/>
                <w:sz w:val="16"/>
                <w:szCs w:val="16"/>
                <w:lang w:val="en-GB" w:eastAsia="en-US" w:bidi="ar-SA"/>
              </w:rPr>
              <w:t>ly implemented recommendations / total number of recommendations in one calendar year X 100</w:t>
            </w:r>
          </w:p>
        </w:tc>
      </w:tr>
      <w:tr w:rsidR="005D50C7" w:rsidRPr="000E17CE" w:rsidTr="00213533">
        <w:trPr>
          <w:gridAfter w:val="1"/>
          <w:wAfter w:w="19" w:type="dxa"/>
          <w:trHeight w:val="585"/>
          <w:jc w:val="center"/>
        </w:trPr>
        <w:tc>
          <w:tcPr>
            <w:tcW w:w="2721" w:type="dxa"/>
            <w:vAlign w:val="center"/>
          </w:tcPr>
          <w:p w:rsidR="005D50C7" w:rsidRPr="000E17CE" w:rsidRDefault="005D50C7" w:rsidP="00213533">
            <w:pPr>
              <w:autoSpaceDE/>
              <w:autoSpaceDN/>
              <w:rPr>
                <w:rFonts w:ascii="Garamond" w:eastAsia="Calibri" w:hAnsi="Garamond"/>
                <w:b/>
                <w:bCs/>
                <w:caps/>
                <w:sz w:val="16"/>
                <w:szCs w:val="16"/>
                <w:lang w:val="en-GB" w:eastAsia="en-US" w:bidi="ar-SA"/>
              </w:rPr>
            </w:pPr>
            <w:r w:rsidRPr="000E17CE">
              <w:rPr>
                <w:rFonts w:ascii="Garamond" w:eastAsia="Calibri" w:hAnsi="Garamond"/>
                <w:b/>
                <w:caps/>
                <w:sz w:val="16"/>
                <w:szCs w:val="16"/>
                <w:lang w:val="uz-Cyrl-UZ" w:eastAsia="en-US" w:bidi="ar-SA"/>
              </w:rPr>
              <w:t>BASELINE</w:t>
            </w:r>
            <w:r w:rsidRPr="000E17CE">
              <w:rPr>
                <w:rFonts w:ascii="Garamond" w:eastAsia="Calibri" w:hAnsi="Garamond"/>
                <w:b/>
                <w:caps/>
                <w:sz w:val="16"/>
                <w:szCs w:val="16"/>
                <w:lang w:val="en-GB" w:eastAsia="en-US" w:bidi="ar-SA"/>
              </w:rPr>
              <w:t xml:space="preserve"> DATA</w:t>
            </w:r>
          </w:p>
        </w:tc>
        <w:tc>
          <w:tcPr>
            <w:tcW w:w="6836" w:type="dxa"/>
            <w:gridSpan w:val="4"/>
            <w:vAlign w:val="center"/>
          </w:tcPr>
          <w:p w:rsidR="005D50C7" w:rsidRPr="000E17CE" w:rsidRDefault="005D50C7" w:rsidP="00213533">
            <w:pPr>
              <w:pStyle w:val="TabelaTekst"/>
              <w:rPr>
                <w:rFonts w:ascii="Garamond" w:hAnsi="Garamond"/>
                <w:sz w:val="16"/>
                <w:szCs w:val="16"/>
                <w:lang w:val="en-GB"/>
              </w:rPr>
            </w:pPr>
            <w:r w:rsidRPr="000E17CE">
              <w:rPr>
                <w:rFonts w:ascii="Garamond" w:hAnsi="Garamond"/>
                <w:sz w:val="16"/>
                <w:szCs w:val="16"/>
              </w:rPr>
              <w:t>PV (2014</w:t>
            </w:r>
            <w:r w:rsidRPr="000E17CE">
              <w:rPr>
                <w:rFonts w:ascii="Garamond" w:hAnsi="Garamond"/>
                <w:sz w:val="16"/>
                <w:szCs w:val="16"/>
                <w:lang w:val="en-GB"/>
              </w:rPr>
              <w:t xml:space="preserve">): </w:t>
            </w:r>
            <w:r w:rsidR="009F039E" w:rsidRPr="000E17CE">
              <w:rPr>
                <w:rFonts w:ascii="Garamond" w:hAnsi="Garamond"/>
                <w:sz w:val="16"/>
                <w:szCs w:val="16"/>
                <w:lang w:val="en-GB"/>
              </w:rPr>
              <w:t>48</w:t>
            </w:r>
            <w:r w:rsidRPr="000E17CE">
              <w:rPr>
                <w:rFonts w:ascii="Garamond" w:hAnsi="Garamond"/>
                <w:sz w:val="16"/>
                <w:szCs w:val="16"/>
                <w:lang w:val="en-GB"/>
              </w:rPr>
              <w:t>%</w:t>
            </w:r>
          </w:p>
        </w:tc>
      </w:tr>
      <w:tr w:rsidR="005D50C7" w:rsidRPr="000E17CE" w:rsidTr="00213533">
        <w:trPr>
          <w:gridAfter w:val="1"/>
          <w:wAfter w:w="19" w:type="dxa"/>
          <w:trHeight w:val="160"/>
          <w:jc w:val="center"/>
        </w:trPr>
        <w:tc>
          <w:tcPr>
            <w:tcW w:w="2721" w:type="dxa"/>
            <w:vMerge w:val="restart"/>
            <w:vAlign w:val="center"/>
          </w:tcPr>
          <w:p w:rsidR="005D50C7" w:rsidRPr="000E17CE" w:rsidRDefault="005D50C7" w:rsidP="00213533">
            <w:pPr>
              <w:autoSpaceDE/>
              <w:autoSpaceDN/>
              <w:rPr>
                <w:rFonts w:ascii="Garamond" w:eastAsia="Calibri" w:hAnsi="Garamond"/>
                <w:b/>
                <w:bCs/>
                <w:caps/>
                <w:sz w:val="16"/>
                <w:szCs w:val="16"/>
                <w:lang w:val="uz-Cyrl-UZ" w:eastAsia="en-US" w:bidi="ar-SA"/>
              </w:rPr>
            </w:pPr>
            <w:r w:rsidRPr="000E17CE">
              <w:rPr>
                <w:rFonts w:ascii="Garamond" w:eastAsia="Calibri" w:hAnsi="Garamond"/>
                <w:b/>
                <w:caps/>
                <w:sz w:val="16"/>
                <w:szCs w:val="16"/>
                <w:lang w:val="uz-Cyrl-UZ" w:eastAsia="en-US" w:bidi="ar-SA"/>
              </w:rPr>
              <w:t>TARGET VALUE DATA</w:t>
            </w:r>
          </w:p>
        </w:tc>
        <w:tc>
          <w:tcPr>
            <w:tcW w:w="1771" w:type="dxa"/>
            <w:vAlign w:val="center"/>
          </w:tcPr>
          <w:p w:rsidR="005D50C7" w:rsidRPr="000E17CE" w:rsidRDefault="005D50C7"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2017</w:t>
            </w:r>
          </w:p>
        </w:tc>
        <w:tc>
          <w:tcPr>
            <w:tcW w:w="1771" w:type="dxa"/>
            <w:vAlign w:val="center"/>
          </w:tcPr>
          <w:p w:rsidR="005D50C7" w:rsidRPr="000E17CE" w:rsidRDefault="005D50C7"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2018</w:t>
            </w:r>
          </w:p>
        </w:tc>
        <w:tc>
          <w:tcPr>
            <w:tcW w:w="1771" w:type="dxa"/>
            <w:vAlign w:val="center"/>
          </w:tcPr>
          <w:p w:rsidR="005D50C7" w:rsidRPr="000E17CE" w:rsidRDefault="005D50C7"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2019</w:t>
            </w:r>
          </w:p>
        </w:tc>
        <w:tc>
          <w:tcPr>
            <w:tcW w:w="1523" w:type="dxa"/>
            <w:vAlign w:val="center"/>
          </w:tcPr>
          <w:p w:rsidR="005D50C7" w:rsidRPr="000E17CE" w:rsidRDefault="005D50C7"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2020</w:t>
            </w:r>
          </w:p>
        </w:tc>
      </w:tr>
      <w:tr w:rsidR="009F039E" w:rsidRPr="000E17CE" w:rsidTr="00213533">
        <w:trPr>
          <w:gridAfter w:val="1"/>
          <w:wAfter w:w="19" w:type="dxa"/>
          <w:trHeight w:val="160"/>
          <w:jc w:val="center"/>
        </w:trPr>
        <w:tc>
          <w:tcPr>
            <w:tcW w:w="2721" w:type="dxa"/>
            <w:vMerge/>
            <w:vAlign w:val="center"/>
          </w:tcPr>
          <w:p w:rsidR="009F039E" w:rsidRPr="000E17CE" w:rsidRDefault="009F039E" w:rsidP="00213533">
            <w:pPr>
              <w:autoSpaceDE/>
              <w:autoSpaceDN/>
              <w:rPr>
                <w:rFonts w:ascii="Garamond" w:eastAsia="Calibri" w:hAnsi="Garamond"/>
                <w:b/>
                <w:bCs/>
                <w:caps/>
                <w:sz w:val="16"/>
                <w:szCs w:val="16"/>
                <w:lang w:val="uz-Cyrl-UZ" w:eastAsia="en-US" w:bidi="ar-SA"/>
              </w:rPr>
            </w:pPr>
          </w:p>
        </w:tc>
        <w:tc>
          <w:tcPr>
            <w:tcW w:w="1771" w:type="dxa"/>
            <w:vAlign w:val="center"/>
          </w:tcPr>
          <w:p w:rsidR="009F039E" w:rsidRPr="000E17CE" w:rsidRDefault="009F039E"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55%</w:t>
            </w:r>
          </w:p>
        </w:tc>
        <w:tc>
          <w:tcPr>
            <w:tcW w:w="1771" w:type="dxa"/>
            <w:vAlign w:val="center"/>
          </w:tcPr>
          <w:p w:rsidR="009F039E" w:rsidRPr="000E17CE" w:rsidRDefault="009F039E"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60%</w:t>
            </w:r>
          </w:p>
        </w:tc>
        <w:tc>
          <w:tcPr>
            <w:tcW w:w="1771" w:type="dxa"/>
            <w:vAlign w:val="center"/>
          </w:tcPr>
          <w:p w:rsidR="009F039E" w:rsidRPr="000E17CE" w:rsidRDefault="009F039E"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65%</w:t>
            </w:r>
          </w:p>
        </w:tc>
        <w:tc>
          <w:tcPr>
            <w:tcW w:w="1523" w:type="dxa"/>
            <w:vAlign w:val="center"/>
          </w:tcPr>
          <w:p w:rsidR="009F039E" w:rsidRPr="000E17CE" w:rsidRDefault="009F039E"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70%</w:t>
            </w:r>
          </w:p>
        </w:tc>
      </w:tr>
      <w:tr w:rsidR="009F039E" w:rsidRPr="000E17CE" w:rsidTr="00213533">
        <w:trPr>
          <w:gridAfter w:val="1"/>
          <w:wAfter w:w="19" w:type="dxa"/>
          <w:trHeight w:val="160"/>
          <w:jc w:val="center"/>
        </w:trPr>
        <w:tc>
          <w:tcPr>
            <w:tcW w:w="2721" w:type="dxa"/>
            <w:vAlign w:val="center"/>
          </w:tcPr>
          <w:p w:rsidR="009F039E" w:rsidRPr="000E17CE" w:rsidRDefault="0062456A" w:rsidP="00213533">
            <w:pPr>
              <w:autoSpaceDE/>
              <w:autoSpaceDN/>
              <w:rPr>
                <w:rFonts w:ascii="Garamond" w:eastAsia="Calibri" w:hAnsi="Garamond"/>
                <w:b/>
                <w:bCs/>
                <w:caps/>
                <w:sz w:val="16"/>
                <w:szCs w:val="16"/>
                <w:lang w:val="uz-Cyrl-UZ" w:eastAsia="en-US" w:bidi="ar-SA"/>
              </w:rPr>
            </w:pPr>
            <w:r w:rsidRPr="000E17CE">
              <w:rPr>
                <w:rFonts w:ascii="Garamond" w:eastAsia="Calibri" w:hAnsi="Garamond"/>
                <w:b/>
                <w:bCs/>
                <w:caps/>
                <w:sz w:val="16"/>
                <w:szCs w:val="16"/>
                <w:lang w:val="uz-Cyrl-UZ" w:eastAsia="en-US" w:bidi="ar-SA"/>
              </w:rPr>
              <w:t>DATA ON VALUES ACHIEVED</w:t>
            </w:r>
          </w:p>
        </w:tc>
        <w:tc>
          <w:tcPr>
            <w:tcW w:w="1771" w:type="dxa"/>
            <w:vAlign w:val="center"/>
          </w:tcPr>
          <w:p w:rsidR="009F039E" w:rsidRPr="000E17CE" w:rsidRDefault="009F039E" w:rsidP="00213533">
            <w:pPr>
              <w:pStyle w:val="TabelaTekst"/>
              <w:spacing w:before="0" w:after="0" w:line="240" w:lineRule="auto"/>
              <w:jc w:val="center"/>
              <w:rPr>
                <w:rFonts w:ascii="Garamond" w:hAnsi="Garamond" w:cs="Calibri"/>
                <w:sz w:val="16"/>
                <w:szCs w:val="16"/>
              </w:rPr>
            </w:pPr>
            <w:r w:rsidRPr="000E17CE">
              <w:rPr>
                <w:rFonts w:ascii="Garamond" w:hAnsi="Garamond" w:cs="Calibri"/>
                <w:sz w:val="16"/>
                <w:szCs w:val="16"/>
              </w:rPr>
              <w:t>73.5%</w:t>
            </w:r>
          </w:p>
        </w:tc>
        <w:tc>
          <w:tcPr>
            <w:tcW w:w="1771" w:type="dxa"/>
            <w:vAlign w:val="center"/>
          </w:tcPr>
          <w:p w:rsidR="009F039E" w:rsidRPr="000E17CE" w:rsidRDefault="009F039E" w:rsidP="00213533">
            <w:pPr>
              <w:pStyle w:val="TabelaTekst"/>
              <w:spacing w:before="0" w:after="0" w:line="240" w:lineRule="auto"/>
              <w:jc w:val="center"/>
              <w:rPr>
                <w:rFonts w:ascii="Garamond" w:hAnsi="Garamond" w:cs="Calibri"/>
                <w:sz w:val="16"/>
                <w:szCs w:val="16"/>
              </w:rPr>
            </w:pPr>
            <w:r w:rsidRPr="000E17CE">
              <w:rPr>
                <w:rFonts w:ascii="Garamond" w:hAnsi="Garamond" w:cs="Calibri"/>
                <w:sz w:val="16"/>
                <w:szCs w:val="16"/>
              </w:rPr>
              <w:t>79.16%</w:t>
            </w:r>
          </w:p>
        </w:tc>
        <w:tc>
          <w:tcPr>
            <w:tcW w:w="1771" w:type="dxa"/>
            <w:vAlign w:val="center"/>
          </w:tcPr>
          <w:p w:rsidR="009F039E" w:rsidRPr="000E17CE" w:rsidRDefault="009F039E" w:rsidP="00213533">
            <w:pPr>
              <w:pStyle w:val="TabelaTekst"/>
              <w:spacing w:before="0" w:after="0" w:line="240" w:lineRule="auto"/>
              <w:jc w:val="center"/>
              <w:rPr>
                <w:rFonts w:ascii="Garamond" w:hAnsi="Garamond"/>
                <w:sz w:val="16"/>
                <w:szCs w:val="16"/>
              </w:rPr>
            </w:pPr>
            <w:r w:rsidRPr="000E17CE">
              <w:rPr>
                <w:rFonts w:ascii="Garamond" w:eastAsia="Times New Roman" w:hAnsi="Garamond" w:cs="Calibri"/>
                <w:color w:val="000000"/>
                <w:sz w:val="16"/>
                <w:szCs w:val="16"/>
              </w:rPr>
              <w:t>84.11</w:t>
            </w:r>
            <w:r w:rsidRPr="000E17CE">
              <w:rPr>
                <w:rFonts w:ascii="Garamond" w:hAnsi="Garamond"/>
                <w:sz w:val="16"/>
                <w:szCs w:val="16"/>
                <w:lang w:val="en-US"/>
              </w:rPr>
              <w:t>%</w:t>
            </w:r>
          </w:p>
        </w:tc>
        <w:tc>
          <w:tcPr>
            <w:tcW w:w="1523" w:type="dxa"/>
            <w:vAlign w:val="center"/>
          </w:tcPr>
          <w:p w:rsidR="009F039E" w:rsidRPr="000E17CE" w:rsidRDefault="009F039E" w:rsidP="00213533">
            <w:pPr>
              <w:pStyle w:val="TabelaTekst"/>
              <w:spacing w:before="0" w:after="0" w:line="240" w:lineRule="auto"/>
              <w:jc w:val="center"/>
              <w:rPr>
                <w:rFonts w:ascii="Garamond" w:hAnsi="Garamond"/>
                <w:sz w:val="16"/>
                <w:szCs w:val="16"/>
              </w:rPr>
            </w:pPr>
            <w:r w:rsidRPr="000E17CE">
              <w:rPr>
                <w:rFonts w:ascii="Garamond" w:hAnsi="Garamond" w:cstheme="majorHAnsi"/>
                <w:noProof/>
                <w:sz w:val="16"/>
                <w:szCs w:val="16"/>
                <w:lang w:eastAsia="en-GB"/>
              </w:rPr>
              <w:t>79.4%</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r w:rsidRPr="00C32887">
        <w:rPr>
          <w:rFonts w:ascii="Garamond" w:hAnsi="Garamond"/>
          <w:sz w:val="24"/>
          <w:szCs w:val="24"/>
        </w:rPr>
        <w:t xml:space="preserve"> </w:t>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9F039E">
      <w:pPr>
        <w:pStyle w:val="Heading1"/>
        <w:rPr>
          <w:rFonts w:ascii="Garamond" w:hAnsi="Garamond"/>
          <w:sz w:val="24"/>
          <w:szCs w:val="24"/>
        </w:rPr>
      </w:pPr>
      <w:r w:rsidRPr="00C32887">
        <w:rPr>
          <w:rFonts w:ascii="Garamond" w:hAnsi="Garamond"/>
          <w:sz w:val="24"/>
          <w:szCs w:val="24"/>
        </w:rPr>
        <w:t xml:space="preserve">    </w:t>
      </w:r>
      <w:bookmarkStart w:id="77" w:name="_Toc77688254"/>
      <w:r w:rsidR="009F039E">
        <w:rPr>
          <w:rFonts w:ascii="Garamond" w:hAnsi="Garamond"/>
          <w:sz w:val="24"/>
          <w:szCs w:val="24"/>
        </w:rPr>
        <w:t xml:space="preserve">4. </w:t>
      </w:r>
      <w:r w:rsidRPr="00C32887">
        <w:rPr>
          <w:rFonts w:ascii="Garamond" w:hAnsi="Garamond"/>
          <w:sz w:val="24"/>
          <w:szCs w:val="24"/>
        </w:rPr>
        <w:t>Transparent financial reporting and accounting</w:t>
      </w:r>
      <w:bookmarkEnd w:id="77"/>
    </w:p>
    <w:p w:rsidR="004D1343" w:rsidRPr="00C32887" w:rsidRDefault="004D1343" w:rsidP="004D1343">
      <w:pPr>
        <w:rPr>
          <w:rFonts w:ascii="Garamond" w:hAnsi="Garamond"/>
          <w:sz w:val="24"/>
          <w:szCs w:val="24"/>
        </w:rPr>
      </w:pPr>
    </w:p>
    <w:p w:rsidR="004D1343" w:rsidRPr="00C32887" w:rsidRDefault="004D1343" w:rsidP="009F039E">
      <w:pPr>
        <w:pStyle w:val="Heading2"/>
        <w:rPr>
          <w:rFonts w:ascii="Garamond" w:hAnsi="Garamond"/>
          <w:sz w:val="24"/>
          <w:szCs w:val="24"/>
        </w:rPr>
      </w:pPr>
      <w:bookmarkStart w:id="78" w:name="_Toc77688255"/>
      <w:r w:rsidRPr="00C32887">
        <w:rPr>
          <w:rFonts w:ascii="Garamond" w:hAnsi="Garamond"/>
          <w:sz w:val="24"/>
          <w:szCs w:val="24"/>
        </w:rPr>
        <w:t xml:space="preserve">4.1     </w:t>
      </w:r>
      <w:r w:rsidR="009F039E" w:rsidRPr="009F039E">
        <w:rPr>
          <w:rFonts w:ascii="Garamond" w:hAnsi="Garamond"/>
          <w:sz w:val="24"/>
          <w:szCs w:val="24"/>
        </w:rPr>
        <w:t>Transition from the cash-based to the accrual accounting and financial reporting</w:t>
      </w:r>
      <w:bookmarkEnd w:id="78"/>
    </w:p>
    <w:p w:rsidR="004D1343" w:rsidRPr="00C32887" w:rsidRDefault="004D1343" w:rsidP="004D1343">
      <w:pPr>
        <w:rPr>
          <w:rFonts w:ascii="Garamond" w:hAnsi="Garamond"/>
          <w:sz w:val="24"/>
          <w:szCs w:val="24"/>
        </w:rPr>
      </w:pPr>
    </w:p>
    <w:p w:rsidR="004D1343" w:rsidRPr="00C32887" w:rsidRDefault="004D1343" w:rsidP="009F039E">
      <w:pPr>
        <w:pStyle w:val="Heading3"/>
        <w:rPr>
          <w:rFonts w:ascii="Garamond" w:hAnsi="Garamond"/>
          <w:sz w:val="24"/>
          <w:szCs w:val="24"/>
        </w:rPr>
      </w:pPr>
      <w:bookmarkStart w:id="79" w:name="_Toc77688256"/>
      <w:r w:rsidRPr="00C32887">
        <w:rPr>
          <w:rFonts w:ascii="Garamond" w:hAnsi="Garamond"/>
          <w:sz w:val="24"/>
          <w:szCs w:val="24"/>
        </w:rPr>
        <w:t>4.1.1      PERFORMANCE INDICATOR 32</w:t>
      </w:r>
      <w:r w:rsidR="009F039E" w:rsidRPr="009F039E">
        <w:rPr>
          <w:rFonts w:ascii="Garamond" w:hAnsi="Garamond"/>
          <w:sz w:val="24"/>
          <w:szCs w:val="24"/>
        </w:rPr>
        <w:t xml:space="preserve"> </w:t>
      </w:r>
      <w:r w:rsidR="009F039E" w:rsidRPr="00C32887">
        <w:rPr>
          <w:rFonts w:ascii="Garamond" w:hAnsi="Garamond"/>
          <w:sz w:val="24"/>
          <w:szCs w:val="24"/>
        </w:rPr>
        <w:t>PASSPORT</w:t>
      </w:r>
      <w:bookmarkEnd w:id="79"/>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9F039E" w:rsidRPr="000E17CE" w:rsidTr="00213533">
        <w:trPr>
          <w:jc w:val="center"/>
        </w:trPr>
        <w:tc>
          <w:tcPr>
            <w:tcW w:w="2721" w:type="dxa"/>
            <w:tcBorders>
              <w:right w:val="single" w:sz="4" w:space="0" w:color="FFFFFF"/>
            </w:tcBorders>
            <w:shd w:val="clear" w:color="auto" w:fill="BFBFBF"/>
            <w:vAlign w:val="center"/>
          </w:tcPr>
          <w:p w:rsidR="009F039E" w:rsidRPr="000E17CE" w:rsidRDefault="009F039E" w:rsidP="00213533">
            <w:pPr>
              <w:autoSpaceDE/>
              <w:autoSpaceDN/>
              <w:rPr>
                <w:rFonts w:ascii="Garamond" w:eastAsia="Calibri" w:hAnsi="Garamond"/>
                <w:b/>
                <w:caps/>
                <w:sz w:val="16"/>
                <w:szCs w:val="16"/>
                <w:lang w:val="en-GB" w:eastAsia="en-US" w:bidi="ar-SA"/>
              </w:rPr>
            </w:pPr>
            <w:r w:rsidRPr="000E17CE">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9F039E" w:rsidRPr="000E17CE" w:rsidRDefault="009F039E" w:rsidP="00213533">
            <w:pPr>
              <w:pStyle w:val="Default"/>
              <w:jc w:val="both"/>
              <w:rPr>
                <w:rFonts w:ascii="Garamond" w:eastAsia="Calibri" w:hAnsi="Garamond"/>
                <w:b/>
                <w:sz w:val="16"/>
                <w:szCs w:val="16"/>
                <w:lang w:eastAsia="en-US"/>
              </w:rPr>
            </w:pPr>
            <w:r w:rsidRPr="000E17CE">
              <w:rPr>
                <w:rFonts w:ascii="Garamond" w:hAnsi="Garamond"/>
                <w:sz w:val="16"/>
                <w:szCs w:val="16"/>
              </w:rPr>
              <w:t>Public sector accountants trained for accrual accounting (based on the CIPFA methodology)</w:t>
            </w:r>
          </w:p>
        </w:tc>
      </w:tr>
      <w:tr w:rsidR="009F039E" w:rsidRPr="000E17CE" w:rsidTr="00213533">
        <w:trPr>
          <w:gridAfter w:val="1"/>
          <w:wAfter w:w="19" w:type="dxa"/>
          <w:jc w:val="center"/>
        </w:trPr>
        <w:tc>
          <w:tcPr>
            <w:tcW w:w="2721" w:type="dxa"/>
            <w:vAlign w:val="center"/>
          </w:tcPr>
          <w:p w:rsidR="009F039E" w:rsidRPr="000E17CE" w:rsidRDefault="009F039E" w:rsidP="006225A7">
            <w:pPr>
              <w:rPr>
                <w:rFonts w:ascii="Garamond" w:eastAsia="Calibri" w:hAnsi="Garamond"/>
                <w:b/>
                <w:caps/>
                <w:sz w:val="16"/>
                <w:szCs w:val="16"/>
                <w:lang w:val="en-GB" w:eastAsia="en-US" w:bidi="ar-SA"/>
              </w:rPr>
            </w:pPr>
            <w:r w:rsidRPr="000E17CE">
              <w:rPr>
                <w:rFonts w:ascii="Garamond" w:eastAsia="Calibri" w:hAnsi="Garamond"/>
                <w:b/>
                <w:caps/>
                <w:sz w:val="16"/>
                <w:szCs w:val="16"/>
                <w:lang w:val="en-GB" w:eastAsia="en-US" w:bidi="ar-SA"/>
              </w:rPr>
              <w:t>corresponding objective or activity</w:t>
            </w:r>
          </w:p>
        </w:tc>
        <w:tc>
          <w:tcPr>
            <w:tcW w:w="6836" w:type="dxa"/>
            <w:gridSpan w:val="4"/>
            <w:vAlign w:val="center"/>
          </w:tcPr>
          <w:p w:rsidR="009F039E" w:rsidRPr="000E17CE" w:rsidRDefault="009F039E" w:rsidP="006225A7">
            <w:pPr>
              <w:rPr>
                <w:rFonts w:ascii="Garamond" w:hAnsi="Garamond"/>
                <w:color w:val="365F91" w:themeColor="accent1" w:themeShade="BF"/>
                <w:sz w:val="16"/>
                <w:szCs w:val="16"/>
              </w:rPr>
            </w:pPr>
            <w:r w:rsidRPr="000E17CE">
              <w:rPr>
                <w:rFonts w:ascii="Garamond" w:hAnsi="Garamond"/>
                <w:color w:val="365F91" w:themeColor="accent1" w:themeShade="BF"/>
                <w:sz w:val="16"/>
                <w:szCs w:val="16"/>
              </w:rPr>
              <w:t>Public Internal Financial Control Development</w:t>
            </w:r>
          </w:p>
          <w:p w:rsidR="009F039E" w:rsidRPr="000E17CE" w:rsidRDefault="009F039E" w:rsidP="006225A7">
            <w:pPr>
              <w:pStyle w:val="ListParagraph"/>
              <w:numPr>
                <w:ilvl w:val="0"/>
                <w:numId w:val="28"/>
              </w:numPr>
              <w:rPr>
                <w:rFonts w:ascii="Garamond" w:hAnsi="Garamond"/>
                <w:color w:val="365F91" w:themeColor="accent1" w:themeShade="BF"/>
                <w:sz w:val="16"/>
                <w:szCs w:val="16"/>
              </w:rPr>
            </w:pPr>
            <w:r w:rsidRPr="000E17CE">
              <w:rPr>
                <w:rFonts w:ascii="Garamond" w:hAnsi="Garamond"/>
                <w:color w:val="365F91" w:themeColor="accent1" w:themeShade="BF"/>
                <w:sz w:val="16"/>
                <w:szCs w:val="16"/>
              </w:rPr>
              <w:t>Transition from the cash-based to the accrual accounting and financial reporting</w:t>
            </w:r>
          </w:p>
          <w:p w:rsidR="009F039E" w:rsidRPr="000E17CE" w:rsidRDefault="009F039E" w:rsidP="006225A7">
            <w:pPr>
              <w:rPr>
                <w:rFonts w:ascii="Garamond" w:hAnsi="Garamond"/>
                <w:sz w:val="16"/>
                <w:szCs w:val="16"/>
              </w:rPr>
            </w:pPr>
          </w:p>
          <w:p w:rsidR="009F039E" w:rsidRPr="000E17CE" w:rsidRDefault="009F039E" w:rsidP="006225A7">
            <w:pPr>
              <w:rPr>
                <w:rFonts w:ascii="Garamond" w:hAnsi="Garamond"/>
                <w:sz w:val="16"/>
                <w:szCs w:val="16"/>
              </w:rPr>
            </w:pPr>
            <w:r w:rsidRPr="000E17CE">
              <w:rPr>
                <w:rFonts w:ascii="Garamond" w:hAnsi="Garamond"/>
                <w:sz w:val="16"/>
                <w:szCs w:val="16"/>
              </w:rPr>
              <w:t>Improve the quality of the public finance management and reporting by introducing the main preconditions for key elements of accrual-based accounting</w:t>
            </w:r>
          </w:p>
        </w:tc>
      </w:tr>
      <w:tr w:rsidR="009F039E" w:rsidRPr="000E17CE" w:rsidTr="00213533">
        <w:trPr>
          <w:gridAfter w:val="1"/>
          <w:wAfter w:w="19" w:type="dxa"/>
          <w:jc w:val="center"/>
        </w:trPr>
        <w:tc>
          <w:tcPr>
            <w:tcW w:w="2721" w:type="dxa"/>
            <w:vAlign w:val="center"/>
          </w:tcPr>
          <w:p w:rsidR="009F039E" w:rsidRPr="000E17CE" w:rsidRDefault="009F039E"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9F039E" w:rsidRPr="000E17CE" w:rsidRDefault="002B2A3D" w:rsidP="00213533">
            <w:pPr>
              <w:jc w:val="both"/>
              <w:rPr>
                <w:rFonts w:ascii="Garamond" w:eastAsia="Calibri" w:hAnsi="Garamond"/>
                <w:sz w:val="16"/>
                <w:szCs w:val="16"/>
                <w:lang w:eastAsia="en-US" w:bidi="ar-SA"/>
              </w:rPr>
            </w:pPr>
            <w:r w:rsidRPr="000E17CE">
              <w:rPr>
                <w:rFonts w:ascii="Garamond" w:eastAsia="Calibri" w:hAnsi="Garamond"/>
                <w:sz w:val="16"/>
                <w:szCs w:val="16"/>
                <w:lang w:val="uz-Cyrl-UZ" w:eastAsia="en-US" w:bidi="ar-SA"/>
              </w:rPr>
              <w:t>Data from the Ministry of Finance and Social Welfare on the number of participants who attended the training</w:t>
            </w:r>
          </w:p>
        </w:tc>
      </w:tr>
      <w:tr w:rsidR="009F039E" w:rsidRPr="000E17CE" w:rsidTr="00213533">
        <w:trPr>
          <w:gridAfter w:val="1"/>
          <w:wAfter w:w="19" w:type="dxa"/>
          <w:jc w:val="center"/>
        </w:trPr>
        <w:tc>
          <w:tcPr>
            <w:tcW w:w="2721" w:type="dxa"/>
            <w:vAlign w:val="center"/>
          </w:tcPr>
          <w:p w:rsidR="009F039E" w:rsidRPr="000E17CE" w:rsidRDefault="009F039E"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NAME OF DATA COLLECTION HOLDER</w:t>
            </w:r>
          </w:p>
        </w:tc>
        <w:tc>
          <w:tcPr>
            <w:tcW w:w="6836" w:type="dxa"/>
            <w:gridSpan w:val="4"/>
            <w:vAlign w:val="center"/>
          </w:tcPr>
          <w:p w:rsidR="009F039E" w:rsidRPr="000E17CE" w:rsidRDefault="009F039E" w:rsidP="00213533">
            <w:pPr>
              <w:rPr>
                <w:rFonts w:ascii="Garamond" w:hAnsi="Garamond"/>
                <w:sz w:val="16"/>
                <w:szCs w:val="16"/>
              </w:rPr>
            </w:pPr>
            <w:r w:rsidRPr="000E17CE">
              <w:rPr>
                <w:rFonts w:ascii="Garamond" w:hAnsi="Garamond"/>
                <w:sz w:val="16"/>
                <w:szCs w:val="16"/>
              </w:rPr>
              <w:t>Ministry of Finance and Social Welfare</w:t>
            </w:r>
          </w:p>
          <w:p w:rsidR="002B2A3D" w:rsidRPr="000E17CE" w:rsidRDefault="002B2A3D" w:rsidP="002B2A3D">
            <w:pPr>
              <w:rPr>
                <w:rFonts w:ascii="Garamond" w:hAnsi="Garamond"/>
                <w:sz w:val="16"/>
                <w:szCs w:val="16"/>
              </w:rPr>
            </w:pPr>
            <w:r w:rsidRPr="000E17CE">
              <w:rPr>
                <w:rFonts w:ascii="Garamond" w:hAnsi="Garamond"/>
                <w:sz w:val="16"/>
                <w:szCs w:val="16"/>
              </w:rPr>
              <w:t>Marija Uljarević</w:t>
            </w:r>
          </w:p>
          <w:p w:rsidR="002B2A3D" w:rsidRPr="000E17CE" w:rsidRDefault="002B2A3D" w:rsidP="002B2A3D">
            <w:pPr>
              <w:rPr>
                <w:rFonts w:ascii="Garamond" w:hAnsi="Garamond"/>
                <w:sz w:val="16"/>
                <w:szCs w:val="16"/>
              </w:rPr>
            </w:pPr>
            <w:r w:rsidRPr="000E17CE">
              <w:rPr>
                <w:rFonts w:ascii="Garamond" w:hAnsi="Garamond"/>
                <w:sz w:val="16"/>
                <w:szCs w:val="16"/>
              </w:rPr>
              <w:t xml:space="preserve">marija.popovic@mif.gov.me </w:t>
            </w:r>
          </w:p>
          <w:p w:rsidR="009F039E" w:rsidRPr="000E17CE" w:rsidRDefault="002B2A3D" w:rsidP="002B2A3D">
            <w:pPr>
              <w:rPr>
                <w:rFonts w:ascii="Garamond" w:eastAsia="Calibri" w:hAnsi="Garamond"/>
                <w:sz w:val="16"/>
                <w:szCs w:val="16"/>
                <w:lang w:eastAsia="en-US" w:bidi="ar-SA"/>
              </w:rPr>
            </w:pPr>
            <w:r w:rsidRPr="000E17CE">
              <w:rPr>
                <w:rFonts w:ascii="Garamond" w:hAnsi="Garamond"/>
                <w:sz w:val="16"/>
                <w:szCs w:val="16"/>
              </w:rPr>
              <w:t>Phone:063202964</w:t>
            </w:r>
          </w:p>
        </w:tc>
      </w:tr>
      <w:tr w:rsidR="009F039E" w:rsidRPr="000E17CE" w:rsidTr="00213533">
        <w:trPr>
          <w:gridAfter w:val="1"/>
          <w:wAfter w:w="19" w:type="dxa"/>
          <w:jc w:val="center"/>
        </w:trPr>
        <w:tc>
          <w:tcPr>
            <w:tcW w:w="2721" w:type="dxa"/>
            <w:vAlign w:val="center"/>
          </w:tcPr>
          <w:p w:rsidR="009F039E" w:rsidRPr="000E17CE" w:rsidRDefault="009F039E"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FREQUENCY OF DATA PUBLICATION</w:t>
            </w:r>
          </w:p>
        </w:tc>
        <w:tc>
          <w:tcPr>
            <w:tcW w:w="6836" w:type="dxa"/>
            <w:gridSpan w:val="4"/>
            <w:vAlign w:val="center"/>
          </w:tcPr>
          <w:p w:rsidR="009F039E" w:rsidRPr="000E17CE" w:rsidRDefault="002B2A3D" w:rsidP="00213533">
            <w:pPr>
              <w:rPr>
                <w:rFonts w:ascii="Garamond" w:eastAsia="Calibri" w:hAnsi="Garamond"/>
                <w:sz w:val="16"/>
                <w:szCs w:val="16"/>
                <w:lang w:eastAsia="en-US" w:bidi="ar-SA"/>
              </w:rPr>
            </w:pPr>
            <w:r w:rsidRPr="000E17CE">
              <w:rPr>
                <w:rFonts w:ascii="Garamond" w:eastAsia="Calibri" w:hAnsi="Garamond"/>
                <w:sz w:val="16"/>
                <w:szCs w:val="16"/>
                <w:lang w:eastAsia="en-US" w:bidi="ar-SA"/>
              </w:rPr>
              <w:t>December 31 each year</w:t>
            </w:r>
          </w:p>
        </w:tc>
      </w:tr>
      <w:tr w:rsidR="009F039E" w:rsidRPr="000E17CE" w:rsidTr="00213533">
        <w:trPr>
          <w:gridAfter w:val="1"/>
          <w:wAfter w:w="19" w:type="dxa"/>
          <w:trHeight w:val="458"/>
          <w:jc w:val="center"/>
        </w:trPr>
        <w:tc>
          <w:tcPr>
            <w:tcW w:w="2721" w:type="dxa"/>
            <w:vMerge w:val="restart"/>
            <w:vAlign w:val="center"/>
          </w:tcPr>
          <w:p w:rsidR="009F039E" w:rsidRPr="000E17CE" w:rsidRDefault="009F039E"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 xml:space="preserve">BRIEF DESCRIPTION </w:t>
            </w:r>
            <w:r w:rsidRPr="000E17CE">
              <w:rPr>
                <w:rFonts w:ascii="Garamond" w:eastAsia="Calibri" w:hAnsi="Garamond"/>
                <w:b/>
                <w:caps/>
                <w:sz w:val="16"/>
                <w:szCs w:val="16"/>
                <w:lang w:val="en-GB" w:eastAsia="en-US" w:bidi="ar-SA"/>
              </w:rPr>
              <w:t xml:space="preserve">OF </w:t>
            </w:r>
            <w:r w:rsidRPr="000E17CE">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2B2A3D" w:rsidRPr="000E17CE" w:rsidRDefault="002B2A3D" w:rsidP="002B2A3D">
            <w:pPr>
              <w:jc w:val="both"/>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Since 2016, the Ministry of Finance and Social Welfare has started training public sector accountants for the application of accrual accounting according to international accounting standards. The training is conducted in accordance with the CIPFA (Chartered Institute of Public Finance and Accountancy) methodology. Participants in the training are accountants in spending units of the budget of Montenegro and local self-government units. The training is conducted in cooperation with the Center for Excellence in Finance from Slovenia and the Human Resources Administration.</w:t>
            </w:r>
          </w:p>
          <w:p w:rsidR="009F039E" w:rsidRPr="000E17CE" w:rsidRDefault="002B2A3D" w:rsidP="002B2A3D">
            <w:pPr>
              <w:jc w:val="both"/>
              <w:rPr>
                <w:rFonts w:ascii="Garamond" w:eastAsia="Calibri" w:hAnsi="Garamond"/>
                <w:sz w:val="16"/>
                <w:szCs w:val="16"/>
                <w:u w:val="single"/>
                <w:lang w:val="uz-Cyrl-UZ" w:eastAsia="en-US" w:bidi="ar-SA"/>
              </w:rPr>
            </w:pPr>
            <w:r w:rsidRPr="000E17CE">
              <w:rPr>
                <w:rFonts w:ascii="Garamond" w:eastAsia="Calibri" w:hAnsi="Garamond"/>
                <w:sz w:val="16"/>
                <w:szCs w:val="16"/>
                <w:lang w:val="uz-Cyrl-UZ" w:eastAsia="en-US" w:bidi="ar-SA"/>
              </w:rPr>
              <w:t>The formula is the number of participants who only attended training in one calendar year, regardless of whether they passed the exams and successfully completed the training</w:t>
            </w:r>
            <w:r w:rsidR="000E17CE">
              <w:rPr>
                <w:rFonts w:ascii="Garamond" w:eastAsia="Calibri" w:hAnsi="Garamond"/>
                <w:sz w:val="16"/>
                <w:szCs w:val="16"/>
                <w:lang w:eastAsia="en-US" w:bidi="ar-SA"/>
              </w:rPr>
              <w:t>,</w:t>
            </w:r>
            <w:r w:rsidRPr="000E17CE">
              <w:rPr>
                <w:rFonts w:ascii="Garamond" w:eastAsia="Calibri" w:hAnsi="Garamond"/>
                <w:sz w:val="16"/>
                <w:szCs w:val="16"/>
                <w:lang w:val="uz-Cyrl-UZ" w:eastAsia="en-US" w:bidi="ar-SA"/>
              </w:rPr>
              <w:t xml:space="preserve"> because</w:t>
            </w:r>
            <w:r w:rsidR="000E17CE">
              <w:rPr>
                <w:rFonts w:ascii="Garamond" w:eastAsia="Calibri" w:hAnsi="Garamond"/>
                <w:sz w:val="16"/>
                <w:szCs w:val="16"/>
                <w:lang w:eastAsia="en-US" w:bidi="ar-SA"/>
              </w:rPr>
              <w:t>,</w:t>
            </w:r>
            <w:r w:rsidRPr="000E17CE">
              <w:rPr>
                <w:rFonts w:ascii="Garamond" w:eastAsia="Calibri" w:hAnsi="Garamond"/>
                <w:sz w:val="16"/>
                <w:szCs w:val="16"/>
                <w:lang w:val="uz-Cyrl-UZ" w:eastAsia="en-US" w:bidi="ar-SA"/>
              </w:rPr>
              <w:t xml:space="preserve"> at this stage of accounting reform</w:t>
            </w:r>
            <w:r w:rsidR="008717C8" w:rsidRPr="000E17CE">
              <w:rPr>
                <w:rFonts w:ascii="Garamond" w:eastAsia="Calibri" w:hAnsi="Garamond"/>
                <w:sz w:val="16"/>
                <w:szCs w:val="16"/>
                <w:lang w:val="en-GB" w:eastAsia="en-US" w:bidi="ar-SA"/>
              </w:rPr>
              <w:t>,</w:t>
            </w:r>
            <w:r w:rsidRPr="000E17CE">
              <w:rPr>
                <w:rFonts w:ascii="Garamond" w:eastAsia="Calibri" w:hAnsi="Garamond"/>
                <w:sz w:val="16"/>
                <w:szCs w:val="16"/>
                <w:lang w:val="uz-Cyrl-UZ" w:eastAsia="en-US" w:bidi="ar-SA"/>
              </w:rPr>
              <w:t xml:space="preserve"> priority is given to acquainting accountants with international accounting standards.</w:t>
            </w:r>
          </w:p>
        </w:tc>
      </w:tr>
      <w:tr w:rsidR="009F039E" w:rsidRPr="000E17CE" w:rsidTr="00213533">
        <w:trPr>
          <w:gridAfter w:val="1"/>
          <w:wAfter w:w="19" w:type="dxa"/>
          <w:trHeight w:val="620"/>
          <w:jc w:val="center"/>
        </w:trPr>
        <w:tc>
          <w:tcPr>
            <w:tcW w:w="2721" w:type="dxa"/>
            <w:vMerge/>
            <w:shd w:val="clear" w:color="auto" w:fill="auto"/>
            <w:vAlign w:val="center"/>
          </w:tcPr>
          <w:p w:rsidR="009F039E" w:rsidRPr="000E17CE" w:rsidRDefault="009F039E" w:rsidP="00213533">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9F039E" w:rsidRPr="000E17CE" w:rsidRDefault="009F039E" w:rsidP="00213533">
            <w:pPr>
              <w:jc w:val="center"/>
              <w:rPr>
                <w:rFonts w:ascii="Garamond" w:hAnsi="Garamond"/>
                <w:color w:val="365F91" w:themeColor="accent1" w:themeShade="BF"/>
                <w:sz w:val="16"/>
                <w:szCs w:val="16"/>
                <w:lang w:val="uz-Cyrl-UZ"/>
              </w:rPr>
            </w:pPr>
            <w:r w:rsidRPr="000E17CE">
              <w:rPr>
                <w:rFonts w:ascii="Garamond" w:hAnsi="Garamond"/>
                <w:color w:val="365F91" w:themeColor="accent1" w:themeShade="BF"/>
                <w:sz w:val="16"/>
                <w:szCs w:val="16"/>
                <w:lang w:val="uz-Cyrl-UZ"/>
              </w:rPr>
              <w:t>FORMULA / EQUATION</w:t>
            </w:r>
          </w:p>
          <w:p w:rsidR="009F039E" w:rsidRPr="000E17CE" w:rsidRDefault="00AA6DD7" w:rsidP="00213533">
            <w:pPr>
              <w:jc w:val="center"/>
              <w:rPr>
                <w:rFonts w:ascii="Garamond" w:eastAsia="Calibri" w:hAnsi="Garamond"/>
                <w:sz w:val="16"/>
                <w:szCs w:val="16"/>
                <w:lang w:val="en-GB" w:eastAsia="en-US" w:bidi="ar-SA"/>
              </w:rPr>
            </w:pPr>
            <w:r w:rsidRPr="000E17CE">
              <w:rPr>
                <w:rFonts w:ascii="Garamond" w:eastAsia="Calibri" w:hAnsi="Garamond"/>
                <w:sz w:val="16"/>
                <w:szCs w:val="16"/>
                <w:lang w:val="en-GB" w:eastAsia="en-US" w:bidi="ar-SA"/>
              </w:rPr>
              <w:t>Number of participants who attended the training in one calendar year</w:t>
            </w:r>
          </w:p>
        </w:tc>
      </w:tr>
      <w:tr w:rsidR="009F039E" w:rsidRPr="000E17CE" w:rsidTr="00213533">
        <w:trPr>
          <w:gridAfter w:val="1"/>
          <w:wAfter w:w="19" w:type="dxa"/>
          <w:trHeight w:val="585"/>
          <w:jc w:val="center"/>
        </w:trPr>
        <w:tc>
          <w:tcPr>
            <w:tcW w:w="2721" w:type="dxa"/>
            <w:vAlign w:val="center"/>
          </w:tcPr>
          <w:p w:rsidR="009F039E" w:rsidRPr="000E17CE" w:rsidRDefault="009F039E" w:rsidP="00213533">
            <w:pPr>
              <w:autoSpaceDE/>
              <w:autoSpaceDN/>
              <w:rPr>
                <w:rFonts w:ascii="Garamond" w:eastAsia="Calibri" w:hAnsi="Garamond"/>
                <w:b/>
                <w:bCs/>
                <w:caps/>
                <w:sz w:val="16"/>
                <w:szCs w:val="16"/>
                <w:lang w:val="en-GB" w:eastAsia="en-US" w:bidi="ar-SA"/>
              </w:rPr>
            </w:pPr>
            <w:r w:rsidRPr="000E17CE">
              <w:rPr>
                <w:rFonts w:ascii="Garamond" w:eastAsia="Calibri" w:hAnsi="Garamond"/>
                <w:b/>
                <w:caps/>
                <w:sz w:val="16"/>
                <w:szCs w:val="16"/>
                <w:lang w:val="uz-Cyrl-UZ" w:eastAsia="en-US" w:bidi="ar-SA"/>
              </w:rPr>
              <w:t>BASELINE</w:t>
            </w:r>
            <w:r w:rsidRPr="000E17CE">
              <w:rPr>
                <w:rFonts w:ascii="Garamond" w:eastAsia="Calibri" w:hAnsi="Garamond"/>
                <w:b/>
                <w:caps/>
                <w:sz w:val="16"/>
                <w:szCs w:val="16"/>
                <w:lang w:val="en-GB" w:eastAsia="en-US" w:bidi="ar-SA"/>
              </w:rPr>
              <w:t xml:space="preserve"> DATA</w:t>
            </w:r>
          </w:p>
        </w:tc>
        <w:tc>
          <w:tcPr>
            <w:tcW w:w="6836" w:type="dxa"/>
            <w:gridSpan w:val="4"/>
            <w:vAlign w:val="center"/>
          </w:tcPr>
          <w:p w:rsidR="009F039E" w:rsidRPr="000E17CE" w:rsidRDefault="009F039E" w:rsidP="00AA6DD7">
            <w:pPr>
              <w:pStyle w:val="TabelaTekst"/>
              <w:rPr>
                <w:rFonts w:ascii="Garamond" w:hAnsi="Garamond"/>
                <w:sz w:val="16"/>
                <w:szCs w:val="16"/>
                <w:lang w:val="en-GB"/>
              </w:rPr>
            </w:pPr>
            <w:r w:rsidRPr="000E17CE">
              <w:rPr>
                <w:rFonts w:ascii="Garamond" w:hAnsi="Garamond"/>
                <w:sz w:val="16"/>
                <w:szCs w:val="16"/>
              </w:rPr>
              <w:t>PV (2014</w:t>
            </w:r>
            <w:r w:rsidRPr="000E17CE">
              <w:rPr>
                <w:rFonts w:ascii="Garamond" w:hAnsi="Garamond"/>
                <w:sz w:val="16"/>
                <w:szCs w:val="16"/>
                <w:lang w:val="en-GB"/>
              </w:rPr>
              <w:t xml:space="preserve">): </w:t>
            </w:r>
            <w:r w:rsidR="00AA6DD7" w:rsidRPr="000E17CE">
              <w:rPr>
                <w:rFonts w:ascii="Garamond" w:hAnsi="Garamond"/>
                <w:sz w:val="16"/>
                <w:szCs w:val="16"/>
                <w:lang w:val="en-GB"/>
              </w:rPr>
              <w:t>0</w:t>
            </w:r>
          </w:p>
        </w:tc>
      </w:tr>
      <w:tr w:rsidR="009F039E" w:rsidRPr="000E17CE" w:rsidTr="00213533">
        <w:trPr>
          <w:gridAfter w:val="1"/>
          <w:wAfter w:w="19" w:type="dxa"/>
          <w:trHeight w:val="160"/>
          <w:jc w:val="center"/>
        </w:trPr>
        <w:tc>
          <w:tcPr>
            <w:tcW w:w="2721" w:type="dxa"/>
            <w:vMerge w:val="restart"/>
            <w:vAlign w:val="center"/>
          </w:tcPr>
          <w:p w:rsidR="009F039E" w:rsidRPr="000E17CE" w:rsidRDefault="009F039E" w:rsidP="00213533">
            <w:pPr>
              <w:autoSpaceDE/>
              <w:autoSpaceDN/>
              <w:rPr>
                <w:rFonts w:ascii="Garamond" w:eastAsia="Calibri" w:hAnsi="Garamond"/>
                <w:b/>
                <w:bCs/>
                <w:caps/>
                <w:sz w:val="16"/>
                <w:szCs w:val="16"/>
                <w:lang w:val="uz-Cyrl-UZ" w:eastAsia="en-US" w:bidi="ar-SA"/>
              </w:rPr>
            </w:pPr>
            <w:r w:rsidRPr="000E17CE">
              <w:rPr>
                <w:rFonts w:ascii="Garamond" w:eastAsia="Calibri" w:hAnsi="Garamond"/>
                <w:b/>
                <w:caps/>
                <w:sz w:val="16"/>
                <w:szCs w:val="16"/>
                <w:lang w:val="uz-Cyrl-UZ" w:eastAsia="en-US" w:bidi="ar-SA"/>
              </w:rPr>
              <w:t>TARGET VALUE DATA</w:t>
            </w:r>
          </w:p>
        </w:tc>
        <w:tc>
          <w:tcPr>
            <w:tcW w:w="1771" w:type="dxa"/>
            <w:vAlign w:val="center"/>
          </w:tcPr>
          <w:p w:rsidR="009F039E" w:rsidRPr="000E17CE" w:rsidRDefault="009F039E"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2017</w:t>
            </w:r>
          </w:p>
        </w:tc>
        <w:tc>
          <w:tcPr>
            <w:tcW w:w="1771" w:type="dxa"/>
            <w:vAlign w:val="center"/>
          </w:tcPr>
          <w:p w:rsidR="009F039E" w:rsidRPr="000E17CE" w:rsidRDefault="009F039E"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2018</w:t>
            </w:r>
          </w:p>
        </w:tc>
        <w:tc>
          <w:tcPr>
            <w:tcW w:w="1771" w:type="dxa"/>
            <w:vAlign w:val="center"/>
          </w:tcPr>
          <w:p w:rsidR="009F039E" w:rsidRPr="000E17CE" w:rsidRDefault="009F039E"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2019</w:t>
            </w:r>
          </w:p>
        </w:tc>
        <w:tc>
          <w:tcPr>
            <w:tcW w:w="1523" w:type="dxa"/>
            <w:vAlign w:val="center"/>
          </w:tcPr>
          <w:p w:rsidR="009F039E" w:rsidRPr="000E17CE" w:rsidRDefault="009F039E"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2020</w:t>
            </w:r>
          </w:p>
        </w:tc>
      </w:tr>
      <w:tr w:rsidR="00AA6DD7" w:rsidRPr="000E17CE" w:rsidTr="00213533">
        <w:trPr>
          <w:gridAfter w:val="1"/>
          <w:wAfter w:w="19" w:type="dxa"/>
          <w:trHeight w:val="160"/>
          <w:jc w:val="center"/>
        </w:trPr>
        <w:tc>
          <w:tcPr>
            <w:tcW w:w="2721" w:type="dxa"/>
            <w:vMerge/>
            <w:vAlign w:val="center"/>
          </w:tcPr>
          <w:p w:rsidR="00AA6DD7" w:rsidRPr="000E17CE" w:rsidRDefault="00AA6DD7" w:rsidP="00213533">
            <w:pPr>
              <w:autoSpaceDE/>
              <w:autoSpaceDN/>
              <w:rPr>
                <w:rFonts w:ascii="Garamond" w:eastAsia="Calibri" w:hAnsi="Garamond"/>
                <w:b/>
                <w:bCs/>
                <w:caps/>
                <w:sz w:val="16"/>
                <w:szCs w:val="16"/>
                <w:lang w:val="uz-Cyrl-UZ" w:eastAsia="en-US" w:bidi="ar-SA"/>
              </w:rPr>
            </w:pPr>
          </w:p>
        </w:tc>
        <w:tc>
          <w:tcPr>
            <w:tcW w:w="1771" w:type="dxa"/>
            <w:vAlign w:val="center"/>
          </w:tcPr>
          <w:p w:rsidR="00AA6DD7" w:rsidRPr="000E17CE" w:rsidRDefault="00AA6DD7"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40</w:t>
            </w:r>
          </w:p>
        </w:tc>
        <w:tc>
          <w:tcPr>
            <w:tcW w:w="1771" w:type="dxa"/>
            <w:vAlign w:val="center"/>
          </w:tcPr>
          <w:p w:rsidR="00AA6DD7" w:rsidRPr="000E17CE" w:rsidRDefault="00AA6DD7"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40</w:t>
            </w:r>
          </w:p>
        </w:tc>
        <w:tc>
          <w:tcPr>
            <w:tcW w:w="1771" w:type="dxa"/>
            <w:vAlign w:val="center"/>
          </w:tcPr>
          <w:p w:rsidR="00AA6DD7" w:rsidRPr="000E17CE" w:rsidRDefault="00AA6DD7"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20</w:t>
            </w:r>
          </w:p>
        </w:tc>
        <w:tc>
          <w:tcPr>
            <w:tcW w:w="1523" w:type="dxa"/>
            <w:vAlign w:val="center"/>
          </w:tcPr>
          <w:p w:rsidR="00AA6DD7" w:rsidRPr="000E17CE" w:rsidRDefault="00AA6DD7"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100</w:t>
            </w:r>
          </w:p>
        </w:tc>
      </w:tr>
      <w:tr w:rsidR="00AA6DD7" w:rsidRPr="000E17CE" w:rsidTr="00213533">
        <w:trPr>
          <w:gridAfter w:val="1"/>
          <w:wAfter w:w="19" w:type="dxa"/>
          <w:trHeight w:val="160"/>
          <w:jc w:val="center"/>
        </w:trPr>
        <w:tc>
          <w:tcPr>
            <w:tcW w:w="2721" w:type="dxa"/>
            <w:vAlign w:val="center"/>
          </w:tcPr>
          <w:p w:rsidR="00AA6DD7" w:rsidRPr="000E17CE" w:rsidRDefault="0062456A" w:rsidP="00213533">
            <w:pPr>
              <w:autoSpaceDE/>
              <w:autoSpaceDN/>
              <w:rPr>
                <w:rFonts w:ascii="Garamond" w:eastAsia="Calibri" w:hAnsi="Garamond"/>
                <w:b/>
                <w:bCs/>
                <w:caps/>
                <w:sz w:val="16"/>
                <w:szCs w:val="16"/>
                <w:lang w:val="uz-Cyrl-UZ" w:eastAsia="en-US" w:bidi="ar-SA"/>
              </w:rPr>
            </w:pPr>
            <w:r w:rsidRPr="000E17CE">
              <w:rPr>
                <w:rFonts w:ascii="Garamond" w:eastAsia="Calibri" w:hAnsi="Garamond"/>
                <w:b/>
                <w:bCs/>
                <w:caps/>
                <w:sz w:val="16"/>
                <w:szCs w:val="16"/>
                <w:lang w:val="uz-Cyrl-UZ" w:eastAsia="en-US" w:bidi="ar-SA"/>
              </w:rPr>
              <w:t>DATA ON VALUES ACHIEVED</w:t>
            </w:r>
          </w:p>
        </w:tc>
        <w:tc>
          <w:tcPr>
            <w:tcW w:w="1771" w:type="dxa"/>
            <w:vAlign w:val="center"/>
          </w:tcPr>
          <w:p w:rsidR="00AA6DD7" w:rsidRPr="000E17CE" w:rsidRDefault="00AA6DD7" w:rsidP="00AA6DD7">
            <w:pPr>
              <w:pStyle w:val="TabelaTekst"/>
              <w:spacing w:before="0" w:after="0" w:line="240" w:lineRule="auto"/>
              <w:jc w:val="center"/>
              <w:rPr>
                <w:rFonts w:ascii="Garamond" w:hAnsi="Garamond"/>
                <w:sz w:val="16"/>
                <w:szCs w:val="16"/>
                <w:lang w:val="en-GB"/>
              </w:rPr>
            </w:pPr>
            <w:r w:rsidRPr="000E17CE">
              <w:rPr>
                <w:rFonts w:ascii="Garamond" w:hAnsi="Garamond"/>
                <w:sz w:val="16"/>
                <w:szCs w:val="16"/>
              </w:rPr>
              <w:t xml:space="preserve">40 </w:t>
            </w:r>
            <w:r w:rsidRPr="000E17CE">
              <w:rPr>
                <w:rFonts w:ascii="Garamond" w:hAnsi="Garamond"/>
                <w:sz w:val="16"/>
                <w:szCs w:val="16"/>
                <w:lang w:val="en-GB"/>
              </w:rPr>
              <w:t>in</w:t>
            </w:r>
            <w:r w:rsidRPr="000E17CE">
              <w:rPr>
                <w:rFonts w:ascii="Garamond" w:hAnsi="Garamond"/>
                <w:sz w:val="16"/>
                <w:szCs w:val="16"/>
              </w:rPr>
              <w:t xml:space="preserve"> 2016</w:t>
            </w:r>
          </w:p>
        </w:tc>
        <w:tc>
          <w:tcPr>
            <w:tcW w:w="1771" w:type="dxa"/>
            <w:vAlign w:val="center"/>
          </w:tcPr>
          <w:p w:rsidR="00AA6DD7" w:rsidRPr="000E17CE" w:rsidRDefault="00AA6DD7"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80</w:t>
            </w:r>
          </w:p>
        </w:tc>
        <w:tc>
          <w:tcPr>
            <w:tcW w:w="1771" w:type="dxa"/>
            <w:vAlign w:val="center"/>
          </w:tcPr>
          <w:p w:rsidR="00AA6DD7" w:rsidRPr="000E17CE" w:rsidRDefault="00AA6DD7"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40</w:t>
            </w:r>
            <w:r w:rsidRPr="000E17CE">
              <w:rPr>
                <w:rStyle w:val="FootnoteReference"/>
                <w:rFonts w:ascii="Garamond" w:hAnsi="Garamond"/>
                <w:sz w:val="16"/>
                <w:szCs w:val="16"/>
              </w:rPr>
              <w:footnoteReference w:id="77"/>
            </w:r>
          </w:p>
        </w:tc>
        <w:tc>
          <w:tcPr>
            <w:tcW w:w="1523" w:type="dxa"/>
            <w:vAlign w:val="center"/>
          </w:tcPr>
          <w:p w:rsidR="00AA6DD7" w:rsidRPr="000E17CE" w:rsidRDefault="00AA6DD7" w:rsidP="00213533">
            <w:pPr>
              <w:jc w:val="center"/>
              <w:rPr>
                <w:rFonts w:cstheme="majorHAnsi"/>
                <w:noProof/>
                <w:sz w:val="16"/>
                <w:szCs w:val="16"/>
              </w:rPr>
            </w:pPr>
          </w:p>
          <w:p w:rsidR="00AA6DD7" w:rsidRPr="000E17CE" w:rsidRDefault="00AA6DD7" w:rsidP="00213533">
            <w:pPr>
              <w:pStyle w:val="TabelaTekst"/>
              <w:spacing w:before="0" w:after="0" w:line="240" w:lineRule="auto"/>
              <w:jc w:val="center"/>
              <w:rPr>
                <w:rFonts w:ascii="Garamond" w:hAnsi="Garamond"/>
                <w:sz w:val="16"/>
                <w:szCs w:val="16"/>
              </w:rPr>
            </w:pPr>
            <w:r w:rsidRPr="000E17CE">
              <w:rPr>
                <w:rFonts w:ascii="Garamond" w:hAnsi="Garamond" w:cstheme="majorHAnsi"/>
                <w:noProof/>
                <w:sz w:val="16"/>
                <w:szCs w:val="16"/>
                <w:lang w:val="en-US"/>
              </w:rPr>
              <w:t>120</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AA6DD7">
      <w:pPr>
        <w:pStyle w:val="Heading3"/>
        <w:rPr>
          <w:rFonts w:ascii="Garamond" w:hAnsi="Garamond"/>
          <w:sz w:val="24"/>
          <w:szCs w:val="24"/>
        </w:rPr>
      </w:pPr>
      <w:bookmarkStart w:id="80" w:name="_Toc77688257"/>
      <w:r w:rsidRPr="00C32887">
        <w:rPr>
          <w:rFonts w:ascii="Garamond" w:hAnsi="Garamond"/>
          <w:sz w:val="24"/>
          <w:szCs w:val="24"/>
        </w:rPr>
        <w:t xml:space="preserve">4.1.2      </w:t>
      </w:r>
      <w:r w:rsidR="00AA6DD7">
        <w:rPr>
          <w:rFonts w:ascii="Garamond" w:hAnsi="Garamond"/>
          <w:sz w:val="24"/>
          <w:szCs w:val="24"/>
        </w:rPr>
        <w:t>PERFORMANCE INDICATOR 33</w:t>
      </w:r>
      <w:r w:rsidR="00AA6DD7" w:rsidRPr="00AA6DD7">
        <w:rPr>
          <w:rFonts w:ascii="Garamond" w:hAnsi="Garamond"/>
          <w:sz w:val="24"/>
          <w:szCs w:val="24"/>
        </w:rPr>
        <w:t xml:space="preserve"> </w:t>
      </w:r>
      <w:r w:rsidR="00AA6DD7" w:rsidRPr="00C32887">
        <w:rPr>
          <w:rFonts w:ascii="Garamond" w:hAnsi="Garamond"/>
          <w:sz w:val="24"/>
          <w:szCs w:val="24"/>
        </w:rPr>
        <w:t>PASSPORT</w:t>
      </w:r>
      <w:bookmarkEnd w:id="80"/>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AA6DD7" w:rsidRPr="000E17CE" w:rsidTr="00213533">
        <w:trPr>
          <w:jc w:val="center"/>
        </w:trPr>
        <w:tc>
          <w:tcPr>
            <w:tcW w:w="2721" w:type="dxa"/>
            <w:tcBorders>
              <w:right w:val="single" w:sz="4" w:space="0" w:color="FFFFFF"/>
            </w:tcBorders>
            <w:shd w:val="clear" w:color="auto" w:fill="BFBFBF"/>
            <w:vAlign w:val="center"/>
          </w:tcPr>
          <w:p w:rsidR="00AA6DD7" w:rsidRPr="000E17CE" w:rsidRDefault="00AA6DD7" w:rsidP="00213533">
            <w:pPr>
              <w:autoSpaceDE/>
              <w:autoSpaceDN/>
              <w:rPr>
                <w:rFonts w:ascii="Garamond" w:eastAsia="Calibri" w:hAnsi="Garamond"/>
                <w:b/>
                <w:caps/>
                <w:sz w:val="16"/>
                <w:szCs w:val="16"/>
                <w:lang w:val="en-GB" w:eastAsia="en-US" w:bidi="ar-SA"/>
              </w:rPr>
            </w:pPr>
            <w:r w:rsidRPr="000E17CE">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AA6DD7" w:rsidRPr="000E17CE" w:rsidRDefault="00AA6DD7" w:rsidP="00AA6DD7">
            <w:pPr>
              <w:pStyle w:val="Default"/>
              <w:jc w:val="both"/>
              <w:rPr>
                <w:rFonts w:ascii="Garamond" w:hAnsi="Garamond"/>
                <w:sz w:val="16"/>
                <w:szCs w:val="16"/>
              </w:rPr>
            </w:pPr>
            <w:r w:rsidRPr="000E17CE">
              <w:rPr>
                <w:rFonts w:ascii="Garamond" w:hAnsi="Garamond"/>
                <w:sz w:val="16"/>
                <w:szCs w:val="16"/>
              </w:rPr>
              <w:t xml:space="preserve">Property register and double entry book-keeping system for the property implemented </w:t>
            </w:r>
          </w:p>
          <w:p w:rsidR="00AA6DD7" w:rsidRPr="000E17CE" w:rsidRDefault="00AA6DD7" w:rsidP="00213533">
            <w:pPr>
              <w:pStyle w:val="Default"/>
              <w:jc w:val="both"/>
              <w:rPr>
                <w:rFonts w:ascii="Garamond" w:eastAsia="Calibri" w:hAnsi="Garamond"/>
                <w:b/>
                <w:sz w:val="16"/>
                <w:szCs w:val="16"/>
                <w:lang w:eastAsia="en-US"/>
              </w:rPr>
            </w:pPr>
          </w:p>
        </w:tc>
      </w:tr>
      <w:tr w:rsidR="00AA6DD7" w:rsidRPr="000E17CE" w:rsidTr="00213533">
        <w:trPr>
          <w:gridAfter w:val="1"/>
          <w:wAfter w:w="19" w:type="dxa"/>
          <w:jc w:val="center"/>
        </w:trPr>
        <w:tc>
          <w:tcPr>
            <w:tcW w:w="2721" w:type="dxa"/>
            <w:vAlign w:val="center"/>
          </w:tcPr>
          <w:p w:rsidR="00AA6DD7" w:rsidRPr="000E17CE" w:rsidRDefault="00AA6DD7" w:rsidP="006225A7">
            <w:pPr>
              <w:rPr>
                <w:rFonts w:ascii="Garamond" w:eastAsia="Calibri" w:hAnsi="Garamond"/>
                <w:b/>
                <w:caps/>
                <w:sz w:val="16"/>
                <w:szCs w:val="16"/>
                <w:lang w:val="en-GB" w:eastAsia="en-US" w:bidi="ar-SA"/>
              </w:rPr>
            </w:pPr>
            <w:r w:rsidRPr="000E17CE">
              <w:rPr>
                <w:rFonts w:ascii="Garamond" w:eastAsia="Calibri" w:hAnsi="Garamond"/>
                <w:b/>
                <w:caps/>
                <w:sz w:val="16"/>
                <w:szCs w:val="16"/>
                <w:lang w:val="en-GB" w:eastAsia="en-US" w:bidi="ar-SA"/>
              </w:rPr>
              <w:t>corresponding objective or activity</w:t>
            </w:r>
          </w:p>
        </w:tc>
        <w:tc>
          <w:tcPr>
            <w:tcW w:w="6836" w:type="dxa"/>
            <w:gridSpan w:val="4"/>
            <w:vAlign w:val="center"/>
          </w:tcPr>
          <w:p w:rsidR="00AA6DD7" w:rsidRPr="000E17CE" w:rsidRDefault="00AA6DD7" w:rsidP="006225A7">
            <w:pPr>
              <w:rPr>
                <w:rFonts w:ascii="Garamond" w:hAnsi="Garamond"/>
                <w:color w:val="365F91" w:themeColor="accent1" w:themeShade="BF"/>
                <w:sz w:val="16"/>
                <w:szCs w:val="16"/>
              </w:rPr>
            </w:pPr>
            <w:r w:rsidRPr="000E17CE">
              <w:rPr>
                <w:rFonts w:ascii="Garamond" w:hAnsi="Garamond"/>
                <w:color w:val="365F91" w:themeColor="accent1" w:themeShade="BF"/>
                <w:sz w:val="16"/>
                <w:szCs w:val="16"/>
              </w:rPr>
              <w:t>Public Internal Financial Control Development</w:t>
            </w:r>
          </w:p>
          <w:p w:rsidR="00AA6DD7" w:rsidRPr="000E17CE" w:rsidRDefault="00AA6DD7" w:rsidP="006225A7">
            <w:pPr>
              <w:pStyle w:val="ListParagraph"/>
              <w:numPr>
                <w:ilvl w:val="0"/>
                <w:numId w:val="28"/>
              </w:numPr>
              <w:rPr>
                <w:rFonts w:ascii="Garamond" w:hAnsi="Garamond"/>
                <w:color w:val="365F91" w:themeColor="accent1" w:themeShade="BF"/>
                <w:sz w:val="16"/>
                <w:szCs w:val="16"/>
              </w:rPr>
            </w:pPr>
            <w:r w:rsidRPr="000E17CE">
              <w:rPr>
                <w:rFonts w:ascii="Garamond" w:hAnsi="Garamond"/>
                <w:color w:val="365F91" w:themeColor="accent1" w:themeShade="BF"/>
                <w:sz w:val="16"/>
                <w:szCs w:val="16"/>
              </w:rPr>
              <w:t>Transition from the cash-based to the accrual accounting and financial reporting</w:t>
            </w:r>
          </w:p>
          <w:p w:rsidR="00AA6DD7" w:rsidRPr="000E17CE" w:rsidRDefault="00AA6DD7" w:rsidP="006225A7">
            <w:pPr>
              <w:rPr>
                <w:rFonts w:ascii="Garamond" w:hAnsi="Garamond"/>
                <w:sz w:val="16"/>
                <w:szCs w:val="16"/>
              </w:rPr>
            </w:pPr>
          </w:p>
          <w:p w:rsidR="00AA6DD7" w:rsidRPr="000E17CE" w:rsidRDefault="00AA6DD7" w:rsidP="006225A7">
            <w:pPr>
              <w:rPr>
                <w:rFonts w:ascii="Garamond" w:hAnsi="Garamond"/>
                <w:sz w:val="16"/>
                <w:szCs w:val="16"/>
              </w:rPr>
            </w:pPr>
            <w:r w:rsidRPr="000E17CE">
              <w:rPr>
                <w:rFonts w:ascii="Garamond" w:hAnsi="Garamond"/>
                <w:sz w:val="16"/>
                <w:szCs w:val="16"/>
              </w:rPr>
              <w:t>Improve the quality of the public finance management and reporting by introducing the main preconditions for key elements of accrual-based accounting</w:t>
            </w:r>
          </w:p>
        </w:tc>
      </w:tr>
      <w:tr w:rsidR="00AA6DD7" w:rsidRPr="000E17CE" w:rsidTr="00213533">
        <w:trPr>
          <w:gridAfter w:val="1"/>
          <w:wAfter w:w="19" w:type="dxa"/>
          <w:jc w:val="center"/>
        </w:trPr>
        <w:tc>
          <w:tcPr>
            <w:tcW w:w="2721" w:type="dxa"/>
            <w:vAlign w:val="center"/>
          </w:tcPr>
          <w:p w:rsidR="00AA6DD7" w:rsidRPr="000E17CE" w:rsidRDefault="00AA6DD7"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AA6DD7" w:rsidRPr="000E17CE" w:rsidRDefault="00AA6DD7" w:rsidP="00213533">
            <w:pPr>
              <w:jc w:val="both"/>
              <w:rPr>
                <w:rFonts w:ascii="Garamond" w:eastAsia="Calibri" w:hAnsi="Garamond"/>
                <w:sz w:val="16"/>
                <w:szCs w:val="16"/>
                <w:lang w:eastAsia="en-US" w:bidi="ar-SA"/>
              </w:rPr>
            </w:pPr>
            <w:r w:rsidRPr="000E17CE">
              <w:rPr>
                <w:rFonts w:ascii="Garamond" w:eastAsia="Calibri" w:hAnsi="Garamond"/>
                <w:sz w:val="16"/>
                <w:szCs w:val="16"/>
                <w:lang w:val="uz-Cyrl-UZ" w:eastAsia="en-US" w:bidi="ar-SA"/>
              </w:rPr>
              <w:t>Cadastre and State Property Administration and Assets Register System (ARS)</w:t>
            </w:r>
          </w:p>
        </w:tc>
      </w:tr>
      <w:tr w:rsidR="00AA6DD7" w:rsidRPr="000E17CE" w:rsidTr="00213533">
        <w:trPr>
          <w:gridAfter w:val="1"/>
          <w:wAfter w:w="19" w:type="dxa"/>
          <w:jc w:val="center"/>
        </w:trPr>
        <w:tc>
          <w:tcPr>
            <w:tcW w:w="2721" w:type="dxa"/>
            <w:vAlign w:val="center"/>
          </w:tcPr>
          <w:p w:rsidR="00AA6DD7" w:rsidRPr="000E17CE" w:rsidRDefault="00AA6DD7"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NAME OF DATA COLLECTION HOLDER</w:t>
            </w:r>
          </w:p>
        </w:tc>
        <w:tc>
          <w:tcPr>
            <w:tcW w:w="6836" w:type="dxa"/>
            <w:gridSpan w:val="4"/>
            <w:vAlign w:val="center"/>
          </w:tcPr>
          <w:p w:rsidR="009A2B63" w:rsidRPr="000E17CE" w:rsidRDefault="009A2B63" w:rsidP="009A2B63">
            <w:pPr>
              <w:rPr>
                <w:rFonts w:ascii="Garamond" w:hAnsi="Garamond"/>
                <w:sz w:val="16"/>
                <w:szCs w:val="16"/>
              </w:rPr>
            </w:pPr>
            <w:r w:rsidRPr="000E17CE">
              <w:rPr>
                <w:rFonts w:ascii="Garamond" w:hAnsi="Garamond"/>
                <w:sz w:val="16"/>
                <w:szCs w:val="16"/>
              </w:rPr>
              <w:t>Cadastre and State Property Administration</w:t>
            </w:r>
          </w:p>
          <w:p w:rsidR="009A2B63" w:rsidRPr="000E17CE" w:rsidRDefault="009A2B63" w:rsidP="009A2B63">
            <w:pPr>
              <w:rPr>
                <w:rFonts w:ascii="Garamond" w:hAnsi="Garamond"/>
                <w:sz w:val="16"/>
                <w:szCs w:val="16"/>
              </w:rPr>
            </w:pPr>
            <w:r w:rsidRPr="000E17CE">
              <w:rPr>
                <w:rFonts w:ascii="Garamond" w:hAnsi="Garamond"/>
                <w:sz w:val="16"/>
                <w:szCs w:val="16"/>
              </w:rPr>
              <w:t>Email: https://kdi.gov.me/uprava</w:t>
            </w:r>
          </w:p>
          <w:p w:rsidR="00AA6DD7" w:rsidRPr="000E17CE" w:rsidRDefault="009A2B63" w:rsidP="009A2B63">
            <w:pPr>
              <w:rPr>
                <w:rFonts w:ascii="Garamond" w:eastAsia="Calibri" w:hAnsi="Garamond"/>
                <w:sz w:val="16"/>
                <w:szCs w:val="16"/>
                <w:lang w:eastAsia="en-US" w:bidi="ar-SA"/>
              </w:rPr>
            </w:pPr>
            <w:r w:rsidRPr="000E17CE">
              <w:rPr>
                <w:rFonts w:ascii="Garamond" w:hAnsi="Garamond"/>
                <w:sz w:val="16"/>
                <w:szCs w:val="16"/>
              </w:rPr>
              <w:t>Phone: +382 20 444-013</w:t>
            </w:r>
          </w:p>
        </w:tc>
      </w:tr>
      <w:tr w:rsidR="00AA6DD7" w:rsidRPr="000E17CE" w:rsidTr="00213533">
        <w:trPr>
          <w:gridAfter w:val="1"/>
          <w:wAfter w:w="19" w:type="dxa"/>
          <w:jc w:val="center"/>
        </w:trPr>
        <w:tc>
          <w:tcPr>
            <w:tcW w:w="2721" w:type="dxa"/>
            <w:vAlign w:val="center"/>
          </w:tcPr>
          <w:p w:rsidR="00AA6DD7" w:rsidRPr="000E17CE" w:rsidRDefault="00AA6DD7"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FREQUENCY OF DATA PUBLICATION</w:t>
            </w:r>
          </w:p>
        </w:tc>
        <w:tc>
          <w:tcPr>
            <w:tcW w:w="6836" w:type="dxa"/>
            <w:gridSpan w:val="4"/>
            <w:vAlign w:val="center"/>
          </w:tcPr>
          <w:p w:rsidR="009A2B63" w:rsidRPr="000E17CE" w:rsidRDefault="008717C8" w:rsidP="009A2B63">
            <w:pPr>
              <w:rPr>
                <w:rFonts w:ascii="Garamond" w:eastAsia="Calibri" w:hAnsi="Garamond"/>
                <w:sz w:val="16"/>
                <w:szCs w:val="16"/>
                <w:lang w:eastAsia="en-US" w:bidi="ar-SA"/>
              </w:rPr>
            </w:pPr>
            <w:r w:rsidRPr="000E17CE">
              <w:rPr>
                <w:rFonts w:ascii="Garamond" w:eastAsia="Calibri" w:hAnsi="Garamond"/>
                <w:sz w:val="16"/>
                <w:szCs w:val="16"/>
                <w:lang w:eastAsia="en-US" w:bidi="ar-SA"/>
              </w:rPr>
              <w:t xml:space="preserve">Daily - </w:t>
            </w:r>
            <w:r w:rsidR="009A2B63" w:rsidRPr="000E17CE">
              <w:rPr>
                <w:rFonts w:ascii="Garamond" w:eastAsia="Calibri" w:hAnsi="Garamond"/>
                <w:sz w:val="16"/>
                <w:szCs w:val="16"/>
                <w:lang w:eastAsia="en-US" w:bidi="ar-SA"/>
              </w:rPr>
              <w:t>real-time data entry</w:t>
            </w:r>
          </w:p>
          <w:p w:rsidR="00AA6DD7" w:rsidRPr="000E17CE" w:rsidRDefault="009A2B63" w:rsidP="000E17CE">
            <w:pPr>
              <w:rPr>
                <w:rFonts w:ascii="Garamond" w:eastAsia="Calibri" w:hAnsi="Garamond"/>
                <w:sz w:val="16"/>
                <w:szCs w:val="16"/>
                <w:lang w:eastAsia="en-US" w:bidi="ar-SA"/>
              </w:rPr>
            </w:pPr>
            <w:r w:rsidRPr="000E17CE">
              <w:rPr>
                <w:rFonts w:ascii="Garamond" w:eastAsia="Calibri" w:hAnsi="Garamond"/>
                <w:sz w:val="16"/>
                <w:szCs w:val="16"/>
                <w:lang w:eastAsia="en-US" w:bidi="ar-SA"/>
              </w:rPr>
              <w:t xml:space="preserve">(when procuring </w:t>
            </w:r>
            <w:r w:rsidR="000E17CE" w:rsidRPr="000E17CE">
              <w:rPr>
                <w:rFonts w:ascii="Garamond" w:eastAsia="Calibri" w:hAnsi="Garamond"/>
                <w:sz w:val="16"/>
                <w:szCs w:val="16"/>
                <w:lang w:eastAsia="en-US" w:bidi="ar-SA"/>
              </w:rPr>
              <w:t>assets</w:t>
            </w:r>
            <w:r w:rsidRPr="000E17CE">
              <w:rPr>
                <w:rFonts w:ascii="Garamond" w:eastAsia="Calibri" w:hAnsi="Garamond"/>
                <w:sz w:val="16"/>
                <w:szCs w:val="16"/>
                <w:lang w:eastAsia="en-US" w:bidi="ar-SA"/>
              </w:rPr>
              <w:t>)</w:t>
            </w:r>
          </w:p>
        </w:tc>
      </w:tr>
      <w:tr w:rsidR="00AA6DD7" w:rsidRPr="000E17CE" w:rsidTr="00213533">
        <w:trPr>
          <w:gridAfter w:val="1"/>
          <w:wAfter w:w="19" w:type="dxa"/>
          <w:trHeight w:val="458"/>
          <w:jc w:val="center"/>
        </w:trPr>
        <w:tc>
          <w:tcPr>
            <w:tcW w:w="2721" w:type="dxa"/>
            <w:vMerge w:val="restart"/>
            <w:vAlign w:val="center"/>
          </w:tcPr>
          <w:p w:rsidR="00AA6DD7" w:rsidRPr="000E17CE" w:rsidRDefault="00AA6DD7" w:rsidP="00213533">
            <w:pPr>
              <w:autoSpaceDE/>
              <w:autoSpaceDN/>
              <w:rPr>
                <w:rFonts w:ascii="Garamond" w:eastAsia="Calibri" w:hAnsi="Garamond"/>
                <w:b/>
                <w:caps/>
                <w:sz w:val="16"/>
                <w:szCs w:val="16"/>
                <w:lang w:val="uz-Cyrl-UZ" w:eastAsia="en-US" w:bidi="ar-SA"/>
              </w:rPr>
            </w:pPr>
            <w:r w:rsidRPr="000E17CE">
              <w:rPr>
                <w:rFonts w:ascii="Garamond" w:eastAsia="Calibri" w:hAnsi="Garamond"/>
                <w:b/>
                <w:caps/>
                <w:sz w:val="16"/>
                <w:szCs w:val="16"/>
                <w:lang w:val="uz-Cyrl-UZ" w:eastAsia="en-US" w:bidi="ar-SA"/>
              </w:rPr>
              <w:t xml:space="preserve">BRIEF DESCRIPTION </w:t>
            </w:r>
            <w:r w:rsidRPr="000E17CE">
              <w:rPr>
                <w:rFonts w:ascii="Garamond" w:eastAsia="Calibri" w:hAnsi="Garamond"/>
                <w:b/>
                <w:caps/>
                <w:sz w:val="16"/>
                <w:szCs w:val="16"/>
                <w:lang w:val="en-GB" w:eastAsia="en-US" w:bidi="ar-SA"/>
              </w:rPr>
              <w:t xml:space="preserve">OF </w:t>
            </w:r>
            <w:r w:rsidRPr="000E17CE">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9A2B63" w:rsidRPr="000E17CE" w:rsidRDefault="009A2B63" w:rsidP="009A2B63">
            <w:pPr>
              <w:jc w:val="both"/>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 xml:space="preserve">The Property Administration </w:t>
            </w:r>
            <w:r w:rsidRPr="000E17CE">
              <w:rPr>
                <w:rFonts w:ascii="Garamond" w:eastAsia="Calibri" w:hAnsi="Garamond"/>
                <w:sz w:val="16"/>
                <w:szCs w:val="16"/>
                <w:lang w:val="en-GB" w:eastAsia="en-US" w:bidi="ar-SA"/>
              </w:rPr>
              <w:t>in</w:t>
            </w:r>
            <w:r w:rsidRPr="000E17CE">
              <w:rPr>
                <w:rFonts w:ascii="Garamond" w:eastAsia="Calibri" w:hAnsi="Garamond"/>
                <w:sz w:val="16"/>
                <w:szCs w:val="16"/>
                <w:lang w:val="uz-Cyrl-UZ" w:eastAsia="en-US" w:bidi="ar-SA"/>
              </w:rPr>
              <w:t xml:space="preserve"> 2016-2017 developed a software and </w:t>
            </w:r>
            <w:r w:rsidR="00D2080A">
              <w:rPr>
                <w:rFonts w:ascii="Garamond" w:eastAsia="Calibri" w:hAnsi="Garamond"/>
                <w:sz w:val="16"/>
                <w:szCs w:val="16"/>
                <w:lang w:val="uz-Cyrl-UZ" w:eastAsia="en-US" w:bidi="ar-SA"/>
              </w:rPr>
              <w:t>organised</w:t>
            </w:r>
            <w:r w:rsidRPr="000E17CE">
              <w:rPr>
                <w:rFonts w:ascii="Garamond" w:eastAsia="Calibri" w:hAnsi="Garamond"/>
                <w:sz w:val="16"/>
                <w:szCs w:val="16"/>
                <w:lang w:val="uz-Cyrl-UZ" w:eastAsia="en-US" w:bidi="ar-SA"/>
              </w:rPr>
              <w:t xml:space="preserve"> training for direct budget users. Users were obliged to submit the status of the property through Excel spreadsheets (templates) that were adapted to the AR</w:t>
            </w:r>
            <w:r w:rsidRPr="000E17CE">
              <w:rPr>
                <w:rFonts w:ascii="Garamond" w:eastAsia="Calibri" w:hAnsi="Garamond"/>
                <w:sz w:val="16"/>
                <w:szCs w:val="16"/>
                <w:lang w:val="en-GB" w:eastAsia="en-US" w:bidi="ar-SA"/>
              </w:rPr>
              <w:t>S</w:t>
            </w:r>
            <w:r w:rsidRPr="000E17CE">
              <w:rPr>
                <w:rFonts w:ascii="Garamond" w:eastAsia="Calibri" w:hAnsi="Garamond"/>
                <w:sz w:val="16"/>
                <w:szCs w:val="16"/>
                <w:lang w:val="uz-Cyrl-UZ" w:eastAsia="en-US" w:bidi="ar-SA"/>
              </w:rPr>
              <w:t xml:space="preserve"> application in order to migrate them to the records.</w:t>
            </w:r>
          </w:p>
          <w:p w:rsidR="009A2B63" w:rsidRPr="000E17CE" w:rsidRDefault="009A2B63" w:rsidP="009A2B63">
            <w:pPr>
              <w:jc w:val="both"/>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 xml:space="preserve">After the migration, the users are obliged to record the </w:t>
            </w:r>
            <w:r w:rsidR="000E17CE">
              <w:rPr>
                <w:rFonts w:ascii="Garamond" w:eastAsia="Calibri" w:hAnsi="Garamond"/>
                <w:sz w:val="16"/>
                <w:szCs w:val="16"/>
                <w:lang w:eastAsia="en-US" w:bidi="ar-SA"/>
              </w:rPr>
              <w:t>assets</w:t>
            </w:r>
            <w:r w:rsidRPr="000E17CE">
              <w:rPr>
                <w:rFonts w:ascii="Garamond" w:eastAsia="Calibri" w:hAnsi="Garamond"/>
                <w:sz w:val="16"/>
                <w:szCs w:val="16"/>
                <w:lang w:val="uz-Cyrl-UZ" w:eastAsia="en-US" w:bidi="ar-SA"/>
              </w:rPr>
              <w:t xml:space="preserve"> in the AR</w:t>
            </w:r>
            <w:r w:rsidRPr="000E17CE">
              <w:rPr>
                <w:rFonts w:ascii="Garamond" w:eastAsia="Calibri" w:hAnsi="Garamond"/>
                <w:sz w:val="16"/>
                <w:szCs w:val="16"/>
                <w:lang w:val="en-GB" w:eastAsia="en-US" w:bidi="ar-SA"/>
              </w:rPr>
              <w:t>S</w:t>
            </w:r>
            <w:r w:rsidRPr="000E17CE">
              <w:rPr>
                <w:rFonts w:ascii="Garamond" w:eastAsia="Calibri" w:hAnsi="Garamond"/>
                <w:sz w:val="16"/>
                <w:szCs w:val="16"/>
                <w:lang w:val="uz-Cyrl-UZ" w:eastAsia="en-US" w:bidi="ar-SA"/>
              </w:rPr>
              <w:t xml:space="preserve"> (application for access to records) when p</w:t>
            </w:r>
            <w:r w:rsidRPr="000E17CE">
              <w:rPr>
                <w:rFonts w:ascii="Garamond" w:eastAsia="Calibri" w:hAnsi="Garamond"/>
                <w:sz w:val="16"/>
                <w:szCs w:val="16"/>
                <w:lang w:val="en-GB" w:eastAsia="en-US" w:bidi="ar-SA"/>
              </w:rPr>
              <w:t>rocuring</w:t>
            </w:r>
            <w:r w:rsidRPr="000E17CE">
              <w:rPr>
                <w:rFonts w:ascii="Garamond" w:eastAsia="Calibri" w:hAnsi="Garamond"/>
                <w:sz w:val="16"/>
                <w:szCs w:val="16"/>
                <w:lang w:val="uz-Cyrl-UZ" w:eastAsia="en-US" w:bidi="ar-SA"/>
              </w:rPr>
              <w:t>.</w:t>
            </w:r>
          </w:p>
          <w:p w:rsidR="00AA6DD7" w:rsidRPr="000E17CE" w:rsidRDefault="009A2B63" w:rsidP="009A2B63">
            <w:pPr>
              <w:jc w:val="both"/>
              <w:rPr>
                <w:rFonts w:ascii="Garamond" w:eastAsia="Calibri" w:hAnsi="Garamond"/>
                <w:sz w:val="16"/>
                <w:szCs w:val="16"/>
                <w:u w:val="single"/>
                <w:lang w:val="uz-Cyrl-UZ" w:eastAsia="en-US" w:bidi="ar-SA"/>
              </w:rPr>
            </w:pPr>
            <w:r w:rsidRPr="000E17CE">
              <w:rPr>
                <w:rFonts w:ascii="Garamond" w:eastAsia="Calibri" w:hAnsi="Garamond"/>
                <w:sz w:val="16"/>
                <w:szCs w:val="16"/>
                <w:lang w:val="en-GB" w:eastAsia="en-US" w:bidi="ar-SA"/>
              </w:rPr>
              <w:t>PD</w:t>
            </w:r>
            <w:r w:rsidRPr="000E17CE">
              <w:rPr>
                <w:rFonts w:ascii="Garamond" w:eastAsia="Calibri" w:hAnsi="Garamond"/>
                <w:sz w:val="16"/>
                <w:szCs w:val="16"/>
                <w:lang w:val="uz-Cyrl-UZ" w:eastAsia="en-US" w:bidi="ar-SA"/>
              </w:rPr>
              <w:t xml:space="preserve"> data on the number of participants who attended the training and submitted the condition of the property in their ownership 195.66.166.90</w:t>
            </w:r>
          </w:p>
        </w:tc>
      </w:tr>
      <w:tr w:rsidR="00AA6DD7" w:rsidRPr="000E17CE" w:rsidTr="00213533">
        <w:trPr>
          <w:gridAfter w:val="1"/>
          <w:wAfter w:w="19" w:type="dxa"/>
          <w:trHeight w:val="620"/>
          <w:jc w:val="center"/>
        </w:trPr>
        <w:tc>
          <w:tcPr>
            <w:tcW w:w="2721" w:type="dxa"/>
            <w:vMerge/>
            <w:shd w:val="clear" w:color="auto" w:fill="auto"/>
            <w:vAlign w:val="center"/>
          </w:tcPr>
          <w:p w:rsidR="00AA6DD7" w:rsidRPr="000E17CE" w:rsidRDefault="00AA6DD7" w:rsidP="00213533">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AA6DD7" w:rsidRPr="000E17CE" w:rsidRDefault="00AA6DD7" w:rsidP="00213533">
            <w:pPr>
              <w:jc w:val="center"/>
              <w:rPr>
                <w:rFonts w:ascii="Garamond" w:hAnsi="Garamond"/>
                <w:color w:val="365F91" w:themeColor="accent1" w:themeShade="BF"/>
                <w:sz w:val="16"/>
                <w:szCs w:val="16"/>
                <w:lang w:val="uz-Cyrl-UZ"/>
              </w:rPr>
            </w:pPr>
            <w:r w:rsidRPr="000E17CE">
              <w:rPr>
                <w:rFonts w:ascii="Garamond" w:hAnsi="Garamond"/>
                <w:color w:val="365F91" w:themeColor="accent1" w:themeShade="BF"/>
                <w:sz w:val="16"/>
                <w:szCs w:val="16"/>
                <w:lang w:val="uz-Cyrl-UZ"/>
              </w:rPr>
              <w:t>FORMULA / EQUATION</w:t>
            </w:r>
          </w:p>
          <w:p w:rsidR="00AA6DD7" w:rsidRPr="000E17CE" w:rsidRDefault="00AA6DD7" w:rsidP="00213533">
            <w:pPr>
              <w:jc w:val="center"/>
              <w:rPr>
                <w:rFonts w:ascii="Garamond" w:eastAsia="Calibri" w:hAnsi="Garamond"/>
                <w:sz w:val="16"/>
                <w:szCs w:val="16"/>
                <w:lang w:val="en-GB" w:eastAsia="en-US" w:bidi="ar-SA"/>
              </w:rPr>
            </w:pPr>
          </w:p>
        </w:tc>
      </w:tr>
      <w:tr w:rsidR="00AA6DD7" w:rsidRPr="000E17CE" w:rsidTr="00213533">
        <w:trPr>
          <w:gridAfter w:val="1"/>
          <w:wAfter w:w="19" w:type="dxa"/>
          <w:trHeight w:val="585"/>
          <w:jc w:val="center"/>
        </w:trPr>
        <w:tc>
          <w:tcPr>
            <w:tcW w:w="2721" w:type="dxa"/>
            <w:vAlign w:val="center"/>
          </w:tcPr>
          <w:p w:rsidR="00AA6DD7" w:rsidRPr="000E17CE" w:rsidRDefault="00AA6DD7" w:rsidP="00213533">
            <w:pPr>
              <w:autoSpaceDE/>
              <w:autoSpaceDN/>
              <w:rPr>
                <w:rFonts w:ascii="Garamond" w:eastAsia="Calibri" w:hAnsi="Garamond"/>
                <w:b/>
                <w:bCs/>
                <w:caps/>
                <w:sz w:val="16"/>
                <w:szCs w:val="16"/>
                <w:lang w:val="en-GB" w:eastAsia="en-US" w:bidi="ar-SA"/>
              </w:rPr>
            </w:pPr>
            <w:r w:rsidRPr="000E17CE">
              <w:rPr>
                <w:rFonts w:ascii="Garamond" w:eastAsia="Calibri" w:hAnsi="Garamond"/>
                <w:b/>
                <w:caps/>
                <w:sz w:val="16"/>
                <w:szCs w:val="16"/>
                <w:lang w:val="uz-Cyrl-UZ" w:eastAsia="en-US" w:bidi="ar-SA"/>
              </w:rPr>
              <w:t>BASELINE</w:t>
            </w:r>
            <w:r w:rsidRPr="000E17CE">
              <w:rPr>
                <w:rFonts w:ascii="Garamond" w:eastAsia="Calibri" w:hAnsi="Garamond"/>
                <w:b/>
                <w:caps/>
                <w:sz w:val="16"/>
                <w:szCs w:val="16"/>
                <w:lang w:val="en-GB" w:eastAsia="en-US" w:bidi="ar-SA"/>
              </w:rPr>
              <w:t xml:space="preserve"> DATA</w:t>
            </w:r>
          </w:p>
        </w:tc>
        <w:tc>
          <w:tcPr>
            <w:tcW w:w="6836" w:type="dxa"/>
            <w:gridSpan w:val="4"/>
            <w:vAlign w:val="center"/>
          </w:tcPr>
          <w:p w:rsidR="00AA6DD7" w:rsidRPr="000E17CE" w:rsidRDefault="00AA6DD7" w:rsidP="00213533">
            <w:pPr>
              <w:pStyle w:val="TabelaTekst"/>
              <w:rPr>
                <w:rFonts w:ascii="Garamond" w:hAnsi="Garamond"/>
                <w:sz w:val="16"/>
                <w:szCs w:val="16"/>
                <w:lang w:val="en-GB"/>
              </w:rPr>
            </w:pPr>
            <w:r w:rsidRPr="000E17CE">
              <w:rPr>
                <w:rFonts w:ascii="Garamond" w:hAnsi="Garamond"/>
                <w:sz w:val="16"/>
                <w:szCs w:val="16"/>
              </w:rPr>
              <w:t>PV (2014</w:t>
            </w:r>
            <w:r w:rsidRPr="000E17CE">
              <w:rPr>
                <w:rFonts w:ascii="Garamond" w:hAnsi="Garamond"/>
                <w:sz w:val="16"/>
                <w:szCs w:val="16"/>
                <w:lang w:val="en-GB"/>
              </w:rPr>
              <w:t xml:space="preserve">): </w:t>
            </w:r>
            <w:r w:rsidR="009A2B63" w:rsidRPr="000E17CE">
              <w:rPr>
                <w:rFonts w:ascii="Garamond" w:hAnsi="Garamond"/>
                <w:sz w:val="16"/>
                <w:szCs w:val="16"/>
                <w:lang w:val="en-GB"/>
              </w:rPr>
              <w:t>The development of the property register has begun</w:t>
            </w:r>
          </w:p>
        </w:tc>
      </w:tr>
      <w:tr w:rsidR="00AA6DD7" w:rsidRPr="000E17CE" w:rsidTr="00213533">
        <w:trPr>
          <w:gridAfter w:val="1"/>
          <w:wAfter w:w="19" w:type="dxa"/>
          <w:trHeight w:val="160"/>
          <w:jc w:val="center"/>
        </w:trPr>
        <w:tc>
          <w:tcPr>
            <w:tcW w:w="2721" w:type="dxa"/>
            <w:vMerge w:val="restart"/>
            <w:vAlign w:val="center"/>
          </w:tcPr>
          <w:p w:rsidR="00AA6DD7" w:rsidRPr="000E17CE" w:rsidRDefault="00AA6DD7" w:rsidP="00213533">
            <w:pPr>
              <w:autoSpaceDE/>
              <w:autoSpaceDN/>
              <w:rPr>
                <w:rFonts w:ascii="Garamond" w:eastAsia="Calibri" w:hAnsi="Garamond"/>
                <w:b/>
                <w:bCs/>
                <w:caps/>
                <w:sz w:val="16"/>
                <w:szCs w:val="16"/>
                <w:lang w:val="uz-Cyrl-UZ" w:eastAsia="en-US" w:bidi="ar-SA"/>
              </w:rPr>
            </w:pPr>
            <w:r w:rsidRPr="000E17CE">
              <w:rPr>
                <w:rFonts w:ascii="Garamond" w:eastAsia="Calibri" w:hAnsi="Garamond"/>
                <w:b/>
                <w:caps/>
                <w:sz w:val="16"/>
                <w:szCs w:val="16"/>
                <w:lang w:val="uz-Cyrl-UZ" w:eastAsia="en-US" w:bidi="ar-SA"/>
              </w:rPr>
              <w:t>TARGET VALUE DATA</w:t>
            </w:r>
          </w:p>
        </w:tc>
        <w:tc>
          <w:tcPr>
            <w:tcW w:w="1771" w:type="dxa"/>
            <w:vAlign w:val="center"/>
          </w:tcPr>
          <w:p w:rsidR="00AA6DD7" w:rsidRPr="000E17CE" w:rsidRDefault="00AA6DD7"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2017</w:t>
            </w:r>
          </w:p>
        </w:tc>
        <w:tc>
          <w:tcPr>
            <w:tcW w:w="1771" w:type="dxa"/>
            <w:vAlign w:val="center"/>
          </w:tcPr>
          <w:p w:rsidR="00AA6DD7" w:rsidRPr="000E17CE" w:rsidRDefault="00AA6DD7"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2018</w:t>
            </w:r>
          </w:p>
        </w:tc>
        <w:tc>
          <w:tcPr>
            <w:tcW w:w="1771" w:type="dxa"/>
            <w:vAlign w:val="center"/>
          </w:tcPr>
          <w:p w:rsidR="00AA6DD7" w:rsidRPr="000E17CE" w:rsidRDefault="00AA6DD7"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2019</w:t>
            </w:r>
          </w:p>
        </w:tc>
        <w:tc>
          <w:tcPr>
            <w:tcW w:w="1523" w:type="dxa"/>
            <w:vAlign w:val="center"/>
          </w:tcPr>
          <w:p w:rsidR="00AA6DD7" w:rsidRPr="000E17CE" w:rsidRDefault="00AA6DD7" w:rsidP="00213533">
            <w:pPr>
              <w:autoSpaceDE/>
              <w:autoSpaceDN/>
              <w:jc w:val="center"/>
              <w:rPr>
                <w:rFonts w:ascii="Garamond" w:eastAsia="Calibri" w:hAnsi="Garamond"/>
                <w:sz w:val="16"/>
                <w:szCs w:val="16"/>
                <w:lang w:val="uz-Cyrl-UZ" w:eastAsia="en-US" w:bidi="ar-SA"/>
              </w:rPr>
            </w:pPr>
            <w:r w:rsidRPr="000E17CE">
              <w:rPr>
                <w:rFonts w:ascii="Garamond" w:eastAsia="Calibri" w:hAnsi="Garamond"/>
                <w:sz w:val="16"/>
                <w:szCs w:val="16"/>
                <w:lang w:val="uz-Cyrl-UZ" w:eastAsia="en-US" w:bidi="ar-SA"/>
              </w:rPr>
              <w:t>2020</w:t>
            </w:r>
          </w:p>
        </w:tc>
      </w:tr>
      <w:tr w:rsidR="00AA6DD7" w:rsidRPr="000E17CE" w:rsidTr="00213533">
        <w:trPr>
          <w:gridAfter w:val="1"/>
          <w:wAfter w:w="19" w:type="dxa"/>
          <w:trHeight w:val="160"/>
          <w:jc w:val="center"/>
        </w:trPr>
        <w:tc>
          <w:tcPr>
            <w:tcW w:w="2721" w:type="dxa"/>
            <w:vMerge/>
            <w:vAlign w:val="center"/>
          </w:tcPr>
          <w:p w:rsidR="00AA6DD7" w:rsidRPr="000E17CE" w:rsidRDefault="00AA6DD7" w:rsidP="00213533">
            <w:pPr>
              <w:autoSpaceDE/>
              <w:autoSpaceDN/>
              <w:rPr>
                <w:rFonts w:ascii="Garamond" w:eastAsia="Calibri" w:hAnsi="Garamond"/>
                <w:b/>
                <w:bCs/>
                <w:caps/>
                <w:sz w:val="16"/>
                <w:szCs w:val="16"/>
                <w:lang w:val="uz-Cyrl-UZ" w:eastAsia="en-US" w:bidi="ar-SA"/>
              </w:rPr>
            </w:pPr>
          </w:p>
        </w:tc>
        <w:tc>
          <w:tcPr>
            <w:tcW w:w="1771" w:type="dxa"/>
            <w:vAlign w:val="center"/>
          </w:tcPr>
          <w:p w:rsidR="00AA6DD7" w:rsidRPr="000E17CE" w:rsidRDefault="009A2B63"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Enter</w:t>
            </w:r>
            <w:r w:rsidRPr="000E17CE">
              <w:rPr>
                <w:rFonts w:ascii="Garamond" w:hAnsi="Garamond"/>
                <w:sz w:val="16"/>
                <w:szCs w:val="16"/>
                <w:lang w:val="en-GB"/>
              </w:rPr>
              <w:t>ed</w:t>
            </w:r>
            <w:r w:rsidRPr="000E17CE">
              <w:rPr>
                <w:rFonts w:ascii="Garamond" w:hAnsi="Garamond"/>
                <w:sz w:val="16"/>
                <w:szCs w:val="16"/>
              </w:rPr>
              <w:t xml:space="preserve"> property data in the register</w:t>
            </w:r>
          </w:p>
        </w:tc>
        <w:tc>
          <w:tcPr>
            <w:tcW w:w="1771" w:type="dxa"/>
            <w:vAlign w:val="center"/>
          </w:tcPr>
          <w:p w:rsidR="009A2B63" w:rsidRPr="000E17CE" w:rsidRDefault="009A2B63" w:rsidP="009A2B63">
            <w:pPr>
              <w:pStyle w:val="TabelaTekst"/>
              <w:jc w:val="center"/>
              <w:rPr>
                <w:rFonts w:ascii="Garamond" w:hAnsi="Garamond"/>
                <w:sz w:val="16"/>
                <w:szCs w:val="16"/>
              </w:rPr>
            </w:pPr>
            <w:r w:rsidRPr="000E17CE">
              <w:rPr>
                <w:rFonts w:ascii="Garamond" w:hAnsi="Garamond"/>
                <w:sz w:val="16"/>
                <w:szCs w:val="16"/>
              </w:rPr>
              <w:t>Training</w:t>
            </w:r>
          </w:p>
          <w:p w:rsidR="00AA6DD7" w:rsidRPr="000E17CE" w:rsidRDefault="009A2B63" w:rsidP="009A2B63">
            <w:pPr>
              <w:pStyle w:val="TabelaTekst"/>
              <w:spacing w:before="0" w:after="0" w:line="240" w:lineRule="auto"/>
              <w:jc w:val="center"/>
              <w:rPr>
                <w:rFonts w:ascii="Garamond" w:hAnsi="Garamond"/>
                <w:sz w:val="16"/>
                <w:szCs w:val="16"/>
              </w:rPr>
            </w:pPr>
            <w:r w:rsidRPr="000E17CE">
              <w:rPr>
                <w:rFonts w:ascii="Garamond" w:hAnsi="Garamond"/>
                <w:sz w:val="16"/>
                <w:szCs w:val="16"/>
              </w:rPr>
              <w:t>(direct and indirect budget users) and collecting information on the condition of assets</w:t>
            </w:r>
          </w:p>
        </w:tc>
        <w:tc>
          <w:tcPr>
            <w:tcW w:w="1771" w:type="dxa"/>
            <w:vAlign w:val="center"/>
          </w:tcPr>
          <w:p w:rsidR="009A2B63" w:rsidRPr="000E17CE" w:rsidRDefault="009A2B63" w:rsidP="009A2B63">
            <w:pPr>
              <w:pStyle w:val="TabelaTekst"/>
              <w:jc w:val="center"/>
              <w:rPr>
                <w:rFonts w:ascii="Garamond" w:hAnsi="Garamond"/>
                <w:sz w:val="16"/>
                <w:szCs w:val="16"/>
              </w:rPr>
            </w:pPr>
            <w:r w:rsidRPr="000E17CE">
              <w:rPr>
                <w:rFonts w:ascii="Garamond" w:hAnsi="Garamond"/>
                <w:sz w:val="16"/>
                <w:szCs w:val="16"/>
              </w:rPr>
              <w:t>Training</w:t>
            </w:r>
          </w:p>
          <w:p w:rsidR="00AA6DD7" w:rsidRPr="000E17CE" w:rsidRDefault="009A2B63" w:rsidP="009A2B63">
            <w:pPr>
              <w:pStyle w:val="TabelaTekst"/>
              <w:spacing w:before="0" w:after="0" w:line="240" w:lineRule="auto"/>
              <w:jc w:val="center"/>
              <w:rPr>
                <w:rFonts w:ascii="Garamond" w:hAnsi="Garamond"/>
                <w:sz w:val="16"/>
                <w:szCs w:val="16"/>
              </w:rPr>
            </w:pPr>
            <w:r w:rsidRPr="000E17CE">
              <w:rPr>
                <w:rFonts w:ascii="Garamond" w:hAnsi="Garamond"/>
                <w:sz w:val="16"/>
                <w:szCs w:val="16"/>
              </w:rPr>
              <w:t xml:space="preserve">(indirect budget users) and migration of </w:t>
            </w:r>
            <w:r w:rsidRPr="000E17CE">
              <w:rPr>
                <w:rFonts w:ascii="Garamond" w:hAnsi="Garamond"/>
                <w:sz w:val="16"/>
                <w:szCs w:val="16"/>
                <w:lang w:val="en-GB"/>
              </w:rPr>
              <w:t>assets</w:t>
            </w:r>
            <w:r w:rsidRPr="000E17CE">
              <w:rPr>
                <w:rFonts w:ascii="Garamond" w:hAnsi="Garamond"/>
                <w:sz w:val="16"/>
                <w:szCs w:val="16"/>
              </w:rPr>
              <w:t xml:space="preserve"> to AR</w:t>
            </w:r>
            <w:r w:rsidRPr="000E17CE">
              <w:rPr>
                <w:rFonts w:ascii="Garamond" w:hAnsi="Garamond"/>
                <w:sz w:val="16"/>
                <w:szCs w:val="16"/>
                <w:lang w:val="en-GB"/>
              </w:rPr>
              <w:t>S</w:t>
            </w:r>
            <w:r w:rsidRPr="000E17CE">
              <w:rPr>
                <w:rFonts w:ascii="Garamond" w:hAnsi="Garamond"/>
                <w:sz w:val="16"/>
                <w:szCs w:val="16"/>
              </w:rPr>
              <w:t xml:space="preserve"> and commissioning of records</w:t>
            </w:r>
          </w:p>
        </w:tc>
        <w:tc>
          <w:tcPr>
            <w:tcW w:w="1523" w:type="dxa"/>
            <w:vAlign w:val="center"/>
          </w:tcPr>
          <w:p w:rsidR="00AA6DD7" w:rsidRPr="000E17CE" w:rsidRDefault="00EF2BBC" w:rsidP="00EF2BBC">
            <w:pPr>
              <w:pStyle w:val="TabelaTekst"/>
              <w:spacing w:before="0" w:after="0" w:line="240" w:lineRule="auto"/>
              <w:jc w:val="center"/>
              <w:rPr>
                <w:rFonts w:ascii="Garamond" w:hAnsi="Garamond"/>
                <w:sz w:val="16"/>
                <w:szCs w:val="16"/>
              </w:rPr>
            </w:pPr>
            <w:r w:rsidRPr="000E17CE">
              <w:rPr>
                <w:rFonts w:ascii="Garamond" w:hAnsi="Garamond"/>
                <w:sz w:val="16"/>
                <w:szCs w:val="16"/>
              </w:rPr>
              <w:t xml:space="preserve">Implemented asset register and double </w:t>
            </w:r>
            <w:r w:rsidRPr="000E17CE">
              <w:rPr>
                <w:rFonts w:ascii="Garamond" w:hAnsi="Garamond"/>
                <w:sz w:val="16"/>
                <w:szCs w:val="16"/>
                <w:lang w:val="en-GB"/>
              </w:rPr>
              <w:t>entry</w:t>
            </w:r>
            <w:r w:rsidRPr="000E17CE">
              <w:rPr>
                <w:rFonts w:ascii="Garamond" w:hAnsi="Garamond"/>
                <w:sz w:val="16"/>
                <w:szCs w:val="16"/>
              </w:rPr>
              <w:t xml:space="preserve"> accounting system</w:t>
            </w:r>
          </w:p>
        </w:tc>
      </w:tr>
      <w:tr w:rsidR="00AA6DD7" w:rsidRPr="000E17CE" w:rsidTr="00213533">
        <w:trPr>
          <w:gridAfter w:val="1"/>
          <w:wAfter w:w="19" w:type="dxa"/>
          <w:trHeight w:val="160"/>
          <w:jc w:val="center"/>
        </w:trPr>
        <w:tc>
          <w:tcPr>
            <w:tcW w:w="2721" w:type="dxa"/>
            <w:vAlign w:val="center"/>
          </w:tcPr>
          <w:p w:rsidR="00AA6DD7" w:rsidRPr="000E17CE" w:rsidRDefault="0062456A" w:rsidP="00213533">
            <w:pPr>
              <w:autoSpaceDE/>
              <w:autoSpaceDN/>
              <w:rPr>
                <w:rFonts w:ascii="Garamond" w:eastAsia="Calibri" w:hAnsi="Garamond"/>
                <w:b/>
                <w:bCs/>
                <w:caps/>
                <w:sz w:val="16"/>
                <w:szCs w:val="16"/>
                <w:lang w:val="uz-Cyrl-UZ" w:eastAsia="en-US" w:bidi="ar-SA"/>
              </w:rPr>
            </w:pPr>
            <w:r w:rsidRPr="000E17CE">
              <w:rPr>
                <w:rFonts w:ascii="Garamond" w:eastAsia="Calibri" w:hAnsi="Garamond"/>
                <w:b/>
                <w:bCs/>
                <w:caps/>
                <w:sz w:val="16"/>
                <w:szCs w:val="16"/>
                <w:lang w:val="uz-Cyrl-UZ" w:eastAsia="en-US" w:bidi="ar-SA"/>
              </w:rPr>
              <w:t>DATA ON VALUES ACHIEVED</w:t>
            </w:r>
          </w:p>
        </w:tc>
        <w:tc>
          <w:tcPr>
            <w:tcW w:w="1771" w:type="dxa"/>
            <w:vAlign w:val="center"/>
          </w:tcPr>
          <w:p w:rsidR="00AA6DD7" w:rsidRPr="000E17CE" w:rsidRDefault="00EF2BBC" w:rsidP="00213533">
            <w:pPr>
              <w:pStyle w:val="TabelaTekst"/>
              <w:spacing w:before="0" w:after="0" w:line="240" w:lineRule="auto"/>
              <w:jc w:val="center"/>
              <w:rPr>
                <w:rFonts w:ascii="Garamond" w:hAnsi="Garamond"/>
                <w:sz w:val="16"/>
                <w:szCs w:val="16"/>
                <w:lang w:val="en-GB"/>
              </w:rPr>
            </w:pPr>
            <w:r w:rsidRPr="000E17CE">
              <w:rPr>
                <w:rFonts w:ascii="Garamond" w:hAnsi="Garamond"/>
                <w:sz w:val="16"/>
                <w:szCs w:val="16"/>
                <w:lang w:val="en-GB"/>
              </w:rPr>
              <w:t>0</w:t>
            </w:r>
            <w:r w:rsidRPr="000E17CE">
              <w:rPr>
                <w:rStyle w:val="FootnoteReference"/>
                <w:rFonts w:ascii="Garamond" w:hAnsi="Garamond"/>
                <w:sz w:val="16"/>
                <w:szCs w:val="16"/>
                <w:lang w:val="en-GB"/>
              </w:rPr>
              <w:footnoteReference w:id="78"/>
            </w:r>
          </w:p>
        </w:tc>
        <w:tc>
          <w:tcPr>
            <w:tcW w:w="1771" w:type="dxa"/>
            <w:vAlign w:val="center"/>
          </w:tcPr>
          <w:p w:rsidR="00AA6DD7" w:rsidRPr="000E17CE" w:rsidRDefault="00AA6DD7" w:rsidP="00213533">
            <w:pPr>
              <w:pStyle w:val="TabelaTekst"/>
              <w:spacing w:before="0" w:after="0" w:line="240" w:lineRule="auto"/>
              <w:jc w:val="center"/>
              <w:rPr>
                <w:rFonts w:ascii="Garamond" w:hAnsi="Garamond"/>
                <w:sz w:val="16"/>
                <w:szCs w:val="16"/>
              </w:rPr>
            </w:pPr>
            <w:r w:rsidRPr="000E17CE">
              <w:rPr>
                <w:rFonts w:ascii="Garamond" w:hAnsi="Garamond"/>
                <w:sz w:val="16"/>
                <w:szCs w:val="16"/>
              </w:rPr>
              <w:t>80</w:t>
            </w:r>
          </w:p>
        </w:tc>
        <w:tc>
          <w:tcPr>
            <w:tcW w:w="1771" w:type="dxa"/>
            <w:vAlign w:val="center"/>
          </w:tcPr>
          <w:p w:rsidR="009002BE" w:rsidRPr="000E17CE" w:rsidRDefault="009002BE" w:rsidP="009002BE">
            <w:pPr>
              <w:pStyle w:val="TabelaTekst"/>
              <w:jc w:val="center"/>
              <w:rPr>
                <w:rFonts w:ascii="Garamond" w:hAnsi="Garamond"/>
                <w:sz w:val="16"/>
                <w:szCs w:val="16"/>
              </w:rPr>
            </w:pPr>
            <w:r w:rsidRPr="000E17CE">
              <w:rPr>
                <w:rFonts w:ascii="Garamond" w:hAnsi="Garamond"/>
                <w:sz w:val="16"/>
                <w:szCs w:val="16"/>
              </w:rPr>
              <w:t>9 groups</w:t>
            </w:r>
          </w:p>
          <w:p w:rsidR="009002BE" w:rsidRPr="000E17CE" w:rsidRDefault="009002BE" w:rsidP="009002BE">
            <w:pPr>
              <w:pStyle w:val="TabelaTekst"/>
              <w:jc w:val="center"/>
              <w:rPr>
                <w:rFonts w:ascii="Garamond" w:hAnsi="Garamond"/>
                <w:sz w:val="16"/>
                <w:szCs w:val="16"/>
              </w:rPr>
            </w:pPr>
          </w:p>
          <w:p w:rsidR="009002BE" w:rsidRPr="000E17CE" w:rsidRDefault="009002BE" w:rsidP="009002BE">
            <w:pPr>
              <w:pStyle w:val="TabelaTekst"/>
              <w:jc w:val="center"/>
              <w:rPr>
                <w:rFonts w:ascii="Garamond" w:hAnsi="Garamond"/>
                <w:sz w:val="16"/>
                <w:szCs w:val="16"/>
                <w:lang w:val="en-GB"/>
              </w:rPr>
            </w:pPr>
            <w:r w:rsidRPr="000E17CE">
              <w:rPr>
                <w:rFonts w:ascii="Garamond" w:hAnsi="Garamond"/>
                <w:sz w:val="16"/>
                <w:szCs w:val="16"/>
              </w:rPr>
              <w:t xml:space="preserve">100 </w:t>
            </w:r>
            <w:r w:rsidR="000D6593" w:rsidRPr="000E17CE">
              <w:rPr>
                <w:rFonts w:ascii="Garamond" w:hAnsi="Garamond"/>
                <w:sz w:val="16"/>
                <w:szCs w:val="16"/>
                <w:lang w:val="en-GB"/>
              </w:rPr>
              <w:t xml:space="preserve">public authorities </w:t>
            </w:r>
          </w:p>
          <w:p w:rsidR="009002BE" w:rsidRPr="000E17CE" w:rsidRDefault="009002BE" w:rsidP="009002BE">
            <w:pPr>
              <w:pStyle w:val="TabelaTekst"/>
              <w:jc w:val="center"/>
              <w:rPr>
                <w:rFonts w:ascii="Garamond" w:hAnsi="Garamond"/>
                <w:sz w:val="16"/>
                <w:szCs w:val="16"/>
              </w:rPr>
            </w:pPr>
          </w:p>
          <w:p w:rsidR="00AA6DD7" w:rsidRPr="000E17CE" w:rsidRDefault="009002BE" w:rsidP="009002BE">
            <w:pPr>
              <w:pStyle w:val="TabelaTekst"/>
              <w:spacing w:before="0" w:after="0" w:line="240" w:lineRule="auto"/>
              <w:jc w:val="center"/>
              <w:rPr>
                <w:rFonts w:ascii="Garamond" w:hAnsi="Garamond"/>
                <w:sz w:val="16"/>
                <w:szCs w:val="16"/>
              </w:rPr>
            </w:pPr>
            <w:r w:rsidRPr="000E17CE">
              <w:rPr>
                <w:rFonts w:ascii="Garamond" w:hAnsi="Garamond"/>
                <w:sz w:val="16"/>
                <w:szCs w:val="16"/>
              </w:rPr>
              <w:t>0 migration</w:t>
            </w:r>
            <w:r w:rsidRPr="000E17CE">
              <w:rPr>
                <w:rStyle w:val="FootnoteReference"/>
                <w:rFonts w:ascii="Garamond" w:hAnsi="Garamond"/>
                <w:sz w:val="16"/>
                <w:szCs w:val="16"/>
              </w:rPr>
              <w:t xml:space="preserve"> </w:t>
            </w:r>
            <w:r w:rsidR="00AA6DD7" w:rsidRPr="000E17CE">
              <w:rPr>
                <w:rStyle w:val="FootnoteReference"/>
                <w:rFonts w:ascii="Garamond" w:hAnsi="Garamond"/>
                <w:sz w:val="16"/>
                <w:szCs w:val="16"/>
              </w:rPr>
              <w:footnoteReference w:id="79"/>
            </w:r>
          </w:p>
        </w:tc>
        <w:tc>
          <w:tcPr>
            <w:tcW w:w="1523" w:type="dxa"/>
            <w:vAlign w:val="center"/>
          </w:tcPr>
          <w:p w:rsidR="00AA6DD7" w:rsidRPr="000E17CE" w:rsidRDefault="00AA6DD7" w:rsidP="00213533">
            <w:pPr>
              <w:jc w:val="center"/>
              <w:rPr>
                <w:rFonts w:cstheme="majorHAnsi"/>
                <w:noProof/>
                <w:sz w:val="16"/>
                <w:szCs w:val="16"/>
              </w:rPr>
            </w:pPr>
          </w:p>
          <w:p w:rsidR="009002BE" w:rsidRPr="000E17CE" w:rsidRDefault="009002BE" w:rsidP="009002BE">
            <w:pPr>
              <w:pStyle w:val="TabelaTekst"/>
              <w:jc w:val="center"/>
              <w:rPr>
                <w:rFonts w:ascii="Garamond" w:hAnsi="Garamond" w:cstheme="majorHAnsi"/>
                <w:noProof/>
                <w:sz w:val="16"/>
                <w:szCs w:val="16"/>
                <w:lang w:val="en-US"/>
              </w:rPr>
            </w:pPr>
            <w:r w:rsidRPr="000E17CE">
              <w:rPr>
                <w:rFonts w:ascii="Garamond" w:hAnsi="Garamond" w:cstheme="majorHAnsi"/>
                <w:noProof/>
                <w:sz w:val="16"/>
                <w:szCs w:val="16"/>
                <w:lang w:val="en-US"/>
              </w:rPr>
              <w:t xml:space="preserve">Public authorities (99) Public services (322) </w:t>
            </w:r>
            <w:r w:rsidR="003260EC" w:rsidRPr="000E17CE">
              <w:rPr>
                <w:rFonts w:ascii="Garamond" w:hAnsi="Garamond" w:cstheme="majorHAnsi"/>
                <w:noProof/>
                <w:sz w:val="16"/>
                <w:szCs w:val="16"/>
                <w:lang w:val="en-US"/>
              </w:rPr>
              <w:t>DKP</w:t>
            </w:r>
            <w:r w:rsidRPr="000E17CE">
              <w:rPr>
                <w:rFonts w:ascii="Garamond" w:hAnsi="Garamond" w:cstheme="majorHAnsi"/>
                <w:noProof/>
                <w:sz w:val="16"/>
                <w:szCs w:val="16"/>
                <w:lang w:val="en-US"/>
              </w:rPr>
              <w:t xml:space="preserve"> (39)</w:t>
            </w:r>
          </w:p>
          <w:p w:rsidR="009002BE" w:rsidRPr="000E17CE" w:rsidRDefault="009002BE" w:rsidP="009002BE">
            <w:pPr>
              <w:pStyle w:val="TabelaTekst"/>
              <w:jc w:val="center"/>
              <w:rPr>
                <w:rFonts w:ascii="Garamond" w:hAnsi="Garamond" w:cstheme="majorHAnsi"/>
                <w:noProof/>
                <w:sz w:val="16"/>
                <w:szCs w:val="16"/>
                <w:lang w:val="en-US"/>
              </w:rPr>
            </w:pPr>
            <w:r w:rsidRPr="000E17CE">
              <w:rPr>
                <w:rFonts w:ascii="Garamond" w:hAnsi="Garamond" w:cstheme="majorHAnsi"/>
                <w:noProof/>
                <w:sz w:val="16"/>
                <w:szCs w:val="16"/>
                <w:lang w:val="en-US"/>
              </w:rPr>
              <w:t>Local government (24)</w:t>
            </w:r>
          </w:p>
          <w:p w:rsidR="009002BE" w:rsidRPr="000E17CE" w:rsidRDefault="009002BE" w:rsidP="009002BE">
            <w:pPr>
              <w:pStyle w:val="TabelaTekst"/>
              <w:jc w:val="center"/>
              <w:rPr>
                <w:rFonts w:ascii="Garamond" w:hAnsi="Garamond" w:cstheme="majorHAnsi"/>
                <w:noProof/>
                <w:sz w:val="16"/>
                <w:szCs w:val="16"/>
                <w:lang w:val="en-US"/>
              </w:rPr>
            </w:pPr>
            <w:r w:rsidRPr="000E17CE">
              <w:rPr>
                <w:rFonts w:ascii="Garamond" w:hAnsi="Garamond" w:cstheme="majorHAnsi"/>
                <w:noProof/>
                <w:sz w:val="16"/>
                <w:szCs w:val="16"/>
                <w:lang w:val="en-US"/>
              </w:rPr>
              <w:t>Municipal authorities (196)</w:t>
            </w:r>
          </w:p>
          <w:p w:rsidR="00AA6DD7" w:rsidRPr="000E17CE" w:rsidRDefault="009002BE" w:rsidP="009002BE">
            <w:pPr>
              <w:pStyle w:val="TabelaTekst"/>
              <w:spacing w:before="0" w:after="0" w:line="240" w:lineRule="auto"/>
              <w:jc w:val="center"/>
              <w:rPr>
                <w:rFonts w:ascii="Garamond" w:hAnsi="Garamond"/>
                <w:sz w:val="16"/>
                <w:szCs w:val="16"/>
              </w:rPr>
            </w:pPr>
            <w:r w:rsidRPr="000E17CE">
              <w:rPr>
                <w:rFonts w:ascii="Garamond" w:hAnsi="Garamond" w:cstheme="majorHAnsi"/>
                <w:noProof/>
                <w:sz w:val="16"/>
                <w:szCs w:val="16"/>
                <w:lang w:val="en-US"/>
              </w:rPr>
              <w:t>0 migration</w:t>
            </w:r>
            <w:r w:rsidRPr="000E17CE">
              <w:rPr>
                <w:rStyle w:val="FootnoteReference"/>
                <w:rFonts w:ascii="Garamond" w:hAnsi="Garamond" w:cstheme="majorHAnsi"/>
                <w:noProof/>
                <w:sz w:val="16"/>
                <w:szCs w:val="16"/>
                <w:lang w:val="en-US"/>
              </w:rPr>
              <w:footnoteReference w:id="80"/>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E83919" w:rsidP="00E83919">
      <w:pPr>
        <w:pStyle w:val="Heading1"/>
        <w:rPr>
          <w:rFonts w:ascii="Garamond" w:hAnsi="Garamond"/>
          <w:sz w:val="24"/>
          <w:szCs w:val="24"/>
        </w:rPr>
      </w:pPr>
      <w:bookmarkStart w:id="81" w:name="_Toc77688258"/>
      <w:r>
        <w:rPr>
          <w:rFonts w:ascii="Garamond" w:hAnsi="Garamond"/>
          <w:sz w:val="24"/>
          <w:szCs w:val="24"/>
        </w:rPr>
        <w:t xml:space="preserve">5. </w:t>
      </w:r>
      <w:r w:rsidRPr="00E83919">
        <w:rPr>
          <w:rFonts w:ascii="Garamond" w:hAnsi="Garamond"/>
          <w:sz w:val="24"/>
          <w:szCs w:val="24"/>
        </w:rPr>
        <w:t>STRENGTHENING EXTERNAL AUDIT CAPACITIES</w:t>
      </w:r>
      <w:bookmarkEnd w:id="81"/>
    </w:p>
    <w:p w:rsidR="004D1343" w:rsidRPr="00C32887" w:rsidRDefault="004D1343" w:rsidP="00E83919">
      <w:pPr>
        <w:pStyle w:val="Heading2"/>
        <w:rPr>
          <w:rFonts w:ascii="Garamond" w:hAnsi="Garamond"/>
          <w:sz w:val="24"/>
          <w:szCs w:val="24"/>
        </w:rPr>
      </w:pPr>
      <w:bookmarkStart w:id="82" w:name="_Toc77688259"/>
      <w:r w:rsidRPr="00C32887">
        <w:rPr>
          <w:rFonts w:ascii="Garamond" w:hAnsi="Garamond"/>
          <w:sz w:val="24"/>
          <w:szCs w:val="24"/>
        </w:rPr>
        <w:t>5.1     Improving the audit process, strengthening audit capacities and transparency in the use of public finances - State Audit Institution</w:t>
      </w:r>
      <w:bookmarkEnd w:id="82"/>
    </w:p>
    <w:p w:rsidR="004D1343" w:rsidRPr="00C32887" w:rsidRDefault="004D1343" w:rsidP="004D1343">
      <w:pPr>
        <w:rPr>
          <w:rFonts w:ascii="Garamond" w:hAnsi="Garamond"/>
          <w:sz w:val="24"/>
          <w:szCs w:val="24"/>
        </w:rPr>
      </w:pPr>
    </w:p>
    <w:p w:rsidR="004D1343" w:rsidRPr="00C32887" w:rsidRDefault="004D1343" w:rsidP="00E83919">
      <w:pPr>
        <w:pStyle w:val="Heading3"/>
        <w:rPr>
          <w:rFonts w:ascii="Garamond" w:hAnsi="Garamond"/>
          <w:sz w:val="24"/>
          <w:szCs w:val="24"/>
        </w:rPr>
      </w:pPr>
      <w:bookmarkStart w:id="83" w:name="_Toc77688260"/>
      <w:r w:rsidRPr="00C32887">
        <w:rPr>
          <w:rFonts w:ascii="Garamond" w:hAnsi="Garamond"/>
          <w:sz w:val="24"/>
          <w:szCs w:val="24"/>
        </w:rPr>
        <w:t xml:space="preserve">5.1.1      </w:t>
      </w:r>
      <w:r w:rsidR="00E83919">
        <w:rPr>
          <w:rFonts w:ascii="Garamond" w:hAnsi="Garamond"/>
          <w:sz w:val="24"/>
          <w:szCs w:val="24"/>
        </w:rPr>
        <w:t>PERFORMANCE INDICATOR 34</w:t>
      </w:r>
      <w:r w:rsidR="00E83919" w:rsidRPr="00E83919">
        <w:rPr>
          <w:rFonts w:ascii="Garamond" w:hAnsi="Garamond"/>
          <w:sz w:val="24"/>
          <w:szCs w:val="24"/>
        </w:rPr>
        <w:t xml:space="preserve"> </w:t>
      </w:r>
      <w:r w:rsidR="00E83919" w:rsidRPr="00C32887">
        <w:rPr>
          <w:rFonts w:ascii="Garamond" w:hAnsi="Garamond"/>
          <w:sz w:val="24"/>
          <w:szCs w:val="24"/>
        </w:rPr>
        <w:t>PASSPORT</w:t>
      </w:r>
      <w:bookmarkEnd w:id="83"/>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1771"/>
        <w:gridCol w:w="1771"/>
        <w:gridCol w:w="1771"/>
        <w:gridCol w:w="1523"/>
        <w:gridCol w:w="19"/>
      </w:tblGrid>
      <w:tr w:rsidR="00E83919" w:rsidRPr="00434D94" w:rsidTr="00213533">
        <w:trPr>
          <w:jc w:val="center"/>
        </w:trPr>
        <w:tc>
          <w:tcPr>
            <w:tcW w:w="2721" w:type="dxa"/>
            <w:tcBorders>
              <w:right w:val="single" w:sz="4" w:space="0" w:color="FFFFFF"/>
            </w:tcBorders>
            <w:shd w:val="clear" w:color="auto" w:fill="BFBFBF"/>
            <w:vAlign w:val="center"/>
          </w:tcPr>
          <w:p w:rsidR="00E83919" w:rsidRPr="00434D94" w:rsidRDefault="00E83919" w:rsidP="00213533">
            <w:pPr>
              <w:autoSpaceDE/>
              <w:autoSpaceDN/>
              <w:rPr>
                <w:rFonts w:ascii="Garamond" w:eastAsia="Calibri" w:hAnsi="Garamond"/>
                <w:b/>
                <w:caps/>
                <w:sz w:val="16"/>
                <w:szCs w:val="16"/>
                <w:lang w:val="en-GB" w:eastAsia="en-US" w:bidi="ar-SA"/>
              </w:rPr>
            </w:pPr>
            <w:r w:rsidRPr="00434D94">
              <w:rPr>
                <w:rFonts w:ascii="Garamond" w:eastAsia="Calibri" w:hAnsi="Garamond"/>
                <w:b/>
                <w:caps/>
                <w:sz w:val="16"/>
                <w:szCs w:val="16"/>
                <w:lang w:val="en-GB" w:eastAsia="en-US" w:bidi="ar-SA"/>
              </w:rPr>
              <w:t>performance indicator</w:t>
            </w:r>
          </w:p>
        </w:tc>
        <w:tc>
          <w:tcPr>
            <w:tcW w:w="6855" w:type="dxa"/>
            <w:gridSpan w:val="5"/>
            <w:tcBorders>
              <w:left w:val="single" w:sz="4" w:space="0" w:color="FFFFFF"/>
            </w:tcBorders>
            <w:shd w:val="clear" w:color="auto" w:fill="BFBFBF"/>
            <w:vAlign w:val="center"/>
          </w:tcPr>
          <w:p w:rsidR="00E83919" w:rsidRPr="00434D94" w:rsidRDefault="00E83919" w:rsidP="00E83919">
            <w:pPr>
              <w:pStyle w:val="Default"/>
              <w:jc w:val="both"/>
              <w:rPr>
                <w:rFonts w:ascii="Garamond" w:eastAsia="Calibri" w:hAnsi="Garamond"/>
                <w:b/>
                <w:sz w:val="16"/>
                <w:szCs w:val="16"/>
                <w:lang w:eastAsia="en-US"/>
              </w:rPr>
            </w:pPr>
            <w:r w:rsidRPr="00434D94">
              <w:rPr>
                <w:rFonts w:ascii="Garamond" w:hAnsi="Garamond"/>
                <w:iCs/>
                <w:sz w:val="16"/>
                <w:szCs w:val="16"/>
              </w:rPr>
              <w:t>Level of realisation of SAI</w:t>
            </w:r>
            <w:r w:rsidR="00C13A74" w:rsidRPr="00434D94">
              <w:rPr>
                <w:rFonts w:ascii="Garamond" w:hAnsi="Garamond"/>
                <w:iCs/>
                <w:sz w:val="16"/>
                <w:szCs w:val="16"/>
              </w:rPr>
              <w:t>’</w:t>
            </w:r>
            <w:r w:rsidRPr="00434D94">
              <w:rPr>
                <w:rFonts w:ascii="Garamond" w:hAnsi="Garamond"/>
                <w:iCs/>
                <w:sz w:val="16"/>
                <w:szCs w:val="16"/>
              </w:rPr>
              <w:t xml:space="preserve">s Annual Audit Plan </w:t>
            </w:r>
          </w:p>
        </w:tc>
      </w:tr>
      <w:tr w:rsidR="00E83919" w:rsidRPr="00434D94" w:rsidTr="00213533">
        <w:trPr>
          <w:gridAfter w:val="1"/>
          <w:wAfter w:w="19" w:type="dxa"/>
          <w:jc w:val="center"/>
        </w:trPr>
        <w:tc>
          <w:tcPr>
            <w:tcW w:w="2721" w:type="dxa"/>
            <w:vAlign w:val="center"/>
          </w:tcPr>
          <w:p w:rsidR="00E83919" w:rsidRPr="00434D94" w:rsidRDefault="00E83919" w:rsidP="006225A7">
            <w:pPr>
              <w:rPr>
                <w:rFonts w:ascii="Garamond" w:eastAsia="Calibri" w:hAnsi="Garamond"/>
                <w:b/>
                <w:caps/>
                <w:sz w:val="16"/>
                <w:szCs w:val="16"/>
                <w:lang w:val="en-GB" w:eastAsia="en-US" w:bidi="ar-SA"/>
              </w:rPr>
            </w:pPr>
            <w:r w:rsidRPr="00434D94">
              <w:rPr>
                <w:rFonts w:ascii="Garamond" w:eastAsia="Calibri" w:hAnsi="Garamond"/>
                <w:b/>
                <w:caps/>
                <w:sz w:val="16"/>
                <w:szCs w:val="16"/>
                <w:lang w:val="en-GB" w:eastAsia="en-US" w:bidi="ar-SA"/>
              </w:rPr>
              <w:t>corresponding objective or activity</w:t>
            </w:r>
          </w:p>
        </w:tc>
        <w:tc>
          <w:tcPr>
            <w:tcW w:w="6836" w:type="dxa"/>
            <w:gridSpan w:val="4"/>
            <w:vAlign w:val="center"/>
          </w:tcPr>
          <w:p w:rsidR="00E83919" w:rsidRPr="00434D94" w:rsidRDefault="00E83919" w:rsidP="006225A7">
            <w:pPr>
              <w:rPr>
                <w:rFonts w:ascii="Garamond" w:hAnsi="Garamond"/>
                <w:color w:val="365F91" w:themeColor="accent1" w:themeShade="BF"/>
                <w:sz w:val="16"/>
                <w:szCs w:val="16"/>
              </w:rPr>
            </w:pPr>
            <w:r w:rsidRPr="00434D94">
              <w:rPr>
                <w:rFonts w:ascii="Garamond" w:hAnsi="Garamond"/>
                <w:color w:val="365F91" w:themeColor="accent1" w:themeShade="BF"/>
                <w:sz w:val="16"/>
                <w:szCs w:val="16"/>
              </w:rPr>
              <w:t>Strengthening external audit capacities</w:t>
            </w:r>
          </w:p>
          <w:p w:rsidR="00E83919" w:rsidRPr="00434D94" w:rsidRDefault="00E83919" w:rsidP="006225A7">
            <w:pPr>
              <w:pStyle w:val="ListParagraph"/>
              <w:numPr>
                <w:ilvl w:val="0"/>
                <w:numId w:val="28"/>
              </w:numPr>
              <w:rPr>
                <w:rFonts w:ascii="Garamond" w:hAnsi="Garamond"/>
                <w:color w:val="365F91" w:themeColor="accent1" w:themeShade="BF"/>
                <w:sz w:val="16"/>
                <w:szCs w:val="16"/>
              </w:rPr>
            </w:pPr>
            <w:r w:rsidRPr="00434D94">
              <w:rPr>
                <w:rFonts w:ascii="Garamond" w:hAnsi="Garamond"/>
                <w:color w:val="365F91" w:themeColor="accent1" w:themeShade="BF"/>
                <w:sz w:val="16"/>
                <w:szCs w:val="16"/>
              </w:rPr>
              <w:t xml:space="preserve">Improving the audit process, strengthening audit capacities and transparency in the use of public finances - State Audit Institution </w:t>
            </w:r>
          </w:p>
          <w:p w:rsidR="00E83919" w:rsidRPr="00434D94" w:rsidRDefault="00E83919" w:rsidP="006225A7">
            <w:pPr>
              <w:rPr>
                <w:rFonts w:ascii="Garamond" w:hAnsi="Garamond"/>
                <w:color w:val="365F91" w:themeColor="accent1" w:themeShade="BF"/>
                <w:sz w:val="16"/>
                <w:szCs w:val="16"/>
              </w:rPr>
            </w:pPr>
          </w:p>
        </w:tc>
      </w:tr>
      <w:tr w:rsidR="00E83919" w:rsidRPr="00434D94" w:rsidTr="00213533">
        <w:trPr>
          <w:gridAfter w:val="1"/>
          <w:wAfter w:w="19" w:type="dxa"/>
          <w:jc w:val="center"/>
        </w:trPr>
        <w:tc>
          <w:tcPr>
            <w:tcW w:w="2721" w:type="dxa"/>
            <w:vAlign w:val="center"/>
          </w:tcPr>
          <w:p w:rsidR="00E83919" w:rsidRPr="00434D94" w:rsidRDefault="00E83919" w:rsidP="00213533">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SOURCE OF DATA FOR MONITORING PERFORMANCE INDICATORS</w:t>
            </w:r>
          </w:p>
        </w:tc>
        <w:tc>
          <w:tcPr>
            <w:tcW w:w="6836" w:type="dxa"/>
            <w:gridSpan w:val="4"/>
            <w:vAlign w:val="center"/>
          </w:tcPr>
          <w:p w:rsidR="00E83919" w:rsidRPr="00434D94" w:rsidRDefault="00E83919" w:rsidP="00E83919">
            <w:pPr>
              <w:jc w:val="both"/>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Data for monitoring performance indicators are collected at the national level.</w:t>
            </w:r>
          </w:p>
          <w:p w:rsidR="00E83919" w:rsidRPr="00434D94" w:rsidRDefault="00E83919" w:rsidP="00E83919">
            <w:pPr>
              <w:jc w:val="both"/>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Official website of the State Audit Institution: www.dri.co.me</w:t>
            </w:r>
          </w:p>
          <w:p w:rsidR="00E83919" w:rsidRPr="00434D94" w:rsidRDefault="00E83919" w:rsidP="00E83919">
            <w:pPr>
              <w:jc w:val="both"/>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Database: Annual Audit Plan of the SAI of Montenegro; Annual report on performed audits and activities of the SAI for the period October of the previous year - October of the current year.</w:t>
            </w:r>
          </w:p>
          <w:p w:rsidR="00E83919" w:rsidRPr="00434D94" w:rsidRDefault="00E83919" w:rsidP="00E83919">
            <w:pPr>
              <w:jc w:val="both"/>
              <w:rPr>
                <w:rFonts w:ascii="Garamond" w:eastAsia="Calibri" w:hAnsi="Garamond"/>
                <w:sz w:val="16"/>
                <w:szCs w:val="16"/>
                <w:lang w:eastAsia="en-US" w:bidi="ar-SA"/>
              </w:rPr>
            </w:pPr>
            <w:r w:rsidRPr="00434D94">
              <w:rPr>
                <w:rFonts w:ascii="Garamond" w:eastAsia="Calibri" w:hAnsi="Garamond"/>
                <w:sz w:val="16"/>
                <w:szCs w:val="16"/>
                <w:lang w:val="uz-Cyrl-UZ" w:eastAsia="en-US" w:bidi="ar-SA"/>
              </w:rPr>
              <w:t>Audit reports published on the official website of the State Audit Institution: www.dri.co.me</w:t>
            </w:r>
          </w:p>
        </w:tc>
      </w:tr>
      <w:tr w:rsidR="00E83919" w:rsidRPr="00434D94" w:rsidTr="00213533">
        <w:trPr>
          <w:gridAfter w:val="1"/>
          <w:wAfter w:w="19" w:type="dxa"/>
          <w:jc w:val="center"/>
        </w:trPr>
        <w:tc>
          <w:tcPr>
            <w:tcW w:w="2721" w:type="dxa"/>
            <w:vAlign w:val="center"/>
          </w:tcPr>
          <w:p w:rsidR="00E83919" w:rsidRPr="00434D94" w:rsidRDefault="00E83919" w:rsidP="00213533">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NAME OF DATA COLLECTION HOLDER</w:t>
            </w:r>
          </w:p>
        </w:tc>
        <w:tc>
          <w:tcPr>
            <w:tcW w:w="6836" w:type="dxa"/>
            <w:gridSpan w:val="4"/>
            <w:vAlign w:val="center"/>
          </w:tcPr>
          <w:p w:rsidR="00E83919" w:rsidRPr="00434D94" w:rsidRDefault="00E83919" w:rsidP="00E83919">
            <w:pPr>
              <w:rPr>
                <w:rFonts w:ascii="Garamond" w:hAnsi="Garamond"/>
                <w:sz w:val="16"/>
                <w:szCs w:val="16"/>
              </w:rPr>
            </w:pPr>
            <w:r w:rsidRPr="00434D94">
              <w:rPr>
                <w:rFonts w:ascii="Garamond" w:hAnsi="Garamond"/>
                <w:sz w:val="16"/>
                <w:szCs w:val="16"/>
              </w:rPr>
              <w:t>State Audit Institution</w:t>
            </w:r>
          </w:p>
          <w:p w:rsidR="00E83919" w:rsidRPr="00434D94" w:rsidRDefault="00E83919" w:rsidP="00E83919">
            <w:pPr>
              <w:rPr>
                <w:rFonts w:ascii="Garamond" w:hAnsi="Garamond"/>
                <w:sz w:val="16"/>
                <w:szCs w:val="16"/>
              </w:rPr>
            </w:pPr>
            <w:r w:rsidRPr="00434D94">
              <w:rPr>
                <w:rFonts w:ascii="Garamond" w:hAnsi="Garamond"/>
                <w:sz w:val="16"/>
                <w:szCs w:val="16"/>
              </w:rPr>
              <w:t>Zoran Jelić</w:t>
            </w:r>
          </w:p>
          <w:p w:rsidR="00E83919" w:rsidRPr="00434D94" w:rsidRDefault="00E83919" w:rsidP="00E83919">
            <w:pPr>
              <w:rPr>
                <w:rFonts w:ascii="Garamond" w:hAnsi="Garamond"/>
                <w:sz w:val="16"/>
                <w:szCs w:val="16"/>
              </w:rPr>
            </w:pPr>
            <w:r w:rsidRPr="00434D94">
              <w:rPr>
                <w:rFonts w:ascii="Garamond" w:hAnsi="Garamond"/>
                <w:sz w:val="16"/>
                <w:szCs w:val="16"/>
              </w:rPr>
              <w:t>zoran.jelic@dri.co.me</w:t>
            </w:r>
          </w:p>
          <w:p w:rsidR="00E83919" w:rsidRPr="00434D94" w:rsidRDefault="00E83919" w:rsidP="00E83919">
            <w:pPr>
              <w:rPr>
                <w:rFonts w:ascii="Garamond" w:hAnsi="Garamond"/>
                <w:sz w:val="16"/>
                <w:szCs w:val="16"/>
              </w:rPr>
            </w:pPr>
            <w:r w:rsidRPr="00434D94">
              <w:rPr>
                <w:rFonts w:ascii="Garamond" w:hAnsi="Garamond"/>
                <w:sz w:val="16"/>
                <w:szCs w:val="16"/>
              </w:rPr>
              <w:t>Phone: 020 / 407-407</w:t>
            </w:r>
          </w:p>
          <w:p w:rsidR="00E83919" w:rsidRPr="00434D94" w:rsidRDefault="00E83919" w:rsidP="00E83919">
            <w:pPr>
              <w:rPr>
                <w:rFonts w:ascii="Garamond" w:hAnsi="Garamond"/>
                <w:sz w:val="16"/>
                <w:szCs w:val="16"/>
              </w:rPr>
            </w:pPr>
          </w:p>
          <w:p w:rsidR="00E83919" w:rsidRPr="00434D94" w:rsidRDefault="00E83919" w:rsidP="00E83919">
            <w:pPr>
              <w:rPr>
                <w:rFonts w:ascii="Garamond" w:hAnsi="Garamond"/>
                <w:sz w:val="16"/>
                <w:szCs w:val="16"/>
              </w:rPr>
            </w:pPr>
            <w:r w:rsidRPr="00434D94">
              <w:rPr>
                <w:rFonts w:ascii="Garamond" w:hAnsi="Garamond"/>
                <w:sz w:val="16"/>
                <w:szCs w:val="16"/>
              </w:rPr>
              <w:t>Mihaela Popovic</w:t>
            </w:r>
          </w:p>
          <w:p w:rsidR="00E83919" w:rsidRPr="00434D94" w:rsidRDefault="00E83919" w:rsidP="00E83919">
            <w:pPr>
              <w:rPr>
                <w:rFonts w:ascii="Garamond" w:hAnsi="Garamond"/>
                <w:sz w:val="16"/>
                <w:szCs w:val="16"/>
              </w:rPr>
            </w:pPr>
            <w:r w:rsidRPr="00434D94">
              <w:rPr>
                <w:rFonts w:ascii="Garamond" w:hAnsi="Garamond"/>
                <w:sz w:val="16"/>
                <w:szCs w:val="16"/>
              </w:rPr>
              <w:t>mihaela.popovic@dri.co.me</w:t>
            </w:r>
          </w:p>
          <w:p w:rsidR="00E83919" w:rsidRPr="00434D94" w:rsidRDefault="00E83919" w:rsidP="00E83919">
            <w:pPr>
              <w:rPr>
                <w:rFonts w:ascii="Garamond" w:hAnsi="Garamond"/>
                <w:sz w:val="16"/>
                <w:szCs w:val="16"/>
              </w:rPr>
            </w:pPr>
            <w:r w:rsidRPr="00434D94">
              <w:rPr>
                <w:rFonts w:ascii="Garamond" w:hAnsi="Garamond"/>
                <w:sz w:val="16"/>
                <w:szCs w:val="16"/>
              </w:rPr>
              <w:t>Phone: 020 / 407-404</w:t>
            </w:r>
          </w:p>
          <w:p w:rsidR="00E83919" w:rsidRPr="00434D94" w:rsidRDefault="00E83919" w:rsidP="00E83919">
            <w:pPr>
              <w:rPr>
                <w:rFonts w:ascii="Garamond" w:hAnsi="Garamond"/>
                <w:sz w:val="16"/>
                <w:szCs w:val="16"/>
              </w:rPr>
            </w:pPr>
          </w:p>
          <w:p w:rsidR="00E83919" w:rsidRPr="00434D94" w:rsidRDefault="00E83919" w:rsidP="00E83919">
            <w:pPr>
              <w:rPr>
                <w:rFonts w:ascii="Garamond" w:hAnsi="Garamond"/>
                <w:sz w:val="16"/>
                <w:szCs w:val="16"/>
              </w:rPr>
            </w:pPr>
            <w:r w:rsidRPr="00434D94">
              <w:rPr>
                <w:rFonts w:ascii="Garamond" w:hAnsi="Garamond"/>
                <w:sz w:val="16"/>
                <w:szCs w:val="16"/>
              </w:rPr>
              <w:t>Marija Žugić, Department of International Relations marija.zugic@dri.co.me</w:t>
            </w:r>
          </w:p>
          <w:p w:rsidR="00E83919" w:rsidRPr="00434D94" w:rsidRDefault="00E83919" w:rsidP="00E83919">
            <w:pPr>
              <w:rPr>
                <w:rFonts w:ascii="Garamond" w:eastAsia="Calibri" w:hAnsi="Garamond"/>
                <w:sz w:val="16"/>
                <w:szCs w:val="16"/>
                <w:lang w:eastAsia="en-US" w:bidi="ar-SA"/>
              </w:rPr>
            </w:pPr>
            <w:r w:rsidRPr="00434D94">
              <w:rPr>
                <w:rFonts w:ascii="Garamond" w:hAnsi="Garamond"/>
                <w:sz w:val="16"/>
                <w:szCs w:val="16"/>
              </w:rPr>
              <w:t>Phone: 020 / 407-430</w:t>
            </w:r>
          </w:p>
        </w:tc>
      </w:tr>
      <w:tr w:rsidR="00E83919" w:rsidRPr="00434D94" w:rsidTr="00213533">
        <w:trPr>
          <w:gridAfter w:val="1"/>
          <w:wAfter w:w="19" w:type="dxa"/>
          <w:jc w:val="center"/>
        </w:trPr>
        <w:tc>
          <w:tcPr>
            <w:tcW w:w="2721" w:type="dxa"/>
            <w:vAlign w:val="center"/>
          </w:tcPr>
          <w:p w:rsidR="00E83919" w:rsidRPr="00434D94" w:rsidRDefault="00E83919" w:rsidP="00213533">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FREQUENCY OF DATA PUBLICATION</w:t>
            </w:r>
          </w:p>
        </w:tc>
        <w:tc>
          <w:tcPr>
            <w:tcW w:w="6836" w:type="dxa"/>
            <w:gridSpan w:val="4"/>
            <w:vAlign w:val="center"/>
          </w:tcPr>
          <w:p w:rsidR="00E83919" w:rsidRPr="00434D94" w:rsidRDefault="00E83919" w:rsidP="00213533">
            <w:pPr>
              <w:rPr>
                <w:rFonts w:ascii="Garamond" w:eastAsia="Calibri" w:hAnsi="Garamond"/>
                <w:sz w:val="16"/>
                <w:szCs w:val="16"/>
                <w:lang w:eastAsia="en-US" w:bidi="ar-SA"/>
              </w:rPr>
            </w:pPr>
            <w:r w:rsidRPr="00434D94">
              <w:rPr>
                <w:rFonts w:ascii="Garamond" w:eastAsia="Calibri" w:hAnsi="Garamond"/>
                <w:sz w:val="16"/>
                <w:szCs w:val="16"/>
                <w:lang w:eastAsia="en-US" w:bidi="ar-SA"/>
              </w:rPr>
              <w:t>Q4 of the current calendar year.</w:t>
            </w:r>
          </w:p>
        </w:tc>
      </w:tr>
      <w:tr w:rsidR="00E83919" w:rsidRPr="00434D94" w:rsidTr="00213533">
        <w:trPr>
          <w:gridAfter w:val="1"/>
          <w:wAfter w:w="19" w:type="dxa"/>
          <w:trHeight w:val="458"/>
          <w:jc w:val="center"/>
        </w:trPr>
        <w:tc>
          <w:tcPr>
            <w:tcW w:w="2721" w:type="dxa"/>
            <w:vMerge w:val="restart"/>
            <w:vAlign w:val="center"/>
          </w:tcPr>
          <w:p w:rsidR="00E83919" w:rsidRPr="00434D94" w:rsidRDefault="00E83919" w:rsidP="00213533">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 xml:space="preserve">BRIEF DESCRIPTION </w:t>
            </w:r>
            <w:r w:rsidRPr="00434D94">
              <w:rPr>
                <w:rFonts w:ascii="Garamond" w:eastAsia="Calibri" w:hAnsi="Garamond"/>
                <w:b/>
                <w:caps/>
                <w:sz w:val="16"/>
                <w:szCs w:val="16"/>
                <w:lang w:val="en-GB" w:eastAsia="en-US" w:bidi="ar-SA"/>
              </w:rPr>
              <w:t xml:space="preserve">OF </w:t>
            </w:r>
            <w:r w:rsidRPr="00434D94">
              <w:rPr>
                <w:rFonts w:ascii="Garamond" w:eastAsia="Calibri" w:hAnsi="Garamond"/>
                <w:b/>
                <w:caps/>
                <w:sz w:val="16"/>
                <w:szCs w:val="16"/>
                <w:lang w:val="uz-Cyrl-UZ" w:eastAsia="en-US" w:bidi="ar-SA"/>
              </w:rPr>
              <w:t>PERFORMANCE INDICATOR AND METHODOLOGY (FORMULAS / EQUATIONS)</w:t>
            </w:r>
          </w:p>
        </w:tc>
        <w:tc>
          <w:tcPr>
            <w:tcW w:w="6836" w:type="dxa"/>
            <w:gridSpan w:val="4"/>
            <w:vAlign w:val="center"/>
          </w:tcPr>
          <w:p w:rsidR="00E83919" w:rsidRPr="00434D94" w:rsidRDefault="00E83919" w:rsidP="00213533">
            <w:pPr>
              <w:jc w:val="both"/>
              <w:rPr>
                <w:rFonts w:ascii="Garamond" w:eastAsia="Calibri" w:hAnsi="Garamond"/>
                <w:sz w:val="16"/>
                <w:szCs w:val="16"/>
                <w:u w:val="single"/>
                <w:lang w:val="uz-Cyrl-UZ" w:eastAsia="en-US" w:bidi="ar-SA"/>
              </w:rPr>
            </w:pPr>
            <w:r w:rsidRPr="00434D94">
              <w:rPr>
                <w:rFonts w:ascii="Garamond" w:eastAsia="Calibri" w:hAnsi="Garamond"/>
                <w:sz w:val="16"/>
                <w:szCs w:val="16"/>
                <w:lang w:val="uz-Cyrl-UZ" w:eastAsia="en-US" w:bidi="ar-SA"/>
              </w:rPr>
              <w:t>The Senate of the State Audit Institution, in accordance with Article 9 of the SAI Law, adopts the Annual Audit Plan by the end of the current year for the following year. The annual audit plan is a business secret of the Institution until all audited entities, provided for in the plan, are notified of the start of the audit.</w:t>
            </w:r>
          </w:p>
        </w:tc>
      </w:tr>
      <w:tr w:rsidR="00E83919" w:rsidRPr="00434D94" w:rsidTr="00213533">
        <w:trPr>
          <w:gridAfter w:val="1"/>
          <w:wAfter w:w="19" w:type="dxa"/>
          <w:trHeight w:val="620"/>
          <w:jc w:val="center"/>
        </w:trPr>
        <w:tc>
          <w:tcPr>
            <w:tcW w:w="2721" w:type="dxa"/>
            <w:vMerge/>
            <w:shd w:val="clear" w:color="auto" w:fill="auto"/>
            <w:vAlign w:val="center"/>
          </w:tcPr>
          <w:p w:rsidR="00E83919" w:rsidRPr="00434D94" w:rsidRDefault="00E83919" w:rsidP="00213533">
            <w:pPr>
              <w:autoSpaceDE/>
              <w:autoSpaceDN/>
              <w:rPr>
                <w:rFonts w:ascii="Garamond" w:eastAsia="Calibri" w:hAnsi="Garamond"/>
                <w:b/>
                <w:i/>
                <w:caps/>
                <w:sz w:val="16"/>
                <w:szCs w:val="16"/>
                <w:lang w:val="uz-Cyrl-UZ" w:eastAsia="en-US" w:bidi="ar-SA"/>
              </w:rPr>
            </w:pPr>
          </w:p>
        </w:tc>
        <w:tc>
          <w:tcPr>
            <w:tcW w:w="6836" w:type="dxa"/>
            <w:gridSpan w:val="4"/>
            <w:shd w:val="clear" w:color="auto" w:fill="BFBFBF"/>
            <w:vAlign w:val="center"/>
          </w:tcPr>
          <w:p w:rsidR="00E83919" w:rsidRPr="00434D94" w:rsidRDefault="00E83919" w:rsidP="00213533">
            <w:pPr>
              <w:jc w:val="center"/>
              <w:rPr>
                <w:rFonts w:ascii="Garamond" w:hAnsi="Garamond"/>
                <w:color w:val="365F91" w:themeColor="accent1" w:themeShade="BF"/>
                <w:sz w:val="16"/>
                <w:szCs w:val="16"/>
                <w:lang w:val="uz-Cyrl-UZ"/>
              </w:rPr>
            </w:pPr>
            <w:r w:rsidRPr="00434D94">
              <w:rPr>
                <w:rFonts w:ascii="Garamond" w:hAnsi="Garamond"/>
                <w:color w:val="365F91" w:themeColor="accent1" w:themeShade="BF"/>
                <w:sz w:val="16"/>
                <w:szCs w:val="16"/>
                <w:lang w:val="uz-Cyrl-UZ"/>
              </w:rPr>
              <w:t>FORMULA / EQUATION</w:t>
            </w:r>
          </w:p>
          <w:p w:rsidR="00E83919" w:rsidRPr="00434D94" w:rsidRDefault="00E937E8" w:rsidP="00213533">
            <w:pPr>
              <w:jc w:val="center"/>
              <w:rPr>
                <w:rFonts w:ascii="Garamond" w:eastAsia="Calibri" w:hAnsi="Garamond"/>
                <w:sz w:val="16"/>
                <w:szCs w:val="16"/>
                <w:lang w:val="en-GB" w:eastAsia="en-US" w:bidi="ar-SA"/>
              </w:rPr>
            </w:pPr>
            <w:r w:rsidRPr="00434D94">
              <w:rPr>
                <w:rFonts w:ascii="Garamond" w:eastAsia="Calibri" w:hAnsi="Garamond"/>
                <w:sz w:val="16"/>
                <w:szCs w:val="16"/>
                <w:lang w:val="en-GB" w:eastAsia="en-US" w:bidi="ar-SA"/>
              </w:rPr>
              <w:t>% = number of performed audits / number of planned audits per year X 100</w:t>
            </w:r>
          </w:p>
        </w:tc>
      </w:tr>
      <w:tr w:rsidR="00E83919" w:rsidRPr="00434D94" w:rsidTr="00213533">
        <w:trPr>
          <w:gridAfter w:val="1"/>
          <w:wAfter w:w="19" w:type="dxa"/>
          <w:trHeight w:val="585"/>
          <w:jc w:val="center"/>
        </w:trPr>
        <w:tc>
          <w:tcPr>
            <w:tcW w:w="2721" w:type="dxa"/>
            <w:vAlign w:val="center"/>
          </w:tcPr>
          <w:p w:rsidR="00E83919" w:rsidRPr="00434D94" w:rsidRDefault="00E83919" w:rsidP="00213533">
            <w:pPr>
              <w:autoSpaceDE/>
              <w:autoSpaceDN/>
              <w:rPr>
                <w:rFonts w:ascii="Garamond" w:eastAsia="Calibri" w:hAnsi="Garamond"/>
                <w:b/>
                <w:bCs/>
                <w:caps/>
                <w:sz w:val="16"/>
                <w:szCs w:val="16"/>
                <w:lang w:val="en-GB" w:eastAsia="en-US" w:bidi="ar-SA"/>
              </w:rPr>
            </w:pPr>
            <w:r w:rsidRPr="00434D94">
              <w:rPr>
                <w:rFonts w:ascii="Garamond" w:eastAsia="Calibri" w:hAnsi="Garamond"/>
                <w:b/>
                <w:caps/>
                <w:sz w:val="16"/>
                <w:szCs w:val="16"/>
                <w:lang w:val="uz-Cyrl-UZ" w:eastAsia="en-US" w:bidi="ar-SA"/>
              </w:rPr>
              <w:t>BASELINE</w:t>
            </w:r>
            <w:r w:rsidRPr="00434D94">
              <w:rPr>
                <w:rFonts w:ascii="Garamond" w:eastAsia="Calibri" w:hAnsi="Garamond"/>
                <w:b/>
                <w:caps/>
                <w:sz w:val="16"/>
                <w:szCs w:val="16"/>
                <w:lang w:val="en-GB" w:eastAsia="en-US" w:bidi="ar-SA"/>
              </w:rPr>
              <w:t xml:space="preserve"> DATA</w:t>
            </w:r>
          </w:p>
        </w:tc>
        <w:tc>
          <w:tcPr>
            <w:tcW w:w="6836" w:type="dxa"/>
            <w:gridSpan w:val="4"/>
            <w:vAlign w:val="center"/>
          </w:tcPr>
          <w:p w:rsidR="00E83919" w:rsidRPr="00434D94" w:rsidRDefault="00E83919" w:rsidP="00E937E8">
            <w:pPr>
              <w:pStyle w:val="TabelaTekst"/>
              <w:rPr>
                <w:rFonts w:ascii="Garamond" w:hAnsi="Garamond"/>
                <w:sz w:val="16"/>
                <w:szCs w:val="16"/>
                <w:lang w:val="en-GB"/>
              </w:rPr>
            </w:pPr>
            <w:r w:rsidRPr="00434D94">
              <w:rPr>
                <w:rFonts w:ascii="Garamond" w:hAnsi="Garamond"/>
                <w:sz w:val="16"/>
                <w:szCs w:val="16"/>
              </w:rPr>
              <w:t>PV (2014</w:t>
            </w:r>
            <w:r w:rsidRPr="00434D94">
              <w:rPr>
                <w:rFonts w:ascii="Garamond" w:hAnsi="Garamond"/>
                <w:sz w:val="16"/>
                <w:szCs w:val="16"/>
                <w:lang w:val="en-GB"/>
              </w:rPr>
              <w:t xml:space="preserve">): </w:t>
            </w:r>
            <w:r w:rsidR="00E937E8" w:rsidRPr="00434D94">
              <w:rPr>
                <w:rFonts w:ascii="Garamond" w:hAnsi="Garamond"/>
                <w:sz w:val="16"/>
                <w:szCs w:val="16"/>
                <w:lang w:val="en-GB"/>
              </w:rPr>
              <w:t>60%</w:t>
            </w:r>
          </w:p>
          <w:p w:rsidR="00E937E8" w:rsidRPr="00434D94" w:rsidRDefault="00E937E8" w:rsidP="00E937E8">
            <w:pPr>
              <w:pStyle w:val="TabelaTekst"/>
              <w:rPr>
                <w:rFonts w:ascii="Garamond" w:hAnsi="Garamond"/>
                <w:sz w:val="16"/>
                <w:szCs w:val="16"/>
                <w:lang w:val="en-GB"/>
              </w:rPr>
            </w:pPr>
            <w:r w:rsidRPr="00434D94">
              <w:rPr>
                <w:rFonts w:ascii="Garamond" w:hAnsi="Garamond"/>
                <w:sz w:val="16"/>
                <w:szCs w:val="16"/>
              </w:rPr>
              <w:t>PV (201</w:t>
            </w:r>
            <w:r w:rsidRPr="00434D94">
              <w:rPr>
                <w:rFonts w:ascii="Garamond" w:hAnsi="Garamond"/>
                <w:sz w:val="16"/>
                <w:szCs w:val="16"/>
                <w:lang w:val="en-GB"/>
              </w:rPr>
              <w:t>7): 80%</w:t>
            </w:r>
          </w:p>
        </w:tc>
      </w:tr>
      <w:tr w:rsidR="00E83919" w:rsidRPr="00434D94" w:rsidTr="00213533">
        <w:trPr>
          <w:gridAfter w:val="1"/>
          <w:wAfter w:w="19" w:type="dxa"/>
          <w:trHeight w:val="160"/>
          <w:jc w:val="center"/>
        </w:trPr>
        <w:tc>
          <w:tcPr>
            <w:tcW w:w="2721" w:type="dxa"/>
            <w:vMerge w:val="restart"/>
            <w:vAlign w:val="center"/>
          </w:tcPr>
          <w:p w:rsidR="00E83919" w:rsidRPr="00434D94" w:rsidRDefault="00E83919" w:rsidP="00213533">
            <w:pPr>
              <w:autoSpaceDE/>
              <w:autoSpaceDN/>
              <w:rPr>
                <w:rFonts w:ascii="Garamond" w:eastAsia="Calibri" w:hAnsi="Garamond"/>
                <w:b/>
                <w:bCs/>
                <w:caps/>
                <w:sz w:val="16"/>
                <w:szCs w:val="16"/>
                <w:lang w:val="uz-Cyrl-UZ" w:eastAsia="en-US" w:bidi="ar-SA"/>
              </w:rPr>
            </w:pPr>
            <w:r w:rsidRPr="00434D94">
              <w:rPr>
                <w:rFonts w:ascii="Garamond" w:eastAsia="Calibri" w:hAnsi="Garamond"/>
                <w:b/>
                <w:caps/>
                <w:sz w:val="16"/>
                <w:szCs w:val="16"/>
                <w:lang w:val="uz-Cyrl-UZ" w:eastAsia="en-US" w:bidi="ar-SA"/>
              </w:rPr>
              <w:t>TARGET VALUE DATA</w:t>
            </w:r>
          </w:p>
        </w:tc>
        <w:tc>
          <w:tcPr>
            <w:tcW w:w="1771" w:type="dxa"/>
            <w:vAlign w:val="center"/>
          </w:tcPr>
          <w:p w:rsidR="00E83919" w:rsidRPr="00434D94" w:rsidRDefault="00E83919" w:rsidP="00213533">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2017</w:t>
            </w:r>
          </w:p>
        </w:tc>
        <w:tc>
          <w:tcPr>
            <w:tcW w:w="1771" w:type="dxa"/>
            <w:vAlign w:val="center"/>
          </w:tcPr>
          <w:p w:rsidR="00E83919" w:rsidRPr="00434D94" w:rsidRDefault="00E83919" w:rsidP="00213533">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2018</w:t>
            </w:r>
          </w:p>
        </w:tc>
        <w:tc>
          <w:tcPr>
            <w:tcW w:w="1771" w:type="dxa"/>
            <w:vAlign w:val="center"/>
          </w:tcPr>
          <w:p w:rsidR="00E83919" w:rsidRPr="00434D94" w:rsidRDefault="00E83919" w:rsidP="00213533">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2019</w:t>
            </w:r>
          </w:p>
        </w:tc>
        <w:tc>
          <w:tcPr>
            <w:tcW w:w="1523" w:type="dxa"/>
            <w:vAlign w:val="center"/>
          </w:tcPr>
          <w:p w:rsidR="00E83919" w:rsidRPr="00434D94" w:rsidRDefault="00E83919" w:rsidP="00213533">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2020</w:t>
            </w:r>
          </w:p>
        </w:tc>
      </w:tr>
      <w:tr w:rsidR="00E937E8" w:rsidRPr="00434D94" w:rsidTr="00213533">
        <w:trPr>
          <w:gridAfter w:val="1"/>
          <w:wAfter w:w="19" w:type="dxa"/>
          <w:trHeight w:val="160"/>
          <w:jc w:val="center"/>
        </w:trPr>
        <w:tc>
          <w:tcPr>
            <w:tcW w:w="2721" w:type="dxa"/>
            <w:vMerge/>
            <w:vAlign w:val="center"/>
          </w:tcPr>
          <w:p w:rsidR="00E937E8" w:rsidRPr="00434D94" w:rsidRDefault="00E937E8" w:rsidP="00213533">
            <w:pPr>
              <w:autoSpaceDE/>
              <w:autoSpaceDN/>
              <w:rPr>
                <w:rFonts w:ascii="Garamond" w:eastAsia="Calibri" w:hAnsi="Garamond"/>
                <w:b/>
                <w:bCs/>
                <w:caps/>
                <w:sz w:val="16"/>
                <w:szCs w:val="16"/>
                <w:lang w:val="uz-Cyrl-UZ" w:eastAsia="en-US" w:bidi="ar-SA"/>
              </w:rPr>
            </w:pPr>
          </w:p>
        </w:tc>
        <w:tc>
          <w:tcPr>
            <w:tcW w:w="1771" w:type="dxa"/>
            <w:vAlign w:val="center"/>
          </w:tcPr>
          <w:p w:rsidR="00E937E8" w:rsidRPr="00434D94" w:rsidRDefault="00E937E8" w:rsidP="00213533">
            <w:pPr>
              <w:pStyle w:val="TabelaTekst"/>
              <w:spacing w:before="0" w:after="0" w:line="240" w:lineRule="auto"/>
              <w:jc w:val="center"/>
              <w:rPr>
                <w:rFonts w:ascii="Garamond" w:hAnsi="Garamond"/>
                <w:sz w:val="16"/>
                <w:szCs w:val="16"/>
              </w:rPr>
            </w:pPr>
            <w:r w:rsidRPr="00434D94">
              <w:rPr>
                <w:rFonts w:ascii="Garamond" w:hAnsi="Garamond"/>
                <w:sz w:val="16"/>
                <w:szCs w:val="16"/>
              </w:rPr>
              <w:t>83%</w:t>
            </w:r>
          </w:p>
        </w:tc>
        <w:tc>
          <w:tcPr>
            <w:tcW w:w="1771" w:type="dxa"/>
            <w:vAlign w:val="center"/>
          </w:tcPr>
          <w:p w:rsidR="00E937E8" w:rsidRPr="00434D94" w:rsidRDefault="00E937E8" w:rsidP="00213533">
            <w:pPr>
              <w:pStyle w:val="TabelaTekst"/>
              <w:spacing w:before="0" w:after="0" w:line="240" w:lineRule="auto"/>
              <w:jc w:val="center"/>
              <w:rPr>
                <w:rFonts w:ascii="Garamond" w:hAnsi="Garamond"/>
                <w:sz w:val="16"/>
                <w:szCs w:val="16"/>
              </w:rPr>
            </w:pPr>
            <w:r w:rsidRPr="00434D94">
              <w:rPr>
                <w:rFonts w:ascii="Garamond" w:hAnsi="Garamond"/>
                <w:sz w:val="16"/>
                <w:szCs w:val="16"/>
              </w:rPr>
              <w:t>86%</w:t>
            </w:r>
          </w:p>
        </w:tc>
        <w:tc>
          <w:tcPr>
            <w:tcW w:w="1771" w:type="dxa"/>
            <w:vAlign w:val="center"/>
          </w:tcPr>
          <w:p w:rsidR="00E937E8" w:rsidRPr="00434D94" w:rsidRDefault="00E937E8" w:rsidP="00213533">
            <w:pPr>
              <w:pStyle w:val="TabelaTekst"/>
              <w:spacing w:before="0" w:after="0" w:line="240" w:lineRule="auto"/>
              <w:jc w:val="center"/>
              <w:rPr>
                <w:rFonts w:ascii="Garamond" w:hAnsi="Garamond"/>
                <w:sz w:val="16"/>
                <w:szCs w:val="16"/>
              </w:rPr>
            </w:pPr>
            <w:r w:rsidRPr="00434D94">
              <w:rPr>
                <w:rFonts w:ascii="Garamond" w:hAnsi="Garamond"/>
                <w:sz w:val="16"/>
                <w:szCs w:val="16"/>
              </w:rPr>
              <w:t>90%</w:t>
            </w:r>
          </w:p>
        </w:tc>
        <w:tc>
          <w:tcPr>
            <w:tcW w:w="1523" w:type="dxa"/>
            <w:vAlign w:val="center"/>
          </w:tcPr>
          <w:p w:rsidR="00E937E8" w:rsidRPr="00434D94" w:rsidRDefault="00E937E8" w:rsidP="00213533">
            <w:pPr>
              <w:pStyle w:val="TabelaTekst"/>
              <w:spacing w:before="0" w:after="0" w:line="240" w:lineRule="auto"/>
              <w:jc w:val="center"/>
              <w:rPr>
                <w:rFonts w:ascii="Garamond" w:hAnsi="Garamond"/>
                <w:sz w:val="16"/>
                <w:szCs w:val="16"/>
              </w:rPr>
            </w:pPr>
            <w:r w:rsidRPr="00434D94">
              <w:rPr>
                <w:rFonts w:ascii="Garamond" w:hAnsi="Garamond"/>
                <w:sz w:val="16"/>
                <w:szCs w:val="16"/>
              </w:rPr>
              <w:t>83%</w:t>
            </w:r>
          </w:p>
        </w:tc>
      </w:tr>
      <w:tr w:rsidR="00E937E8" w:rsidRPr="00434D94" w:rsidTr="00213533">
        <w:trPr>
          <w:gridAfter w:val="1"/>
          <w:wAfter w:w="19" w:type="dxa"/>
          <w:trHeight w:val="160"/>
          <w:jc w:val="center"/>
        </w:trPr>
        <w:tc>
          <w:tcPr>
            <w:tcW w:w="2721" w:type="dxa"/>
            <w:vAlign w:val="center"/>
          </w:tcPr>
          <w:p w:rsidR="00E937E8" w:rsidRPr="00434D94" w:rsidRDefault="0062456A" w:rsidP="00213533">
            <w:pPr>
              <w:autoSpaceDE/>
              <w:autoSpaceDN/>
              <w:rPr>
                <w:rFonts w:ascii="Garamond" w:eastAsia="Calibri" w:hAnsi="Garamond"/>
                <w:b/>
                <w:bCs/>
                <w:caps/>
                <w:sz w:val="16"/>
                <w:szCs w:val="16"/>
                <w:lang w:val="uz-Cyrl-UZ" w:eastAsia="en-US" w:bidi="ar-SA"/>
              </w:rPr>
            </w:pPr>
            <w:r w:rsidRPr="00434D94">
              <w:rPr>
                <w:rFonts w:ascii="Garamond" w:eastAsia="Calibri" w:hAnsi="Garamond"/>
                <w:b/>
                <w:bCs/>
                <w:caps/>
                <w:sz w:val="16"/>
                <w:szCs w:val="16"/>
                <w:lang w:val="uz-Cyrl-UZ" w:eastAsia="en-US" w:bidi="ar-SA"/>
              </w:rPr>
              <w:t>DATA ON VALUES ACHIEVED</w:t>
            </w:r>
          </w:p>
        </w:tc>
        <w:tc>
          <w:tcPr>
            <w:tcW w:w="1771" w:type="dxa"/>
            <w:vAlign w:val="center"/>
          </w:tcPr>
          <w:p w:rsidR="00E937E8" w:rsidRPr="00434D94" w:rsidRDefault="00E937E8" w:rsidP="00D11F0A">
            <w:pPr>
              <w:pStyle w:val="TOC3"/>
              <w:rPr>
                <w:rFonts w:ascii="Garamond" w:hAnsi="Garamond"/>
                <w:sz w:val="16"/>
                <w:szCs w:val="16"/>
              </w:rPr>
            </w:pPr>
            <w:r w:rsidRPr="00434D94">
              <w:rPr>
                <w:rFonts w:ascii="Garamond" w:hAnsi="Garamond"/>
                <w:sz w:val="16"/>
                <w:szCs w:val="16"/>
              </w:rPr>
              <w:t>86.27%</w:t>
            </w:r>
          </w:p>
        </w:tc>
        <w:tc>
          <w:tcPr>
            <w:tcW w:w="1771" w:type="dxa"/>
            <w:vAlign w:val="center"/>
          </w:tcPr>
          <w:p w:rsidR="00E937E8" w:rsidRPr="00434D94" w:rsidRDefault="00E937E8" w:rsidP="00D11F0A">
            <w:pPr>
              <w:pStyle w:val="TOC3"/>
              <w:rPr>
                <w:rFonts w:ascii="Garamond" w:hAnsi="Garamond"/>
                <w:sz w:val="16"/>
                <w:szCs w:val="16"/>
              </w:rPr>
            </w:pPr>
            <w:r w:rsidRPr="00434D94">
              <w:rPr>
                <w:rFonts w:ascii="Garamond" w:hAnsi="Garamond"/>
                <w:sz w:val="16"/>
                <w:szCs w:val="16"/>
              </w:rPr>
              <w:t>88.68%</w:t>
            </w:r>
          </w:p>
        </w:tc>
        <w:tc>
          <w:tcPr>
            <w:tcW w:w="1771" w:type="dxa"/>
            <w:vAlign w:val="center"/>
          </w:tcPr>
          <w:p w:rsidR="00E937E8" w:rsidRPr="00434D94" w:rsidRDefault="00E937E8" w:rsidP="00D11F0A">
            <w:pPr>
              <w:pStyle w:val="TOC3"/>
              <w:rPr>
                <w:rFonts w:ascii="Garamond" w:hAnsi="Garamond"/>
                <w:sz w:val="16"/>
                <w:szCs w:val="16"/>
              </w:rPr>
            </w:pPr>
            <w:r w:rsidRPr="00434D94">
              <w:rPr>
                <w:rFonts w:ascii="Garamond" w:hAnsi="Garamond"/>
                <w:sz w:val="16"/>
                <w:szCs w:val="16"/>
              </w:rPr>
              <w:t>72.50%</w:t>
            </w:r>
          </w:p>
        </w:tc>
        <w:tc>
          <w:tcPr>
            <w:tcW w:w="1523" w:type="dxa"/>
            <w:vAlign w:val="center"/>
          </w:tcPr>
          <w:p w:rsidR="00E937E8" w:rsidRPr="00434D94" w:rsidRDefault="00E937E8" w:rsidP="00213533">
            <w:pPr>
              <w:pStyle w:val="TabelaTekst"/>
              <w:spacing w:before="0" w:after="0" w:line="240" w:lineRule="auto"/>
              <w:jc w:val="center"/>
              <w:rPr>
                <w:rFonts w:ascii="Garamond" w:hAnsi="Garamond"/>
                <w:sz w:val="16"/>
                <w:szCs w:val="16"/>
              </w:rPr>
            </w:pPr>
            <w:r w:rsidRPr="00434D94">
              <w:rPr>
                <w:rFonts w:ascii="Garamond" w:hAnsi="Garamond"/>
                <w:sz w:val="16"/>
                <w:szCs w:val="16"/>
              </w:rPr>
              <w:t>86.27%</w:t>
            </w:r>
          </w:p>
        </w:tc>
      </w:tr>
    </w:tbl>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E937E8">
      <w:pPr>
        <w:pStyle w:val="Heading3"/>
        <w:rPr>
          <w:rFonts w:ascii="Garamond" w:hAnsi="Garamond"/>
          <w:sz w:val="24"/>
          <w:szCs w:val="24"/>
        </w:rPr>
      </w:pPr>
      <w:bookmarkStart w:id="84" w:name="_Toc77688261"/>
      <w:r w:rsidRPr="00C32887">
        <w:rPr>
          <w:rFonts w:ascii="Garamond" w:hAnsi="Garamond"/>
          <w:sz w:val="24"/>
          <w:szCs w:val="24"/>
        </w:rPr>
        <w:t xml:space="preserve">5.1.2 </w:t>
      </w:r>
      <w:r w:rsidR="00E937E8">
        <w:rPr>
          <w:rFonts w:ascii="Garamond" w:hAnsi="Garamond"/>
          <w:sz w:val="24"/>
          <w:szCs w:val="24"/>
        </w:rPr>
        <w:t>PERFORMANCE INDICATOR 35</w:t>
      </w:r>
      <w:r w:rsidR="00B93E38">
        <w:rPr>
          <w:rFonts w:ascii="Garamond" w:hAnsi="Garamond"/>
          <w:sz w:val="24"/>
          <w:szCs w:val="24"/>
        </w:rPr>
        <w:t xml:space="preserve"> </w:t>
      </w:r>
      <w:r w:rsidR="00E937E8" w:rsidRPr="00C32887">
        <w:rPr>
          <w:rFonts w:ascii="Garamond" w:hAnsi="Garamond"/>
          <w:sz w:val="24"/>
          <w:szCs w:val="24"/>
        </w:rPr>
        <w:t>PASSPORT</w:t>
      </w:r>
      <w:bookmarkEnd w:id="84"/>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3311"/>
        <w:gridCol w:w="1456"/>
        <w:gridCol w:w="2069"/>
        <w:gridCol w:w="19"/>
      </w:tblGrid>
      <w:tr w:rsidR="00E937E8" w:rsidRPr="00D11F0A" w:rsidTr="00213533">
        <w:trPr>
          <w:jc w:val="center"/>
        </w:trPr>
        <w:tc>
          <w:tcPr>
            <w:tcW w:w="2721" w:type="dxa"/>
            <w:tcBorders>
              <w:right w:val="single" w:sz="4" w:space="0" w:color="FFFFFF"/>
            </w:tcBorders>
            <w:shd w:val="clear" w:color="auto" w:fill="BFBFBF"/>
            <w:vAlign w:val="center"/>
          </w:tcPr>
          <w:p w:rsidR="00E937E8" w:rsidRPr="00D11F0A" w:rsidRDefault="00E937E8" w:rsidP="00213533">
            <w:pPr>
              <w:autoSpaceDE/>
              <w:autoSpaceDN/>
              <w:rPr>
                <w:rFonts w:ascii="Garamond" w:eastAsia="Calibri" w:hAnsi="Garamond"/>
                <w:b/>
                <w:caps/>
                <w:sz w:val="16"/>
                <w:szCs w:val="16"/>
                <w:lang w:val="en-GB" w:eastAsia="en-US" w:bidi="ar-SA"/>
              </w:rPr>
            </w:pPr>
            <w:r w:rsidRPr="00D11F0A">
              <w:rPr>
                <w:rFonts w:ascii="Garamond" w:eastAsia="Calibri" w:hAnsi="Garamond"/>
                <w:b/>
                <w:caps/>
                <w:sz w:val="16"/>
                <w:szCs w:val="16"/>
                <w:lang w:val="en-GB" w:eastAsia="en-US" w:bidi="ar-SA"/>
              </w:rPr>
              <w:t>performance indicator</w:t>
            </w:r>
          </w:p>
        </w:tc>
        <w:tc>
          <w:tcPr>
            <w:tcW w:w="6855" w:type="dxa"/>
            <w:gridSpan w:val="4"/>
            <w:tcBorders>
              <w:left w:val="single" w:sz="4" w:space="0" w:color="FFFFFF"/>
            </w:tcBorders>
            <w:shd w:val="clear" w:color="auto" w:fill="BFBFBF"/>
            <w:vAlign w:val="center"/>
          </w:tcPr>
          <w:p w:rsidR="00E937E8" w:rsidRPr="00D11F0A" w:rsidRDefault="00E937E8" w:rsidP="00213533">
            <w:pPr>
              <w:pStyle w:val="Default"/>
              <w:jc w:val="both"/>
              <w:rPr>
                <w:rFonts w:ascii="Garamond" w:eastAsia="Calibri" w:hAnsi="Garamond"/>
                <w:b/>
                <w:sz w:val="16"/>
                <w:szCs w:val="16"/>
                <w:lang w:eastAsia="en-US"/>
              </w:rPr>
            </w:pPr>
            <w:r w:rsidRPr="00D11F0A">
              <w:rPr>
                <w:rFonts w:ascii="Garamond" w:hAnsi="Garamond"/>
                <w:iCs/>
                <w:sz w:val="16"/>
                <w:szCs w:val="16"/>
              </w:rPr>
              <w:t>Application of ISSAI-compliant methodology for financial, regularity and performance audits</w:t>
            </w:r>
          </w:p>
        </w:tc>
      </w:tr>
      <w:tr w:rsidR="00E937E8" w:rsidRPr="00D11F0A" w:rsidTr="00213533">
        <w:trPr>
          <w:gridAfter w:val="1"/>
          <w:wAfter w:w="19" w:type="dxa"/>
          <w:jc w:val="center"/>
        </w:trPr>
        <w:tc>
          <w:tcPr>
            <w:tcW w:w="2721" w:type="dxa"/>
            <w:vAlign w:val="center"/>
          </w:tcPr>
          <w:p w:rsidR="00E937E8" w:rsidRPr="00D11F0A" w:rsidRDefault="00E937E8" w:rsidP="006225A7">
            <w:pPr>
              <w:rPr>
                <w:rFonts w:ascii="Garamond" w:eastAsia="Calibri" w:hAnsi="Garamond"/>
                <w:b/>
                <w:caps/>
                <w:sz w:val="16"/>
                <w:szCs w:val="16"/>
                <w:lang w:val="en-GB" w:eastAsia="en-US" w:bidi="ar-SA"/>
              </w:rPr>
            </w:pPr>
            <w:r w:rsidRPr="00D11F0A">
              <w:rPr>
                <w:rFonts w:ascii="Garamond" w:eastAsia="Calibri" w:hAnsi="Garamond"/>
                <w:b/>
                <w:caps/>
                <w:sz w:val="16"/>
                <w:szCs w:val="16"/>
                <w:lang w:val="en-GB" w:eastAsia="en-US" w:bidi="ar-SA"/>
              </w:rPr>
              <w:t>corresponding objective or activity</w:t>
            </w:r>
          </w:p>
        </w:tc>
        <w:tc>
          <w:tcPr>
            <w:tcW w:w="6836" w:type="dxa"/>
            <w:gridSpan w:val="3"/>
            <w:vAlign w:val="center"/>
          </w:tcPr>
          <w:p w:rsidR="00E937E8" w:rsidRPr="00D11F0A" w:rsidRDefault="00E937E8" w:rsidP="006225A7">
            <w:pPr>
              <w:rPr>
                <w:rFonts w:ascii="Garamond" w:hAnsi="Garamond"/>
                <w:color w:val="365F91" w:themeColor="accent1" w:themeShade="BF"/>
                <w:sz w:val="16"/>
                <w:szCs w:val="16"/>
              </w:rPr>
            </w:pPr>
            <w:r w:rsidRPr="00D11F0A">
              <w:rPr>
                <w:rFonts w:ascii="Garamond" w:hAnsi="Garamond"/>
                <w:color w:val="365F91" w:themeColor="accent1" w:themeShade="BF"/>
                <w:sz w:val="16"/>
                <w:szCs w:val="16"/>
              </w:rPr>
              <w:t>Strengthening external audit capacities</w:t>
            </w:r>
          </w:p>
          <w:p w:rsidR="00E937E8" w:rsidRPr="00D11F0A" w:rsidRDefault="00E937E8" w:rsidP="006225A7">
            <w:pPr>
              <w:pStyle w:val="ListParagraph"/>
              <w:numPr>
                <w:ilvl w:val="0"/>
                <w:numId w:val="28"/>
              </w:numPr>
              <w:rPr>
                <w:rFonts w:ascii="Garamond" w:hAnsi="Garamond"/>
                <w:color w:val="365F91" w:themeColor="accent1" w:themeShade="BF"/>
                <w:sz w:val="16"/>
                <w:szCs w:val="16"/>
              </w:rPr>
            </w:pPr>
            <w:r w:rsidRPr="00D11F0A">
              <w:rPr>
                <w:rFonts w:ascii="Garamond" w:hAnsi="Garamond"/>
                <w:color w:val="365F91" w:themeColor="accent1" w:themeShade="BF"/>
                <w:sz w:val="16"/>
                <w:szCs w:val="16"/>
              </w:rPr>
              <w:t xml:space="preserve">Improving the audit process, strengthening audit capacities and transparency in the use of public finances - State Audit Institution </w:t>
            </w:r>
          </w:p>
          <w:p w:rsidR="00E937E8" w:rsidRPr="00D11F0A" w:rsidRDefault="00E937E8" w:rsidP="006225A7">
            <w:pPr>
              <w:rPr>
                <w:rFonts w:ascii="Garamond" w:hAnsi="Garamond"/>
                <w:color w:val="365F91" w:themeColor="accent1" w:themeShade="BF"/>
                <w:sz w:val="16"/>
                <w:szCs w:val="16"/>
              </w:rPr>
            </w:pPr>
          </w:p>
        </w:tc>
      </w:tr>
      <w:tr w:rsidR="00E937E8" w:rsidRPr="00D11F0A" w:rsidTr="00213533">
        <w:trPr>
          <w:gridAfter w:val="1"/>
          <w:wAfter w:w="19" w:type="dxa"/>
          <w:jc w:val="center"/>
        </w:trPr>
        <w:tc>
          <w:tcPr>
            <w:tcW w:w="2721" w:type="dxa"/>
            <w:vAlign w:val="center"/>
          </w:tcPr>
          <w:p w:rsidR="00E937E8" w:rsidRPr="00D11F0A" w:rsidRDefault="00E937E8" w:rsidP="00213533">
            <w:pPr>
              <w:autoSpaceDE/>
              <w:autoSpaceDN/>
              <w:rPr>
                <w:rFonts w:ascii="Garamond" w:eastAsia="Calibri" w:hAnsi="Garamond"/>
                <w:b/>
                <w:caps/>
                <w:sz w:val="16"/>
                <w:szCs w:val="16"/>
                <w:lang w:val="uz-Cyrl-UZ" w:eastAsia="en-US" w:bidi="ar-SA"/>
              </w:rPr>
            </w:pPr>
            <w:r w:rsidRPr="00D11F0A">
              <w:rPr>
                <w:rFonts w:ascii="Garamond" w:eastAsia="Calibri" w:hAnsi="Garamond"/>
                <w:b/>
                <w:caps/>
                <w:sz w:val="16"/>
                <w:szCs w:val="16"/>
                <w:lang w:val="uz-Cyrl-UZ" w:eastAsia="en-US" w:bidi="ar-SA"/>
              </w:rPr>
              <w:t>SOURCE OF DATA FOR MONITORING PERFORMANCE INDICATORS</w:t>
            </w:r>
          </w:p>
        </w:tc>
        <w:tc>
          <w:tcPr>
            <w:tcW w:w="6836" w:type="dxa"/>
            <w:gridSpan w:val="3"/>
            <w:vAlign w:val="center"/>
          </w:tcPr>
          <w:p w:rsidR="00E937E8" w:rsidRPr="00D11F0A" w:rsidRDefault="00E937E8" w:rsidP="00E937E8">
            <w:pPr>
              <w:jc w:val="both"/>
              <w:rPr>
                <w:rFonts w:ascii="Garamond" w:eastAsia="Calibri" w:hAnsi="Garamond"/>
                <w:sz w:val="16"/>
                <w:szCs w:val="16"/>
                <w:lang w:val="uz-Cyrl-UZ" w:eastAsia="en-US" w:bidi="ar-SA"/>
              </w:rPr>
            </w:pPr>
            <w:r w:rsidRPr="00D11F0A">
              <w:rPr>
                <w:rFonts w:ascii="Garamond" w:eastAsia="Calibri" w:hAnsi="Garamond"/>
                <w:sz w:val="16"/>
                <w:szCs w:val="16"/>
                <w:lang w:val="uz-Cyrl-UZ" w:eastAsia="en-US" w:bidi="ar-SA"/>
              </w:rPr>
              <w:t>Data for monitoring performance indicators are collected at the national level.</w:t>
            </w:r>
          </w:p>
          <w:p w:rsidR="00E937E8" w:rsidRPr="00D11F0A" w:rsidRDefault="00E937E8" w:rsidP="00E937E8">
            <w:pPr>
              <w:jc w:val="both"/>
              <w:rPr>
                <w:rFonts w:ascii="Garamond" w:eastAsia="Calibri" w:hAnsi="Garamond"/>
                <w:sz w:val="16"/>
                <w:szCs w:val="16"/>
                <w:lang w:val="uz-Cyrl-UZ" w:eastAsia="en-US" w:bidi="ar-SA"/>
              </w:rPr>
            </w:pPr>
            <w:r w:rsidRPr="00D11F0A">
              <w:rPr>
                <w:rFonts w:ascii="Garamond" w:eastAsia="Calibri" w:hAnsi="Garamond"/>
                <w:sz w:val="16"/>
                <w:szCs w:val="16"/>
                <w:lang w:val="uz-Cyrl-UZ" w:eastAsia="en-US" w:bidi="ar-SA"/>
              </w:rPr>
              <w:t>SAI source:</w:t>
            </w:r>
          </w:p>
          <w:p w:rsidR="00E937E8" w:rsidRPr="00D11F0A" w:rsidRDefault="00E937E8" w:rsidP="00E937E8">
            <w:pPr>
              <w:jc w:val="both"/>
              <w:rPr>
                <w:rFonts w:ascii="Garamond" w:eastAsia="Calibri" w:hAnsi="Garamond"/>
                <w:sz w:val="16"/>
                <w:szCs w:val="16"/>
                <w:lang w:val="uz-Cyrl-UZ" w:eastAsia="en-US" w:bidi="ar-SA"/>
              </w:rPr>
            </w:pPr>
            <w:r w:rsidRPr="00D11F0A">
              <w:rPr>
                <w:rFonts w:ascii="Garamond" w:eastAsia="Calibri" w:hAnsi="Garamond"/>
                <w:sz w:val="16"/>
                <w:szCs w:val="16"/>
                <w:lang w:val="uz-Cyrl-UZ" w:eastAsia="en-US" w:bidi="ar-SA"/>
              </w:rPr>
              <w:t xml:space="preserve">Working documents prepared by the project team and experts engaged within the IPA project "Development and capacity building of SAI and </w:t>
            </w:r>
            <w:r w:rsidR="00D51CE0" w:rsidRPr="00D11F0A">
              <w:rPr>
                <w:rFonts w:ascii="Garamond" w:eastAsia="Calibri" w:hAnsi="Garamond"/>
                <w:sz w:val="16"/>
                <w:szCs w:val="16"/>
                <w:lang w:eastAsia="en-US" w:bidi="ar-SA"/>
              </w:rPr>
              <w:t>AA</w:t>
            </w:r>
            <w:r w:rsidRPr="00D11F0A">
              <w:rPr>
                <w:rFonts w:ascii="Garamond" w:eastAsia="Calibri" w:hAnsi="Garamond"/>
                <w:sz w:val="16"/>
                <w:szCs w:val="16"/>
                <w:lang w:val="uz-Cyrl-UZ" w:eastAsia="en-US" w:bidi="ar-SA"/>
              </w:rPr>
              <w:t>".</w:t>
            </w:r>
          </w:p>
          <w:p w:rsidR="00E937E8" w:rsidRPr="00D11F0A" w:rsidRDefault="00E937E8" w:rsidP="00E937E8">
            <w:pPr>
              <w:jc w:val="both"/>
              <w:rPr>
                <w:rFonts w:ascii="Garamond" w:eastAsia="Calibri" w:hAnsi="Garamond"/>
                <w:sz w:val="16"/>
                <w:szCs w:val="16"/>
                <w:lang w:val="en-GB" w:eastAsia="en-US" w:bidi="ar-SA"/>
              </w:rPr>
            </w:pPr>
            <w:r w:rsidRPr="00D11F0A">
              <w:rPr>
                <w:rFonts w:ascii="Garamond" w:eastAsia="Calibri" w:hAnsi="Garamond"/>
                <w:sz w:val="16"/>
                <w:szCs w:val="16"/>
                <w:lang w:val="uz-Cyrl-UZ" w:eastAsia="en-US" w:bidi="ar-SA"/>
              </w:rPr>
              <w:t xml:space="preserve">Official website of the State Audit Institution: </w:t>
            </w:r>
          </w:p>
          <w:p w:rsidR="00E937E8" w:rsidRPr="00D11F0A" w:rsidRDefault="00613C2B" w:rsidP="00E937E8">
            <w:pPr>
              <w:jc w:val="both"/>
              <w:rPr>
                <w:rFonts w:ascii="Garamond" w:eastAsia="Calibri" w:hAnsi="Garamond"/>
                <w:sz w:val="16"/>
                <w:szCs w:val="16"/>
                <w:lang w:val="en-GB" w:eastAsia="en-US" w:bidi="ar-SA"/>
              </w:rPr>
            </w:pPr>
            <w:hyperlink r:id="rId34" w:history="1">
              <w:r w:rsidR="00E937E8" w:rsidRPr="00D11F0A">
                <w:rPr>
                  <w:rStyle w:val="Hyperlink"/>
                  <w:rFonts w:ascii="Garamond" w:eastAsia="Calibri" w:hAnsi="Garamond"/>
                  <w:sz w:val="16"/>
                  <w:szCs w:val="16"/>
                  <w:lang w:val="uz-Cyrl-UZ" w:eastAsia="en-US" w:bidi="ar-SA"/>
                </w:rPr>
                <w:t>http://www.dri.co.me/1/index.php?option=com_content&amp;view=article&amp;id=93&amp;Itemid=20&amp;lang=sr</w:t>
              </w:r>
            </w:hyperlink>
          </w:p>
          <w:p w:rsidR="00E937E8" w:rsidRPr="00D11F0A" w:rsidRDefault="00E937E8" w:rsidP="00E937E8">
            <w:pPr>
              <w:jc w:val="both"/>
              <w:rPr>
                <w:rFonts w:ascii="Garamond" w:eastAsia="Calibri" w:hAnsi="Garamond"/>
                <w:sz w:val="16"/>
                <w:szCs w:val="16"/>
                <w:lang w:val="en-GB" w:eastAsia="en-US" w:bidi="ar-SA"/>
              </w:rPr>
            </w:pPr>
          </w:p>
          <w:p w:rsidR="00E937E8" w:rsidRPr="00D11F0A" w:rsidRDefault="00613C2B" w:rsidP="00E937E8">
            <w:pPr>
              <w:jc w:val="both"/>
              <w:rPr>
                <w:rFonts w:ascii="Garamond" w:eastAsia="Calibri" w:hAnsi="Garamond"/>
                <w:sz w:val="16"/>
                <w:szCs w:val="16"/>
                <w:lang w:val="en-GB" w:eastAsia="en-US" w:bidi="ar-SA"/>
              </w:rPr>
            </w:pPr>
            <w:hyperlink r:id="rId35" w:history="1">
              <w:r w:rsidR="00E937E8" w:rsidRPr="00D11F0A">
                <w:rPr>
                  <w:rStyle w:val="Hyperlink"/>
                  <w:rFonts w:ascii="Garamond" w:eastAsia="Calibri" w:hAnsi="Garamond"/>
                  <w:sz w:val="16"/>
                  <w:szCs w:val="16"/>
                  <w:lang w:val="uz-Cyrl-UZ" w:eastAsia="en-US" w:bidi="ar-SA"/>
                </w:rPr>
                <w:t>http://www.dri.co.me/1/index.php?option=com_content&amp;view=article&amp;id=139&amp;Itemid=204&amp;lang=sr</w:t>
              </w:r>
            </w:hyperlink>
          </w:p>
          <w:p w:rsidR="00E937E8" w:rsidRPr="00D11F0A" w:rsidRDefault="00E937E8" w:rsidP="00E937E8">
            <w:pPr>
              <w:jc w:val="both"/>
              <w:rPr>
                <w:rFonts w:ascii="Garamond" w:eastAsia="Calibri" w:hAnsi="Garamond"/>
                <w:sz w:val="16"/>
                <w:szCs w:val="16"/>
                <w:lang w:val="en-GB" w:eastAsia="en-US" w:bidi="ar-SA"/>
              </w:rPr>
            </w:pPr>
          </w:p>
        </w:tc>
      </w:tr>
      <w:tr w:rsidR="00E937E8" w:rsidRPr="00D11F0A" w:rsidTr="00213533">
        <w:trPr>
          <w:gridAfter w:val="1"/>
          <w:wAfter w:w="19" w:type="dxa"/>
          <w:jc w:val="center"/>
        </w:trPr>
        <w:tc>
          <w:tcPr>
            <w:tcW w:w="2721" w:type="dxa"/>
            <w:vAlign w:val="center"/>
          </w:tcPr>
          <w:p w:rsidR="00E937E8" w:rsidRPr="00D11F0A" w:rsidRDefault="00E937E8" w:rsidP="00213533">
            <w:pPr>
              <w:autoSpaceDE/>
              <w:autoSpaceDN/>
              <w:rPr>
                <w:rFonts w:ascii="Garamond" w:eastAsia="Calibri" w:hAnsi="Garamond"/>
                <w:b/>
                <w:caps/>
                <w:sz w:val="16"/>
                <w:szCs w:val="16"/>
                <w:lang w:val="uz-Cyrl-UZ" w:eastAsia="en-US" w:bidi="ar-SA"/>
              </w:rPr>
            </w:pPr>
            <w:r w:rsidRPr="00D11F0A">
              <w:rPr>
                <w:rFonts w:ascii="Garamond" w:eastAsia="Calibri" w:hAnsi="Garamond"/>
                <w:b/>
                <w:caps/>
                <w:sz w:val="16"/>
                <w:szCs w:val="16"/>
                <w:lang w:val="uz-Cyrl-UZ" w:eastAsia="en-US" w:bidi="ar-SA"/>
              </w:rPr>
              <w:t>NAME OF DATA COLLECTION HOLDER</w:t>
            </w:r>
          </w:p>
        </w:tc>
        <w:tc>
          <w:tcPr>
            <w:tcW w:w="6836" w:type="dxa"/>
            <w:gridSpan w:val="3"/>
            <w:vAlign w:val="center"/>
          </w:tcPr>
          <w:p w:rsidR="00E937E8" w:rsidRPr="00D11F0A" w:rsidRDefault="00E937E8" w:rsidP="00213533">
            <w:pPr>
              <w:rPr>
                <w:rFonts w:ascii="Garamond" w:hAnsi="Garamond"/>
                <w:sz w:val="16"/>
                <w:szCs w:val="16"/>
              </w:rPr>
            </w:pPr>
            <w:r w:rsidRPr="00D11F0A">
              <w:rPr>
                <w:rFonts w:ascii="Garamond" w:hAnsi="Garamond"/>
                <w:sz w:val="16"/>
                <w:szCs w:val="16"/>
              </w:rPr>
              <w:t>State Audit Institution</w:t>
            </w:r>
          </w:p>
          <w:p w:rsidR="00E937E8" w:rsidRPr="00D11F0A" w:rsidRDefault="00E937E8" w:rsidP="00213533">
            <w:pPr>
              <w:rPr>
                <w:rFonts w:ascii="Garamond" w:hAnsi="Garamond"/>
                <w:sz w:val="16"/>
                <w:szCs w:val="16"/>
              </w:rPr>
            </w:pPr>
            <w:r w:rsidRPr="00D11F0A">
              <w:rPr>
                <w:rFonts w:ascii="Garamond" w:hAnsi="Garamond"/>
                <w:sz w:val="16"/>
                <w:szCs w:val="16"/>
              </w:rPr>
              <w:t>Zoran Jelić</w:t>
            </w:r>
          </w:p>
          <w:p w:rsidR="00E937E8" w:rsidRPr="00D11F0A" w:rsidRDefault="00E937E8" w:rsidP="00213533">
            <w:pPr>
              <w:rPr>
                <w:rFonts w:ascii="Garamond" w:hAnsi="Garamond"/>
                <w:sz w:val="16"/>
                <w:szCs w:val="16"/>
              </w:rPr>
            </w:pPr>
            <w:r w:rsidRPr="00D11F0A">
              <w:rPr>
                <w:rFonts w:ascii="Garamond" w:hAnsi="Garamond"/>
                <w:sz w:val="16"/>
                <w:szCs w:val="16"/>
              </w:rPr>
              <w:t>zoran.jelic@dri.co.me</w:t>
            </w:r>
          </w:p>
          <w:p w:rsidR="00E937E8" w:rsidRPr="00D11F0A" w:rsidRDefault="00E937E8" w:rsidP="00213533">
            <w:pPr>
              <w:rPr>
                <w:rFonts w:ascii="Garamond" w:hAnsi="Garamond"/>
                <w:sz w:val="16"/>
                <w:szCs w:val="16"/>
              </w:rPr>
            </w:pPr>
            <w:r w:rsidRPr="00D11F0A">
              <w:rPr>
                <w:rFonts w:ascii="Garamond" w:hAnsi="Garamond"/>
                <w:sz w:val="16"/>
                <w:szCs w:val="16"/>
              </w:rPr>
              <w:t>Phone: 020 / 407-407</w:t>
            </w:r>
          </w:p>
          <w:p w:rsidR="00E937E8" w:rsidRPr="00D11F0A" w:rsidRDefault="00E937E8" w:rsidP="00213533">
            <w:pPr>
              <w:rPr>
                <w:rFonts w:ascii="Garamond" w:hAnsi="Garamond"/>
                <w:sz w:val="16"/>
                <w:szCs w:val="16"/>
              </w:rPr>
            </w:pPr>
          </w:p>
          <w:p w:rsidR="00E937E8" w:rsidRPr="00D11F0A" w:rsidRDefault="00E937E8" w:rsidP="00213533">
            <w:pPr>
              <w:rPr>
                <w:rFonts w:ascii="Garamond" w:hAnsi="Garamond"/>
                <w:sz w:val="16"/>
                <w:szCs w:val="16"/>
              </w:rPr>
            </w:pPr>
            <w:r w:rsidRPr="00D11F0A">
              <w:rPr>
                <w:rFonts w:ascii="Garamond" w:hAnsi="Garamond"/>
                <w:sz w:val="16"/>
                <w:szCs w:val="16"/>
              </w:rPr>
              <w:t>Mihaela Popovic</w:t>
            </w:r>
          </w:p>
          <w:p w:rsidR="00E937E8" w:rsidRPr="00D11F0A" w:rsidRDefault="00E937E8" w:rsidP="00213533">
            <w:pPr>
              <w:rPr>
                <w:rFonts w:ascii="Garamond" w:hAnsi="Garamond"/>
                <w:sz w:val="16"/>
                <w:szCs w:val="16"/>
              </w:rPr>
            </w:pPr>
            <w:r w:rsidRPr="00D11F0A">
              <w:rPr>
                <w:rFonts w:ascii="Garamond" w:hAnsi="Garamond"/>
                <w:sz w:val="16"/>
                <w:szCs w:val="16"/>
              </w:rPr>
              <w:t>mihaela.popovic@dri.co.me</w:t>
            </w:r>
          </w:p>
          <w:p w:rsidR="00E937E8" w:rsidRPr="00D11F0A" w:rsidRDefault="00E937E8" w:rsidP="00213533">
            <w:pPr>
              <w:rPr>
                <w:rFonts w:ascii="Garamond" w:hAnsi="Garamond"/>
                <w:sz w:val="16"/>
                <w:szCs w:val="16"/>
              </w:rPr>
            </w:pPr>
            <w:r w:rsidRPr="00D11F0A">
              <w:rPr>
                <w:rFonts w:ascii="Garamond" w:hAnsi="Garamond"/>
                <w:sz w:val="16"/>
                <w:szCs w:val="16"/>
              </w:rPr>
              <w:t>Phone: 020 / 407-404</w:t>
            </w:r>
          </w:p>
          <w:p w:rsidR="00E937E8" w:rsidRPr="00D11F0A" w:rsidRDefault="00E937E8" w:rsidP="00213533">
            <w:pPr>
              <w:rPr>
                <w:rFonts w:ascii="Garamond" w:hAnsi="Garamond"/>
                <w:sz w:val="16"/>
                <w:szCs w:val="16"/>
              </w:rPr>
            </w:pPr>
          </w:p>
          <w:p w:rsidR="00E937E8" w:rsidRPr="00D11F0A" w:rsidRDefault="00E937E8" w:rsidP="00213533">
            <w:pPr>
              <w:rPr>
                <w:rFonts w:ascii="Garamond" w:hAnsi="Garamond"/>
                <w:sz w:val="16"/>
                <w:szCs w:val="16"/>
              </w:rPr>
            </w:pPr>
            <w:r w:rsidRPr="00D11F0A">
              <w:rPr>
                <w:rFonts w:ascii="Garamond" w:hAnsi="Garamond"/>
                <w:sz w:val="16"/>
                <w:szCs w:val="16"/>
              </w:rPr>
              <w:t>Marija Žugić, Department of International Relations marija.zugic@dri.co.me</w:t>
            </w:r>
          </w:p>
          <w:p w:rsidR="00E937E8" w:rsidRPr="00D11F0A" w:rsidRDefault="00E937E8" w:rsidP="00213533">
            <w:pPr>
              <w:rPr>
                <w:rFonts w:ascii="Garamond" w:eastAsia="Calibri" w:hAnsi="Garamond"/>
                <w:sz w:val="16"/>
                <w:szCs w:val="16"/>
                <w:lang w:eastAsia="en-US" w:bidi="ar-SA"/>
              </w:rPr>
            </w:pPr>
            <w:r w:rsidRPr="00D11F0A">
              <w:rPr>
                <w:rFonts w:ascii="Garamond" w:hAnsi="Garamond"/>
                <w:sz w:val="16"/>
                <w:szCs w:val="16"/>
              </w:rPr>
              <w:t>Phone: 020 / 407-430</w:t>
            </w:r>
          </w:p>
        </w:tc>
      </w:tr>
      <w:tr w:rsidR="00E937E8" w:rsidRPr="00D11F0A" w:rsidTr="00213533">
        <w:trPr>
          <w:gridAfter w:val="1"/>
          <w:wAfter w:w="19" w:type="dxa"/>
          <w:jc w:val="center"/>
        </w:trPr>
        <w:tc>
          <w:tcPr>
            <w:tcW w:w="2721" w:type="dxa"/>
            <w:vAlign w:val="center"/>
          </w:tcPr>
          <w:p w:rsidR="00E937E8" w:rsidRPr="00D11F0A" w:rsidRDefault="00E937E8" w:rsidP="00213533">
            <w:pPr>
              <w:autoSpaceDE/>
              <w:autoSpaceDN/>
              <w:rPr>
                <w:rFonts w:ascii="Garamond" w:eastAsia="Calibri" w:hAnsi="Garamond"/>
                <w:b/>
                <w:caps/>
                <w:sz w:val="16"/>
                <w:szCs w:val="16"/>
                <w:lang w:val="uz-Cyrl-UZ" w:eastAsia="en-US" w:bidi="ar-SA"/>
              </w:rPr>
            </w:pPr>
            <w:r w:rsidRPr="00D11F0A">
              <w:rPr>
                <w:rFonts w:ascii="Garamond" w:eastAsia="Calibri" w:hAnsi="Garamond"/>
                <w:b/>
                <w:caps/>
                <w:sz w:val="16"/>
                <w:szCs w:val="16"/>
                <w:lang w:val="uz-Cyrl-UZ" w:eastAsia="en-US" w:bidi="ar-SA"/>
              </w:rPr>
              <w:t>FREQUENCY OF DATA PUBLICATION</w:t>
            </w:r>
          </w:p>
        </w:tc>
        <w:tc>
          <w:tcPr>
            <w:tcW w:w="6836" w:type="dxa"/>
            <w:gridSpan w:val="3"/>
            <w:vAlign w:val="center"/>
          </w:tcPr>
          <w:p w:rsidR="00E937E8" w:rsidRPr="00D11F0A" w:rsidRDefault="00E937E8" w:rsidP="00213533">
            <w:pPr>
              <w:rPr>
                <w:rFonts w:ascii="Garamond" w:eastAsia="Calibri" w:hAnsi="Garamond"/>
                <w:sz w:val="16"/>
                <w:szCs w:val="16"/>
                <w:lang w:eastAsia="en-US" w:bidi="ar-SA"/>
              </w:rPr>
            </w:pPr>
            <w:r w:rsidRPr="00D11F0A">
              <w:rPr>
                <w:rFonts w:ascii="Garamond" w:eastAsia="Calibri" w:hAnsi="Garamond"/>
                <w:sz w:val="16"/>
                <w:szCs w:val="16"/>
                <w:lang w:eastAsia="en-US" w:bidi="ar-SA"/>
              </w:rPr>
              <w:t>Q4 of the current calendar year.</w:t>
            </w:r>
          </w:p>
        </w:tc>
      </w:tr>
      <w:tr w:rsidR="00E937E8" w:rsidRPr="00D11F0A" w:rsidTr="00213533">
        <w:trPr>
          <w:gridAfter w:val="1"/>
          <w:wAfter w:w="19" w:type="dxa"/>
          <w:trHeight w:val="458"/>
          <w:jc w:val="center"/>
        </w:trPr>
        <w:tc>
          <w:tcPr>
            <w:tcW w:w="2721" w:type="dxa"/>
            <w:vMerge w:val="restart"/>
            <w:vAlign w:val="center"/>
          </w:tcPr>
          <w:p w:rsidR="00E937E8" w:rsidRPr="00D11F0A" w:rsidRDefault="00E937E8" w:rsidP="00213533">
            <w:pPr>
              <w:autoSpaceDE/>
              <w:autoSpaceDN/>
              <w:rPr>
                <w:rFonts w:ascii="Garamond" w:eastAsia="Calibri" w:hAnsi="Garamond"/>
                <w:b/>
                <w:caps/>
                <w:sz w:val="16"/>
                <w:szCs w:val="16"/>
                <w:lang w:val="uz-Cyrl-UZ" w:eastAsia="en-US" w:bidi="ar-SA"/>
              </w:rPr>
            </w:pPr>
            <w:r w:rsidRPr="00D11F0A">
              <w:rPr>
                <w:rFonts w:ascii="Garamond" w:eastAsia="Calibri" w:hAnsi="Garamond"/>
                <w:b/>
                <w:caps/>
                <w:sz w:val="16"/>
                <w:szCs w:val="16"/>
                <w:lang w:val="uz-Cyrl-UZ" w:eastAsia="en-US" w:bidi="ar-SA"/>
              </w:rPr>
              <w:t xml:space="preserve">BRIEF DESCRIPTION </w:t>
            </w:r>
            <w:r w:rsidRPr="00D11F0A">
              <w:rPr>
                <w:rFonts w:ascii="Garamond" w:eastAsia="Calibri" w:hAnsi="Garamond"/>
                <w:b/>
                <w:caps/>
                <w:sz w:val="16"/>
                <w:szCs w:val="16"/>
                <w:lang w:val="en-GB" w:eastAsia="en-US" w:bidi="ar-SA"/>
              </w:rPr>
              <w:t xml:space="preserve">OF </w:t>
            </w:r>
            <w:r w:rsidRPr="00D11F0A">
              <w:rPr>
                <w:rFonts w:ascii="Garamond" w:eastAsia="Calibri" w:hAnsi="Garamond"/>
                <w:b/>
                <w:caps/>
                <w:sz w:val="16"/>
                <w:szCs w:val="16"/>
                <w:lang w:val="uz-Cyrl-UZ" w:eastAsia="en-US" w:bidi="ar-SA"/>
              </w:rPr>
              <w:t>PERFORMANCE INDICATOR AND METHODOLOGY (FORMULAS / EQUATIONS)</w:t>
            </w:r>
          </w:p>
        </w:tc>
        <w:tc>
          <w:tcPr>
            <w:tcW w:w="6836" w:type="dxa"/>
            <w:gridSpan w:val="3"/>
            <w:vAlign w:val="center"/>
          </w:tcPr>
          <w:p w:rsidR="00E937E8" w:rsidRPr="00D11F0A" w:rsidRDefault="00D11F0A" w:rsidP="00E937E8">
            <w:pPr>
              <w:jc w:val="both"/>
              <w:rPr>
                <w:rFonts w:ascii="Garamond" w:eastAsia="Calibri" w:hAnsi="Garamond"/>
                <w:sz w:val="16"/>
                <w:szCs w:val="16"/>
                <w:lang w:val="uz-Cyrl-UZ" w:eastAsia="en-US" w:bidi="ar-SA"/>
              </w:rPr>
            </w:pPr>
            <w:r w:rsidRPr="00D11F0A">
              <w:rPr>
                <w:rFonts w:ascii="Garamond" w:eastAsia="Calibri" w:hAnsi="Garamond"/>
                <w:sz w:val="16"/>
                <w:szCs w:val="16"/>
                <w:lang w:eastAsia="en-US" w:bidi="ar-SA"/>
              </w:rPr>
              <w:t xml:space="preserve">Ration between the </w:t>
            </w:r>
            <w:proofErr w:type="gramStart"/>
            <w:r w:rsidRPr="00D11F0A">
              <w:rPr>
                <w:rFonts w:ascii="Garamond" w:eastAsia="Calibri" w:hAnsi="Garamond"/>
                <w:sz w:val="16"/>
                <w:szCs w:val="16"/>
                <w:lang w:eastAsia="en-US" w:bidi="ar-SA"/>
              </w:rPr>
              <w:t>n</w:t>
            </w:r>
            <w:r w:rsidR="00E937E8" w:rsidRPr="00D11F0A">
              <w:rPr>
                <w:rFonts w:ascii="Garamond" w:eastAsia="Calibri" w:hAnsi="Garamond"/>
                <w:sz w:val="16"/>
                <w:szCs w:val="16"/>
                <w:lang w:val="uz-Cyrl-UZ" w:eastAsia="en-US" w:bidi="ar-SA"/>
              </w:rPr>
              <w:t>umber</w:t>
            </w:r>
            <w:proofErr w:type="gramEnd"/>
            <w:r w:rsidR="00E937E8" w:rsidRPr="00D11F0A">
              <w:rPr>
                <w:rFonts w:ascii="Garamond" w:eastAsia="Calibri" w:hAnsi="Garamond"/>
                <w:sz w:val="16"/>
                <w:szCs w:val="16"/>
                <w:lang w:val="uz-Cyrl-UZ" w:eastAsia="en-US" w:bidi="ar-SA"/>
              </w:rPr>
              <w:t xml:space="preserve"> of adopted and implemented methodologies on performing financial audit, regularity audit and performance audit in accordance with ISSAI standards for financial audit, regularity audit and performance audit</w:t>
            </w:r>
            <w:r w:rsidRPr="00D11F0A">
              <w:rPr>
                <w:rFonts w:ascii="Garamond" w:eastAsia="Calibri" w:hAnsi="Garamond"/>
                <w:sz w:val="16"/>
                <w:szCs w:val="16"/>
                <w:lang w:eastAsia="en-US" w:bidi="ar-SA"/>
              </w:rPr>
              <w:t>,</w:t>
            </w:r>
            <w:r w:rsidR="00E937E8" w:rsidRPr="00D11F0A">
              <w:rPr>
                <w:rFonts w:ascii="Garamond" w:eastAsia="Calibri" w:hAnsi="Garamond"/>
                <w:sz w:val="16"/>
                <w:szCs w:val="16"/>
                <w:lang w:val="uz-Cyrl-UZ" w:eastAsia="en-US" w:bidi="ar-SA"/>
              </w:rPr>
              <w:t xml:space="preserve"> </w:t>
            </w:r>
            <w:r w:rsidRPr="00D11F0A">
              <w:rPr>
                <w:rFonts w:ascii="Garamond" w:eastAsia="Calibri" w:hAnsi="Garamond"/>
                <w:sz w:val="16"/>
                <w:szCs w:val="16"/>
                <w:lang w:eastAsia="en-US" w:bidi="ar-SA"/>
              </w:rPr>
              <w:t xml:space="preserve">and </w:t>
            </w:r>
            <w:r w:rsidR="00E937E8" w:rsidRPr="00D11F0A">
              <w:rPr>
                <w:rFonts w:ascii="Garamond" w:eastAsia="Calibri" w:hAnsi="Garamond"/>
                <w:sz w:val="16"/>
                <w:szCs w:val="16"/>
                <w:lang w:val="uz-Cyrl-UZ" w:eastAsia="en-US" w:bidi="ar-SA"/>
              </w:rPr>
              <w:t>the number of planned methodologies.</w:t>
            </w:r>
          </w:p>
          <w:p w:rsidR="00E937E8" w:rsidRPr="00D11F0A" w:rsidRDefault="00E937E8" w:rsidP="00E937E8">
            <w:pPr>
              <w:jc w:val="both"/>
              <w:rPr>
                <w:rFonts w:ascii="Garamond" w:eastAsia="Calibri" w:hAnsi="Garamond"/>
                <w:sz w:val="16"/>
                <w:szCs w:val="16"/>
                <w:lang w:val="uz-Cyrl-UZ" w:eastAsia="en-US" w:bidi="ar-SA"/>
              </w:rPr>
            </w:pPr>
            <w:r w:rsidRPr="00D11F0A">
              <w:rPr>
                <w:rFonts w:ascii="Garamond" w:eastAsia="Calibri" w:hAnsi="Garamond"/>
                <w:sz w:val="16"/>
                <w:szCs w:val="16"/>
                <w:lang w:val="uz-Cyrl-UZ" w:eastAsia="en-US" w:bidi="ar-SA"/>
              </w:rPr>
              <w:t>Methodology description:</w:t>
            </w:r>
          </w:p>
          <w:p w:rsidR="00E937E8" w:rsidRPr="00D11F0A" w:rsidRDefault="00B93E38" w:rsidP="00E937E8">
            <w:pPr>
              <w:jc w:val="both"/>
              <w:rPr>
                <w:rFonts w:ascii="Garamond" w:eastAsia="Calibri" w:hAnsi="Garamond"/>
                <w:sz w:val="16"/>
                <w:szCs w:val="16"/>
                <w:lang w:val="uz-Cyrl-UZ" w:eastAsia="en-US" w:bidi="ar-SA"/>
              </w:rPr>
            </w:pPr>
            <w:r w:rsidRPr="00D11F0A">
              <w:rPr>
                <w:rFonts w:ascii="Garamond" w:eastAsia="Calibri" w:hAnsi="Garamond"/>
                <w:sz w:val="16"/>
                <w:szCs w:val="16"/>
                <w:lang w:val="uz-Cyrl-UZ" w:eastAsia="en-US" w:bidi="ar-SA"/>
              </w:rPr>
              <w:t>Audit methodology harmoni</w:t>
            </w:r>
            <w:r w:rsidRPr="00D11F0A">
              <w:rPr>
                <w:rFonts w:ascii="Garamond" w:eastAsia="Calibri" w:hAnsi="Garamond"/>
                <w:sz w:val="16"/>
                <w:szCs w:val="16"/>
                <w:lang w:val="en-GB" w:eastAsia="en-US" w:bidi="ar-SA"/>
              </w:rPr>
              <w:t>s</w:t>
            </w:r>
            <w:r w:rsidR="00E937E8" w:rsidRPr="00D11F0A">
              <w:rPr>
                <w:rFonts w:ascii="Garamond" w:eastAsia="Calibri" w:hAnsi="Garamond"/>
                <w:sz w:val="16"/>
                <w:szCs w:val="16"/>
                <w:lang w:val="uz-Cyrl-UZ" w:eastAsia="en-US" w:bidi="ar-SA"/>
              </w:rPr>
              <w:t xml:space="preserve">ed with ISSAI Level </w:t>
            </w:r>
            <w:r w:rsidRPr="00D11F0A">
              <w:rPr>
                <w:rFonts w:ascii="Garamond" w:eastAsia="Calibri" w:hAnsi="Garamond"/>
                <w:sz w:val="16"/>
                <w:szCs w:val="16"/>
                <w:lang w:val="en-GB" w:eastAsia="en-US" w:bidi="ar-SA"/>
              </w:rPr>
              <w:t>3</w:t>
            </w:r>
            <w:r w:rsidR="00E937E8" w:rsidRPr="00D11F0A">
              <w:rPr>
                <w:rFonts w:ascii="Garamond" w:eastAsia="Calibri" w:hAnsi="Garamond"/>
                <w:sz w:val="16"/>
                <w:szCs w:val="16"/>
                <w:lang w:val="uz-Cyrl-UZ" w:eastAsia="en-US" w:bidi="ar-SA"/>
              </w:rPr>
              <w:t xml:space="preserve"> - SAI has methodologies for performing financial audit, regularity audit and performance audit in accordance with ISSAI 200, 300 and 400.</w:t>
            </w:r>
          </w:p>
          <w:p w:rsidR="00E937E8" w:rsidRPr="00D11F0A" w:rsidRDefault="00E937E8" w:rsidP="00B93E38">
            <w:pPr>
              <w:jc w:val="both"/>
              <w:rPr>
                <w:rFonts w:ascii="Garamond" w:eastAsia="Calibri" w:hAnsi="Garamond"/>
                <w:sz w:val="16"/>
                <w:szCs w:val="16"/>
                <w:u w:val="single"/>
                <w:lang w:val="uz-Cyrl-UZ" w:eastAsia="en-US" w:bidi="ar-SA"/>
              </w:rPr>
            </w:pPr>
            <w:r w:rsidRPr="00D11F0A">
              <w:rPr>
                <w:rFonts w:ascii="Garamond" w:eastAsia="Calibri" w:hAnsi="Garamond"/>
                <w:sz w:val="16"/>
                <w:szCs w:val="16"/>
                <w:lang w:val="uz-Cyrl-UZ" w:eastAsia="en-US" w:bidi="ar-SA"/>
              </w:rPr>
              <w:t xml:space="preserve">Audit methodology in accordance with ISSAI </w:t>
            </w:r>
            <w:r w:rsidR="00B93E38" w:rsidRPr="00D11F0A">
              <w:rPr>
                <w:rFonts w:ascii="Garamond" w:eastAsia="Calibri" w:hAnsi="Garamond"/>
                <w:sz w:val="16"/>
                <w:szCs w:val="16"/>
                <w:lang w:val="uz-Cyrl-UZ" w:eastAsia="en-US" w:bidi="ar-SA"/>
              </w:rPr>
              <w:t xml:space="preserve">Level </w:t>
            </w:r>
            <w:r w:rsidR="00B93E38" w:rsidRPr="00D11F0A">
              <w:rPr>
                <w:rFonts w:ascii="Garamond" w:eastAsia="Calibri" w:hAnsi="Garamond"/>
                <w:sz w:val="16"/>
                <w:szCs w:val="16"/>
                <w:lang w:val="en-GB" w:eastAsia="en-US" w:bidi="ar-SA"/>
              </w:rPr>
              <w:t>4</w:t>
            </w:r>
            <w:r w:rsidRPr="00D11F0A">
              <w:rPr>
                <w:rFonts w:ascii="Garamond" w:eastAsia="Calibri" w:hAnsi="Garamond"/>
                <w:sz w:val="16"/>
                <w:szCs w:val="16"/>
                <w:lang w:val="uz-Cyrl-UZ" w:eastAsia="en-US" w:bidi="ar-SA"/>
              </w:rPr>
              <w:t xml:space="preserve">- </w:t>
            </w:r>
            <w:r w:rsidR="00B93E38" w:rsidRPr="00D11F0A">
              <w:rPr>
                <w:rFonts w:ascii="Garamond" w:eastAsia="Calibri" w:hAnsi="Garamond"/>
                <w:sz w:val="16"/>
                <w:szCs w:val="16"/>
                <w:lang w:val="en-GB" w:eastAsia="en-US" w:bidi="ar-SA"/>
              </w:rPr>
              <w:t>SAI</w:t>
            </w:r>
            <w:r w:rsidRPr="00D11F0A">
              <w:rPr>
                <w:rFonts w:ascii="Garamond" w:eastAsia="Calibri" w:hAnsi="Garamond"/>
                <w:sz w:val="16"/>
                <w:szCs w:val="16"/>
                <w:lang w:val="uz-Cyrl-UZ" w:eastAsia="en-US" w:bidi="ar-SA"/>
              </w:rPr>
              <w:t xml:space="preserve"> has methodologies (manuals, guidelines) for performing financial audit and regularity audit in accordance with ISSAI 200 and 400, ISSAI 1000-1810 and ISSAI 4000) and methodology for performance audit in accordance with ISSAI 300 and ISSAI 3000, 3100 and 3200.</w:t>
            </w:r>
          </w:p>
        </w:tc>
      </w:tr>
      <w:tr w:rsidR="00E937E8" w:rsidRPr="00D11F0A" w:rsidTr="00213533">
        <w:trPr>
          <w:gridAfter w:val="1"/>
          <w:wAfter w:w="19" w:type="dxa"/>
          <w:trHeight w:val="620"/>
          <w:jc w:val="center"/>
        </w:trPr>
        <w:tc>
          <w:tcPr>
            <w:tcW w:w="2721" w:type="dxa"/>
            <w:vMerge/>
            <w:shd w:val="clear" w:color="auto" w:fill="auto"/>
            <w:vAlign w:val="center"/>
          </w:tcPr>
          <w:p w:rsidR="00E937E8" w:rsidRPr="00D11F0A" w:rsidRDefault="00E937E8" w:rsidP="00213533">
            <w:pPr>
              <w:autoSpaceDE/>
              <w:autoSpaceDN/>
              <w:rPr>
                <w:rFonts w:ascii="Garamond" w:eastAsia="Calibri" w:hAnsi="Garamond"/>
                <w:b/>
                <w:i/>
                <w:caps/>
                <w:sz w:val="16"/>
                <w:szCs w:val="16"/>
                <w:lang w:val="uz-Cyrl-UZ" w:eastAsia="en-US" w:bidi="ar-SA"/>
              </w:rPr>
            </w:pPr>
          </w:p>
        </w:tc>
        <w:tc>
          <w:tcPr>
            <w:tcW w:w="6836" w:type="dxa"/>
            <w:gridSpan w:val="3"/>
            <w:shd w:val="clear" w:color="auto" w:fill="BFBFBF"/>
            <w:vAlign w:val="center"/>
          </w:tcPr>
          <w:p w:rsidR="00E937E8" w:rsidRPr="00D11F0A" w:rsidRDefault="00E937E8" w:rsidP="00213533">
            <w:pPr>
              <w:jc w:val="center"/>
              <w:rPr>
                <w:rFonts w:ascii="Garamond" w:hAnsi="Garamond"/>
                <w:color w:val="365F91" w:themeColor="accent1" w:themeShade="BF"/>
                <w:sz w:val="16"/>
                <w:szCs w:val="16"/>
                <w:lang w:val="uz-Cyrl-UZ"/>
              </w:rPr>
            </w:pPr>
            <w:r w:rsidRPr="00D11F0A">
              <w:rPr>
                <w:rFonts w:ascii="Garamond" w:hAnsi="Garamond"/>
                <w:color w:val="365F91" w:themeColor="accent1" w:themeShade="BF"/>
                <w:sz w:val="16"/>
                <w:szCs w:val="16"/>
                <w:lang w:val="uz-Cyrl-UZ"/>
              </w:rPr>
              <w:t>FORMULA / EQUATION</w:t>
            </w:r>
          </w:p>
          <w:p w:rsidR="00E937E8" w:rsidRPr="00D11F0A" w:rsidRDefault="004306A0" w:rsidP="004306A0">
            <w:pPr>
              <w:jc w:val="center"/>
              <w:rPr>
                <w:rFonts w:ascii="Garamond" w:eastAsia="Calibri" w:hAnsi="Garamond"/>
                <w:sz w:val="16"/>
                <w:szCs w:val="16"/>
                <w:lang w:val="en-GB" w:eastAsia="en-US" w:bidi="ar-SA"/>
              </w:rPr>
            </w:pPr>
            <w:r w:rsidRPr="00D11F0A">
              <w:rPr>
                <w:rFonts w:ascii="Garamond" w:eastAsia="Calibri" w:hAnsi="Garamond"/>
                <w:sz w:val="16"/>
                <w:szCs w:val="16"/>
                <w:lang w:val="en-GB" w:eastAsia="en-US" w:bidi="ar-SA"/>
              </w:rPr>
              <w:t>n/a</w:t>
            </w:r>
          </w:p>
        </w:tc>
      </w:tr>
      <w:tr w:rsidR="00E937E8" w:rsidRPr="00D11F0A" w:rsidTr="00213533">
        <w:trPr>
          <w:gridAfter w:val="1"/>
          <w:wAfter w:w="19" w:type="dxa"/>
          <w:trHeight w:val="585"/>
          <w:jc w:val="center"/>
        </w:trPr>
        <w:tc>
          <w:tcPr>
            <w:tcW w:w="2721" w:type="dxa"/>
            <w:vAlign w:val="center"/>
          </w:tcPr>
          <w:p w:rsidR="00E937E8" w:rsidRPr="00D11F0A" w:rsidRDefault="00E937E8" w:rsidP="00213533">
            <w:pPr>
              <w:autoSpaceDE/>
              <w:autoSpaceDN/>
              <w:rPr>
                <w:rFonts w:ascii="Garamond" w:eastAsia="Calibri" w:hAnsi="Garamond"/>
                <w:b/>
                <w:bCs/>
                <w:caps/>
                <w:sz w:val="16"/>
                <w:szCs w:val="16"/>
                <w:lang w:val="en-GB" w:eastAsia="en-US" w:bidi="ar-SA"/>
              </w:rPr>
            </w:pPr>
            <w:r w:rsidRPr="00D11F0A">
              <w:rPr>
                <w:rFonts w:ascii="Garamond" w:eastAsia="Calibri" w:hAnsi="Garamond"/>
                <w:b/>
                <w:caps/>
                <w:sz w:val="16"/>
                <w:szCs w:val="16"/>
                <w:lang w:val="uz-Cyrl-UZ" w:eastAsia="en-US" w:bidi="ar-SA"/>
              </w:rPr>
              <w:t>BASELINE</w:t>
            </w:r>
            <w:r w:rsidRPr="00D11F0A">
              <w:rPr>
                <w:rFonts w:ascii="Garamond" w:eastAsia="Calibri" w:hAnsi="Garamond"/>
                <w:b/>
                <w:caps/>
                <w:sz w:val="16"/>
                <w:szCs w:val="16"/>
                <w:lang w:val="en-GB" w:eastAsia="en-US" w:bidi="ar-SA"/>
              </w:rPr>
              <w:t xml:space="preserve"> DATA</w:t>
            </w:r>
          </w:p>
        </w:tc>
        <w:tc>
          <w:tcPr>
            <w:tcW w:w="6836" w:type="dxa"/>
            <w:gridSpan w:val="3"/>
            <w:vAlign w:val="center"/>
          </w:tcPr>
          <w:p w:rsidR="004306A0" w:rsidRPr="00D11F0A" w:rsidRDefault="004306A0" w:rsidP="004306A0">
            <w:pPr>
              <w:pStyle w:val="TabelaTekst"/>
              <w:rPr>
                <w:rFonts w:ascii="Garamond" w:hAnsi="Garamond"/>
                <w:sz w:val="16"/>
                <w:szCs w:val="16"/>
              </w:rPr>
            </w:pPr>
            <w:r w:rsidRPr="00D11F0A">
              <w:rPr>
                <w:rFonts w:ascii="Garamond" w:hAnsi="Garamond"/>
                <w:sz w:val="16"/>
                <w:szCs w:val="16"/>
              </w:rPr>
              <w:t xml:space="preserve">PV (2015): Methodological Instruction for </w:t>
            </w:r>
            <w:r w:rsidR="00D11F0A" w:rsidRPr="00D11F0A">
              <w:rPr>
                <w:rFonts w:ascii="Garamond" w:hAnsi="Garamond"/>
                <w:sz w:val="16"/>
                <w:szCs w:val="16"/>
              </w:rPr>
              <w:t xml:space="preserve">Financial </w:t>
            </w:r>
            <w:r w:rsidRPr="00D11F0A">
              <w:rPr>
                <w:rFonts w:ascii="Garamond" w:hAnsi="Garamond"/>
                <w:sz w:val="16"/>
                <w:szCs w:val="16"/>
              </w:rPr>
              <w:t xml:space="preserve">and </w:t>
            </w:r>
            <w:r w:rsidR="00D11F0A" w:rsidRPr="00D11F0A">
              <w:rPr>
                <w:rFonts w:ascii="Garamond" w:hAnsi="Garamond"/>
                <w:sz w:val="16"/>
                <w:szCs w:val="16"/>
              </w:rPr>
              <w:t xml:space="preserve">Regularity Audits </w:t>
            </w:r>
            <w:r w:rsidRPr="00D11F0A">
              <w:rPr>
                <w:rFonts w:ascii="Garamond" w:hAnsi="Garamond"/>
                <w:sz w:val="16"/>
                <w:szCs w:val="16"/>
              </w:rPr>
              <w:t xml:space="preserve">compliant with ISSAI 200 and ISSAI 400, Methodological Instruction for </w:t>
            </w:r>
            <w:r w:rsidR="00D11F0A" w:rsidRPr="00D11F0A">
              <w:rPr>
                <w:rFonts w:ascii="Garamond" w:hAnsi="Garamond"/>
                <w:sz w:val="16"/>
                <w:szCs w:val="16"/>
              </w:rPr>
              <w:t xml:space="preserve">Performance Audits </w:t>
            </w:r>
            <w:r w:rsidRPr="00D11F0A">
              <w:rPr>
                <w:rFonts w:ascii="Garamond" w:hAnsi="Garamond"/>
                <w:sz w:val="16"/>
                <w:szCs w:val="16"/>
              </w:rPr>
              <w:t>compliant with ISSAI 300 and Guidelines for Audit Quality Control</w:t>
            </w:r>
          </w:p>
          <w:p w:rsidR="00E937E8" w:rsidRPr="00D11F0A" w:rsidRDefault="004306A0" w:rsidP="00B93E38">
            <w:pPr>
              <w:pStyle w:val="TabelaTekst"/>
              <w:rPr>
                <w:rFonts w:ascii="Garamond" w:hAnsi="Garamond"/>
                <w:sz w:val="16"/>
                <w:szCs w:val="16"/>
                <w:lang w:val="en-GB"/>
              </w:rPr>
            </w:pPr>
            <w:r w:rsidRPr="00D11F0A">
              <w:rPr>
                <w:rFonts w:ascii="Garamond" w:hAnsi="Garamond"/>
                <w:sz w:val="16"/>
                <w:szCs w:val="16"/>
              </w:rPr>
              <w:t>PV (2017): Guidelines for assessing the application of fiscal responsibility criteria; Innovated Guidelines on the methodology for performance audits in line with ISSAI 300</w:t>
            </w:r>
          </w:p>
        </w:tc>
      </w:tr>
      <w:tr w:rsidR="007A7A6E" w:rsidRPr="00D11F0A" w:rsidTr="00D11F0A">
        <w:trPr>
          <w:gridAfter w:val="1"/>
          <w:wAfter w:w="19" w:type="dxa"/>
          <w:trHeight w:val="160"/>
          <w:jc w:val="center"/>
        </w:trPr>
        <w:tc>
          <w:tcPr>
            <w:tcW w:w="2721" w:type="dxa"/>
            <w:vMerge w:val="restart"/>
            <w:vAlign w:val="center"/>
          </w:tcPr>
          <w:p w:rsidR="007A7A6E" w:rsidRPr="00D11F0A" w:rsidRDefault="007A7A6E" w:rsidP="00213533">
            <w:pPr>
              <w:autoSpaceDE/>
              <w:autoSpaceDN/>
              <w:rPr>
                <w:rFonts w:ascii="Garamond" w:eastAsia="Calibri" w:hAnsi="Garamond"/>
                <w:b/>
                <w:bCs/>
                <w:caps/>
                <w:sz w:val="16"/>
                <w:szCs w:val="16"/>
                <w:lang w:val="uz-Cyrl-UZ" w:eastAsia="en-US" w:bidi="ar-SA"/>
              </w:rPr>
            </w:pPr>
            <w:r w:rsidRPr="00D11F0A">
              <w:rPr>
                <w:rFonts w:ascii="Garamond" w:eastAsia="Calibri" w:hAnsi="Garamond"/>
                <w:b/>
                <w:caps/>
                <w:sz w:val="16"/>
                <w:szCs w:val="16"/>
                <w:lang w:val="uz-Cyrl-UZ" w:eastAsia="en-US" w:bidi="ar-SA"/>
              </w:rPr>
              <w:t>TARGET VALUE DATA</w:t>
            </w:r>
          </w:p>
        </w:tc>
        <w:tc>
          <w:tcPr>
            <w:tcW w:w="3311" w:type="dxa"/>
            <w:vAlign w:val="center"/>
          </w:tcPr>
          <w:p w:rsidR="007A7A6E" w:rsidRPr="00D11F0A" w:rsidRDefault="007A7A6E" w:rsidP="00213533">
            <w:pPr>
              <w:autoSpaceDE/>
              <w:autoSpaceDN/>
              <w:jc w:val="center"/>
              <w:rPr>
                <w:rFonts w:ascii="Garamond" w:eastAsia="Calibri" w:hAnsi="Garamond"/>
                <w:sz w:val="16"/>
                <w:szCs w:val="16"/>
                <w:lang w:val="uz-Cyrl-UZ" w:eastAsia="en-US" w:bidi="ar-SA"/>
              </w:rPr>
            </w:pPr>
            <w:r w:rsidRPr="00D11F0A">
              <w:rPr>
                <w:rFonts w:ascii="Garamond" w:eastAsia="Calibri" w:hAnsi="Garamond"/>
                <w:sz w:val="16"/>
                <w:szCs w:val="16"/>
                <w:lang w:val="uz-Cyrl-UZ" w:eastAsia="en-US" w:bidi="ar-SA"/>
              </w:rPr>
              <w:t>2018</w:t>
            </w:r>
          </w:p>
        </w:tc>
        <w:tc>
          <w:tcPr>
            <w:tcW w:w="1456" w:type="dxa"/>
            <w:vAlign w:val="center"/>
          </w:tcPr>
          <w:p w:rsidR="007A7A6E" w:rsidRPr="00D11F0A" w:rsidRDefault="007A7A6E" w:rsidP="00213533">
            <w:pPr>
              <w:autoSpaceDE/>
              <w:autoSpaceDN/>
              <w:jc w:val="center"/>
              <w:rPr>
                <w:rFonts w:ascii="Garamond" w:eastAsia="Calibri" w:hAnsi="Garamond"/>
                <w:sz w:val="16"/>
                <w:szCs w:val="16"/>
                <w:lang w:val="uz-Cyrl-UZ" w:eastAsia="en-US" w:bidi="ar-SA"/>
              </w:rPr>
            </w:pPr>
            <w:r w:rsidRPr="00D11F0A">
              <w:rPr>
                <w:rFonts w:ascii="Garamond" w:eastAsia="Calibri" w:hAnsi="Garamond"/>
                <w:sz w:val="16"/>
                <w:szCs w:val="16"/>
                <w:lang w:val="uz-Cyrl-UZ" w:eastAsia="en-US" w:bidi="ar-SA"/>
              </w:rPr>
              <w:t>2019</w:t>
            </w:r>
          </w:p>
        </w:tc>
        <w:tc>
          <w:tcPr>
            <w:tcW w:w="2069" w:type="dxa"/>
            <w:vAlign w:val="center"/>
          </w:tcPr>
          <w:p w:rsidR="007A7A6E" w:rsidRPr="00D11F0A" w:rsidRDefault="007A7A6E" w:rsidP="00213533">
            <w:pPr>
              <w:autoSpaceDE/>
              <w:autoSpaceDN/>
              <w:jc w:val="center"/>
              <w:rPr>
                <w:rFonts w:ascii="Garamond" w:eastAsia="Calibri" w:hAnsi="Garamond"/>
                <w:sz w:val="16"/>
                <w:szCs w:val="16"/>
                <w:lang w:val="uz-Cyrl-UZ" w:eastAsia="en-US" w:bidi="ar-SA"/>
              </w:rPr>
            </w:pPr>
            <w:r w:rsidRPr="00D11F0A">
              <w:rPr>
                <w:rFonts w:ascii="Garamond" w:eastAsia="Calibri" w:hAnsi="Garamond"/>
                <w:sz w:val="16"/>
                <w:szCs w:val="16"/>
                <w:lang w:val="uz-Cyrl-UZ" w:eastAsia="en-US" w:bidi="ar-SA"/>
              </w:rPr>
              <w:t>2020</w:t>
            </w:r>
          </w:p>
        </w:tc>
      </w:tr>
      <w:tr w:rsidR="007A7A6E" w:rsidRPr="00D11F0A" w:rsidTr="00D11F0A">
        <w:trPr>
          <w:gridAfter w:val="1"/>
          <w:wAfter w:w="19" w:type="dxa"/>
          <w:trHeight w:val="160"/>
          <w:jc w:val="center"/>
        </w:trPr>
        <w:tc>
          <w:tcPr>
            <w:tcW w:w="2721" w:type="dxa"/>
            <w:vMerge/>
            <w:vAlign w:val="center"/>
          </w:tcPr>
          <w:p w:rsidR="007A7A6E" w:rsidRPr="00D11F0A" w:rsidRDefault="007A7A6E" w:rsidP="00213533">
            <w:pPr>
              <w:autoSpaceDE/>
              <w:autoSpaceDN/>
              <w:rPr>
                <w:rFonts w:ascii="Garamond" w:eastAsia="Calibri" w:hAnsi="Garamond"/>
                <w:b/>
                <w:bCs/>
                <w:caps/>
                <w:sz w:val="16"/>
                <w:szCs w:val="16"/>
                <w:lang w:val="uz-Cyrl-UZ" w:eastAsia="en-US" w:bidi="ar-SA"/>
              </w:rPr>
            </w:pPr>
          </w:p>
        </w:tc>
        <w:tc>
          <w:tcPr>
            <w:tcW w:w="3311" w:type="dxa"/>
            <w:vAlign w:val="center"/>
          </w:tcPr>
          <w:p w:rsidR="007A7A6E" w:rsidRPr="00D11F0A" w:rsidRDefault="007A7A6E" w:rsidP="00213533">
            <w:pPr>
              <w:pStyle w:val="TabelaTekst"/>
              <w:jc w:val="center"/>
              <w:rPr>
                <w:rFonts w:ascii="Garamond" w:hAnsi="Garamond"/>
                <w:sz w:val="16"/>
                <w:szCs w:val="16"/>
              </w:rPr>
            </w:pPr>
            <w:r w:rsidRPr="00D11F0A">
              <w:rPr>
                <w:rFonts w:ascii="Garamond" w:hAnsi="Garamond"/>
                <w:sz w:val="16"/>
                <w:szCs w:val="16"/>
              </w:rPr>
              <w:t>Guidelines for Auditing Annual Financial Statements of Political Entities;</w:t>
            </w:r>
          </w:p>
          <w:p w:rsidR="007A7A6E" w:rsidRPr="00D11F0A" w:rsidRDefault="007A7A6E" w:rsidP="00213533">
            <w:pPr>
              <w:pStyle w:val="TabelaTekst"/>
              <w:spacing w:before="0" w:after="0" w:line="240" w:lineRule="auto"/>
              <w:jc w:val="center"/>
              <w:rPr>
                <w:rFonts w:ascii="Garamond" w:hAnsi="Garamond"/>
                <w:sz w:val="16"/>
                <w:szCs w:val="16"/>
              </w:rPr>
            </w:pPr>
            <w:r w:rsidRPr="00D11F0A">
              <w:rPr>
                <w:rFonts w:ascii="Garamond" w:hAnsi="Garamond"/>
                <w:sz w:val="16"/>
                <w:szCs w:val="16"/>
              </w:rPr>
              <w:t>Guidelines for Auditing Final Budget Accounts;</w:t>
            </w:r>
          </w:p>
        </w:tc>
        <w:tc>
          <w:tcPr>
            <w:tcW w:w="1456" w:type="dxa"/>
            <w:vAlign w:val="center"/>
          </w:tcPr>
          <w:p w:rsidR="007A7A6E" w:rsidRPr="00D11F0A" w:rsidRDefault="007A7A6E" w:rsidP="00213533">
            <w:pPr>
              <w:pStyle w:val="TabelaTekst"/>
              <w:jc w:val="center"/>
              <w:rPr>
                <w:rFonts w:ascii="Garamond" w:hAnsi="Garamond"/>
                <w:sz w:val="16"/>
                <w:szCs w:val="16"/>
              </w:rPr>
            </w:pPr>
            <w:r w:rsidRPr="00D11F0A">
              <w:rPr>
                <w:rFonts w:ascii="Garamond" w:hAnsi="Garamond"/>
                <w:sz w:val="16"/>
                <w:szCs w:val="16"/>
              </w:rPr>
              <w:t>n / a</w:t>
            </w:r>
          </w:p>
          <w:p w:rsidR="007A7A6E" w:rsidRPr="00D11F0A" w:rsidRDefault="007A7A6E" w:rsidP="00213533">
            <w:pPr>
              <w:pStyle w:val="TabelaTekst"/>
              <w:spacing w:before="0" w:after="0" w:line="240" w:lineRule="auto"/>
              <w:jc w:val="center"/>
              <w:rPr>
                <w:rFonts w:ascii="Garamond" w:hAnsi="Garamond"/>
                <w:sz w:val="16"/>
                <w:szCs w:val="16"/>
              </w:rPr>
            </w:pPr>
            <w:r w:rsidRPr="00D11F0A">
              <w:rPr>
                <w:rFonts w:ascii="Garamond" w:hAnsi="Garamond"/>
                <w:sz w:val="16"/>
                <w:szCs w:val="16"/>
              </w:rPr>
              <w:t>The activities listed in the action plan start from Q1 2019</w:t>
            </w:r>
          </w:p>
        </w:tc>
        <w:tc>
          <w:tcPr>
            <w:tcW w:w="2069" w:type="dxa"/>
            <w:vAlign w:val="center"/>
          </w:tcPr>
          <w:p w:rsidR="007A7A6E" w:rsidRPr="00D11F0A" w:rsidRDefault="007A7A6E" w:rsidP="004306A0">
            <w:pPr>
              <w:pStyle w:val="TabelaTekst"/>
              <w:jc w:val="center"/>
              <w:rPr>
                <w:rFonts w:ascii="Garamond" w:hAnsi="Garamond"/>
                <w:sz w:val="16"/>
                <w:szCs w:val="16"/>
                <w:lang w:val="en-GB"/>
              </w:rPr>
            </w:pPr>
            <w:r w:rsidRPr="00D11F0A">
              <w:rPr>
                <w:rFonts w:ascii="Garamond" w:hAnsi="Garamond"/>
                <w:sz w:val="16"/>
                <w:szCs w:val="16"/>
              </w:rPr>
              <w:t xml:space="preserve">Manual for Financial and Regularity Audits compliant with ISSAI 4th level adopted </w:t>
            </w:r>
            <w:r w:rsidRPr="00D11F0A">
              <w:rPr>
                <w:rFonts w:ascii="Garamond" w:hAnsi="Garamond"/>
                <w:sz w:val="16"/>
                <w:szCs w:val="16"/>
                <w:lang w:val="en-GB"/>
              </w:rPr>
              <w:t xml:space="preserve">and applied </w:t>
            </w:r>
          </w:p>
          <w:p w:rsidR="007A7A6E" w:rsidRPr="00D11F0A" w:rsidRDefault="007A7A6E" w:rsidP="004306A0">
            <w:pPr>
              <w:pStyle w:val="TabelaTekst"/>
              <w:jc w:val="center"/>
              <w:rPr>
                <w:rFonts w:ascii="Garamond" w:hAnsi="Garamond"/>
                <w:sz w:val="16"/>
                <w:szCs w:val="16"/>
              </w:rPr>
            </w:pPr>
            <w:r w:rsidRPr="00D11F0A">
              <w:rPr>
                <w:rFonts w:ascii="Garamond" w:hAnsi="Garamond"/>
                <w:sz w:val="16"/>
                <w:szCs w:val="16"/>
              </w:rPr>
              <w:t>Manual for Performance Audits compliant with ISSAI 4th level upgraded</w:t>
            </w:r>
            <w:r w:rsidRPr="00D11F0A">
              <w:rPr>
                <w:rFonts w:ascii="Garamond" w:hAnsi="Garamond"/>
                <w:sz w:val="16"/>
                <w:szCs w:val="16"/>
                <w:lang w:val="en-GB"/>
              </w:rPr>
              <w:t xml:space="preserve"> </w:t>
            </w:r>
            <w:r w:rsidRPr="00D11F0A">
              <w:rPr>
                <w:rFonts w:ascii="Garamond" w:hAnsi="Garamond"/>
                <w:sz w:val="16"/>
                <w:szCs w:val="16"/>
              </w:rPr>
              <w:t>and applied.</w:t>
            </w:r>
          </w:p>
          <w:p w:rsidR="007A7A6E" w:rsidRPr="00D11F0A" w:rsidRDefault="007A7A6E" w:rsidP="004306A0">
            <w:pPr>
              <w:pStyle w:val="TabelaTekst"/>
              <w:spacing w:before="0" w:after="0" w:line="240" w:lineRule="auto"/>
              <w:jc w:val="center"/>
              <w:rPr>
                <w:rFonts w:ascii="Garamond" w:hAnsi="Garamond"/>
                <w:sz w:val="16"/>
                <w:szCs w:val="16"/>
              </w:rPr>
            </w:pPr>
            <w:r w:rsidRPr="00D11F0A">
              <w:rPr>
                <w:rFonts w:ascii="Garamond" w:hAnsi="Garamond"/>
                <w:sz w:val="16"/>
                <w:szCs w:val="16"/>
              </w:rPr>
              <w:t>Guide for Monitoring the Implementation of Recommendations from Audit Reports adopted and applied.</w:t>
            </w:r>
          </w:p>
        </w:tc>
      </w:tr>
      <w:tr w:rsidR="007A7A6E" w:rsidRPr="00D11F0A" w:rsidTr="00D11F0A">
        <w:trPr>
          <w:gridAfter w:val="1"/>
          <w:wAfter w:w="19" w:type="dxa"/>
          <w:trHeight w:val="160"/>
          <w:jc w:val="center"/>
        </w:trPr>
        <w:tc>
          <w:tcPr>
            <w:tcW w:w="2721" w:type="dxa"/>
            <w:vAlign w:val="center"/>
          </w:tcPr>
          <w:p w:rsidR="007A7A6E" w:rsidRPr="00D11F0A" w:rsidRDefault="0062456A" w:rsidP="00213533">
            <w:pPr>
              <w:autoSpaceDE/>
              <w:autoSpaceDN/>
              <w:rPr>
                <w:rFonts w:ascii="Garamond" w:eastAsia="Calibri" w:hAnsi="Garamond"/>
                <w:b/>
                <w:bCs/>
                <w:caps/>
                <w:sz w:val="16"/>
                <w:szCs w:val="16"/>
                <w:lang w:val="uz-Cyrl-UZ" w:eastAsia="en-US" w:bidi="ar-SA"/>
              </w:rPr>
            </w:pPr>
            <w:r w:rsidRPr="00D11F0A">
              <w:rPr>
                <w:rFonts w:ascii="Garamond" w:eastAsia="Calibri" w:hAnsi="Garamond"/>
                <w:b/>
                <w:bCs/>
                <w:caps/>
                <w:sz w:val="16"/>
                <w:szCs w:val="16"/>
                <w:lang w:val="uz-Cyrl-UZ" w:eastAsia="en-US" w:bidi="ar-SA"/>
              </w:rPr>
              <w:t>DATA ON VALUES ACHIEVED</w:t>
            </w:r>
          </w:p>
        </w:tc>
        <w:tc>
          <w:tcPr>
            <w:tcW w:w="3311" w:type="dxa"/>
            <w:vAlign w:val="center"/>
          </w:tcPr>
          <w:p w:rsidR="007A7A6E" w:rsidRPr="00D11F0A" w:rsidRDefault="007A7A6E" w:rsidP="00F647B0">
            <w:pPr>
              <w:pStyle w:val="TabelaTekst"/>
              <w:jc w:val="center"/>
              <w:rPr>
                <w:rFonts w:ascii="Garamond" w:hAnsi="Garamond"/>
                <w:sz w:val="16"/>
                <w:szCs w:val="16"/>
              </w:rPr>
            </w:pPr>
            <w:r w:rsidRPr="00D11F0A">
              <w:rPr>
                <w:rFonts w:ascii="Garamond" w:hAnsi="Garamond"/>
                <w:sz w:val="16"/>
                <w:szCs w:val="16"/>
              </w:rPr>
              <w:t>Guidelines for Auditing Annual Financial Statements of Political Entitie</w:t>
            </w:r>
            <w:r w:rsidRPr="00D11F0A">
              <w:rPr>
                <w:rFonts w:ascii="Garamond" w:hAnsi="Garamond"/>
                <w:sz w:val="16"/>
                <w:szCs w:val="16"/>
                <w:lang w:val="en-GB"/>
              </w:rPr>
              <w:t>s adopted in January 2018</w:t>
            </w:r>
            <w:r w:rsidRPr="00D11F0A">
              <w:rPr>
                <w:rFonts w:ascii="Garamond" w:hAnsi="Garamond"/>
                <w:sz w:val="16"/>
                <w:szCs w:val="16"/>
              </w:rPr>
              <w:t>;</w:t>
            </w:r>
          </w:p>
          <w:p w:rsidR="007A7A6E" w:rsidRPr="00D11F0A" w:rsidRDefault="007A7A6E" w:rsidP="00D11F0A">
            <w:pPr>
              <w:pStyle w:val="TOC3"/>
              <w:rPr>
                <w:rFonts w:ascii="Garamond" w:hAnsi="Garamond"/>
                <w:sz w:val="16"/>
                <w:szCs w:val="16"/>
              </w:rPr>
            </w:pPr>
            <w:r w:rsidRPr="00D11F0A">
              <w:rPr>
                <w:rFonts w:ascii="Garamond" w:hAnsi="Garamond"/>
                <w:sz w:val="16"/>
                <w:szCs w:val="16"/>
              </w:rPr>
              <w:t>Guidelines for Auditing Final Budget Accounts</w:t>
            </w:r>
            <w:r w:rsidRPr="00D11F0A">
              <w:rPr>
                <w:rFonts w:ascii="Garamond" w:hAnsi="Garamond"/>
                <w:sz w:val="16"/>
                <w:szCs w:val="16"/>
                <w:lang w:val="en-GB"/>
              </w:rPr>
              <w:t xml:space="preserve"> adopted in September 2018</w:t>
            </w:r>
            <w:r w:rsidRPr="00D11F0A">
              <w:rPr>
                <w:rFonts w:ascii="Garamond" w:hAnsi="Garamond"/>
                <w:sz w:val="16"/>
                <w:szCs w:val="16"/>
              </w:rPr>
              <w:t>;</w:t>
            </w:r>
          </w:p>
        </w:tc>
        <w:tc>
          <w:tcPr>
            <w:tcW w:w="1456" w:type="dxa"/>
            <w:vAlign w:val="center"/>
          </w:tcPr>
          <w:p w:rsidR="007A7A6E" w:rsidRPr="00D11F0A" w:rsidRDefault="007A7A6E" w:rsidP="00D11F0A">
            <w:pPr>
              <w:pStyle w:val="TOC3"/>
              <w:rPr>
                <w:rFonts w:ascii="Garamond" w:hAnsi="Garamond"/>
                <w:sz w:val="16"/>
                <w:szCs w:val="16"/>
              </w:rPr>
            </w:pPr>
            <w:r w:rsidRPr="00D11F0A">
              <w:rPr>
                <w:rFonts w:ascii="Garamond" w:hAnsi="Garamond"/>
                <w:sz w:val="16"/>
                <w:szCs w:val="16"/>
              </w:rPr>
              <w:t>Manual for Performance Audits compliant with ISSAI 4th level adopted in December 2019</w:t>
            </w:r>
          </w:p>
        </w:tc>
        <w:tc>
          <w:tcPr>
            <w:tcW w:w="2069" w:type="dxa"/>
            <w:vAlign w:val="center"/>
          </w:tcPr>
          <w:p w:rsidR="007A7A6E" w:rsidRPr="00D11F0A" w:rsidRDefault="007A7A6E" w:rsidP="00213533">
            <w:pPr>
              <w:pStyle w:val="TabelaTekst"/>
              <w:jc w:val="center"/>
              <w:rPr>
                <w:rFonts w:ascii="Garamond" w:hAnsi="Garamond"/>
                <w:sz w:val="16"/>
                <w:szCs w:val="16"/>
              </w:rPr>
            </w:pPr>
            <w:r w:rsidRPr="00D11F0A">
              <w:rPr>
                <w:rFonts w:ascii="Garamond" w:hAnsi="Garamond"/>
                <w:sz w:val="16"/>
                <w:szCs w:val="16"/>
              </w:rPr>
              <w:t xml:space="preserve">Manual for Financial and Regularity Audits adopted </w:t>
            </w:r>
            <w:r w:rsidRPr="00D11F0A">
              <w:rPr>
                <w:rFonts w:ascii="Garamond" w:hAnsi="Garamond"/>
                <w:sz w:val="16"/>
                <w:szCs w:val="16"/>
                <w:lang w:val="en-GB"/>
              </w:rPr>
              <w:t>in July 2020</w:t>
            </w:r>
            <w:r w:rsidR="00B52D8C" w:rsidRPr="00D11F0A">
              <w:rPr>
                <w:rFonts w:ascii="Garamond" w:hAnsi="Garamond"/>
                <w:sz w:val="16"/>
                <w:szCs w:val="16"/>
                <w:lang w:val="en-GB"/>
              </w:rPr>
              <w:t xml:space="preserve"> </w:t>
            </w:r>
            <w:r w:rsidRPr="00D11F0A">
              <w:rPr>
                <w:rFonts w:ascii="Garamond" w:hAnsi="Garamond"/>
                <w:sz w:val="16"/>
                <w:szCs w:val="16"/>
              </w:rPr>
              <w:t>and applied.</w:t>
            </w:r>
          </w:p>
          <w:p w:rsidR="00B52D8C" w:rsidRPr="00D11F0A" w:rsidRDefault="00B52D8C" w:rsidP="00B52D8C">
            <w:pPr>
              <w:pStyle w:val="TabelaTekst"/>
              <w:jc w:val="center"/>
              <w:rPr>
                <w:rFonts w:ascii="Garamond" w:hAnsi="Garamond"/>
                <w:sz w:val="16"/>
                <w:szCs w:val="16"/>
              </w:rPr>
            </w:pPr>
            <w:r w:rsidRPr="00D11F0A">
              <w:rPr>
                <w:rFonts w:ascii="Garamond" w:hAnsi="Garamond"/>
                <w:sz w:val="16"/>
                <w:szCs w:val="16"/>
              </w:rPr>
              <w:t xml:space="preserve">Guidelines on the methodology of </w:t>
            </w:r>
            <w:r w:rsidRPr="00D11F0A">
              <w:rPr>
                <w:rFonts w:ascii="Garamond" w:hAnsi="Garamond"/>
                <w:sz w:val="16"/>
                <w:szCs w:val="16"/>
                <w:lang w:val="en-GB"/>
              </w:rPr>
              <w:t xml:space="preserve">conducting </w:t>
            </w:r>
            <w:r w:rsidRPr="00D11F0A">
              <w:rPr>
                <w:rFonts w:ascii="Garamond" w:hAnsi="Garamond"/>
                <w:sz w:val="16"/>
                <w:szCs w:val="16"/>
              </w:rPr>
              <w:t xml:space="preserve">performance audits in accordance with the </w:t>
            </w:r>
            <w:r w:rsidRPr="00D11F0A">
              <w:rPr>
                <w:rFonts w:ascii="Garamond" w:hAnsi="Garamond"/>
                <w:sz w:val="16"/>
                <w:szCs w:val="16"/>
                <w:lang w:val="en-GB"/>
              </w:rPr>
              <w:t>4th</w:t>
            </w:r>
            <w:r w:rsidRPr="00D11F0A">
              <w:rPr>
                <w:rFonts w:ascii="Garamond" w:hAnsi="Garamond"/>
                <w:sz w:val="16"/>
                <w:szCs w:val="16"/>
              </w:rPr>
              <w:t xml:space="preserve"> level of the ISSAI standard were adopted in December 2019 and the same began to be applied.</w:t>
            </w:r>
          </w:p>
          <w:p w:rsidR="007A7A6E" w:rsidRPr="00D11F0A" w:rsidRDefault="00B52D8C" w:rsidP="00B52D8C">
            <w:pPr>
              <w:pStyle w:val="TabelaTekst"/>
              <w:spacing w:before="0" w:after="0" w:line="240" w:lineRule="auto"/>
              <w:jc w:val="center"/>
              <w:rPr>
                <w:rFonts w:ascii="Garamond" w:hAnsi="Garamond"/>
                <w:sz w:val="16"/>
                <w:szCs w:val="16"/>
              </w:rPr>
            </w:pPr>
            <w:r w:rsidRPr="00D11F0A">
              <w:rPr>
                <w:rFonts w:ascii="Garamond" w:hAnsi="Garamond"/>
                <w:sz w:val="16"/>
                <w:szCs w:val="16"/>
              </w:rPr>
              <w:t>Guidelines for drafting, monitoring and controlling the implementation of the recommendations of the State Audit Institution were adopted in June 2020 and have started to be applied.</w:t>
            </w:r>
          </w:p>
        </w:tc>
      </w:tr>
    </w:tbl>
    <w:p w:rsidR="004D1343" w:rsidRPr="00C32887" w:rsidRDefault="004D1343" w:rsidP="007A7A6E">
      <w:pPr>
        <w:pStyle w:val="Heading3"/>
        <w:rPr>
          <w:rFonts w:ascii="Garamond" w:hAnsi="Garamond"/>
          <w:sz w:val="24"/>
          <w:szCs w:val="24"/>
        </w:rPr>
      </w:pPr>
      <w:bookmarkStart w:id="85" w:name="_Toc77688262"/>
      <w:r w:rsidRPr="00C32887">
        <w:rPr>
          <w:rFonts w:ascii="Garamond" w:hAnsi="Garamond"/>
          <w:sz w:val="24"/>
          <w:szCs w:val="24"/>
        </w:rPr>
        <w:t xml:space="preserve">5.1.3      PERFORMANCE INDICATOR </w:t>
      </w:r>
      <w:r w:rsidR="007A7A6E">
        <w:rPr>
          <w:rFonts w:ascii="Garamond" w:hAnsi="Garamond"/>
          <w:sz w:val="24"/>
          <w:szCs w:val="24"/>
        </w:rPr>
        <w:t xml:space="preserve">36 </w:t>
      </w:r>
      <w:r w:rsidR="007A7A6E" w:rsidRPr="00C32887">
        <w:rPr>
          <w:rFonts w:ascii="Garamond" w:hAnsi="Garamond"/>
          <w:sz w:val="24"/>
          <w:szCs w:val="24"/>
        </w:rPr>
        <w:t>PASSPORT</w:t>
      </w:r>
      <w:bookmarkEnd w:id="85"/>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3057"/>
        <w:gridCol w:w="1980"/>
        <w:gridCol w:w="1799"/>
        <w:gridCol w:w="19"/>
      </w:tblGrid>
      <w:tr w:rsidR="007A7A6E" w:rsidRPr="00F320D5" w:rsidTr="00213533">
        <w:trPr>
          <w:jc w:val="center"/>
        </w:trPr>
        <w:tc>
          <w:tcPr>
            <w:tcW w:w="2721" w:type="dxa"/>
            <w:tcBorders>
              <w:right w:val="single" w:sz="4" w:space="0" w:color="FFFFFF"/>
            </w:tcBorders>
            <w:shd w:val="clear" w:color="auto" w:fill="BFBFBF"/>
            <w:vAlign w:val="center"/>
          </w:tcPr>
          <w:p w:rsidR="007A7A6E" w:rsidRPr="00F320D5" w:rsidRDefault="007A7A6E" w:rsidP="00213533">
            <w:pPr>
              <w:autoSpaceDE/>
              <w:autoSpaceDN/>
              <w:rPr>
                <w:rFonts w:ascii="Garamond" w:eastAsia="Calibri" w:hAnsi="Garamond"/>
                <w:b/>
                <w:caps/>
                <w:sz w:val="16"/>
                <w:szCs w:val="16"/>
                <w:lang w:val="en-GB" w:eastAsia="en-US" w:bidi="ar-SA"/>
              </w:rPr>
            </w:pPr>
            <w:r w:rsidRPr="00F320D5">
              <w:rPr>
                <w:rFonts w:ascii="Garamond" w:eastAsia="Calibri" w:hAnsi="Garamond"/>
                <w:b/>
                <w:caps/>
                <w:sz w:val="16"/>
                <w:szCs w:val="16"/>
                <w:lang w:val="en-GB" w:eastAsia="en-US" w:bidi="ar-SA"/>
              </w:rPr>
              <w:t>performance indicator</w:t>
            </w:r>
          </w:p>
        </w:tc>
        <w:tc>
          <w:tcPr>
            <w:tcW w:w="6855" w:type="dxa"/>
            <w:gridSpan w:val="4"/>
            <w:tcBorders>
              <w:left w:val="single" w:sz="4" w:space="0" w:color="FFFFFF"/>
            </w:tcBorders>
            <w:shd w:val="clear" w:color="auto" w:fill="BFBFBF"/>
            <w:vAlign w:val="center"/>
          </w:tcPr>
          <w:p w:rsidR="007A7A6E" w:rsidRPr="00F320D5" w:rsidRDefault="007A7A6E" w:rsidP="00213533">
            <w:pPr>
              <w:pStyle w:val="Default"/>
              <w:jc w:val="both"/>
              <w:rPr>
                <w:rFonts w:ascii="Garamond" w:eastAsia="Calibri" w:hAnsi="Garamond"/>
                <w:b/>
                <w:sz w:val="16"/>
                <w:szCs w:val="16"/>
                <w:lang w:eastAsia="en-US"/>
              </w:rPr>
            </w:pPr>
            <w:r w:rsidRPr="00F320D5">
              <w:rPr>
                <w:rFonts w:ascii="Garamond" w:hAnsi="Garamond"/>
                <w:iCs/>
                <w:sz w:val="16"/>
                <w:szCs w:val="16"/>
              </w:rPr>
              <w:t>No of trainings/seminars/ workshops for auditors delivered</w:t>
            </w:r>
          </w:p>
        </w:tc>
      </w:tr>
      <w:tr w:rsidR="007A7A6E" w:rsidRPr="00F320D5" w:rsidTr="00213533">
        <w:trPr>
          <w:gridAfter w:val="1"/>
          <w:wAfter w:w="19" w:type="dxa"/>
          <w:jc w:val="center"/>
        </w:trPr>
        <w:tc>
          <w:tcPr>
            <w:tcW w:w="2721" w:type="dxa"/>
            <w:vAlign w:val="center"/>
          </w:tcPr>
          <w:p w:rsidR="007A7A6E" w:rsidRPr="00F320D5" w:rsidRDefault="007A7A6E" w:rsidP="006225A7">
            <w:pPr>
              <w:rPr>
                <w:rFonts w:ascii="Garamond" w:eastAsia="Calibri" w:hAnsi="Garamond"/>
                <w:b/>
                <w:caps/>
                <w:sz w:val="16"/>
                <w:szCs w:val="16"/>
                <w:lang w:val="en-GB" w:eastAsia="en-US" w:bidi="ar-SA"/>
              </w:rPr>
            </w:pPr>
            <w:r w:rsidRPr="00F320D5">
              <w:rPr>
                <w:rFonts w:ascii="Garamond" w:eastAsia="Calibri" w:hAnsi="Garamond"/>
                <w:b/>
                <w:caps/>
                <w:sz w:val="16"/>
                <w:szCs w:val="16"/>
                <w:lang w:val="en-GB" w:eastAsia="en-US" w:bidi="ar-SA"/>
              </w:rPr>
              <w:t>corresponding objective or activity</w:t>
            </w:r>
          </w:p>
        </w:tc>
        <w:tc>
          <w:tcPr>
            <w:tcW w:w="6836" w:type="dxa"/>
            <w:gridSpan w:val="3"/>
            <w:vAlign w:val="center"/>
          </w:tcPr>
          <w:p w:rsidR="007A7A6E" w:rsidRPr="00F320D5" w:rsidRDefault="007A7A6E" w:rsidP="006225A7">
            <w:pPr>
              <w:rPr>
                <w:rFonts w:ascii="Garamond" w:hAnsi="Garamond"/>
                <w:color w:val="365F91" w:themeColor="accent1" w:themeShade="BF"/>
                <w:sz w:val="16"/>
                <w:szCs w:val="16"/>
              </w:rPr>
            </w:pPr>
            <w:r w:rsidRPr="00F320D5">
              <w:rPr>
                <w:rFonts w:ascii="Garamond" w:hAnsi="Garamond"/>
                <w:color w:val="365F91" w:themeColor="accent1" w:themeShade="BF"/>
                <w:sz w:val="16"/>
                <w:szCs w:val="16"/>
              </w:rPr>
              <w:t>Strengthening external audit capacities</w:t>
            </w:r>
          </w:p>
          <w:p w:rsidR="007A7A6E" w:rsidRPr="00F320D5" w:rsidRDefault="007A7A6E" w:rsidP="006225A7">
            <w:pPr>
              <w:pStyle w:val="ListParagraph"/>
              <w:numPr>
                <w:ilvl w:val="0"/>
                <w:numId w:val="28"/>
              </w:numPr>
              <w:rPr>
                <w:rFonts w:ascii="Garamond" w:hAnsi="Garamond"/>
                <w:color w:val="365F91" w:themeColor="accent1" w:themeShade="BF"/>
                <w:sz w:val="16"/>
                <w:szCs w:val="16"/>
              </w:rPr>
            </w:pPr>
            <w:r w:rsidRPr="00F320D5">
              <w:rPr>
                <w:rFonts w:ascii="Garamond" w:hAnsi="Garamond"/>
                <w:color w:val="365F91" w:themeColor="accent1" w:themeShade="BF"/>
                <w:sz w:val="16"/>
                <w:szCs w:val="16"/>
              </w:rPr>
              <w:t xml:space="preserve">Improving the audit process, strengthening audit capacities and transparency in the use of public finances - State Audit Institution </w:t>
            </w:r>
          </w:p>
          <w:p w:rsidR="007A7A6E" w:rsidRPr="00F320D5" w:rsidRDefault="007A7A6E" w:rsidP="006225A7">
            <w:pPr>
              <w:rPr>
                <w:rFonts w:ascii="Garamond" w:hAnsi="Garamond"/>
                <w:color w:val="365F91" w:themeColor="accent1" w:themeShade="BF"/>
                <w:sz w:val="16"/>
                <w:szCs w:val="16"/>
              </w:rPr>
            </w:pPr>
          </w:p>
        </w:tc>
      </w:tr>
      <w:tr w:rsidR="007A7A6E" w:rsidRPr="00F320D5" w:rsidTr="00213533">
        <w:trPr>
          <w:gridAfter w:val="1"/>
          <w:wAfter w:w="19" w:type="dxa"/>
          <w:jc w:val="center"/>
        </w:trPr>
        <w:tc>
          <w:tcPr>
            <w:tcW w:w="2721" w:type="dxa"/>
            <w:vAlign w:val="center"/>
          </w:tcPr>
          <w:p w:rsidR="007A7A6E" w:rsidRPr="00F320D5" w:rsidRDefault="007A7A6E"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SOURCE OF DATA FOR MONITORING PERFORMANCE INDICATORS</w:t>
            </w:r>
          </w:p>
        </w:tc>
        <w:tc>
          <w:tcPr>
            <w:tcW w:w="6836" w:type="dxa"/>
            <w:gridSpan w:val="3"/>
            <w:vAlign w:val="center"/>
          </w:tcPr>
          <w:p w:rsidR="007A7A6E" w:rsidRPr="00F320D5" w:rsidRDefault="007A7A6E" w:rsidP="007A7A6E">
            <w:pPr>
              <w:jc w:val="both"/>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Data for monitoring performance indicators are collected at the national level.</w:t>
            </w:r>
          </w:p>
          <w:p w:rsidR="007A7A6E" w:rsidRPr="00F320D5" w:rsidRDefault="007A7A6E" w:rsidP="007A7A6E">
            <w:pPr>
              <w:jc w:val="both"/>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Database on training</w:t>
            </w:r>
            <w:r w:rsidR="00B52D8C" w:rsidRPr="00F320D5">
              <w:rPr>
                <w:rFonts w:ascii="Garamond" w:eastAsia="Calibri" w:hAnsi="Garamond"/>
                <w:sz w:val="16"/>
                <w:szCs w:val="16"/>
                <w:lang w:val="uz-Cyrl-UZ" w:eastAsia="en-US" w:bidi="ar-SA"/>
              </w:rPr>
              <w:t>s / seminars / workshops organi</w:t>
            </w:r>
            <w:r w:rsidR="00B52D8C" w:rsidRPr="00F320D5">
              <w:rPr>
                <w:rFonts w:ascii="Garamond" w:eastAsia="Calibri" w:hAnsi="Garamond"/>
                <w:sz w:val="16"/>
                <w:szCs w:val="16"/>
                <w:lang w:val="en-GB" w:eastAsia="en-US" w:bidi="ar-SA"/>
              </w:rPr>
              <w:t>s</w:t>
            </w:r>
            <w:r w:rsidRPr="00F320D5">
              <w:rPr>
                <w:rFonts w:ascii="Garamond" w:eastAsia="Calibri" w:hAnsi="Garamond"/>
                <w:sz w:val="16"/>
                <w:szCs w:val="16"/>
                <w:lang w:val="uz-Cyrl-UZ" w:eastAsia="en-US" w:bidi="ar-SA"/>
              </w:rPr>
              <w:t>ed in accordance with the SAI Annual Training Plan and trainings / seminar</w:t>
            </w:r>
            <w:r w:rsidR="00B52D8C" w:rsidRPr="00F320D5">
              <w:rPr>
                <w:rFonts w:ascii="Garamond" w:eastAsia="Calibri" w:hAnsi="Garamond"/>
                <w:sz w:val="16"/>
                <w:szCs w:val="16"/>
                <w:lang w:val="uz-Cyrl-UZ" w:eastAsia="en-US" w:bidi="ar-SA"/>
              </w:rPr>
              <w:t>s / workshops organi</w:t>
            </w:r>
            <w:r w:rsidR="00B52D8C" w:rsidRPr="00F320D5">
              <w:rPr>
                <w:rFonts w:ascii="Garamond" w:eastAsia="Calibri" w:hAnsi="Garamond"/>
                <w:sz w:val="16"/>
                <w:szCs w:val="16"/>
                <w:lang w:val="en-GB" w:eastAsia="en-US" w:bidi="ar-SA"/>
              </w:rPr>
              <w:t>s</w:t>
            </w:r>
            <w:r w:rsidRPr="00F320D5">
              <w:rPr>
                <w:rFonts w:ascii="Garamond" w:eastAsia="Calibri" w:hAnsi="Garamond"/>
                <w:sz w:val="16"/>
                <w:szCs w:val="16"/>
                <w:lang w:val="uz-Cyrl-UZ" w:eastAsia="en-US" w:bidi="ar-SA"/>
              </w:rPr>
              <w:t>ed through regional and international cooperation.</w:t>
            </w:r>
          </w:p>
          <w:p w:rsidR="007A7A6E" w:rsidRPr="00F320D5" w:rsidRDefault="007A7A6E" w:rsidP="007A7A6E">
            <w:pPr>
              <w:jc w:val="both"/>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SAI training plan</w:t>
            </w:r>
          </w:p>
          <w:p w:rsidR="007A7A6E" w:rsidRPr="00F320D5" w:rsidRDefault="007A7A6E" w:rsidP="007A7A6E">
            <w:pPr>
              <w:jc w:val="both"/>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Annual report on performed audits and SAI activities for the period October of the previous year - October of the current year</w:t>
            </w:r>
          </w:p>
          <w:p w:rsidR="007A7A6E" w:rsidRPr="00F320D5" w:rsidRDefault="007A7A6E" w:rsidP="007A7A6E">
            <w:pPr>
              <w:jc w:val="both"/>
              <w:rPr>
                <w:rFonts w:ascii="Garamond" w:eastAsia="Calibri" w:hAnsi="Garamond"/>
                <w:sz w:val="16"/>
                <w:szCs w:val="16"/>
                <w:lang w:val="en-GB" w:eastAsia="en-US" w:bidi="ar-SA"/>
              </w:rPr>
            </w:pPr>
            <w:r w:rsidRPr="00F320D5">
              <w:rPr>
                <w:rFonts w:ascii="Garamond" w:eastAsia="Calibri" w:hAnsi="Garamond"/>
                <w:sz w:val="16"/>
                <w:szCs w:val="16"/>
                <w:lang w:val="uz-Cyrl-UZ" w:eastAsia="en-US" w:bidi="ar-SA"/>
              </w:rPr>
              <w:t>SAI official website: www.dri.co.me</w:t>
            </w:r>
          </w:p>
        </w:tc>
      </w:tr>
      <w:tr w:rsidR="007A7A6E" w:rsidRPr="00F320D5" w:rsidTr="00213533">
        <w:trPr>
          <w:gridAfter w:val="1"/>
          <w:wAfter w:w="19" w:type="dxa"/>
          <w:jc w:val="center"/>
        </w:trPr>
        <w:tc>
          <w:tcPr>
            <w:tcW w:w="2721" w:type="dxa"/>
            <w:vAlign w:val="center"/>
          </w:tcPr>
          <w:p w:rsidR="007A7A6E" w:rsidRPr="00F320D5" w:rsidRDefault="007A7A6E"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NAME OF DATA COLLECTION HOLDER</w:t>
            </w:r>
          </w:p>
        </w:tc>
        <w:tc>
          <w:tcPr>
            <w:tcW w:w="6836" w:type="dxa"/>
            <w:gridSpan w:val="3"/>
            <w:vAlign w:val="center"/>
          </w:tcPr>
          <w:p w:rsidR="007A7A6E" w:rsidRPr="00F320D5" w:rsidRDefault="007A7A6E" w:rsidP="00213533">
            <w:pPr>
              <w:rPr>
                <w:rFonts w:ascii="Garamond" w:hAnsi="Garamond"/>
                <w:sz w:val="16"/>
                <w:szCs w:val="16"/>
              </w:rPr>
            </w:pPr>
            <w:r w:rsidRPr="00F320D5">
              <w:rPr>
                <w:rFonts w:ascii="Garamond" w:hAnsi="Garamond"/>
                <w:sz w:val="16"/>
                <w:szCs w:val="16"/>
              </w:rPr>
              <w:t>State Audit Institution</w:t>
            </w:r>
          </w:p>
          <w:p w:rsidR="007A7A6E" w:rsidRPr="00F320D5" w:rsidRDefault="007A7A6E" w:rsidP="00213533">
            <w:pPr>
              <w:rPr>
                <w:rFonts w:ascii="Garamond" w:hAnsi="Garamond"/>
                <w:sz w:val="16"/>
                <w:szCs w:val="16"/>
              </w:rPr>
            </w:pPr>
            <w:r w:rsidRPr="00F320D5">
              <w:rPr>
                <w:rFonts w:ascii="Garamond" w:hAnsi="Garamond"/>
                <w:sz w:val="16"/>
                <w:szCs w:val="16"/>
              </w:rPr>
              <w:t>Zoran Jelić</w:t>
            </w:r>
          </w:p>
          <w:p w:rsidR="007A7A6E" w:rsidRPr="00F320D5" w:rsidRDefault="007A7A6E" w:rsidP="00213533">
            <w:pPr>
              <w:rPr>
                <w:rFonts w:ascii="Garamond" w:hAnsi="Garamond"/>
                <w:sz w:val="16"/>
                <w:szCs w:val="16"/>
              </w:rPr>
            </w:pPr>
            <w:r w:rsidRPr="00F320D5">
              <w:rPr>
                <w:rFonts w:ascii="Garamond" w:hAnsi="Garamond"/>
                <w:sz w:val="16"/>
                <w:szCs w:val="16"/>
              </w:rPr>
              <w:t>zoran.jelic@dri.co.me</w:t>
            </w:r>
          </w:p>
          <w:p w:rsidR="007A7A6E" w:rsidRPr="00F320D5" w:rsidRDefault="007A7A6E" w:rsidP="00213533">
            <w:pPr>
              <w:rPr>
                <w:rFonts w:ascii="Garamond" w:hAnsi="Garamond"/>
                <w:sz w:val="16"/>
                <w:szCs w:val="16"/>
              </w:rPr>
            </w:pPr>
            <w:r w:rsidRPr="00F320D5">
              <w:rPr>
                <w:rFonts w:ascii="Garamond" w:hAnsi="Garamond"/>
                <w:sz w:val="16"/>
                <w:szCs w:val="16"/>
              </w:rPr>
              <w:t>Phone: 020 / 407-407</w:t>
            </w:r>
          </w:p>
          <w:p w:rsidR="007A7A6E" w:rsidRPr="00F320D5" w:rsidRDefault="007A7A6E" w:rsidP="00213533">
            <w:pPr>
              <w:rPr>
                <w:rFonts w:ascii="Garamond" w:hAnsi="Garamond"/>
                <w:sz w:val="16"/>
                <w:szCs w:val="16"/>
              </w:rPr>
            </w:pPr>
          </w:p>
          <w:p w:rsidR="007A7A6E" w:rsidRPr="00F320D5" w:rsidRDefault="007A7A6E" w:rsidP="00213533">
            <w:pPr>
              <w:rPr>
                <w:rFonts w:ascii="Garamond" w:hAnsi="Garamond"/>
                <w:sz w:val="16"/>
                <w:szCs w:val="16"/>
              </w:rPr>
            </w:pPr>
            <w:r w:rsidRPr="00F320D5">
              <w:rPr>
                <w:rFonts w:ascii="Garamond" w:hAnsi="Garamond"/>
                <w:sz w:val="16"/>
                <w:szCs w:val="16"/>
              </w:rPr>
              <w:t>Mihaela Popovic</w:t>
            </w:r>
          </w:p>
          <w:p w:rsidR="007A7A6E" w:rsidRPr="00F320D5" w:rsidRDefault="007A7A6E" w:rsidP="00213533">
            <w:pPr>
              <w:rPr>
                <w:rFonts w:ascii="Garamond" w:hAnsi="Garamond"/>
                <w:sz w:val="16"/>
                <w:szCs w:val="16"/>
              </w:rPr>
            </w:pPr>
            <w:r w:rsidRPr="00F320D5">
              <w:rPr>
                <w:rFonts w:ascii="Garamond" w:hAnsi="Garamond"/>
                <w:sz w:val="16"/>
                <w:szCs w:val="16"/>
              </w:rPr>
              <w:t>mihaela.popovic@dri.co.me</w:t>
            </w:r>
          </w:p>
          <w:p w:rsidR="007A7A6E" w:rsidRPr="00F320D5" w:rsidRDefault="007A7A6E" w:rsidP="00213533">
            <w:pPr>
              <w:rPr>
                <w:rFonts w:ascii="Garamond" w:hAnsi="Garamond"/>
                <w:sz w:val="16"/>
                <w:szCs w:val="16"/>
              </w:rPr>
            </w:pPr>
            <w:r w:rsidRPr="00F320D5">
              <w:rPr>
                <w:rFonts w:ascii="Garamond" w:hAnsi="Garamond"/>
                <w:sz w:val="16"/>
                <w:szCs w:val="16"/>
              </w:rPr>
              <w:t>Phone: 020 / 407-404</w:t>
            </w:r>
          </w:p>
          <w:p w:rsidR="007A7A6E" w:rsidRPr="00F320D5" w:rsidRDefault="007A7A6E" w:rsidP="00213533">
            <w:pPr>
              <w:rPr>
                <w:rFonts w:ascii="Garamond" w:hAnsi="Garamond"/>
                <w:sz w:val="16"/>
                <w:szCs w:val="16"/>
              </w:rPr>
            </w:pPr>
          </w:p>
          <w:p w:rsidR="007A7A6E" w:rsidRPr="00F320D5" w:rsidRDefault="007A7A6E" w:rsidP="00213533">
            <w:pPr>
              <w:rPr>
                <w:rFonts w:ascii="Garamond" w:hAnsi="Garamond"/>
                <w:sz w:val="16"/>
                <w:szCs w:val="16"/>
              </w:rPr>
            </w:pPr>
            <w:r w:rsidRPr="00F320D5">
              <w:rPr>
                <w:rFonts w:ascii="Garamond" w:hAnsi="Garamond"/>
                <w:sz w:val="16"/>
                <w:szCs w:val="16"/>
              </w:rPr>
              <w:t>Marija Žugić, Department of International Relations marija.zugic@dri.co.me</w:t>
            </w:r>
          </w:p>
          <w:p w:rsidR="007A7A6E" w:rsidRPr="00F320D5" w:rsidRDefault="007A7A6E" w:rsidP="00213533">
            <w:pPr>
              <w:rPr>
                <w:rFonts w:ascii="Garamond" w:eastAsia="Calibri" w:hAnsi="Garamond"/>
                <w:sz w:val="16"/>
                <w:szCs w:val="16"/>
                <w:lang w:eastAsia="en-US" w:bidi="ar-SA"/>
              </w:rPr>
            </w:pPr>
            <w:r w:rsidRPr="00F320D5">
              <w:rPr>
                <w:rFonts w:ascii="Garamond" w:hAnsi="Garamond"/>
                <w:sz w:val="16"/>
                <w:szCs w:val="16"/>
              </w:rPr>
              <w:t>Phone: 020 / 407-430</w:t>
            </w:r>
          </w:p>
        </w:tc>
      </w:tr>
      <w:tr w:rsidR="007A7A6E" w:rsidRPr="00F320D5" w:rsidTr="00213533">
        <w:trPr>
          <w:gridAfter w:val="1"/>
          <w:wAfter w:w="19" w:type="dxa"/>
          <w:jc w:val="center"/>
        </w:trPr>
        <w:tc>
          <w:tcPr>
            <w:tcW w:w="2721" w:type="dxa"/>
            <w:vAlign w:val="center"/>
          </w:tcPr>
          <w:p w:rsidR="007A7A6E" w:rsidRPr="00F320D5" w:rsidRDefault="007A7A6E"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FREQUENCY OF DATA PUBLICATION</w:t>
            </w:r>
          </w:p>
        </w:tc>
        <w:tc>
          <w:tcPr>
            <w:tcW w:w="6836" w:type="dxa"/>
            <w:gridSpan w:val="3"/>
            <w:vAlign w:val="center"/>
          </w:tcPr>
          <w:p w:rsidR="007A7A6E" w:rsidRPr="00F320D5" w:rsidRDefault="007A7A6E" w:rsidP="00213533">
            <w:pPr>
              <w:rPr>
                <w:rFonts w:ascii="Garamond" w:eastAsia="Calibri" w:hAnsi="Garamond"/>
                <w:sz w:val="16"/>
                <w:szCs w:val="16"/>
                <w:lang w:eastAsia="en-US" w:bidi="ar-SA"/>
              </w:rPr>
            </w:pPr>
            <w:r w:rsidRPr="00F320D5">
              <w:rPr>
                <w:rFonts w:ascii="Garamond" w:eastAsia="Calibri" w:hAnsi="Garamond"/>
                <w:sz w:val="16"/>
                <w:szCs w:val="16"/>
                <w:lang w:eastAsia="en-US" w:bidi="ar-SA"/>
              </w:rPr>
              <w:t>Q4 of the current calendar year.</w:t>
            </w:r>
          </w:p>
        </w:tc>
      </w:tr>
      <w:tr w:rsidR="007A7A6E" w:rsidRPr="00F320D5" w:rsidTr="00213533">
        <w:trPr>
          <w:gridAfter w:val="1"/>
          <w:wAfter w:w="19" w:type="dxa"/>
          <w:trHeight w:val="458"/>
          <w:jc w:val="center"/>
        </w:trPr>
        <w:tc>
          <w:tcPr>
            <w:tcW w:w="2721" w:type="dxa"/>
            <w:vMerge w:val="restart"/>
            <w:vAlign w:val="center"/>
          </w:tcPr>
          <w:p w:rsidR="007A7A6E" w:rsidRPr="00F320D5" w:rsidRDefault="007A7A6E"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 xml:space="preserve">BRIEF DESCRIPTION </w:t>
            </w:r>
            <w:r w:rsidRPr="00F320D5">
              <w:rPr>
                <w:rFonts w:ascii="Garamond" w:eastAsia="Calibri" w:hAnsi="Garamond"/>
                <w:b/>
                <w:caps/>
                <w:sz w:val="16"/>
                <w:szCs w:val="16"/>
                <w:lang w:val="en-GB" w:eastAsia="en-US" w:bidi="ar-SA"/>
              </w:rPr>
              <w:t xml:space="preserve">OF </w:t>
            </w:r>
            <w:r w:rsidRPr="00F320D5">
              <w:rPr>
                <w:rFonts w:ascii="Garamond" w:eastAsia="Calibri" w:hAnsi="Garamond"/>
                <w:b/>
                <w:caps/>
                <w:sz w:val="16"/>
                <w:szCs w:val="16"/>
                <w:lang w:val="uz-Cyrl-UZ" w:eastAsia="en-US" w:bidi="ar-SA"/>
              </w:rPr>
              <w:t>PERFORMANCE INDICATOR AND METHODOLOGY (FORMULAS / EQUATIONS)</w:t>
            </w:r>
          </w:p>
        </w:tc>
        <w:tc>
          <w:tcPr>
            <w:tcW w:w="6836" w:type="dxa"/>
            <w:gridSpan w:val="3"/>
            <w:vAlign w:val="center"/>
          </w:tcPr>
          <w:p w:rsidR="007A7A6E" w:rsidRPr="00F320D5" w:rsidRDefault="007A7A6E" w:rsidP="00213533">
            <w:pPr>
              <w:jc w:val="both"/>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The SAI Senate adopts the Annual Training Plan. In addition to trainings that are planned and implemented in accordance with the SAI Annual Training Plan, trainings are held through regional and international cooperation.</w:t>
            </w:r>
          </w:p>
        </w:tc>
      </w:tr>
      <w:tr w:rsidR="007A7A6E" w:rsidRPr="00F320D5" w:rsidTr="00213533">
        <w:trPr>
          <w:gridAfter w:val="1"/>
          <w:wAfter w:w="19" w:type="dxa"/>
          <w:trHeight w:val="620"/>
          <w:jc w:val="center"/>
        </w:trPr>
        <w:tc>
          <w:tcPr>
            <w:tcW w:w="2721" w:type="dxa"/>
            <w:vMerge/>
            <w:shd w:val="clear" w:color="auto" w:fill="auto"/>
            <w:vAlign w:val="center"/>
          </w:tcPr>
          <w:p w:rsidR="007A7A6E" w:rsidRPr="00F320D5" w:rsidRDefault="007A7A6E" w:rsidP="00213533">
            <w:pPr>
              <w:autoSpaceDE/>
              <w:autoSpaceDN/>
              <w:rPr>
                <w:rFonts w:ascii="Garamond" w:eastAsia="Calibri" w:hAnsi="Garamond"/>
                <w:b/>
                <w:i/>
                <w:caps/>
                <w:sz w:val="16"/>
                <w:szCs w:val="16"/>
                <w:lang w:val="uz-Cyrl-UZ" w:eastAsia="en-US" w:bidi="ar-SA"/>
              </w:rPr>
            </w:pPr>
          </w:p>
        </w:tc>
        <w:tc>
          <w:tcPr>
            <w:tcW w:w="6836" w:type="dxa"/>
            <w:gridSpan w:val="3"/>
            <w:shd w:val="clear" w:color="auto" w:fill="BFBFBF"/>
            <w:vAlign w:val="center"/>
          </w:tcPr>
          <w:p w:rsidR="007A7A6E" w:rsidRPr="00F320D5" w:rsidRDefault="007A7A6E" w:rsidP="00213533">
            <w:pPr>
              <w:jc w:val="center"/>
              <w:rPr>
                <w:rFonts w:ascii="Garamond" w:hAnsi="Garamond"/>
                <w:color w:val="365F91" w:themeColor="accent1" w:themeShade="BF"/>
                <w:sz w:val="16"/>
                <w:szCs w:val="16"/>
                <w:lang w:val="uz-Cyrl-UZ"/>
              </w:rPr>
            </w:pPr>
            <w:r w:rsidRPr="00F320D5">
              <w:rPr>
                <w:rFonts w:ascii="Garamond" w:hAnsi="Garamond"/>
                <w:color w:val="365F91" w:themeColor="accent1" w:themeShade="BF"/>
                <w:sz w:val="16"/>
                <w:szCs w:val="16"/>
                <w:lang w:val="uz-Cyrl-UZ"/>
              </w:rPr>
              <w:t>FORMULA / EQUATION</w:t>
            </w:r>
          </w:p>
          <w:p w:rsidR="007A7A6E" w:rsidRPr="00F320D5" w:rsidRDefault="00490017" w:rsidP="00213533">
            <w:pPr>
              <w:jc w:val="center"/>
              <w:rPr>
                <w:rFonts w:ascii="Garamond" w:eastAsia="Calibri" w:hAnsi="Garamond"/>
                <w:sz w:val="16"/>
                <w:szCs w:val="16"/>
                <w:lang w:val="en-GB" w:eastAsia="en-US" w:bidi="ar-SA"/>
              </w:rPr>
            </w:pPr>
            <w:r w:rsidRPr="00F320D5">
              <w:rPr>
                <w:rFonts w:ascii="Garamond" w:eastAsia="Calibri" w:hAnsi="Garamond"/>
                <w:sz w:val="16"/>
                <w:szCs w:val="16"/>
                <w:lang w:val="en-GB" w:eastAsia="en-US" w:bidi="ar-SA"/>
              </w:rPr>
              <w:t>Number of trainings realis</w:t>
            </w:r>
            <w:r w:rsidR="007A7A6E" w:rsidRPr="00F320D5">
              <w:rPr>
                <w:rFonts w:ascii="Garamond" w:eastAsia="Calibri" w:hAnsi="Garamond"/>
                <w:sz w:val="16"/>
                <w:szCs w:val="16"/>
                <w:lang w:val="en-GB" w:eastAsia="en-US" w:bidi="ar-SA"/>
              </w:rPr>
              <w:t>ed in the current calendar year.</w:t>
            </w:r>
          </w:p>
        </w:tc>
      </w:tr>
      <w:tr w:rsidR="007A7A6E" w:rsidRPr="00F320D5" w:rsidTr="00213533">
        <w:trPr>
          <w:gridAfter w:val="1"/>
          <w:wAfter w:w="19" w:type="dxa"/>
          <w:trHeight w:val="585"/>
          <w:jc w:val="center"/>
        </w:trPr>
        <w:tc>
          <w:tcPr>
            <w:tcW w:w="2721" w:type="dxa"/>
            <w:vAlign w:val="center"/>
          </w:tcPr>
          <w:p w:rsidR="007A7A6E" w:rsidRPr="00F320D5" w:rsidRDefault="007A7A6E" w:rsidP="00213533">
            <w:pPr>
              <w:autoSpaceDE/>
              <w:autoSpaceDN/>
              <w:rPr>
                <w:rFonts w:ascii="Garamond" w:eastAsia="Calibri" w:hAnsi="Garamond"/>
                <w:b/>
                <w:bCs/>
                <w:caps/>
                <w:sz w:val="16"/>
                <w:szCs w:val="16"/>
                <w:lang w:val="en-GB" w:eastAsia="en-US" w:bidi="ar-SA"/>
              </w:rPr>
            </w:pPr>
            <w:r w:rsidRPr="00F320D5">
              <w:rPr>
                <w:rFonts w:ascii="Garamond" w:eastAsia="Calibri" w:hAnsi="Garamond"/>
                <w:b/>
                <w:caps/>
                <w:sz w:val="16"/>
                <w:szCs w:val="16"/>
                <w:lang w:val="uz-Cyrl-UZ" w:eastAsia="en-US" w:bidi="ar-SA"/>
              </w:rPr>
              <w:t>BASELINE</w:t>
            </w:r>
            <w:r w:rsidRPr="00F320D5">
              <w:rPr>
                <w:rFonts w:ascii="Garamond" w:eastAsia="Calibri" w:hAnsi="Garamond"/>
                <w:b/>
                <w:caps/>
                <w:sz w:val="16"/>
                <w:szCs w:val="16"/>
                <w:lang w:val="en-GB" w:eastAsia="en-US" w:bidi="ar-SA"/>
              </w:rPr>
              <w:t xml:space="preserve"> DATA</w:t>
            </w:r>
          </w:p>
        </w:tc>
        <w:tc>
          <w:tcPr>
            <w:tcW w:w="6836" w:type="dxa"/>
            <w:gridSpan w:val="3"/>
            <w:vAlign w:val="center"/>
          </w:tcPr>
          <w:p w:rsidR="007A7A6E" w:rsidRPr="00F320D5" w:rsidRDefault="00490017" w:rsidP="007A7A6E">
            <w:pPr>
              <w:pStyle w:val="TabelaTekst"/>
              <w:rPr>
                <w:rFonts w:ascii="Garamond" w:hAnsi="Garamond"/>
                <w:sz w:val="16"/>
                <w:szCs w:val="16"/>
              </w:rPr>
            </w:pPr>
            <w:r w:rsidRPr="00F320D5">
              <w:rPr>
                <w:rFonts w:ascii="Garamond" w:hAnsi="Garamond"/>
                <w:sz w:val="16"/>
                <w:szCs w:val="16"/>
              </w:rPr>
              <w:t xml:space="preserve">PV (2014): Minimum </w:t>
            </w:r>
            <w:r w:rsidR="007A7A6E" w:rsidRPr="00F320D5">
              <w:rPr>
                <w:rFonts w:ascii="Garamond" w:hAnsi="Garamond"/>
                <w:sz w:val="16"/>
                <w:szCs w:val="16"/>
              </w:rPr>
              <w:t>3 trainings</w:t>
            </w:r>
            <w:r w:rsidRPr="00F320D5">
              <w:rPr>
                <w:rFonts w:ascii="Garamond" w:hAnsi="Garamond"/>
                <w:sz w:val="16"/>
                <w:szCs w:val="16"/>
              </w:rPr>
              <w:t xml:space="preserve"> organi</w:t>
            </w:r>
            <w:r w:rsidRPr="00F320D5">
              <w:rPr>
                <w:rFonts w:ascii="Garamond" w:hAnsi="Garamond"/>
                <w:sz w:val="16"/>
                <w:szCs w:val="16"/>
                <w:lang w:val="en-GB"/>
              </w:rPr>
              <w:t>s</w:t>
            </w:r>
            <w:r w:rsidRPr="00F320D5">
              <w:rPr>
                <w:rFonts w:ascii="Garamond" w:hAnsi="Garamond"/>
                <w:sz w:val="16"/>
                <w:szCs w:val="16"/>
              </w:rPr>
              <w:t>ed</w:t>
            </w:r>
          </w:p>
          <w:p w:rsidR="007A7A6E" w:rsidRPr="00F320D5" w:rsidRDefault="007A7A6E" w:rsidP="00490017">
            <w:pPr>
              <w:pStyle w:val="TabelaTekst"/>
              <w:rPr>
                <w:rFonts w:ascii="Garamond" w:hAnsi="Garamond"/>
                <w:sz w:val="16"/>
                <w:szCs w:val="16"/>
                <w:lang w:val="en-GB"/>
              </w:rPr>
            </w:pPr>
            <w:r w:rsidRPr="00F320D5">
              <w:rPr>
                <w:rFonts w:ascii="Garamond" w:hAnsi="Garamond"/>
                <w:sz w:val="16"/>
                <w:szCs w:val="16"/>
              </w:rPr>
              <w:t>PV (2017): 9 additional trainings</w:t>
            </w:r>
            <w:r w:rsidR="00490017" w:rsidRPr="00F320D5">
              <w:rPr>
                <w:rFonts w:ascii="Garamond" w:hAnsi="Garamond"/>
                <w:sz w:val="16"/>
                <w:szCs w:val="16"/>
              </w:rPr>
              <w:t xml:space="preserve"> organi</w:t>
            </w:r>
            <w:r w:rsidR="00490017" w:rsidRPr="00F320D5">
              <w:rPr>
                <w:rFonts w:ascii="Garamond" w:hAnsi="Garamond"/>
                <w:sz w:val="16"/>
                <w:szCs w:val="16"/>
                <w:lang w:val="en-GB"/>
              </w:rPr>
              <w:t>s</w:t>
            </w:r>
            <w:r w:rsidR="00490017" w:rsidRPr="00F320D5">
              <w:rPr>
                <w:rFonts w:ascii="Garamond" w:hAnsi="Garamond"/>
                <w:sz w:val="16"/>
                <w:szCs w:val="16"/>
              </w:rPr>
              <w:t>ed</w:t>
            </w:r>
          </w:p>
        </w:tc>
      </w:tr>
      <w:tr w:rsidR="007A7A6E" w:rsidRPr="00F320D5" w:rsidTr="007A7A6E">
        <w:trPr>
          <w:gridAfter w:val="1"/>
          <w:wAfter w:w="19" w:type="dxa"/>
          <w:trHeight w:val="160"/>
          <w:jc w:val="center"/>
        </w:trPr>
        <w:tc>
          <w:tcPr>
            <w:tcW w:w="2721" w:type="dxa"/>
            <w:vMerge w:val="restart"/>
            <w:vAlign w:val="center"/>
          </w:tcPr>
          <w:p w:rsidR="007A7A6E" w:rsidRPr="00F320D5" w:rsidRDefault="007A7A6E" w:rsidP="00213533">
            <w:pPr>
              <w:autoSpaceDE/>
              <w:autoSpaceDN/>
              <w:rPr>
                <w:rFonts w:ascii="Garamond" w:eastAsia="Calibri" w:hAnsi="Garamond"/>
                <w:b/>
                <w:bCs/>
                <w:caps/>
                <w:sz w:val="16"/>
                <w:szCs w:val="16"/>
                <w:lang w:val="uz-Cyrl-UZ" w:eastAsia="en-US" w:bidi="ar-SA"/>
              </w:rPr>
            </w:pPr>
            <w:r w:rsidRPr="00F320D5">
              <w:rPr>
                <w:rFonts w:ascii="Garamond" w:eastAsia="Calibri" w:hAnsi="Garamond"/>
                <w:b/>
                <w:caps/>
                <w:sz w:val="16"/>
                <w:szCs w:val="16"/>
                <w:lang w:val="uz-Cyrl-UZ" w:eastAsia="en-US" w:bidi="ar-SA"/>
              </w:rPr>
              <w:t>TARGET VALUE DATA</w:t>
            </w:r>
          </w:p>
        </w:tc>
        <w:tc>
          <w:tcPr>
            <w:tcW w:w="3057" w:type="dxa"/>
            <w:vAlign w:val="center"/>
          </w:tcPr>
          <w:p w:rsidR="007A7A6E" w:rsidRPr="00F320D5" w:rsidRDefault="007A7A6E"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2018</w:t>
            </w:r>
          </w:p>
        </w:tc>
        <w:tc>
          <w:tcPr>
            <w:tcW w:w="1980" w:type="dxa"/>
            <w:vAlign w:val="center"/>
          </w:tcPr>
          <w:p w:rsidR="007A7A6E" w:rsidRPr="00F320D5" w:rsidRDefault="007A7A6E"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2019</w:t>
            </w:r>
          </w:p>
        </w:tc>
        <w:tc>
          <w:tcPr>
            <w:tcW w:w="1799" w:type="dxa"/>
            <w:vAlign w:val="center"/>
          </w:tcPr>
          <w:p w:rsidR="007A7A6E" w:rsidRPr="00F320D5" w:rsidRDefault="007A7A6E"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2020</w:t>
            </w:r>
          </w:p>
        </w:tc>
      </w:tr>
      <w:tr w:rsidR="007A7A6E" w:rsidRPr="00F320D5" w:rsidTr="007A7A6E">
        <w:trPr>
          <w:gridAfter w:val="1"/>
          <w:wAfter w:w="19" w:type="dxa"/>
          <w:trHeight w:val="160"/>
          <w:jc w:val="center"/>
        </w:trPr>
        <w:tc>
          <w:tcPr>
            <w:tcW w:w="2721" w:type="dxa"/>
            <w:vMerge/>
            <w:vAlign w:val="center"/>
          </w:tcPr>
          <w:p w:rsidR="007A7A6E" w:rsidRPr="00F320D5" w:rsidRDefault="007A7A6E" w:rsidP="00213533">
            <w:pPr>
              <w:autoSpaceDE/>
              <w:autoSpaceDN/>
              <w:rPr>
                <w:rFonts w:ascii="Garamond" w:eastAsia="Calibri" w:hAnsi="Garamond"/>
                <w:b/>
                <w:bCs/>
                <w:caps/>
                <w:sz w:val="16"/>
                <w:szCs w:val="16"/>
                <w:lang w:val="uz-Cyrl-UZ" w:eastAsia="en-US" w:bidi="ar-SA"/>
              </w:rPr>
            </w:pPr>
          </w:p>
        </w:tc>
        <w:tc>
          <w:tcPr>
            <w:tcW w:w="3057" w:type="dxa"/>
            <w:vAlign w:val="center"/>
          </w:tcPr>
          <w:p w:rsidR="007A7A6E" w:rsidRPr="00F320D5" w:rsidRDefault="00490017" w:rsidP="00213533">
            <w:pPr>
              <w:pStyle w:val="TabelaTekst"/>
              <w:spacing w:before="0" w:after="0" w:line="240" w:lineRule="auto"/>
              <w:jc w:val="center"/>
              <w:rPr>
                <w:rFonts w:ascii="Garamond" w:hAnsi="Garamond"/>
                <w:sz w:val="16"/>
                <w:szCs w:val="16"/>
              </w:rPr>
            </w:pPr>
            <w:r w:rsidRPr="00F320D5">
              <w:rPr>
                <w:rFonts w:ascii="Garamond" w:hAnsi="Garamond"/>
                <w:sz w:val="16"/>
                <w:szCs w:val="16"/>
              </w:rPr>
              <w:t xml:space="preserve">Additional </w:t>
            </w:r>
            <w:r w:rsidR="007A7A6E" w:rsidRPr="00F320D5">
              <w:rPr>
                <w:rFonts w:ascii="Garamond" w:hAnsi="Garamond"/>
                <w:sz w:val="16"/>
                <w:szCs w:val="16"/>
              </w:rPr>
              <w:t>6 trainings</w:t>
            </w:r>
            <w:r w:rsidRPr="00F320D5">
              <w:rPr>
                <w:rFonts w:ascii="Garamond" w:hAnsi="Garamond"/>
                <w:sz w:val="16"/>
                <w:szCs w:val="16"/>
              </w:rPr>
              <w:t xml:space="preserve"> organi</w:t>
            </w:r>
            <w:r w:rsidRPr="00F320D5">
              <w:rPr>
                <w:rFonts w:ascii="Garamond" w:hAnsi="Garamond"/>
                <w:sz w:val="16"/>
                <w:szCs w:val="16"/>
                <w:lang w:val="en-GB"/>
              </w:rPr>
              <w:t>s</w:t>
            </w:r>
            <w:r w:rsidRPr="00F320D5">
              <w:rPr>
                <w:rFonts w:ascii="Garamond" w:hAnsi="Garamond"/>
                <w:sz w:val="16"/>
                <w:szCs w:val="16"/>
              </w:rPr>
              <w:t>ed</w:t>
            </w:r>
          </w:p>
        </w:tc>
        <w:tc>
          <w:tcPr>
            <w:tcW w:w="1980" w:type="dxa"/>
            <w:vAlign w:val="center"/>
          </w:tcPr>
          <w:p w:rsidR="007A7A6E" w:rsidRPr="00F320D5" w:rsidRDefault="00490017" w:rsidP="00490017">
            <w:pPr>
              <w:pStyle w:val="TabelaTekst"/>
              <w:spacing w:before="0" w:after="0" w:line="240" w:lineRule="auto"/>
              <w:jc w:val="center"/>
              <w:rPr>
                <w:rFonts w:ascii="Garamond" w:hAnsi="Garamond"/>
                <w:sz w:val="16"/>
                <w:szCs w:val="16"/>
              </w:rPr>
            </w:pPr>
            <w:r w:rsidRPr="00F320D5">
              <w:rPr>
                <w:rFonts w:ascii="Garamond" w:hAnsi="Garamond"/>
                <w:sz w:val="16"/>
                <w:szCs w:val="16"/>
              </w:rPr>
              <w:t xml:space="preserve">Additional </w:t>
            </w:r>
            <w:r w:rsidR="007A7A6E" w:rsidRPr="00F320D5">
              <w:rPr>
                <w:rFonts w:ascii="Garamond" w:hAnsi="Garamond"/>
                <w:sz w:val="16"/>
                <w:szCs w:val="16"/>
              </w:rPr>
              <w:t xml:space="preserve">7 trainings </w:t>
            </w:r>
            <w:r w:rsidRPr="00F320D5">
              <w:rPr>
                <w:rFonts w:ascii="Garamond" w:hAnsi="Garamond"/>
                <w:sz w:val="16"/>
                <w:szCs w:val="16"/>
              </w:rPr>
              <w:t>organi</w:t>
            </w:r>
            <w:r w:rsidRPr="00F320D5">
              <w:rPr>
                <w:rFonts w:ascii="Garamond" w:hAnsi="Garamond"/>
                <w:sz w:val="16"/>
                <w:szCs w:val="16"/>
                <w:lang w:val="en-GB"/>
              </w:rPr>
              <w:t>s</w:t>
            </w:r>
            <w:r w:rsidR="007A7A6E" w:rsidRPr="00F320D5">
              <w:rPr>
                <w:rFonts w:ascii="Garamond" w:hAnsi="Garamond"/>
                <w:sz w:val="16"/>
                <w:szCs w:val="16"/>
              </w:rPr>
              <w:t>ed</w:t>
            </w:r>
          </w:p>
        </w:tc>
        <w:tc>
          <w:tcPr>
            <w:tcW w:w="1799" w:type="dxa"/>
            <w:vAlign w:val="center"/>
          </w:tcPr>
          <w:p w:rsidR="007A7A6E" w:rsidRPr="00F320D5" w:rsidRDefault="00490017" w:rsidP="00490017">
            <w:pPr>
              <w:pStyle w:val="TabelaTekst"/>
              <w:spacing w:before="0" w:after="0" w:line="240" w:lineRule="auto"/>
              <w:jc w:val="center"/>
              <w:rPr>
                <w:rFonts w:ascii="Garamond" w:hAnsi="Garamond"/>
                <w:sz w:val="16"/>
                <w:szCs w:val="16"/>
              </w:rPr>
            </w:pPr>
            <w:r w:rsidRPr="00F320D5">
              <w:rPr>
                <w:rFonts w:ascii="Garamond" w:hAnsi="Garamond"/>
                <w:sz w:val="16"/>
                <w:szCs w:val="16"/>
              </w:rPr>
              <w:t xml:space="preserve">Additional </w:t>
            </w:r>
            <w:r w:rsidR="007A7A6E" w:rsidRPr="00F320D5">
              <w:rPr>
                <w:rFonts w:ascii="Garamond" w:hAnsi="Garamond"/>
                <w:sz w:val="16"/>
                <w:szCs w:val="16"/>
              </w:rPr>
              <w:t>10 trainings organi</w:t>
            </w:r>
            <w:r w:rsidRPr="00F320D5">
              <w:rPr>
                <w:rFonts w:ascii="Garamond" w:hAnsi="Garamond"/>
                <w:sz w:val="16"/>
                <w:szCs w:val="16"/>
                <w:lang w:val="en-GB"/>
              </w:rPr>
              <w:t>s</w:t>
            </w:r>
            <w:r w:rsidR="007A7A6E" w:rsidRPr="00F320D5">
              <w:rPr>
                <w:rFonts w:ascii="Garamond" w:hAnsi="Garamond"/>
                <w:sz w:val="16"/>
                <w:szCs w:val="16"/>
              </w:rPr>
              <w:t>ed</w:t>
            </w:r>
          </w:p>
        </w:tc>
      </w:tr>
      <w:tr w:rsidR="007A7A6E" w:rsidRPr="00F320D5" w:rsidTr="007A7A6E">
        <w:trPr>
          <w:gridAfter w:val="1"/>
          <w:wAfter w:w="19" w:type="dxa"/>
          <w:trHeight w:val="160"/>
          <w:jc w:val="center"/>
        </w:trPr>
        <w:tc>
          <w:tcPr>
            <w:tcW w:w="2721" w:type="dxa"/>
            <w:vAlign w:val="center"/>
          </w:tcPr>
          <w:p w:rsidR="007A7A6E" w:rsidRPr="00F320D5" w:rsidRDefault="0062456A" w:rsidP="00213533">
            <w:pPr>
              <w:autoSpaceDE/>
              <w:autoSpaceDN/>
              <w:rPr>
                <w:rFonts w:ascii="Garamond" w:eastAsia="Calibri" w:hAnsi="Garamond"/>
                <w:b/>
                <w:bCs/>
                <w:caps/>
                <w:sz w:val="16"/>
                <w:szCs w:val="16"/>
                <w:lang w:val="uz-Cyrl-UZ" w:eastAsia="en-US" w:bidi="ar-SA"/>
              </w:rPr>
            </w:pPr>
            <w:r w:rsidRPr="00F320D5">
              <w:rPr>
                <w:rFonts w:ascii="Garamond" w:eastAsia="Calibri" w:hAnsi="Garamond"/>
                <w:b/>
                <w:bCs/>
                <w:caps/>
                <w:sz w:val="16"/>
                <w:szCs w:val="16"/>
                <w:lang w:val="uz-Cyrl-UZ" w:eastAsia="en-US" w:bidi="ar-SA"/>
              </w:rPr>
              <w:t>DATA ON VALUES ACHIEVED</w:t>
            </w:r>
          </w:p>
        </w:tc>
        <w:tc>
          <w:tcPr>
            <w:tcW w:w="3057" w:type="dxa"/>
            <w:vAlign w:val="center"/>
          </w:tcPr>
          <w:p w:rsidR="007A7A6E" w:rsidRPr="00F320D5" w:rsidRDefault="007A7A6E" w:rsidP="00D11F0A">
            <w:pPr>
              <w:pStyle w:val="TOC3"/>
              <w:rPr>
                <w:rFonts w:ascii="Garamond" w:hAnsi="Garamond"/>
                <w:sz w:val="16"/>
                <w:szCs w:val="16"/>
              </w:rPr>
            </w:pPr>
            <w:r w:rsidRPr="00F320D5">
              <w:rPr>
                <w:rFonts w:ascii="Garamond" w:hAnsi="Garamond"/>
                <w:sz w:val="16"/>
                <w:szCs w:val="16"/>
              </w:rPr>
              <w:t>13</w:t>
            </w:r>
            <w:r w:rsidR="00490017" w:rsidRPr="00F320D5">
              <w:rPr>
                <w:rFonts w:ascii="Garamond" w:hAnsi="Garamond"/>
                <w:sz w:val="16"/>
                <w:szCs w:val="16"/>
              </w:rPr>
              <w:t xml:space="preserve"> trainings (3 internally organis</w:t>
            </w:r>
            <w:r w:rsidRPr="00F320D5">
              <w:rPr>
                <w:rFonts w:ascii="Garamond" w:hAnsi="Garamond"/>
                <w:sz w:val="16"/>
                <w:szCs w:val="16"/>
              </w:rPr>
              <w:t>ed and 10 at regional and international level)</w:t>
            </w:r>
          </w:p>
        </w:tc>
        <w:tc>
          <w:tcPr>
            <w:tcW w:w="1980" w:type="dxa"/>
            <w:vAlign w:val="center"/>
          </w:tcPr>
          <w:p w:rsidR="007A7A6E" w:rsidRPr="00F320D5" w:rsidRDefault="007A7A6E" w:rsidP="00D11F0A">
            <w:pPr>
              <w:pStyle w:val="TOC3"/>
              <w:rPr>
                <w:rFonts w:ascii="Garamond" w:hAnsi="Garamond"/>
                <w:sz w:val="16"/>
                <w:szCs w:val="16"/>
              </w:rPr>
            </w:pPr>
            <w:r w:rsidRPr="00F320D5">
              <w:rPr>
                <w:rFonts w:ascii="Garamond" w:hAnsi="Garamond"/>
                <w:sz w:val="16"/>
                <w:szCs w:val="16"/>
              </w:rPr>
              <w:t>13</w:t>
            </w:r>
            <w:r w:rsidR="00490017" w:rsidRPr="00F320D5">
              <w:rPr>
                <w:rFonts w:ascii="Garamond" w:hAnsi="Garamond"/>
                <w:sz w:val="16"/>
                <w:szCs w:val="16"/>
              </w:rPr>
              <w:t xml:space="preserve"> trainings (3 internally organis</w:t>
            </w:r>
            <w:r w:rsidRPr="00F320D5">
              <w:rPr>
                <w:rFonts w:ascii="Garamond" w:hAnsi="Garamond"/>
                <w:sz w:val="16"/>
                <w:szCs w:val="16"/>
              </w:rPr>
              <w:t>ed and 10 at regional and international level)</w:t>
            </w:r>
          </w:p>
        </w:tc>
        <w:tc>
          <w:tcPr>
            <w:tcW w:w="1799" w:type="dxa"/>
            <w:vAlign w:val="center"/>
          </w:tcPr>
          <w:p w:rsidR="007A7A6E" w:rsidRPr="00F320D5" w:rsidRDefault="007A7A6E" w:rsidP="00213533">
            <w:pPr>
              <w:pStyle w:val="TabelaTekst"/>
              <w:spacing w:before="0" w:after="0" w:line="240" w:lineRule="auto"/>
              <w:jc w:val="center"/>
              <w:rPr>
                <w:rFonts w:ascii="Garamond" w:hAnsi="Garamond"/>
                <w:sz w:val="16"/>
                <w:szCs w:val="16"/>
              </w:rPr>
            </w:pPr>
            <w:r w:rsidRPr="00F320D5">
              <w:rPr>
                <w:rFonts w:ascii="Garamond" w:hAnsi="Garamond"/>
                <w:sz w:val="16"/>
                <w:szCs w:val="16"/>
              </w:rPr>
              <w:t>32 trainings (22 at the domestic level and 10 at the regional and international level)</w:t>
            </w:r>
          </w:p>
        </w:tc>
      </w:tr>
    </w:tbl>
    <w:p w:rsidR="00DF53A4" w:rsidRDefault="00DF53A4" w:rsidP="004D1343">
      <w:pPr>
        <w:rPr>
          <w:rFonts w:ascii="Garamond" w:hAnsi="Garamond"/>
          <w:sz w:val="24"/>
          <w:szCs w:val="24"/>
        </w:rPr>
      </w:pPr>
    </w:p>
    <w:p w:rsidR="00DF53A4" w:rsidRDefault="00DF53A4" w:rsidP="00DF53A4">
      <w:pPr>
        <w:pStyle w:val="Heading2"/>
        <w:rPr>
          <w:rFonts w:ascii="Garamond" w:hAnsi="Garamond"/>
          <w:sz w:val="24"/>
          <w:szCs w:val="24"/>
        </w:rPr>
      </w:pPr>
      <w:bookmarkStart w:id="86" w:name="_Toc77688263"/>
      <w:r>
        <w:rPr>
          <w:rFonts w:ascii="Garamond" w:hAnsi="Garamond"/>
          <w:sz w:val="24"/>
          <w:szCs w:val="24"/>
        </w:rPr>
        <w:t>5.2.</w:t>
      </w:r>
      <w:r w:rsidRPr="00DF53A4">
        <w:t xml:space="preserve"> </w:t>
      </w:r>
      <w:r w:rsidRPr="00DF53A4">
        <w:rPr>
          <w:rFonts w:ascii="Garamond" w:hAnsi="Garamond"/>
          <w:sz w:val="24"/>
          <w:szCs w:val="24"/>
        </w:rPr>
        <w:t>Building capacities and improving audit procedure</w:t>
      </w:r>
      <w:r>
        <w:rPr>
          <w:rFonts w:ascii="Garamond" w:hAnsi="Garamond"/>
          <w:sz w:val="24"/>
          <w:szCs w:val="24"/>
        </w:rPr>
        <w:t xml:space="preserve"> - </w:t>
      </w:r>
      <w:r w:rsidRPr="00DF53A4">
        <w:rPr>
          <w:rFonts w:ascii="Garamond" w:hAnsi="Garamond"/>
          <w:sz w:val="24"/>
          <w:szCs w:val="24"/>
        </w:rPr>
        <w:t>Audit Authority</w:t>
      </w:r>
      <w:bookmarkEnd w:id="86"/>
    </w:p>
    <w:p w:rsidR="004D1343" w:rsidRPr="00C32887" w:rsidRDefault="004D1343" w:rsidP="00DF53A4">
      <w:pPr>
        <w:pStyle w:val="Heading3"/>
        <w:rPr>
          <w:rFonts w:ascii="Garamond" w:hAnsi="Garamond"/>
          <w:sz w:val="24"/>
          <w:szCs w:val="24"/>
        </w:rPr>
      </w:pPr>
      <w:bookmarkStart w:id="87" w:name="_Toc77688264"/>
      <w:r w:rsidRPr="00C32887">
        <w:rPr>
          <w:rFonts w:ascii="Garamond" w:hAnsi="Garamond"/>
          <w:sz w:val="24"/>
          <w:szCs w:val="24"/>
        </w:rPr>
        <w:t xml:space="preserve">5.2.1      </w:t>
      </w:r>
      <w:r w:rsidR="00DF53A4">
        <w:rPr>
          <w:rFonts w:ascii="Garamond" w:hAnsi="Garamond"/>
          <w:sz w:val="24"/>
          <w:szCs w:val="24"/>
        </w:rPr>
        <w:t>PERFORMANCE INDICATOR 37</w:t>
      </w:r>
      <w:r w:rsidR="00DF53A4" w:rsidRPr="00DF53A4">
        <w:rPr>
          <w:rFonts w:ascii="Garamond" w:hAnsi="Garamond"/>
          <w:sz w:val="24"/>
          <w:szCs w:val="24"/>
        </w:rPr>
        <w:t xml:space="preserve"> </w:t>
      </w:r>
      <w:r w:rsidR="00DF53A4" w:rsidRPr="00C32887">
        <w:rPr>
          <w:rFonts w:ascii="Garamond" w:hAnsi="Garamond"/>
          <w:sz w:val="24"/>
          <w:szCs w:val="24"/>
        </w:rPr>
        <w:t>PA</w:t>
      </w:r>
      <w:r w:rsidR="00DF53A4">
        <w:rPr>
          <w:rFonts w:ascii="Garamond" w:hAnsi="Garamond"/>
          <w:sz w:val="24"/>
          <w:szCs w:val="24"/>
        </w:rPr>
        <w:t>SSPORT</w:t>
      </w:r>
      <w:bookmarkEnd w:id="87"/>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3057"/>
        <w:gridCol w:w="1980"/>
        <w:gridCol w:w="1799"/>
        <w:gridCol w:w="19"/>
      </w:tblGrid>
      <w:tr w:rsidR="00DF53A4" w:rsidRPr="00F320D5" w:rsidTr="00213533">
        <w:trPr>
          <w:jc w:val="center"/>
        </w:trPr>
        <w:tc>
          <w:tcPr>
            <w:tcW w:w="2721" w:type="dxa"/>
            <w:tcBorders>
              <w:right w:val="single" w:sz="4" w:space="0" w:color="FFFFFF"/>
            </w:tcBorders>
            <w:shd w:val="clear" w:color="auto" w:fill="BFBFBF"/>
            <w:vAlign w:val="center"/>
          </w:tcPr>
          <w:p w:rsidR="00DF53A4" w:rsidRPr="00F320D5" w:rsidRDefault="00DF53A4" w:rsidP="00213533">
            <w:pPr>
              <w:autoSpaceDE/>
              <w:autoSpaceDN/>
              <w:rPr>
                <w:rFonts w:ascii="Garamond" w:eastAsia="Calibri" w:hAnsi="Garamond"/>
                <w:b/>
                <w:caps/>
                <w:sz w:val="16"/>
                <w:szCs w:val="16"/>
                <w:lang w:val="en-GB" w:eastAsia="en-US" w:bidi="ar-SA"/>
              </w:rPr>
            </w:pPr>
            <w:r w:rsidRPr="00F320D5">
              <w:rPr>
                <w:rFonts w:ascii="Garamond" w:eastAsia="Calibri" w:hAnsi="Garamond"/>
                <w:b/>
                <w:caps/>
                <w:sz w:val="16"/>
                <w:szCs w:val="16"/>
                <w:lang w:val="en-GB" w:eastAsia="en-US" w:bidi="ar-SA"/>
              </w:rPr>
              <w:t>performance indicator</w:t>
            </w:r>
          </w:p>
        </w:tc>
        <w:tc>
          <w:tcPr>
            <w:tcW w:w="6855" w:type="dxa"/>
            <w:gridSpan w:val="4"/>
            <w:tcBorders>
              <w:left w:val="single" w:sz="4" w:space="0" w:color="FFFFFF"/>
            </w:tcBorders>
            <w:shd w:val="clear" w:color="auto" w:fill="BFBFBF"/>
            <w:vAlign w:val="center"/>
          </w:tcPr>
          <w:p w:rsidR="00DF53A4" w:rsidRPr="00F320D5" w:rsidRDefault="00DF53A4" w:rsidP="00213533">
            <w:pPr>
              <w:pStyle w:val="Default"/>
              <w:jc w:val="both"/>
              <w:rPr>
                <w:rFonts w:ascii="Garamond" w:eastAsia="Calibri" w:hAnsi="Garamond"/>
                <w:b/>
                <w:sz w:val="16"/>
                <w:szCs w:val="16"/>
                <w:lang w:eastAsia="en-US"/>
              </w:rPr>
            </w:pPr>
            <w:r w:rsidRPr="00F320D5">
              <w:rPr>
                <w:rFonts w:ascii="Garamond" w:hAnsi="Garamond"/>
                <w:iCs/>
                <w:sz w:val="16"/>
                <w:szCs w:val="16"/>
              </w:rPr>
              <w:t>No of trainings/seminars/ workshops for auditors delivered</w:t>
            </w:r>
          </w:p>
        </w:tc>
      </w:tr>
      <w:tr w:rsidR="00DF53A4" w:rsidRPr="00F320D5" w:rsidTr="00213533">
        <w:trPr>
          <w:gridAfter w:val="1"/>
          <w:wAfter w:w="19" w:type="dxa"/>
          <w:jc w:val="center"/>
        </w:trPr>
        <w:tc>
          <w:tcPr>
            <w:tcW w:w="2721" w:type="dxa"/>
            <w:vAlign w:val="center"/>
          </w:tcPr>
          <w:p w:rsidR="00DF53A4" w:rsidRPr="00F320D5" w:rsidRDefault="00DF53A4" w:rsidP="006225A7">
            <w:pPr>
              <w:rPr>
                <w:rFonts w:ascii="Garamond" w:eastAsia="Calibri" w:hAnsi="Garamond"/>
                <w:b/>
                <w:caps/>
                <w:sz w:val="16"/>
                <w:szCs w:val="16"/>
                <w:lang w:val="en-GB" w:eastAsia="en-US" w:bidi="ar-SA"/>
              </w:rPr>
            </w:pPr>
            <w:r w:rsidRPr="00F320D5">
              <w:rPr>
                <w:rFonts w:ascii="Garamond" w:eastAsia="Calibri" w:hAnsi="Garamond"/>
                <w:b/>
                <w:caps/>
                <w:sz w:val="16"/>
                <w:szCs w:val="16"/>
                <w:lang w:val="en-GB" w:eastAsia="en-US" w:bidi="ar-SA"/>
              </w:rPr>
              <w:t>corresponding objective or activity</w:t>
            </w:r>
          </w:p>
        </w:tc>
        <w:tc>
          <w:tcPr>
            <w:tcW w:w="6836" w:type="dxa"/>
            <w:gridSpan w:val="3"/>
            <w:vAlign w:val="center"/>
          </w:tcPr>
          <w:p w:rsidR="00DF53A4" w:rsidRPr="00F320D5" w:rsidRDefault="00DF53A4" w:rsidP="006225A7">
            <w:pPr>
              <w:rPr>
                <w:rFonts w:ascii="Garamond" w:hAnsi="Garamond"/>
                <w:color w:val="365F91" w:themeColor="accent1" w:themeShade="BF"/>
                <w:sz w:val="16"/>
                <w:szCs w:val="16"/>
              </w:rPr>
            </w:pPr>
            <w:r w:rsidRPr="00F320D5">
              <w:rPr>
                <w:rFonts w:ascii="Garamond" w:hAnsi="Garamond"/>
                <w:color w:val="365F91" w:themeColor="accent1" w:themeShade="BF"/>
                <w:sz w:val="16"/>
                <w:szCs w:val="16"/>
              </w:rPr>
              <w:t>Strengthening external audit capacities</w:t>
            </w:r>
          </w:p>
          <w:p w:rsidR="00DF53A4" w:rsidRPr="00F320D5" w:rsidRDefault="00DF53A4" w:rsidP="006225A7">
            <w:pPr>
              <w:pStyle w:val="ListParagraph"/>
              <w:numPr>
                <w:ilvl w:val="0"/>
                <w:numId w:val="28"/>
              </w:numPr>
              <w:rPr>
                <w:rFonts w:ascii="Garamond" w:hAnsi="Garamond"/>
                <w:color w:val="365F91" w:themeColor="accent1" w:themeShade="BF"/>
                <w:sz w:val="16"/>
                <w:szCs w:val="16"/>
              </w:rPr>
            </w:pPr>
            <w:r w:rsidRPr="00F320D5">
              <w:rPr>
                <w:rFonts w:ascii="Garamond" w:hAnsi="Garamond"/>
                <w:color w:val="365F91" w:themeColor="accent1" w:themeShade="BF"/>
                <w:sz w:val="16"/>
                <w:szCs w:val="16"/>
              </w:rPr>
              <w:t>Building capacities and improving audit procedure - Audit Authority</w:t>
            </w:r>
          </w:p>
          <w:p w:rsidR="00DF53A4" w:rsidRPr="00F320D5" w:rsidRDefault="00DF53A4" w:rsidP="006225A7">
            <w:pPr>
              <w:rPr>
                <w:rFonts w:ascii="Garamond" w:hAnsi="Garamond"/>
                <w:color w:val="365F91" w:themeColor="accent1" w:themeShade="BF"/>
                <w:sz w:val="16"/>
                <w:szCs w:val="16"/>
              </w:rPr>
            </w:pPr>
          </w:p>
        </w:tc>
      </w:tr>
      <w:tr w:rsidR="00DF53A4" w:rsidRPr="00F320D5" w:rsidTr="00213533">
        <w:trPr>
          <w:gridAfter w:val="1"/>
          <w:wAfter w:w="19" w:type="dxa"/>
          <w:jc w:val="center"/>
        </w:trPr>
        <w:tc>
          <w:tcPr>
            <w:tcW w:w="2721" w:type="dxa"/>
            <w:vAlign w:val="center"/>
          </w:tcPr>
          <w:p w:rsidR="00DF53A4" w:rsidRPr="00F320D5" w:rsidRDefault="00DF53A4"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SOURCE OF DATA FOR MONITORING PERFORMANCE INDICATORS</w:t>
            </w:r>
          </w:p>
        </w:tc>
        <w:tc>
          <w:tcPr>
            <w:tcW w:w="6836" w:type="dxa"/>
            <w:gridSpan w:val="3"/>
            <w:vAlign w:val="center"/>
          </w:tcPr>
          <w:p w:rsidR="00DF53A4" w:rsidRPr="00F320D5" w:rsidRDefault="00DF53A4" w:rsidP="00213533">
            <w:pPr>
              <w:jc w:val="both"/>
              <w:rPr>
                <w:rFonts w:ascii="Garamond" w:eastAsia="Calibri" w:hAnsi="Garamond"/>
                <w:sz w:val="16"/>
                <w:szCs w:val="16"/>
                <w:lang w:val="en-GB" w:eastAsia="en-US" w:bidi="ar-SA"/>
              </w:rPr>
            </w:pPr>
            <w:r w:rsidRPr="00F320D5">
              <w:rPr>
                <w:rFonts w:ascii="Garamond" w:eastAsia="Calibri" w:hAnsi="Garamond"/>
                <w:sz w:val="16"/>
                <w:szCs w:val="16"/>
                <w:lang w:val="uz-Cyrl-UZ" w:eastAsia="en-US" w:bidi="ar-SA"/>
              </w:rPr>
              <w:t xml:space="preserve">Internal database on completed trainings of employees of the Audit </w:t>
            </w:r>
            <w:r w:rsidRPr="00F320D5">
              <w:rPr>
                <w:rFonts w:ascii="Garamond" w:hAnsi="Garamond"/>
                <w:sz w:val="16"/>
                <w:szCs w:val="16"/>
              </w:rPr>
              <w:t>Authority</w:t>
            </w:r>
          </w:p>
        </w:tc>
      </w:tr>
      <w:tr w:rsidR="00DF53A4" w:rsidRPr="00F320D5" w:rsidTr="00213533">
        <w:trPr>
          <w:gridAfter w:val="1"/>
          <w:wAfter w:w="19" w:type="dxa"/>
          <w:jc w:val="center"/>
        </w:trPr>
        <w:tc>
          <w:tcPr>
            <w:tcW w:w="2721" w:type="dxa"/>
            <w:vAlign w:val="center"/>
          </w:tcPr>
          <w:p w:rsidR="00DF53A4" w:rsidRPr="00F320D5" w:rsidRDefault="00DF53A4"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NAME OF DATA COLLECTION HOLDER</w:t>
            </w:r>
          </w:p>
        </w:tc>
        <w:tc>
          <w:tcPr>
            <w:tcW w:w="6836" w:type="dxa"/>
            <w:gridSpan w:val="3"/>
            <w:vAlign w:val="center"/>
          </w:tcPr>
          <w:p w:rsidR="00DF53A4" w:rsidRPr="00F320D5" w:rsidRDefault="00DF53A4" w:rsidP="00DF53A4">
            <w:pPr>
              <w:rPr>
                <w:rFonts w:ascii="Garamond" w:hAnsi="Garamond"/>
                <w:sz w:val="16"/>
                <w:szCs w:val="16"/>
              </w:rPr>
            </w:pPr>
            <w:r w:rsidRPr="00F320D5">
              <w:rPr>
                <w:rFonts w:ascii="Garamond" w:hAnsi="Garamond"/>
                <w:sz w:val="16"/>
                <w:szCs w:val="16"/>
              </w:rPr>
              <w:t>Audit Authority</w:t>
            </w:r>
          </w:p>
          <w:p w:rsidR="00DF53A4" w:rsidRPr="00F320D5" w:rsidRDefault="00DF53A4" w:rsidP="00DF53A4">
            <w:pPr>
              <w:rPr>
                <w:rFonts w:ascii="Garamond" w:hAnsi="Garamond"/>
                <w:sz w:val="16"/>
                <w:szCs w:val="16"/>
              </w:rPr>
            </w:pPr>
            <w:r w:rsidRPr="00F320D5">
              <w:rPr>
                <w:rFonts w:ascii="Garamond" w:hAnsi="Garamond"/>
                <w:sz w:val="16"/>
                <w:szCs w:val="16"/>
              </w:rPr>
              <w:t>Radmila Prelević, certified auditor</w:t>
            </w:r>
          </w:p>
          <w:p w:rsidR="00DF53A4" w:rsidRPr="00F320D5" w:rsidRDefault="00DF53A4" w:rsidP="00DF53A4">
            <w:pPr>
              <w:rPr>
                <w:rFonts w:ascii="Garamond" w:hAnsi="Garamond"/>
                <w:sz w:val="16"/>
                <w:szCs w:val="16"/>
              </w:rPr>
            </w:pPr>
            <w:r w:rsidRPr="00F320D5">
              <w:rPr>
                <w:rFonts w:ascii="Garamond" w:hAnsi="Garamond"/>
                <w:sz w:val="16"/>
                <w:szCs w:val="16"/>
              </w:rPr>
              <w:t>radmila.prelevic@revizorskotijelo.me</w:t>
            </w:r>
          </w:p>
          <w:p w:rsidR="00DF53A4" w:rsidRPr="00F320D5" w:rsidRDefault="00DF53A4" w:rsidP="00DF53A4">
            <w:pPr>
              <w:rPr>
                <w:rFonts w:ascii="Garamond" w:eastAsia="Calibri" w:hAnsi="Garamond"/>
                <w:sz w:val="16"/>
                <w:szCs w:val="16"/>
                <w:lang w:eastAsia="en-US" w:bidi="ar-SA"/>
              </w:rPr>
            </w:pPr>
            <w:r w:rsidRPr="00F320D5">
              <w:rPr>
                <w:rFonts w:ascii="Garamond" w:hAnsi="Garamond"/>
                <w:sz w:val="16"/>
                <w:szCs w:val="16"/>
              </w:rPr>
              <w:t>Telephone: 067 313 199</w:t>
            </w:r>
          </w:p>
        </w:tc>
      </w:tr>
      <w:tr w:rsidR="00DF53A4" w:rsidRPr="00F320D5" w:rsidTr="00213533">
        <w:trPr>
          <w:gridAfter w:val="1"/>
          <w:wAfter w:w="19" w:type="dxa"/>
          <w:jc w:val="center"/>
        </w:trPr>
        <w:tc>
          <w:tcPr>
            <w:tcW w:w="2721" w:type="dxa"/>
            <w:vAlign w:val="center"/>
          </w:tcPr>
          <w:p w:rsidR="00DF53A4" w:rsidRPr="00F320D5" w:rsidRDefault="00DF53A4"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FREQUENCY OF DATA PUBLICATION</w:t>
            </w:r>
          </w:p>
        </w:tc>
        <w:tc>
          <w:tcPr>
            <w:tcW w:w="6836" w:type="dxa"/>
            <w:gridSpan w:val="3"/>
            <w:vAlign w:val="center"/>
          </w:tcPr>
          <w:p w:rsidR="00DF53A4" w:rsidRPr="00F320D5" w:rsidRDefault="00DF53A4" w:rsidP="00213533">
            <w:pPr>
              <w:rPr>
                <w:rFonts w:ascii="Garamond" w:eastAsia="Calibri" w:hAnsi="Garamond"/>
                <w:sz w:val="16"/>
                <w:szCs w:val="16"/>
                <w:lang w:eastAsia="en-US" w:bidi="ar-SA"/>
              </w:rPr>
            </w:pPr>
            <w:r w:rsidRPr="00F320D5">
              <w:rPr>
                <w:rFonts w:ascii="Garamond" w:eastAsia="Calibri" w:hAnsi="Garamond"/>
                <w:sz w:val="16"/>
                <w:szCs w:val="16"/>
                <w:lang w:eastAsia="en-US" w:bidi="ar-SA"/>
              </w:rPr>
              <w:t>January 31 N + 1 for N year</w:t>
            </w:r>
          </w:p>
        </w:tc>
      </w:tr>
      <w:tr w:rsidR="00DF53A4" w:rsidRPr="00F320D5" w:rsidTr="00213533">
        <w:trPr>
          <w:gridAfter w:val="1"/>
          <w:wAfter w:w="19" w:type="dxa"/>
          <w:trHeight w:val="458"/>
          <w:jc w:val="center"/>
        </w:trPr>
        <w:tc>
          <w:tcPr>
            <w:tcW w:w="2721" w:type="dxa"/>
            <w:vMerge w:val="restart"/>
            <w:vAlign w:val="center"/>
          </w:tcPr>
          <w:p w:rsidR="00DF53A4" w:rsidRPr="00F320D5" w:rsidRDefault="00DF53A4"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 xml:space="preserve">BRIEF DESCRIPTION </w:t>
            </w:r>
            <w:r w:rsidRPr="00F320D5">
              <w:rPr>
                <w:rFonts w:ascii="Garamond" w:eastAsia="Calibri" w:hAnsi="Garamond"/>
                <w:b/>
                <w:caps/>
                <w:sz w:val="16"/>
                <w:szCs w:val="16"/>
                <w:lang w:val="en-GB" w:eastAsia="en-US" w:bidi="ar-SA"/>
              </w:rPr>
              <w:t xml:space="preserve">OF </w:t>
            </w:r>
            <w:r w:rsidRPr="00F320D5">
              <w:rPr>
                <w:rFonts w:ascii="Garamond" w:eastAsia="Calibri" w:hAnsi="Garamond"/>
                <w:b/>
                <w:caps/>
                <w:sz w:val="16"/>
                <w:szCs w:val="16"/>
                <w:lang w:val="uz-Cyrl-UZ" w:eastAsia="en-US" w:bidi="ar-SA"/>
              </w:rPr>
              <w:t>PERFORMANCE INDICATOR AND METHODOLOGY (FORMULAS / EQUATIONS)</w:t>
            </w:r>
          </w:p>
        </w:tc>
        <w:tc>
          <w:tcPr>
            <w:tcW w:w="6836" w:type="dxa"/>
            <w:gridSpan w:val="3"/>
            <w:vAlign w:val="center"/>
          </w:tcPr>
          <w:p w:rsidR="00DF53A4" w:rsidRPr="00F320D5" w:rsidRDefault="00DF53A4" w:rsidP="00213533">
            <w:pPr>
              <w:jc w:val="both"/>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A larger number of audit trainings contributes to the strengthening of the institution</w:t>
            </w:r>
            <w:r w:rsidR="00C13A74" w:rsidRPr="00F320D5">
              <w:rPr>
                <w:rFonts w:ascii="Garamond" w:eastAsia="Calibri" w:hAnsi="Garamond"/>
                <w:sz w:val="16"/>
                <w:szCs w:val="16"/>
                <w:lang w:val="uz-Cyrl-UZ" w:eastAsia="en-US" w:bidi="ar-SA"/>
              </w:rPr>
              <w:t>’</w:t>
            </w:r>
            <w:r w:rsidRPr="00F320D5">
              <w:rPr>
                <w:rFonts w:ascii="Garamond" w:eastAsia="Calibri" w:hAnsi="Garamond"/>
                <w:sz w:val="16"/>
                <w:szCs w:val="16"/>
                <w:lang w:val="uz-Cyrl-UZ" w:eastAsia="en-US" w:bidi="ar-SA"/>
              </w:rPr>
              <w:t>s capacity and is measured by the number of conducted trainings during the calendar year per auditor.</w:t>
            </w:r>
          </w:p>
        </w:tc>
      </w:tr>
      <w:tr w:rsidR="00DF53A4" w:rsidRPr="00F320D5" w:rsidTr="00213533">
        <w:trPr>
          <w:gridAfter w:val="1"/>
          <w:wAfter w:w="19" w:type="dxa"/>
          <w:trHeight w:val="620"/>
          <w:jc w:val="center"/>
        </w:trPr>
        <w:tc>
          <w:tcPr>
            <w:tcW w:w="2721" w:type="dxa"/>
            <w:vMerge/>
            <w:shd w:val="clear" w:color="auto" w:fill="auto"/>
            <w:vAlign w:val="center"/>
          </w:tcPr>
          <w:p w:rsidR="00DF53A4" w:rsidRPr="00F320D5" w:rsidRDefault="00DF53A4" w:rsidP="00213533">
            <w:pPr>
              <w:autoSpaceDE/>
              <w:autoSpaceDN/>
              <w:rPr>
                <w:rFonts w:ascii="Garamond" w:eastAsia="Calibri" w:hAnsi="Garamond"/>
                <w:b/>
                <w:i/>
                <w:caps/>
                <w:sz w:val="16"/>
                <w:szCs w:val="16"/>
                <w:lang w:val="uz-Cyrl-UZ" w:eastAsia="en-US" w:bidi="ar-SA"/>
              </w:rPr>
            </w:pPr>
          </w:p>
        </w:tc>
        <w:tc>
          <w:tcPr>
            <w:tcW w:w="6836" w:type="dxa"/>
            <w:gridSpan w:val="3"/>
            <w:shd w:val="clear" w:color="auto" w:fill="BFBFBF"/>
            <w:vAlign w:val="center"/>
          </w:tcPr>
          <w:p w:rsidR="00DF53A4" w:rsidRPr="00F320D5" w:rsidRDefault="00DF53A4" w:rsidP="00213533">
            <w:pPr>
              <w:jc w:val="center"/>
              <w:rPr>
                <w:rFonts w:ascii="Garamond" w:hAnsi="Garamond"/>
                <w:color w:val="365F91" w:themeColor="accent1" w:themeShade="BF"/>
                <w:sz w:val="16"/>
                <w:szCs w:val="16"/>
                <w:lang w:val="uz-Cyrl-UZ"/>
              </w:rPr>
            </w:pPr>
            <w:r w:rsidRPr="00F320D5">
              <w:rPr>
                <w:rFonts w:ascii="Garamond" w:hAnsi="Garamond"/>
                <w:color w:val="365F91" w:themeColor="accent1" w:themeShade="BF"/>
                <w:sz w:val="16"/>
                <w:szCs w:val="16"/>
                <w:lang w:val="uz-Cyrl-UZ"/>
              </w:rPr>
              <w:t>FORMULA / EQUATION</w:t>
            </w:r>
          </w:p>
          <w:p w:rsidR="00DF53A4" w:rsidRPr="00F320D5" w:rsidRDefault="00DF53A4" w:rsidP="00213533">
            <w:pPr>
              <w:jc w:val="center"/>
              <w:rPr>
                <w:rFonts w:ascii="Garamond" w:eastAsia="Calibri" w:hAnsi="Garamond"/>
                <w:sz w:val="16"/>
                <w:szCs w:val="16"/>
                <w:lang w:val="en-GB" w:eastAsia="en-US" w:bidi="ar-SA"/>
              </w:rPr>
            </w:pPr>
            <w:r w:rsidRPr="00F320D5">
              <w:rPr>
                <w:rFonts w:ascii="Garamond" w:eastAsia="Calibri" w:hAnsi="Garamond"/>
                <w:sz w:val="16"/>
                <w:szCs w:val="16"/>
                <w:lang w:val="en-GB" w:eastAsia="en-US" w:bidi="ar-SA"/>
              </w:rPr>
              <w:t>Number of audit trainings during the calendar year / number of auditors</w:t>
            </w:r>
          </w:p>
        </w:tc>
      </w:tr>
      <w:tr w:rsidR="00DF53A4" w:rsidRPr="00F320D5" w:rsidTr="00213533">
        <w:trPr>
          <w:gridAfter w:val="1"/>
          <w:wAfter w:w="19" w:type="dxa"/>
          <w:trHeight w:val="585"/>
          <w:jc w:val="center"/>
        </w:trPr>
        <w:tc>
          <w:tcPr>
            <w:tcW w:w="2721" w:type="dxa"/>
            <w:vAlign w:val="center"/>
          </w:tcPr>
          <w:p w:rsidR="00DF53A4" w:rsidRPr="00F320D5" w:rsidRDefault="00DF53A4" w:rsidP="00213533">
            <w:pPr>
              <w:autoSpaceDE/>
              <w:autoSpaceDN/>
              <w:rPr>
                <w:rFonts w:ascii="Garamond" w:eastAsia="Calibri" w:hAnsi="Garamond"/>
                <w:b/>
                <w:bCs/>
                <w:caps/>
                <w:sz w:val="16"/>
                <w:szCs w:val="16"/>
                <w:lang w:val="en-GB" w:eastAsia="en-US" w:bidi="ar-SA"/>
              </w:rPr>
            </w:pPr>
            <w:r w:rsidRPr="00F320D5">
              <w:rPr>
                <w:rFonts w:ascii="Garamond" w:eastAsia="Calibri" w:hAnsi="Garamond"/>
                <w:b/>
                <w:caps/>
                <w:sz w:val="16"/>
                <w:szCs w:val="16"/>
                <w:lang w:val="uz-Cyrl-UZ" w:eastAsia="en-US" w:bidi="ar-SA"/>
              </w:rPr>
              <w:t>BASELINE</w:t>
            </w:r>
            <w:r w:rsidRPr="00F320D5">
              <w:rPr>
                <w:rFonts w:ascii="Garamond" w:eastAsia="Calibri" w:hAnsi="Garamond"/>
                <w:b/>
                <w:caps/>
                <w:sz w:val="16"/>
                <w:szCs w:val="16"/>
                <w:lang w:val="en-GB" w:eastAsia="en-US" w:bidi="ar-SA"/>
              </w:rPr>
              <w:t xml:space="preserve"> DATA</w:t>
            </w:r>
          </w:p>
        </w:tc>
        <w:tc>
          <w:tcPr>
            <w:tcW w:w="6836" w:type="dxa"/>
            <w:gridSpan w:val="3"/>
            <w:vAlign w:val="center"/>
          </w:tcPr>
          <w:p w:rsidR="00DF53A4" w:rsidRPr="00F320D5" w:rsidRDefault="00DF53A4" w:rsidP="00490017">
            <w:pPr>
              <w:pStyle w:val="TabelaTekst"/>
              <w:rPr>
                <w:rFonts w:ascii="Garamond" w:hAnsi="Garamond"/>
                <w:sz w:val="16"/>
                <w:szCs w:val="16"/>
                <w:lang w:val="en-GB"/>
              </w:rPr>
            </w:pPr>
            <w:r w:rsidRPr="00F320D5">
              <w:rPr>
                <w:rFonts w:ascii="Garamond" w:hAnsi="Garamond"/>
                <w:sz w:val="16"/>
                <w:szCs w:val="16"/>
              </w:rPr>
              <w:t xml:space="preserve">PV (2014): 3 trainings </w:t>
            </w:r>
            <w:r w:rsidR="00490017" w:rsidRPr="00F320D5">
              <w:rPr>
                <w:rFonts w:ascii="Garamond" w:hAnsi="Garamond"/>
                <w:sz w:val="16"/>
                <w:szCs w:val="16"/>
              </w:rPr>
              <w:t>organi</w:t>
            </w:r>
            <w:r w:rsidR="00490017" w:rsidRPr="00F320D5">
              <w:rPr>
                <w:rFonts w:ascii="Garamond" w:hAnsi="Garamond"/>
                <w:sz w:val="16"/>
                <w:szCs w:val="16"/>
                <w:lang w:val="en-GB"/>
              </w:rPr>
              <w:t>s</w:t>
            </w:r>
            <w:r w:rsidR="00490017" w:rsidRPr="00F320D5">
              <w:rPr>
                <w:rFonts w:ascii="Garamond" w:hAnsi="Garamond"/>
                <w:sz w:val="16"/>
                <w:szCs w:val="16"/>
              </w:rPr>
              <w:t xml:space="preserve">ed </w:t>
            </w:r>
            <w:r w:rsidRPr="00F320D5">
              <w:rPr>
                <w:rFonts w:ascii="Garamond" w:hAnsi="Garamond"/>
                <w:sz w:val="16"/>
                <w:szCs w:val="16"/>
              </w:rPr>
              <w:t>per auditor</w:t>
            </w:r>
            <w:r w:rsidR="00490017" w:rsidRPr="00F320D5">
              <w:rPr>
                <w:rFonts w:ascii="Garamond" w:hAnsi="Garamond"/>
                <w:sz w:val="16"/>
                <w:szCs w:val="16"/>
              </w:rPr>
              <w:t xml:space="preserve"> </w:t>
            </w:r>
          </w:p>
        </w:tc>
      </w:tr>
      <w:tr w:rsidR="00DF53A4" w:rsidRPr="00F320D5" w:rsidTr="00213533">
        <w:trPr>
          <w:gridAfter w:val="1"/>
          <w:wAfter w:w="19" w:type="dxa"/>
          <w:trHeight w:val="160"/>
          <w:jc w:val="center"/>
        </w:trPr>
        <w:tc>
          <w:tcPr>
            <w:tcW w:w="2721" w:type="dxa"/>
            <w:vMerge w:val="restart"/>
            <w:vAlign w:val="center"/>
          </w:tcPr>
          <w:p w:rsidR="00DF53A4" w:rsidRPr="00F320D5" w:rsidRDefault="00DF53A4" w:rsidP="00213533">
            <w:pPr>
              <w:autoSpaceDE/>
              <w:autoSpaceDN/>
              <w:rPr>
                <w:rFonts w:ascii="Garamond" w:eastAsia="Calibri" w:hAnsi="Garamond"/>
                <w:b/>
                <w:bCs/>
                <w:caps/>
                <w:sz w:val="16"/>
                <w:szCs w:val="16"/>
                <w:lang w:val="uz-Cyrl-UZ" w:eastAsia="en-US" w:bidi="ar-SA"/>
              </w:rPr>
            </w:pPr>
            <w:r w:rsidRPr="00F320D5">
              <w:rPr>
                <w:rFonts w:ascii="Garamond" w:eastAsia="Calibri" w:hAnsi="Garamond"/>
                <w:b/>
                <w:caps/>
                <w:sz w:val="16"/>
                <w:szCs w:val="16"/>
                <w:lang w:val="uz-Cyrl-UZ" w:eastAsia="en-US" w:bidi="ar-SA"/>
              </w:rPr>
              <w:t>TARGET VALUE DATA</w:t>
            </w:r>
          </w:p>
        </w:tc>
        <w:tc>
          <w:tcPr>
            <w:tcW w:w="3057" w:type="dxa"/>
            <w:vAlign w:val="center"/>
          </w:tcPr>
          <w:p w:rsidR="00DF53A4" w:rsidRPr="00F320D5" w:rsidRDefault="00DF53A4"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2018</w:t>
            </w:r>
          </w:p>
        </w:tc>
        <w:tc>
          <w:tcPr>
            <w:tcW w:w="1980" w:type="dxa"/>
            <w:vAlign w:val="center"/>
          </w:tcPr>
          <w:p w:rsidR="00DF53A4" w:rsidRPr="00F320D5" w:rsidRDefault="00DF53A4"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2019</w:t>
            </w:r>
          </w:p>
        </w:tc>
        <w:tc>
          <w:tcPr>
            <w:tcW w:w="1799" w:type="dxa"/>
            <w:vAlign w:val="center"/>
          </w:tcPr>
          <w:p w:rsidR="00DF53A4" w:rsidRPr="00F320D5" w:rsidRDefault="00DF53A4"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2020</w:t>
            </w:r>
          </w:p>
        </w:tc>
      </w:tr>
      <w:tr w:rsidR="00DF53A4" w:rsidRPr="00F320D5" w:rsidTr="00213533">
        <w:trPr>
          <w:gridAfter w:val="1"/>
          <w:wAfter w:w="19" w:type="dxa"/>
          <w:trHeight w:val="160"/>
          <w:jc w:val="center"/>
        </w:trPr>
        <w:tc>
          <w:tcPr>
            <w:tcW w:w="2721" w:type="dxa"/>
            <w:vMerge/>
            <w:vAlign w:val="center"/>
          </w:tcPr>
          <w:p w:rsidR="00DF53A4" w:rsidRPr="00F320D5" w:rsidRDefault="00DF53A4" w:rsidP="00213533">
            <w:pPr>
              <w:autoSpaceDE/>
              <w:autoSpaceDN/>
              <w:rPr>
                <w:rFonts w:ascii="Garamond" w:eastAsia="Calibri" w:hAnsi="Garamond"/>
                <w:b/>
                <w:bCs/>
                <w:caps/>
                <w:sz w:val="16"/>
                <w:szCs w:val="16"/>
                <w:lang w:val="uz-Cyrl-UZ" w:eastAsia="en-US" w:bidi="ar-SA"/>
              </w:rPr>
            </w:pPr>
          </w:p>
        </w:tc>
        <w:tc>
          <w:tcPr>
            <w:tcW w:w="3057" w:type="dxa"/>
            <w:vAlign w:val="center"/>
          </w:tcPr>
          <w:p w:rsidR="00DF53A4" w:rsidRPr="00F320D5" w:rsidRDefault="00490017" w:rsidP="00213533">
            <w:pPr>
              <w:pStyle w:val="TabelaTekst"/>
              <w:spacing w:before="0" w:after="0" w:line="240" w:lineRule="auto"/>
              <w:jc w:val="center"/>
              <w:rPr>
                <w:rFonts w:ascii="Garamond" w:hAnsi="Garamond"/>
                <w:sz w:val="16"/>
                <w:szCs w:val="16"/>
              </w:rPr>
            </w:pPr>
            <w:r w:rsidRPr="00F320D5">
              <w:rPr>
                <w:rFonts w:ascii="Garamond" w:hAnsi="Garamond"/>
                <w:sz w:val="16"/>
                <w:szCs w:val="16"/>
              </w:rPr>
              <w:t>Organi</w:t>
            </w:r>
            <w:r w:rsidRPr="00F320D5">
              <w:rPr>
                <w:rFonts w:ascii="Garamond" w:hAnsi="Garamond"/>
                <w:sz w:val="16"/>
                <w:szCs w:val="16"/>
                <w:lang w:val="en-GB"/>
              </w:rPr>
              <w:t>se</w:t>
            </w:r>
            <w:r w:rsidR="00DF53A4" w:rsidRPr="00F320D5">
              <w:rPr>
                <w:rFonts w:ascii="Garamond" w:hAnsi="Garamond"/>
                <w:sz w:val="16"/>
                <w:szCs w:val="16"/>
              </w:rPr>
              <w:t>d a minimum of 5 audit trainings per auditor</w:t>
            </w:r>
          </w:p>
        </w:tc>
        <w:tc>
          <w:tcPr>
            <w:tcW w:w="1980" w:type="dxa"/>
            <w:vAlign w:val="center"/>
          </w:tcPr>
          <w:p w:rsidR="00DF53A4" w:rsidRPr="00F320D5" w:rsidRDefault="00490017" w:rsidP="00213533">
            <w:pPr>
              <w:pStyle w:val="TabelaTekst"/>
              <w:spacing w:before="0" w:after="0" w:line="240" w:lineRule="auto"/>
              <w:jc w:val="center"/>
              <w:rPr>
                <w:rFonts w:ascii="Garamond" w:hAnsi="Garamond"/>
                <w:sz w:val="16"/>
                <w:szCs w:val="16"/>
              </w:rPr>
            </w:pPr>
            <w:r w:rsidRPr="00F320D5">
              <w:rPr>
                <w:rFonts w:ascii="Garamond" w:hAnsi="Garamond"/>
                <w:sz w:val="16"/>
                <w:szCs w:val="16"/>
              </w:rPr>
              <w:t>Organi</w:t>
            </w:r>
            <w:r w:rsidRPr="00F320D5">
              <w:rPr>
                <w:rFonts w:ascii="Garamond" w:hAnsi="Garamond"/>
                <w:sz w:val="16"/>
                <w:szCs w:val="16"/>
                <w:lang w:val="en-GB"/>
              </w:rPr>
              <w:t>s</w:t>
            </w:r>
            <w:r w:rsidR="00213533" w:rsidRPr="00F320D5">
              <w:rPr>
                <w:rFonts w:ascii="Garamond" w:hAnsi="Garamond"/>
                <w:sz w:val="16"/>
                <w:szCs w:val="16"/>
              </w:rPr>
              <w:t xml:space="preserve">ed a minimum of </w:t>
            </w:r>
            <w:r w:rsidR="00213533" w:rsidRPr="00F320D5">
              <w:rPr>
                <w:rFonts w:ascii="Garamond" w:hAnsi="Garamond"/>
                <w:sz w:val="16"/>
                <w:szCs w:val="16"/>
                <w:lang w:val="en-GB"/>
              </w:rPr>
              <w:t>9</w:t>
            </w:r>
            <w:r w:rsidR="00DF53A4" w:rsidRPr="00F320D5">
              <w:rPr>
                <w:rFonts w:ascii="Garamond" w:hAnsi="Garamond"/>
                <w:sz w:val="16"/>
                <w:szCs w:val="16"/>
              </w:rPr>
              <w:t xml:space="preserve"> audit trainings per auditor</w:t>
            </w:r>
          </w:p>
        </w:tc>
        <w:tc>
          <w:tcPr>
            <w:tcW w:w="1799" w:type="dxa"/>
            <w:vAlign w:val="center"/>
          </w:tcPr>
          <w:p w:rsidR="00DF53A4" w:rsidRPr="00F320D5" w:rsidRDefault="00490017" w:rsidP="00213533">
            <w:pPr>
              <w:pStyle w:val="TabelaTekst"/>
              <w:spacing w:before="0" w:after="0" w:line="240" w:lineRule="auto"/>
              <w:jc w:val="center"/>
              <w:rPr>
                <w:rFonts w:ascii="Garamond" w:hAnsi="Garamond"/>
                <w:sz w:val="16"/>
                <w:szCs w:val="16"/>
              </w:rPr>
            </w:pPr>
            <w:r w:rsidRPr="00F320D5">
              <w:rPr>
                <w:rFonts w:ascii="Garamond" w:hAnsi="Garamond"/>
                <w:sz w:val="16"/>
                <w:szCs w:val="16"/>
              </w:rPr>
              <w:t>Organi</w:t>
            </w:r>
            <w:r w:rsidRPr="00F320D5">
              <w:rPr>
                <w:rFonts w:ascii="Garamond" w:hAnsi="Garamond"/>
                <w:sz w:val="16"/>
                <w:szCs w:val="16"/>
                <w:lang w:val="en-GB"/>
              </w:rPr>
              <w:t>s</w:t>
            </w:r>
            <w:r w:rsidR="00213533" w:rsidRPr="00F320D5">
              <w:rPr>
                <w:rFonts w:ascii="Garamond" w:hAnsi="Garamond"/>
                <w:sz w:val="16"/>
                <w:szCs w:val="16"/>
              </w:rPr>
              <w:t xml:space="preserve">ed a minimum of </w:t>
            </w:r>
            <w:r w:rsidR="00213533" w:rsidRPr="00F320D5">
              <w:rPr>
                <w:rFonts w:ascii="Garamond" w:hAnsi="Garamond"/>
                <w:sz w:val="16"/>
                <w:szCs w:val="16"/>
                <w:lang w:val="en-GB"/>
              </w:rPr>
              <w:t xml:space="preserve">7 </w:t>
            </w:r>
            <w:r w:rsidR="00DF53A4" w:rsidRPr="00F320D5">
              <w:rPr>
                <w:rFonts w:ascii="Garamond" w:hAnsi="Garamond"/>
                <w:sz w:val="16"/>
                <w:szCs w:val="16"/>
              </w:rPr>
              <w:t>audit trainings per auditor</w:t>
            </w:r>
          </w:p>
        </w:tc>
      </w:tr>
      <w:tr w:rsidR="00DF53A4" w:rsidRPr="00F320D5" w:rsidTr="00213533">
        <w:trPr>
          <w:gridAfter w:val="1"/>
          <w:wAfter w:w="19" w:type="dxa"/>
          <w:trHeight w:val="160"/>
          <w:jc w:val="center"/>
        </w:trPr>
        <w:tc>
          <w:tcPr>
            <w:tcW w:w="2721" w:type="dxa"/>
            <w:vAlign w:val="center"/>
          </w:tcPr>
          <w:p w:rsidR="00DF53A4" w:rsidRPr="00F320D5" w:rsidRDefault="0062456A" w:rsidP="00213533">
            <w:pPr>
              <w:autoSpaceDE/>
              <w:autoSpaceDN/>
              <w:rPr>
                <w:rFonts w:ascii="Garamond" w:eastAsia="Calibri" w:hAnsi="Garamond"/>
                <w:b/>
                <w:bCs/>
                <w:caps/>
                <w:sz w:val="16"/>
                <w:szCs w:val="16"/>
                <w:lang w:val="uz-Cyrl-UZ" w:eastAsia="en-US" w:bidi="ar-SA"/>
              </w:rPr>
            </w:pPr>
            <w:r w:rsidRPr="00F320D5">
              <w:rPr>
                <w:rFonts w:ascii="Garamond" w:eastAsia="Calibri" w:hAnsi="Garamond"/>
                <w:b/>
                <w:bCs/>
                <w:caps/>
                <w:sz w:val="16"/>
                <w:szCs w:val="16"/>
                <w:lang w:val="uz-Cyrl-UZ" w:eastAsia="en-US" w:bidi="ar-SA"/>
              </w:rPr>
              <w:t>DATA ON VALUES ACHIEVED</w:t>
            </w:r>
          </w:p>
        </w:tc>
        <w:tc>
          <w:tcPr>
            <w:tcW w:w="3057" w:type="dxa"/>
            <w:vAlign w:val="center"/>
          </w:tcPr>
          <w:p w:rsidR="00DF53A4" w:rsidRPr="00F320D5" w:rsidRDefault="00213533" w:rsidP="00D11F0A">
            <w:pPr>
              <w:pStyle w:val="TOC3"/>
              <w:rPr>
                <w:rFonts w:ascii="Garamond" w:hAnsi="Garamond"/>
                <w:sz w:val="16"/>
                <w:szCs w:val="16"/>
              </w:rPr>
            </w:pPr>
            <w:r w:rsidRPr="00F320D5">
              <w:rPr>
                <w:rFonts w:ascii="Garamond" w:hAnsi="Garamond"/>
                <w:sz w:val="16"/>
                <w:szCs w:val="16"/>
              </w:rPr>
              <w:t>On a</w:t>
            </w:r>
            <w:r w:rsidR="00490017" w:rsidRPr="00F320D5">
              <w:rPr>
                <w:rFonts w:ascii="Garamond" w:hAnsi="Garamond"/>
                <w:sz w:val="16"/>
                <w:szCs w:val="16"/>
              </w:rPr>
              <w:t>verage, 3 trainings were organis</w:t>
            </w:r>
            <w:r w:rsidRPr="00F320D5">
              <w:rPr>
                <w:rFonts w:ascii="Garamond" w:hAnsi="Garamond"/>
                <w:sz w:val="16"/>
                <w:szCs w:val="16"/>
              </w:rPr>
              <w:t>ed per auditor</w:t>
            </w:r>
          </w:p>
        </w:tc>
        <w:tc>
          <w:tcPr>
            <w:tcW w:w="1980" w:type="dxa"/>
            <w:vAlign w:val="center"/>
          </w:tcPr>
          <w:p w:rsidR="00DF53A4" w:rsidRPr="00F320D5" w:rsidRDefault="00490017" w:rsidP="00D11F0A">
            <w:pPr>
              <w:pStyle w:val="TOC3"/>
              <w:rPr>
                <w:rFonts w:ascii="Garamond" w:hAnsi="Garamond"/>
                <w:sz w:val="16"/>
                <w:szCs w:val="16"/>
              </w:rPr>
            </w:pPr>
            <w:r w:rsidRPr="00F320D5">
              <w:rPr>
                <w:rFonts w:ascii="Garamond" w:hAnsi="Garamond"/>
                <w:sz w:val="16"/>
                <w:szCs w:val="16"/>
              </w:rPr>
              <w:t>Organis</w:t>
            </w:r>
            <w:r w:rsidR="00213533" w:rsidRPr="00F320D5">
              <w:rPr>
                <w:rFonts w:ascii="Garamond" w:hAnsi="Garamond"/>
                <w:sz w:val="16"/>
                <w:szCs w:val="16"/>
              </w:rPr>
              <w:t>ed 11 audit trainings per auditor</w:t>
            </w:r>
          </w:p>
        </w:tc>
        <w:tc>
          <w:tcPr>
            <w:tcW w:w="1799" w:type="dxa"/>
            <w:vAlign w:val="center"/>
          </w:tcPr>
          <w:p w:rsidR="00DF53A4" w:rsidRPr="00F320D5" w:rsidRDefault="00490017" w:rsidP="00213533">
            <w:pPr>
              <w:pStyle w:val="TabelaTekst"/>
              <w:spacing w:before="0" w:after="0" w:line="240" w:lineRule="auto"/>
              <w:jc w:val="center"/>
              <w:rPr>
                <w:rFonts w:ascii="Garamond" w:hAnsi="Garamond"/>
                <w:sz w:val="16"/>
                <w:szCs w:val="16"/>
              </w:rPr>
            </w:pPr>
            <w:r w:rsidRPr="00F320D5">
              <w:rPr>
                <w:rFonts w:ascii="Garamond" w:hAnsi="Garamond"/>
                <w:sz w:val="16"/>
                <w:szCs w:val="16"/>
              </w:rPr>
              <w:t>Organi</w:t>
            </w:r>
            <w:r w:rsidRPr="00F320D5">
              <w:rPr>
                <w:rFonts w:ascii="Garamond" w:hAnsi="Garamond"/>
                <w:sz w:val="16"/>
                <w:szCs w:val="16"/>
                <w:lang w:val="en-GB"/>
              </w:rPr>
              <w:t>s</w:t>
            </w:r>
            <w:r w:rsidR="00213533" w:rsidRPr="00F320D5">
              <w:rPr>
                <w:rFonts w:ascii="Garamond" w:hAnsi="Garamond"/>
                <w:sz w:val="16"/>
                <w:szCs w:val="16"/>
              </w:rPr>
              <w:t xml:space="preserve">ed </w:t>
            </w:r>
            <w:r w:rsidR="00213533" w:rsidRPr="00F320D5">
              <w:rPr>
                <w:rFonts w:ascii="Garamond" w:hAnsi="Garamond"/>
                <w:sz w:val="16"/>
                <w:szCs w:val="16"/>
                <w:lang w:val="en-GB"/>
              </w:rPr>
              <w:t>9</w:t>
            </w:r>
            <w:r w:rsidR="00213533" w:rsidRPr="00F320D5">
              <w:rPr>
                <w:rFonts w:ascii="Garamond" w:hAnsi="Garamond"/>
                <w:sz w:val="16"/>
                <w:szCs w:val="16"/>
              </w:rPr>
              <w:t xml:space="preserve"> audit trainings per auditor</w:t>
            </w:r>
          </w:p>
        </w:tc>
      </w:tr>
    </w:tbl>
    <w:p w:rsidR="00213533" w:rsidRPr="00F320D5" w:rsidRDefault="00213533" w:rsidP="004D1343">
      <w:pPr>
        <w:rPr>
          <w:rFonts w:ascii="Garamond" w:hAnsi="Garamond"/>
          <w:sz w:val="16"/>
          <w:szCs w:val="16"/>
        </w:rPr>
      </w:pPr>
    </w:p>
    <w:p w:rsidR="004D1343" w:rsidRPr="00C32887" w:rsidRDefault="004D1343" w:rsidP="00213533">
      <w:pPr>
        <w:pStyle w:val="Heading3"/>
        <w:rPr>
          <w:rFonts w:ascii="Garamond" w:hAnsi="Garamond"/>
          <w:sz w:val="24"/>
          <w:szCs w:val="24"/>
        </w:rPr>
      </w:pPr>
      <w:bookmarkStart w:id="88" w:name="_Toc77688265"/>
      <w:r w:rsidRPr="00C32887">
        <w:rPr>
          <w:rFonts w:ascii="Garamond" w:hAnsi="Garamond"/>
          <w:sz w:val="24"/>
          <w:szCs w:val="24"/>
        </w:rPr>
        <w:t>5.2.2      PERFORMANCE IN</w:t>
      </w:r>
      <w:r w:rsidR="00213533">
        <w:rPr>
          <w:rFonts w:ascii="Garamond" w:hAnsi="Garamond"/>
          <w:sz w:val="24"/>
          <w:szCs w:val="24"/>
        </w:rPr>
        <w:t>DICATOR 38</w:t>
      </w:r>
      <w:r w:rsidR="00213533" w:rsidRPr="00213533">
        <w:rPr>
          <w:rFonts w:ascii="Garamond" w:hAnsi="Garamond"/>
          <w:sz w:val="24"/>
          <w:szCs w:val="24"/>
        </w:rPr>
        <w:t xml:space="preserve"> </w:t>
      </w:r>
      <w:r w:rsidR="00213533" w:rsidRPr="00C32887">
        <w:rPr>
          <w:rFonts w:ascii="Garamond" w:hAnsi="Garamond"/>
          <w:sz w:val="24"/>
          <w:szCs w:val="24"/>
        </w:rPr>
        <w:t>PASSPORT</w:t>
      </w:r>
      <w:bookmarkEnd w:id="88"/>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3057"/>
        <w:gridCol w:w="1980"/>
        <w:gridCol w:w="1799"/>
        <w:gridCol w:w="19"/>
      </w:tblGrid>
      <w:tr w:rsidR="00213533" w:rsidRPr="00F320D5" w:rsidTr="00213533">
        <w:trPr>
          <w:jc w:val="center"/>
        </w:trPr>
        <w:tc>
          <w:tcPr>
            <w:tcW w:w="2721" w:type="dxa"/>
            <w:tcBorders>
              <w:right w:val="single" w:sz="4" w:space="0" w:color="FFFFFF"/>
            </w:tcBorders>
            <w:shd w:val="clear" w:color="auto" w:fill="BFBFBF"/>
            <w:vAlign w:val="center"/>
          </w:tcPr>
          <w:p w:rsidR="00213533" w:rsidRPr="00F320D5" w:rsidRDefault="00213533" w:rsidP="00213533">
            <w:pPr>
              <w:autoSpaceDE/>
              <w:autoSpaceDN/>
              <w:rPr>
                <w:rFonts w:ascii="Garamond" w:eastAsia="Calibri" w:hAnsi="Garamond"/>
                <w:b/>
                <w:caps/>
                <w:sz w:val="16"/>
                <w:szCs w:val="16"/>
                <w:lang w:val="en-GB" w:eastAsia="en-US" w:bidi="ar-SA"/>
              </w:rPr>
            </w:pPr>
            <w:r w:rsidRPr="00F320D5">
              <w:rPr>
                <w:rFonts w:ascii="Garamond" w:eastAsia="Calibri" w:hAnsi="Garamond"/>
                <w:b/>
                <w:caps/>
                <w:sz w:val="16"/>
                <w:szCs w:val="16"/>
                <w:lang w:val="en-GB" w:eastAsia="en-US" w:bidi="ar-SA"/>
              </w:rPr>
              <w:t>performance indicator</w:t>
            </w:r>
          </w:p>
        </w:tc>
        <w:tc>
          <w:tcPr>
            <w:tcW w:w="6855" w:type="dxa"/>
            <w:gridSpan w:val="4"/>
            <w:tcBorders>
              <w:left w:val="single" w:sz="4" w:space="0" w:color="FFFFFF"/>
            </w:tcBorders>
            <w:shd w:val="clear" w:color="auto" w:fill="BFBFBF"/>
            <w:vAlign w:val="center"/>
          </w:tcPr>
          <w:p w:rsidR="00213533" w:rsidRPr="00F320D5" w:rsidRDefault="00213533" w:rsidP="00213533">
            <w:pPr>
              <w:pStyle w:val="Default"/>
              <w:jc w:val="both"/>
              <w:rPr>
                <w:rFonts w:ascii="Garamond" w:hAnsi="Garamond"/>
                <w:sz w:val="16"/>
                <w:szCs w:val="16"/>
              </w:rPr>
            </w:pPr>
            <w:r w:rsidRPr="00F320D5">
              <w:rPr>
                <w:rFonts w:ascii="Garamond" w:hAnsi="Garamond"/>
                <w:iCs/>
                <w:sz w:val="16"/>
                <w:szCs w:val="16"/>
              </w:rPr>
              <w:t xml:space="preserve">Progress in implementing the Strategy and AP </w:t>
            </w:r>
          </w:p>
          <w:p w:rsidR="00213533" w:rsidRPr="00F320D5" w:rsidRDefault="00213533" w:rsidP="00213533">
            <w:pPr>
              <w:pStyle w:val="Default"/>
              <w:jc w:val="both"/>
              <w:rPr>
                <w:rFonts w:ascii="Garamond" w:eastAsia="Calibri" w:hAnsi="Garamond"/>
                <w:b/>
                <w:sz w:val="16"/>
                <w:szCs w:val="16"/>
                <w:lang w:eastAsia="en-US"/>
              </w:rPr>
            </w:pPr>
          </w:p>
        </w:tc>
      </w:tr>
      <w:tr w:rsidR="00213533" w:rsidRPr="00F320D5" w:rsidTr="00213533">
        <w:trPr>
          <w:gridAfter w:val="1"/>
          <w:wAfter w:w="19" w:type="dxa"/>
          <w:jc w:val="center"/>
        </w:trPr>
        <w:tc>
          <w:tcPr>
            <w:tcW w:w="2721" w:type="dxa"/>
            <w:vAlign w:val="center"/>
          </w:tcPr>
          <w:p w:rsidR="00213533" w:rsidRPr="00F320D5" w:rsidRDefault="00213533" w:rsidP="006225A7">
            <w:pPr>
              <w:rPr>
                <w:rFonts w:ascii="Garamond" w:eastAsia="Calibri" w:hAnsi="Garamond"/>
                <w:b/>
                <w:caps/>
                <w:sz w:val="16"/>
                <w:szCs w:val="16"/>
                <w:lang w:val="en-GB" w:eastAsia="en-US" w:bidi="ar-SA"/>
              </w:rPr>
            </w:pPr>
            <w:r w:rsidRPr="00F320D5">
              <w:rPr>
                <w:rFonts w:ascii="Garamond" w:eastAsia="Calibri" w:hAnsi="Garamond"/>
                <w:b/>
                <w:caps/>
                <w:sz w:val="16"/>
                <w:szCs w:val="16"/>
                <w:lang w:val="en-GB" w:eastAsia="en-US" w:bidi="ar-SA"/>
              </w:rPr>
              <w:t>corresponding objective or activity</w:t>
            </w:r>
          </w:p>
        </w:tc>
        <w:tc>
          <w:tcPr>
            <w:tcW w:w="6836" w:type="dxa"/>
            <w:gridSpan w:val="3"/>
            <w:vAlign w:val="center"/>
          </w:tcPr>
          <w:p w:rsidR="00213533" w:rsidRPr="00F320D5" w:rsidRDefault="00213533" w:rsidP="006225A7">
            <w:pPr>
              <w:rPr>
                <w:rFonts w:ascii="Garamond" w:hAnsi="Garamond"/>
                <w:color w:val="365F91" w:themeColor="accent1" w:themeShade="BF"/>
                <w:sz w:val="16"/>
                <w:szCs w:val="16"/>
              </w:rPr>
            </w:pPr>
            <w:r w:rsidRPr="00F320D5">
              <w:rPr>
                <w:rFonts w:ascii="Garamond" w:hAnsi="Garamond"/>
                <w:color w:val="365F91" w:themeColor="accent1" w:themeShade="BF"/>
                <w:sz w:val="16"/>
                <w:szCs w:val="16"/>
              </w:rPr>
              <w:t>Strengthening external audit capacities</w:t>
            </w:r>
          </w:p>
          <w:p w:rsidR="00213533" w:rsidRPr="00F320D5" w:rsidRDefault="00213533" w:rsidP="006225A7">
            <w:pPr>
              <w:pStyle w:val="ListParagraph"/>
              <w:numPr>
                <w:ilvl w:val="0"/>
                <w:numId w:val="28"/>
              </w:numPr>
              <w:rPr>
                <w:rFonts w:ascii="Garamond" w:hAnsi="Garamond"/>
                <w:color w:val="365F91" w:themeColor="accent1" w:themeShade="BF"/>
                <w:sz w:val="16"/>
                <w:szCs w:val="16"/>
              </w:rPr>
            </w:pPr>
            <w:r w:rsidRPr="00F320D5">
              <w:rPr>
                <w:rFonts w:ascii="Garamond" w:hAnsi="Garamond"/>
                <w:color w:val="365F91" w:themeColor="accent1" w:themeShade="BF"/>
                <w:sz w:val="16"/>
                <w:szCs w:val="16"/>
              </w:rPr>
              <w:t>Building capacities and improving audit procedure - Audit Authority</w:t>
            </w:r>
          </w:p>
          <w:p w:rsidR="00213533" w:rsidRPr="00F320D5" w:rsidRDefault="00213533" w:rsidP="006225A7">
            <w:pPr>
              <w:rPr>
                <w:rFonts w:ascii="Garamond" w:hAnsi="Garamond"/>
                <w:color w:val="365F91" w:themeColor="accent1" w:themeShade="BF"/>
                <w:sz w:val="16"/>
                <w:szCs w:val="16"/>
              </w:rPr>
            </w:pPr>
          </w:p>
        </w:tc>
      </w:tr>
      <w:tr w:rsidR="00213533" w:rsidRPr="00F320D5" w:rsidTr="00213533">
        <w:trPr>
          <w:gridAfter w:val="1"/>
          <w:wAfter w:w="19" w:type="dxa"/>
          <w:jc w:val="center"/>
        </w:trPr>
        <w:tc>
          <w:tcPr>
            <w:tcW w:w="2721" w:type="dxa"/>
            <w:vAlign w:val="center"/>
          </w:tcPr>
          <w:p w:rsidR="00213533" w:rsidRPr="00F320D5" w:rsidRDefault="00213533"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SOURCE OF DATA FOR MONITORING PERFORMANCE INDICATORS</w:t>
            </w:r>
          </w:p>
        </w:tc>
        <w:tc>
          <w:tcPr>
            <w:tcW w:w="6836" w:type="dxa"/>
            <w:gridSpan w:val="3"/>
            <w:vAlign w:val="center"/>
          </w:tcPr>
          <w:p w:rsidR="00213533" w:rsidRPr="00F320D5" w:rsidRDefault="00213533" w:rsidP="00213533">
            <w:pPr>
              <w:pStyle w:val="TabelaTekst"/>
              <w:spacing w:before="0" w:after="0" w:line="240" w:lineRule="auto"/>
              <w:rPr>
                <w:rFonts w:ascii="Garamond" w:hAnsi="Garamond"/>
                <w:sz w:val="16"/>
                <w:szCs w:val="16"/>
              </w:rPr>
            </w:pPr>
            <w:r w:rsidRPr="00F320D5">
              <w:rPr>
                <w:rFonts w:ascii="Garamond" w:hAnsi="Garamond"/>
                <w:sz w:val="16"/>
                <w:szCs w:val="16"/>
              </w:rPr>
              <w:t>Report on the implementation of the action plan for the implementation of the Strategic Development Plan of the Audit Authority - Internal document</w:t>
            </w:r>
          </w:p>
        </w:tc>
      </w:tr>
      <w:tr w:rsidR="00213533" w:rsidRPr="00F320D5" w:rsidTr="00213533">
        <w:trPr>
          <w:gridAfter w:val="1"/>
          <w:wAfter w:w="19" w:type="dxa"/>
          <w:jc w:val="center"/>
        </w:trPr>
        <w:tc>
          <w:tcPr>
            <w:tcW w:w="2721" w:type="dxa"/>
            <w:vAlign w:val="center"/>
          </w:tcPr>
          <w:p w:rsidR="00213533" w:rsidRPr="00F320D5" w:rsidRDefault="00213533"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NAME OF DATA COLLECTION HOLDER</w:t>
            </w:r>
          </w:p>
        </w:tc>
        <w:tc>
          <w:tcPr>
            <w:tcW w:w="6836" w:type="dxa"/>
            <w:gridSpan w:val="3"/>
            <w:vAlign w:val="center"/>
          </w:tcPr>
          <w:p w:rsidR="00213533" w:rsidRPr="00F320D5" w:rsidRDefault="00213533" w:rsidP="00213533">
            <w:pPr>
              <w:rPr>
                <w:rFonts w:ascii="Garamond" w:hAnsi="Garamond"/>
                <w:sz w:val="16"/>
                <w:szCs w:val="16"/>
              </w:rPr>
            </w:pPr>
            <w:r w:rsidRPr="00F320D5">
              <w:rPr>
                <w:rFonts w:ascii="Garamond" w:hAnsi="Garamond"/>
                <w:sz w:val="16"/>
                <w:szCs w:val="16"/>
              </w:rPr>
              <w:t xml:space="preserve">Audit </w:t>
            </w:r>
            <w:r w:rsidR="000A7C99" w:rsidRPr="00F320D5">
              <w:rPr>
                <w:rFonts w:ascii="Garamond" w:hAnsi="Garamond"/>
                <w:sz w:val="16"/>
                <w:szCs w:val="16"/>
              </w:rPr>
              <w:t xml:space="preserve">Authority </w:t>
            </w:r>
          </w:p>
          <w:p w:rsidR="00213533" w:rsidRPr="00F320D5" w:rsidRDefault="00213533" w:rsidP="00213533">
            <w:pPr>
              <w:rPr>
                <w:rFonts w:ascii="Garamond" w:hAnsi="Garamond"/>
                <w:sz w:val="16"/>
                <w:szCs w:val="16"/>
              </w:rPr>
            </w:pPr>
            <w:r w:rsidRPr="00F320D5">
              <w:rPr>
                <w:rFonts w:ascii="Garamond" w:hAnsi="Garamond"/>
                <w:sz w:val="16"/>
                <w:szCs w:val="16"/>
              </w:rPr>
              <w:t>Radmila Prelević, Certified Auditor</w:t>
            </w:r>
          </w:p>
          <w:p w:rsidR="00213533" w:rsidRPr="00F320D5" w:rsidRDefault="00213533" w:rsidP="00213533">
            <w:pPr>
              <w:rPr>
                <w:rFonts w:ascii="Garamond" w:eastAsia="Calibri" w:hAnsi="Garamond"/>
                <w:sz w:val="16"/>
                <w:szCs w:val="16"/>
                <w:lang w:eastAsia="en-US" w:bidi="ar-SA"/>
              </w:rPr>
            </w:pPr>
            <w:r w:rsidRPr="00F320D5">
              <w:rPr>
                <w:rFonts w:ascii="Garamond" w:hAnsi="Garamond"/>
                <w:sz w:val="16"/>
                <w:szCs w:val="16"/>
              </w:rPr>
              <w:t>radmila.prelevic @ revizorskotijelo.me Phone: 067 223 252</w:t>
            </w:r>
          </w:p>
        </w:tc>
      </w:tr>
      <w:tr w:rsidR="00213533" w:rsidRPr="00F320D5" w:rsidTr="00213533">
        <w:trPr>
          <w:gridAfter w:val="1"/>
          <w:wAfter w:w="19" w:type="dxa"/>
          <w:jc w:val="center"/>
        </w:trPr>
        <w:tc>
          <w:tcPr>
            <w:tcW w:w="2721" w:type="dxa"/>
            <w:vAlign w:val="center"/>
          </w:tcPr>
          <w:p w:rsidR="00213533" w:rsidRPr="00F320D5" w:rsidRDefault="00213533"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FREQUENCY OF DATA PUBLICATION</w:t>
            </w:r>
          </w:p>
        </w:tc>
        <w:tc>
          <w:tcPr>
            <w:tcW w:w="6836" w:type="dxa"/>
            <w:gridSpan w:val="3"/>
            <w:vAlign w:val="center"/>
          </w:tcPr>
          <w:p w:rsidR="00213533" w:rsidRPr="00F320D5" w:rsidRDefault="00213533" w:rsidP="00213533">
            <w:pPr>
              <w:rPr>
                <w:rFonts w:ascii="Garamond" w:eastAsia="Calibri" w:hAnsi="Garamond"/>
                <w:sz w:val="16"/>
                <w:szCs w:val="16"/>
                <w:lang w:eastAsia="en-US" w:bidi="ar-SA"/>
              </w:rPr>
            </w:pPr>
            <w:r w:rsidRPr="00F320D5">
              <w:rPr>
                <w:rFonts w:ascii="Garamond" w:eastAsia="Calibri" w:hAnsi="Garamond"/>
                <w:sz w:val="16"/>
                <w:szCs w:val="16"/>
                <w:lang w:eastAsia="en-US" w:bidi="ar-SA"/>
              </w:rPr>
              <w:t>Q1 N + 1 for N year</w:t>
            </w:r>
          </w:p>
        </w:tc>
      </w:tr>
      <w:tr w:rsidR="00213533" w:rsidRPr="00F320D5" w:rsidTr="00213533">
        <w:trPr>
          <w:gridAfter w:val="1"/>
          <w:wAfter w:w="19" w:type="dxa"/>
          <w:trHeight w:val="458"/>
          <w:jc w:val="center"/>
        </w:trPr>
        <w:tc>
          <w:tcPr>
            <w:tcW w:w="2721" w:type="dxa"/>
            <w:vMerge w:val="restart"/>
            <w:vAlign w:val="center"/>
          </w:tcPr>
          <w:p w:rsidR="00213533" w:rsidRPr="00F320D5" w:rsidRDefault="00213533" w:rsidP="00213533">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 xml:space="preserve">BRIEF DESCRIPTION </w:t>
            </w:r>
            <w:r w:rsidRPr="00F320D5">
              <w:rPr>
                <w:rFonts w:ascii="Garamond" w:eastAsia="Calibri" w:hAnsi="Garamond"/>
                <w:b/>
                <w:caps/>
                <w:sz w:val="16"/>
                <w:szCs w:val="16"/>
                <w:lang w:val="en-GB" w:eastAsia="en-US" w:bidi="ar-SA"/>
              </w:rPr>
              <w:t xml:space="preserve">OF </w:t>
            </w:r>
            <w:r w:rsidRPr="00F320D5">
              <w:rPr>
                <w:rFonts w:ascii="Garamond" w:eastAsia="Calibri" w:hAnsi="Garamond"/>
                <w:b/>
                <w:caps/>
                <w:sz w:val="16"/>
                <w:szCs w:val="16"/>
                <w:lang w:val="uz-Cyrl-UZ" w:eastAsia="en-US" w:bidi="ar-SA"/>
              </w:rPr>
              <w:t>PERFORMANCE INDICATOR AND METHODOLOGY (FORMULAS / EQUATIONS)</w:t>
            </w:r>
          </w:p>
        </w:tc>
        <w:tc>
          <w:tcPr>
            <w:tcW w:w="6836" w:type="dxa"/>
            <w:gridSpan w:val="3"/>
            <w:vAlign w:val="center"/>
          </w:tcPr>
          <w:p w:rsidR="00213533" w:rsidRPr="00F320D5" w:rsidRDefault="00213533" w:rsidP="00213533">
            <w:pPr>
              <w:jc w:val="both"/>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The success of the implementation of the activities of the action plan for the implementation of the strategy is measured in percentages and shows managerial support towards meeting the set goals.</w:t>
            </w:r>
          </w:p>
        </w:tc>
      </w:tr>
      <w:tr w:rsidR="00213533" w:rsidRPr="00F320D5" w:rsidTr="00213533">
        <w:trPr>
          <w:gridAfter w:val="1"/>
          <w:wAfter w:w="19" w:type="dxa"/>
          <w:trHeight w:val="620"/>
          <w:jc w:val="center"/>
        </w:trPr>
        <w:tc>
          <w:tcPr>
            <w:tcW w:w="2721" w:type="dxa"/>
            <w:vMerge/>
            <w:shd w:val="clear" w:color="auto" w:fill="auto"/>
            <w:vAlign w:val="center"/>
          </w:tcPr>
          <w:p w:rsidR="00213533" w:rsidRPr="00F320D5" w:rsidRDefault="00213533" w:rsidP="00213533">
            <w:pPr>
              <w:autoSpaceDE/>
              <w:autoSpaceDN/>
              <w:rPr>
                <w:rFonts w:ascii="Garamond" w:eastAsia="Calibri" w:hAnsi="Garamond"/>
                <w:b/>
                <w:i/>
                <w:caps/>
                <w:sz w:val="16"/>
                <w:szCs w:val="16"/>
                <w:lang w:val="uz-Cyrl-UZ" w:eastAsia="en-US" w:bidi="ar-SA"/>
              </w:rPr>
            </w:pPr>
          </w:p>
        </w:tc>
        <w:tc>
          <w:tcPr>
            <w:tcW w:w="6836" w:type="dxa"/>
            <w:gridSpan w:val="3"/>
            <w:shd w:val="clear" w:color="auto" w:fill="BFBFBF"/>
            <w:vAlign w:val="center"/>
          </w:tcPr>
          <w:p w:rsidR="00213533" w:rsidRPr="00F320D5" w:rsidRDefault="00213533" w:rsidP="00213533">
            <w:pPr>
              <w:jc w:val="center"/>
              <w:rPr>
                <w:rFonts w:ascii="Garamond" w:hAnsi="Garamond"/>
                <w:color w:val="365F91" w:themeColor="accent1" w:themeShade="BF"/>
                <w:sz w:val="16"/>
                <w:szCs w:val="16"/>
                <w:lang w:val="uz-Cyrl-UZ"/>
              </w:rPr>
            </w:pPr>
            <w:r w:rsidRPr="00F320D5">
              <w:rPr>
                <w:rFonts w:ascii="Garamond" w:hAnsi="Garamond"/>
                <w:color w:val="365F91" w:themeColor="accent1" w:themeShade="BF"/>
                <w:sz w:val="16"/>
                <w:szCs w:val="16"/>
                <w:lang w:val="uz-Cyrl-UZ"/>
              </w:rPr>
              <w:t>FORMULA / EQUATION</w:t>
            </w:r>
          </w:p>
          <w:p w:rsidR="00213533" w:rsidRPr="00F320D5" w:rsidRDefault="00213533" w:rsidP="00F320D5">
            <w:pPr>
              <w:jc w:val="center"/>
              <w:rPr>
                <w:rFonts w:ascii="Garamond" w:eastAsia="Calibri" w:hAnsi="Garamond"/>
                <w:sz w:val="16"/>
                <w:szCs w:val="16"/>
                <w:lang w:val="en-GB" w:eastAsia="en-US" w:bidi="ar-SA"/>
              </w:rPr>
            </w:pPr>
            <w:r w:rsidRPr="00F320D5">
              <w:rPr>
                <w:rFonts w:ascii="Garamond" w:eastAsia="Calibri" w:hAnsi="Garamond"/>
                <w:sz w:val="16"/>
                <w:szCs w:val="16"/>
                <w:lang w:val="en-GB" w:eastAsia="en-US" w:bidi="ar-SA"/>
              </w:rPr>
              <w:t xml:space="preserve">Implemented number of activities </w:t>
            </w:r>
            <w:r w:rsidR="00F320D5">
              <w:rPr>
                <w:rFonts w:ascii="Garamond" w:eastAsia="Calibri" w:hAnsi="Garamond"/>
                <w:sz w:val="16"/>
                <w:szCs w:val="16"/>
                <w:lang w:val="en-GB" w:eastAsia="en-US" w:bidi="ar-SA"/>
              </w:rPr>
              <w:t>under</w:t>
            </w:r>
            <w:r w:rsidRPr="00F320D5">
              <w:rPr>
                <w:rFonts w:ascii="Garamond" w:eastAsia="Calibri" w:hAnsi="Garamond"/>
                <w:sz w:val="16"/>
                <w:szCs w:val="16"/>
                <w:lang w:val="en-GB" w:eastAsia="en-US" w:bidi="ar-SA"/>
              </w:rPr>
              <w:t xml:space="preserve"> the action plan / total number of activities </w:t>
            </w:r>
            <w:r w:rsidR="00F320D5">
              <w:rPr>
                <w:rFonts w:ascii="Garamond" w:eastAsia="Calibri" w:hAnsi="Garamond"/>
                <w:sz w:val="16"/>
                <w:szCs w:val="16"/>
                <w:lang w:val="en-GB" w:eastAsia="en-US" w:bidi="ar-SA"/>
              </w:rPr>
              <w:t>under</w:t>
            </w:r>
            <w:r w:rsidRPr="00F320D5">
              <w:rPr>
                <w:rFonts w:ascii="Garamond" w:eastAsia="Calibri" w:hAnsi="Garamond"/>
                <w:sz w:val="16"/>
                <w:szCs w:val="16"/>
                <w:lang w:val="en-GB" w:eastAsia="en-US" w:bidi="ar-SA"/>
              </w:rPr>
              <w:t xml:space="preserve"> the action plan X 100</w:t>
            </w:r>
            <w:r w:rsidRPr="00F320D5">
              <w:rPr>
                <w:rStyle w:val="FootnoteReference"/>
                <w:rFonts w:ascii="Garamond" w:eastAsia="Calibri" w:hAnsi="Garamond"/>
                <w:sz w:val="16"/>
                <w:szCs w:val="16"/>
                <w:lang w:val="en-GB" w:eastAsia="en-US" w:bidi="ar-SA"/>
              </w:rPr>
              <w:footnoteReference w:id="81"/>
            </w:r>
          </w:p>
        </w:tc>
      </w:tr>
      <w:tr w:rsidR="00213533" w:rsidRPr="00F320D5" w:rsidTr="00213533">
        <w:trPr>
          <w:gridAfter w:val="1"/>
          <w:wAfter w:w="19" w:type="dxa"/>
          <w:trHeight w:val="585"/>
          <w:jc w:val="center"/>
        </w:trPr>
        <w:tc>
          <w:tcPr>
            <w:tcW w:w="2721" w:type="dxa"/>
            <w:vAlign w:val="center"/>
          </w:tcPr>
          <w:p w:rsidR="00213533" w:rsidRPr="00F320D5" w:rsidRDefault="00213533" w:rsidP="00213533">
            <w:pPr>
              <w:autoSpaceDE/>
              <w:autoSpaceDN/>
              <w:rPr>
                <w:rFonts w:ascii="Garamond" w:eastAsia="Calibri" w:hAnsi="Garamond"/>
                <w:b/>
                <w:bCs/>
                <w:caps/>
                <w:sz w:val="16"/>
                <w:szCs w:val="16"/>
                <w:lang w:val="en-GB" w:eastAsia="en-US" w:bidi="ar-SA"/>
              </w:rPr>
            </w:pPr>
            <w:r w:rsidRPr="00F320D5">
              <w:rPr>
                <w:rFonts w:ascii="Garamond" w:eastAsia="Calibri" w:hAnsi="Garamond"/>
                <w:b/>
                <w:caps/>
                <w:sz w:val="16"/>
                <w:szCs w:val="16"/>
                <w:lang w:val="uz-Cyrl-UZ" w:eastAsia="en-US" w:bidi="ar-SA"/>
              </w:rPr>
              <w:t>BASELINE</w:t>
            </w:r>
            <w:r w:rsidRPr="00F320D5">
              <w:rPr>
                <w:rFonts w:ascii="Garamond" w:eastAsia="Calibri" w:hAnsi="Garamond"/>
                <w:b/>
                <w:caps/>
                <w:sz w:val="16"/>
                <w:szCs w:val="16"/>
                <w:lang w:val="en-GB" w:eastAsia="en-US" w:bidi="ar-SA"/>
              </w:rPr>
              <w:t xml:space="preserve"> DATA</w:t>
            </w:r>
          </w:p>
        </w:tc>
        <w:tc>
          <w:tcPr>
            <w:tcW w:w="6836" w:type="dxa"/>
            <w:gridSpan w:val="3"/>
            <w:vAlign w:val="center"/>
          </w:tcPr>
          <w:p w:rsidR="00213533" w:rsidRPr="00F320D5" w:rsidRDefault="00213533" w:rsidP="009061BE">
            <w:pPr>
              <w:pStyle w:val="TabelaTekst"/>
              <w:rPr>
                <w:rFonts w:ascii="Garamond" w:hAnsi="Garamond"/>
                <w:sz w:val="16"/>
                <w:szCs w:val="16"/>
                <w:lang w:val="en-GB"/>
              </w:rPr>
            </w:pPr>
            <w:r w:rsidRPr="00F320D5">
              <w:rPr>
                <w:rFonts w:ascii="Garamond" w:hAnsi="Garamond"/>
                <w:sz w:val="16"/>
                <w:szCs w:val="16"/>
              </w:rPr>
              <w:t xml:space="preserve">PV (2014): </w:t>
            </w:r>
            <w:r w:rsidR="009061BE" w:rsidRPr="00F320D5">
              <w:rPr>
                <w:rFonts w:ascii="Garamond" w:hAnsi="Garamond"/>
                <w:sz w:val="16"/>
                <w:szCs w:val="16"/>
                <w:lang w:val="en-GB"/>
              </w:rPr>
              <w:t>n/a</w:t>
            </w:r>
          </w:p>
        </w:tc>
      </w:tr>
      <w:tr w:rsidR="00213533" w:rsidRPr="00F320D5" w:rsidTr="00213533">
        <w:trPr>
          <w:gridAfter w:val="1"/>
          <w:wAfter w:w="19" w:type="dxa"/>
          <w:trHeight w:val="160"/>
          <w:jc w:val="center"/>
        </w:trPr>
        <w:tc>
          <w:tcPr>
            <w:tcW w:w="2721" w:type="dxa"/>
            <w:vMerge w:val="restart"/>
            <w:vAlign w:val="center"/>
          </w:tcPr>
          <w:p w:rsidR="00213533" w:rsidRPr="00F320D5" w:rsidRDefault="00213533" w:rsidP="00213533">
            <w:pPr>
              <w:autoSpaceDE/>
              <w:autoSpaceDN/>
              <w:rPr>
                <w:rFonts w:ascii="Garamond" w:eastAsia="Calibri" w:hAnsi="Garamond"/>
                <w:b/>
                <w:bCs/>
                <w:caps/>
                <w:sz w:val="16"/>
                <w:szCs w:val="16"/>
                <w:lang w:val="uz-Cyrl-UZ" w:eastAsia="en-US" w:bidi="ar-SA"/>
              </w:rPr>
            </w:pPr>
            <w:r w:rsidRPr="00F320D5">
              <w:rPr>
                <w:rFonts w:ascii="Garamond" w:eastAsia="Calibri" w:hAnsi="Garamond"/>
                <w:b/>
                <w:caps/>
                <w:sz w:val="16"/>
                <w:szCs w:val="16"/>
                <w:lang w:val="uz-Cyrl-UZ" w:eastAsia="en-US" w:bidi="ar-SA"/>
              </w:rPr>
              <w:t>TARGET VALUE DATA</w:t>
            </w:r>
          </w:p>
        </w:tc>
        <w:tc>
          <w:tcPr>
            <w:tcW w:w="3057" w:type="dxa"/>
            <w:vAlign w:val="center"/>
          </w:tcPr>
          <w:p w:rsidR="00213533" w:rsidRPr="00F320D5" w:rsidRDefault="00213533"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2018</w:t>
            </w:r>
          </w:p>
        </w:tc>
        <w:tc>
          <w:tcPr>
            <w:tcW w:w="1980" w:type="dxa"/>
            <w:vAlign w:val="center"/>
          </w:tcPr>
          <w:p w:rsidR="00213533" w:rsidRPr="00F320D5" w:rsidRDefault="00213533"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2019</w:t>
            </w:r>
          </w:p>
        </w:tc>
        <w:tc>
          <w:tcPr>
            <w:tcW w:w="1799" w:type="dxa"/>
            <w:vAlign w:val="center"/>
          </w:tcPr>
          <w:p w:rsidR="00213533" w:rsidRPr="00F320D5" w:rsidRDefault="00213533" w:rsidP="00213533">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2020</w:t>
            </w:r>
          </w:p>
        </w:tc>
      </w:tr>
      <w:tr w:rsidR="00213533" w:rsidRPr="00F320D5" w:rsidTr="00213533">
        <w:trPr>
          <w:gridAfter w:val="1"/>
          <w:wAfter w:w="19" w:type="dxa"/>
          <w:trHeight w:val="160"/>
          <w:jc w:val="center"/>
        </w:trPr>
        <w:tc>
          <w:tcPr>
            <w:tcW w:w="2721" w:type="dxa"/>
            <w:vMerge/>
            <w:vAlign w:val="center"/>
          </w:tcPr>
          <w:p w:rsidR="00213533" w:rsidRPr="00F320D5" w:rsidRDefault="00213533" w:rsidP="00213533">
            <w:pPr>
              <w:autoSpaceDE/>
              <w:autoSpaceDN/>
              <w:rPr>
                <w:rFonts w:ascii="Garamond" w:eastAsia="Calibri" w:hAnsi="Garamond"/>
                <w:b/>
                <w:bCs/>
                <w:caps/>
                <w:sz w:val="16"/>
                <w:szCs w:val="16"/>
                <w:lang w:val="uz-Cyrl-UZ" w:eastAsia="en-US" w:bidi="ar-SA"/>
              </w:rPr>
            </w:pPr>
          </w:p>
        </w:tc>
        <w:tc>
          <w:tcPr>
            <w:tcW w:w="3057" w:type="dxa"/>
            <w:vAlign w:val="center"/>
          </w:tcPr>
          <w:p w:rsidR="009061BE" w:rsidRPr="00F320D5" w:rsidRDefault="009061BE" w:rsidP="009061BE">
            <w:pPr>
              <w:pStyle w:val="TabelaTekst"/>
              <w:jc w:val="center"/>
              <w:rPr>
                <w:rFonts w:ascii="Garamond" w:hAnsi="Garamond"/>
                <w:sz w:val="16"/>
                <w:szCs w:val="16"/>
              </w:rPr>
            </w:pPr>
            <w:r w:rsidRPr="00F320D5">
              <w:rPr>
                <w:rFonts w:ascii="Garamond" w:hAnsi="Garamond"/>
                <w:sz w:val="16"/>
                <w:szCs w:val="16"/>
              </w:rPr>
              <w:t>n / a</w:t>
            </w:r>
          </w:p>
          <w:p w:rsidR="00213533" w:rsidRPr="00F320D5" w:rsidRDefault="009061BE" w:rsidP="009061BE">
            <w:pPr>
              <w:pStyle w:val="TabelaTekst"/>
              <w:spacing w:before="0" w:after="0" w:line="240" w:lineRule="auto"/>
              <w:jc w:val="center"/>
              <w:rPr>
                <w:rFonts w:ascii="Garamond" w:hAnsi="Garamond"/>
                <w:sz w:val="16"/>
                <w:szCs w:val="16"/>
              </w:rPr>
            </w:pPr>
            <w:r w:rsidRPr="00F320D5">
              <w:rPr>
                <w:rFonts w:ascii="Garamond" w:hAnsi="Garamond"/>
                <w:sz w:val="16"/>
                <w:szCs w:val="16"/>
              </w:rPr>
              <w:t>The activities listed in the action plan will start in 2019</w:t>
            </w:r>
          </w:p>
        </w:tc>
        <w:tc>
          <w:tcPr>
            <w:tcW w:w="1980" w:type="dxa"/>
            <w:vAlign w:val="center"/>
          </w:tcPr>
          <w:p w:rsidR="009061BE" w:rsidRPr="00F320D5" w:rsidRDefault="009061BE" w:rsidP="009061BE">
            <w:pPr>
              <w:pStyle w:val="TabelaTekst"/>
              <w:jc w:val="center"/>
              <w:rPr>
                <w:rFonts w:ascii="Garamond" w:hAnsi="Garamond"/>
                <w:sz w:val="16"/>
                <w:szCs w:val="16"/>
              </w:rPr>
            </w:pPr>
            <w:r w:rsidRPr="00F320D5">
              <w:rPr>
                <w:rFonts w:ascii="Garamond" w:hAnsi="Garamond"/>
                <w:sz w:val="16"/>
                <w:szCs w:val="16"/>
              </w:rPr>
              <w:t>Strategic plan adopted</w:t>
            </w:r>
          </w:p>
          <w:p w:rsidR="00213533" w:rsidRPr="00F320D5" w:rsidRDefault="009061BE" w:rsidP="009061BE">
            <w:pPr>
              <w:pStyle w:val="TabelaTekst"/>
              <w:spacing w:before="0" w:after="0" w:line="240" w:lineRule="auto"/>
              <w:jc w:val="center"/>
              <w:rPr>
                <w:rFonts w:ascii="Garamond" w:hAnsi="Garamond"/>
                <w:sz w:val="16"/>
                <w:szCs w:val="16"/>
              </w:rPr>
            </w:pPr>
            <w:r w:rsidRPr="00F320D5">
              <w:rPr>
                <w:rFonts w:ascii="Garamond" w:hAnsi="Garamond"/>
                <w:sz w:val="16"/>
                <w:szCs w:val="16"/>
              </w:rPr>
              <w:t>Action plan adopted</w:t>
            </w:r>
          </w:p>
        </w:tc>
        <w:tc>
          <w:tcPr>
            <w:tcW w:w="1799" w:type="dxa"/>
            <w:vAlign w:val="center"/>
          </w:tcPr>
          <w:p w:rsidR="00213533" w:rsidRPr="00F320D5" w:rsidRDefault="00490017" w:rsidP="00213533">
            <w:pPr>
              <w:pStyle w:val="TabelaTekst"/>
              <w:spacing w:before="0" w:after="0" w:line="240" w:lineRule="auto"/>
              <w:jc w:val="center"/>
              <w:rPr>
                <w:rFonts w:ascii="Garamond" w:hAnsi="Garamond"/>
                <w:sz w:val="16"/>
                <w:szCs w:val="16"/>
              </w:rPr>
            </w:pPr>
            <w:r w:rsidRPr="00F320D5">
              <w:rPr>
                <w:rFonts w:ascii="Garamond" w:hAnsi="Garamond"/>
                <w:sz w:val="16"/>
                <w:szCs w:val="16"/>
              </w:rPr>
              <w:t>20% of planned activities reali</w:t>
            </w:r>
            <w:r w:rsidRPr="00F320D5">
              <w:rPr>
                <w:rFonts w:ascii="Garamond" w:hAnsi="Garamond"/>
                <w:sz w:val="16"/>
                <w:szCs w:val="16"/>
                <w:lang w:val="en-GB"/>
              </w:rPr>
              <w:t>s</w:t>
            </w:r>
            <w:r w:rsidR="009061BE" w:rsidRPr="00F320D5">
              <w:rPr>
                <w:rFonts w:ascii="Garamond" w:hAnsi="Garamond"/>
                <w:sz w:val="16"/>
                <w:szCs w:val="16"/>
              </w:rPr>
              <w:t>ed</w:t>
            </w:r>
          </w:p>
        </w:tc>
      </w:tr>
      <w:tr w:rsidR="00213533" w:rsidRPr="00F320D5" w:rsidTr="00213533">
        <w:trPr>
          <w:gridAfter w:val="1"/>
          <w:wAfter w:w="19" w:type="dxa"/>
          <w:trHeight w:val="160"/>
          <w:jc w:val="center"/>
        </w:trPr>
        <w:tc>
          <w:tcPr>
            <w:tcW w:w="2721" w:type="dxa"/>
            <w:vAlign w:val="center"/>
          </w:tcPr>
          <w:p w:rsidR="00213533" w:rsidRPr="00F320D5" w:rsidRDefault="0062456A" w:rsidP="00213533">
            <w:pPr>
              <w:autoSpaceDE/>
              <w:autoSpaceDN/>
              <w:rPr>
                <w:rFonts w:ascii="Garamond" w:eastAsia="Calibri" w:hAnsi="Garamond"/>
                <w:b/>
                <w:bCs/>
                <w:caps/>
                <w:sz w:val="16"/>
                <w:szCs w:val="16"/>
                <w:lang w:val="uz-Cyrl-UZ" w:eastAsia="en-US" w:bidi="ar-SA"/>
              </w:rPr>
            </w:pPr>
            <w:r w:rsidRPr="00F320D5">
              <w:rPr>
                <w:rFonts w:ascii="Garamond" w:eastAsia="Calibri" w:hAnsi="Garamond"/>
                <w:b/>
                <w:bCs/>
                <w:caps/>
                <w:sz w:val="16"/>
                <w:szCs w:val="16"/>
                <w:lang w:val="uz-Cyrl-UZ" w:eastAsia="en-US" w:bidi="ar-SA"/>
              </w:rPr>
              <w:t>DATA ON VALUES ACHIEVED</w:t>
            </w:r>
          </w:p>
        </w:tc>
        <w:tc>
          <w:tcPr>
            <w:tcW w:w="3057" w:type="dxa"/>
            <w:vAlign w:val="center"/>
          </w:tcPr>
          <w:p w:rsidR="009061BE" w:rsidRPr="00F320D5" w:rsidRDefault="009061BE" w:rsidP="00D11F0A">
            <w:pPr>
              <w:pStyle w:val="TOC3"/>
              <w:rPr>
                <w:rFonts w:ascii="Garamond" w:hAnsi="Garamond"/>
                <w:sz w:val="16"/>
                <w:szCs w:val="16"/>
              </w:rPr>
            </w:pPr>
            <w:r w:rsidRPr="00F320D5">
              <w:rPr>
                <w:rFonts w:ascii="Garamond" w:hAnsi="Garamond"/>
                <w:sz w:val="16"/>
                <w:szCs w:val="16"/>
              </w:rPr>
              <w:t>n / a</w:t>
            </w:r>
          </w:p>
          <w:p w:rsidR="00213533" w:rsidRPr="00F320D5" w:rsidRDefault="009061BE" w:rsidP="00D11F0A">
            <w:pPr>
              <w:pStyle w:val="TOC3"/>
              <w:rPr>
                <w:rFonts w:ascii="Garamond" w:hAnsi="Garamond"/>
                <w:sz w:val="16"/>
                <w:szCs w:val="16"/>
              </w:rPr>
            </w:pPr>
            <w:r w:rsidRPr="00F320D5">
              <w:rPr>
                <w:rFonts w:ascii="Garamond" w:hAnsi="Garamond"/>
                <w:sz w:val="16"/>
                <w:szCs w:val="16"/>
              </w:rPr>
              <w:t>The activities listed in the action plan will start in 2019</w:t>
            </w:r>
          </w:p>
        </w:tc>
        <w:tc>
          <w:tcPr>
            <w:tcW w:w="1980" w:type="dxa"/>
            <w:vAlign w:val="center"/>
          </w:tcPr>
          <w:p w:rsidR="00213533" w:rsidRPr="00F320D5" w:rsidRDefault="009061BE" w:rsidP="00D11F0A">
            <w:pPr>
              <w:pStyle w:val="TOC3"/>
              <w:rPr>
                <w:rFonts w:ascii="Garamond" w:hAnsi="Garamond"/>
                <w:sz w:val="16"/>
                <w:szCs w:val="16"/>
              </w:rPr>
            </w:pPr>
            <w:r w:rsidRPr="00F320D5">
              <w:rPr>
                <w:rFonts w:ascii="Garamond" w:hAnsi="Garamond"/>
                <w:sz w:val="16"/>
                <w:szCs w:val="16"/>
              </w:rPr>
              <w:t>Activities have been postponed to 2020</w:t>
            </w:r>
          </w:p>
        </w:tc>
        <w:tc>
          <w:tcPr>
            <w:tcW w:w="1799" w:type="dxa"/>
            <w:vAlign w:val="center"/>
          </w:tcPr>
          <w:p w:rsidR="00213533" w:rsidRPr="00F320D5" w:rsidRDefault="009061BE" w:rsidP="00213533">
            <w:pPr>
              <w:pStyle w:val="TabelaTekst"/>
              <w:spacing w:before="0" w:after="0" w:line="240" w:lineRule="auto"/>
              <w:jc w:val="center"/>
              <w:rPr>
                <w:rFonts w:ascii="Garamond" w:hAnsi="Garamond"/>
                <w:sz w:val="16"/>
                <w:szCs w:val="16"/>
              </w:rPr>
            </w:pPr>
            <w:r w:rsidRPr="00F320D5">
              <w:rPr>
                <w:rFonts w:ascii="Garamond" w:hAnsi="Garamond"/>
                <w:sz w:val="16"/>
                <w:szCs w:val="16"/>
              </w:rPr>
              <w:t>The strategic plan and action plan for its implementation were adopted on December 29, 2020 and refer to the period 2021-2025.</w:t>
            </w:r>
          </w:p>
        </w:tc>
      </w:tr>
    </w:tbl>
    <w:p w:rsidR="009061BE" w:rsidRDefault="009061BE" w:rsidP="004D1343">
      <w:pPr>
        <w:rPr>
          <w:rFonts w:ascii="Garamond" w:hAnsi="Garamond"/>
          <w:sz w:val="24"/>
          <w:szCs w:val="24"/>
        </w:rPr>
      </w:pPr>
    </w:p>
    <w:p w:rsidR="004D1343" w:rsidRPr="00C32887" w:rsidRDefault="004D1343" w:rsidP="009061BE">
      <w:pPr>
        <w:pStyle w:val="Heading3"/>
        <w:rPr>
          <w:rFonts w:ascii="Garamond" w:hAnsi="Garamond"/>
          <w:sz w:val="24"/>
          <w:szCs w:val="24"/>
        </w:rPr>
      </w:pPr>
      <w:bookmarkStart w:id="89" w:name="_Toc77688266"/>
      <w:r w:rsidRPr="00C32887">
        <w:rPr>
          <w:rFonts w:ascii="Garamond" w:hAnsi="Garamond"/>
          <w:sz w:val="24"/>
          <w:szCs w:val="24"/>
        </w:rPr>
        <w:t xml:space="preserve">5.2.3      </w:t>
      </w:r>
      <w:r w:rsidR="009061BE">
        <w:rPr>
          <w:rFonts w:ascii="Garamond" w:hAnsi="Garamond"/>
          <w:sz w:val="24"/>
          <w:szCs w:val="24"/>
        </w:rPr>
        <w:t>PERFORMANCE INDICATOR 39</w:t>
      </w:r>
      <w:r w:rsidR="009061BE" w:rsidRPr="009061BE">
        <w:rPr>
          <w:rFonts w:ascii="Garamond" w:hAnsi="Garamond"/>
          <w:sz w:val="24"/>
          <w:szCs w:val="24"/>
        </w:rPr>
        <w:t xml:space="preserve"> </w:t>
      </w:r>
      <w:r w:rsidR="009061BE" w:rsidRPr="00C32887">
        <w:rPr>
          <w:rFonts w:ascii="Garamond" w:hAnsi="Garamond"/>
          <w:sz w:val="24"/>
          <w:szCs w:val="24"/>
        </w:rPr>
        <w:t>PASSPORT</w:t>
      </w:r>
      <w:bookmarkEnd w:id="89"/>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3057"/>
        <w:gridCol w:w="1980"/>
        <w:gridCol w:w="1799"/>
        <w:gridCol w:w="19"/>
      </w:tblGrid>
      <w:tr w:rsidR="009061BE" w:rsidRPr="00F320D5" w:rsidTr="00E72584">
        <w:trPr>
          <w:jc w:val="center"/>
        </w:trPr>
        <w:tc>
          <w:tcPr>
            <w:tcW w:w="2721" w:type="dxa"/>
            <w:tcBorders>
              <w:right w:val="single" w:sz="4" w:space="0" w:color="FFFFFF"/>
            </w:tcBorders>
            <w:shd w:val="clear" w:color="auto" w:fill="BFBFBF"/>
            <w:vAlign w:val="center"/>
          </w:tcPr>
          <w:p w:rsidR="009061BE" w:rsidRPr="00F320D5" w:rsidRDefault="009061BE" w:rsidP="00E72584">
            <w:pPr>
              <w:autoSpaceDE/>
              <w:autoSpaceDN/>
              <w:rPr>
                <w:rFonts w:ascii="Garamond" w:eastAsia="Calibri" w:hAnsi="Garamond"/>
                <w:b/>
                <w:caps/>
                <w:sz w:val="16"/>
                <w:szCs w:val="16"/>
                <w:lang w:val="en-GB" w:eastAsia="en-US" w:bidi="ar-SA"/>
              </w:rPr>
            </w:pPr>
            <w:r w:rsidRPr="00F320D5">
              <w:rPr>
                <w:rFonts w:ascii="Garamond" w:eastAsia="Calibri" w:hAnsi="Garamond"/>
                <w:b/>
                <w:caps/>
                <w:sz w:val="16"/>
                <w:szCs w:val="16"/>
                <w:lang w:val="en-GB" w:eastAsia="en-US" w:bidi="ar-SA"/>
              </w:rPr>
              <w:t>performance indicator</w:t>
            </w:r>
          </w:p>
        </w:tc>
        <w:tc>
          <w:tcPr>
            <w:tcW w:w="6855" w:type="dxa"/>
            <w:gridSpan w:val="4"/>
            <w:tcBorders>
              <w:left w:val="single" w:sz="4" w:space="0" w:color="FFFFFF"/>
            </w:tcBorders>
            <w:shd w:val="clear" w:color="auto" w:fill="BFBFBF"/>
            <w:vAlign w:val="center"/>
          </w:tcPr>
          <w:p w:rsidR="009061BE" w:rsidRPr="00F320D5" w:rsidRDefault="000A7C99" w:rsidP="00E72584">
            <w:pPr>
              <w:pStyle w:val="Default"/>
              <w:jc w:val="both"/>
              <w:rPr>
                <w:rFonts w:ascii="Garamond" w:eastAsia="Calibri" w:hAnsi="Garamond"/>
                <w:b/>
                <w:sz w:val="16"/>
                <w:szCs w:val="16"/>
                <w:lang w:eastAsia="en-US"/>
              </w:rPr>
            </w:pPr>
            <w:r w:rsidRPr="00F320D5">
              <w:rPr>
                <w:rFonts w:ascii="Garamond" w:hAnsi="Garamond"/>
                <w:iCs/>
                <w:sz w:val="16"/>
                <w:szCs w:val="16"/>
              </w:rPr>
              <w:t>Degree of audit methodology improvement – Audit Manual</w:t>
            </w:r>
          </w:p>
        </w:tc>
      </w:tr>
      <w:tr w:rsidR="009061BE" w:rsidRPr="00F320D5" w:rsidTr="00E72584">
        <w:trPr>
          <w:gridAfter w:val="1"/>
          <w:wAfter w:w="19" w:type="dxa"/>
          <w:jc w:val="center"/>
        </w:trPr>
        <w:tc>
          <w:tcPr>
            <w:tcW w:w="2721" w:type="dxa"/>
            <w:vAlign w:val="center"/>
          </w:tcPr>
          <w:p w:rsidR="009061BE" w:rsidRPr="00F320D5" w:rsidRDefault="009061BE" w:rsidP="006225A7">
            <w:pPr>
              <w:rPr>
                <w:rFonts w:ascii="Garamond" w:eastAsia="Calibri" w:hAnsi="Garamond"/>
                <w:b/>
                <w:caps/>
                <w:sz w:val="16"/>
                <w:szCs w:val="16"/>
                <w:lang w:val="en-GB" w:eastAsia="en-US" w:bidi="ar-SA"/>
              </w:rPr>
            </w:pPr>
            <w:r w:rsidRPr="00F320D5">
              <w:rPr>
                <w:rFonts w:ascii="Garamond" w:eastAsia="Calibri" w:hAnsi="Garamond"/>
                <w:b/>
                <w:caps/>
                <w:sz w:val="16"/>
                <w:szCs w:val="16"/>
                <w:lang w:val="en-GB" w:eastAsia="en-US" w:bidi="ar-SA"/>
              </w:rPr>
              <w:t>corresponding objective or activity</w:t>
            </w:r>
          </w:p>
        </w:tc>
        <w:tc>
          <w:tcPr>
            <w:tcW w:w="6836" w:type="dxa"/>
            <w:gridSpan w:val="3"/>
            <w:vAlign w:val="center"/>
          </w:tcPr>
          <w:p w:rsidR="009061BE" w:rsidRPr="00F320D5" w:rsidRDefault="009061BE" w:rsidP="006225A7">
            <w:pPr>
              <w:rPr>
                <w:rFonts w:ascii="Garamond" w:hAnsi="Garamond"/>
                <w:color w:val="365F91" w:themeColor="accent1" w:themeShade="BF"/>
                <w:sz w:val="16"/>
                <w:szCs w:val="16"/>
              </w:rPr>
            </w:pPr>
            <w:r w:rsidRPr="00F320D5">
              <w:rPr>
                <w:rFonts w:ascii="Garamond" w:hAnsi="Garamond"/>
                <w:color w:val="365F91" w:themeColor="accent1" w:themeShade="BF"/>
                <w:sz w:val="16"/>
                <w:szCs w:val="16"/>
              </w:rPr>
              <w:t>Strengthening external audit capacities</w:t>
            </w:r>
          </w:p>
          <w:p w:rsidR="009061BE" w:rsidRPr="00F320D5" w:rsidRDefault="009061BE" w:rsidP="006225A7">
            <w:pPr>
              <w:pStyle w:val="ListParagraph"/>
              <w:numPr>
                <w:ilvl w:val="0"/>
                <w:numId w:val="28"/>
              </w:numPr>
              <w:rPr>
                <w:rFonts w:ascii="Garamond" w:hAnsi="Garamond"/>
                <w:color w:val="365F91" w:themeColor="accent1" w:themeShade="BF"/>
                <w:sz w:val="16"/>
                <w:szCs w:val="16"/>
              </w:rPr>
            </w:pPr>
            <w:r w:rsidRPr="00F320D5">
              <w:rPr>
                <w:rFonts w:ascii="Garamond" w:hAnsi="Garamond"/>
                <w:color w:val="365F91" w:themeColor="accent1" w:themeShade="BF"/>
                <w:sz w:val="16"/>
                <w:szCs w:val="16"/>
              </w:rPr>
              <w:t>Building capacities and improving audit procedure - Audit Authority</w:t>
            </w:r>
          </w:p>
          <w:p w:rsidR="009061BE" w:rsidRPr="00F320D5" w:rsidRDefault="009061BE" w:rsidP="006225A7">
            <w:pPr>
              <w:rPr>
                <w:rFonts w:ascii="Garamond" w:hAnsi="Garamond"/>
                <w:color w:val="365F91" w:themeColor="accent1" w:themeShade="BF"/>
                <w:sz w:val="16"/>
                <w:szCs w:val="16"/>
              </w:rPr>
            </w:pPr>
          </w:p>
        </w:tc>
      </w:tr>
      <w:tr w:rsidR="009061BE" w:rsidRPr="00F320D5" w:rsidTr="00E72584">
        <w:trPr>
          <w:gridAfter w:val="1"/>
          <w:wAfter w:w="19" w:type="dxa"/>
          <w:jc w:val="center"/>
        </w:trPr>
        <w:tc>
          <w:tcPr>
            <w:tcW w:w="2721" w:type="dxa"/>
            <w:vAlign w:val="center"/>
          </w:tcPr>
          <w:p w:rsidR="009061BE" w:rsidRPr="00F320D5" w:rsidRDefault="009061BE" w:rsidP="00E72584">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SOURCE OF DATA FOR MONITORING PERFORMANCE INDICATORS</w:t>
            </w:r>
          </w:p>
        </w:tc>
        <w:tc>
          <w:tcPr>
            <w:tcW w:w="6836" w:type="dxa"/>
            <w:gridSpan w:val="3"/>
            <w:vAlign w:val="center"/>
          </w:tcPr>
          <w:p w:rsidR="009061BE" w:rsidRPr="00F320D5" w:rsidRDefault="000A7C99" w:rsidP="00F320D5">
            <w:pPr>
              <w:pStyle w:val="TabelaTekst"/>
              <w:spacing w:before="0" w:after="0" w:line="240" w:lineRule="auto"/>
              <w:rPr>
                <w:rFonts w:ascii="Garamond" w:hAnsi="Garamond"/>
                <w:sz w:val="16"/>
                <w:szCs w:val="16"/>
              </w:rPr>
            </w:pPr>
            <w:r w:rsidRPr="00F320D5">
              <w:rPr>
                <w:rFonts w:ascii="Garamond" w:hAnsi="Garamond"/>
                <w:sz w:val="16"/>
                <w:szCs w:val="16"/>
              </w:rPr>
              <w:t xml:space="preserve">Working reports prepared by experts engaged </w:t>
            </w:r>
            <w:r w:rsidR="00F320D5">
              <w:rPr>
                <w:rFonts w:ascii="Garamond" w:hAnsi="Garamond"/>
                <w:sz w:val="16"/>
                <w:szCs w:val="16"/>
                <w:lang w:val="en-US"/>
              </w:rPr>
              <w:t>under</w:t>
            </w:r>
            <w:r w:rsidRPr="00F320D5">
              <w:rPr>
                <w:rFonts w:ascii="Garamond" w:hAnsi="Garamond"/>
                <w:sz w:val="16"/>
                <w:szCs w:val="16"/>
              </w:rPr>
              <w:t xml:space="preserve"> the IPA project "Development and capacity building of SAI and </w:t>
            </w:r>
            <w:r w:rsidR="00F320D5">
              <w:rPr>
                <w:rFonts w:ascii="Garamond" w:hAnsi="Garamond"/>
                <w:sz w:val="16"/>
                <w:szCs w:val="16"/>
                <w:lang w:val="en-US"/>
              </w:rPr>
              <w:t>AA</w:t>
            </w:r>
            <w:r w:rsidRPr="00F320D5">
              <w:rPr>
                <w:rFonts w:ascii="Garamond" w:hAnsi="Garamond"/>
                <w:sz w:val="16"/>
                <w:szCs w:val="16"/>
              </w:rPr>
              <w:t>" with a description of activities to improve the audit manual.</w:t>
            </w:r>
          </w:p>
        </w:tc>
      </w:tr>
      <w:tr w:rsidR="009061BE" w:rsidRPr="00F320D5" w:rsidTr="00E72584">
        <w:trPr>
          <w:gridAfter w:val="1"/>
          <w:wAfter w:w="19" w:type="dxa"/>
          <w:jc w:val="center"/>
        </w:trPr>
        <w:tc>
          <w:tcPr>
            <w:tcW w:w="2721" w:type="dxa"/>
            <w:vAlign w:val="center"/>
          </w:tcPr>
          <w:p w:rsidR="009061BE" w:rsidRPr="00F320D5" w:rsidRDefault="009061BE" w:rsidP="00E72584">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NAME OF DATA COLLECTION HOLDER</w:t>
            </w:r>
          </w:p>
        </w:tc>
        <w:tc>
          <w:tcPr>
            <w:tcW w:w="6836" w:type="dxa"/>
            <w:gridSpan w:val="3"/>
            <w:vAlign w:val="center"/>
          </w:tcPr>
          <w:p w:rsidR="009061BE" w:rsidRPr="00F320D5" w:rsidRDefault="009061BE" w:rsidP="00E72584">
            <w:pPr>
              <w:rPr>
                <w:rFonts w:ascii="Garamond" w:hAnsi="Garamond"/>
                <w:sz w:val="16"/>
                <w:szCs w:val="16"/>
              </w:rPr>
            </w:pPr>
            <w:r w:rsidRPr="00F320D5">
              <w:rPr>
                <w:rFonts w:ascii="Garamond" w:hAnsi="Garamond"/>
                <w:sz w:val="16"/>
                <w:szCs w:val="16"/>
              </w:rPr>
              <w:t xml:space="preserve">Audit </w:t>
            </w:r>
            <w:r w:rsidR="000A7C99" w:rsidRPr="00F320D5">
              <w:rPr>
                <w:rFonts w:ascii="Garamond" w:hAnsi="Garamond"/>
                <w:sz w:val="16"/>
                <w:szCs w:val="16"/>
              </w:rPr>
              <w:t xml:space="preserve">authority </w:t>
            </w:r>
          </w:p>
          <w:p w:rsidR="009061BE" w:rsidRPr="00F320D5" w:rsidRDefault="009061BE" w:rsidP="00E72584">
            <w:pPr>
              <w:rPr>
                <w:rFonts w:ascii="Garamond" w:hAnsi="Garamond"/>
                <w:sz w:val="16"/>
                <w:szCs w:val="16"/>
              </w:rPr>
            </w:pPr>
            <w:r w:rsidRPr="00F320D5">
              <w:rPr>
                <w:rFonts w:ascii="Garamond" w:hAnsi="Garamond"/>
                <w:sz w:val="16"/>
                <w:szCs w:val="16"/>
              </w:rPr>
              <w:t>Radmila Prelević, Certified Auditor</w:t>
            </w:r>
          </w:p>
          <w:p w:rsidR="009061BE" w:rsidRPr="00F320D5" w:rsidRDefault="009061BE" w:rsidP="00E72584">
            <w:pPr>
              <w:rPr>
                <w:rFonts w:ascii="Garamond" w:eastAsia="Calibri" w:hAnsi="Garamond"/>
                <w:sz w:val="16"/>
                <w:szCs w:val="16"/>
                <w:lang w:eastAsia="en-US" w:bidi="ar-SA"/>
              </w:rPr>
            </w:pPr>
            <w:r w:rsidRPr="00F320D5">
              <w:rPr>
                <w:rFonts w:ascii="Garamond" w:hAnsi="Garamond"/>
                <w:sz w:val="16"/>
                <w:szCs w:val="16"/>
              </w:rPr>
              <w:t>radmila.prelevic @ revizorskotijelo.me Phone: 067 223 252</w:t>
            </w:r>
          </w:p>
        </w:tc>
      </w:tr>
      <w:tr w:rsidR="009061BE" w:rsidRPr="00F320D5" w:rsidTr="00E72584">
        <w:trPr>
          <w:gridAfter w:val="1"/>
          <w:wAfter w:w="19" w:type="dxa"/>
          <w:jc w:val="center"/>
        </w:trPr>
        <w:tc>
          <w:tcPr>
            <w:tcW w:w="2721" w:type="dxa"/>
            <w:vAlign w:val="center"/>
          </w:tcPr>
          <w:p w:rsidR="009061BE" w:rsidRPr="00F320D5" w:rsidRDefault="009061BE" w:rsidP="00E72584">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FREQUENCY OF DATA PUBLICATION</w:t>
            </w:r>
          </w:p>
        </w:tc>
        <w:tc>
          <w:tcPr>
            <w:tcW w:w="6836" w:type="dxa"/>
            <w:gridSpan w:val="3"/>
            <w:vAlign w:val="center"/>
          </w:tcPr>
          <w:p w:rsidR="009061BE" w:rsidRPr="00F320D5" w:rsidRDefault="000A7C99" w:rsidP="00E72584">
            <w:pPr>
              <w:rPr>
                <w:rFonts w:ascii="Garamond" w:eastAsia="Calibri" w:hAnsi="Garamond"/>
                <w:sz w:val="16"/>
                <w:szCs w:val="16"/>
                <w:lang w:eastAsia="en-US" w:bidi="ar-SA"/>
              </w:rPr>
            </w:pPr>
            <w:r w:rsidRPr="00F320D5">
              <w:rPr>
                <w:rFonts w:ascii="Garamond" w:eastAsia="Calibri" w:hAnsi="Garamond"/>
                <w:sz w:val="16"/>
                <w:szCs w:val="16"/>
                <w:lang w:eastAsia="en-US" w:bidi="ar-SA"/>
              </w:rPr>
              <w:t>1x per year, depending on the dynamics of project implementation</w:t>
            </w:r>
          </w:p>
        </w:tc>
      </w:tr>
      <w:tr w:rsidR="009061BE" w:rsidRPr="00F320D5" w:rsidTr="00E72584">
        <w:trPr>
          <w:gridAfter w:val="1"/>
          <w:wAfter w:w="19" w:type="dxa"/>
          <w:trHeight w:val="458"/>
          <w:jc w:val="center"/>
        </w:trPr>
        <w:tc>
          <w:tcPr>
            <w:tcW w:w="2721" w:type="dxa"/>
            <w:vMerge w:val="restart"/>
            <w:vAlign w:val="center"/>
          </w:tcPr>
          <w:p w:rsidR="009061BE" w:rsidRPr="00F320D5" w:rsidRDefault="009061BE" w:rsidP="00E72584">
            <w:pPr>
              <w:autoSpaceDE/>
              <w:autoSpaceDN/>
              <w:rPr>
                <w:rFonts w:ascii="Garamond" w:eastAsia="Calibri" w:hAnsi="Garamond"/>
                <w:b/>
                <w:caps/>
                <w:sz w:val="16"/>
                <w:szCs w:val="16"/>
                <w:lang w:val="uz-Cyrl-UZ" w:eastAsia="en-US" w:bidi="ar-SA"/>
              </w:rPr>
            </w:pPr>
            <w:r w:rsidRPr="00F320D5">
              <w:rPr>
                <w:rFonts w:ascii="Garamond" w:eastAsia="Calibri" w:hAnsi="Garamond"/>
                <w:b/>
                <w:caps/>
                <w:sz w:val="16"/>
                <w:szCs w:val="16"/>
                <w:lang w:val="uz-Cyrl-UZ" w:eastAsia="en-US" w:bidi="ar-SA"/>
              </w:rPr>
              <w:t xml:space="preserve">BRIEF DESCRIPTION </w:t>
            </w:r>
            <w:r w:rsidRPr="00F320D5">
              <w:rPr>
                <w:rFonts w:ascii="Garamond" w:eastAsia="Calibri" w:hAnsi="Garamond"/>
                <w:b/>
                <w:caps/>
                <w:sz w:val="16"/>
                <w:szCs w:val="16"/>
                <w:lang w:val="en-GB" w:eastAsia="en-US" w:bidi="ar-SA"/>
              </w:rPr>
              <w:t xml:space="preserve">OF </w:t>
            </w:r>
            <w:r w:rsidRPr="00F320D5">
              <w:rPr>
                <w:rFonts w:ascii="Garamond" w:eastAsia="Calibri" w:hAnsi="Garamond"/>
                <w:b/>
                <w:caps/>
                <w:sz w:val="16"/>
                <w:szCs w:val="16"/>
                <w:lang w:val="uz-Cyrl-UZ" w:eastAsia="en-US" w:bidi="ar-SA"/>
              </w:rPr>
              <w:t>PERFORMANCE INDICATOR AND METHODOLOGY (FORMULAS / EQUATIONS)</w:t>
            </w:r>
          </w:p>
        </w:tc>
        <w:tc>
          <w:tcPr>
            <w:tcW w:w="6836" w:type="dxa"/>
            <w:gridSpan w:val="3"/>
            <w:vAlign w:val="center"/>
          </w:tcPr>
          <w:p w:rsidR="009061BE" w:rsidRPr="00F320D5" w:rsidRDefault="000A7C99" w:rsidP="00E72584">
            <w:pPr>
              <w:jc w:val="both"/>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The degree of improvement of the audit manual is measured by the percentage of remedied deficiencies identified by the project experts.</w:t>
            </w:r>
          </w:p>
        </w:tc>
      </w:tr>
      <w:tr w:rsidR="009061BE" w:rsidRPr="00F320D5" w:rsidTr="00E72584">
        <w:trPr>
          <w:gridAfter w:val="1"/>
          <w:wAfter w:w="19" w:type="dxa"/>
          <w:trHeight w:val="620"/>
          <w:jc w:val="center"/>
        </w:trPr>
        <w:tc>
          <w:tcPr>
            <w:tcW w:w="2721" w:type="dxa"/>
            <w:vMerge/>
            <w:shd w:val="clear" w:color="auto" w:fill="auto"/>
            <w:vAlign w:val="center"/>
          </w:tcPr>
          <w:p w:rsidR="009061BE" w:rsidRPr="00F320D5" w:rsidRDefault="009061BE" w:rsidP="00E72584">
            <w:pPr>
              <w:autoSpaceDE/>
              <w:autoSpaceDN/>
              <w:rPr>
                <w:rFonts w:ascii="Garamond" w:eastAsia="Calibri" w:hAnsi="Garamond"/>
                <w:b/>
                <w:i/>
                <w:caps/>
                <w:sz w:val="16"/>
                <w:szCs w:val="16"/>
                <w:lang w:val="uz-Cyrl-UZ" w:eastAsia="en-US" w:bidi="ar-SA"/>
              </w:rPr>
            </w:pPr>
          </w:p>
        </w:tc>
        <w:tc>
          <w:tcPr>
            <w:tcW w:w="6836" w:type="dxa"/>
            <w:gridSpan w:val="3"/>
            <w:shd w:val="clear" w:color="auto" w:fill="BFBFBF"/>
            <w:vAlign w:val="center"/>
          </w:tcPr>
          <w:p w:rsidR="009061BE" w:rsidRPr="00F320D5" w:rsidRDefault="009061BE" w:rsidP="00E72584">
            <w:pPr>
              <w:jc w:val="center"/>
              <w:rPr>
                <w:rFonts w:ascii="Garamond" w:hAnsi="Garamond"/>
                <w:color w:val="365F91" w:themeColor="accent1" w:themeShade="BF"/>
                <w:sz w:val="16"/>
                <w:szCs w:val="16"/>
                <w:lang w:val="uz-Cyrl-UZ"/>
              </w:rPr>
            </w:pPr>
            <w:r w:rsidRPr="00F320D5">
              <w:rPr>
                <w:rFonts w:ascii="Garamond" w:hAnsi="Garamond"/>
                <w:color w:val="365F91" w:themeColor="accent1" w:themeShade="BF"/>
                <w:sz w:val="16"/>
                <w:szCs w:val="16"/>
                <w:lang w:val="uz-Cyrl-UZ"/>
              </w:rPr>
              <w:t>FORMULA / EQUATION</w:t>
            </w:r>
          </w:p>
          <w:p w:rsidR="009061BE" w:rsidRPr="00F320D5" w:rsidRDefault="000A7C99" w:rsidP="00944255">
            <w:pPr>
              <w:jc w:val="center"/>
              <w:rPr>
                <w:rFonts w:ascii="Garamond" w:eastAsia="Calibri" w:hAnsi="Garamond"/>
                <w:sz w:val="16"/>
                <w:szCs w:val="16"/>
                <w:lang w:val="en-GB" w:eastAsia="en-US" w:bidi="ar-SA"/>
              </w:rPr>
            </w:pPr>
            <w:r w:rsidRPr="00F320D5">
              <w:rPr>
                <w:rFonts w:ascii="Garamond" w:eastAsia="Calibri" w:hAnsi="Garamond"/>
                <w:sz w:val="16"/>
                <w:szCs w:val="16"/>
                <w:lang w:val="en-GB" w:eastAsia="en-US" w:bidi="ar-SA"/>
              </w:rPr>
              <w:t xml:space="preserve">Number of </w:t>
            </w:r>
            <w:r w:rsidR="00F320D5" w:rsidRPr="00F320D5">
              <w:rPr>
                <w:rFonts w:ascii="Garamond" w:eastAsia="Calibri" w:hAnsi="Garamond"/>
                <w:sz w:val="16"/>
                <w:szCs w:val="16"/>
                <w:lang w:val="en-GB" w:eastAsia="en-US" w:bidi="ar-SA"/>
              </w:rPr>
              <w:t xml:space="preserve">Manual </w:t>
            </w:r>
            <w:r w:rsidRPr="00F320D5">
              <w:rPr>
                <w:rFonts w:ascii="Garamond" w:eastAsia="Calibri" w:hAnsi="Garamond"/>
                <w:sz w:val="16"/>
                <w:szCs w:val="16"/>
                <w:lang w:val="en-GB" w:eastAsia="en-US" w:bidi="ar-SA"/>
              </w:rPr>
              <w:t xml:space="preserve">deficiencies </w:t>
            </w:r>
            <w:r w:rsidR="00944255" w:rsidRPr="00F320D5">
              <w:rPr>
                <w:rFonts w:ascii="Garamond" w:eastAsia="Calibri" w:hAnsi="Garamond"/>
                <w:sz w:val="16"/>
                <w:szCs w:val="16"/>
                <w:lang w:val="en-GB" w:eastAsia="en-US" w:bidi="ar-SA"/>
              </w:rPr>
              <w:t>eliminated</w:t>
            </w:r>
            <w:r w:rsidRPr="00F320D5">
              <w:rPr>
                <w:rFonts w:ascii="Garamond" w:eastAsia="Calibri" w:hAnsi="Garamond"/>
                <w:sz w:val="16"/>
                <w:szCs w:val="16"/>
                <w:lang w:val="en-GB" w:eastAsia="en-US" w:bidi="ar-SA"/>
              </w:rPr>
              <w:t xml:space="preserve"> / total number of </w:t>
            </w:r>
            <w:r w:rsidR="00F320D5" w:rsidRPr="00F320D5">
              <w:rPr>
                <w:rFonts w:ascii="Garamond" w:eastAsia="Calibri" w:hAnsi="Garamond"/>
                <w:sz w:val="16"/>
                <w:szCs w:val="16"/>
                <w:lang w:val="en-GB" w:eastAsia="en-US" w:bidi="ar-SA"/>
              </w:rPr>
              <w:t xml:space="preserve">Manual </w:t>
            </w:r>
            <w:r w:rsidRPr="00F320D5">
              <w:rPr>
                <w:rFonts w:ascii="Garamond" w:eastAsia="Calibri" w:hAnsi="Garamond"/>
                <w:sz w:val="16"/>
                <w:szCs w:val="16"/>
                <w:lang w:val="en-GB" w:eastAsia="en-US" w:bidi="ar-SA"/>
              </w:rPr>
              <w:t>deficiencies x 100</w:t>
            </w:r>
          </w:p>
        </w:tc>
      </w:tr>
      <w:tr w:rsidR="009061BE" w:rsidRPr="00F320D5" w:rsidTr="00E72584">
        <w:trPr>
          <w:gridAfter w:val="1"/>
          <w:wAfter w:w="19" w:type="dxa"/>
          <w:trHeight w:val="585"/>
          <w:jc w:val="center"/>
        </w:trPr>
        <w:tc>
          <w:tcPr>
            <w:tcW w:w="2721" w:type="dxa"/>
            <w:vAlign w:val="center"/>
          </w:tcPr>
          <w:p w:rsidR="009061BE" w:rsidRPr="00F320D5" w:rsidRDefault="009061BE" w:rsidP="00E72584">
            <w:pPr>
              <w:autoSpaceDE/>
              <w:autoSpaceDN/>
              <w:rPr>
                <w:rFonts w:ascii="Garamond" w:eastAsia="Calibri" w:hAnsi="Garamond"/>
                <w:b/>
                <w:bCs/>
                <w:caps/>
                <w:sz w:val="16"/>
                <w:szCs w:val="16"/>
                <w:lang w:val="en-GB" w:eastAsia="en-US" w:bidi="ar-SA"/>
              </w:rPr>
            </w:pPr>
            <w:r w:rsidRPr="00F320D5">
              <w:rPr>
                <w:rFonts w:ascii="Garamond" w:eastAsia="Calibri" w:hAnsi="Garamond"/>
                <w:b/>
                <w:caps/>
                <w:sz w:val="16"/>
                <w:szCs w:val="16"/>
                <w:lang w:val="uz-Cyrl-UZ" w:eastAsia="en-US" w:bidi="ar-SA"/>
              </w:rPr>
              <w:t>BASELINE</w:t>
            </w:r>
            <w:r w:rsidRPr="00F320D5">
              <w:rPr>
                <w:rFonts w:ascii="Garamond" w:eastAsia="Calibri" w:hAnsi="Garamond"/>
                <w:b/>
                <w:caps/>
                <w:sz w:val="16"/>
                <w:szCs w:val="16"/>
                <w:lang w:val="en-GB" w:eastAsia="en-US" w:bidi="ar-SA"/>
              </w:rPr>
              <w:t xml:space="preserve"> DATA</w:t>
            </w:r>
          </w:p>
        </w:tc>
        <w:tc>
          <w:tcPr>
            <w:tcW w:w="6836" w:type="dxa"/>
            <w:gridSpan w:val="3"/>
            <w:vAlign w:val="center"/>
          </w:tcPr>
          <w:p w:rsidR="009061BE" w:rsidRPr="00F320D5" w:rsidRDefault="009061BE" w:rsidP="00E72584">
            <w:pPr>
              <w:pStyle w:val="TabelaTekst"/>
              <w:rPr>
                <w:rFonts w:ascii="Garamond" w:hAnsi="Garamond"/>
                <w:sz w:val="16"/>
                <w:szCs w:val="16"/>
                <w:lang w:val="en-GB"/>
              </w:rPr>
            </w:pPr>
            <w:r w:rsidRPr="00F320D5">
              <w:rPr>
                <w:rFonts w:ascii="Garamond" w:hAnsi="Garamond"/>
                <w:sz w:val="16"/>
                <w:szCs w:val="16"/>
              </w:rPr>
              <w:t xml:space="preserve">PV (2014): </w:t>
            </w:r>
            <w:r w:rsidR="00944255" w:rsidRPr="00F320D5">
              <w:rPr>
                <w:rFonts w:ascii="Garamond" w:hAnsi="Garamond"/>
                <w:sz w:val="16"/>
                <w:szCs w:val="16"/>
                <w:lang w:val="en-GB"/>
              </w:rPr>
              <w:t>A</w:t>
            </w:r>
            <w:r w:rsidR="000A7C99" w:rsidRPr="00F320D5">
              <w:rPr>
                <w:rFonts w:ascii="Garamond" w:hAnsi="Garamond"/>
                <w:sz w:val="16"/>
                <w:szCs w:val="16"/>
                <w:lang w:val="en-GB"/>
              </w:rPr>
              <w:t xml:space="preserve">udit </w:t>
            </w:r>
            <w:r w:rsidR="00F320D5" w:rsidRPr="00F320D5">
              <w:rPr>
                <w:rFonts w:ascii="Garamond" w:hAnsi="Garamond"/>
                <w:sz w:val="16"/>
                <w:szCs w:val="16"/>
                <w:lang w:val="en-GB"/>
              </w:rPr>
              <w:t xml:space="preserve">Manual </w:t>
            </w:r>
            <w:r w:rsidR="000A7C99" w:rsidRPr="00F320D5">
              <w:rPr>
                <w:rFonts w:ascii="Garamond" w:hAnsi="Garamond"/>
                <w:sz w:val="16"/>
                <w:szCs w:val="16"/>
                <w:lang w:val="en-GB"/>
              </w:rPr>
              <w:t>has been prepared</w:t>
            </w:r>
          </w:p>
        </w:tc>
      </w:tr>
      <w:tr w:rsidR="009061BE" w:rsidRPr="00F320D5" w:rsidTr="00E72584">
        <w:trPr>
          <w:gridAfter w:val="1"/>
          <w:wAfter w:w="19" w:type="dxa"/>
          <w:trHeight w:val="160"/>
          <w:jc w:val="center"/>
        </w:trPr>
        <w:tc>
          <w:tcPr>
            <w:tcW w:w="2721" w:type="dxa"/>
            <w:vMerge w:val="restart"/>
            <w:vAlign w:val="center"/>
          </w:tcPr>
          <w:p w:rsidR="009061BE" w:rsidRPr="00F320D5" w:rsidRDefault="009061BE" w:rsidP="00E72584">
            <w:pPr>
              <w:autoSpaceDE/>
              <w:autoSpaceDN/>
              <w:rPr>
                <w:rFonts w:ascii="Garamond" w:eastAsia="Calibri" w:hAnsi="Garamond"/>
                <w:b/>
                <w:bCs/>
                <w:caps/>
                <w:sz w:val="16"/>
                <w:szCs w:val="16"/>
                <w:lang w:val="uz-Cyrl-UZ" w:eastAsia="en-US" w:bidi="ar-SA"/>
              </w:rPr>
            </w:pPr>
            <w:r w:rsidRPr="00F320D5">
              <w:rPr>
                <w:rFonts w:ascii="Garamond" w:eastAsia="Calibri" w:hAnsi="Garamond"/>
                <w:b/>
                <w:caps/>
                <w:sz w:val="16"/>
                <w:szCs w:val="16"/>
                <w:lang w:val="uz-Cyrl-UZ" w:eastAsia="en-US" w:bidi="ar-SA"/>
              </w:rPr>
              <w:t>TARGET VALUE DATA</w:t>
            </w:r>
          </w:p>
        </w:tc>
        <w:tc>
          <w:tcPr>
            <w:tcW w:w="3057" w:type="dxa"/>
            <w:vAlign w:val="center"/>
          </w:tcPr>
          <w:p w:rsidR="009061BE" w:rsidRPr="00F320D5" w:rsidRDefault="009061BE" w:rsidP="00E72584">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2018</w:t>
            </w:r>
          </w:p>
        </w:tc>
        <w:tc>
          <w:tcPr>
            <w:tcW w:w="1980" w:type="dxa"/>
            <w:vAlign w:val="center"/>
          </w:tcPr>
          <w:p w:rsidR="009061BE" w:rsidRPr="00F320D5" w:rsidRDefault="009061BE" w:rsidP="00E72584">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2019</w:t>
            </w:r>
          </w:p>
        </w:tc>
        <w:tc>
          <w:tcPr>
            <w:tcW w:w="1799" w:type="dxa"/>
            <w:vAlign w:val="center"/>
          </w:tcPr>
          <w:p w:rsidR="009061BE" w:rsidRPr="00F320D5" w:rsidRDefault="009061BE" w:rsidP="00E72584">
            <w:pPr>
              <w:autoSpaceDE/>
              <w:autoSpaceDN/>
              <w:jc w:val="center"/>
              <w:rPr>
                <w:rFonts w:ascii="Garamond" w:eastAsia="Calibri" w:hAnsi="Garamond"/>
                <w:sz w:val="16"/>
                <w:szCs w:val="16"/>
                <w:lang w:val="uz-Cyrl-UZ" w:eastAsia="en-US" w:bidi="ar-SA"/>
              </w:rPr>
            </w:pPr>
            <w:r w:rsidRPr="00F320D5">
              <w:rPr>
                <w:rFonts w:ascii="Garamond" w:eastAsia="Calibri" w:hAnsi="Garamond"/>
                <w:sz w:val="16"/>
                <w:szCs w:val="16"/>
                <w:lang w:val="uz-Cyrl-UZ" w:eastAsia="en-US" w:bidi="ar-SA"/>
              </w:rPr>
              <w:t>2020</w:t>
            </w:r>
          </w:p>
        </w:tc>
      </w:tr>
      <w:tr w:rsidR="009061BE" w:rsidRPr="00F320D5" w:rsidTr="00E72584">
        <w:trPr>
          <w:gridAfter w:val="1"/>
          <w:wAfter w:w="19" w:type="dxa"/>
          <w:trHeight w:val="160"/>
          <w:jc w:val="center"/>
        </w:trPr>
        <w:tc>
          <w:tcPr>
            <w:tcW w:w="2721" w:type="dxa"/>
            <w:vMerge/>
            <w:vAlign w:val="center"/>
          </w:tcPr>
          <w:p w:rsidR="009061BE" w:rsidRPr="00F320D5" w:rsidRDefault="009061BE" w:rsidP="00E72584">
            <w:pPr>
              <w:autoSpaceDE/>
              <w:autoSpaceDN/>
              <w:rPr>
                <w:rFonts w:ascii="Garamond" w:eastAsia="Calibri" w:hAnsi="Garamond"/>
                <w:b/>
                <w:bCs/>
                <w:caps/>
                <w:sz w:val="16"/>
                <w:szCs w:val="16"/>
                <w:lang w:val="uz-Cyrl-UZ" w:eastAsia="en-US" w:bidi="ar-SA"/>
              </w:rPr>
            </w:pPr>
          </w:p>
        </w:tc>
        <w:tc>
          <w:tcPr>
            <w:tcW w:w="3057" w:type="dxa"/>
            <w:vAlign w:val="center"/>
          </w:tcPr>
          <w:p w:rsidR="009061BE" w:rsidRPr="00F320D5" w:rsidRDefault="009061BE" w:rsidP="00E72584">
            <w:pPr>
              <w:pStyle w:val="TabelaTekst"/>
              <w:jc w:val="center"/>
              <w:rPr>
                <w:rFonts w:ascii="Garamond" w:hAnsi="Garamond"/>
                <w:sz w:val="16"/>
                <w:szCs w:val="16"/>
              </w:rPr>
            </w:pPr>
            <w:r w:rsidRPr="00F320D5">
              <w:rPr>
                <w:rFonts w:ascii="Garamond" w:hAnsi="Garamond"/>
                <w:sz w:val="16"/>
                <w:szCs w:val="16"/>
              </w:rPr>
              <w:t>n / a</w:t>
            </w:r>
          </w:p>
          <w:p w:rsidR="009061BE" w:rsidRPr="00F320D5" w:rsidRDefault="009061BE" w:rsidP="00E72584">
            <w:pPr>
              <w:pStyle w:val="TabelaTekst"/>
              <w:spacing w:before="0" w:after="0" w:line="240" w:lineRule="auto"/>
              <w:jc w:val="center"/>
              <w:rPr>
                <w:rFonts w:ascii="Garamond" w:hAnsi="Garamond"/>
                <w:sz w:val="16"/>
                <w:szCs w:val="16"/>
              </w:rPr>
            </w:pPr>
            <w:r w:rsidRPr="00F320D5">
              <w:rPr>
                <w:rFonts w:ascii="Garamond" w:hAnsi="Garamond"/>
                <w:sz w:val="16"/>
                <w:szCs w:val="16"/>
              </w:rPr>
              <w:t xml:space="preserve">The activities listed in the </w:t>
            </w:r>
            <w:r w:rsidR="00F320D5" w:rsidRPr="00F320D5">
              <w:rPr>
                <w:rFonts w:ascii="Garamond" w:hAnsi="Garamond"/>
                <w:sz w:val="16"/>
                <w:szCs w:val="16"/>
              </w:rPr>
              <w:t xml:space="preserve">Action Plan </w:t>
            </w:r>
            <w:r w:rsidRPr="00F320D5">
              <w:rPr>
                <w:rFonts w:ascii="Garamond" w:hAnsi="Garamond"/>
                <w:sz w:val="16"/>
                <w:szCs w:val="16"/>
              </w:rPr>
              <w:t>will start in 2019</w:t>
            </w:r>
          </w:p>
        </w:tc>
        <w:tc>
          <w:tcPr>
            <w:tcW w:w="1980" w:type="dxa"/>
            <w:vAlign w:val="center"/>
          </w:tcPr>
          <w:p w:rsidR="009061BE" w:rsidRPr="00F320D5" w:rsidRDefault="000A7C99" w:rsidP="00E72584">
            <w:pPr>
              <w:pStyle w:val="TabelaTekst"/>
              <w:spacing w:before="0" w:after="0" w:line="240" w:lineRule="auto"/>
              <w:jc w:val="center"/>
              <w:rPr>
                <w:rFonts w:ascii="Garamond" w:hAnsi="Garamond"/>
                <w:sz w:val="16"/>
                <w:szCs w:val="16"/>
              </w:rPr>
            </w:pPr>
            <w:r w:rsidRPr="00F320D5">
              <w:rPr>
                <w:rFonts w:ascii="Garamond" w:hAnsi="Garamond"/>
                <w:sz w:val="16"/>
                <w:szCs w:val="16"/>
              </w:rPr>
              <w:t>50% of deficiencies eliminated</w:t>
            </w:r>
          </w:p>
        </w:tc>
        <w:tc>
          <w:tcPr>
            <w:tcW w:w="1799" w:type="dxa"/>
            <w:vAlign w:val="center"/>
          </w:tcPr>
          <w:p w:rsidR="009061BE" w:rsidRPr="00F320D5" w:rsidRDefault="000A7C99" w:rsidP="00E72584">
            <w:pPr>
              <w:pStyle w:val="TabelaTekst"/>
              <w:spacing w:before="0" w:after="0" w:line="240" w:lineRule="auto"/>
              <w:jc w:val="center"/>
              <w:rPr>
                <w:rFonts w:ascii="Garamond" w:hAnsi="Garamond"/>
                <w:sz w:val="16"/>
                <w:szCs w:val="16"/>
              </w:rPr>
            </w:pPr>
            <w:r w:rsidRPr="00F320D5">
              <w:rPr>
                <w:rFonts w:ascii="Garamond" w:hAnsi="Garamond"/>
                <w:sz w:val="16"/>
                <w:szCs w:val="16"/>
                <w:lang w:val="en-GB"/>
              </w:rPr>
              <w:t>10</w:t>
            </w:r>
            <w:r w:rsidRPr="00F320D5">
              <w:rPr>
                <w:rFonts w:ascii="Garamond" w:hAnsi="Garamond"/>
                <w:sz w:val="16"/>
                <w:szCs w:val="16"/>
              </w:rPr>
              <w:t>0% of deficiencies eliminated</w:t>
            </w:r>
          </w:p>
        </w:tc>
      </w:tr>
      <w:tr w:rsidR="009061BE" w:rsidRPr="00F320D5" w:rsidTr="00E72584">
        <w:trPr>
          <w:gridAfter w:val="1"/>
          <w:wAfter w:w="19" w:type="dxa"/>
          <w:trHeight w:val="160"/>
          <w:jc w:val="center"/>
        </w:trPr>
        <w:tc>
          <w:tcPr>
            <w:tcW w:w="2721" w:type="dxa"/>
            <w:vAlign w:val="center"/>
          </w:tcPr>
          <w:p w:rsidR="009061BE" w:rsidRPr="00F320D5" w:rsidRDefault="0062456A" w:rsidP="00E72584">
            <w:pPr>
              <w:autoSpaceDE/>
              <w:autoSpaceDN/>
              <w:rPr>
                <w:rFonts w:ascii="Garamond" w:eastAsia="Calibri" w:hAnsi="Garamond"/>
                <w:b/>
                <w:bCs/>
                <w:caps/>
                <w:sz w:val="16"/>
                <w:szCs w:val="16"/>
                <w:lang w:val="uz-Cyrl-UZ" w:eastAsia="en-US" w:bidi="ar-SA"/>
              </w:rPr>
            </w:pPr>
            <w:r w:rsidRPr="00F320D5">
              <w:rPr>
                <w:rFonts w:ascii="Garamond" w:eastAsia="Calibri" w:hAnsi="Garamond"/>
                <w:b/>
                <w:bCs/>
                <w:caps/>
                <w:sz w:val="16"/>
                <w:szCs w:val="16"/>
                <w:lang w:val="uz-Cyrl-UZ" w:eastAsia="en-US" w:bidi="ar-SA"/>
              </w:rPr>
              <w:t>DATA ON VALUES ACHIEVED</w:t>
            </w:r>
          </w:p>
        </w:tc>
        <w:tc>
          <w:tcPr>
            <w:tcW w:w="3057" w:type="dxa"/>
            <w:vAlign w:val="center"/>
          </w:tcPr>
          <w:p w:rsidR="009061BE" w:rsidRPr="00F320D5" w:rsidRDefault="009061BE" w:rsidP="00D11F0A">
            <w:pPr>
              <w:pStyle w:val="TOC3"/>
              <w:rPr>
                <w:rFonts w:ascii="Garamond" w:hAnsi="Garamond"/>
                <w:sz w:val="16"/>
                <w:szCs w:val="16"/>
              </w:rPr>
            </w:pPr>
            <w:r w:rsidRPr="00F320D5">
              <w:rPr>
                <w:rFonts w:ascii="Garamond" w:hAnsi="Garamond"/>
                <w:sz w:val="16"/>
                <w:szCs w:val="16"/>
              </w:rPr>
              <w:t>n / a</w:t>
            </w:r>
          </w:p>
          <w:p w:rsidR="009061BE" w:rsidRPr="00F320D5" w:rsidRDefault="009061BE" w:rsidP="00D11F0A">
            <w:pPr>
              <w:pStyle w:val="TOC3"/>
              <w:rPr>
                <w:rFonts w:ascii="Garamond" w:hAnsi="Garamond"/>
                <w:sz w:val="16"/>
                <w:szCs w:val="16"/>
              </w:rPr>
            </w:pPr>
            <w:r w:rsidRPr="00F320D5">
              <w:rPr>
                <w:rFonts w:ascii="Garamond" w:hAnsi="Garamond"/>
                <w:sz w:val="16"/>
                <w:szCs w:val="16"/>
              </w:rPr>
              <w:t xml:space="preserve">The activities listed in the </w:t>
            </w:r>
            <w:r w:rsidR="00F320D5" w:rsidRPr="00F320D5">
              <w:rPr>
                <w:rFonts w:ascii="Garamond" w:hAnsi="Garamond"/>
                <w:sz w:val="16"/>
                <w:szCs w:val="16"/>
              </w:rPr>
              <w:t xml:space="preserve">Action Plan </w:t>
            </w:r>
            <w:r w:rsidRPr="00F320D5">
              <w:rPr>
                <w:rFonts w:ascii="Garamond" w:hAnsi="Garamond"/>
                <w:sz w:val="16"/>
                <w:szCs w:val="16"/>
              </w:rPr>
              <w:t>will start in 2019</w:t>
            </w:r>
          </w:p>
        </w:tc>
        <w:tc>
          <w:tcPr>
            <w:tcW w:w="1980" w:type="dxa"/>
            <w:vAlign w:val="center"/>
          </w:tcPr>
          <w:p w:rsidR="009061BE" w:rsidRPr="00F320D5" w:rsidRDefault="00944255" w:rsidP="00D11F0A">
            <w:pPr>
              <w:pStyle w:val="TOC3"/>
              <w:rPr>
                <w:rFonts w:ascii="Garamond" w:hAnsi="Garamond"/>
                <w:sz w:val="16"/>
                <w:szCs w:val="16"/>
              </w:rPr>
            </w:pPr>
            <w:r w:rsidRPr="00F320D5">
              <w:rPr>
                <w:rFonts w:ascii="Garamond" w:hAnsi="Garamond"/>
                <w:sz w:val="16"/>
                <w:szCs w:val="16"/>
              </w:rPr>
              <w:t>9</w:t>
            </w:r>
            <w:r w:rsidR="000A7C99" w:rsidRPr="00F320D5">
              <w:rPr>
                <w:rFonts w:ascii="Garamond" w:hAnsi="Garamond"/>
                <w:sz w:val="16"/>
                <w:szCs w:val="16"/>
              </w:rPr>
              <w:t>0% of deficiencies eliminated</w:t>
            </w:r>
          </w:p>
        </w:tc>
        <w:tc>
          <w:tcPr>
            <w:tcW w:w="1799" w:type="dxa"/>
            <w:vAlign w:val="center"/>
          </w:tcPr>
          <w:p w:rsidR="009061BE" w:rsidRPr="00F320D5" w:rsidRDefault="000A7C99" w:rsidP="00E72584">
            <w:pPr>
              <w:pStyle w:val="TabelaTekst"/>
              <w:spacing w:before="0" w:after="0" w:line="240" w:lineRule="auto"/>
              <w:jc w:val="center"/>
              <w:rPr>
                <w:rFonts w:ascii="Garamond" w:hAnsi="Garamond"/>
                <w:sz w:val="16"/>
                <w:szCs w:val="16"/>
              </w:rPr>
            </w:pPr>
            <w:r w:rsidRPr="00F320D5">
              <w:rPr>
                <w:rFonts w:ascii="Garamond" w:hAnsi="Garamond"/>
                <w:sz w:val="16"/>
                <w:szCs w:val="16"/>
                <w:lang w:val="en-GB"/>
              </w:rPr>
              <w:t>10</w:t>
            </w:r>
            <w:r w:rsidRPr="00F320D5">
              <w:rPr>
                <w:rFonts w:ascii="Garamond" w:hAnsi="Garamond"/>
                <w:sz w:val="16"/>
                <w:szCs w:val="16"/>
              </w:rPr>
              <w:t>0% of deficiencies eliminated</w:t>
            </w:r>
          </w:p>
        </w:tc>
      </w:tr>
    </w:tbl>
    <w:p w:rsidR="004D1343" w:rsidRPr="00C32887" w:rsidRDefault="004D1343" w:rsidP="004D1343">
      <w:pPr>
        <w:rPr>
          <w:rFonts w:ascii="Garamond" w:hAnsi="Garamond"/>
          <w:sz w:val="24"/>
          <w:szCs w:val="24"/>
        </w:rPr>
      </w:pPr>
    </w:p>
    <w:p w:rsidR="004D1343" w:rsidRPr="00C32887" w:rsidRDefault="004D1343" w:rsidP="000A7C99">
      <w:pPr>
        <w:pStyle w:val="Heading3"/>
        <w:rPr>
          <w:rFonts w:ascii="Garamond" w:hAnsi="Garamond"/>
          <w:sz w:val="24"/>
          <w:szCs w:val="24"/>
        </w:rPr>
      </w:pPr>
      <w:bookmarkStart w:id="90" w:name="_Toc77688267"/>
      <w:r w:rsidRPr="00C32887">
        <w:rPr>
          <w:rFonts w:ascii="Garamond" w:hAnsi="Garamond"/>
          <w:sz w:val="24"/>
          <w:szCs w:val="24"/>
        </w:rPr>
        <w:t>5.2.4      PERFORMANCE INDICATOR 40</w:t>
      </w:r>
      <w:r w:rsidR="000A7C99" w:rsidRPr="000A7C99">
        <w:rPr>
          <w:rFonts w:ascii="Garamond" w:hAnsi="Garamond"/>
          <w:sz w:val="24"/>
          <w:szCs w:val="24"/>
        </w:rPr>
        <w:t xml:space="preserve"> </w:t>
      </w:r>
      <w:r w:rsidR="000A7C99" w:rsidRPr="00C32887">
        <w:rPr>
          <w:rFonts w:ascii="Garamond" w:hAnsi="Garamond"/>
          <w:sz w:val="24"/>
          <w:szCs w:val="24"/>
        </w:rPr>
        <w:t>PASSPORT</w:t>
      </w:r>
      <w:bookmarkEnd w:id="90"/>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3057"/>
        <w:gridCol w:w="1980"/>
        <w:gridCol w:w="1799"/>
        <w:gridCol w:w="19"/>
      </w:tblGrid>
      <w:tr w:rsidR="000A7C99" w:rsidRPr="00434D94" w:rsidTr="00E72584">
        <w:trPr>
          <w:jc w:val="center"/>
        </w:trPr>
        <w:tc>
          <w:tcPr>
            <w:tcW w:w="2721" w:type="dxa"/>
            <w:tcBorders>
              <w:right w:val="single" w:sz="4" w:space="0" w:color="FFFFFF"/>
            </w:tcBorders>
            <w:shd w:val="clear" w:color="auto" w:fill="BFBFBF"/>
            <w:vAlign w:val="center"/>
          </w:tcPr>
          <w:p w:rsidR="000A7C99" w:rsidRPr="00434D94" w:rsidRDefault="000A7C99" w:rsidP="00E72584">
            <w:pPr>
              <w:autoSpaceDE/>
              <w:autoSpaceDN/>
              <w:rPr>
                <w:rFonts w:ascii="Garamond" w:eastAsia="Calibri" w:hAnsi="Garamond"/>
                <w:b/>
                <w:caps/>
                <w:sz w:val="16"/>
                <w:szCs w:val="16"/>
                <w:lang w:val="en-GB" w:eastAsia="en-US" w:bidi="ar-SA"/>
              </w:rPr>
            </w:pPr>
            <w:r w:rsidRPr="00434D94">
              <w:rPr>
                <w:rFonts w:ascii="Garamond" w:eastAsia="Calibri" w:hAnsi="Garamond"/>
                <w:b/>
                <w:caps/>
                <w:sz w:val="16"/>
                <w:szCs w:val="16"/>
                <w:lang w:val="en-GB" w:eastAsia="en-US" w:bidi="ar-SA"/>
              </w:rPr>
              <w:t>performance indicator</w:t>
            </w:r>
          </w:p>
        </w:tc>
        <w:tc>
          <w:tcPr>
            <w:tcW w:w="6855" w:type="dxa"/>
            <w:gridSpan w:val="4"/>
            <w:tcBorders>
              <w:left w:val="single" w:sz="4" w:space="0" w:color="FFFFFF"/>
            </w:tcBorders>
            <w:shd w:val="clear" w:color="auto" w:fill="BFBFBF"/>
            <w:vAlign w:val="center"/>
          </w:tcPr>
          <w:p w:rsidR="000A7C99" w:rsidRPr="00434D94" w:rsidRDefault="000A7C99" w:rsidP="00944255">
            <w:pPr>
              <w:pStyle w:val="Default"/>
              <w:jc w:val="both"/>
              <w:rPr>
                <w:rFonts w:ascii="Garamond" w:eastAsia="Calibri" w:hAnsi="Garamond"/>
                <w:b/>
                <w:sz w:val="16"/>
                <w:szCs w:val="16"/>
                <w:lang w:eastAsia="en-US"/>
              </w:rPr>
            </w:pPr>
            <w:r w:rsidRPr="00434D94">
              <w:rPr>
                <w:rFonts w:ascii="Garamond" w:hAnsi="Garamond"/>
                <w:iCs/>
                <w:sz w:val="16"/>
                <w:szCs w:val="16"/>
              </w:rPr>
              <w:t>Share of audits conduct</w:t>
            </w:r>
            <w:r w:rsidR="00944255" w:rsidRPr="00434D94">
              <w:rPr>
                <w:rFonts w:ascii="Garamond" w:hAnsi="Garamond"/>
                <w:iCs/>
                <w:sz w:val="16"/>
                <w:szCs w:val="16"/>
              </w:rPr>
              <w:t>ed</w:t>
            </w:r>
            <w:r w:rsidRPr="00434D94">
              <w:rPr>
                <w:rFonts w:ascii="Garamond" w:hAnsi="Garamond"/>
                <w:iCs/>
                <w:sz w:val="16"/>
                <w:szCs w:val="16"/>
              </w:rPr>
              <w:t xml:space="preserve"> by using the audit software tool</w:t>
            </w:r>
          </w:p>
        </w:tc>
      </w:tr>
      <w:tr w:rsidR="000A7C99" w:rsidRPr="00434D94" w:rsidTr="00E72584">
        <w:trPr>
          <w:gridAfter w:val="1"/>
          <w:wAfter w:w="19" w:type="dxa"/>
          <w:jc w:val="center"/>
        </w:trPr>
        <w:tc>
          <w:tcPr>
            <w:tcW w:w="2721" w:type="dxa"/>
            <w:vAlign w:val="center"/>
          </w:tcPr>
          <w:p w:rsidR="000A7C99" w:rsidRPr="00434D94" w:rsidRDefault="000A7C99" w:rsidP="006225A7">
            <w:pPr>
              <w:rPr>
                <w:rFonts w:ascii="Garamond" w:eastAsia="Calibri" w:hAnsi="Garamond"/>
                <w:b/>
                <w:caps/>
                <w:sz w:val="16"/>
                <w:szCs w:val="16"/>
                <w:lang w:val="en-GB" w:eastAsia="en-US" w:bidi="ar-SA"/>
              </w:rPr>
            </w:pPr>
            <w:r w:rsidRPr="00434D94">
              <w:rPr>
                <w:rFonts w:ascii="Garamond" w:eastAsia="Calibri" w:hAnsi="Garamond"/>
                <w:b/>
                <w:caps/>
                <w:sz w:val="16"/>
                <w:szCs w:val="16"/>
                <w:lang w:val="en-GB" w:eastAsia="en-US" w:bidi="ar-SA"/>
              </w:rPr>
              <w:t>corresponding objective or activity</w:t>
            </w:r>
          </w:p>
        </w:tc>
        <w:tc>
          <w:tcPr>
            <w:tcW w:w="6836" w:type="dxa"/>
            <w:gridSpan w:val="3"/>
            <w:vAlign w:val="center"/>
          </w:tcPr>
          <w:p w:rsidR="000A7C99" w:rsidRPr="00434D94" w:rsidRDefault="000A7C99" w:rsidP="006225A7">
            <w:pPr>
              <w:rPr>
                <w:rFonts w:ascii="Garamond" w:hAnsi="Garamond"/>
                <w:color w:val="365F91" w:themeColor="accent1" w:themeShade="BF"/>
                <w:sz w:val="16"/>
                <w:szCs w:val="16"/>
              </w:rPr>
            </w:pPr>
            <w:r w:rsidRPr="00434D94">
              <w:rPr>
                <w:rFonts w:ascii="Garamond" w:hAnsi="Garamond"/>
                <w:color w:val="365F91" w:themeColor="accent1" w:themeShade="BF"/>
                <w:sz w:val="16"/>
                <w:szCs w:val="16"/>
              </w:rPr>
              <w:t>Strengthening external audit capacities</w:t>
            </w:r>
          </w:p>
          <w:p w:rsidR="000A7C99" w:rsidRPr="00434D94" w:rsidRDefault="000A7C99" w:rsidP="006225A7">
            <w:pPr>
              <w:pStyle w:val="ListParagraph"/>
              <w:numPr>
                <w:ilvl w:val="0"/>
                <w:numId w:val="28"/>
              </w:numPr>
              <w:rPr>
                <w:rFonts w:ascii="Garamond" w:hAnsi="Garamond"/>
                <w:color w:val="365F91" w:themeColor="accent1" w:themeShade="BF"/>
                <w:sz w:val="16"/>
                <w:szCs w:val="16"/>
              </w:rPr>
            </w:pPr>
            <w:r w:rsidRPr="00434D94">
              <w:rPr>
                <w:rFonts w:ascii="Garamond" w:hAnsi="Garamond"/>
                <w:color w:val="365F91" w:themeColor="accent1" w:themeShade="BF"/>
                <w:sz w:val="16"/>
                <w:szCs w:val="16"/>
              </w:rPr>
              <w:t>Building capacities and improving audit procedure - Audit Authority</w:t>
            </w:r>
          </w:p>
          <w:p w:rsidR="000A7C99" w:rsidRPr="00434D94" w:rsidRDefault="000A7C99" w:rsidP="006225A7">
            <w:pPr>
              <w:rPr>
                <w:rFonts w:ascii="Garamond" w:hAnsi="Garamond"/>
                <w:color w:val="365F91" w:themeColor="accent1" w:themeShade="BF"/>
                <w:sz w:val="16"/>
                <w:szCs w:val="16"/>
              </w:rPr>
            </w:pPr>
          </w:p>
        </w:tc>
      </w:tr>
      <w:tr w:rsidR="000A7C99" w:rsidRPr="00434D94" w:rsidTr="00E72584">
        <w:trPr>
          <w:gridAfter w:val="1"/>
          <w:wAfter w:w="19" w:type="dxa"/>
          <w:jc w:val="center"/>
        </w:trPr>
        <w:tc>
          <w:tcPr>
            <w:tcW w:w="2721" w:type="dxa"/>
            <w:vAlign w:val="center"/>
          </w:tcPr>
          <w:p w:rsidR="000A7C99" w:rsidRPr="00434D94" w:rsidRDefault="000A7C99" w:rsidP="00E72584">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SOURCE OF DATA FOR MONITORING PERFORMANCE INDICATORS</w:t>
            </w:r>
          </w:p>
        </w:tc>
        <w:tc>
          <w:tcPr>
            <w:tcW w:w="6836" w:type="dxa"/>
            <w:gridSpan w:val="3"/>
            <w:vAlign w:val="center"/>
          </w:tcPr>
          <w:p w:rsidR="000A7C99" w:rsidRPr="00434D94" w:rsidRDefault="000A7C99" w:rsidP="00E72584">
            <w:pPr>
              <w:pStyle w:val="TabelaTekst"/>
              <w:spacing w:before="0" w:after="0" w:line="240" w:lineRule="auto"/>
              <w:rPr>
                <w:rFonts w:ascii="Garamond" w:hAnsi="Garamond"/>
                <w:sz w:val="16"/>
                <w:szCs w:val="16"/>
              </w:rPr>
            </w:pPr>
            <w:r w:rsidRPr="00434D94">
              <w:rPr>
                <w:rFonts w:ascii="Garamond" w:hAnsi="Garamond"/>
                <w:sz w:val="16"/>
                <w:szCs w:val="16"/>
              </w:rPr>
              <w:t>Individual audit engagement reports - Internal documents</w:t>
            </w:r>
          </w:p>
        </w:tc>
      </w:tr>
      <w:tr w:rsidR="000A7C99" w:rsidRPr="00434D94" w:rsidTr="00E72584">
        <w:trPr>
          <w:gridAfter w:val="1"/>
          <w:wAfter w:w="19" w:type="dxa"/>
          <w:jc w:val="center"/>
        </w:trPr>
        <w:tc>
          <w:tcPr>
            <w:tcW w:w="2721" w:type="dxa"/>
            <w:vAlign w:val="center"/>
          </w:tcPr>
          <w:p w:rsidR="000A7C99" w:rsidRPr="00434D94" w:rsidRDefault="000A7C99" w:rsidP="00E72584">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NAME OF DATA COLLECTION HOLDER</w:t>
            </w:r>
          </w:p>
        </w:tc>
        <w:tc>
          <w:tcPr>
            <w:tcW w:w="6836" w:type="dxa"/>
            <w:gridSpan w:val="3"/>
            <w:vAlign w:val="center"/>
          </w:tcPr>
          <w:p w:rsidR="000A7C99" w:rsidRPr="00434D94" w:rsidRDefault="000A7C99" w:rsidP="00E72584">
            <w:pPr>
              <w:rPr>
                <w:rFonts w:ascii="Garamond" w:hAnsi="Garamond"/>
                <w:sz w:val="16"/>
                <w:szCs w:val="16"/>
              </w:rPr>
            </w:pPr>
            <w:r w:rsidRPr="00434D94">
              <w:rPr>
                <w:rFonts w:ascii="Garamond" w:hAnsi="Garamond"/>
                <w:sz w:val="16"/>
                <w:szCs w:val="16"/>
              </w:rPr>
              <w:t xml:space="preserve">Audit authority </w:t>
            </w:r>
          </w:p>
          <w:p w:rsidR="000A7C99" w:rsidRPr="00434D94" w:rsidRDefault="000A7C99" w:rsidP="00E72584">
            <w:pPr>
              <w:rPr>
                <w:rFonts w:ascii="Garamond" w:hAnsi="Garamond"/>
                <w:sz w:val="16"/>
                <w:szCs w:val="16"/>
              </w:rPr>
            </w:pPr>
            <w:r w:rsidRPr="00434D94">
              <w:rPr>
                <w:rFonts w:ascii="Garamond" w:hAnsi="Garamond"/>
                <w:sz w:val="16"/>
                <w:szCs w:val="16"/>
              </w:rPr>
              <w:t>Radmila Prelević, Certified Auditor</w:t>
            </w:r>
          </w:p>
          <w:p w:rsidR="00944255" w:rsidRPr="00434D94" w:rsidRDefault="000A7C99" w:rsidP="00E72584">
            <w:pPr>
              <w:rPr>
                <w:rFonts w:ascii="Garamond" w:hAnsi="Garamond"/>
                <w:sz w:val="16"/>
                <w:szCs w:val="16"/>
              </w:rPr>
            </w:pPr>
            <w:r w:rsidRPr="00434D94">
              <w:rPr>
                <w:rFonts w:ascii="Garamond" w:hAnsi="Garamond"/>
                <w:sz w:val="16"/>
                <w:szCs w:val="16"/>
              </w:rPr>
              <w:t xml:space="preserve">radmila.prelevic @ revizorskotijelo.me </w:t>
            </w:r>
          </w:p>
          <w:p w:rsidR="000A7C99" w:rsidRPr="00434D94" w:rsidRDefault="000A7C99" w:rsidP="00E72584">
            <w:pPr>
              <w:rPr>
                <w:rFonts w:ascii="Garamond" w:eastAsia="Calibri" w:hAnsi="Garamond"/>
                <w:sz w:val="16"/>
                <w:szCs w:val="16"/>
                <w:lang w:eastAsia="en-US" w:bidi="ar-SA"/>
              </w:rPr>
            </w:pPr>
            <w:r w:rsidRPr="00434D94">
              <w:rPr>
                <w:rFonts w:ascii="Garamond" w:hAnsi="Garamond"/>
                <w:sz w:val="16"/>
                <w:szCs w:val="16"/>
              </w:rPr>
              <w:t>Phone: 067 223 252</w:t>
            </w:r>
          </w:p>
        </w:tc>
      </w:tr>
      <w:tr w:rsidR="000A7C99" w:rsidRPr="00434D94" w:rsidTr="00E72584">
        <w:trPr>
          <w:gridAfter w:val="1"/>
          <w:wAfter w:w="19" w:type="dxa"/>
          <w:jc w:val="center"/>
        </w:trPr>
        <w:tc>
          <w:tcPr>
            <w:tcW w:w="2721" w:type="dxa"/>
            <w:vAlign w:val="center"/>
          </w:tcPr>
          <w:p w:rsidR="000A7C99" w:rsidRPr="00434D94" w:rsidRDefault="000A7C99" w:rsidP="00E72584">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FREQUENCY OF DATA PUBLICATION</w:t>
            </w:r>
          </w:p>
        </w:tc>
        <w:tc>
          <w:tcPr>
            <w:tcW w:w="6836" w:type="dxa"/>
            <w:gridSpan w:val="3"/>
            <w:vAlign w:val="center"/>
          </w:tcPr>
          <w:p w:rsidR="000A7C99" w:rsidRPr="00434D94" w:rsidRDefault="00944255" w:rsidP="00E72584">
            <w:pPr>
              <w:rPr>
                <w:rFonts w:ascii="Garamond" w:eastAsia="Calibri" w:hAnsi="Garamond"/>
                <w:sz w:val="16"/>
                <w:szCs w:val="16"/>
                <w:lang w:eastAsia="en-US" w:bidi="ar-SA"/>
              </w:rPr>
            </w:pPr>
            <w:r w:rsidRPr="00434D94">
              <w:rPr>
                <w:rFonts w:ascii="Garamond" w:eastAsia="Calibri" w:hAnsi="Garamond"/>
                <w:sz w:val="16"/>
                <w:szCs w:val="16"/>
                <w:lang w:eastAsia="en-US" w:bidi="ar-SA"/>
              </w:rPr>
              <w:t>Q2</w:t>
            </w:r>
            <w:r w:rsidR="008120C1" w:rsidRPr="00434D94">
              <w:rPr>
                <w:rFonts w:ascii="Garamond" w:eastAsia="Calibri" w:hAnsi="Garamond"/>
                <w:sz w:val="16"/>
                <w:szCs w:val="16"/>
                <w:lang w:eastAsia="en-US" w:bidi="ar-SA"/>
              </w:rPr>
              <w:t xml:space="preserve"> of the N year for the previous year</w:t>
            </w:r>
          </w:p>
        </w:tc>
      </w:tr>
      <w:tr w:rsidR="000A7C99" w:rsidRPr="00434D94" w:rsidTr="00E72584">
        <w:trPr>
          <w:gridAfter w:val="1"/>
          <w:wAfter w:w="19" w:type="dxa"/>
          <w:trHeight w:val="458"/>
          <w:jc w:val="center"/>
        </w:trPr>
        <w:tc>
          <w:tcPr>
            <w:tcW w:w="2721" w:type="dxa"/>
            <w:vMerge w:val="restart"/>
            <w:vAlign w:val="center"/>
          </w:tcPr>
          <w:p w:rsidR="000A7C99" w:rsidRPr="00434D94" w:rsidRDefault="000A7C99" w:rsidP="00E72584">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 xml:space="preserve">BRIEF DESCRIPTION </w:t>
            </w:r>
            <w:r w:rsidRPr="00434D94">
              <w:rPr>
                <w:rFonts w:ascii="Garamond" w:eastAsia="Calibri" w:hAnsi="Garamond"/>
                <w:b/>
                <w:caps/>
                <w:sz w:val="16"/>
                <w:szCs w:val="16"/>
                <w:lang w:val="en-GB" w:eastAsia="en-US" w:bidi="ar-SA"/>
              </w:rPr>
              <w:t xml:space="preserve">OF </w:t>
            </w:r>
            <w:r w:rsidRPr="00434D94">
              <w:rPr>
                <w:rFonts w:ascii="Garamond" w:eastAsia="Calibri" w:hAnsi="Garamond"/>
                <w:b/>
                <w:caps/>
                <w:sz w:val="16"/>
                <w:szCs w:val="16"/>
                <w:lang w:val="uz-Cyrl-UZ" w:eastAsia="en-US" w:bidi="ar-SA"/>
              </w:rPr>
              <w:t>PERFORMANCE INDICATOR AND METHODOLOGY (FORMULAS / EQUATIONS)</w:t>
            </w:r>
          </w:p>
        </w:tc>
        <w:tc>
          <w:tcPr>
            <w:tcW w:w="6836" w:type="dxa"/>
            <w:gridSpan w:val="3"/>
            <w:vAlign w:val="center"/>
          </w:tcPr>
          <w:p w:rsidR="000A7C99" w:rsidRPr="00434D94" w:rsidRDefault="008120C1" w:rsidP="00E72584">
            <w:pPr>
              <w:jc w:val="both"/>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The use of audit software is required for more efficient audits. The performance indicator is measured by the percentage of software used in the audit in the total number of audits conducted.</w:t>
            </w:r>
          </w:p>
        </w:tc>
      </w:tr>
      <w:tr w:rsidR="000A7C99" w:rsidRPr="00434D94" w:rsidTr="00E72584">
        <w:trPr>
          <w:gridAfter w:val="1"/>
          <w:wAfter w:w="19" w:type="dxa"/>
          <w:trHeight w:val="620"/>
          <w:jc w:val="center"/>
        </w:trPr>
        <w:tc>
          <w:tcPr>
            <w:tcW w:w="2721" w:type="dxa"/>
            <w:vMerge/>
            <w:shd w:val="clear" w:color="auto" w:fill="auto"/>
            <w:vAlign w:val="center"/>
          </w:tcPr>
          <w:p w:rsidR="000A7C99" w:rsidRPr="00434D94" w:rsidRDefault="000A7C99" w:rsidP="00E72584">
            <w:pPr>
              <w:autoSpaceDE/>
              <w:autoSpaceDN/>
              <w:rPr>
                <w:rFonts w:ascii="Garamond" w:eastAsia="Calibri" w:hAnsi="Garamond"/>
                <w:b/>
                <w:i/>
                <w:caps/>
                <w:sz w:val="16"/>
                <w:szCs w:val="16"/>
                <w:lang w:val="uz-Cyrl-UZ" w:eastAsia="en-US" w:bidi="ar-SA"/>
              </w:rPr>
            </w:pPr>
          </w:p>
        </w:tc>
        <w:tc>
          <w:tcPr>
            <w:tcW w:w="6836" w:type="dxa"/>
            <w:gridSpan w:val="3"/>
            <w:shd w:val="clear" w:color="auto" w:fill="BFBFBF"/>
            <w:vAlign w:val="center"/>
          </w:tcPr>
          <w:p w:rsidR="000A7C99" w:rsidRPr="00434D94" w:rsidRDefault="000A7C99" w:rsidP="00E72584">
            <w:pPr>
              <w:jc w:val="center"/>
              <w:rPr>
                <w:rFonts w:ascii="Garamond" w:hAnsi="Garamond"/>
                <w:color w:val="365F91" w:themeColor="accent1" w:themeShade="BF"/>
                <w:sz w:val="16"/>
                <w:szCs w:val="16"/>
                <w:lang w:val="uz-Cyrl-UZ"/>
              </w:rPr>
            </w:pPr>
            <w:r w:rsidRPr="00434D94">
              <w:rPr>
                <w:rFonts w:ascii="Garamond" w:hAnsi="Garamond"/>
                <w:color w:val="365F91" w:themeColor="accent1" w:themeShade="BF"/>
                <w:sz w:val="16"/>
                <w:szCs w:val="16"/>
                <w:lang w:val="uz-Cyrl-UZ"/>
              </w:rPr>
              <w:t>FORMULA / EQUATION</w:t>
            </w:r>
          </w:p>
          <w:p w:rsidR="000A7C99" w:rsidRPr="00434D94" w:rsidRDefault="008120C1" w:rsidP="00E72584">
            <w:pPr>
              <w:jc w:val="center"/>
              <w:rPr>
                <w:rFonts w:ascii="Garamond" w:eastAsia="Calibri" w:hAnsi="Garamond"/>
                <w:sz w:val="16"/>
                <w:szCs w:val="16"/>
                <w:lang w:val="en-GB" w:eastAsia="en-US" w:bidi="ar-SA"/>
              </w:rPr>
            </w:pPr>
            <w:r w:rsidRPr="00434D94">
              <w:rPr>
                <w:rFonts w:ascii="Garamond" w:eastAsia="Calibri" w:hAnsi="Garamond"/>
                <w:sz w:val="16"/>
                <w:szCs w:val="16"/>
                <w:lang w:val="en-GB" w:eastAsia="en-US" w:bidi="ar-SA"/>
              </w:rPr>
              <w:t>Number of audits (during the calendar year) performed using audit software / Total number of audits during the calendar year X 100</w:t>
            </w:r>
          </w:p>
        </w:tc>
      </w:tr>
      <w:tr w:rsidR="000A7C99" w:rsidRPr="00434D94" w:rsidTr="00E72584">
        <w:trPr>
          <w:gridAfter w:val="1"/>
          <w:wAfter w:w="19" w:type="dxa"/>
          <w:trHeight w:val="585"/>
          <w:jc w:val="center"/>
        </w:trPr>
        <w:tc>
          <w:tcPr>
            <w:tcW w:w="2721" w:type="dxa"/>
            <w:vAlign w:val="center"/>
          </w:tcPr>
          <w:p w:rsidR="000A7C99" w:rsidRPr="00434D94" w:rsidRDefault="000A7C99" w:rsidP="00E72584">
            <w:pPr>
              <w:autoSpaceDE/>
              <w:autoSpaceDN/>
              <w:rPr>
                <w:rFonts w:ascii="Garamond" w:eastAsia="Calibri" w:hAnsi="Garamond"/>
                <w:b/>
                <w:bCs/>
                <w:caps/>
                <w:sz w:val="16"/>
                <w:szCs w:val="16"/>
                <w:lang w:val="en-GB" w:eastAsia="en-US" w:bidi="ar-SA"/>
              </w:rPr>
            </w:pPr>
            <w:r w:rsidRPr="00434D94">
              <w:rPr>
                <w:rFonts w:ascii="Garamond" w:eastAsia="Calibri" w:hAnsi="Garamond"/>
                <w:b/>
                <w:caps/>
                <w:sz w:val="16"/>
                <w:szCs w:val="16"/>
                <w:lang w:val="uz-Cyrl-UZ" w:eastAsia="en-US" w:bidi="ar-SA"/>
              </w:rPr>
              <w:t>BASELINE</w:t>
            </w:r>
            <w:r w:rsidRPr="00434D94">
              <w:rPr>
                <w:rFonts w:ascii="Garamond" w:eastAsia="Calibri" w:hAnsi="Garamond"/>
                <w:b/>
                <w:caps/>
                <w:sz w:val="16"/>
                <w:szCs w:val="16"/>
                <w:lang w:val="en-GB" w:eastAsia="en-US" w:bidi="ar-SA"/>
              </w:rPr>
              <w:t xml:space="preserve"> DATA</w:t>
            </w:r>
          </w:p>
        </w:tc>
        <w:tc>
          <w:tcPr>
            <w:tcW w:w="6836" w:type="dxa"/>
            <w:gridSpan w:val="3"/>
            <w:vAlign w:val="center"/>
          </w:tcPr>
          <w:p w:rsidR="000A7C99" w:rsidRPr="00434D94" w:rsidRDefault="000A7C99" w:rsidP="008120C1">
            <w:pPr>
              <w:pStyle w:val="TabelaTekst"/>
              <w:rPr>
                <w:rFonts w:ascii="Garamond" w:hAnsi="Garamond"/>
                <w:sz w:val="16"/>
                <w:szCs w:val="16"/>
                <w:lang w:val="en-GB"/>
              </w:rPr>
            </w:pPr>
            <w:r w:rsidRPr="00434D94">
              <w:rPr>
                <w:rFonts w:ascii="Garamond" w:hAnsi="Garamond"/>
                <w:sz w:val="16"/>
                <w:szCs w:val="16"/>
              </w:rPr>
              <w:t xml:space="preserve">PV (2014): </w:t>
            </w:r>
            <w:r w:rsidR="008120C1" w:rsidRPr="00434D94">
              <w:rPr>
                <w:rFonts w:ascii="Garamond" w:hAnsi="Garamond"/>
                <w:sz w:val="16"/>
                <w:szCs w:val="16"/>
                <w:lang w:val="en-GB"/>
              </w:rPr>
              <w:t>n/a</w:t>
            </w:r>
          </w:p>
        </w:tc>
      </w:tr>
      <w:tr w:rsidR="000A7C99" w:rsidRPr="00434D94" w:rsidTr="00E72584">
        <w:trPr>
          <w:gridAfter w:val="1"/>
          <w:wAfter w:w="19" w:type="dxa"/>
          <w:trHeight w:val="160"/>
          <w:jc w:val="center"/>
        </w:trPr>
        <w:tc>
          <w:tcPr>
            <w:tcW w:w="2721" w:type="dxa"/>
            <w:vMerge w:val="restart"/>
            <w:vAlign w:val="center"/>
          </w:tcPr>
          <w:p w:rsidR="000A7C99" w:rsidRPr="00434D94" w:rsidRDefault="000A7C99" w:rsidP="00E72584">
            <w:pPr>
              <w:autoSpaceDE/>
              <w:autoSpaceDN/>
              <w:rPr>
                <w:rFonts w:ascii="Garamond" w:eastAsia="Calibri" w:hAnsi="Garamond"/>
                <w:b/>
                <w:bCs/>
                <w:caps/>
                <w:sz w:val="16"/>
                <w:szCs w:val="16"/>
                <w:lang w:val="uz-Cyrl-UZ" w:eastAsia="en-US" w:bidi="ar-SA"/>
              </w:rPr>
            </w:pPr>
            <w:r w:rsidRPr="00434D94">
              <w:rPr>
                <w:rFonts w:ascii="Garamond" w:eastAsia="Calibri" w:hAnsi="Garamond"/>
                <w:b/>
                <w:caps/>
                <w:sz w:val="16"/>
                <w:szCs w:val="16"/>
                <w:lang w:val="uz-Cyrl-UZ" w:eastAsia="en-US" w:bidi="ar-SA"/>
              </w:rPr>
              <w:t>TARGET VALUE DATA</w:t>
            </w:r>
          </w:p>
        </w:tc>
        <w:tc>
          <w:tcPr>
            <w:tcW w:w="3057" w:type="dxa"/>
            <w:vAlign w:val="center"/>
          </w:tcPr>
          <w:p w:rsidR="000A7C99" w:rsidRPr="00434D94" w:rsidRDefault="000A7C99" w:rsidP="00E72584">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2018</w:t>
            </w:r>
          </w:p>
        </w:tc>
        <w:tc>
          <w:tcPr>
            <w:tcW w:w="1980" w:type="dxa"/>
            <w:vAlign w:val="center"/>
          </w:tcPr>
          <w:p w:rsidR="000A7C99" w:rsidRPr="00434D94" w:rsidRDefault="000A7C99" w:rsidP="00E72584">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2019</w:t>
            </w:r>
          </w:p>
        </w:tc>
        <w:tc>
          <w:tcPr>
            <w:tcW w:w="1799" w:type="dxa"/>
            <w:vAlign w:val="center"/>
          </w:tcPr>
          <w:p w:rsidR="000A7C99" w:rsidRPr="00434D94" w:rsidRDefault="000A7C99" w:rsidP="00E72584">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2020</w:t>
            </w:r>
          </w:p>
        </w:tc>
      </w:tr>
      <w:tr w:rsidR="000A7C99" w:rsidRPr="00434D94" w:rsidTr="00E72584">
        <w:trPr>
          <w:gridAfter w:val="1"/>
          <w:wAfter w:w="19" w:type="dxa"/>
          <w:trHeight w:val="160"/>
          <w:jc w:val="center"/>
        </w:trPr>
        <w:tc>
          <w:tcPr>
            <w:tcW w:w="2721" w:type="dxa"/>
            <w:vMerge/>
            <w:vAlign w:val="center"/>
          </w:tcPr>
          <w:p w:rsidR="000A7C99" w:rsidRPr="00434D94" w:rsidRDefault="000A7C99" w:rsidP="00E72584">
            <w:pPr>
              <w:autoSpaceDE/>
              <w:autoSpaceDN/>
              <w:rPr>
                <w:rFonts w:ascii="Garamond" w:eastAsia="Calibri" w:hAnsi="Garamond"/>
                <w:b/>
                <w:bCs/>
                <w:caps/>
                <w:sz w:val="16"/>
                <w:szCs w:val="16"/>
                <w:lang w:val="uz-Cyrl-UZ" w:eastAsia="en-US" w:bidi="ar-SA"/>
              </w:rPr>
            </w:pPr>
          </w:p>
        </w:tc>
        <w:tc>
          <w:tcPr>
            <w:tcW w:w="3057" w:type="dxa"/>
            <w:vAlign w:val="center"/>
          </w:tcPr>
          <w:p w:rsidR="000A7C99" w:rsidRPr="00434D94" w:rsidRDefault="000A7C99" w:rsidP="00E72584">
            <w:pPr>
              <w:pStyle w:val="TabelaTekst"/>
              <w:jc w:val="center"/>
              <w:rPr>
                <w:rFonts w:ascii="Garamond" w:hAnsi="Garamond"/>
                <w:sz w:val="16"/>
                <w:szCs w:val="16"/>
              </w:rPr>
            </w:pPr>
            <w:r w:rsidRPr="00434D94">
              <w:rPr>
                <w:rFonts w:ascii="Garamond" w:hAnsi="Garamond"/>
                <w:sz w:val="16"/>
                <w:szCs w:val="16"/>
              </w:rPr>
              <w:t>n / a</w:t>
            </w:r>
          </w:p>
          <w:p w:rsidR="000A7C99" w:rsidRPr="00434D94" w:rsidRDefault="000A7C99" w:rsidP="00E72584">
            <w:pPr>
              <w:pStyle w:val="TabelaTekst"/>
              <w:spacing w:before="0" w:after="0" w:line="240" w:lineRule="auto"/>
              <w:jc w:val="center"/>
              <w:rPr>
                <w:rFonts w:ascii="Garamond" w:hAnsi="Garamond"/>
                <w:sz w:val="16"/>
                <w:szCs w:val="16"/>
              </w:rPr>
            </w:pPr>
            <w:r w:rsidRPr="00434D94">
              <w:rPr>
                <w:rFonts w:ascii="Garamond" w:hAnsi="Garamond"/>
                <w:sz w:val="16"/>
                <w:szCs w:val="16"/>
              </w:rPr>
              <w:t xml:space="preserve">The activities listed in the </w:t>
            </w:r>
            <w:r w:rsidR="00434D94" w:rsidRPr="00434D94">
              <w:rPr>
                <w:rFonts w:ascii="Garamond" w:hAnsi="Garamond"/>
                <w:sz w:val="16"/>
                <w:szCs w:val="16"/>
              </w:rPr>
              <w:t xml:space="preserve">Action Plan </w:t>
            </w:r>
            <w:r w:rsidRPr="00434D94">
              <w:rPr>
                <w:rFonts w:ascii="Garamond" w:hAnsi="Garamond"/>
                <w:sz w:val="16"/>
                <w:szCs w:val="16"/>
              </w:rPr>
              <w:t>will start in 2019</w:t>
            </w:r>
          </w:p>
        </w:tc>
        <w:tc>
          <w:tcPr>
            <w:tcW w:w="1980" w:type="dxa"/>
            <w:vAlign w:val="center"/>
          </w:tcPr>
          <w:p w:rsidR="008120C1" w:rsidRPr="00434D94" w:rsidRDefault="008120C1" w:rsidP="008120C1">
            <w:pPr>
              <w:pStyle w:val="TabelaTekst"/>
              <w:jc w:val="center"/>
              <w:rPr>
                <w:rFonts w:ascii="Garamond" w:hAnsi="Garamond"/>
                <w:sz w:val="16"/>
                <w:szCs w:val="16"/>
              </w:rPr>
            </w:pPr>
            <w:r w:rsidRPr="00434D94">
              <w:rPr>
                <w:rFonts w:ascii="Garamond" w:hAnsi="Garamond"/>
                <w:sz w:val="16"/>
                <w:szCs w:val="16"/>
              </w:rPr>
              <w:t>20%</w:t>
            </w:r>
          </w:p>
          <w:p w:rsidR="000A7C99" w:rsidRPr="00434D94" w:rsidRDefault="001548E3" w:rsidP="008120C1">
            <w:pPr>
              <w:pStyle w:val="TabelaTekst"/>
              <w:spacing w:before="0" w:after="0" w:line="240" w:lineRule="auto"/>
              <w:jc w:val="center"/>
              <w:rPr>
                <w:rFonts w:ascii="Garamond" w:hAnsi="Garamond"/>
                <w:sz w:val="16"/>
                <w:szCs w:val="16"/>
              </w:rPr>
            </w:pPr>
            <w:r w:rsidRPr="00434D94">
              <w:rPr>
                <w:rFonts w:ascii="Garamond" w:hAnsi="Garamond"/>
                <w:sz w:val="16"/>
                <w:szCs w:val="16"/>
              </w:rPr>
              <w:t>Audit</w:t>
            </w:r>
            <w:r w:rsidRPr="00434D94">
              <w:rPr>
                <w:rFonts w:ascii="Garamond" w:hAnsi="Garamond"/>
                <w:sz w:val="16"/>
                <w:szCs w:val="16"/>
                <w:lang w:val="en-GB"/>
              </w:rPr>
              <w:t>s</w:t>
            </w:r>
            <w:r w:rsidRPr="00434D94">
              <w:rPr>
                <w:rFonts w:ascii="Garamond" w:hAnsi="Garamond"/>
                <w:sz w:val="16"/>
                <w:szCs w:val="16"/>
              </w:rPr>
              <w:t xml:space="preserve"> </w:t>
            </w:r>
            <w:r w:rsidR="008120C1" w:rsidRPr="00434D94">
              <w:rPr>
                <w:rFonts w:ascii="Garamond" w:hAnsi="Garamond"/>
                <w:sz w:val="16"/>
                <w:szCs w:val="16"/>
              </w:rPr>
              <w:t>conducted using software</w:t>
            </w:r>
          </w:p>
        </w:tc>
        <w:tc>
          <w:tcPr>
            <w:tcW w:w="1799" w:type="dxa"/>
            <w:vAlign w:val="center"/>
          </w:tcPr>
          <w:p w:rsidR="008120C1" w:rsidRPr="00434D94" w:rsidRDefault="008120C1" w:rsidP="008120C1">
            <w:pPr>
              <w:pStyle w:val="TabelaTekst"/>
              <w:jc w:val="center"/>
              <w:rPr>
                <w:rFonts w:ascii="Garamond" w:hAnsi="Garamond"/>
                <w:sz w:val="16"/>
                <w:szCs w:val="16"/>
                <w:lang w:val="en-GB"/>
              </w:rPr>
            </w:pPr>
            <w:r w:rsidRPr="00434D94">
              <w:rPr>
                <w:rFonts w:ascii="Garamond" w:hAnsi="Garamond"/>
                <w:sz w:val="16"/>
                <w:szCs w:val="16"/>
                <w:lang w:val="en-GB"/>
              </w:rPr>
              <w:t>50%</w:t>
            </w:r>
          </w:p>
          <w:p w:rsidR="000A7C99" w:rsidRPr="00434D94" w:rsidRDefault="001548E3" w:rsidP="008120C1">
            <w:pPr>
              <w:pStyle w:val="TabelaTekst"/>
              <w:spacing w:before="0" w:after="0" w:line="240" w:lineRule="auto"/>
              <w:jc w:val="center"/>
              <w:rPr>
                <w:rFonts w:ascii="Garamond" w:hAnsi="Garamond"/>
                <w:sz w:val="16"/>
                <w:szCs w:val="16"/>
              </w:rPr>
            </w:pPr>
            <w:r w:rsidRPr="00434D94">
              <w:rPr>
                <w:rFonts w:ascii="Garamond" w:hAnsi="Garamond"/>
                <w:sz w:val="16"/>
                <w:szCs w:val="16"/>
                <w:lang w:val="en-GB"/>
              </w:rPr>
              <w:t xml:space="preserve">Audits </w:t>
            </w:r>
            <w:r w:rsidR="008120C1" w:rsidRPr="00434D94">
              <w:rPr>
                <w:rFonts w:ascii="Garamond" w:hAnsi="Garamond"/>
                <w:sz w:val="16"/>
                <w:szCs w:val="16"/>
                <w:lang w:val="en-GB"/>
              </w:rPr>
              <w:t>conducted using software</w:t>
            </w:r>
          </w:p>
        </w:tc>
      </w:tr>
      <w:tr w:rsidR="000A7C99" w:rsidRPr="00434D94" w:rsidTr="00E72584">
        <w:trPr>
          <w:gridAfter w:val="1"/>
          <w:wAfter w:w="19" w:type="dxa"/>
          <w:trHeight w:val="160"/>
          <w:jc w:val="center"/>
        </w:trPr>
        <w:tc>
          <w:tcPr>
            <w:tcW w:w="2721" w:type="dxa"/>
            <w:vAlign w:val="center"/>
          </w:tcPr>
          <w:p w:rsidR="000A7C99" w:rsidRPr="00434D94" w:rsidRDefault="0062456A" w:rsidP="00E72584">
            <w:pPr>
              <w:autoSpaceDE/>
              <w:autoSpaceDN/>
              <w:rPr>
                <w:rFonts w:ascii="Garamond" w:eastAsia="Calibri" w:hAnsi="Garamond"/>
                <w:b/>
                <w:bCs/>
                <w:caps/>
                <w:sz w:val="16"/>
                <w:szCs w:val="16"/>
                <w:lang w:val="uz-Cyrl-UZ" w:eastAsia="en-US" w:bidi="ar-SA"/>
              </w:rPr>
            </w:pPr>
            <w:r w:rsidRPr="00434D94">
              <w:rPr>
                <w:rFonts w:ascii="Garamond" w:eastAsia="Calibri" w:hAnsi="Garamond"/>
                <w:b/>
                <w:bCs/>
                <w:caps/>
                <w:sz w:val="16"/>
                <w:szCs w:val="16"/>
                <w:lang w:val="uz-Cyrl-UZ" w:eastAsia="en-US" w:bidi="ar-SA"/>
              </w:rPr>
              <w:t>DATA ON VALUES ACHIEVED</w:t>
            </w:r>
          </w:p>
        </w:tc>
        <w:tc>
          <w:tcPr>
            <w:tcW w:w="3057" w:type="dxa"/>
            <w:vAlign w:val="center"/>
          </w:tcPr>
          <w:p w:rsidR="000A7C99" w:rsidRPr="00434D94" w:rsidRDefault="000A7C99" w:rsidP="00D11F0A">
            <w:pPr>
              <w:pStyle w:val="TOC3"/>
              <w:rPr>
                <w:rFonts w:ascii="Garamond" w:hAnsi="Garamond"/>
                <w:sz w:val="16"/>
                <w:szCs w:val="16"/>
              </w:rPr>
            </w:pPr>
            <w:r w:rsidRPr="00434D94">
              <w:rPr>
                <w:rFonts w:ascii="Garamond" w:hAnsi="Garamond"/>
                <w:sz w:val="16"/>
                <w:szCs w:val="16"/>
              </w:rPr>
              <w:t>n / a</w:t>
            </w:r>
          </w:p>
          <w:p w:rsidR="000A7C99" w:rsidRPr="00434D94" w:rsidRDefault="000A7C99" w:rsidP="00D11F0A">
            <w:pPr>
              <w:pStyle w:val="TOC3"/>
              <w:rPr>
                <w:rFonts w:ascii="Garamond" w:hAnsi="Garamond"/>
                <w:sz w:val="16"/>
                <w:szCs w:val="16"/>
              </w:rPr>
            </w:pPr>
            <w:r w:rsidRPr="00434D94">
              <w:rPr>
                <w:rFonts w:ascii="Garamond" w:hAnsi="Garamond"/>
                <w:sz w:val="16"/>
                <w:szCs w:val="16"/>
              </w:rPr>
              <w:t xml:space="preserve">The activities listed in the </w:t>
            </w:r>
            <w:r w:rsidR="00434D94" w:rsidRPr="00434D94">
              <w:rPr>
                <w:rFonts w:ascii="Garamond" w:hAnsi="Garamond"/>
                <w:sz w:val="16"/>
                <w:szCs w:val="16"/>
              </w:rPr>
              <w:t xml:space="preserve">Action Plan </w:t>
            </w:r>
            <w:r w:rsidRPr="00434D94">
              <w:rPr>
                <w:rFonts w:ascii="Garamond" w:hAnsi="Garamond"/>
                <w:sz w:val="16"/>
                <w:szCs w:val="16"/>
              </w:rPr>
              <w:t>will start in 2019</w:t>
            </w:r>
          </w:p>
        </w:tc>
        <w:tc>
          <w:tcPr>
            <w:tcW w:w="1980" w:type="dxa"/>
            <w:vAlign w:val="center"/>
          </w:tcPr>
          <w:p w:rsidR="008120C1" w:rsidRPr="00434D94" w:rsidRDefault="008120C1" w:rsidP="00D11F0A">
            <w:pPr>
              <w:pStyle w:val="TOC3"/>
              <w:rPr>
                <w:rFonts w:ascii="Garamond" w:hAnsi="Garamond"/>
                <w:sz w:val="16"/>
                <w:szCs w:val="16"/>
              </w:rPr>
            </w:pPr>
            <w:r w:rsidRPr="00434D94">
              <w:rPr>
                <w:rFonts w:ascii="Garamond" w:hAnsi="Garamond"/>
                <w:sz w:val="16"/>
                <w:szCs w:val="16"/>
              </w:rPr>
              <w:t>33.33%</w:t>
            </w:r>
          </w:p>
          <w:p w:rsidR="000A7C99" w:rsidRPr="00434D94" w:rsidRDefault="001548E3" w:rsidP="00D11F0A">
            <w:pPr>
              <w:pStyle w:val="TOC3"/>
              <w:rPr>
                <w:rFonts w:ascii="Garamond" w:hAnsi="Garamond"/>
                <w:sz w:val="16"/>
                <w:szCs w:val="16"/>
              </w:rPr>
            </w:pPr>
            <w:r w:rsidRPr="00434D94">
              <w:rPr>
                <w:rFonts w:ascii="Garamond" w:hAnsi="Garamond"/>
                <w:sz w:val="16"/>
                <w:szCs w:val="16"/>
              </w:rPr>
              <w:t xml:space="preserve">Audits </w:t>
            </w:r>
            <w:r w:rsidR="008120C1" w:rsidRPr="00434D94">
              <w:rPr>
                <w:rFonts w:ascii="Garamond" w:hAnsi="Garamond"/>
                <w:sz w:val="16"/>
                <w:szCs w:val="16"/>
              </w:rPr>
              <w:t>conducted using software</w:t>
            </w:r>
          </w:p>
        </w:tc>
        <w:tc>
          <w:tcPr>
            <w:tcW w:w="1799" w:type="dxa"/>
            <w:vAlign w:val="center"/>
          </w:tcPr>
          <w:p w:rsidR="008120C1" w:rsidRPr="00434D94" w:rsidRDefault="008120C1" w:rsidP="008120C1">
            <w:pPr>
              <w:pStyle w:val="TabelaTekst"/>
              <w:jc w:val="center"/>
              <w:rPr>
                <w:rFonts w:ascii="Garamond" w:hAnsi="Garamond"/>
                <w:sz w:val="16"/>
                <w:szCs w:val="16"/>
                <w:lang w:val="en-GB"/>
              </w:rPr>
            </w:pPr>
            <w:r w:rsidRPr="00434D94">
              <w:rPr>
                <w:rFonts w:ascii="Garamond" w:hAnsi="Garamond"/>
                <w:sz w:val="16"/>
                <w:szCs w:val="16"/>
                <w:lang w:val="en-GB"/>
              </w:rPr>
              <w:t>66.66%</w:t>
            </w:r>
          </w:p>
          <w:p w:rsidR="000A7C99" w:rsidRPr="00434D94" w:rsidRDefault="001548E3" w:rsidP="008120C1">
            <w:pPr>
              <w:pStyle w:val="TabelaTekst"/>
              <w:spacing w:before="0" w:after="0" w:line="240" w:lineRule="auto"/>
              <w:jc w:val="center"/>
              <w:rPr>
                <w:rFonts w:ascii="Garamond" w:hAnsi="Garamond"/>
                <w:sz w:val="16"/>
                <w:szCs w:val="16"/>
              </w:rPr>
            </w:pPr>
            <w:r w:rsidRPr="00434D94">
              <w:rPr>
                <w:rFonts w:ascii="Garamond" w:hAnsi="Garamond"/>
                <w:sz w:val="16"/>
                <w:szCs w:val="16"/>
                <w:lang w:val="en-GB"/>
              </w:rPr>
              <w:t xml:space="preserve">Audits </w:t>
            </w:r>
            <w:r w:rsidR="008120C1" w:rsidRPr="00434D94">
              <w:rPr>
                <w:rFonts w:ascii="Garamond" w:hAnsi="Garamond"/>
                <w:sz w:val="16"/>
                <w:szCs w:val="16"/>
                <w:lang w:val="en-GB"/>
              </w:rPr>
              <w:t>conducted using software</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4D1343">
      <w:pPr>
        <w:rPr>
          <w:rFonts w:ascii="Garamond" w:hAnsi="Garamond"/>
          <w:sz w:val="24"/>
          <w:szCs w:val="24"/>
        </w:rPr>
      </w:pPr>
    </w:p>
    <w:p w:rsidR="004D1343" w:rsidRPr="00C32887" w:rsidRDefault="004D1343" w:rsidP="008120C1">
      <w:pPr>
        <w:pStyle w:val="Heading3"/>
        <w:rPr>
          <w:rFonts w:ascii="Garamond" w:hAnsi="Garamond"/>
          <w:sz w:val="24"/>
          <w:szCs w:val="24"/>
        </w:rPr>
      </w:pPr>
      <w:bookmarkStart w:id="91" w:name="_Toc77688268"/>
      <w:r w:rsidRPr="00C32887">
        <w:rPr>
          <w:rFonts w:ascii="Garamond" w:hAnsi="Garamond"/>
          <w:sz w:val="24"/>
          <w:szCs w:val="24"/>
        </w:rPr>
        <w:t xml:space="preserve">5.2.5      </w:t>
      </w:r>
      <w:r w:rsidR="008120C1">
        <w:rPr>
          <w:rFonts w:ascii="Garamond" w:hAnsi="Garamond"/>
          <w:sz w:val="24"/>
          <w:szCs w:val="24"/>
        </w:rPr>
        <w:t>PERFORMANCE INDICATOR 41</w:t>
      </w:r>
      <w:r w:rsidR="008120C1" w:rsidRPr="008120C1">
        <w:rPr>
          <w:rFonts w:ascii="Garamond" w:hAnsi="Garamond"/>
          <w:sz w:val="24"/>
          <w:szCs w:val="24"/>
        </w:rPr>
        <w:t xml:space="preserve"> </w:t>
      </w:r>
      <w:r w:rsidR="008120C1" w:rsidRPr="00C32887">
        <w:rPr>
          <w:rFonts w:ascii="Garamond" w:hAnsi="Garamond"/>
          <w:sz w:val="24"/>
          <w:szCs w:val="24"/>
        </w:rPr>
        <w:t>PASSPORT</w:t>
      </w:r>
      <w:bookmarkEnd w:id="91"/>
    </w:p>
    <w:p w:rsidR="004D1343" w:rsidRPr="00C32887" w:rsidRDefault="004D1343" w:rsidP="004D1343">
      <w:pPr>
        <w:rPr>
          <w:rFonts w:ascii="Garamond" w:hAnsi="Garamond"/>
          <w:sz w:val="24"/>
          <w:szCs w:val="24"/>
        </w:rPr>
      </w:pPr>
    </w:p>
    <w:tbl>
      <w:tblPr>
        <w:tblW w:w="5000" w:type="pct"/>
        <w:jc w:val="center"/>
        <w:tblBorders>
          <w:top w:val="single" w:sz="4" w:space="0" w:color="008080"/>
          <w:left w:val="single" w:sz="4" w:space="0" w:color="008080"/>
          <w:bottom w:val="single" w:sz="4" w:space="0" w:color="008080"/>
          <w:right w:val="single" w:sz="4" w:space="0" w:color="008080"/>
          <w:insideH w:val="single" w:sz="4" w:space="0" w:color="008080"/>
          <w:insideV w:val="single" w:sz="4" w:space="0" w:color="008080"/>
        </w:tblBorders>
        <w:tblLook w:val="0000"/>
      </w:tblPr>
      <w:tblGrid>
        <w:gridCol w:w="2721"/>
        <w:gridCol w:w="3057"/>
        <w:gridCol w:w="1980"/>
        <w:gridCol w:w="1799"/>
        <w:gridCol w:w="19"/>
      </w:tblGrid>
      <w:tr w:rsidR="008120C1" w:rsidRPr="00434D94" w:rsidTr="00E72584">
        <w:trPr>
          <w:jc w:val="center"/>
        </w:trPr>
        <w:tc>
          <w:tcPr>
            <w:tcW w:w="2721" w:type="dxa"/>
            <w:tcBorders>
              <w:right w:val="single" w:sz="4" w:space="0" w:color="FFFFFF"/>
            </w:tcBorders>
            <w:shd w:val="clear" w:color="auto" w:fill="BFBFBF"/>
            <w:vAlign w:val="center"/>
          </w:tcPr>
          <w:p w:rsidR="008120C1" w:rsidRPr="00434D94" w:rsidRDefault="008120C1" w:rsidP="00E72584">
            <w:pPr>
              <w:autoSpaceDE/>
              <w:autoSpaceDN/>
              <w:rPr>
                <w:rFonts w:ascii="Garamond" w:eastAsia="Calibri" w:hAnsi="Garamond"/>
                <w:b/>
                <w:caps/>
                <w:sz w:val="16"/>
                <w:szCs w:val="16"/>
                <w:lang w:val="en-GB" w:eastAsia="en-US" w:bidi="ar-SA"/>
              </w:rPr>
            </w:pPr>
            <w:r w:rsidRPr="00434D94">
              <w:rPr>
                <w:rFonts w:ascii="Garamond" w:eastAsia="Calibri" w:hAnsi="Garamond"/>
                <w:b/>
                <w:caps/>
                <w:sz w:val="16"/>
                <w:szCs w:val="16"/>
                <w:lang w:val="en-GB" w:eastAsia="en-US" w:bidi="ar-SA"/>
              </w:rPr>
              <w:t>performance indicator</w:t>
            </w:r>
          </w:p>
        </w:tc>
        <w:tc>
          <w:tcPr>
            <w:tcW w:w="6855" w:type="dxa"/>
            <w:gridSpan w:val="4"/>
            <w:tcBorders>
              <w:left w:val="single" w:sz="4" w:space="0" w:color="FFFFFF"/>
            </w:tcBorders>
            <w:shd w:val="clear" w:color="auto" w:fill="BFBFBF"/>
            <w:vAlign w:val="center"/>
          </w:tcPr>
          <w:p w:rsidR="008120C1" w:rsidRPr="00434D94" w:rsidRDefault="008120C1" w:rsidP="00E72584">
            <w:pPr>
              <w:pStyle w:val="Default"/>
              <w:jc w:val="both"/>
              <w:rPr>
                <w:rFonts w:ascii="Garamond" w:eastAsia="Calibri" w:hAnsi="Garamond"/>
                <w:b/>
                <w:sz w:val="16"/>
                <w:szCs w:val="16"/>
                <w:lang w:eastAsia="en-US"/>
              </w:rPr>
            </w:pPr>
            <w:r w:rsidRPr="00434D94">
              <w:rPr>
                <w:rFonts w:ascii="Garamond" w:hAnsi="Garamond"/>
                <w:iCs/>
                <w:sz w:val="16"/>
                <w:szCs w:val="16"/>
              </w:rPr>
              <w:t>Level of implementing standards to ensure audit quality</w:t>
            </w:r>
          </w:p>
        </w:tc>
      </w:tr>
      <w:tr w:rsidR="008120C1" w:rsidRPr="00434D94" w:rsidTr="00E72584">
        <w:trPr>
          <w:gridAfter w:val="1"/>
          <w:wAfter w:w="19" w:type="dxa"/>
          <w:jc w:val="center"/>
        </w:trPr>
        <w:tc>
          <w:tcPr>
            <w:tcW w:w="2721" w:type="dxa"/>
            <w:vAlign w:val="center"/>
          </w:tcPr>
          <w:p w:rsidR="008120C1" w:rsidRPr="00434D94" w:rsidRDefault="008120C1" w:rsidP="006225A7">
            <w:pPr>
              <w:rPr>
                <w:rFonts w:ascii="Garamond" w:eastAsia="Calibri" w:hAnsi="Garamond"/>
                <w:b/>
                <w:caps/>
                <w:sz w:val="16"/>
                <w:szCs w:val="16"/>
                <w:lang w:val="en-GB" w:eastAsia="en-US" w:bidi="ar-SA"/>
              </w:rPr>
            </w:pPr>
            <w:r w:rsidRPr="00434D94">
              <w:rPr>
                <w:rFonts w:ascii="Garamond" w:eastAsia="Calibri" w:hAnsi="Garamond"/>
                <w:b/>
                <w:caps/>
                <w:sz w:val="16"/>
                <w:szCs w:val="16"/>
                <w:lang w:val="en-GB" w:eastAsia="en-US" w:bidi="ar-SA"/>
              </w:rPr>
              <w:t>corresponding objective or activity</w:t>
            </w:r>
          </w:p>
        </w:tc>
        <w:tc>
          <w:tcPr>
            <w:tcW w:w="6836" w:type="dxa"/>
            <w:gridSpan w:val="3"/>
            <w:vAlign w:val="center"/>
          </w:tcPr>
          <w:p w:rsidR="008120C1" w:rsidRPr="00434D94" w:rsidRDefault="008120C1" w:rsidP="006225A7">
            <w:pPr>
              <w:rPr>
                <w:rFonts w:ascii="Garamond" w:hAnsi="Garamond"/>
                <w:color w:val="365F91" w:themeColor="accent1" w:themeShade="BF"/>
                <w:sz w:val="16"/>
                <w:szCs w:val="16"/>
              </w:rPr>
            </w:pPr>
            <w:r w:rsidRPr="00434D94">
              <w:rPr>
                <w:rFonts w:ascii="Garamond" w:hAnsi="Garamond"/>
                <w:color w:val="365F91" w:themeColor="accent1" w:themeShade="BF"/>
                <w:sz w:val="16"/>
                <w:szCs w:val="16"/>
              </w:rPr>
              <w:t>Strengthening external audit capacities</w:t>
            </w:r>
          </w:p>
          <w:p w:rsidR="008120C1" w:rsidRPr="00434D94" w:rsidRDefault="008120C1" w:rsidP="006225A7">
            <w:pPr>
              <w:pStyle w:val="ListParagraph"/>
              <w:numPr>
                <w:ilvl w:val="0"/>
                <w:numId w:val="28"/>
              </w:numPr>
              <w:rPr>
                <w:rFonts w:ascii="Garamond" w:hAnsi="Garamond"/>
                <w:color w:val="365F91" w:themeColor="accent1" w:themeShade="BF"/>
                <w:sz w:val="16"/>
                <w:szCs w:val="16"/>
              </w:rPr>
            </w:pPr>
            <w:r w:rsidRPr="00434D94">
              <w:rPr>
                <w:rFonts w:ascii="Garamond" w:hAnsi="Garamond"/>
                <w:color w:val="365F91" w:themeColor="accent1" w:themeShade="BF"/>
                <w:sz w:val="16"/>
                <w:szCs w:val="16"/>
              </w:rPr>
              <w:t>Building capacities and improving audit procedure - Audit Authority</w:t>
            </w:r>
          </w:p>
          <w:p w:rsidR="008120C1" w:rsidRPr="00434D94" w:rsidRDefault="008120C1" w:rsidP="006225A7">
            <w:pPr>
              <w:rPr>
                <w:rFonts w:ascii="Garamond" w:hAnsi="Garamond"/>
                <w:color w:val="365F91" w:themeColor="accent1" w:themeShade="BF"/>
                <w:sz w:val="16"/>
                <w:szCs w:val="16"/>
              </w:rPr>
            </w:pPr>
          </w:p>
        </w:tc>
      </w:tr>
      <w:tr w:rsidR="008120C1" w:rsidRPr="00434D94" w:rsidTr="00E72584">
        <w:trPr>
          <w:gridAfter w:val="1"/>
          <w:wAfter w:w="19" w:type="dxa"/>
          <w:jc w:val="center"/>
        </w:trPr>
        <w:tc>
          <w:tcPr>
            <w:tcW w:w="2721" w:type="dxa"/>
            <w:vAlign w:val="center"/>
          </w:tcPr>
          <w:p w:rsidR="008120C1" w:rsidRPr="00434D94" w:rsidRDefault="008120C1" w:rsidP="00E72584">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SOURCE OF DATA FOR MONITORING PERFORMANCE INDICATORS</w:t>
            </w:r>
          </w:p>
        </w:tc>
        <w:tc>
          <w:tcPr>
            <w:tcW w:w="6836" w:type="dxa"/>
            <w:gridSpan w:val="3"/>
            <w:vAlign w:val="center"/>
          </w:tcPr>
          <w:p w:rsidR="008120C1" w:rsidRPr="00434D94" w:rsidRDefault="008120C1" w:rsidP="00E72584">
            <w:pPr>
              <w:pStyle w:val="TabelaTekst"/>
              <w:spacing w:before="0" w:after="0" w:line="240" w:lineRule="auto"/>
              <w:rPr>
                <w:rFonts w:ascii="Garamond" w:hAnsi="Garamond"/>
                <w:sz w:val="16"/>
                <w:szCs w:val="16"/>
              </w:rPr>
            </w:pPr>
            <w:r w:rsidRPr="00434D94">
              <w:rPr>
                <w:rFonts w:ascii="Garamond" w:hAnsi="Garamond"/>
                <w:sz w:val="16"/>
                <w:szCs w:val="16"/>
              </w:rPr>
              <w:t>Internal register of implemented quality controls</w:t>
            </w:r>
          </w:p>
        </w:tc>
      </w:tr>
      <w:tr w:rsidR="008120C1" w:rsidRPr="00434D94" w:rsidTr="00E72584">
        <w:trPr>
          <w:gridAfter w:val="1"/>
          <w:wAfter w:w="19" w:type="dxa"/>
          <w:jc w:val="center"/>
        </w:trPr>
        <w:tc>
          <w:tcPr>
            <w:tcW w:w="2721" w:type="dxa"/>
            <w:vAlign w:val="center"/>
          </w:tcPr>
          <w:p w:rsidR="008120C1" w:rsidRPr="00434D94" w:rsidRDefault="008120C1" w:rsidP="00E72584">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NAME OF DATA COLLECTION HOLDER</w:t>
            </w:r>
          </w:p>
        </w:tc>
        <w:tc>
          <w:tcPr>
            <w:tcW w:w="6836" w:type="dxa"/>
            <w:gridSpan w:val="3"/>
            <w:vAlign w:val="center"/>
          </w:tcPr>
          <w:p w:rsidR="008120C1" w:rsidRPr="00434D94" w:rsidRDefault="008120C1" w:rsidP="00E72584">
            <w:pPr>
              <w:rPr>
                <w:rFonts w:ascii="Garamond" w:hAnsi="Garamond"/>
                <w:sz w:val="16"/>
                <w:szCs w:val="16"/>
              </w:rPr>
            </w:pPr>
            <w:r w:rsidRPr="00434D94">
              <w:rPr>
                <w:rFonts w:ascii="Garamond" w:hAnsi="Garamond"/>
                <w:sz w:val="16"/>
                <w:szCs w:val="16"/>
              </w:rPr>
              <w:t xml:space="preserve">Audit </w:t>
            </w:r>
            <w:r w:rsidR="00434D94" w:rsidRPr="00434D94">
              <w:rPr>
                <w:rFonts w:ascii="Garamond" w:hAnsi="Garamond"/>
                <w:sz w:val="16"/>
                <w:szCs w:val="16"/>
              </w:rPr>
              <w:t xml:space="preserve">Authority </w:t>
            </w:r>
          </w:p>
          <w:p w:rsidR="008120C1" w:rsidRPr="00434D94" w:rsidRDefault="008120C1" w:rsidP="00E72584">
            <w:pPr>
              <w:rPr>
                <w:rFonts w:ascii="Garamond" w:hAnsi="Garamond"/>
                <w:sz w:val="16"/>
                <w:szCs w:val="16"/>
              </w:rPr>
            </w:pPr>
            <w:r w:rsidRPr="00434D94">
              <w:rPr>
                <w:rFonts w:ascii="Garamond" w:hAnsi="Garamond"/>
                <w:sz w:val="16"/>
                <w:szCs w:val="16"/>
              </w:rPr>
              <w:t>Radmila Prelević, Certified Auditor</w:t>
            </w:r>
          </w:p>
          <w:p w:rsidR="001548E3" w:rsidRPr="00434D94" w:rsidRDefault="008120C1" w:rsidP="00E72584">
            <w:pPr>
              <w:rPr>
                <w:rFonts w:ascii="Garamond" w:hAnsi="Garamond"/>
                <w:sz w:val="16"/>
                <w:szCs w:val="16"/>
              </w:rPr>
            </w:pPr>
            <w:r w:rsidRPr="00434D94">
              <w:rPr>
                <w:rFonts w:ascii="Garamond" w:hAnsi="Garamond"/>
                <w:sz w:val="16"/>
                <w:szCs w:val="16"/>
              </w:rPr>
              <w:t xml:space="preserve">radmila.prelevic @ revizorskotijelo.me </w:t>
            </w:r>
          </w:p>
          <w:p w:rsidR="008120C1" w:rsidRPr="00434D94" w:rsidRDefault="008120C1" w:rsidP="00E72584">
            <w:pPr>
              <w:rPr>
                <w:rFonts w:ascii="Garamond" w:eastAsia="Calibri" w:hAnsi="Garamond"/>
                <w:sz w:val="16"/>
                <w:szCs w:val="16"/>
                <w:lang w:eastAsia="en-US" w:bidi="ar-SA"/>
              </w:rPr>
            </w:pPr>
            <w:r w:rsidRPr="00434D94">
              <w:rPr>
                <w:rFonts w:ascii="Garamond" w:hAnsi="Garamond"/>
                <w:sz w:val="16"/>
                <w:szCs w:val="16"/>
              </w:rPr>
              <w:t>Phone: 067 223 252</w:t>
            </w:r>
          </w:p>
        </w:tc>
      </w:tr>
      <w:tr w:rsidR="008120C1" w:rsidRPr="00434D94" w:rsidTr="00E72584">
        <w:trPr>
          <w:gridAfter w:val="1"/>
          <w:wAfter w:w="19" w:type="dxa"/>
          <w:jc w:val="center"/>
        </w:trPr>
        <w:tc>
          <w:tcPr>
            <w:tcW w:w="2721" w:type="dxa"/>
            <w:vAlign w:val="center"/>
          </w:tcPr>
          <w:p w:rsidR="008120C1" w:rsidRPr="00434D94" w:rsidRDefault="008120C1" w:rsidP="00E72584">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FREQUENCY OF DATA PUBLICATION</w:t>
            </w:r>
          </w:p>
        </w:tc>
        <w:tc>
          <w:tcPr>
            <w:tcW w:w="6836" w:type="dxa"/>
            <w:gridSpan w:val="3"/>
            <w:vAlign w:val="center"/>
          </w:tcPr>
          <w:p w:rsidR="008120C1" w:rsidRPr="00434D94" w:rsidRDefault="008120C1" w:rsidP="00E72584">
            <w:pPr>
              <w:rPr>
                <w:rFonts w:ascii="Garamond" w:eastAsia="Calibri" w:hAnsi="Garamond"/>
                <w:sz w:val="16"/>
                <w:szCs w:val="16"/>
                <w:lang w:eastAsia="en-US" w:bidi="ar-SA"/>
              </w:rPr>
            </w:pPr>
            <w:r w:rsidRPr="00434D94">
              <w:rPr>
                <w:rFonts w:ascii="Garamond" w:eastAsia="Calibri" w:hAnsi="Garamond"/>
                <w:sz w:val="16"/>
                <w:szCs w:val="16"/>
                <w:lang w:eastAsia="en-US" w:bidi="ar-SA"/>
              </w:rPr>
              <w:t>1x per year</w:t>
            </w:r>
          </w:p>
        </w:tc>
      </w:tr>
      <w:tr w:rsidR="008120C1" w:rsidRPr="00434D94" w:rsidTr="00E72584">
        <w:trPr>
          <w:gridAfter w:val="1"/>
          <w:wAfter w:w="19" w:type="dxa"/>
          <w:trHeight w:val="458"/>
          <w:jc w:val="center"/>
        </w:trPr>
        <w:tc>
          <w:tcPr>
            <w:tcW w:w="2721" w:type="dxa"/>
            <w:vMerge w:val="restart"/>
            <w:vAlign w:val="center"/>
          </w:tcPr>
          <w:p w:rsidR="008120C1" w:rsidRPr="00434D94" w:rsidRDefault="008120C1" w:rsidP="00E72584">
            <w:pPr>
              <w:autoSpaceDE/>
              <w:autoSpaceDN/>
              <w:rPr>
                <w:rFonts w:ascii="Garamond" w:eastAsia="Calibri" w:hAnsi="Garamond"/>
                <w:b/>
                <w:caps/>
                <w:sz w:val="16"/>
                <w:szCs w:val="16"/>
                <w:lang w:val="uz-Cyrl-UZ" w:eastAsia="en-US" w:bidi="ar-SA"/>
              </w:rPr>
            </w:pPr>
            <w:r w:rsidRPr="00434D94">
              <w:rPr>
                <w:rFonts w:ascii="Garamond" w:eastAsia="Calibri" w:hAnsi="Garamond"/>
                <w:b/>
                <w:caps/>
                <w:sz w:val="16"/>
                <w:szCs w:val="16"/>
                <w:lang w:val="uz-Cyrl-UZ" w:eastAsia="en-US" w:bidi="ar-SA"/>
              </w:rPr>
              <w:t xml:space="preserve">BRIEF DESCRIPTION </w:t>
            </w:r>
            <w:r w:rsidRPr="00434D94">
              <w:rPr>
                <w:rFonts w:ascii="Garamond" w:eastAsia="Calibri" w:hAnsi="Garamond"/>
                <w:b/>
                <w:caps/>
                <w:sz w:val="16"/>
                <w:szCs w:val="16"/>
                <w:lang w:val="en-GB" w:eastAsia="en-US" w:bidi="ar-SA"/>
              </w:rPr>
              <w:t xml:space="preserve">OF </w:t>
            </w:r>
            <w:r w:rsidRPr="00434D94">
              <w:rPr>
                <w:rFonts w:ascii="Garamond" w:eastAsia="Calibri" w:hAnsi="Garamond"/>
                <w:b/>
                <w:caps/>
                <w:sz w:val="16"/>
                <w:szCs w:val="16"/>
                <w:lang w:val="uz-Cyrl-UZ" w:eastAsia="en-US" w:bidi="ar-SA"/>
              </w:rPr>
              <w:t>PERFORMANCE INDICATOR AND METHODOLOGY (FORMULAS / EQUATIONS)</w:t>
            </w:r>
          </w:p>
        </w:tc>
        <w:tc>
          <w:tcPr>
            <w:tcW w:w="6836" w:type="dxa"/>
            <w:gridSpan w:val="3"/>
            <w:vAlign w:val="center"/>
          </w:tcPr>
          <w:p w:rsidR="008120C1" w:rsidRPr="00434D94" w:rsidRDefault="008120C1" w:rsidP="00E72584">
            <w:pPr>
              <w:pStyle w:val="TabelaTekst"/>
              <w:spacing w:before="0" w:after="0" w:line="240" w:lineRule="auto"/>
              <w:rPr>
                <w:rFonts w:ascii="Garamond" w:hAnsi="Garamond"/>
                <w:sz w:val="16"/>
                <w:szCs w:val="16"/>
              </w:rPr>
            </w:pPr>
            <w:r w:rsidRPr="00434D94">
              <w:rPr>
                <w:rFonts w:ascii="Garamond" w:hAnsi="Garamond"/>
                <w:sz w:val="16"/>
                <w:szCs w:val="16"/>
              </w:rPr>
              <w:t>Guidelines for quality control ensure higher quality and reliability of audit work. It is measured as a percentage indicating the degree of application of the control guidelines.</w:t>
            </w:r>
          </w:p>
        </w:tc>
      </w:tr>
      <w:tr w:rsidR="008120C1" w:rsidRPr="00434D94" w:rsidTr="00E72584">
        <w:trPr>
          <w:gridAfter w:val="1"/>
          <w:wAfter w:w="19" w:type="dxa"/>
          <w:trHeight w:val="620"/>
          <w:jc w:val="center"/>
        </w:trPr>
        <w:tc>
          <w:tcPr>
            <w:tcW w:w="2721" w:type="dxa"/>
            <w:vMerge/>
            <w:shd w:val="clear" w:color="auto" w:fill="auto"/>
            <w:vAlign w:val="center"/>
          </w:tcPr>
          <w:p w:rsidR="008120C1" w:rsidRPr="00434D94" w:rsidRDefault="008120C1" w:rsidP="00E72584">
            <w:pPr>
              <w:autoSpaceDE/>
              <w:autoSpaceDN/>
              <w:rPr>
                <w:rFonts w:ascii="Garamond" w:eastAsia="Calibri" w:hAnsi="Garamond"/>
                <w:b/>
                <w:i/>
                <w:caps/>
                <w:sz w:val="16"/>
                <w:szCs w:val="16"/>
                <w:lang w:val="uz-Cyrl-UZ" w:eastAsia="en-US" w:bidi="ar-SA"/>
              </w:rPr>
            </w:pPr>
          </w:p>
        </w:tc>
        <w:tc>
          <w:tcPr>
            <w:tcW w:w="6836" w:type="dxa"/>
            <w:gridSpan w:val="3"/>
            <w:shd w:val="clear" w:color="auto" w:fill="BFBFBF"/>
            <w:vAlign w:val="center"/>
          </w:tcPr>
          <w:p w:rsidR="008120C1" w:rsidRPr="00434D94" w:rsidRDefault="008120C1" w:rsidP="00E72584">
            <w:pPr>
              <w:jc w:val="center"/>
              <w:rPr>
                <w:rFonts w:ascii="Garamond" w:hAnsi="Garamond"/>
                <w:color w:val="365F91" w:themeColor="accent1" w:themeShade="BF"/>
                <w:sz w:val="16"/>
                <w:szCs w:val="16"/>
                <w:lang w:val="uz-Cyrl-UZ"/>
              </w:rPr>
            </w:pPr>
            <w:r w:rsidRPr="00434D94">
              <w:rPr>
                <w:rFonts w:ascii="Garamond" w:hAnsi="Garamond"/>
                <w:color w:val="365F91" w:themeColor="accent1" w:themeShade="BF"/>
                <w:sz w:val="16"/>
                <w:szCs w:val="16"/>
                <w:lang w:val="uz-Cyrl-UZ"/>
              </w:rPr>
              <w:t>FORMULA / EQUATION</w:t>
            </w:r>
          </w:p>
          <w:p w:rsidR="008120C1" w:rsidRPr="00434D94" w:rsidRDefault="008A2E2B" w:rsidP="00E72584">
            <w:pPr>
              <w:jc w:val="center"/>
              <w:rPr>
                <w:rFonts w:ascii="Garamond" w:eastAsia="Calibri" w:hAnsi="Garamond"/>
                <w:sz w:val="16"/>
                <w:szCs w:val="16"/>
                <w:lang w:val="en-GB" w:eastAsia="en-US" w:bidi="ar-SA"/>
              </w:rPr>
            </w:pPr>
            <w:r w:rsidRPr="00434D94">
              <w:rPr>
                <w:rFonts w:ascii="Garamond" w:eastAsia="Calibri" w:hAnsi="Garamond"/>
                <w:sz w:val="16"/>
                <w:szCs w:val="16"/>
                <w:lang w:val="en-GB" w:eastAsia="en-US" w:bidi="ar-SA"/>
              </w:rPr>
              <w:t>Number of audits covered by quality control / Total number of audits provided by the guidelines for quality control x 100</w:t>
            </w:r>
          </w:p>
        </w:tc>
      </w:tr>
      <w:tr w:rsidR="008120C1" w:rsidRPr="00434D94" w:rsidTr="00E72584">
        <w:trPr>
          <w:gridAfter w:val="1"/>
          <w:wAfter w:w="19" w:type="dxa"/>
          <w:trHeight w:val="585"/>
          <w:jc w:val="center"/>
        </w:trPr>
        <w:tc>
          <w:tcPr>
            <w:tcW w:w="2721" w:type="dxa"/>
            <w:vAlign w:val="center"/>
          </w:tcPr>
          <w:p w:rsidR="008120C1" w:rsidRPr="00434D94" w:rsidRDefault="008120C1" w:rsidP="00E72584">
            <w:pPr>
              <w:autoSpaceDE/>
              <w:autoSpaceDN/>
              <w:rPr>
                <w:rFonts w:ascii="Garamond" w:eastAsia="Calibri" w:hAnsi="Garamond"/>
                <w:b/>
                <w:bCs/>
                <w:caps/>
                <w:sz w:val="16"/>
                <w:szCs w:val="16"/>
                <w:lang w:val="en-GB" w:eastAsia="en-US" w:bidi="ar-SA"/>
              </w:rPr>
            </w:pPr>
            <w:r w:rsidRPr="00434D94">
              <w:rPr>
                <w:rFonts w:ascii="Garamond" w:eastAsia="Calibri" w:hAnsi="Garamond"/>
                <w:b/>
                <w:caps/>
                <w:sz w:val="16"/>
                <w:szCs w:val="16"/>
                <w:lang w:val="uz-Cyrl-UZ" w:eastAsia="en-US" w:bidi="ar-SA"/>
              </w:rPr>
              <w:t>BASELINE</w:t>
            </w:r>
            <w:r w:rsidRPr="00434D94">
              <w:rPr>
                <w:rFonts w:ascii="Garamond" w:eastAsia="Calibri" w:hAnsi="Garamond"/>
                <w:b/>
                <w:caps/>
                <w:sz w:val="16"/>
                <w:szCs w:val="16"/>
                <w:lang w:val="en-GB" w:eastAsia="en-US" w:bidi="ar-SA"/>
              </w:rPr>
              <w:t xml:space="preserve"> DATA</w:t>
            </w:r>
          </w:p>
        </w:tc>
        <w:tc>
          <w:tcPr>
            <w:tcW w:w="6836" w:type="dxa"/>
            <w:gridSpan w:val="3"/>
            <w:vAlign w:val="center"/>
          </w:tcPr>
          <w:p w:rsidR="008120C1" w:rsidRPr="00434D94" w:rsidRDefault="008120C1" w:rsidP="00E72584">
            <w:pPr>
              <w:pStyle w:val="TabelaTekst"/>
              <w:rPr>
                <w:rFonts w:ascii="Garamond" w:hAnsi="Garamond"/>
                <w:sz w:val="16"/>
                <w:szCs w:val="16"/>
                <w:lang w:val="en-GB"/>
              </w:rPr>
            </w:pPr>
            <w:r w:rsidRPr="00434D94">
              <w:rPr>
                <w:rFonts w:ascii="Garamond" w:hAnsi="Garamond"/>
                <w:sz w:val="16"/>
                <w:szCs w:val="16"/>
              </w:rPr>
              <w:t xml:space="preserve">PV (2014): </w:t>
            </w:r>
            <w:r w:rsidRPr="00434D94">
              <w:rPr>
                <w:rFonts w:ascii="Garamond" w:hAnsi="Garamond"/>
                <w:sz w:val="16"/>
                <w:szCs w:val="16"/>
                <w:lang w:val="en-GB"/>
              </w:rPr>
              <w:t>n/a</w:t>
            </w:r>
          </w:p>
        </w:tc>
      </w:tr>
      <w:tr w:rsidR="008120C1" w:rsidRPr="00434D94" w:rsidTr="00E72584">
        <w:trPr>
          <w:gridAfter w:val="1"/>
          <w:wAfter w:w="19" w:type="dxa"/>
          <w:trHeight w:val="160"/>
          <w:jc w:val="center"/>
        </w:trPr>
        <w:tc>
          <w:tcPr>
            <w:tcW w:w="2721" w:type="dxa"/>
            <w:vMerge w:val="restart"/>
            <w:vAlign w:val="center"/>
          </w:tcPr>
          <w:p w:rsidR="008120C1" w:rsidRPr="00434D94" w:rsidRDefault="008120C1" w:rsidP="00E72584">
            <w:pPr>
              <w:autoSpaceDE/>
              <w:autoSpaceDN/>
              <w:rPr>
                <w:rFonts w:ascii="Garamond" w:eastAsia="Calibri" w:hAnsi="Garamond"/>
                <w:b/>
                <w:bCs/>
                <w:caps/>
                <w:sz w:val="16"/>
                <w:szCs w:val="16"/>
                <w:lang w:val="uz-Cyrl-UZ" w:eastAsia="en-US" w:bidi="ar-SA"/>
              </w:rPr>
            </w:pPr>
            <w:r w:rsidRPr="00434D94">
              <w:rPr>
                <w:rFonts w:ascii="Garamond" w:eastAsia="Calibri" w:hAnsi="Garamond"/>
                <w:b/>
                <w:caps/>
                <w:sz w:val="16"/>
                <w:szCs w:val="16"/>
                <w:lang w:val="uz-Cyrl-UZ" w:eastAsia="en-US" w:bidi="ar-SA"/>
              </w:rPr>
              <w:t>TARGET VALUE DATA</w:t>
            </w:r>
          </w:p>
        </w:tc>
        <w:tc>
          <w:tcPr>
            <w:tcW w:w="3057" w:type="dxa"/>
            <w:vAlign w:val="center"/>
          </w:tcPr>
          <w:p w:rsidR="008120C1" w:rsidRPr="00434D94" w:rsidRDefault="008120C1" w:rsidP="00E72584">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2018</w:t>
            </w:r>
          </w:p>
        </w:tc>
        <w:tc>
          <w:tcPr>
            <w:tcW w:w="1980" w:type="dxa"/>
            <w:vAlign w:val="center"/>
          </w:tcPr>
          <w:p w:rsidR="008120C1" w:rsidRPr="00434D94" w:rsidRDefault="008120C1" w:rsidP="00E72584">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2019</w:t>
            </w:r>
          </w:p>
        </w:tc>
        <w:tc>
          <w:tcPr>
            <w:tcW w:w="1799" w:type="dxa"/>
            <w:vAlign w:val="center"/>
          </w:tcPr>
          <w:p w:rsidR="008120C1" w:rsidRPr="00434D94" w:rsidRDefault="008120C1" w:rsidP="00E72584">
            <w:pPr>
              <w:autoSpaceDE/>
              <w:autoSpaceDN/>
              <w:jc w:val="center"/>
              <w:rPr>
                <w:rFonts w:ascii="Garamond" w:eastAsia="Calibri" w:hAnsi="Garamond"/>
                <w:sz w:val="16"/>
                <w:szCs w:val="16"/>
                <w:lang w:val="uz-Cyrl-UZ" w:eastAsia="en-US" w:bidi="ar-SA"/>
              </w:rPr>
            </w:pPr>
            <w:r w:rsidRPr="00434D94">
              <w:rPr>
                <w:rFonts w:ascii="Garamond" w:eastAsia="Calibri" w:hAnsi="Garamond"/>
                <w:sz w:val="16"/>
                <w:szCs w:val="16"/>
                <w:lang w:val="uz-Cyrl-UZ" w:eastAsia="en-US" w:bidi="ar-SA"/>
              </w:rPr>
              <w:t>2020</w:t>
            </w:r>
          </w:p>
        </w:tc>
      </w:tr>
      <w:tr w:rsidR="008120C1" w:rsidRPr="00434D94" w:rsidTr="00E72584">
        <w:trPr>
          <w:gridAfter w:val="1"/>
          <w:wAfter w:w="19" w:type="dxa"/>
          <w:trHeight w:val="160"/>
          <w:jc w:val="center"/>
        </w:trPr>
        <w:tc>
          <w:tcPr>
            <w:tcW w:w="2721" w:type="dxa"/>
            <w:vMerge/>
            <w:vAlign w:val="center"/>
          </w:tcPr>
          <w:p w:rsidR="008120C1" w:rsidRPr="00434D94" w:rsidRDefault="008120C1" w:rsidP="00E72584">
            <w:pPr>
              <w:autoSpaceDE/>
              <w:autoSpaceDN/>
              <w:rPr>
                <w:rFonts w:ascii="Garamond" w:eastAsia="Calibri" w:hAnsi="Garamond"/>
                <w:b/>
                <w:bCs/>
                <w:caps/>
                <w:sz w:val="16"/>
                <w:szCs w:val="16"/>
                <w:lang w:val="uz-Cyrl-UZ" w:eastAsia="en-US" w:bidi="ar-SA"/>
              </w:rPr>
            </w:pPr>
          </w:p>
        </w:tc>
        <w:tc>
          <w:tcPr>
            <w:tcW w:w="3057" w:type="dxa"/>
            <w:vAlign w:val="center"/>
          </w:tcPr>
          <w:p w:rsidR="008120C1" w:rsidRPr="00434D94" w:rsidRDefault="008120C1" w:rsidP="00E72584">
            <w:pPr>
              <w:pStyle w:val="TabelaTekst"/>
              <w:jc w:val="center"/>
              <w:rPr>
                <w:rFonts w:ascii="Garamond" w:hAnsi="Garamond"/>
                <w:sz w:val="16"/>
                <w:szCs w:val="16"/>
              </w:rPr>
            </w:pPr>
            <w:r w:rsidRPr="00434D94">
              <w:rPr>
                <w:rFonts w:ascii="Garamond" w:hAnsi="Garamond"/>
                <w:sz w:val="16"/>
                <w:szCs w:val="16"/>
              </w:rPr>
              <w:t>n / a</w:t>
            </w:r>
          </w:p>
          <w:p w:rsidR="008120C1" w:rsidRPr="00434D94" w:rsidRDefault="008120C1" w:rsidP="00E72584">
            <w:pPr>
              <w:pStyle w:val="TabelaTekst"/>
              <w:spacing w:before="0" w:after="0" w:line="240" w:lineRule="auto"/>
              <w:jc w:val="center"/>
              <w:rPr>
                <w:rFonts w:ascii="Garamond" w:hAnsi="Garamond"/>
                <w:sz w:val="16"/>
                <w:szCs w:val="16"/>
              </w:rPr>
            </w:pPr>
            <w:r w:rsidRPr="00434D94">
              <w:rPr>
                <w:rFonts w:ascii="Garamond" w:hAnsi="Garamond"/>
                <w:sz w:val="16"/>
                <w:szCs w:val="16"/>
              </w:rPr>
              <w:t xml:space="preserve">The activities listed in the </w:t>
            </w:r>
            <w:r w:rsidR="00434D94" w:rsidRPr="00434D94">
              <w:rPr>
                <w:rFonts w:ascii="Garamond" w:hAnsi="Garamond"/>
                <w:sz w:val="16"/>
                <w:szCs w:val="16"/>
              </w:rPr>
              <w:t xml:space="preserve">Action Plan </w:t>
            </w:r>
            <w:r w:rsidRPr="00434D94">
              <w:rPr>
                <w:rFonts w:ascii="Garamond" w:hAnsi="Garamond"/>
                <w:sz w:val="16"/>
                <w:szCs w:val="16"/>
              </w:rPr>
              <w:t>will start in 2019</w:t>
            </w:r>
          </w:p>
        </w:tc>
        <w:tc>
          <w:tcPr>
            <w:tcW w:w="1980" w:type="dxa"/>
            <w:vAlign w:val="center"/>
          </w:tcPr>
          <w:p w:rsidR="008120C1" w:rsidRPr="00434D94" w:rsidRDefault="008A2E2B" w:rsidP="00E72584">
            <w:pPr>
              <w:pStyle w:val="TabelaTekst"/>
              <w:jc w:val="center"/>
              <w:rPr>
                <w:rFonts w:ascii="Garamond" w:hAnsi="Garamond"/>
                <w:sz w:val="16"/>
                <w:szCs w:val="16"/>
              </w:rPr>
            </w:pPr>
            <w:r w:rsidRPr="00434D94">
              <w:rPr>
                <w:rFonts w:ascii="Garamond" w:hAnsi="Garamond"/>
                <w:sz w:val="16"/>
                <w:szCs w:val="16"/>
                <w:lang w:val="en-GB"/>
              </w:rPr>
              <w:t>3</w:t>
            </w:r>
            <w:r w:rsidR="008120C1" w:rsidRPr="00434D94">
              <w:rPr>
                <w:rFonts w:ascii="Garamond" w:hAnsi="Garamond"/>
                <w:sz w:val="16"/>
                <w:szCs w:val="16"/>
              </w:rPr>
              <w:t>0%</w:t>
            </w:r>
          </w:p>
          <w:p w:rsidR="008120C1" w:rsidRPr="00434D94" w:rsidRDefault="008120C1" w:rsidP="00E72584">
            <w:pPr>
              <w:pStyle w:val="TabelaTekst"/>
              <w:spacing w:before="0" w:after="0" w:line="240" w:lineRule="auto"/>
              <w:jc w:val="center"/>
              <w:rPr>
                <w:rFonts w:ascii="Garamond" w:hAnsi="Garamond"/>
                <w:sz w:val="16"/>
                <w:szCs w:val="16"/>
              </w:rPr>
            </w:pPr>
          </w:p>
        </w:tc>
        <w:tc>
          <w:tcPr>
            <w:tcW w:w="1799" w:type="dxa"/>
            <w:vAlign w:val="center"/>
          </w:tcPr>
          <w:p w:rsidR="008120C1" w:rsidRPr="00434D94" w:rsidRDefault="008120C1" w:rsidP="00E72584">
            <w:pPr>
              <w:pStyle w:val="TabelaTekst"/>
              <w:jc w:val="center"/>
              <w:rPr>
                <w:rFonts w:ascii="Garamond" w:hAnsi="Garamond"/>
                <w:sz w:val="16"/>
                <w:szCs w:val="16"/>
                <w:lang w:val="en-GB"/>
              </w:rPr>
            </w:pPr>
            <w:r w:rsidRPr="00434D94">
              <w:rPr>
                <w:rFonts w:ascii="Garamond" w:hAnsi="Garamond"/>
                <w:sz w:val="16"/>
                <w:szCs w:val="16"/>
                <w:lang w:val="en-GB"/>
              </w:rPr>
              <w:t>50%</w:t>
            </w:r>
          </w:p>
          <w:p w:rsidR="008120C1" w:rsidRPr="00434D94" w:rsidRDefault="008120C1" w:rsidP="00E72584">
            <w:pPr>
              <w:pStyle w:val="TabelaTekst"/>
              <w:spacing w:before="0" w:after="0" w:line="240" w:lineRule="auto"/>
              <w:jc w:val="center"/>
              <w:rPr>
                <w:rFonts w:ascii="Garamond" w:hAnsi="Garamond"/>
                <w:sz w:val="16"/>
                <w:szCs w:val="16"/>
              </w:rPr>
            </w:pPr>
          </w:p>
        </w:tc>
      </w:tr>
      <w:tr w:rsidR="008120C1" w:rsidRPr="00434D94" w:rsidTr="00E72584">
        <w:trPr>
          <w:gridAfter w:val="1"/>
          <w:wAfter w:w="19" w:type="dxa"/>
          <w:trHeight w:val="160"/>
          <w:jc w:val="center"/>
        </w:trPr>
        <w:tc>
          <w:tcPr>
            <w:tcW w:w="2721" w:type="dxa"/>
            <w:vAlign w:val="center"/>
          </w:tcPr>
          <w:p w:rsidR="008120C1" w:rsidRPr="00434D94" w:rsidRDefault="0062456A" w:rsidP="00E72584">
            <w:pPr>
              <w:autoSpaceDE/>
              <w:autoSpaceDN/>
              <w:rPr>
                <w:rFonts w:ascii="Garamond" w:eastAsia="Calibri" w:hAnsi="Garamond"/>
                <w:b/>
                <w:bCs/>
                <w:caps/>
                <w:sz w:val="16"/>
                <w:szCs w:val="16"/>
                <w:lang w:val="uz-Cyrl-UZ" w:eastAsia="en-US" w:bidi="ar-SA"/>
              </w:rPr>
            </w:pPr>
            <w:r w:rsidRPr="00434D94">
              <w:rPr>
                <w:rFonts w:ascii="Garamond" w:eastAsia="Calibri" w:hAnsi="Garamond"/>
                <w:b/>
                <w:bCs/>
                <w:caps/>
                <w:sz w:val="16"/>
                <w:szCs w:val="16"/>
                <w:lang w:val="uz-Cyrl-UZ" w:eastAsia="en-US" w:bidi="ar-SA"/>
              </w:rPr>
              <w:t>DATA ON VALUES ACHIEVED</w:t>
            </w:r>
          </w:p>
        </w:tc>
        <w:tc>
          <w:tcPr>
            <w:tcW w:w="3057" w:type="dxa"/>
            <w:vAlign w:val="center"/>
          </w:tcPr>
          <w:p w:rsidR="008120C1" w:rsidRPr="00434D94" w:rsidRDefault="008120C1" w:rsidP="00D11F0A">
            <w:pPr>
              <w:pStyle w:val="TOC3"/>
              <w:rPr>
                <w:rFonts w:ascii="Garamond" w:hAnsi="Garamond"/>
                <w:sz w:val="16"/>
                <w:szCs w:val="16"/>
              </w:rPr>
            </w:pPr>
            <w:r w:rsidRPr="00434D94">
              <w:rPr>
                <w:rFonts w:ascii="Garamond" w:hAnsi="Garamond"/>
                <w:sz w:val="16"/>
                <w:szCs w:val="16"/>
              </w:rPr>
              <w:t>n / a</w:t>
            </w:r>
          </w:p>
          <w:p w:rsidR="008120C1" w:rsidRPr="00434D94" w:rsidRDefault="008120C1" w:rsidP="00D11F0A">
            <w:pPr>
              <w:pStyle w:val="TOC3"/>
              <w:rPr>
                <w:rFonts w:ascii="Garamond" w:hAnsi="Garamond"/>
                <w:sz w:val="16"/>
                <w:szCs w:val="16"/>
              </w:rPr>
            </w:pPr>
            <w:r w:rsidRPr="00434D94">
              <w:rPr>
                <w:rFonts w:ascii="Garamond" w:hAnsi="Garamond"/>
                <w:sz w:val="16"/>
                <w:szCs w:val="16"/>
              </w:rPr>
              <w:t xml:space="preserve">The activities listed in the </w:t>
            </w:r>
            <w:r w:rsidR="00434D94" w:rsidRPr="00434D94">
              <w:rPr>
                <w:rFonts w:ascii="Garamond" w:hAnsi="Garamond"/>
                <w:sz w:val="16"/>
                <w:szCs w:val="16"/>
              </w:rPr>
              <w:t xml:space="preserve">Action Plan </w:t>
            </w:r>
            <w:r w:rsidRPr="00434D94">
              <w:rPr>
                <w:rFonts w:ascii="Garamond" w:hAnsi="Garamond"/>
                <w:sz w:val="16"/>
                <w:szCs w:val="16"/>
              </w:rPr>
              <w:t>will start in 2019</w:t>
            </w:r>
          </w:p>
        </w:tc>
        <w:tc>
          <w:tcPr>
            <w:tcW w:w="1980" w:type="dxa"/>
            <w:vAlign w:val="center"/>
          </w:tcPr>
          <w:p w:rsidR="008120C1" w:rsidRPr="00434D94" w:rsidRDefault="008A2E2B" w:rsidP="00D11F0A">
            <w:pPr>
              <w:pStyle w:val="TOC3"/>
              <w:rPr>
                <w:rFonts w:ascii="Garamond" w:hAnsi="Garamond"/>
                <w:sz w:val="16"/>
                <w:szCs w:val="16"/>
              </w:rPr>
            </w:pPr>
            <w:r w:rsidRPr="00434D94">
              <w:rPr>
                <w:rFonts w:ascii="Garamond" w:hAnsi="Garamond"/>
                <w:sz w:val="16"/>
                <w:szCs w:val="16"/>
              </w:rPr>
              <w:t>75% of audits covered by quality control</w:t>
            </w:r>
          </w:p>
        </w:tc>
        <w:tc>
          <w:tcPr>
            <w:tcW w:w="1799" w:type="dxa"/>
            <w:vAlign w:val="center"/>
          </w:tcPr>
          <w:p w:rsidR="008120C1" w:rsidRPr="00434D94" w:rsidRDefault="008A2E2B" w:rsidP="00E72584">
            <w:pPr>
              <w:pStyle w:val="TabelaTekst"/>
              <w:spacing w:before="0" w:after="0" w:line="240" w:lineRule="auto"/>
              <w:jc w:val="center"/>
              <w:rPr>
                <w:rFonts w:ascii="Garamond" w:hAnsi="Garamond"/>
                <w:sz w:val="16"/>
                <w:szCs w:val="16"/>
              </w:rPr>
            </w:pPr>
            <w:r w:rsidRPr="00434D94">
              <w:rPr>
                <w:rFonts w:ascii="Garamond" w:hAnsi="Garamond"/>
                <w:sz w:val="16"/>
                <w:szCs w:val="16"/>
                <w:lang w:val="en-GB"/>
              </w:rPr>
              <w:t>75% of audits covered by quality control</w:t>
            </w:r>
          </w:p>
        </w:tc>
      </w:tr>
    </w:tbl>
    <w:p w:rsidR="004D1343" w:rsidRPr="00C32887" w:rsidRDefault="004D1343" w:rsidP="004D1343">
      <w:pPr>
        <w:rPr>
          <w:rFonts w:ascii="Garamond" w:hAnsi="Garamond"/>
          <w:sz w:val="24"/>
          <w:szCs w:val="24"/>
        </w:rPr>
      </w:pPr>
      <w:r w:rsidRPr="00C32887">
        <w:rPr>
          <w:rFonts w:ascii="Garamond" w:hAnsi="Garamond"/>
          <w:sz w:val="24"/>
          <w:szCs w:val="24"/>
        </w:rPr>
        <w:tab/>
      </w:r>
    </w:p>
    <w:p w:rsidR="004D1343" w:rsidRPr="00C32887" w:rsidRDefault="004D1343" w:rsidP="004D1343">
      <w:pPr>
        <w:rPr>
          <w:rFonts w:ascii="Garamond" w:hAnsi="Garamond"/>
          <w:sz w:val="24"/>
          <w:szCs w:val="24"/>
        </w:rPr>
      </w:pPr>
    </w:p>
    <w:p w:rsidR="004D1343" w:rsidRPr="00C32887" w:rsidRDefault="004D1343" w:rsidP="00F75F92">
      <w:pPr>
        <w:rPr>
          <w:rFonts w:ascii="Garamond" w:hAnsi="Garamond"/>
          <w:sz w:val="24"/>
          <w:szCs w:val="24"/>
        </w:rPr>
      </w:pPr>
    </w:p>
    <w:sectPr w:rsidR="004D1343" w:rsidRPr="00C32887" w:rsidSect="004055DE">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51A" w:rsidRDefault="0079251A" w:rsidP="00F75F92">
      <w:r>
        <w:separator/>
      </w:r>
    </w:p>
  </w:endnote>
  <w:endnote w:type="continuationSeparator" w:id="0">
    <w:p w:rsidR="0079251A" w:rsidRDefault="0079251A" w:rsidP="00F75F92">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Franklin Gothic Demi">
    <w:panose1 w:val="020B07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sig w:usb0="00000000" w:usb1="00000000" w:usb2="00000000" w:usb3="00000000" w:csb0="00000000"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51A" w:rsidRDefault="0079251A" w:rsidP="00F75F92">
      <w:r>
        <w:separator/>
      </w:r>
    </w:p>
  </w:footnote>
  <w:footnote w:type="continuationSeparator" w:id="0">
    <w:p w:rsidR="0079251A" w:rsidRDefault="0079251A" w:rsidP="00F75F92">
      <w:r>
        <w:continuationSeparator/>
      </w:r>
    </w:p>
  </w:footnote>
  <w:footnote w:id="1">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2016-2020 Public Finance Management Reform Programme: </w:t>
      </w:r>
      <w:hyperlink r:id="rId1" w:history="1">
        <w:r w:rsidRPr="003B16E2">
          <w:rPr>
            <w:rStyle w:val="Hyperlink"/>
            <w:rFonts w:ascii="Garamond" w:hAnsi="Garamond"/>
            <w:sz w:val="16"/>
            <w:szCs w:val="16"/>
          </w:rPr>
          <w:t>http://www.mif.gov.me/biblioteka/strateska_dokumenta</w:t>
        </w:r>
      </w:hyperlink>
      <w:r w:rsidRPr="003B16E2">
        <w:rPr>
          <w:rFonts w:ascii="Garamond" w:hAnsi="Garamond"/>
          <w:sz w:val="16"/>
          <w:szCs w:val="16"/>
        </w:rPr>
        <w:t xml:space="preserve"> </w:t>
      </w:r>
    </w:p>
  </w:footnote>
  <w:footnote w:id="2">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w:t>
      </w:r>
      <w:hyperlink r:id="rId2" w:history="1">
        <w:r w:rsidRPr="003B16E2">
          <w:rPr>
            <w:rStyle w:val="Hyperlink"/>
            <w:rFonts w:ascii="Garamond" w:hAnsi="Garamond"/>
            <w:sz w:val="16"/>
            <w:szCs w:val="16"/>
          </w:rPr>
          <w:t>http://www.mju.gov.me/ResourceManager/FileDownload.aspx?rId=329420&amp;rType=2</w:t>
        </w:r>
      </w:hyperlink>
      <w:r w:rsidRPr="003B16E2">
        <w:rPr>
          <w:rFonts w:ascii="Garamond" w:hAnsi="Garamond"/>
          <w:sz w:val="16"/>
          <w:szCs w:val="16"/>
        </w:rPr>
        <w:t xml:space="preserve"> </w:t>
      </w:r>
    </w:p>
  </w:footnote>
  <w:footnote w:id="3">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w:t>
      </w:r>
      <w:hyperlink r:id="rId3" w:history="1">
        <w:r w:rsidRPr="003B16E2">
          <w:rPr>
            <w:rStyle w:val="Hyperlink"/>
            <w:rFonts w:ascii="Garamond" w:hAnsi="Garamond"/>
            <w:sz w:val="16"/>
            <w:szCs w:val="16"/>
          </w:rPr>
          <w:t>http://www.gsv.gov.me/ResourceManager/FileDownload.aspx?rId=357599&amp;rType=2</w:t>
        </w:r>
      </w:hyperlink>
      <w:r w:rsidRPr="003B16E2">
        <w:rPr>
          <w:rFonts w:ascii="Garamond" w:hAnsi="Garamond"/>
          <w:sz w:val="16"/>
          <w:szCs w:val="16"/>
        </w:rPr>
        <w:t xml:space="preserve"> </w:t>
      </w:r>
    </w:p>
  </w:footnote>
  <w:footnote w:id="4">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Conclusion No. 07-1966 of 6 July 2017 (adopted at the 32</w:t>
      </w:r>
      <w:r w:rsidRPr="003B16E2">
        <w:rPr>
          <w:rFonts w:ascii="Garamond" w:hAnsi="Garamond"/>
          <w:sz w:val="16"/>
          <w:szCs w:val="16"/>
          <w:vertAlign w:val="superscript"/>
        </w:rPr>
        <w:t>nd</w:t>
      </w:r>
      <w:r w:rsidRPr="003B16E2">
        <w:rPr>
          <w:rFonts w:ascii="Garamond" w:hAnsi="Garamond"/>
          <w:sz w:val="16"/>
          <w:szCs w:val="16"/>
        </w:rPr>
        <w:t xml:space="preserve"> Session of the Government of Montenegro)</w:t>
      </w:r>
    </w:p>
  </w:footnote>
  <w:footnote w:id="5">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Updated version of the 2016-2020 Public Finance Management Reform Programme with the Action Plan: </w:t>
      </w:r>
      <w:hyperlink r:id="rId4" w:history="1">
        <w:r w:rsidRPr="003B16E2">
          <w:rPr>
            <w:rStyle w:val="Hyperlink"/>
            <w:rFonts w:ascii="Garamond" w:hAnsi="Garamond"/>
            <w:sz w:val="16"/>
            <w:szCs w:val="16"/>
          </w:rPr>
          <w:t>http://www.mf.gov.me/biblioteka/strateska_dokumenta</w:t>
        </w:r>
      </w:hyperlink>
      <w:r w:rsidRPr="003B16E2">
        <w:rPr>
          <w:rFonts w:ascii="Garamond" w:hAnsi="Garamond"/>
          <w:sz w:val="16"/>
          <w:szCs w:val="16"/>
        </w:rPr>
        <w:t xml:space="preserve"> </w:t>
      </w:r>
    </w:p>
  </w:footnote>
  <w:footnote w:id="6">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Performance Indicator Passports: </w:t>
      </w:r>
      <w:hyperlink r:id="rId5" w:history="1">
        <w:r w:rsidRPr="003B16E2">
          <w:rPr>
            <w:rStyle w:val="Hyperlink"/>
            <w:rFonts w:ascii="Garamond" w:hAnsi="Garamond"/>
            <w:sz w:val="16"/>
            <w:szCs w:val="16"/>
          </w:rPr>
          <w:t>http://www.mif.gov.me/biblioteka/strateska_dokumenta</w:t>
        </w:r>
      </w:hyperlink>
    </w:p>
  </w:footnote>
  <w:footnote w:id="7">
    <w:p w:rsidR="002C4371" w:rsidRPr="003B16E2" w:rsidRDefault="002C4371" w:rsidP="003343A3">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revised Programme covered three new areas: state aid, customs and the audit of EU funds. 2016-2020 Public Finance Management Reform Programme, website of the Ministry of Finance and Social Welfare, link to the document: </w:t>
      </w:r>
      <w:hyperlink r:id="rId6" w:history="1">
        <w:r w:rsidRPr="003B16E2">
          <w:rPr>
            <w:rStyle w:val="Hyperlink"/>
            <w:rFonts w:ascii="Garamond" w:hAnsi="Garamond"/>
            <w:sz w:val="16"/>
            <w:szCs w:val="16"/>
          </w:rPr>
          <w:t>http://www.mf.gov.me/biblioteka/strateska_dokumenta</w:t>
        </w:r>
      </w:hyperlink>
      <w:r w:rsidRPr="003B16E2">
        <w:rPr>
          <w:rFonts w:ascii="Garamond" w:hAnsi="Garamond"/>
          <w:sz w:val="16"/>
          <w:szCs w:val="16"/>
        </w:rPr>
        <w:t xml:space="preserve"> </w:t>
      </w:r>
    </w:p>
  </w:footnote>
  <w:footnote w:id="8">
    <w:p w:rsidR="002C4371" w:rsidRPr="003B16E2" w:rsidRDefault="002C4371" w:rsidP="003343A3">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In February 2018, Annual Report has been adopted, which includes the period of implementation from 1 January to 31 December 2017, based on the general overview of achieved results. It was previously adopted by the Council for Public Administration Reform, that is, the Government, and then sent to the Delegation of the European Union to Montenegro (DEU) for inspection. The 2016 Annual Report was adopted in March 2017 and can be downloaded from the website of the Ministry of Finance and Social Welfare: </w:t>
      </w:r>
      <w:hyperlink r:id="rId7" w:history="1">
        <w:r w:rsidRPr="003B16E2">
          <w:rPr>
            <w:rStyle w:val="Hyperlink"/>
            <w:rFonts w:ascii="Garamond" w:hAnsi="Garamond"/>
            <w:sz w:val="16"/>
            <w:szCs w:val="16"/>
          </w:rPr>
          <w:t>http://www.mf.gov.me/biblioteka/strateska_dokumenta</w:t>
        </w:r>
      </w:hyperlink>
      <w:r w:rsidRPr="003B16E2">
        <w:rPr>
          <w:rFonts w:ascii="Garamond" w:hAnsi="Garamond"/>
          <w:sz w:val="16"/>
          <w:szCs w:val="16"/>
        </w:rPr>
        <w:t xml:space="preserve"> </w:t>
      </w:r>
    </w:p>
  </w:footnote>
  <w:footnote w:id="9">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2016-2020 Public Finance Management Reform Programme: </w:t>
      </w:r>
      <w:hyperlink r:id="rId8" w:history="1">
        <w:r w:rsidRPr="003B16E2">
          <w:rPr>
            <w:rStyle w:val="Hyperlink"/>
            <w:rFonts w:ascii="Garamond" w:hAnsi="Garamond"/>
            <w:sz w:val="16"/>
            <w:szCs w:val="16"/>
          </w:rPr>
          <w:t>http://www.mif.gov.me/biblioteka/strateska_dokumenta</w:t>
        </w:r>
      </w:hyperlink>
      <w:r w:rsidRPr="003B16E2">
        <w:rPr>
          <w:rFonts w:ascii="Garamond" w:hAnsi="Garamond"/>
          <w:sz w:val="16"/>
          <w:szCs w:val="16"/>
        </w:rPr>
        <w:t xml:space="preserve"> </w:t>
      </w:r>
    </w:p>
  </w:footnote>
  <w:footnote w:id="10">
    <w:p w:rsidR="002C4371" w:rsidRPr="003B16E2" w:rsidRDefault="002C4371" w:rsidP="003B16E2">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IPA 2014 project Support to Public Finance Management Policies in the amount of </w:t>
      </w:r>
      <w:r>
        <w:rPr>
          <w:rFonts w:ascii="Garamond" w:hAnsi="Garamond"/>
          <w:sz w:val="16"/>
          <w:szCs w:val="16"/>
        </w:rPr>
        <w:t xml:space="preserve">€ </w:t>
      </w:r>
      <w:r w:rsidRPr="003B16E2">
        <w:rPr>
          <w:rFonts w:ascii="Garamond" w:hAnsi="Garamond"/>
          <w:sz w:val="16"/>
          <w:szCs w:val="16"/>
        </w:rPr>
        <w:t xml:space="preserve">4,000,000.00, of which </w:t>
      </w:r>
      <w:r>
        <w:rPr>
          <w:rFonts w:ascii="Garamond" w:hAnsi="Garamond"/>
          <w:sz w:val="16"/>
          <w:szCs w:val="16"/>
        </w:rPr>
        <w:t xml:space="preserve">€ </w:t>
      </w:r>
      <w:r w:rsidRPr="003B16E2">
        <w:rPr>
          <w:rFonts w:ascii="Garamond" w:hAnsi="Garamond"/>
          <w:sz w:val="16"/>
          <w:szCs w:val="16"/>
        </w:rPr>
        <w:t xml:space="preserve">3,600,000.00 is </w:t>
      </w:r>
      <w:r>
        <w:rPr>
          <w:rFonts w:ascii="Garamond" w:hAnsi="Garamond"/>
          <w:sz w:val="16"/>
          <w:szCs w:val="16"/>
        </w:rPr>
        <w:t>the</w:t>
      </w:r>
      <w:r w:rsidRPr="003B16E2">
        <w:rPr>
          <w:rFonts w:ascii="Garamond" w:hAnsi="Garamond"/>
          <w:sz w:val="16"/>
          <w:szCs w:val="16"/>
        </w:rPr>
        <w:t xml:space="preserve"> EU contribution; IPA 2014 project Implementation of Electronic Public Procurement System in the amount of </w:t>
      </w:r>
      <w:r>
        <w:rPr>
          <w:rFonts w:ascii="Garamond" w:hAnsi="Garamond"/>
          <w:sz w:val="16"/>
          <w:szCs w:val="16"/>
        </w:rPr>
        <w:t xml:space="preserve">€ </w:t>
      </w:r>
      <w:r w:rsidRPr="003B16E2">
        <w:rPr>
          <w:rFonts w:ascii="Garamond" w:hAnsi="Garamond"/>
          <w:sz w:val="16"/>
          <w:szCs w:val="16"/>
        </w:rPr>
        <w:t xml:space="preserve">1,650.00.00, of which </w:t>
      </w:r>
      <w:r>
        <w:rPr>
          <w:rFonts w:ascii="Garamond" w:hAnsi="Garamond"/>
          <w:sz w:val="16"/>
          <w:szCs w:val="16"/>
        </w:rPr>
        <w:t xml:space="preserve">€ </w:t>
      </w:r>
      <w:r w:rsidRPr="003B16E2">
        <w:rPr>
          <w:rFonts w:ascii="Garamond" w:hAnsi="Garamond"/>
          <w:sz w:val="16"/>
          <w:szCs w:val="16"/>
        </w:rPr>
        <w:t xml:space="preserve">1,500,000.00 represents the EU contribution; IPA 2014 project Support to the Tax Administration in the total amount of funding of </w:t>
      </w:r>
      <w:r>
        <w:rPr>
          <w:rFonts w:ascii="Garamond" w:hAnsi="Garamond"/>
          <w:sz w:val="16"/>
          <w:szCs w:val="16"/>
        </w:rPr>
        <w:t xml:space="preserve">€ </w:t>
      </w:r>
      <w:r w:rsidRPr="003B16E2">
        <w:rPr>
          <w:rFonts w:ascii="Garamond" w:hAnsi="Garamond"/>
          <w:sz w:val="16"/>
          <w:szCs w:val="16"/>
        </w:rPr>
        <w:t xml:space="preserve">1,000,000.00, of which </w:t>
      </w:r>
      <w:r>
        <w:rPr>
          <w:rFonts w:ascii="Garamond" w:hAnsi="Garamond"/>
          <w:sz w:val="16"/>
          <w:szCs w:val="16"/>
        </w:rPr>
        <w:t xml:space="preserve">€ </w:t>
      </w:r>
      <w:r w:rsidRPr="003B16E2">
        <w:rPr>
          <w:rFonts w:ascii="Garamond" w:hAnsi="Garamond"/>
          <w:sz w:val="16"/>
          <w:szCs w:val="16"/>
        </w:rPr>
        <w:t>900,000.00 is the EU contribution; IPA 2014 multi-beneficiary project Strengthening Economic and Public Finance Management</w:t>
      </w:r>
      <w:r>
        <w:rPr>
          <w:rFonts w:ascii="Garamond" w:hAnsi="Garamond"/>
          <w:sz w:val="16"/>
          <w:szCs w:val="16"/>
        </w:rPr>
        <w:t>,</w:t>
      </w:r>
      <w:r w:rsidRPr="003B16E2">
        <w:rPr>
          <w:rFonts w:ascii="Garamond" w:hAnsi="Garamond"/>
          <w:sz w:val="16"/>
          <w:szCs w:val="16"/>
        </w:rPr>
        <w:t xml:space="preserve"> of which the EU contribution amounts to </w:t>
      </w:r>
      <w:r>
        <w:rPr>
          <w:rFonts w:ascii="Garamond" w:hAnsi="Garamond"/>
          <w:sz w:val="16"/>
          <w:szCs w:val="16"/>
        </w:rPr>
        <w:t xml:space="preserve">€ </w:t>
      </w:r>
      <w:r w:rsidRPr="003B16E2">
        <w:rPr>
          <w:rFonts w:ascii="Garamond" w:hAnsi="Garamond"/>
          <w:sz w:val="16"/>
          <w:szCs w:val="16"/>
        </w:rPr>
        <w:t xml:space="preserve">8 million; and IPA 2014 project Support to the Customs Administration in the amount of </w:t>
      </w:r>
      <w:r>
        <w:rPr>
          <w:rFonts w:ascii="Garamond" w:hAnsi="Garamond"/>
          <w:sz w:val="16"/>
          <w:szCs w:val="16"/>
        </w:rPr>
        <w:t xml:space="preserve">€ </w:t>
      </w:r>
      <w:r w:rsidRPr="003B16E2">
        <w:rPr>
          <w:rFonts w:ascii="Garamond" w:hAnsi="Garamond"/>
          <w:sz w:val="16"/>
          <w:szCs w:val="16"/>
        </w:rPr>
        <w:t xml:space="preserve">3,300,000.00, of which </w:t>
      </w:r>
      <w:r>
        <w:rPr>
          <w:rFonts w:ascii="Garamond" w:hAnsi="Garamond"/>
          <w:sz w:val="16"/>
          <w:szCs w:val="16"/>
        </w:rPr>
        <w:t xml:space="preserve">€ </w:t>
      </w:r>
      <w:r w:rsidRPr="003B16E2">
        <w:rPr>
          <w:rFonts w:ascii="Garamond" w:hAnsi="Garamond"/>
          <w:sz w:val="16"/>
          <w:szCs w:val="16"/>
        </w:rPr>
        <w:t>2,970,000.00 is the EU contribution.</w:t>
      </w:r>
    </w:p>
  </w:footnote>
  <w:footnote w:id="11">
    <w:p w:rsidR="002C4371" w:rsidRPr="003B16E2" w:rsidRDefault="002C4371" w:rsidP="00413613">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Data on the Semi-Annual Report for 2019: 37% activities were fully implemented (36); 21% partly implemented (21); 42% have not been implemented (41).</w:t>
      </w:r>
    </w:p>
  </w:footnote>
  <w:footnote w:id="12">
    <w:p w:rsidR="002C4371" w:rsidRPr="003B16E2" w:rsidRDefault="002C4371" w:rsidP="000F0F62">
      <w:pPr>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Guidelines for Proposing and Selecting Financial and </w:t>
      </w:r>
      <w:r>
        <w:rPr>
          <w:rFonts w:ascii="Garamond" w:hAnsi="Garamond"/>
          <w:sz w:val="16"/>
          <w:szCs w:val="16"/>
        </w:rPr>
        <w:t xml:space="preserve">Regularity </w:t>
      </w:r>
      <w:r w:rsidRPr="003B16E2">
        <w:rPr>
          <w:rFonts w:ascii="Garamond" w:hAnsi="Garamond"/>
          <w:sz w:val="16"/>
          <w:szCs w:val="16"/>
        </w:rPr>
        <w:t xml:space="preserve">audits for the Annual Audit Plan were developed with the support of SIGMA, </w:t>
      </w:r>
      <w:hyperlink r:id="rId9" w:history="1">
        <w:r w:rsidRPr="003B16E2">
          <w:rPr>
            <w:rStyle w:val="Hyperlink"/>
            <w:rFonts w:ascii="Garamond" w:hAnsi="Garamond"/>
            <w:sz w:val="16"/>
            <w:szCs w:val="16"/>
          </w:rPr>
          <w:t>http://www.dri.co.me/1/doc/Smjernice%20za%20predlaganje%20i%20izbor%20finasijskih%20revizija%20i%20revizija%20pravilnosti%20za%20Godi%C5%A1nji%20plan%20revizija%20DRI.pdf</w:t>
        </w:r>
      </w:hyperlink>
      <w:r w:rsidRPr="003B16E2">
        <w:rPr>
          <w:rFonts w:ascii="Garamond" w:hAnsi="Garamond"/>
          <w:sz w:val="16"/>
          <w:szCs w:val="16"/>
        </w:rPr>
        <w:t xml:space="preserve"> </w:t>
      </w:r>
    </w:p>
    <w:p w:rsidR="002C4371" w:rsidRPr="003B16E2" w:rsidRDefault="002C4371">
      <w:pPr>
        <w:pStyle w:val="FootnoteText"/>
        <w:rPr>
          <w:sz w:val="16"/>
          <w:szCs w:val="16"/>
        </w:rPr>
      </w:pPr>
    </w:p>
  </w:footnote>
  <w:footnote w:id="13">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PEFA - Public Expenditure and Financial Accountability : </w:t>
      </w:r>
      <w:hyperlink r:id="rId10" w:history="1">
        <w:r w:rsidRPr="003B16E2">
          <w:rPr>
            <w:rStyle w:val="Hyperlink"/>
            <w:rFonts w:ascii="Garamond" w:hAnsi="Garamond"/>
            <w:sz w:val="16"/>
            <w:szCs w:val="16"/>
          </w:rPr>
          <w:t>http://www.mif.gov.me/ResourceManager/FileDownload.aspx?rId=395245&amp;rType=2</w:t>
        </w:r>
      </w:hyperlink>
      <w:r w:rsidRPr="003B16E2">
        <w:rPr>
          <w:rFonts w:ascii="Garamond" w:hAnsi="Garamond"/>
          <w:sz w:val="16"/>
          <w:szCs w:val="16"/>
        </w:rPr>
        <w:t xml:space="preserve"> </w:t>
      </w:r>
    </w:p>
  </w:footnote>
  <w:footnote w:id="14">
    <w:p w:rsidR="002C4371" w:rsidRPr="003B16E2" w:rsidRDefault="002C4371" w:rsidP="00EE4B98">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Direct budget support for the implementation of the Public Administration Reform Strategy amounts to €15 mil., while national co-financing is not provided for its implementation. Of this</w:t>
      </w:r>
      <w:r>
        <w:rPr>
          <w:rFonts w:ascii="Garamond" w:hAnsi="Garamond"/>
          <w:sz w:val="16"/>
          <w:szCs w:val="16"/>
        </w:rPr>
        <w:t xml:space="preserve"> amount, the Programme planned </w:t>
      </w:r>
      <w:r w:rsidRPr="003B16E2">
        <w:rPr>
          <w:rFonts w:ascii="Garamond" w:hAnsi="Garamond"/>
          <w:sz w:val="16"/>
          <w:szCs w:val="16"/>
        </w:rPr>
        <w:t xml:space="preserve">€12 mil. </w:t>
      </w:r>
      <w:proofErr w:type="gramStart"/>
      <w:r w:rsidRPr="003B16E2">
        <w:rPr>
          <w:rFonts w:ascii="Garamond" w:hAnsi="Garamond"/>
          <w:sz w:val="16"/>
          <w:szCs w:val="16"/>
        </w:rPr>
        <w:t>to</w:t>
      </w:r>
      <w:proofErr w:type="gramEnd"/>
      <w:r w:rsidRPr="003B16E2">
        <w:rPr>
          <w:rFonts w:ascii="Garamond" w:hAnsi="Garamond"/>
          <w:sz w:val="16"/>
          <w:szCs w:val="16"/>
        </w:rPr>
        <w:t xml:space="preserve"> be allocated through three tranches. </w:t>
      </w:r>
      <w:proofErr w:type="gramStart"/>
      <w:r w:rsidRPr="003B16E2">
        <w:rPr>
          <w:rFonts w:ascii="Garamond" w:hAnsi="Garamond"/>
          <w:sz w:val="16"/>
          <w:szCs w:val="16"/>
        </w:rPr>
        <w:t>The remaining € 3 mil.</w:t>
      </w:r>
      <w:proofErr w:type="gramEnd"/>
      <w:r w:rsidRPr="003B16E2">
        <w:rPr>
          <w:rFonts w:ascii="Garamond" w:hAnsi="Garamond"/>
          <w:sz w:val="16"/>
          <w:szCs w:val="16"/>
        </w:rPr>
        <w:t xml:space="preserve"> </w:t>
      </w:r>
      <w:proofErr w:type="gramStart"/>
      <w:r w:rsidRPr="003B16E2">
        <w:rPr>
          <w:rFonts w:ascii="Garamond" w:hAnsi="Garamond"/>
          <w:sz w:val="16"/>
          <w:szCs w:val="16"/>
        </w:rPr>
        <w:t>represent</w:t>
      </w:r>
      <w:proofErr w:type="gramEnd"/>
      <w:r w:rsidRPr="003B16E2">
        <w:rPr>
          <w:rFonts w:ascii="Garamond" w:hAnsi="Garamond"/>
          <w:sz w:val="16"/>
          <w:szCs w:val="16"/>
        </w:rPr>
        <w:t xml:space="preserve"> complementary technical support, to be contracted by the Delegation of </w:t>
      </w:r>
      <w:r>
        <w:rPr>
          <w:rFonts w:ascii="Garamond" w:hAnsi="Garamond"/>
          <w:sz w:val="16"/>
          <w:szCs w:val="16"/>
        </w:rPr>
        <w:t xml:space="preserve">the </w:t>
      </w:r>
      <w:r w:rsidRPr="003B16E2">
        <w:rPr>
          <w:rFonts w:ascii="Garamond" w:hAnsi="Garamond"/>
          <w:sz w:val="16"/>
          <w:szCs w:val="16"/>
        </w:rPr>
        <w:t xml:space="preserve">European Union </w:t>
      </w:r>
      <w:r>
        <w:rPr>
          <w:rFonts w:ascii="Garamond" w:hAnsi="Garamond"/>
          <w:sz w:val="16"/>
          <w:szCs w:val="16"/>
        </w:rPr>
        <w:t>to</w:t>
      </w:r>
      <w:r w:rsidRPr="003B16E2">
        <w:rPr>
          <w:rFonts w:ascii="Garamond" w:hAnsi="Garamond"/>
          <w:sz w:val="16"/>
          <w:szCs w:val="16"/>
        </w:rPr>
        <w:t xml:space="preserve"> Montenegro. Therefore, the first fixed tranche in the amount of €4 mil. </w:t>
      </w:r>
      <w:proofErr w:type="gramStart"/>
      <w:r w:rsidRPr="003B16E2">
        <w:rPr>
          <w:rFonts w:ascii="Garamond" w:hAnsi="Garamond"/>
          <w:sz w:val="16"/>
          <w:szCs w:val="16"/>
        </w:rPr>
        <w:t>has</w:t>
      </w:r>
      <w:proofErr w:type="gramEnd"/>
      <w:r w:rsidRPr="003B16E2">
        <w:rPr>
          <w:rFonts w:ascii="Garamond" w:hAnsi="Garamond"/>
          <w:sz w:val="16"/>
          <w:szCs w:val="16"/>
        </w:rPr>
        <w:t xml:space="preserve"> been paid to Montenegro on 28 November 2018, while the first variable tranche in the amount of €2.1 million was paid in December 2019. The deadline for submitting requests for the payment of the second fixed (and also final) tranche is </w:t>
      </w:r>
      <w:r>
        <w:rPr>
          <w:rFonts w:ascii="Garamond" w:hAnsi="Garamond"/>
          <w:sz w:val="16"/>
          <w:szCs w:val="16"/>
        </w:rPr>
        <w:t xml:space="preserve">Q3 </w:t>
      </w:r>
      <w:r w:rsidRPr="003B16E2">
        <w:rPr>
          <w:rFonts w:ascii="Garamond" w:hAnsi="Garamond"/>
          <w:sz w:val="16"/>
          <w:szCs w:val="16"/>
        </w:rPr>
        <w:t>2021.</w:t>
      </w:r>
    </w:p>
  </w:footnote>
  <w:footnote w:id="15">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w:t>
      </w:r>
      <w:hyperlink r:id="rId11" w:history="1">
        <w:r w:rsidRPr="003B16E2">
          <w:rPr>
            <w:rStyle w:val="Hyperlink"/>
            <w:rFonts w:ascii="Garamond" w:hAnsi="Garamond"/>
            <w:sz w:val="16"/>
            <w:szCs w:val="16"/>
          </w:rPr>
          <w:t>http://www.mif.gov.me/rubrike/Budzet_Ministarstva_finansija/</w:t>
        </w:r>
      </w:hyperlink>
      <w:r w:rsidRPr="003B16E2">
        <w:rPr>
          <w:rFonts w:ascii="Garamond" w:hAnsi="Garamond"/>
          <w:sz w:val="16"/>
          <w:szCs w:val="16"/>
        </w:rPr>
        <w:t xml:space="preserve"> </w:t>
      </w:r>
    </w:p>
  </w:footnote>
  <w:footnote w:id="16">
    <w:p w:rsidR="002C4371" w:rsidRPr="00B61D6F" w:rsidRDefault="002C4371" w:rsidP="003A1D74">
      <w:pPr>
        <w:pStyle w:val="Footer"/>
        <w:rPr>
          <w:rFonts w:ascii="Garamond" w:hAnsi="Garamond"/>
          <w:sz w:val="16"/>
          <w:szCs w:val="16"/>
        </w:rPr>
      </w:pPr>
      <w:r w:rsidRPr="00B61D6F">
        <w:rPr>
          <w:rStyle w:val="FootnoteReference"/>
          <w:rFonts w:ascii="Garamond" w:hAnsi="Garamond"/>
          <w:sz w:val="16"/>
          <w:szCs w:val="16"/>
        </w:rPr>
        <w:footnoteRef/>
      </w:r>
      <w:r w:rsidRPr="00B61D6F">
        <w:rPr>
          <w:rFonts w:ascii="Garamond" w:hAnsi="Garamond"/>
          <w:sz w:val="16"/>
          <w:szCs w:val="16"/>
        </w:rPr>
        <w:t xml:space="preserve"> In 2020, the implementation of the capital budget, excluding the highway amounted to 180.60%, and with the included highway is 107.6%.</w:t>
      </w:r>
    </w:p>
  </w:footnote>
  <w:footnote w:id="17">
    <w:p w:rsidR="002C4371" w:rsidRPr="003B16E2" w:rsidRDefault="002C4371" w:rsidP="00801BAB">
      <w:pPr>
        <w:pStyle w:val="FootnoteText"/>
        <w:jc w:val="both"/>
        <w:rPr>
          <w:rFonts w:ascii="Garamond" w:hAnsi="Garamond"/>
          <w:sz w:val="16"/>
          <w:szCs w:val="16"/>
          <w:lang w:val="en-GB"/>
        </w:rPr>
      </w:pPr>
      <w:r w:rsidRPr="003B16E2">
        <w:rPr>
          <w:rStyle w:val="FootnoteReference"/>
          <w:sz w:val="16"/>
          <w:szCs w:val="16"/>
        </w:rPr>
        <w:footnoteRef/>
      </w:r>
      <w:r w:rsidRPr="003B16E2">
        <w:rPr>
          <w:sz w:val="16"/>
          <w:szCs w:val="16"/>
        </w:rPr>
        <w:t xml:space="preserve"> </w:t>
      </w:r>
      <w:r w:rsidRPr="003B16E2">
        <w:rPr>
          <w:rFonts w:ascii="Garamond" w:hAnsi="Garamond"/>
          <w:sz w:val="16"/>
          <w:szCs w:val="16"/>
        </w:rPr>
        <w:t>In accordance with the Regulation on the Organi</w:t>
      </w:r>
      <w:r>
        <w:rPr>
          <w:rFonts w:ascii="Garamond" w:hAnsi="Garamond"/>
          <w:sz w:val="16"/>
          <w:szCs w:val="16"/>
        </w:rPr>
        <w:t>sation</w:t>
      </w:r>
      <w:r w:rsidRPr="003B16E2">
        <w:rPr>
          <w:rFonts w:ascii="Garamond" w:hAnsi="Garamond"/>
          <w:sz w:val="16"/>
          <w:szCs w:val="16"/>
        </w:rPr>
        <w:t xml:space="preserve"> and Manner of Work of the Public Administration, the Tax Administration, as well as the Customs Administration, became the Revenue &amp; Customs Administration. In order to more efficiently implement the policy in the field of revenues, the proposed changes merge the competencies of the previous Revenue Administration and the Customs Administration (April 15, 2021).</w:t>
      </w:r>
    </w:p>
  </w:footnote>
  <w:footnote w:id="18">
    <w:p w:rsidR="002C4371" w:rsidRPr="003B16E2" w:rsidRDefault="002C4371" w:rsidP="009C338A">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project became effective in March 2018; </w:t>
      </w:r>
      <w:proofErr w:type="gramStart"/>
      <w:r w:rsidRPr="003B16E2">
        <w:rPr>
          <w:rFonts w:ascii="Garamond" w:hAnsi="Garamond"/>
          <w:sz w:val="16"/>
          <w:szCs w:val="16"/>
        </w:rPr>
        <w:t>The</w:t>
      </w:r>
      <w:proofErr w:type="gramEnd"/>
      <w:r w:rsidRPr="003B16E2">
        <w:rPr>
          <w:rFonts w:ascii="Garamond" w:hAnsi="Garamond"/>
          <w:sz w:val="16"/>
          <w:szCs w:val="16"/>
        </w:rPr>
        <w:t xml:space="preserve"> value of the </w:t>
      </w:r>
      <w:r>
        <w:rPr>
          <w:rFonts w:ascii="Garamond" w:hAnsi="Garamond"/>
          <w:sz w:val="16"/>
          <w:szCs w:val="16"/>
        </w:rPr>
        <w:t>project is €</w:t>
      </w:r>
      <w:r w:rsidRPr="003B16E2">
        <w:rPr>
          <w:rFonts w:ascii="Garamond" w:hAnsi="Garamond"/>
          <w:sz w:val="16"/>
          <w:szCs w:val="16"/>
        </w:rPr>
        <w:t>14 million (</w:t>
      </w:r>
      <w:r>
        <w:rPr>
          <w:rFonts w:ascii="Garamond" w:hAnsi="Garamond"/>
          <w:sz w:val="16"/>
          <w:szCs w:val="16"/>
        </w:rPr>
        <w:t xml:space="preserve">€ </w:t>
      </w:r>
      <w:r w:rsidRPr="003B16E2">
        <w:rPr>
          <w:rFonts w:ascii="Garamond" w:hAnsi="Garamond"/>
          <w:sz w:val="16"/>
          <w:szCs w:val="16"/>
        </w:rPr>
        <w:t xml:space="preserve">10 million for IT and </w:t>
      </w:r>
      <w:r>
        <w:rPr>
          <w:rFonts w:ascii="Garamond" w:hAnsi="Garamond"/>
          <w:sz w:val="16"/>
          <w:szCs w:val="16"/>
        </w:rPr>
        <w:t xml:space="preserve">€ </w:t>
      </w:r>
      <w:r w:rsidRPr="003B16E2">
        <w:rPr>
          <w:rFonts w:ascii="Garamond" w:hAnsi="Garamond"/>
          <w:sz w:val="16"/>
          <w:szCs w:val="16"/>
        </w:rPr>
        <w:t xml:space="preserve">4 million for the business part). In the first half of 2019, the </w:t>
      </w:r>
      <w:r>
        <w:rPr>
          <w:rFonts w:ascii="Garamond" w:hAnsi="Garamond"/>
          <w:sz w:val="16"/>
          <w:szCs w:val="16"/>
        </w:rPr>
        <w:t>reprogramming</w:t>
      </w:r>
      <w:r w:rsidRPr="003B16E2">
        <w:rPr>
          <w:rFonts w:ascii="Garamond" w:hAnsi="Garamond"/>
          <w:sz w:val="16"/>
          <w:szCs w:val="16"/>
        </w:rPr>
        <w:t xml:space="preserve"> of the project ‘Tax Administration Reform in Montenegro (RARP)’ in the amount of € 18,800 mill</w:t>
      </w:r>
      <w:r>
        <w:rPr>
          <w:rFonts w:ascii="Garamond" w:hAnsi="Garamond"/>
          <w:sz w:val="16"/>
          <w:szCs w:val="16"/>
        </w:rPr>
        <w:t>ion was completed, under which EFI</w:t>
      </w:r>
      <w:r w:rsidRPr="003B16E2">
        <w:rPr>
          <w:rFonts w:ascii="Garamond" w:hAnsi="Garamond"/>
          <w:sz w:val="16"/>
          <w:szCs w:val="16"/>
        </w:rPr>
        <w:t xml:space="preserve"> was included as Component 4 (total amount of </w:t>
      </w:r>
      <w:r>
        <w:rPr>
          <w:rFonts w:ascii="Garamond" w:hAnsi="Garamond"/>
          <w:sz w:val="16"/>
          <w:szCs w:val="16"/>
        </w:rPr>
        <w:t xml:space="preserve">€ </w:t>
      </w:r>
      <w:r w:rsidRPr="003B16E2">
        <w:rPr>
          <w:rFonts w:ascii="Garamond" w:hAnsi="Garamond"/>
          <w:sz w:val="16"/>
          <w:szCs w:val="16"/>
        </w:rPr>
        <w:t>4,800,000).</w:t>
      </w:r>
    </w:p>
  </w:footnote>
  <w:footnote w:id="19">
    <w:p w:rsidR="002C4371" w:rsidRPr="003B16E2" w:rsidRDefault="002C4371" w:rsidP="002F33DC">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In accordance with the Regulation on the Organi</w:t>
      </w:r>
      <w:r>
        <w:rPr>
          <w:rFonts w:ascii="Garamond" w:hAnsi="Garamond"/>
          <w:sz w:val="16"/>
          <w:szCs w:val="16"/>
        </w:rPr>
        <w:t>sation</w:t>
      </w:r>
      <w:r w:rsidRPr="003B16E2">
        <w:rPr>
          <w:rFonts w:ascii="Garamond" w:hAnsi="Garamond"/>
          <w:sz w:val="16"/>
          <w:szCs w:val="16"/>
        </w:rPr>
        <w:t xml:space="preserve"> and Manner of Work of the Public Administration, the Tax Administration, as well as the Customs Administration</w:t>
      </w:r>
      <w:proofErr w:type="gramStart"/>
      <w:r w:rsidRPr="003B16E2">
        <w:rPr>
          <w:rFonts w:ascii="Garamond" w:hAnsi="Garamond"/>
          <w:sz w:val="16"/>
          <w:szCs w:val="16"/>
        </w:rPr>
        <w:t>,  became</w:t>
      </w:r>
      <w:proofErr w:type="gramEnd"/>
      <w:r w:rsidRPr="003B16E2">
        <w:rPr>
          <w:rFonts w:ascii="Garamond" w:hAnsi="Garamond"/>
          <w:sz w:val="16"/>
          <w:szCs w:val="16"/>
        </w:rPr>
        <w:t xml:space="preserve"> the Revenue &amp; Customs Administration.  In order to more efficiently implement the policy in the field of revenues, the proposed changes merge the competencies of the previous Revenue Administration and the Customs Administration (April 15, 2021).</w:t>
      </w:r>
    </w:p>
  </w:footnote>
  <w:footnote w:id="20">
    <w:p w:rsidR="002C4371" w:rsidRPr="00E42B5F" w:rsidRDefault="002C4371" w:rsidP="000257FD">
      <w:pPr>
        <w:pStyle w:val="FootnoteText"/>
        <w:rPr>
          <w:rFonts w:ascii="Garamond" w:hAnsi="Garamond"/>
          <w:sz w:val="16"/>
          <w:szCs w:val="16"/>
        </w:rPr>
      </w:pPr>
      <w:r w:rsidRPr="00E42B5F">
        <w:rPr>
          <w:rStyle w:val="FootnoteReference"/>
          <w:rFonts w:ascii="Garamond" w:hAnsi="Garamond"/>
          <w:sz w:val="16"/>
          <w:szCs w:val="16"/>
        </w:rPr>
        <w:footnoteRef/>
      </w:r>
      <w:r w:rsidRPr="00E42B5F">
        <w:rPr>
          <w:rFonts w:ascii="Garamond" w:hAnsi="Garamond"/>
          <w:sz w:val="16"/>
          <w:szCs w:val="16"/>
        </w:rPr>
        <w:t xml:space="preserve"> Data contained in the Public Procurement Report for</w:t>
      </w:r>
      <w:r>
        <w:rPr>
          <w:rFonts w:ascii="Garamond" w:hAnsi="Garamond"/>
          <w:sz w:val="16"/>
          <w:szCs w:val="16"/>
        </w:rPr>
        <w:t xml:space="preserve"> 2020, prepared by the Ministry</w:t>
      </w:r>
      <w:r w:rsidRPr="00E42B5F">
        <w:rPr>
          <w:rFonts w:ascii="Garamond" w:hAnsi="Garamond"/>
          <w:sz w:val="16"/>
          <w:szCs w:val="16"/>
        </w:rPr>
        <w:t xml:space="preserve"> of Finance and Social Welfare in accordance with the Law, based on individual reports of contracting authorities.</w:t>
      </w:r>
    </w:p>
  </w:footnote>
  <w:footnote w:id="21">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Law on State Aid Control (Official Gazette of Montenegro, No. 012/18 of February 23, 2018 )</w:t>
      </w:r>
    </w:p>
  </w:footnote>
  <w:footnote w:id="22">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Agency for Protection of Competition is an independent body that independently performs activities determined by the Law on Protection of Competition, as well as the Law on State Aid Control.</w:t>
      </w:r>
    </w:p>
  </w:footnote>
  <w:footnote w:id="23">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w:t>
      </w:r>
      <w:proofErr w:type="gramStart"/>
      <w:r w:rsidRPr="003B16E2">
        <w:rPr>
          <w:rFonts w:ascii="Garamond" w:hAnsi="Garamond"/>
          <w:sz w:val="16"/>
          <w:szCs w:val="16"/>
        </w:rPr>
        <w:t>IPA 2016 Project ‘Strengthening Administrative Capacities in the Areas of State Aid and Public Procurement’.</w:t>
      </w:r>
      <w:proofErr w:type="gramEnd"/>
      <w:r w:rsidRPr="003B16E2">
        <w:rPr>
          <w:rFonts w:ascii="Garamond" w:hAnsi="Garamond"/>
          <w:sz w:val="16"/>
          <w:szCs w:val="16"/>
        </w:rPr>
        <w:t xml:space="preserve"> The budget for the project is 870,000 euros.</w:t>
      </w:r>
    </w:p>
  </w:footnote>
  <w:footnote w:id="24">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Rulebook on Internal Organi</w:t>
      </w:r>
      <w:r>
        <w:rPr>
          <w:rFonts w:ascii="Garamond" w:hAnsi="Garamond"/>
          <w:sz w:val="16"/>
          <w:szCs w:val="16"/>
        </w:rPr>
        <w:t>sation</w:t>
      </w:r>
      <w:r w:rsidRPr="003B16E2">
        <w:rPr>
          <w:rFonts w:ascii="Garamond" w:hAnsi="Garamond"/>
          <w:sz w:val="16"/>
          <w:szCs w:val="16"/>
        </w:rPr>
        <w:t xml:space="preserve"> and Systemati</w:t>
      </w:r>
      <w:r>
        <w:rPr>
          <w:rFonts w:ascii="Garamond" w:hAnsi="Garamond"/>
          <w:sz w:val="16"/>
          <w:szCs w:val="16"/>
        </w:rPr>
        <w:t>sation</w:t>
      </w:r>
      <w:r w:rsidRPr="003B16E2">
        <w:rPr>
          <w:rFonts w:ascii="Garamond" w:hAnsi="Garamond"/>
          <w:sz w:val="16"/>
          <w:szCs w:val="16"/>
        </w:rPr>
        <w:t xml:space="preserve"> of the Ministry of Finance and Social Welfare, </w:t>
      </w:r>
      <w:hyperlink r:id="rId12" w:history="1">
        <w:r w:rsidRPr="003B16E2">
          <w:rPr>
            <w:rStyle w:val="Hyperlink"/>
            <w:rFonts w:ascii="Garamond" w:hAnsi="Garamond"/>
            <w:sz w:val="16"/>
            <w:szCs w:val="16"/>
          </w:rPr>
          <w:t>http://www.mif.gov.me/ministarstvo/Djelatnosti/178168/Pravilnik-o-unutrasnoj-organizacije-i-sistematizacije-Ministarstva-finansija.html</w:t>
        </w:r>
      </w:hyperlink>
      <w:r w:rsidRPr="003B16E2">
        <w:rPr>
          <w:rFonts w:ascii="Garamond" w:hAnsi="Garamond"/>
          <w:sz w:val="16"/>
          <w:szCs w:val="16"/>
        </w:rPr>
        <w:t xml:space="preserve"> </w:t>
      </w:r>
    </w:p>
  </w:footnote>
  <w:footnote w:id="25">
    <w:p w:rsidR="002C4371" w:rsidRPr="003B16E2" w:rsidRDefault="002C4371" w:rsidP="00125E71">
      <w:pPr>
        <w:jc w:val="both"/>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Increase in gross public debt amounted to 16.6%. If we take into account the fact that, at the end of 2019, deposits amounted to 597.13 million, the value of gross public debt, at the end of 2019, amounted to 76.5% of GDP, while the value of net public debt amounted to 64.4 % of GDP.</w:t>
      </w:r>
    </w:p>
  </w:footnote>
  <w:footnote w:id="26">
    <w:p w:rsidR="002C4371" w:rsidRPr="003B16E2" w:rsidRDefault="002C4371" w:rsidP="00125E71">
      <w:pPr>
        <w:jc w:val="both"/>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Increase in gross public debt amounted to 16%. </w:t>
      </w:r>
      <w:proofErr w:type="gramStart"/>
      <w:r w:rsidRPr="003B16E2">
        <w:rPr>
          <w:rFonts w:ascii="Garamond" w:hAnsi="Garamond"/>
          <w:sz w:val="16"/>
          <w:szCs w:val="16"/>
        </w:rPr>
        <w:t xml:space="preserve">If we take into account the fact that, at the end of 2020 the deposits amounted to 872.43 million, the value of gross public debt, at the </w:t>
      </w:r>
      <w:r>
        <w:rPr>
          <w:rFonts w:ascii="Garamond" w:hAnsi="Garamond"/>
          <w:sz w:val="16"/>
          <w:szCs w:val="16"/>
        </w:rPr>
        <w:t>end of 2020, amounted to 105.15</w:t>
      </w:r>
      <w:r w:rsidRPr="003B16E2">
        <w:rPr>
          <w:rFonts w:ascii="Garamond" w:hAnsi="Garamond"/>
          <w:sz w:val="16"/>
          <w:szCs w:val="16"/>
        </w:rPr>
        <w:t>% of GDP, while the value of net public debt amounted to 8</w:t>
      </w:r>
      <w:r>
        <w:rPr>
          <w:rFonts w:ascii="Garamond" w:hAnsi="Garamond"/>
          <w:sz w:val="16"/>
          <w:szCs w:val="16"/>
        </w:rPr>
        <w:t>4.34% of GDP estimated for 2020</w:t>
      </w:r>
      <w:r w:rsidRPr="003B16E2">
        <w:rPr>
          <w:rFonts w:ascii="Garamond" w:hAnsi="Garamond"/>
          <w:sz w:val="16"/>
          <w:szCs w:val="16"/>
        </w:rPr>
        <w:t>.</w:t>
      </w:r>
      <w:proofErr w:type="gramEnd"/>
    </w:p>
  </w:footnote>
  <w:footnote w:id="27">
    <w:p w:rsidR="002C4371" w:rsidRPr="003B16E2" w:rsidRDefault="002C4371" w:rsidP="002438B2">
      <w:pPr>
        <w:pStyle w:val="FootnoteText"/>
        <w:jc w:val="both"/>
        <w:rPr>
          <w:sz w:val="16"/>
          <w:szCs w:val="16"/>
          <w:lang w:val="en-GB"/>
        </w:rPr>
      </w:pPr>
      <w:r w:rsidRPr="003B16E2">
        <w:rPr>
          <w:rStyle w:val="FootnoteReference"/>
          <w:sz w:val="16"/>
          <w:szCs w:val="16"/>
        </w:rPr>
        <w:footnoteRef/>
      </w:r>
      <w:r w:rsidRPr="003B16E2">
        <w:rPr>
          <w:sz w:val="16"/>
          <w:szCs w:val="16"/>
        </w:rPr>
        <w:t xml:space="preserve"> </w:t>
      </w:r>
      <w:proofErr w:type="gramStart"/>
      <w:r w:rsidRPr="003B16E2">
        <w:rPr>
          <w:rFonts w:ascii="Garamond" w:hAnsi="Garamond"/>
          <w:sz w:val="16"/>
          <w:szCs w:val="16"/>
        </w:rPr>
        <w:t xml:space="preserve">Rulebook on the training programme and the manner of taking the exam for obtaining the certificate of </w:t>
      </w:r>
      <w:r>
        <w:rPr>
          <w:rFonts w:ascii="Garamond" w:hAnsi="Garamond"/>
          <w:sz w:val="16"/>
          <w:szCs w:val="16"/>
        </w:rPr>
        <w:t xml:space="preserve">public sector </w:t>
      </w:r>
      <w:r w:rsidRPr="003B16E2">
        <w:rPr>
          <w:rFonts w:ascii="Garamond" w:hAnsi="Garamond"/>
          <w:sz w:val="16"/>
          <w:szCs w:val="16"/>
        </w:rPr>
        <w:t>internal</w:t>
      </w:r>
      <w:r>
        <w:rPr>
          <w:rFonts w:ascii="Garamond" w:hAnsi="Garamond"/>
          <w:sz w:val="16"/>
          <w:szCs w:val="16"/>
        </w:rPr>
        <w:t xml:space="preserve"> auditor (Official Gazette of Montenegro</w:t>
      </w:r>
      <w:r w:rsidRPr="003B16E2">
        <w:rPr>
          <w:rFonts w:ascii="Garamond" w:hAnsi="Garamond"/>
          <w:sz w:val="16"/>
          <w:szCs w:val="16"/>
        </w:rPr>
        <w:t>, No. 071/19 of 25 December 2019).</w:t>
      </w:r>
      <w:proofErr w:type="gramEnd"/>
    </w:p>
  </w:footnote>
  <w:footnote w:id="28">
    <w:p w:rsidR="002C4371" w:rsidRPr="003B16E2" w:rsidRDefault="002C4371" w:rsidP="00D42C6B">
      <w:pPr>
        <w:pStyle w:val="FootnoteText"/>
        <w:rPr>
          <w:sz w:val="16"/>
          <w:szCs w:val="16"/>
          <w:lang w:val="sr-Latn-CS"/>
        </w:rPr>
      </w:pPr>
    </w:p>
  </w:footnote>
  <w:footnote w:id="29">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trainings have so far been largely funded by donors.</w:t>
      </w:r>
    </w:p>
  </w:footnote>
  <w:footnote w:id="30">
    <w:p w:rsidR="002C4371" w:rsidRPr="003B16E2" w:rsidRDefault="002C4371" w:rsidP="009860A3">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Public Sector Accounting Law, which was adopted by the Parliament of Montenegro on 22 November 2019 (Official Gazette of Montenegro, No. 066/19 of 06 December 2019).</w:t>
      </w:r>
    </w:p>
  </w:footnote>
  <w:footnote w:id="31">
    <w:p w:rsidR="002C4371" w:rsidRPr="003B16E2" w:rsidRDefault="002C4371" w:rsidP="00553AFE">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Law stipulates that the deadline for the adoption of bylaws is one year from the date of adoption of the Law, since the Law begins to apply on January 1, 2022.</w:t>
      </w:r>
    </w:p>
  </w:footnote>
  <w:footnote w:id="32">
    <w:p w:rsidR="002C4371" w:rsidRPr="003B16E2" w:rsidRDefault="002C4371" w:rsidP="00075DEB">
      <w:pPr>
        <w:pStyle w:val="FootnoteText"/>
        <w:contextualSpacing/>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Given that trainings begin in the middle of the year, the year of training does not coincide with a calendar year, bu</w:t>
      </w:r>
      <w:r>
        <w:rPr>
          <w:rFonts w:ascii="Garamond" w:hAnsi="Garamond"/>
          <w:sz w:val="16"/>
          <w:szCs w:val="16"/>
        </w:rPr>
        <w:t>t extends to two calendar years</w:t>
      </w:r>
      <w:r w:rsidRPr="003B16E2">
        <w:rPr>
          <w:rFonts w:ascii="Garamond" w:hAnsi="Garamond"/>
          <w:sz w:val="16"/>
          <w:szCs w:val="16"/>
        </w:rPr>
        <w:t xml:space="preserve">. </w:t>
      </w:r>
    </w:p>
  </w:footnote>
  <w:footnote w:id="33">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Trainings for indirect budget users (public services, local self-government and municipal branches) that started in June 2020 were interrupted due to National Coordination Body recommendations but were completed through a link to video presentations of trainings for work on the ARS web application (Asset Registry System), which were recorded so that the project of a single record of state property would not be interrupted. Due to the situation caused by COVID-19, the migration of data on real estate and movable property obtained from end users to the ARS application is planned for the first half of 2021.    </w:t>
      </w:r>
    </w:p>
  </w:footnote>
  <w:footnote w:id="34">
    <w:p w:rsidR="002C4371" w:rsidRPr="003B16E2" w:rsidRDefault="002C4371" w:rsidP="004F74BF">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Parliament of Montenegro passed the Law on State Property, which entered into force in March 2009, which stipulates the obligation for the administrative body responsible for property affairs to establish a single register of state property, within 90 days from the date of expiration of the deadline set by the public and municipal authorities. According to these provisions, the state property register was to be operational by summer 2010.</w:t>
      </w:r>
    </w:p>
  </w:footnote>
  <w:footnote w:id="35">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contract was signed on November 19, 2018, which lasted until September 2020.</w:t>
      </w:r>
    </w:p>
  </w:footnote>
  <w:footnote w:id="36">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Innovated 2016-2020</w:t>
      </w:r>
      <w:r>
        <w:rPr>
          <w:rFonts w:ascii="Garamond" w:hAnsi="Garamond"/>
          <w:sz w:val="16"/>
          <w:szCs w:val="16"/>
        </w:rPr>
        <w:t xml:space="preserve"> </w:t>
      </w:r>
      <w:r w:rsidRPr="003B16E2">
        <w:rPr>
          <w:rFonts w:ascii="Garamond" w:hAnsi="Garamond"/>
          <w:sz w:val="16"/>
          <w:szCs w:val="16"/>
        </w:rPr>
        <w:t>Public Finance Management Reform Program</w:t>
      </w:r>
      <w:r>
        <w:rPr>
          <w:rFonts w:ascii="Garamond" w:hAnsi="Garamond"/>
          <w:sz w:val="16"/>
          <w:szCs w:val="16"/>
        </w:rPr>
        <w:t>me</w:t>
      </w:r>
      <w:r w:rsidRPr="003B16E2">
        <w:rPr>
          <w:rFonts w:ascii="Garamond" w:hAnsi="Garamond"/>
          <w:sz w:val="16"/>
          <w:szCs w:val="16"/>
        </w:rPr>
        <w:t xml:space="preserve">, with Action Plan and </w:t>
      </w:r>
      <w:r>
        <w:rPr>
          <w:rFonts w:ascii="Garamond" w:hAnsi="Garamond"/>
          <w:sz w:val="16"/>
          <w:szCs w:val="16"/>
        </w:rPr>
        <w:t>Indicator</w:t>
      </w:r>
      <w:r w:rsidRPr="003B16E2">
        <w:rPr>
          <w:rFonts w:ascii="Garamond" w:hAnsi="Garamond"/>
          <w:sz w:val="16"/>
          <w:szCs w:val="16"/>
        </w:rPr>
        <w:t xml:space="preserve"> Passport</w:t>
      </w:r>
      <w:r>
        <w:rPr>
          <w:rFonts w:ascii="Garamond" w:hAnsi="Garamond"/>
          <w:sz w:val="16"/>
          <w:szCs w:val="16"/>
        </w:rPr>
        <w:t>s</w:t>
      </w:r>
      <w:r w:rsidRPr="003B16E2">
        <w:rPr>
          <w:rFonts w:ascii="Garamond" w:hAnsi="Garamond"/>
          <w:sz w:val="16"/>
          <w:szCs w:val="16"/>
        </w:rPr>
        <w:t xml:space="preserve"> (June 2018). https://www.mif.gov.me/biblioteka/strateska_dokumenta</w:t>
      </w:r>
    </w:p>
  </w:footnote>
  <w:footnote w:id="37">
    <w:p w:rsidR="002C4371" w:rsidRPr="003B16E2" w:rsidRDefault="002C4371" w:rsidP="00540DC8">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document was adopte</w:t>
      </w:r>
      <w:r>
        <w:rPr>
          <w:rFonts w:ascii="Garamond" w:hAnsi="Garamond"/>
          <w:sz w:val="16"/>
          <w:szCs w:val="16"/>
        </w:rPr>
        <w:t>d in 2019 and published in the Official Gazette of Montenegro</w:t>
      </w:r>
      <w:r w:rsidRPr="003B16E2">
        <w:rPr>
          <w:rFonts w:ascii="Garamond" w:hAnsi="Garamond"/>
          <w:sz w:val="16"/>
          <w:szCs w:val="16"/>
        </w:rPr>
        <w:t>, No. 068/19; It is also available on the website of the State Audit Institution - www.dri.co.me</w:t>
      </w:r>
    </w:p>
  </w:footnote>
  <w:footnote w:id="38">
    <w:p w:rsidR="002C4371" w:rsidRPr="003B16E2" w:rsidRDefault="002C4371" w:rsidP="00540DC8">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Guidelines for proposing and selecting financial audits and regularity audits for the Annual Audit Plan were developed with the support of SIGMA</w:t>
      </w:r>
    </w:p>
  </w:footnote>
  <w:footnote w:id="39">
    <w:p w:rsidR="002C4371" w:rsidRPr="003B16E2" w:rsidRDefault="002C4371" w:rsidP="00540DC8">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Action Plan for the implementation of the 2020-2024 State Audit Institution Communication Strategy was developed with the support of SIGMA.</w:t>
      </w:r>
    </w:p>
  </w:footnote>
  <w:footnote w:id="40">
    <w:p w:rsidR="002C4371" w:rsidRPr="003B16E2" w:rsidRDefault="002C4371" w:rsidP="00540DC8">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Work has begun on the development of an Action Plan for the implementation of the 2021-2025 SAI Human Resources Management Strategy with the support of SIGMA</w:t>
      </w:r>
    </w:p>
  </w:footnote>
  <w:footnote w:id="41">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w:t>
      </w:r>
      <w:proofErr w:type="gramStart"/>
      <w:r w:rsidRPr="003B16E2">
        <w:rPr>
          <w:rFonts w:ascii="Garamond" w:hAnsi="Garamond"/>
          <w:sz w:val="16"/>
          <w:szCs w:val="16"/>
        </w:rPr>
        <w:t>National IPA Program, Regional and Territorial Cooperation Program as well as the Education, Employment and Social Policy Program.</w:t>
      </w:r>
      <w:proofErr w:type="gramEnd"/>
    </w:p>
  </w:footnote>
  <w:footnote w:id="42">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w:t>
      </w:r>
      <w:proofErr w:type="gramStart"/>
      <w:r w:rsidRPr="003B16E2">
        <w:rPr>
          <w:rFonts w:ascii="Garamond" w:hAnsi="Garamond"/>
          <w:sz w:val="16"/>
          <w:szCs w:val="16"/>
        </w:rPr>
        <w:t>Agriculture and Rural Development Program.</w:t>
      </w:r>
      <w:proofErr w:type="gramEnd"/>
    </w:p>
  </w:footnote>
  <w:footnote w:id="43">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manuals were approved by the Auditor General of the Audit Authority by Decision No. 109/3 2019.</w:t>
      </w:r>
    </w:p>
  </w:footnote>
  <w:footnote w:id="44">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Note: The degree of implementation of activities in the Action Plan is shown in such a way that the green color indicates the activity that is fully implemented (more than 80%), with their implementation planned in the future in order to further improve. Yellow</w:t>
      </w:r>
      <w:r>
        <w:rPr>
          <w:rFonts w:ascii="Garamond" w:hAnsi="Garamond"/>
          <w:sz w:val="16"/>
          <w:szCs w:val="16"/>
        </w:rPr>
        <w:t xml:space="preserve"> colour</w:t>
      </w:r>
      <w:r w:rsidRPr="003B16E2">
        <w:rPr>
          <w:rFonts w:ascii="Garamond" w:hAnsi="Garamond"/>
          <w:sz w:val="16"/>
          <w:szCs w:val="16"/>
        </w:rPr>
        <w:t xml:space="preserve"> indicates partially implemented activity (from 50%-80%), while red</w:t>
      </w:r>
      <w:r>
        <w:rPr>
          <w:rFonts w:ascii="Garamond" w:hAnsi="Garamond"/>
          <w:sz w:val="16"/>
          <w:szCs w:val="16"/>
        </w:rPr>
        <w:t xml:space="preserve"> one</w:t>
      </w:r>
      <w:r w:rsidRPr="003B16E2">
        <w:rPr>
          <w:rFonts w:ascii="Garamond" w:hAnsi="Garamond"/>
          <w:sz w:val="16"/>
          <w:szCs w:val="16"/>
        </w:rPr>
        <w:t xml:space="preserve"> indicates </w:t>
      </w:r>
      <w:r>
        <w:rPr>
          <w:rFonts w:ascii="Garamond" w:hAnsi="Garamond"/>
          <w:sz w:val="16"/>
          <w:szCs w:val="16"/>
        </w:rPr>
        <w:t xml:space="preserve">the </w:t>
      </w:r>
      <w:r w:rsidRPr="003B16E2">
        <w:rPr>
          <w:rFonts w:ascii="Garamond" w:hAnsi="Garamond"/>
          <w:sz w:val="16"/>
          <w:szCs w:val="16"/>
        </w:rPr>
        <w:t>activity that has not been implemented (below 50%). Also, activities that are not marked with colour have not been implemented.</w:t>
      </w:r>
    </w:p>
  </w:footnote>
  <w:footnote w:id="45">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Given that the Law on Final Budget Account for 2017 has not yet been adopted, the data on actual spending was taken from the SAP system at the time of drafting the Passport Performance Indicator and is not official until the adoption of the Law on Final Budget </w:t>
      </w:r>
      <w:proofErr w:type="gramStart"/>
      <w:r w:rsidRPr="003B16E2">
        <w:rPr>
          <w:rFonts w:ascii="Garamond" w:hAnsi="Garamond"/>
          <w:sz w:val="16"/>
          <w:szCs w:val="16"/>
        </w:rPr>
        <w:t>Account .</w:t>
      </w:r>
      <w:proofErr w:type="gramEnd"/>
    </w:p>
  </w:footnote>
  <w:footnote w:id="46">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In 2020, the reali</w:t>
      </w:r>
      <w:r>
        <w:rPr>
          <w:rFonts w:ascii="Garamond" w:hAnsi="Garamond"/>
          <w:sz w:val="16"/>
          <w:szCs w:val="16"/>
        </w:rPr>
        <w:t>sation</w:t>
      </w:r>
      <w:r w:rsidRPr="003B16E2">
        <w:rPr>
          <w:rFonts w:ascii="Garamond" w:hAnsi="Garamond"/>
          <w:sz w:val="16"/>
          <w:szCs w:val="16"/>
        </w:rPr>
        <w:t xml:space="preserve"> of the capital budget, excluding the highway was 180.60%, and with the included highway was 107.6%.</w:t>
      </w:r>
    </w:p>
  </w:footnote>
  <w:footnote w:id="47">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Data is preliminary, while the real GDP data will be available in September 2019, for 2018 (MONSTAT quarterly GDP reports)</w:t>
      </w:r>
    </w:p>
  </w:footnote>
  <w:footnote w:id="48">
    <w:p w:rsidR="002C4371" w:rsidRPr="003B16E2" w:rsidRDefault="002C4371">
      <w:pPr>
        <w:pStyle w:val="FootnoteText"/>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A calculation formula was provided and profit explained to be 95% previous profit trend. When it comes to e-returns, it could not be processed because the obligation to submit electronically began in January 2017.</w:t>
      </w:r>
    </w:p>
  </w:footnote>
  <w:footnote w:id="49">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Data on the fulfillment of this Performance Indicator are available in early February in the document "Report on Budget Receipts and Expenditures".</w:t>
      </w:r>
    </w:p>
  </w:footnote>
  <w:footnote w:id="50">
    <w:p w:rsidR="002C4371" w:rsidRPr="003B16E2" w:rsidRDefault="002C4371">
      <w:pPr>
        <w:pStyle w:val="FootnoteText"/>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During the reporting period, the data was preliminary and stood at 2.38.</w:t>
      </w:r>
    </w:p>
  </w:footnote>
  <w:footnote w:id="51">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amount of used funds indicates the budget spent by for project implementation team (CFCU is still in the process of invoices approval and will be paid in the next period ) 2020</w:t>
      </w:r>
    </w:p>
  </w:footnote>
  <w:footnote w:id="52">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increase in gross public debt is 16%. If we take into account the fact that at the end of 2019 deposits amounted to 872.43 million euros, the value of gross public debt at the end of 2020 amounted to 105.15% of GDP, while the value of net public debt amounted to 84.34% GDP estimated for 2020.</w:t>
      </w:r>
    </w:p>
  </w:footnote>
  <w:footnote w:id="53">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Donation funded by SIGMA and IMF.</w:t>
      </w:r>
    </w:p>
  </w:footnote>
  <w:footnote w:id="54">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Data for 2018 are preliminary. When calculating the percentage of implementation, only recommendations for which deadline for implementation was until the end of 2018 were taken into account.</w:t>
      </w:r>
    </w:p>
  </w:footnote>
  <w:footnote w:id="55">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trainings were organi</w:t>
      </w:r>
      <w:r w:rsidR="00371F6C">
        <w:rPr>
          <w:rFonts w:ascii="Garamond" w:hAnsi="Garamond"/>
          <w:sz w:val="16"/>
          <w:szCs w:val="16"/>
        </w:rPr>
        <w:t>sed</w:t>
      </w:r>
      <w:r w:rsidRPr="003B16E2">
        <w:rPr>
          <w:rFonts w:ascii="Garamond" w:hAnsi="Garamond"/>
          <w:sz w:val="16"/>
          <w:szCs w:val="16"/>
        </w:rPr>
        <w:t xml:space="preserve"> in cooperation with the Human Resources Administration, and the funds were provided from the budget of Montenegro, because the implementation of the IPA project began at the end of 2018.</w:t>
      </w:r>
    </w:p>
  </w:footnote>
  <w:footnote w:id="56">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Funds provided as a contribution to the implementation of the Training Program for newly appointed internal auditors.</w:t>
      </w:r>
    </w:p>
  </w:footnote>
  <w:footnote w:id="57">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Trainings were organi</w:t>
      </w:r>
      <w:r w:rsidR="00371F6C">
        <w:rPr>
          <w:rFonts w:ascii="Garamond" w:hAnsi="Garamond"/>
          <w:sz w:val="16"/>
          <w:szCs w:val="16"/>
        </w:rPr>
        <w:t>sed</w:t>
      </w:r>
      <w:r w:rsidRPr="003B16E2">
        <w:rPr>
          <w:rFonts w:ascii="Garamond" w:hAnsi="Garamond"/>
          <w:sz w:val="16"/>
          <w:szCs w:val="16"/>
        </w:rPr>
        <w:t xml:space="preserve"> in cooperation with the Human Resources Administration, and the funds were provided from the budget of Montenegro, because the implementation of the IPA project began at the end of 2018.</w:t>
      </w:r>
    </w:p>
  </w:footnote>
  <w:footnote w:id="58">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Trainings for indirect budget users (public services, local self-government and municipal branches) that started in June 2020 were interrupted due to recommendations of the National Coordination Body but were completed through a link to video presentations of trainings for working on the ARS web application (Asset Registry System), which were recorded so that the project of a single record of state property would not be interrupted. Due to the situation caused by the COVID-19 virus, the migration of data on real estate and movable property obtained from end users to the ARS application is planned for the first half of 2021.    </w:t>
      </w:r>
    </w:p>
  </w:footnote>
  <w:footnote w:id="59">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Bearing in mind that the fields in the ARS application have been finali</w:t>
      </w:r>
      <w:r w:rsidR="00371F6C">
        <w:rPr>
          <w:rFonts w:ascii="Garamond" w:hAnsi="Garamond"/>
          <w:sz w:val="16"/>
          <w:szCs w:val="16"/>
        </w:rPr>
        <w:t>sed</w:t>
      </w:r>
      <w:r w:rsidRPr="003B16E2">
        <w:rPr>
          <w:rFonts w:ascii="Garamond" w:hAnsi="Garamond"/>
          <w:sz w:val="16"/>
          <w:szCs w:val="16"/>
        </w:rPr>
        <w:t xml:space="preserve">, the funds were spent from two tranches: the first in the amount of </w:t>
      </w:r>
      <w:r>
        <w:rPr>
          <w:rFonts w:ascii="Garamond" w:hAnsi="Garamond"/>
          <w:sz w:val="16"/>
          <w:szCs w:val="16"/>
        </w:rPr>
        <w:t xml:space="preserve">€ </w:t>
      </w:r>
      <w:r w:rsidRPr="003B16E2">
        <w:rPr>
          <w:rFonts w:ascii="Garamond" w:hAnsi="Garamond"/>
          <w:sz w:val="16"/>
          <w:szCs w:val="16"/>
        </w:rPr>
        <w:t xml:space="preserve">14,701.50 and the second in the amount of </w:t>
      </w:r>
      <w:r>
        <w:rPr>
          <w:rFonts w:ascii="Garamond" w:hAnsi="Garamond"/>
          <w:sz w:val="16"/>
          <w:szCs w:val="16"/>
        </w:rPr>
        <w:t xml:space="preserve">€ </w:t>
      </w:r>
      <w:r w:rsidRPr="003B16E2">
        <w:rPr>
          <w:rFonts w:ascii="Garamond" w:hAnsi="Garamond"/>
          <w:sz w:val="16"/>
          <w:szCs w:val="16"/>
        </w:rPr>
        <w:t xml:space="preserve">19,965.00, which amounts to a total of </w:t>
      </w:r>
      <w:r>
        <w:rPr>
          <w:rFonts w:ascii="Garamond" w:hAnsi="Garamond"/>
          <w:sz w:val="16"/>
          <w:szCs w:val="16"/>
        </w:rPr>
        <w:t xml:space="preserve">€ </w:t>
      </w:r>
      <w:r w:rsidRPr="003B16E2">
        <w:rPr>
          <w:rFonts w:ascii="Garamond" w:hAnsi="Garamond"/>
          <w:sz w:val="16"/>
          <w:szCs w:val="16"/>
        </w:rPr>
        <w:t>34,666.50.</w:t>
      </w:r>
    </w:p>
  </w:footnote>
  <w:footnote w:id="60">
    <w:p w:rsidR="002C4371" w:rsidRPr="003B16E2" w:rsidRDefault="002C4371" w:rsidP="00E117EA">
      <w:pPr>
        <w:pStyle w:val="FootnoteText"/>
        <w:jc w:val="both"/>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Explanatory Note of the Law does not reflect all the information submitted in the request for budget funds. Comprehensive information is important whe</w:t>
      </w:r>
      <w:r>
        <w:rPr>
          <w:rFonts w:ascii="Garamond" w:hAnsi="Garamond"/>
          <w:sz w:val="16"/>
          <w:szCs w:val="16"/>
        </w:rPr>
        <w:t xml:space="preserve">n considering and negotiating </w:t>
      </w:r>
      <w:r w:rsidRPr="003B16E2">
        <w:rPr>
          <w:rFonts w:ascii="Garamond" w:hAnsi="Garamond"/>
          <w:sz w:val="16"/>
          <w:szCs w:val="16"/>
        </w:rPr>
        <w:t>budget request</w:t>
      </w:r>
    </w:p>
  </w:footnote>
  <w:footnote w:id="61">
    <w:p w:rsidR="002C4371" w:rsidRPr="003B16E2" w:rsidRDefault="002C4371" w:rsidP="00D43372">
      <w:pPr>
        <w:pStyle w:val="FootnoteText"/>
        <w:rPr>
          <w:rFonts w:ascii="Garamond" w:hAnsi="Garamond"/>
          <w:sz w:val="16"/>
          <w:szCs w:val="16"/>
        </w:rPr>
      </w:pPr>
      <w:r w:rsidRPr="003B16E2">
        <w:rPr>
          <w:rStyle w:val="FootnoteReference"/>
          <w:rFonts w:ascii="Garamond" w:eastAsia="Calibri" w:hAnsi="Garamond" w:cs="Times New Roman"/>
          <w:sz w:val="16"/>
          <w:szCs w:val="16"/>
          <w:lang w:val="uz-Cyrl-UZ"/>
        </w:rPr>
        <w:footnoteRef/>
      </w:r>
      <w:r w:rsidRPr="003B16E2">
        <w:rPr>
          <w:rStyle w:val="FootnoteReference"/>
          <w:rFonts w:ascii="Garamond" w:eastAsia="Calibri" w:hAnsi="Garamond" w:cs="Times New Roman"/>
          <w:sz w:val="16"/>
          <w:szCs w:val="16"/>
          <w:lang w:val="uz-Cyrl-UZ"/>
        </w:rPr>
        <w:t xml:space="preserve"> </w:t>
      </w:r>
      <w:r w:rsidRPr="003B16E2">
        <w:rPr>
          <w:rFonts w:ascii="Garamond" w:hAnsi="Garamond"/>
          <w:sz w:val="16"/>
          <w:szCs w:val="16"/>
        </w:rPr>
        <w:t>Implementation of the capital budget without the inclusion of the highway - 111%, and with the inclusion of the highway - 91%</w:t>
      </w:r>
    </w:p>
  </w:footnote>
  <w:footnote w:id="62">
    <w:p w:rsidR="002C4371" w:rsidRPr="003B16E2" w:rsidRDefault="002C4371" w:rsidP="00D43372">
      <w:pPr>
        <w:pStyle w:val="Footer"/>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In 2020, the implementation of the capital budget, excluding the highway, </w:t>
      </w:r>
      <w:r>
        <w:rPr>
          <w:rFonts w:ascii="Garamond" w:hAnsi="Garamond"/>
          <w:sz w:val="16"/>
          <w:szCs w:val="16"/>
        </w:rPr>
        <w:t>was</w:t>
      </w:r>
      <w:r w:rsidRPr="003B16E2">
        <w:rPr>
          <w:rFonts w:ascii="Garamond" w:hAnsi="Garamond"/>
          <w:sz w:val="16"/>
          <w:szCs w:val="16"/>
        </w:rPr>
        <w:t xml:space="preserve"> 180.60%, and with the highway included, it </w:t>
      </w:r>
      <w:r>
        <w:rPr>
          <w:rFonts w:ascii="Garamond" w:hAnsi="Garamond"/>
          <w:sz w:val="16"/>
          <w:szCs w:val="16"/>
        </w:rPr>
        <w:t>was</w:t>
      </w:r>
      <w:r w:rsidRPr="003B16E2">
        <w:rPr>
          <w:rFonts w:ascii="Garamond" w:hAnsi="Garamond"/>
          <w:sz w:val="16"/>
          <w:szCs w:val="16"/>
        </w:rPr>
        <w:t xml:space="preserve"> 107.6%.</w:t>
      </w:r>
    </w:p>
  </w:footnote>
  <w:footnote w:id="63">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data is preliminary, while the real GDP data will be available in September 2019, for 2018 (MONSTAT quarterly GDP reports).</w:t>
      </w:r>
    </w:p>
  </w:footnote>
  <w:footnote w:id="64">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A c</w:t>
      </w:r>
      <w:r>
        <w:rPr>
          <w:rFonts w:ascii="Garamond" w:hAnsi="Garamond"/>
          <w:sz w:val="16"/>
          <w:szCs w:val="16"/>
        </w:rPr>
        <w:t>alculation formula was provided, and</w:t>
      </w:r>
      <w:r w:rsidRPr="003B16E2">
        <w:rPr>
          <w:rFonts w:ascii="Garamond" w:hAnsi="Garamond"/>
          <w:sz w:val="16"/>
          <w:szCs w:val="16"/>
        </w:rPr>
        <w:t xml:space="preserve"> 95%</w:t>
      </w:r>
      <w:r>
        <w:rPr>
          <w:rFonts w:ascii="Garamond" w:hAnsi="Garamond"/>
          <w:sz w:val="16"/>
          <w:szCs w:val="16"/>
        </w:rPr>
        <w:t xml:space="preserve"> </w:t>
      </w:r>
      <w:r w:rsidRPr="003B16E2">
        <w:rPr>
          <w:rFonts w:ascii="Garamond" w:hAnsi="Garamond"/>
          <w:sz w:val="16"/>
          <w:szCs w:val="16"/>
        </w:rPr>
        <w:t xml:space="preserve">income was explained </w:t>
      </w:r>
      <w:r>
        <w:rPr>
          <w:rFonts w:ascii="Garamond" w:hAnsi="Garamond"/>
          <w:sz w:val="16"/>
          <w:szCs w:val="16"/>
        </w:rPr>
        <w:t xml:space="preserve">to represent </w:t>
      </w:r>
      <w:r w:rsidRPr="003B16E2">
        <w:rPr>
          <w:rFonts w:ascii="Garamond" w:hAnsi="Garamond"/>
          <w:sz w:val="16"/>
          <w:szCs w:val="16"/>
        </w:rPr>
        <w:t>previous income trend. When it comes to e-returns, it could not be processed because the obligation to submit electronically began in January 2017.</w:t>
      </w:r>
    </w:p>
  </w:footnote>
  <w:footnote w:id="65">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Harmoni</w:t>
      </w:r>
      <w:r>
        <w:rPr>
          <w:rFonts w:ascii="Garamond" w:hAnsi="Garamond"/>
          <w:sz w:val="16"/>
          <w:szCs w:val="16"/>
        </w:rPr>
        <w:t>sation</w:t>
      </w:r>
      <w:r w:rsidRPr="003B16E2">
        <w:rPr>
          <w:rFonts w:ascii="Garamond" w:hAnsi="Garamond"/>
          <w:sz w:val="16"/>
          <w:szCs w:val="16"/>
        </w:rPr>
        <w:t xml:space="preserve"> of the tax administration in the area of administrative cooperation and mutual assistance and the Law on Income Tax (transfer pricing), by the end of Q4 2018.  </w:t>
      </w:r>
    </w:p>
  </w:footnote>
  <w:footnote w:id="66">
    <w:p w:rsidR="002C4371" w:rsidRPr="003B16E2" w:rsidRDefault="002C4371">
      <w:pPr>
        <w:pStyle w:val="FootnoteText"/>
        <w:rPr>
          <w:sz w:val="16"/>
          <w:szCs w:val="16"/>
          <w:lang w:val="en-GB"/>
        </w:rPr>
      </w:pPr>
      <w:r w:rsidRPr="003B16E2">
        <w:rPr>
          <w:rStyle w:val="FootnoteReference"/>
          <w:sz w:val="16"/>
          <w:szCs w:val="16"/>
        </w:rPr>
        <w:footnoteRef/>
      </w:r>
      <w:r w:rsidRPr="003B16E2">
        <w:rPr>
          <w:sz w:val="16"/>
          <w:szCs w:val="16"/>
        </w:rPr>
        <w:t xml:space="preserve"> </w:t>
      </w:r>
    </w:p>
  </w:footnote>
  <w:footnote w:id="67">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Law on Amendments to the Law on Corporate Income Tax (Q4 2019);</w:t>
      </w:r>
    </w:p>
  </w:footnote>
  <w:footnote w:id="68">
    <w:p w:rsidR="002C4371" w:rsidRPr="003B16E2" w:rsidRDefault="002C4371" w:rsidP="003D6441">
      <w:pPr>
        <w:pStyle w:val="FootnoteText"/>
        <w:rPr>
          <w:rFonts w:ascii="Garamond" w:hAnsi="Garamond" w:cs="Calibri"/>
          <w:sz w:val="16"/>
          <w:szCs w:val="16"/>
        </w:rPr>
      </w:pPr>
      <w:r w:rsidRPr="003B16E2">
        <w:rPr>
          <w:rFonts w:ascii="Garamond" w:hAnsi="Garamond"/>
          <w:sz w:val="16"/>
          <w:szCs w:val="16"/>
          <w:vertAlign w:val="superscript"/>
        </w:rPr>
        <w:footnoteRef/>
      </w:r>
      <w:r w:rsidRPr="003B16E2">
        <w:rPr>
          <w:rFonts w:ascii="Garamond" w:hAnsi="Garamond"/>
          <w:sz w:val="16"/>
          <w:szCs w:val="16"/>
          <w:vertAlign w:val="superscript"/>
        </w:rPr>
        <w:t xml:space="preserve"> </w:t>
      </w:r>
      <w:r>
        <w:rPr>
          <w:rFonts w:ascii="Garamond" w:hAnsi="Garamond" w:cs="Calibri"/>
          <w:sz w:val="16"/>
          <w:szCs w:val="16"/>
          <w:shd w:val="clear" w:color="auto" w:fill="FFFFFF"/>
        </w:rPr>
        <w:t>Draft Law on Final Budget</w:t>
      </w:r>
      <w:r w:rsidRPr="003B16E2">
        <w:rPr>
          <w:rFonts w:ascii="Garamond" w:hAnsi="Garamond" w:cs="Calibri"/>
          <w:sz w:val="16"/>
          <w:szCs w:val="16"/>
          <w:shd w:val="clear" w:color="auto" w:fill="FFFFFF"/>
        </w:rPr>
        <w:t xml:space="preserve"> Accounts of Montenegro for 2017. 13.0 represents preliminary data until the official adoption of the Law at the </w:t>
      </w:r>
      <w:r>
        <w:rPr>
          <w:rFonts w:ascii="Garamond" w:hAnsi="Garamond" w:cs="Calibri"/>
          <w:sz w:val="16"/>
          <w:szCs w:val="16"/>
          <w:shd w:val="clear" w:color="auto" w:fill="FFFFFF"/>
        </w:rPr>
        <w:t xml:space="preserve">Parliament </w:t>
      </w:r>
      <w:r w:rsidRPr="003B16E2">
        <w:rPr>
          <w:rFonts w:ascii="Garamond" w:hAnsi="Garamond" w:cs="Calibri"/>
          <w:sz w:val="16"/>
          <w:szCs w:val="16"/>
          <w:shd w:val="clear" w:color="auto" w:fill="FFFFFF"/>
        </w:rPr>
        <w:t xml:space="preserve">(September), and until then, official data on GDP for 2017 will be available. http://www.gov.me/ResourceManager/FileDownload.aspx?rId=317590&amp;rType=2      </w:t>
      </w:r>
    </w:p>
  </w:footnote>
  <w:footnote w:id="69">
    <w:p w:rsidR="002C4371" w:rsidRPr="003B16E2" w:rsidRDefault="002C4371" w:rsidP="003D6441">
      <w:pPr>
        <w:pStyle w:val="FootnoteText"/>
        <w:rPr>
          <w:rFonts w:ascii="Garamond" w:hAnsi="Garamond"/>
          <w:sz w:val="16"/>
          <w:szCs w:val="16"/>
        </w:rPr>
      </w:pPr>
      <w:r w:rsidRPr="003B16E2">
        <w:rPr>
          <w:rFonts w:ascii="Garamond" w:hAnsi="Garamond"/>
          <w:sz w:val="16"/>
          <w:szCs w:val="16"/>
          <w:vertAlign w:val="superscript"/>
        </w:rPr>
        <w:footnoteRef/>
      </w:r>
      <w:r w:rsidRPr="003B16E2">
        <w:rPr>
          <w:rFonts w:ascii="Garamond" w:hAnsi="Garamond"/>
          <w:sz w:val="16"/>
          <w:szCs w:val="16"/>
        </w:rPr>
        <w:t xml:space="preserve"> Data on the fulfillment of this performance indicator are available in early February in the document "Report on Budget Receipts and Expenditures"</w:t>
      </w:r>
    </w:p>
  </w:footnote>
  <w:footnote w:id="70">
    <w:p w:rsidR="002C4371" w:rsidRPr="003B16E2" w:rsidRDefault="002C4371" w:rsidP="00D15F76">
      <w:pPr>
        <w:pStyle w:val="FootnoteText"/>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Data contained in the Public Procurement Report for 2020, prepared by the Ministries of Finance and Social Welfare in accordance with the Law, based on individual reports of contracting authorities.</w:t>
      </w:r>
    </w:p>
  </w:footnote>
  <w:footnote w:id="71">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Increase in gross public debt is 16%. If we take into account the fact</w:t>
      </w:r>
      <w:r>
        <w:rPr>
          <w:rFonts w:ascii="Garamond" w:hAnsi="Garamond"/>
          <w:sz w:val="16"/>
          <w:szCs w:val="16"/>
        </w:rPr>
        <w:t xml:space="preserve"> that at the end of 2020</w:t>
      </w:r>
      <w:r w:rsidRPr="003B16E2">
        <w:rPr>
          <w:rFonts w:ascii="Garamond" w:hAnsi="Garamond"/>
          <w:sz w:val="16"/>
          <w:szCs w:val="16"/>
        </w:rPr>
        <w:t xml:space="preserve"> deposits amounted to </w:t>
      </w:r>
      <w:r>
        <w:rPr>
          <w:rFonts w:ascii="Garamond" w:hAnsi="Garamond"/>
          <w:sz w:val="16"/>
          <w:szCs w:val="16"/>
        </w:rPr>
        <w:t>€</w:t>
      </w:r>
      <w:r w:rsidRPr="003B16E2">
        <w:rPr>
          <w:rFonts w:ascii="Garamond" w:hAnsi="Garamond"/>
          <w:sz w:val="16"/>
          <w:szCs w:val="16"/>
        </w:rPr>
        <w:t>872.43 million, the value of gross public debt at the end of 2020 amounted to 105.15% of GDP, while the value of net public debt amounted to 84.34% of GDP estimated for 2020.</w:t>
      </w:r>
    </w:p>
  </w:footnote>
  <w:footnote w:id="72">
    <w:p w:rsidR="002C4371" w:rsidRPr="003B16E2" w:rsidRDefault="002C4371">
      <w:pPr>
        <w:pStyle w:val="FootnoteText"/>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Reports submitted to the CHU of the Ministry of Finance and Social Welfare. This performance indicator exists in the Public Administration Reform Strategy, and the results can be seen at the following link: </w:t>
      </w:r>
      <w:hyperlink r:id="rId13" w:history="1">
        <w:r w:rsidRPr="003B16E2">
          <w:rPr>
            <w:rStyle w:val="Hyperlink"/>
            <w:rFonts w:ascii="Garamond" w:hAnsi="Garamond"/>
            <w:sz w:val="16"/>
            <w:szCs w:val="16"/>
          </w:rPr>
          <w:t>www.gov.me/ResourceManager/FileDownload.aspx?rId=279138&amp;rType=2</w:t>
        </w:r>
      </w:hyperlink>
      <w:r w:rsidRPr="003B16E2">
        <w:rPr>
          <w:rFonts w:ascii="Garamond" w:hAnsi="Garamond"/>
          <w:sz w:val="16"/>
          <w:szCs w:val="16"/>
        </w:rPr>
        <w:t xml:space="preserve"> </w:t>
      </w:r>
    </w:p>
  </w:footnote>
  <w:footnote w:id="73">
    <w:p w:rsidR="002C4371" w:rsidRPr="003B16E2" w:rsidRDefault="002C4371" w:rsidP="009F1F39">
      <w:pPr>
        <w:pStyle w:val="FootnoteText"/>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Reports submitted to the CHU of the Ministry of Finance and Social Welfare. </w:t>
      </w:r>
    </w:p>
  </w:footnote>
  <w:footnote w:id="74">
    <w:p w:rsidR="002C4371" w:rsidRPr="003B16E2" w:rsidRDefault="002C4371">
      <w:pPr>
        <w:pStyle w:val="FootnoteText"/>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w:t>
      </w:r>
      <w:proofErr w:type="gramStart"/>
      <w:r w:rsidRPr="003B16E2">
        <w:rPr>
          <w:rFonts w:ascii="Garamond" w:hAnsi="Garamond"/>
          <w:sz w:val="16"/>
          <w:szCs w:val="16"/>
        </w:rPr>
        <w:t xml:space="preserve">Number of budget users </w:t>
      </w:r>
      <w:r>
        <w:rPr>
          <w:rFonts w:ascii="Garamond" w:hAnsi="Garamond"/>
          <w:sz w:val="16"/>
          <w:szCs w:val="16"/>
        </w:rPr>
        <w:t>changes</w:t>
      </w:r>
      <w:r w:rsidRPr="003B16E2">
        <w:rPr>
          <w:rFonts w:ascii="Garamond" w:hAnsi="Garamond"/>
          <w:sz w:val="16"/>
          <w:szCs w:val="16"/>
        </w:rPr>
        <w:t xml:space="preserve"> in accordance with the amendments to the Regulation on the organi</w:t>
      </w:r>
      <w:r>
        <w:rPr>
          <w:rFonts w:ascii="Garamond" w:hAnsi="Garamond"/>
          <w:sz w:val="16"/>
          <w:szCs w:val="16"/>
        </w:rPr>
        <w:t>sation</w:t>
      </w:r>
      <w:r w:rsidRPr="003B16E2">
        <w:rPr>
          <w:rFonts w:ascii="Garamond" w:hAnsi="Garamond"/>
          <w:sz w:val="16"/>
          <w:szCs w:val="16"/>
        </w:rPr>
        <w:t xml:space="preserve"> and manner of work of the public administration and the Budget Law for ongoing year.</w:t>
      </w:r>
      <w:proofErr w:type="gramEnd"/>
    </w:p>
  </w:footnote>
  <w:footnote w:id="75">
    <w:p w:rsidR="002C4371" w:rsidRPr="003B16E2" w:rsidRDefault="002C4371" w:rsidP="00213533">
      <w:pPr>
        <w:pStyle w:val="FootnoteText"/>
        <w:rPr>
          <w:rFonts w:ascii="Garamond" w:hAnsi="Garamond"/>
          <w:sz w:val="16"/>
          <w:szCs w:val="16"/>
        </w:rPr>
      </w:pPr>
      <w:r w:rsidRPr="003B16E2">
        <w:rPr>
          <w:rFonts w:ascii="Garamond" w:hAnsi="Garamond"/>
          <w:sz w:val="16"/>
          <w:szCs w:val="16"/>
          <w:vertAlign w:val="superscript"/>
        </w:rPr>
        <w:footnoteRef/>
      </w:r>
      <w:r w:rsidRPr="003B16E2">
        <w:rPr>
          <w:rFonts w:ascii="Garamond" w:hAnsi="Garamond"/>
          <w:sz w:val="16"/>
          <w:szCs w:val="16"/>
          <w:vertAlign w:val="superscript"/>
        </w:rPr>
        <w:t xml:space="preserve"> </w:t>
      </w:r>
      <w:r w:rsidRPr="003B16E2">
        <w:rPr>
          <w:rFonts w:ascii="Garamond" w:hAnsi="Garamond"/>
          <w:sz w:val="16"/>
          <w:szCs w:val="16"/>
        </w:rPr>
        <w:t>The new Regulation on the Establishment of Public Sector Internal Audit ("Official Gazette of Montenegro", No. 070/19) has increased the number of units obliged to establish a special internal audit unit. For this reason, the value of this indicator decreased compared to the previous year.</w:t>
      </w:r>
    </w:p>
  </w:footnote>
  <w:footnote w:id="76">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The number of points is determined based on the </w:t>
      </w:r>
      <w:r>
        <w:rPr>
          <w:rFonts w:ascii="Garamond" w:hAnsi="Garamond"/>
          <w:sz w:val="16"/>
          <w:szCs w:val="16"/>
        </w:rPr>
        <w:t>Rulebook</w:t>
      </w:r>
      <w:r w:rsidRPr="003B16E2">
        <w:rPr>
          <w:rFonts w:ascii="Garamond" w:hAnsi="Garamond"/>
          <w:sz w:val="16"/>
          <w:szCs w:val="16"/>
        </w:rPr>
        <w:t xml:space="preserve"> on the special program for professional development of public sector internal auditors ("Official Gazette of Montenegro", no. 067/19 of 12/11/2019).</w:t>
      </w:r>
    </w:p>
  </w:footnote>
  <w:footnote w:id="77">
    <w:p w:rsidR="002C4371" w:rsidRPr="003B16E2" w:rsidRDefault="002C4371" w:rsidP="00213533">
      <w:pPr>
        <w:pStyle w:val="FootnoteText"/>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Given that trainings begin in the middle of the year, the year of training does not coincide with a calendar year, but extends to two calendar years.</w:t>
      </w:r>
    </w:p>
  </w:footnote>
  <w:footnote w:id="78">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w:t>
      </w:r>
      <w:proofErr w:type="gramStart"/>
      <w:r w:rsidRPr="003B16E2">
        <w:rPr>
          <w:rFonts w:ascii="Garamond" w:hAnsi="Garamond"/>
          <w:sz w:val="16"/>
          <w:szCs w:val="16"/>
        </w:rPr>
        <w:t>Entered property data in the register.</w:t>
      </w:r>
      <w:proofErr w:type="gramEnd"/>
      <w:r w:rsidRPr="003B16E2">
        <w:rPr>
          <w:rFonts w:ascii="Garamond" w:hAnsi="Garamond"/>
          <w:sz w:val="16"/>
          <w:szCs w:val="16"/>
        </w:rPr>
        <w:t xml:space="preserve"> Data (tables) that are submitted to the Property Directorate are processed, tested and migrated to a test version of the ARS. In the course of testing and migration of assets to a test version of the ARS we noted that </w:t>
      </w:r>
      <w:r>
        <w:rPr>
          <w:rFonts w:ascii="Garamond" w:hAnsi="Garamond"/>
          <w:sz w:val="16"/>
          <w:szCs w:val="16"/>
        </w:rPr>
        <w:t xml:space="preserve">the </w:t>
      </w:r>
      <w:r w:rsidRPr="003B16E2">
        <w:rPr>
          <w:rFonts w:ascii="Garamond" w:hAnsi="Garamond"/>
          <w:sz w:val="16"/>
          <w:szCs w:val="16"/>
        </w:rPr>
        <w:t>application has problems (sometimes does not allow access)</w:t>
      </w:r>
      <w:r>
        <w:rPr>
          <w:rFonts w:ascii="Garamond" w:hAnsi="Garamond"/>
          <w:sz w:val="16"/>
          <w:szCs w:val="16"/>
        </w:rPr>
        <w:t>,</w:t>
      </w:r>
      <w:r w:rsidRPr="003B16E2">
        <w:rPr>
          <w:rFonts w:ascii="Garamond" w:hAnsi="Garamond"/>
          <w:sz w:val="16"/>
          <w:szCs w:val="16"/>
        </w:rPr>
        <w:t xml:space="preserve"> of which we informed implementers</w:t>
      </w:r>
      <w:r>
        <w:rPr>
          <w:rFonts w:ascii="Garamond" w:hAnsi="Garamond"/>
          <w:sz w:val="16"/>
          <w:szCs w:val="16"/>
        </w:rPr>
        <w:t>,</w:t>
      </w:r>
      <w:r w:rsidRPr="003B16E2">
        <w:rPr>
          <w:rFonts w:ascii="Garamond" w:hAnsi="Garamond"/>
          <w:sz w:val="16"/>
          <w:szCs w:val="16"/>
        </w:rPr>
        <w:t xml:space="preserve"> ATOS doo, Belgrade. The software assistance is undergoing and we expect fast solution to the problem. After the end of their intervention</w:t>
      </w:r>
      <w:r>
        <w:rPr>
          <w:rFonts w:ascii="Garamond" w:hAnsi="Garamond"/>
          <w:sz w:val="16"/>
          <w:szCs w:val="16"/>
        </w:rPr>
        <w:t>,</w:t>
      </w:r>
      <w:r w:rsidRPr="003B16E2">
        <w:rPr>
          <w:rFonts w:ascii="Garamond" w:hAnsi="Garamond"/>
          <w:sz w:val="16"/>
          <w:szCs w:val="16"/>
        </w:rPr>
        <w:t xml:space="preserve"> we will do final data migration that was timely delivered</w:t>
      </w:r>
      <w:r>
        <w:rPr>
          <w:rFonts w:ascii="Garamond" w:hAnsi="Garamond"/>
          <w:sz w:val="16"/>
          <w:szCs w:val="16"/>
        </w:rPr>
        <w:t>,</w:t>
      </w:r>
      <w:r w:rsidRPr="003B16E2">
        <w:rPr>
          <w:rFonts w:ascii="Garamond" w:hAnsi="Garamond"/>
          <w:sz w:val="16"/>
          <w:szCs w:val="16"/>
        </w:rPr>
        <w:t xml:space="preserve"> and upon migration the application will be put into operation.</w:t>
      </w:r>
    </w:p>
  </w:footnote>
  <w:footnote w:id="79">
    <w:p w:rsidR="002C4371" w:rsidRPr="003B16E2" w:rsidRDefault="002C4371" w:rsidP="00AA6DD7">
      <w:pPr>
        <w:pStyle w:val="FootnoteText"/>
        <w:rPr>
          <w:rFonts w:ascii="Garamond" w:hAnsi="Garamond"/>
          <w:sz w:val="16"/>
          <w:szCs w:val="16"/>
        </w:rPr>
      </w:pPr>
      <w:r w:rsidRPr="003B16E2">
        <w:rPr>
          <w:rStyle w:val="FootnoteReference"/>
          <w:rFonts w:ascii="Garamond" w:hAnsi="Garamond"/>
          <w:sz w:val="16"/>
          <w:szCs w:val="16"/>
        </w:rPr>
        <w:footnoteRef/>
      </w:r>
      <w:r w:rsidRPr="003B16E2">
        <w:rPr>
          <w:rFonts w:ascii="Garamond" w:hAnsi="Garamond"/>
          <w:sz w:val="16"/>
          <w:szCs w:val="16"/>
        </w:rPr>
        <w:t xml:space="preserve"> Given that trainings begin in the middle of the year, the year of training does not coincide with a calendar year, but extends to two calendar years.</w:t>
      </w:r>
    </w:p>
  </w:footnote>
  <w:footnote w:id="80">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Trainings for indirect budget users (public services, local self-government and municipal branches) that started in June 2020 - were interrupted due to National Coordination Body recommendations</w:t>
      </w:r>
      <w:r>
        <w:rPr>
          <w:rFonts w:ascii="Garamond" w:hAnsi="Garamond"/>
          <w:sz w:val="16"/>
          <w:szCs w:val="16"/>
        </w:rPr>
        <w:t>,</w:t>
      </w:r>
      <w:r w:rsidRPr="003B16E2">
        <w:rPr>
          <w:rFonts w:ascii="Garamond" w:hAnsi="Garamond"/>
          <w:sz w:val="16"/>
          <w:szCs w:val="16"/>
        </w:rPr>
        <w:t xml:space="preserve"> but were conducted via the video presentation of trainings on the ARS web application (Asset Registry System), which was r</w:t>
      </w:r>
      <w:r>
        <w:rPr>
          <w:rFonts w:ascii="Garamond" w:hAnsi="Garamond"/>
          <w:sz w:val="16"/>
          <w:szCs w:val="16"/>
        </w:rPr>
        <w:t>ecorded so that the project of the</w:t>
      </w:r>
      <w:r w:rsidRPr="003B16E2">
        <w:rPr>
          <w:rFonts w:ascii="Garamond" w:hAnsi="Garamond"/>
          <w:sz w:val="16"/>
          <w:szCs w:val="16"/>
        </w:rPr>
        <w:t xml:space="preserve"> single record of state property would not be interrupted. Due to the situation caused by COVID-19, the migration of data on real estate and movable property obtained from end users to the ARS application is planned for the first half of 2021.</w:t>
      </w:r>
    </w:p>
  </w:footnote>
  <w:footnote w:id="81">
    <w:p w:rsidR="002C4371" w:rsidRPr="003B16E2" w:rsidRDefault="002C4371">
      <w:pPr>
        <w:pStyle w:val="FootnoteText"/>
        <w:rPr>
          <w:rFonts w:ascii="Garamond" w:hAnsi="Garamond"/>
          <w:sz w:val="16"/>
          <w:szCs w:val="16"/>
          <w:lang w:val="en-GB"/>
        </w:rPr>
      </w:pPr>
      <w:r w:rsidRPr="003B16E2">
        <w:rPr>
          <w:rStyle w:val="FootnoteReference"/>
          <w:rFonts w:ascii="Garamond" w:hAnsi="Garamond"/>
          <w:sz w:val="16"/>
          <w:szCs w:val="16"/>
        </w:rPr>
        <w:footnoteRef/>
      </w:r>
      <w:r w:rsidRPr="003B16E2">
        <w:rPr>
          <w:rFonts w:ascii="Garamond" w:hAnsi="Garamond"/>
          <w:sz w:val="16"/>
          <w:szCs w:val="16"/>
        </w:rPr>
        <w:t xml:space="preserve"> After the adoption of the said plans, the application of the said formula begins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22E0D"/>
    <w:multiLevelType w:val="hybridMultilevel"/>
    <w:tmpl w:val="178CA972"/>
    <w:lvl w:ilvl="0" w:tplc="1BE45562">
      <w:start w:val="7"/>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0C3CA7"/>
    <w:multiLevelType w:val="hybridMultilevel"/>
    <w:tmpl w:val="34BEB0DA"/>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2">
    <w:nsid w:val="04FB44F7"/>
    <w:multiLevelType w:val="hybridMultilevel"/>
    <w:tmpl w:val="F6F4A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103C06"/>
    <w:multiLevelType w:val="hybridMultilevel"/>
    <w:tmpl w:val="7ED63B78"/>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4">
    <w:nsid w:val="0AC97A86"/>
    <w:multiLevelType w:val="hybridMultilevel"/>
    <w:tmpl w:val="FB2C548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5">
    <w:nsid w:val="0C135851"/>
    <w:multiLevelType w:val="hybridMultilevel"/>
    <w:tmpl w:val="1E82CEA8"/>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6">
    <w:nsid w:val="10C336B0"/>
    <w:multiLevelType w:val="hybridMultilevel"/>
    <w:tmpl w:val="6DAE1496"/>
    <w:lvl w:ilvl="0" w:tplc="1BE45562">
      <w:start w:val="7"/>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69276B"/>
    <w:multiLevelType w:val="hybridMultilevel"/>
    <w:tmpl w:val="7A220886"/>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8">
    <w:nsid w:val="14C62243"/>
    <w:multiLevelType w:val="hybridMultilevel"/>
    <w:tmpl w:val="E4926FD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9242AF"/>
    <w:multiLevelType w:val="hybridMultilevel"/>
    <w:tmpl w:val="EEA032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3636B3"/>
    <w:multiLevelType w:val="hybridMultilevel"/>
    <w:tmpl w:val="5F9C3A0E"/>
    <w:lvl w:ilvl="0" w:tplc="1BE45562">
      <w:start w:val="7"/>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25263C7"/>
    <w:multiLevelType w:val="hybridMultilevel"/>
    <w:tmpl w:val="44D869C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3CB4E1C"/>
    <w:multiLevelType w:val="hybridMultilevel"/>
    <w:tmpl w:val="A2181F52"/>
    <w:lvl w:ilvl="0" w:tplc="0409000F">
      <w:start w:val="1"/>
      <w:numFmt w:val="decimal"/>
      <w:lvlText w:val="%1."/>
      <w:lvlJc w:val="left"/>
      <w:pPr>
        <w:ind w:left="950" w:hanging="360"/>
      </w:pPr>
    </w:lvl>
    <w:lvl w:ilvl="1" w:tplc="04090019" w:tentative="1">
      <w:start w:val="1"/>
      <w:numFmt w:val="lowerLetter"/>
      <w:lvlText w:val="%2."/>
      <w:lvlJc w:val="left"/>
      <w:pPr>
        <w:ind w:left="1670" w:hanging="360"/>
      </w:pPr>
    </w:lvl>
    <w:lvl w:ilvl="2" w:tplc="0409001B" w:tentative="1">
      <w:start w:val="1"/>
      <w:numFmt w:val="lowerRoman"/>
      <w:lvlText w:val="%3."/>
      <w:lvlJc w:val="right"/>
      <w:pPr>
        <w:ind w:left="2390" w:hanging="180"/>
      </w:pPr>
    </w:lvl>
    <w:lvl w:ilvl="3" w:tplc="0409000F" w:tentative="1">
      <w:start w:val="1"/>
      <w:numFmt w:val="decimal"/>
      <w:lvlText w:val="%4."/>
      <w:lvlJc w:val="left"/>
      <w:pPr>
        <w:ind w:left="3110" w:hanging="360"/>
      </w:pPr>
    </w:lvl>
    <w:lvl w:ilvl="4" w:tplc="04090019" w:tentative="1">
      <w:start w:val="1"/>
      <w:numFmt w:val="lowerLetter"/>
      <w:lvlText w:val="%5."/>
      <w:lvlJc w:val="left"/>
      <w:pPr>
        <w:ind w:left="3830" w:hanging="360"/>
      </w:pPr>
    </w:lvl>
    <w:lvl w:ilvl="5" w:tplc="0409001B" w:tentative="1">
      <w:start w:val="1"/>
      <w:numFmt w:val="lowerRoman"/>
      <w:lvlText w:val="%6."/>
      <w:lvlJc w:val="right"/>
      <w:pPr>
        <w:ind w:left="4550" w:hanging="180"/>
      </w:pPr>
    </w:lvl>
    <w:lvl w:ilvl="6" w:tplc="0409000F" w:tentative="1">
      <w:start w:val="1"/>
      <w:numFmt w:val="decimal"/>
      <w:lvlText w:val="%7."/>
      <w:lvlJc w:val="left"/>
      <w:pPr>
        <w:ind w:left="5270" w:hanging="360"/>
      </w:pPr>
    </w:lvl>
    <w:lvl w:ilvl="7" w:tplc="04090019" w:tentative="1">
      <w:start w:val="1"/>
      <w:numFmt w:val="lowerLetter"/>
      <w:lvlText w:val="%8."/>
      <w:lvlJc w:val="left"/>
      <w:pPr>
        <w:ind w:left="5990" w:hanging="360"/>
      </w:pPr>
    </w:lvl>
    <w:lvl w:ilvl="8" w:tplc="0409001B" w:tentative="1">
      <w:start w:val="1"/>
      <w:numFmt w:val="lowerRoman"/>
      <w:lvlText w:val="%9."/>
      <w:lvlJc w:val="right"/>
      <w:pPr>
        <w:ind w:left="6710" w:hanging="180"/>
      </w:pPr>
    </w:lvl>
  </w:abstractNum>
  <w:abstractNum w:abstractNumId="13">
    <w:nsid w:val="2A280C0C"/>
    <w:multiLevelType w:val="hybridMultilevel"/>
    <w:tmpl w:val="D9682D5A"/>
    <w:lvl w:ilvl="0" w:tplc="1BE45562">
      <w:start w:val="7"/>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420F79"/>
    <w:multiLevelType w:val="hybridMultilevel"/>
    <w:tmpl w:val="8286D36E"/>
    <w:lvl w:ilvl="0" w:tplc="B944E3DE">
      <w:start w:val="1"/>
      <w:numFmt w:val="decimal"/>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5">
    <w:nsid w:val="403E54F0"/>
    <w:multiLevelType w:val="hybridMultilevel"/>
    <w:tmpl w:val="C6CAEBCA"/>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16">
    <w:nsid w:val="47500FC9"/>
    <w:multiLevelType w:val="hybridMultilevel"/>
    <w:tmpl w:val="D5B6338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F1C92"/>
    <w:multiLevelType w:val="hybridMultilevel"/>
    <w:tmpl w:val="77FC6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48F3424"/>
    <w:multiLevelType w:val="hybridMultilevel"/>
    <w:tmpl w:val="E7CE5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EE25E9"/>
    <w:multiLevelType w:val="hybridMultilevel"/>
    <w:tmpl w:val="47D88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582676A"/>
    <w:multiLevelType w:val="hybridMultilevel"/>
    <w:tmpl w:val="40CE81F6"/>
    <w:lvl w:ilvl="0" w:tplc="1BE45562">
      <w:start w:val="7"/>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C9A2BA3"/>
    <w:multiLevelType w:val="hybridMultilevel"/>
    <w:tmpl w:val="9CFE31DE"/>
    <w:lvl w:ilvl="0" w:tplc="1BE45562">
      <w:start w:val="7"/>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FE4DB4"/>
    <w:multiLevelType w:val="hybridMultilevel"/>
    <w:tmpl w:val="5220F8CC"/>
    <w:lvl w:ilvl="0" w:tplc="1BE45562">
      <w:start w:val="7"/>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F0402"/>
    <w:multiLevelType w:val="hybridMultilevel"/>
    <w:tmpl w:val="04F6C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4384779"/>
    <w:multiLevelType w:val="hybridMultilevel"/>
    <w:tmpl w:val="D960F91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25">
    <w:nsid w:val="746A4C6C"/>
    <w:multiLevelType w:val="hybridMultilevel"/>
    <w:tmpl w:val="40DE1300"/>
    <w:lvl w:ilvl="0" w:tplc="1BE45562">
      <w:start w:val="7"/>
      <w:numFmt w:val="bullet"/>
      <w:lvlText w:val="-"/>
      <w:lvlJc w:val="left"/>
      <w:pPr>
        <w:ind w:left="720" w:hanging="360"/>
      </w:pPr>
      <w:rPr>
        <w:rFonts w:ascii="Garamond" w:eastAsia="Arial" w:hAnsi="Garamond"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84C56C3"/>
    <w:multiLevelType w:val="hybridMultilevel"/>
    <w:tmpl w:val="6C7E7B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F953A07"/>
    <w:multiLevelType w:val="hybridMultilevel"/>
    <w:tmpl w:val="9FECBA92"/>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num w:numId="1">
    <w:abstractNumId w:val="24"/>
  </w:num>
  <w:num w:numId="2">
    <w:abstractNumId w:val="19"/>
  </w:num>
  <w:num w:numId="3">
    <w:abstractNumId w:val="18"/>
  </w:num>
  <w:num w:numId="4">
    <w:abstractNumId w:val="0"/>
  </w:num>
  <w:num w:numId="5">
    <w:abstractNumId w:val="13"/>
  </w:num>
  <w:num w:numId="6">
    <w:abstractNumId w:val="10"/>
  </w:num>
  <w:num w:numId="7">
    <w:abstractNumId w:val="7"/>
  </w:num>
  <w:num w:numId="8">
    <w:abstractNumId w:val="15"/>
  </w:num>
  <w:num w:numId="9">
    <w:abstractNumId w:val="12"/>
  </w:num>
  <w:num w:numId="10">
    <w:abstractNumId w:val="3"/>
  </w:num>
  <w:num w:numId="11">
    <w:abstractNumId w:val="5"/>
  </w:num>
  <w:num w:numId="12">
    <w:abstractNumId w:val="1"/>
  </w:num>
  <w:num w:numId="13">
    <w:abstractNumId w:val="4"/>
  </w:num>
  <w:num w:numId="14">
    <w:abstractNumId w:val="23"/>
  </w:num>
  <w:num w:numId="15">
    <w:abstractNumId w:val="22"/>
  </w:num>
  <w:num w:numId="16">
    <w:abstractNumId w:val="21"/>
  </w:num>
  <w:num w:numId="17">
    <w:abstractNumId w:val="6"/>
  </w:num>
  <w:num w:numId="18">
    <w:abstractNumId w:val="20"/>
  </w:num>
  <w:num w:numId="19">
    <w:abstractNumId w:val="11"/>
  </w:num>
  <w:num w:numId="20">
    <w:abstractNumId w:val="16"/>
  </w:num>
  <w:num w:numId="21">
    <w:abstractNumId w:val="9"/>
  </w:num>
  <w:num w:numId="22">
    <w:abstractNumId w:val="25"/>
  </w:num>
  <w:num w:numId="23">
    <w:abstractNumId w:val="26"/>
  </w:num>
  <w:num w:numId="24">
    <w:abstractNumId w:val="17"/>
  </w:num>
  <w:num w:numId="25">
    <w:abstractNumId w:val="27"/>
  </w:num>
  <w:num w:numId="26">
    <w:abstractNumId w:val="14"/>
  </w:num>
  <w:num w:numId="27">
    <w:abstractNumId w:val="2"/>
  </w:num>
  <w:num w:numId="28">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4"/>
  <w:doNotDisplayPageBoundaries/>
  <w:proofState w:grammar="clean"/>
  <w:defaultTabStop w:val="720"/>
  <w:characterSpacingControl w:val="doNotCompress"/>
  <w:savePreviewPicture/>
  <w:footnotePr>
    <w:footnote w:id="-1"/>
    <w:footnote w:id="0"/>
  </w:footnotePr>
  <w:endnotePr>
    <w:endnote w:id="-1"/>
    <w:endnote w:id="0"/>
  </w:endnotePr>
  <w:compat>
    <w:useFELayout/>
  </w:compat>
  <w:rsids>
    <w:rsidRoot w:val="004D1343"/>
    <w:rsid w:val="0000032E"/>
    <w:rsid w:val="00000EDD"/>
    <w:rsid w:val="0000156D"/>
    <w:rsid w:val="000017C5"/>
    <w:rsid w:val="000017EF"/>
    <w:rsid w:val="000020CB"/>
    <w:rsid w:val="0000226E"/>
    <w:rsid w:val="00002B69"/>
    <w:rsid w:val="0000344A"/>
    <w:rsid w:val="0000375D"/>
    <w:rsid w:val="00003A14"/>
    <w:rsid w:val="00003B2F"/>
    <w:rsid w:val="0000499F"/>
    <w:rsid w:val="00004B29"/>
    <w:rsid w:val="00004DEB"/>
    <w:rsid w:val="00005249"/>
    <w:rsid w:val="00005DE3"/>
    <w:rsid w:val="00005FCB"/>
    <w:rsid w:val="00005FDF"/>
    <w:rsid w:val="00007004"/>
    <w:rsid w:val="0000721B"/>
    <w:rsid w:val="0000795A"/>
    <w:rsid w:val="00010175"/>
    <w:rsid w:val="00010DC5"/>
    <w:rsid w:val="0001103E"/>
    <w:rsid w:val="000120F1"/>
    <w:rsid w:val="0001261E"/>
    <w:rsid w:val="0001277E"/>
    <w:rsid w:val="0001291D"/>
    <w:rsid w:val="00012A02"/>
    <w:rsid w:val="00012A49"/>
    <w:rsid w:val="00012E0B"/>
    <w:rsid w:val="00013450"/>
    <w:rsid w:val="00013B96"/>
    <w:rsid w:val="00013F29"/>
    <w:rsid w:val="0001447D"/>
    <w:rsid w:val="00014DB6"/>
    <w:rsid w:val="000150C1"/>
    <w:rsid w:val="00015807"/>
    <w:rsid w:val="0001727C"/>
    <w:rsid w:val="000200BD"/>
    <w:rsid w:val="00020665"/>
    <w:rsid w:val="00021990"/>
    <w:rsid w:val="00021B30"/>
    <w:rsid w:val="00021BF1"/>
    <w:rsid w:val="00021CD3"/>
    <w:rsid w:val="000226B1"/>
    <w:rsid w:val="000238D3"/>
    <w:rsid w:val="00023916"/>
    <w:rsid w:val="000244DD"/>
    <w:rsid w:val="00024880"/>
    <w:rsid w:val="00024E69"/>
    <w:rsid w:val="00024F0F"/>
    <w:rsid w:val="000256C6"/>
    <w:rsid w:val="00025761"/>
    <w:rsid w:val="000257FD"/>
    <w:rsid w:val="000273DF"/>
    <w:rsid w:val="000304C5"/>
    <w:rsid w:val="00030B19"/>
    <w:rsid w:val="00030F35"/>
    <w:rsid w:val="000316DA"/>
    <w:rsid w:val="00031D6D"/>
    <w:rsid w:val="000321F2"/>
    <w:rsid w:val="00032C4A"/>
    <w:rsid w:val="000332BB"/>
    <w:rsid w:val="0003390E"/>
    <w:rsid w:val="00033EEE"/>
    <w:rsid w:val="00033F26"/>
    <w:rsid w:val="000352FC"/>
    <w:rsid w:val="000367D2"/>
    <w:rsid w:val="00037022"/>
    <w:rsid w:val="000378D8"/>
    <w:rsid w:val="0004032D"/>
    <w:rsid w:val="00040408"/>
    <w:rsid w:val="00040CE1"/>
    <w:rsid w:val="00040EE3"/>
    <w:rsid w:val="0004147D"/>
    <w:rsid w:val="000416B0"/>
    <w:rsid w:val="00041937"/>
    <w:rsid w:val="00041D83"/>
    <w:rsid w:val="000421F7"/>
    <w:rsid w:val="000424BE"/>
    <w:rsid w:val="000429EC"/>
    <w:rsid w:val="00042B88"/>
    <w:rsid w:val="00042C61"/>
    <w:rsid w:val="00042CB2"/>
    <w:rsid w:val="00043179"/>
    <w:rsid w:val="00043495"/>
    <w:rsid w:val="000437EF"/>
    <w:rsid w:val="000443DA"/>
    <w:rsid w:val="0004542C"/>
    <w:rsid w:val="00045F1A"/>
    <w:rsid w:val="00047E19"/>
    <w:rsid w:val="00050161"/>
    <w:rsid w:val="000507E5"/>
    <w:rsid w:val="0005399B"/>
    <w:rsid w:val="0005429E"/>
    <w:rsid w:val="00054540"/>
    <w:rsid w:val="00055271"/>
    <w:rsid w:val="0005596B"/>
    <w:rsid w:val="0005760A"/>
    <w:rsid w:val="000579C3"/>
    <w:rsid w:val="00057B44"/>
    <w:rsid w:val="00057F35"/>
    <w:rsid w:val="000601F9"/>
    <w:rsid w:val="0006073D"/>
    <w:rsid w:val="000607D4"/>
    <w:rsid w:val="000609D6"/>
    <w:rsid w:val="00061276"/>
    <w:rsid w:val="00061D9E"/>
    <w:rsid w:val="00061E02"/>
    <w:rsid w:val="00062F81"/>
    <w:rsid w:val="0006432E"/>
    <w:rsid w:val="000643AA"/>
    <w:rsid w:val="0006452A"/>
    <w:rsid w:val="00065224"/>
    <w:rsid w:val="0006645A"/>
    <w:rsid w:val="000679B9"/>
    <w:rsid w:val="00070190"/>
    <w:rsid w:val="000705D4"/>
    <w:rsid w:val="0007063B"/>
    <w:rsid w:val="00071153"/>
    <w:rsid w:val="00071CAA"/>
    <w:rsid w:val="0007589B"/>
    <w:rsid w:val="00075DEB"/>
    <w:rsid w:val="00076680"/>
    <w:rsid w:val="00076AEB"/>
    <w:rsid w:val="00076FF3"/>
    <w:rsid w:val="000770EC"/>
    <w:rsid w:val="00077E22"/>
    <w:rsid w:val="00082190"/>
    <w:rsid w:val="000824DF"/>
    <w:rsid w:val="00083115"/>
    <w:rsid w:val="00083AC5"/>
    <w:rsid w:val="00083B7D"/>
    <w:rsid w:val="00085702"/>
    <w:rsid w:val="00085B78"/>
    <w:rsid w:val="00086C36"/>
    <w:rsid w:val="000875FC"/>
    <w:rsid w:val="00087627"/>
    <w:rsid w:val="00087B08"/>
    <w:rsid w:val="00090F5E"/>
    <w:rsid w:val="0009152D"/>
    <w:rsid w:val="00092106"/>
    <w:rsid w:val="00092234"/>
    <w:rsid w:val="000928B7"/>
    <w:rsid w:val="00093313"/>
    <w:rsid w:val="00093AD6"/>
    <w:rsid w:val="000943CC"/>
    <w:rsid w:val="00094CED"/>
    <w:rsid w:val="0009521A"/>
    <w:rsid w:val="000967E3"/>
    <w:rsid w:val="000969C0"/>
    <w:rsid w:val="00096CAF"/>
    <w:rsid w:val="00096E00"/>
    <w:rsid w:val="0009722E"/>
    <w:rsid w:val="000973BD"/>
    <w:rsid w:val="00097692"/>
    <w:rsid w:val="000A0CF4"/>
    <w:rsid w:val="000A0D6D"/>
    <w:rsid w:val="000A0D83"/>
    <w:rsid w:val="000A3052"/>
    <w:rsid w:val="000A3201"/>
    <w:rsid w:val="000A3C00"/>
    <w:rsid w:val="000A5089"/>
    <w:rsid w:val="000A54B9"/>
    <w:rsid w:val="000A5679"/>
    <w:rsid w:val="000A5A89"/>
    <w:rsid w:val="000A60E6"/>
    <w:rsid w:val="000A62D5"/>
    <w:rsid w:val="000A6573"/>
    <w:rsid w:val="000A65DC"/>
    <w:rsid w:val="000A66FE"/>
    <w:rsid w:val="000A7B2C"/>
    <w:rsid w:val="000A7C99"/>
    <w:rsid w:val="000B0945"/>
    <w:rsid w:val="000B112C"/>
    <w:rsid w:val="000B1314"/>
    <w:rsid w:val="000B17DC"/>
    <w:rsid w:val="000B1F26"/>
    <w:rsid w:val="000B2567"/>
    <w:rsid w:val="000B275B"/>
    <w:rsid w:val="000B2DDD"/>
    <w:rsid w:val="000B2E6C"/>
    <w:rsid w:val="000B3188"/>
    <w:rsid w:val="000B3686"/>
    <w:rsid w:val="000B3A05"/>
    <w:rsid w:val="000B4252"/>
    <w:rsid w:val="000B4316"/>
    <w:rsid w:val="000B4562"/>
    <w:rsid w:val="000B5A0A"/>
    <w:rsid w:val="000B5E61"/>
    <w:rsid w:val="000B5EB6"/>
    <w:rsid w:val="000B5EC8"/>
    <w:rsid w:val="000B64E7"/>
    <w:rsid w:val="000B6C23"/>
    <w:rsid w:val="000B764E"/>
    <w:rsid w:val="000C0CF9"/>
    <w:rsid w:val="000C0CFA"/>
    <w:rsid w:val="000C0E92"/>
    <w:rsid w:val="000C0EDD"/>
    <w:rsid w:val="000C1328"/>
    <w:rsid w:val="000C14C4"/>
    <w:rsid w:val="000C3F1D"/>
    <w:rsid w:val="000C40EE"/>
    <w:rsid w:val="000C4372"/>
    <w:rsid w:val="000C503F"/>
    <w:rsid w:val="000C522F"/>
    <w:rsid w:val="000C5292"/>
    <w:rsid w:val="000C539F"/>
    <w:rsid w:val="000C57A5"/>
    <w:rsid w:val="000C5E53"/>
    <w:rsid w:val="000C603B"/>
    <w:rsid w:val="000C6758"/>
    <w:rsid w:val="000D0988"/>
    <w:rsid w:val="000D0CE3"/>
    <w:rsid w:val="000D0F32"/>
    <w:rsid w:val="000D1AFC"/>
    <w:rsid w:val="000D1D34"/>
    <w:rsid w:val="000D1DB1"/>
    <w:rsid w:val="000D1EA1"/>
    <w:rsid w:val="000D3CDC"/>
    <w:rsid w:val="000D5449"/>
    <w:rsid w:val="000D56C5"/>
    <w:rsid w:val="000D577E"/>
    <w:rsid w:val="000D6593"/>
    <w:rsid w:val="000D6EC9"/>
    <w:rsid w:val="000D706A"/>
    <w:rsid w:val="000D78B4"/>
    <w:rsid w:val="000E0183"/>
    <w:rsid w:val="000E0DCD"/>
    <w:rsid w:val="000E0FD5"/>
    <w:rsid w:val="000E1356"/>
    <w:rsid w:val="000E16FE"/>
    <w:rsid w:val="000E17CE"/>
    <w:rsid w:val="000E3851"/>
    <w:rsid w:val="000E388B"/>
    <w:rsid w:val="000E3A54"/>
    <w:rsid w:val="000E423A"/>
    <w:rsid w:val="000E4881"/>
    <w:rsid w:val="000E4BAA"/>
    <w:rsid w:val="000E4C65"/>
    <w:rsid w:val="000E4D21"/>
    <w:rsid w:val="000E4E5E"/>
    <w:rsid w:val="000E51C4"/>
    <w:rsid w:val="000E5511"/>
    <w:rsid w:val="000E555F"/>
    <w:rsid w:val="000E5A5A"/>
    <w:rsid w:val="000E5BC3"/>
    <w:rsid w:val="000E5ECB"/>
    <w:rsid w:val="000E6877"/>
    <w:rsid w:val="000E72D6"/>
    <w:rsid w:val="000E7314"/>
    <w:rsid w:val="000E7EC5"/>
    <w:rsid w:val="000F05AB"/>
    <w:rsid w:val="000F0F62"/>
    <w:rsid w:val="000F137C"/>
    <w:rsid w:val="000F144B"/>
    <w:rsid w:val="000F1EA0"/>
    <w:rsid w:val="000F2387"/>
    <w:rsid w:val="000F3359"/>
    <w:rsid w:val="000F4826"/>
    <w:rsid w:val="000F4B27"/>
    <w:rsid w:val="000F5694"/>
    <w:rsid w:val="000F5858"/>
    <w:rsid w:val="000F5E4E"/>
    <w:rsid w:val="000F6C4D"/>
    <w:rsid w:val="000F728F"/>
    <w:rsid w:val="000F7304"/>
    <w:rsid w:val="000F7426"/>
    <w:rsid w:val="000F750D"/>
    <w:rsid w:val="000F7712"/>
    <w:rsid w:val="00101079"/>
    <w:rsid w:val="00101644"/>
    <w:rsid w:val="00102280"/>
    <w:rsid w:val="00102306"/>
    <w:rsid w:val="00102917"/>
    <w:rsid w:val="00102E67"/>
    <w:rsid w:val="001042E5"/>
    <w:rsid w:val="00104494"/>
    <w:rsid w:val="00105ABB"/>
    <w:rsid w:val="00105C9D"/>
    <w:rsid w:val="00105F9A"/>
    <w:rsid w:val="001067A9"/>
    <w:rsid w:val="00106DF3"/>
    <w:rsid w:val="00106ED0"/>
    <w:rsid w:val="001071D9"/>
    <w:rsid w:val="00107301"/>
    <w:rsid w:val="00107967"/>
    <w:rsid w:val="001079B2"/>
    <w:rsid w:val="00110263"/>
    <w:rsid w:val="00110626"/>
    <w:rsid w:val="0011210A"/>
    <w:rsid w:val="00112B68"/>
    <w:rsid w:val="00112CA2"/>
    <w:rsid w:val="00113237"/>
    <w:rsid w:val="00113A73"/>
    <w:rsid w:val="00113B10"/>
    <w:rsid w:val="00114176"/>
    <w:rsid w:val="00114DD5"/>
    <w:rsid w:val="00115D25"/>
    <w:rsid w:val="00116050"/>
    <w:rsid w:val="00120550"/>
    <w:rsid w:val="00121767"/>
    <w:rsid w:val="00121F95"/>
    <w:rsid w:val="00122CAB"/>
    <w:rsid w:val="00123A7F"/>
    <w:rsid w:val="00124C08"/>
    <w:rsid w:val="00124CD9"/>
    <w:rsid w:val="00124F61"/>
    <w:rsid w:val="0012519E"/>
    <w:rsid w:val="001251AC"/>
    <w:rsid w:val="001251C0"/>
    <w:rsid w:val="001259AC"/>
    <w:rsid w:val="00125E71"/>
    <w:rsid w:val="001261C1"/>
    <w:rsid w:val="0012682B"/>
    <w:rsid w:val="001269BF"/>
    <w:rsid w:val="00126B9E"/>
    <w:rsid w:val="00126E5D"/>
    <w:rsid w:val="001270C0"/>
    <w:rsid w:val="00127688"/>
    <w:rsid w:val="001277A6"/>
    <w:rsid w:val="00130B0F"/>
    <w:rsid w:val="00131496"/>
    <w:rsid w:val="00131D9C"/>
    <w:rsid w:val="00132F83"/>
    <w:rsid w:val="001334E9"/>
    <w:rsid w:val="00133745"/>
    <w:rsid w:val="00133ADF"/>
    <w:rsid w:val="00133B97"/>
    <w:rsid w:val="0013466A"/>
    <w:rsid w:val="001346FE"/>
    <w:rsid w:val="00134A65"/>
    <w:rsid w:val="00134CE4"/>
    <w:rsid w:val="001354D4"/>
    <w:rsid w:val="0013596A"/>
    <w:rsid w:val="00135C88"/>
    <w:rsid w:val="001364B5"/>
    <w:rsid w:val="00137DFC"/>
    <w:rsid w:val="0014035C"/>
    <w:rsid w:val="0014129B"/>
    <w:rsid w:val="0014149D"/>
    <w:rsid w:val="00142531"/>
    <w:rsid w:val="001434D7"/>
    <w:rsid w:val="00143AA7"/>
    <w:rsid w:val="00143E21"/>
    <w:rsid w:val="001440EC"/>
    <w:rsid w:val="00145194"/>
    <w:rsid w:val="00145A9B"/>
    <w:rsid w:val="00147281"/>
    <w:rsid w:val="0014799B"/>
    <w:rsid w:val="00147C39"/>
    <w:rsid w:val="00147E48"/>
    <w:rsid w:val="001513CF"/>
    <w:rsid w:val="0015154F"/>
    <w:rsid w:val="00151A04"/>
    <w:rsid w:val="0015216E"/>
    <w:rsid w:val="0015260A"/>
    <w:rsid w:val="001526DD"/>
    <w:rsid w:val="0015373B"/>
    <w:rsid w:val="0015375B"/>
    <w:rsid w:val="00153785"/>
    <w:rsid w:val="00153917"/>
    <w:rsid w:val="001540AE"/>
    <w:rsid w:val="00154216"/>
    <w:rsid w:val="0015468C"/>
    <w:rsid w:val="001548E3"/>
    <w:rsid w:val="001559CE"/>
    <w:rsid w:val="00155BFA"/>
    <w:rsid w:val="00155C9C"/>
    <w:rsid w:val="001562EF"/>
    <w:rsid w:val="00156E0C"/>
    <w:rsid w:val="001571F6"/>
    <w:rsid w:val="00157E6B"/>
    <w:rsid w:val="00160114"/>
    <w:rsid w:val="001603CA"/>
    <w:rsid w:val="0016071E"/>
    <w:rsid w:val="001607F4"/>
    <w:rsid w:val="001619DE"/>
    <w:rsid w:val="00161B16"/>
    <w:rsid w:val="001623C8"/>
    <w:rsid w:val="00162D8B"/>
    <w:rsid w:val="00163118"/>
    <w:rsid w:val="00163122"/>
    <w:rsid w:val="00163B42"/>
    <w:rsid w:val="001640F1"/>
    <w:rsid w:val="001641A8"/>
    <w:rsid w:val="001641F4"/>
    <w:rsid w:val="001642AA"/>
    <w:rsid w:val="00164DB8"/>
    <w:rsid w:val="00165422"/>
    <w:rsid w:val="00165A31"/>
    <w:rsid w:val="00165BE0"/>
    <w:rsid w:val="001662B9"/>
    <w:rsid w:val="00166621"/>
    <w:rsid w:val="001669A6"/>
    <w:rsid w:val="00167B8B"/>
    <w:rsid w:val="00170090"/>
    <w:rsid w:val="0017010C"/>
    <w:rsid w:val="00171622"/>
    <w:rsid w:val="0017216C"/>
    <w:rsid w:val="00172C05"/>
    <w:rsid w:val="00172C99"/>
    <w:rsid w:val="001738EF"/>
    <w:rsid w:val="00173E20"/>
    <w:rsid w:val="00174290"/>
    <w:rsid w:val="00175ECF"/>
    <w:rsid w:val="00175F23"/>
    <w:rsid w:val="001762E5"/>
    <w:rsid w:val="00176C0C"/>
    <w:rsid w:val="00177FE0"/>
    <w:rsid w:val="00181ADB"/>
    <w:rsid w:val="00181E6D"/>
    <w:rsid w:val="00182595"/>
    <w:rsid w:val="00182FB2"/>
    <w:rsid w:val="00184914"/>
    <w:rsid w:val="001856B7"/>
    <w:rsid w:val="00186455"/>
    <w:rsid w:val="00186FBC"/>
    <w:rsid w:val="0018750D"/>
    <w:rsid w:val="0019039B"/>
    <w:rsid w:val="001922CD"/>
    <w:rsid w:val="00192B12"/>
    <w:rsid w:val="00192E87"/>
    <w:rsid w:val="00192F69"/>
    <w:rsid w:val="001933DD"/>
    <w:rsid w:val="00194363"/>
    <w:rsid w:val="00195134"/>
    <w:rsid w:val="00195570"/>
    <w:rsid w:val="00195CE7"/>
    <w:rsid w:val="0019605C"/>
    <w:rsid w:val="00196728"/>
    <w:rsid w:val="00196E58"/>
    <w:rsid w:val="0019748C"/>
    <w:rsid w:val="001976A8"/>
    <w:rsid w:val="00197883"/>
    <w:rsid w:val="00197AFE"/>
    <w:rsid w:val="00197E7C"/>
    <w:rsid w:val="001A01E9"/>
    <w:rsid w:val="001A0620"/>
    <w:rsid w:val="001A0B2C"/>
    <w:rsid w:val="001A0C26"/>
    <w:rsid w:val="001A1711"/>
    <w:rsid w:val="001A1847"/>
    <w:rsid w:val="001A2123"/>
    <w:rsid w:val="001A242A"/>
    <w:rsid w:val="001A273B"/>
    <w:rsid w:val="001A2743"/>
    <w:rsid w:val="001A2EAC"/>
    <w:rsid w:val="001A363F"/>
    <w:rsid w:val="001A3654"/>
    <w:rsid w:val="001A36ED"/>
    <w:rsid w:val="001A38F0"/>
    <w:rsid w:val="001A4676"/>
    <w:rsid w:val="001A49D0"/>
    <w:rsid w:val="001A4F64"/>
    <w:rsid w:val="001A5564"/>
    <w:rsid w:val="001A5881"/>
    <w:rsid w:val="001A5A37"/>
    <w:rsid w:val="001A5A96"/>
    <w:rsid w:val="001A5D2A"/>
    <w:rsid w:val="001A5E85"/>
    <w:rsid w:val="001A64C9"/>
    <w:rsid w:val="001A652E"/>
    <w:rsid w:val="001A72C0"/>
    <w:rsid w:val="001A72C2"/>
    <w:rsid w:val="001A7565"/>
    <w:rsid w:val="001A77E9"/>
    <w:rsid w:val="001A7A75"/>
    <w:rsid w:val="001A7B6D"/>
    <w:rsid w:val="001B0B64"/>
    <w:rsid w:val="001B134B"/>
    <w:rsid w:val="001B18C8"/>
    <w:rsid w:val="001B19CC"/>
    <w:rsid w:val="001B2923"/>
    <w:rsid w:val="001B313A"/>
    <w:rsid w:val="001B31F8"/>
    <w:rsid w:val="001B3246"/>
    <w:rsid w:val="001B3E6E"/>
    <w:rsid w:val="001B417D"/>
    <w:rsid w:val="001B595A"/>
    <w:rsid w:val="001B5BAF"/>
    <w:rsid w:val="001B753A"/>
    <w:rsid w:val="001B7B11"/>
    <w:rsid w:val="001B7D00"/>
    <w:rsid w:val="001C014A"/>
    <w:rsid w:val="001C0300"/>
    <w:rsid w:val="001C204E"/>
    <w:rsid w:val="001C244A"/>
    <w:rsid w:val="001C2F79"/>
    <w:rsid w:val="001C383E"/>
    <w:rsid w:val="001C38AE"/>
    <w:rsid w:val="001C3DDB"/>
    <w:rsid w:val="001C3DFC"/>
    <w:rsid w:val="001C3E1E"/>
    <w:rsid w:val="001C4321"/>
    <w:rsid w:val="001C5C38"/>
    <w:rsid w:val="001C65C0"/>
    <w:rsid w:val="001C7508"/>
    <w:rsid w:val="001C7CBB"/>
    <w:rsid w:val="001D0547"/>
    <w:rsid w:val="001D0769"/>
    <w:rsid w:val="001D13D0"/>
    <w:rsid w:val="001D1E5B"/>
    <w:rsid w:val="001D1F5A"/>
    <w:rsid w:val="001D29E8"/>
    <w:rsid w:val="001D2A47"/>
    <w:rsid w:val="001D2E56"/>
    <w:rsid w:val="001D31A2"/>
    <w:rsid w:val="001D3A08"/>
    <w:rsid w:val="001D41F2"/>
    <w:rsid w:val="001D5705"/>
    <w:rsid w:val="001D5A03"/>
    <w:rsid w:val="001D5E2C"/>
    <w:rsid w:val="001D6EF4"/>
    <w:rsid w:val="001D7498"/>
    <w:rsid w:val="001D7760"/>
    <w:rsid w:val="001E0AA4"/>
    <w:rsid w:val="001E0B77"/>
    <w:rsid w:val="001E1163"/>
    <w:rsid w:val="001E150E"/>
    <w:rsid w:val="001E1661"/>
    <w:rsid w:val="001E1D43"/>
    <w:rsid w:val="001E21FD"/>
    <w:rsid w:val="001E2539"/>
    <w:rsid w:val="001E2723"/>
    <w:rsid w:val="001E2A82"/>
    <w:rsid w:val="001E2AE0"/>
    <w:rsid w:val="001E2F3D"/>
    <w:rsid w:val="001E3345"/>
    <w:rsid w:val="001E3536"/>
    <w:rsid w:val="001E35E9"/>
    <w:rsid w:val="001E390A"/>
    <w:rsid w:val="001E3A6E"/>
    <w:rsid w:val="001E3E34"/>
    <w:rsid w:val="001E426B"/>
    <w:rsid w:val="001E5AC4"/>
    <w:rsid w:val="001E61AE"/>
    <w:rsid w:val="001E6DD7"/>
    <w:rsid w:val="001F03D7"/>
    <w:rsid w:val="001F1057"/>
    <w:rsid w:val="001F14D4"/>
    <w:rsid w:val="001F2582"/>
    <w:rsid w:val="001F444A"/>
    <w:rsid w:val="001F4A6B"/>
    <w:rsid w:val="001F53B5"/>
    <w:rsid w:val="001F5769"/>
    <w:rsid w:val="001F58CA"/>
    <w:rsid w:val="001F7666"/>
    <w:rsid w:val="001F7E22"/>
    <w:rsid w:val="0020035A"/>
    <w:rsid w:val="00200386"/>
    <w:rsid w:val="00200989"/>
    <w:rsid w:val="00201731"/>
    <w:rsid w:val="00202B80"/>
    <w:rsid w:val="0020336C"/>
    <w:rsid w:val="00203887"/>
    <w:rsid w:val="002043C1"/>
    <w:rsid w:val="002057AD"/>
    <w:rsid w:val="0020585B"/>
    <w:rsid w:val="00205C9B"/>
    <w:rsid w:val="00207734"/>
    <w:rsid w:val="00207B2A"/>
    <w:rsid w:val="00210EB5"/>
    <w:rsid w:val="0021128D"/>
    <w:rsid w:val="00211798"/>
    <w:rsid w:val="0021199B"/>
    <w:rsid w:val="0021314A"/>
    <w:rsid w:val="00213533"/>
    <w:rsid w:val="002135A4"/>
    <w:rsid w:val="00213BCC"/>
    <w:rsid w:val="00214065"/>
    <w:rsid w:val="00215EB4"/>
    <w:rsid w:val="00216206"/>
    <w:rsid w:val="00217216"/>
    <w:rsid w:val="002177C3"/>
    <w:rsid w:val="00217F8E"/>
    <w:rsid w:val="00220219"/>
    <w:rsid w:val="0022024E"/>
    <w:rsid w:val="0022047A"/>
    <w:rsid w:val="0022084C"/>
    <w:rsid w:val="0022179F"/>
    <w:rsid w:val="00221E2E"/>
    <w:rsid w:val="00221FDD"/>
    <w:rsid w:val="00222405"/>
    <w:rsid w:val="00222934"/>
    <w:rsid w:val="00223455"/>
    <w:rsid w:val="0022369B"/>
    <w:rsid w:val="002248E1"/>
    <w:rsid w:val="00224C0B"/>
    <w:rsid w:val="00225207"/>
    <w:rsid w:val="00225570"/>
    <w:rsid w:val="002267DD"/>
    <w:rsid w:val="00226853"/>
    <w:rsid w:val="00227CBA"/>
    <w:rsid w:val="00227D88"/>
    <w:rsid w:val="00230277"/>
    <w:rsid w:val="002305C0"/>
    <w:rsid w:val="00230D5B"/>
    <w:rsid w:val="00230D60"/>
    <w:rsid w:val="00230E10"/>
    <w:rsid w:val="002316C7"/>
    <w:rsid w:val="00231990"/>
    <w:rsid w:val="00231F28"/>
    <w:rsid w:val="0023250F"/>
    <w:rsid w:val="00232CEC"/>
    <w:rsid w:val="002331E5"/>
    <w:rsid w:val="00233220"/>
    <w:rsid w:val="00233B77"/>
    <w:rsid w:val="00234350"/>
    <w:rsid w:val="002352B7"/>
    <w:rsid w:val="0023545F"/>
    <w:rsid w:val="002358F0"/>
    <w:rsid w:val="002358F2"/>
    <w:rsid w:val="00235A72"/>
    <w:rsid w:val="00235B1A"/>
    <w:rsid w:val="00235D6E"/>
    <w:rsid w:val="00236645"/>
    <w:rsid w:val="002369AE"/>
    <w:rsid w:val="00237058"/>
    <w:rsid w:val="002377E4"/>
    <w:rsid w:val="00237907"/>
    <w:rsid w:val="00237FC2"/>
    <w:rsid w:val="002400EF"/>
    <w:rsid w:val="002406BA"/>
    <w:rsid w:val="00241916"/>
    <w:rsid w:val="00241DDD"/>
    <w:rsid w:val="00241EE9"/>
    <w:rsid w:val="002425D0"/>
    <w:rsid w:val="00242F7B"/>
    <w:rsid w:val="0024352E"/>
    <w:rsid w:val="002438B2"/>
    <w:rsid w:val="002438FA"/>
    <w:rsid w:val="00243DC8"/>
    <w:rsid w:val="00243FD2"/>
    <w:rsid w:val="00243FF7"/>
    <w:rsid w:val="0024416E"/>
    <w:rsid w:val="00244293"/>
    <w:rsid w:val="002449FA"/>
    <w:rsid w:val="00244D43"/>
    <w:rsid w:val="00244EBC"/>
    <w:rsid w:val="002450DA"/>
    <w:rsid w:val="00245801"/>
    <w:rsid w:val="00245F2F"/>
    <w:rsid w:val="00246345"/>
    <w:rsid w:val="00246EED"/>
    <w:rsid w:val="002472F0"/>
    <w:rsid w:val="00247B09"/>
    <w:rsid w:val="00247B7F"/>
    <w:rsid w:val="00247C2B"/>
    <w:rsid w:val="0025092D"/>
    <w:rsid w:val="00250A8E"/>
    <w:rsid w:val="00250E92"/>
    <w:rsid w:val="0025284B"/>
    <w:rsid w:val="00255D7D"/>
    <w:rsid w:val="002569D4"/>
    <w:rsid w:val="00256B9D"/>
    <w:rsid w:val="00257934"/>
    <w:rsid w:val="00257D81"/>
    <w:rsid w:val="002601B0"/>
    <w:rsid w:val="00260541"/>
    <w:rsid w:val="00260734"/>
    <w:rsid w:val="00260900"/>
    <w:rsid w:val="00260B7D"/>
    <w:rsid w:val="00260E8A"/>
    <w:rsid w:val="00261773"/>
    <w:rsid w:val="00261B62"/>
    <w:rsid w:val="00261CB8"/>
    <w:rsid w:val="002625C2"/>
    <w:rsid w:val="002629E7"/>
    <w:rsid w:val="002629FE"/>
    <w:rsid w:val="00263F40"/>
    <w:rsid w:val="00264756"/>
    <w:rsid w:val="00264D25"/>
    <w:rsid w:val="00264F7C"/>
    <w:rsid w:val="00265332"/>
    <w:rsid w:val="002658A3"/>
    <w:rsid w:val="00265AD6"/>
    <w:rsid w:val="002667D2"/>
    <w:rsid w:val="002678F9"/>
    <w:rsid w:val="00267D73"/>
    <w:rsid w:val="00270C1F"/>
    <w:rsid w:val="00271273"/>
    <w:rsid w:val="002716E9"/>
    <w:rsid w:val="0027194C"/>
    <w:rsid w:val="002719AC"/>
    <w:rsid w:val="00272104"/>
    <w:rsid w:val="0027348A"/>
    <w:rsid w:val="002737AA"/>
    <w:rsid w:val="0027479F"/>
    <w:rsid w:val="00274CAC"/>
    <w:rsid w:val="002750B6"/>
    <w:rsid w:val="00275B79"/>
    <w:rsid w:val="0027638F"/>
    <w:rsid w:val="00276988"/>
    <w:rsid w:val="002775EC"/>
    <w:rsid w:val="0027788D"/>
    <w:rsid w:val="00277B99"/>
    <w:rsid w:val="00280323"/>
    <w:rsid w:val="0028046A"/>
    <w:rsid w:val="00280914"/>
    <w:rsid w:val="0028096A"/>
    <w:rsid w:val="0028108D"/>
    <w:rsid w:val="002823D7"/>
    <w:rsid w:val="00282442"/>
    <w:rsid w:val="002825A3"/>
    <w:rsid w:val="00283133"/>
    <w:rsid w:val="00284EF2"/>
    <w:rsid w:val="002852E8"/>
    <w:rsid w:val="002859C5"/>
    <w:rsid w:val="002862C7"/>
    <w:rsid w:val="00287ACF"/>
    <w:rsid w:val="00290080"/>
    <w:rsid w:val="002907DF"/>
    <w:rsid w:val="00290B32"/>
    <w:rsid w:val="00290FDF"/>
    <w:rsid w:val="00291A71"/>
    <w:rsid w:val="00292A55"/>
    <w:rsid w:val="00293AA2"/>
    <w:rsid w:val="0029449F"/>
    <w:rsid w:val="002945B7"/>
    <w:rsid w:val="002947D9"/>
    <w:rsid w:val="00294AA5"/>
    <w:rsid w:val="00295578"/>
    <w:rsid w:val="002955D5"/>
    <w:rsid w:val="0029619B"/>
    <w:rsid w:val="002963FB"/>
    <w:rsid w:val="0029646E"/>
    <w:rsid w:val="00296BBF"/>
    <w:rsid w:val="00297D2F"/>
    <w:rsid w:val="002A0065"/>
    <w:rsid w:val="002A0322"/>
    <w:rsid w:val="002A0455"/>
    <w:rsid w:val="002A09E8"/>
    <w:rsid w:val="002A0AEB"/>
    <w:rsid w:val="002A0B46"/>
    <w:rsid w:val="002A0BC4"/>
    <w:rsid w:val="002A11B0"/>
    <w:rsid w:val="002A20C9"/>
    <w:rsid w:val="002A2320"/>
    <w:rsid w:val="002A309E"/>
    <w:rsid w:val="002A43C0"/>
    <w:rsid w:val="002A450D"/>
    <w:rsid w:val="002A4987"/>
    <w:rsid w:val="002A4AEC"/>
    <w:rsid w:val="002A55A5"/>
    <w:rsid w:val="002A56B5"/>
    <w:rsid w:val="002A6E88"/>
    <w:rsid w:val="002A7CEB"/>
    <w:rsid w:val="002B04D2"/>
    <w:rsid w:val="002B18D7"/>
    <w:rsid w:val="002B2282"/>
    <w:rsid w:val="002B27B8"/>
    <w:rsid w:val="002B27E0"/>
    <w:rsid w:val="002B2A3D"/>
    <w:rsid w:val="002B2FED"/>
    <w:rsid w:val="002B3021"/>
    <w:rsid w:val="002B5020"/>
    <w:rsid w:val="002B5215"/>
    <w:rsid w:val="002B53E7"/>
    <w:rsid w:val="002B55CA"/>
    <w:rsid w:val="002B5DBD"/>
    <w:rsid w:val="002B62CC"/>
    <w:rsid w:val="002B6375"/>
    <w:rsid w:val="002B6EEF"/>
    <w:rsid w:val="002B7C08"/>
    <w:rsid w:val="002C0DE3"/>
    <w:rsid w:val="002C0FB9"/>
    <w:rsid w:val="002C1909"/>
    <w:rsid w:val="002C193E"/>
    <w:rsid w:val="002C1CAB"/>
    <w:rsid w:val="002C2BD0"/>
    <w:rsid w:val="002C3198"/>
    <w:rsid w:val="002C34B8"/>
    <w:rsid w:val="002C3689"/>
    <w:rsid w:val="002C381A"/>
    <w:rsid w:val="002C385D"/>
    <w:rsid w:val="002C3F22"/>
    <w:rsid w:val="002C41DB"/>
    <w:rsid w:val="002C4371"/>
    <w:rsid w:val="002C518A"/>
    <w:rsid w:val="002C5268"/>
    <w:rsid w:val="002C53A7"/>
    <w:rsid w:val="002C5561"/>
    <w:rsid w:val="002C59D0"/>
    <w:rsid w:val="002C676E"/>
    <w:rsid w:val="002C6A81"/>
    <w:rsid w:val="002C6D7B"/>
    <w:rsid w:val="002C705C"/>
    <w:rsid w:val="002D0548"/>
    <w:rsid w:val="002D06D6"/>
    <w:rsid w:val="002D07D9"/>
    <w:rsid w:val="002D0A4A"/>
    <w:rsid w:val="002D1136"/>
    <w:rsid w:val="002D23E1"/>
    <w:rsid w:val="002D2B67"/>
    <w:rsid w:val="002D345E"/>
    <w:rsid w:val="002D3DCD"/>
    <w:rsid w:val="002D4E96"/>
    <w:rsid w:val="002E02A2"/>
    <w:rsid w:val="002E21A2"/>
    <w:rsid w:val="002E2BCC"/>
    <w:rsid w:val="002E31DF"/>
    <w:rsid w:val="002E380F"/>
    <w:rsid w:val="002E3A69"/>
    <w:rsid w:val="002E3EC3"/>
    <w:rsid w:val="002E5974"/>
    <w:rsid w:val="002E5CCA"/>
    <w:rsid w:val="002E5D74"/>
    <w:rsid w:val="002E720D"/>
    <w:rsid w:val="002E754C"/>
    <w:rsid w:val="002E775C"/>
    <w:rsid w:val="002F0166"/>
    <w:rsid w:val="002F0B19"/>
    <w:rsid w:val="002F12FA"/>
    <w:rsid w:val="002F13B0"/>
    <w:rsid w:val="002F14B2"/>
    <w:rsid w:val="002F2C6C"/>
    <w:rsid w:val="002F33DC"/>
    <w:rsid w:val="002F35EE"/>
    <w:rsid w:val="002F3ADA"/>
    <w:rsid w:val="002F410E"/>
    <w:rsid w:val="002F4BEB"/>
    <w:rsid w:val="002F540E"/>
    <w:rsid w:val="00300747"/>
    <w:rsid w:val="00300BF8"/>
    <w:rsid w:val="00300D76"/>
    <w:rsid w:val="00301B03"/>
    <w:rsid w:val="00302784"/>
    <w:rsid w:val="00302B4B"/>
    <w:rsid w:val="0030342C"/>
    <w:rsid w:val="0030374B"/>
    <w:rsid w:val="003040F9"/>
    <w:rsid w:val="00304297"/>
    <w:rsid w:val="003045A5"/>
    <w:rsid w:val="0030467B"/>
    <w:rsid w:val="003046DB"/>
    <w:rsid w:val="00304A08"/>
    <w:rsid w:val="00305039"/>
    <w:rsid w:val="00305991"/>
    <w:rsid w:val="003063D5"/>
    <w:rsid w:val="00306BE3"/>
    <w:rsid w:val="00306C53"/>
    <w:rsid w:val="00307A9F"/>
    <w:rsid w:val="00307D5D"/>
    <w:rsid w:val="0031019F"/>
    <w:rsid w:val="003106DE"/>
    <w:rsid w:val="003118C6"/>
    <w:rsid w:val="00311FBE"/>
    <w:rsid w:val="00312DBA"/>
    <w:rsid w:val="00312FC9"/>
    <w:rsid w:val="00313609"/>
    <w:rsid w:val="00313FE6"/>
    <w:rsid w:val="003145CE"/>
    <w:rsid w:val="003149F9"/>
    <w:rsid w:val="00314AFD"/>
    <w:rsid w:val="003157F4"/>
    <w:rsid w:val="0031624A"/>
    <w:rsid w:val="003162B1"/>
    <w:rsid w:val="0031682C"/>
    <w:rsid w:val="0031724D"/>
    <w:rsid w:val="00317A63"/>
    <w:rsid w:val="00317DBF"/>
    <w:rsid w:val="00317DDA"/>
    <w:rsid w:val="00320399"/>
    <w:rsid w:val="00321C55"/>
    <w:rsid w:val="00321F8C"/>
    <w:rsid w:val="00322369"/>
    <w:rsid w:val="0032296E"/>
    <w:rsid w:val="00322E31"/>
    <w:rsid w:val="00323611"/>
    <w:rsid w:val="003237CA"/>
    <w:rsid w:val="00323962"/>
    <w:rsid w:val="00323A0F"/>
    <w:rsid w:val="00324043"/>
    <w:rsid w:val="00324408"/>
    <w:rsid w:val="00324559"/>
    <w:rsid w:val="00324799"/>
    <w:rsid w:val="00325FA8"/>
    <w:rsid w:val="00326093"/>
    <w:rsid w:val="003260EC"/>
    <w:rsid w:val="00326737"/>
    <w:rsid w:val="00326EC9"/>
    <w:rsid w:val="00326F86"/>
    <w:rsid w:val="003273A3"/>
    <w:rsid w:val="00330051"/>
    <w:rsid w:val="00330A30"/>
    <w:rsid w:val="0033153E"/>
    <w:rsid w:val="00331591"/>
    <w:rsid w:val="003316DB"/>
    <w:rsid w:val="00331C0D"/>
    <w:rsid w:val="0033206D"/>
    <w:rsid w:val="00332345"/>
    <w:rsid w:val="003335A4"/>
    <w:rsid w:val="00333D0F"/>
    <w:rsid w:val="003343A3"/>
    <w:rsid w:val="0033458E"/>
    <w:rsid w:val="00335294"/>
    <w:rsid w:val="0033567E"/>
    <w:rsid w:val="003364AB"/>
    <w:rsid w:val="0033687E"/>
    <w:rsid w:val="00336CEC"/>
    <w:rsid w:val="0033733C"/>
    <w:rsid w:val="00337739"/>
    <w:rsid w:val="00340A0E"/>
    <w:rsid w:val="00341ABE"/>
    <w:rsid w:val="00341DEE"/>
    <w:rsid w:val="00341FFF"/>
    <w:rsid w:val="003423ED"/>
    <w:rsid w:val="00342885"/>
    <w:rsid w:val="00343CE6"/>
    <w:rsid w:val="00344493"/>
    <w:rsid w:val="003446AD"/>
    <w:rsid w:val="00345584"/>
    <w:rsid w:val="003456ED"/>
    <w:rsid w:val="003458E6"/>
    <w:rsid w:val="00346041"/>
    <w:rsid w:val="003469FC"/>
    <w:rsid w:val="00346D53"/>
    <w:rsid w:val="00346EEF"/>
    <w:rsid w:val="00346F92"/>
    <w:rsid w:val="00347020"/>
    <w:rsid w:val="003471F2"/>
    <w:rsid w:val="0034788B"/>
    <w:rsid w:val="00347ADE"/>
    <w:rsid w:val="00350071"/>
    <w:rsid w:val="0035057D"/>
    <w:rsid w:val="00350BE4"/>
    <w:rsid w:val="00351076"/>
    <w:rsid w:val="0035129A"/>
    <w:rsid w:val="0035167E"/>
    <w:rsid w:val="00351747"/>
    <w:rsid w:val="003519AB"/>
    <w:rsid w:val="00351C27"/>
    <w:rsid w:val="00353D66"/>
    <w:rsid w:val="003545C0"/>
    <w:rsid w:val="0035470E"/>
    <w:rsid w:val="00354FC1"/>
    <w:rsid w:val="0035509C"/>
    <w:rsid w:val="00355426"/>
    <w:rsid w:val="00355D02"/>
    <w:rsid w:val="003569AE"/>
    <w:rsid w:val="00356FD7"/>
    <w:rsid w:val="00357004"/>
    <w:rsid w:val="00360DE5"/>
    <w:rsid w:val="00361213"/>
    <w:rsid w:val="00361328"/>
    <w:rsid w:val="003615D2"/>
    <w:rsid w:val="003622F5"/>
    <w:rsid w:val="003623E3"/>
    <w:rsid w:val="00362493"/>
    <w:rsid w:val="00362E33"/>
    <w:rsid w:val="003631EA"/>
    <w:rsid w:val="00363A04"/>
    <w:rsid w:val="003643AF"/>
    <w:rsid w:val="003646FC"/>
    <w:rsid w:val="00364DF4"/>
    <w:rsid w:val="00365CD4"/>
    <w:rsid w:val="00365FAB"/>
    <w:rsid w:val="0036694B"/>
    <w:rsid w:val="00366C25"/>
    <w:rsid w:val="0036719C"/>
    <w:rsid w:val="0036751D"/>
    <w:rsid w:val="00367AE0"/>
    <w:rsid w:val="00370314"/>
    <w:rsid w:val="003703B9"/>
    <w:rsid w:val="00370B51"/>
    <w:rsid w:val="00370ECA"/>
    <w:rsid w:val="00371F6C"/>
    <w:rsid w:val="003720AD"/>
    <w:rsid w:val="00372938"/>
    <w:rsid w:val="00372C18"/>
    <w:rsid w:val="00372C69"/>
    <w:rsid w:val="00374B20"/>
    <w:rsid w:val="00375C38"/>
    <w:rsid w:val="00375CA3"/>
    <w:rsid w:val="00377570"/>
    <w:rsid w:val="00377908"/>
    <w:rsid w:val="00377DAB"/>
    <w:rsid w:val="00377F25"/>
    <w:rsid w:val="003801D8"/>
    <w:rsid w:val="00380805"/>
    <w:rsid w:val="00381619"/>
    <w:rsid w:val="003818CC"/>
    <w:rsid w:val="00381AAC"/>
    <w:rsid w:val="0038254C"/>
    <w:rsid w:val="0038350E"/>
    <w:rsid w:val="00384833"/>
    <w:rsid w:val="0038486C"/>
    <w:rsid w:val="0038573F"/>
    <w:rsid w:val="00385BB8"/>
    <w:rsid w:val="00385CDD"/>
    <w:rsid w:val="00385F49"/>
    <w:rsid w:val="003860EC"/>
    <w:rsid w:val="0038644F"/>
    <w:rsid w:val="00390153"/>
    <w:rsid w:val="00390D4A"/>
    <w:rsid w:val="00391A43"/>
    <w:rsid w:val="00391CF9"/>
    <w:rsid w:val="00392106"/>
    <w:rsid w:val="0039222A"/>
    <w:rsid w:val="003927B2"/>
    <w:rsid w:val="00392F05"/>
    <w:rsid w:val="0039353D"/>
    <w:rsid w:val="00393E14"/>
    <w:rsid w:val="00394DBF"/>
    <w:rsid w:val="0039565B"/>
    <w:rsid w:val="00395C66"/>
    <w:rsid w:val="00396813"/>
    <w:rsid w:val="00396BA0"/>
    <w:rsid w:val="00397213"/>
    <w:rsid w:val="00397E4D"/>
    <w:rsid w:val="003A1205"/>
    <w:rsid w:val="003A122C"/>
    <w:rsid w:val="003A1549"/>
    <w:rsid w:val="003A15BF"/>
    <w:rsid w:val="003A1C45"/>
    <w:rsid w:val="003A1D74"/>
    <w:rsid w:val="003A1FFD"/>
    <w:rsid w:val="003A224D"/>
    <w:rsid w:val="003A22F9"/>
    <w:rsid w:val="003A313E"/>
    <w:rsid w:val="003A316B"/>
    <w:rsid w:val="003A399B"/>
    <w:rsid w:val="003A421F"/>
    <w:rsid w:val="003A4295"/>
    <w:rsid w:val="003A52ED"/>
    <w:rsid w:val="003A555E"/>
    <w:rsid w:val="003A5BE1"/>
    <w:rsid w:val="003A633C"/>
    <w:rsid w:val="003A6855"/>
    <w:rsid w:val="003A6A09"/>
    <w:rsid w:val="003B03A1"/>
    <w:rsid w:val="003B03C7"/>
    <w:rsid w:val="003B05ED"/>
    <w:rsid w:val="003B0755"/>
    <w:rsid w:val="003B0826"/>
    <w:rsid w:val="003B095C"/>
    <w:rsid w:val="003B0CD0"/>
    <w:rsid w:val="003B16E2"/>
    <w:rsid w:val="003B3173"/>
    <w:rsid w:val="003B3AE5"/>
    <w:rsid w:val="003B4CBA"/>
    <w:rsid w:val="003B51E0"/>
    <w:rsid w:val="003B538D"/>
    <w:rsid w:val="003B6EC9"/>
    <w:rsid w:val="003B7446"/>
    <w:rsid w:val="003B76D5"/>
    <w:rsid w:val="003C01F4"/>
    <w:rsid w:val="003C0552"/>
    <w:rsid w:val="003C1082"/>
    <w:rsid w:val="003C1254"/>
    <w:rsid w:val="003C228D"/>
    <w:rsid w:val="003C2741"/>
    <w:rsid w:val="003C283F"/>
    <w:rsid w:val="003C2A04"/>
    <w:rsid w:val="003C31E4"/>
    <w:rsid w:val="003C332F"/>
    <w:rsid w:val="003C3518"/>
    <w:rsid w:val="003C38C6"/>
    <w:rsid w:val="003C3A4E"/>
    <w:rsid w:val="003C3CC2"/>
    <w:rsid w:val="003C458D"/>
    <w:rsid w:val="003C4625"/>
    <w:rsid w:val="003C479B"/>
    <w:rsid w:val="003C4A9F"/>
    <w:rsid w:val="003C4B11"/>
    <w:rsid w:val="003C4C8C"/>
    <w:rsid w:val="003C4D77"/>
    <w:rsid w:val="003C5536"/>
    <w:rsid w:val="003C63A7"/>
    <w:rsid w:val="003C688A"/>
    <w:rsid w:val="003C75A2"/>
    <w:rsid w:val="003C7EF4"/>
    <w:rsid w:val="003D00DD"/>
    <w:rsid w:val="003D024D"/>
    <w:rsid w:val="003D071E"/>
    <w:rsid w:val="003D14BB"/>
    <w:rsid w:val="003D1AD3"/>
    <w:rsid w:val="003D29C5"/>
    <w:rsid w:val="003D2EF0"/>
    <w:rsid w:val="003D33F8"/>
    <w:rsid w:val="003D3F8D"/>
    <w:rsid w:val="003D461E"/>
    <w:rsid w:val="003D4845"/>
    <w:rsid w:val="003D4B2C"/>
    <w:rsid w:val="003D6441"/>
    <w:rsid w:val="003D6AFE"/>
    <w:rsid w:val="003D7607"/>
    <w:rsid w:val="003D77E5"/>
    <w:rsid w:val="003D7802"/>
    <w:rsid w:val="003D78D3"/>
    <w:rsid w:val="003D7EF4"/>
    <w:rsid w:val="003E0490"/>
    <w:rsid w:val="003E103C"/>
    <w:rsid w:val="003E187B"/>
    <w:rsid w:val="003E1ACD"/>
    <w:rsid w:val="003E1CF4"/>
    <w:rsid w:val="003E204F"/>
    <w:rsid w:val="003E245F"/>
    <w:rsid w:val="003E297B"/>
    <w:rsid w:val="003E3B13"/>
    <w:rsid w:val="003E4485"/>
    <w:rsid w:val="003E4C4C"/>
    <w:rsid w:val="003E5BCC"/>
    <w:rsid w:val="003E64F4"/>
    <w:rsid w:val="003E70F3"/>
    <w:rsid w:val="003E74A7"/>
    <w:rsid w:val="003F0CA3"/>
    <w:rsid w:val="003F0CC5"/>
    <w:rsid w:val="003F187F"/>
    <w:rsid w:val="003F1CA8"/>
    <w:rsid w:val="003F2008"/>
    <w:rsid w:val="003F2386"/>
    <w:rsid w:val="003F2733"/>
    <w:rsid w:val="003F3617"/>
    <w:rsid w:val="003F3A21"/>
    <w:rsid w:val="003F4396"/>
    <w:rsid w:val="003F4B07"/>
    <w:rsid w:val="003F554C"/>
    <w:rsid w:val="003F598A"/>
    <w:rsid w:val="003F6311"/>
    <w:rsid w:val="003F6351"/>
    <w:rsid w:val="003F6B64"/>
    <w:rsid w:val="003F6DE2"/>
    <w:rsid w:val="003F71A0"/>
    <w:rsid w:val="003F772E"/>
    <w:rsid w:val="003F77AB"/>
    <w:rsid w:val="003F7806"/>
    <w:rsid w:val="003F7C73"/>
    <w:rsid w:val="00401066"/>
    <w:rsid w:val="0040135F"/>
    <w:rsid w:val="004016C1"/>
    <w:rsid w:val="00401A6B"/>
    <w:rsid w:val="00402AC6"/>
    <w:rsid w:val="0040303A"/>
    <w:rsid w:val="0040371F"/>
    <w:rsid w:val="00403B16"/>
    <w:rsid w:val="00403C56"/>
    <w:rsid w:val="00404115"/>
    <w:rsid w:val="004053EA"/>
    <w:rsid w:val="004055DE"/>
    <w:rsid w:val="00405ED7"/>
    <w:rsid w:val="004064E5"/>
    <w:rsid w:val="00407246"/>
    <w:rsid w:val="00407375"/>
    <w:rsid w:val="004100CB"/>
    <w:rsid w:val="00410689"/>
    <w:rsid w:val="00410CC7"/>
    <w:rsid w:val="00411124"/>
    <w:rsid w:val="004113D6"/>
    <w:rsid w:val="004115E2"/>
    <w:rsid w:val="004115F7"/>
    <w:rsid w:val="00412342"/>
    <w:rsid w:val="0041283B"/>
    <w:rsid w:val="00413319"/>
    <w:rsid w:val="0041333C"/>
    <w:rsid w:val="0041334A"/>
    <w:rsid w:val="00413613"/>
    <w:rsid w:val="00413859"/>
    <w:rsid w:val="004143E4"/>
    <w:rsid w:val="004143E9"/>
    <w:rsid w:val="00414F7F"/>
    <w:rsid w:val="00415129"/>
    <w:rsid w:val="00415877"/>
    <w:rsid w:val="00415C25"/>
    <w:rsid w:val="00415F11"/>
    <w:rsid w:val="0041606A"/>
    <w:rsid w:val="004164A7"/>
    <w:rsid w:val="00417B13"/>
    <w:rsid w:val="00417E6D"/>
    <w:rsid w:val="0042009D"/>
    <w:rsid w:val="00420F5A"/>
    <w:rsid w:val="004218CA"/>
    <w:rsid w:val="0042231A"/>
    <w:rsid w:val="00422377"/>
    <w:rsid w:val="00423DC3"/>
    <w:rsid w:val="00424521"/>
    <w:rsid w:val="0042460C"/>
    <w:rsid w:val="0042463B"/>
    <w:rsid w:val="004247ED"/>
    <w:rsid w:val="00424943"/>
    <w:rsid w:val="00424EB6"/>
    <w:rsid w:val="00425513"/>
    <w:rsid w:val="00425890"/>
    <w:rsid w:val="00425E04"/>
    <w:rsid w:val="00425FAD"/>
    <w:rsid w:val="00426539"/>
    <w:rsid w:val="00426F0A"/>
    <w:rsid w:val="0042740F"/>
    <w:rsid w:val="004306A0"/>
    <w:rsid w:val="00430C59"/>
    <w:rsid w:val="00430CE4"/>
    <w:rsid w:val="00430DA2"/>
    <w:rsid w:val="00430F05"/>
    <w:rsid w:val="004314AE"/>
    <w:rsid w:val="00431AD3"/>
    <w:rsid w:val="00431F2F"/>
    <w:rsid w:val="00433025"/>
    <w:rsid w:val="00433B53"/>
    <w:rsid w:val="00433FBA"/>
    <w:rsid w:val="004345FD"/>
    <w:rsid w:val="00434D94"/>
    <w:rsid w:val="00435B64"/>
    <w:rsid w:val="00435E57"/>
    <w:rsid w:val="004361AC"/>
    <w:rsid w:val="004364DC"/>
    <w:rsid w:val="00437733"/>
    <w:rsid w:val="00440CAD"/>
    <w:rsid w:val="004416F5"/>
    <w:rsid w:val="00441832"/>
    <w:rsid w:val="0044361F"/>
    <w:rsid w:val="00443776"/>
    <w:rsid w:val="00443FF1"/>
    <w:rsid w:val="0044476B"/>
    <w:rsid w:val="004449D1"/>
    <w:rsid w:val="00444CCF"/>
    <w:rsid w:val="004451B4"/>
    <w:rsid w:val="00446BDE"/>
    <w:rsid w:val="004473A1"/>
    <w:rsid w:val="004505C1"/>
    <w:rsid w:val="00450735"/>
    <w:rsid w:val="00450BCF"/>
    <w:rsid w:val="004515DF"/>
    <w:rsid w:val="00451CEA"/>
    <w:rsid w:val="00451E81"/>
    <w:rsid w:val="00451F67"/>
    <w:rsid w:val="00452A95"/>
    <w:rsid w:val="00453116"/>
    <w:rsid w:val="0045320C"/>
    <w:rsid w:val="004536B3"/>
    <w:rsid w:val="00453BBE"/>
    <w:rsid w:val="00454298"/>
    <w:rsid w:val="00454B44"/>
    <w:rsid w:val="00455C3E"/>
    <w:rsid w:val="00456267"/>
    <w:rsid w:val="00456703"/>
    <w:rsid w:val="0045691D"/>
    <w:rsid w:val="004570A7"/>
    <w:rsid w:val="004575B4"/>
    <w:rsid w:val="00457F89"/>
    <w:rsid w:val="0046024D"/>
    <w:rsid w:val="00460B07"/>
    <w:rsid w:val="00461726"/>
    <w:rsid w:val="00461DE2"/>
    <w:rsid w:val="00462589"/>
    <w:rsid w:val="0046379E"/>
    <w:rsid w:val="00463D8C"/>
    <w:rsid w:val="00463F4C"/>
    <w:rsid w:val="0046416E"/>
    <w:rsid w:val="00464445"/>
    <w:rsid w:val="00464B72"/>
    <w:rsid w:val="0046514A"/>
    <w:rsid w:val="0046545C"/>
    <w:rsid w:val="00465B85"/>
    <w:rsid w:val="004668A1"/>
    <w:rsid w:val="00466ADE"/>
    <w:rsid w:val="00467510"/>
    <w:rsid w:val="00467631"/>
    <w:rsid w:val="0046794D"/>
    <w:rsid w:val="004706DE"/>
    <w:rsid w:val="0047102D"/>
    <w:rsid w:val="0047121C"/>
    <w:rsid w:val="00471A83"/>
    <w:rsid w:val="00473118"/>
    <w:rsid w:val="00473E00"/>
    <w:rsid w:val="00474306"/>
    <w:rsid w:val="00474564"/>
    <w:rsid w:val="00474579"/>
    <w:rsid w:val="00474618"/>
    <w:rsid w:val="0047493E"/>
    <w:rsid w:val="00474A1D"/>
    <w:rsid w:val="00474ED9"/>
    <w:rsid w:val="00474FF6"/>
    <w:rsid w:val="0047578D"/>
    <w:rsid w:val="00475B8F"/>
    <w:rsid w:val="00475F33"/>
    <w:rsid w:val="00475F38"/>
    <w:rsid w:val="00476158"/>
    <w:rsid w:val="004772E4"/>
    <w:rsid w:val="00477BC4"/>
    <w:rsid w:val="00477CA4"/>
    <w:rsid w:val="00480454"/>
    <w:rsid w:val="004804FA"/>
    <w:rsid w:val="00480525"/>
    <w:rsid w:val="00480BEB"/>
    <w:rsid w:val="00480CFF"/>
    <w:rsid w:val="00480FBB"/>
    <w:rsid w:val="0048125D"/>
    <w:rsid w:val="004818BA"/>
    <w:rsid w:val="00481CF4"/>
    <w:rsid w:val="00482ABE"/>
    <w:rsid w:val="00483BB2"/>
    <w:rsid w:val="00483ECF"/>
    <w:rsid w:val="004841A9"/>
    <w:rsid w:val="00484477"/>
    <w:rsid w:val="0048466B"/>
    <w:rsid w:val="0048473B"/>
    <w:rsid w:val="004848C8"/>
    <w:rsid w:val="004853DA"/>
    <w:rsid w:val="004856AA"/>
    <w:rsid w:val="00485828"/>
    <w:rsid w:val="00485E3C"/>
    <w:rsid w:val="00485FE1"/>
    <w:rsid w:val="0048702D"/>
    <w:rsid w:val="00487104"/>
    <w:rsid w:val="004876D7"/>
    <w:rsid w:val="00490017"/>
    <w:rsid w:val="00491FFB"/>
    <w:rsid w:val="00493C65"/>
    <w:rsid w:val="00494029"/>
    <w:rsid w:val="004940F3"/>
    <w:rsid w:val="004944C6"/>
    <w:rsid w:val="004958CD"/>
    <w:rsid w:val="00495B06"/>
    <w:rsid w:val="00495D9C"/>
    <w:rsid w:val="00495DB5"/>
    <w:rsid w:val="004960D2"/>
    <w:rsid w:val="00496C3D"/>
    <w:rsid w:val="004977C9"/>
    <w:rsid w:val="00497EA7"/>
    <w:rsid w:val="004A05DB"/>
    <w:rsid w:val="004A0AD3"/>
    <w:rsid w:val="004A0D4F"/>
    <w:rsid w:val="004A0E4D"/>
    <w:rsid w:val="004A1686"/>
    <w:rsid w:val="004A2121"/>
    <w:rsid w:val="004A2B22"/>
    <w:rsid w:val="004A2D5F"/>
    <w:rsid w:val="004A31AC"/>
    <w:rsid w:val="004A3919"/>
    <w:rsid w:val="004A3DD6"/>
    <w:rsid w:val="004A3F16"/>
    <w:rsid w:val="004A4207"/>
    <w:rsid w:val="004A4857"/>
    <w:rsid w:val="004A5512"/>
    <w:rsid w:val="004A5A65"/>
    <w:rsid w:val="004A5C06"/>
    <w:rsid w:val="004A6409"/>
    <w:rsid w:val="004A6563"/>
    <w:rsid w:val="004A6947"/>
    <w:rsid w:val="004A6BB1"/>
    <w:rsid w:val="004A7100"/>
    <w:rsid w:val="004B005C"/>
    <w:rsid w:val="004B034B"/>
    <w:rsid w:val="004B0B1F"/>
    <w:rsid w:val="004B0FE3"/>
    <w:rsid w:val="004B118C"/>
    <w:rsid w:val="004B1938"/>
    <w:rsid w:val="004B1EE7"/>
    <w:rsid w:val="004B2AC7"/>
    <w:rsid w:val="004B2DFF"/>
    <w:rsid w:val="004B320F"/>
    <w:rsid w:val="004B3603"/>
    <w:rsid w:val="004B364B"/>
    <w:rsid w:val="004B3688"/>
    <w:rsid w:val="004B42B5"/>
    <w:rsid w:val="004B522E"/>
    <w:rsid w:val="004B5716"/>
    <w:rsid w:val="004B5D7B"/>
    <w:rsid w:val="004B6051"/>
    <w:rsid w:val="004B6517"/>
    <w:rsid w:val="004B67F6"/>
    <w:rsid w:val="004B6911"/>
    <w:rsid w:val="004B7210"/>
    <w:rsid w:val="004B738B"/>
    <w:rsid w:val="004B7654"/>
    <w:rsid w:val="004C01CC"/>
    <w:rsid w:val="004C058E"/>
    <w:rsid w:val="004C0B30"/>
    <w:rsid w:val="004C0C64"/>
    <w:rsid w:val="004C1064"/>
    <w:rsid w:val="004C1AAE"/>
    <w:rsid w:val="004C21B2"/>
    <w:rsid w:val="004C359C"/>
    <w:rsid w:val="004C4020"/>
    <w:rsid w:val="004C4071"/>
    <w:rsid w:val="004C449B"/>
    <w:rsid w:val="004C53FF"/>
    <w:rsid w:val="004C619D"/>
    <w:rsid w:val="004C62F5"/>
    <w:rsid w:val="004C6431"/>
    <w:rsid w:val="004C74AE"/>
    <w:rsid w:val="004C7CFB"/>
    <w:rsid w:val="004D008C"/>
    <w:rsid w:val="004D092E"/>
    <w:rsid w:val="004D12EF"/>
    <w:rsid w:val="004D1343"/>
    <w:rsid w:val="004D1642"/>
    <w:rsid w:val="004D281A"/>
    <w:rsid w:val="004D303A"/>
    <w:rsid w:val="004D321E"/>
    <w:rsid w:val="004D43E5"/>
    <w:rsid w:val="004D5043"/>
    <w:rsid w:val="004D53A2"/>
    <w:rsid w:val="004D55CA"/>
    <w:rsid w:val="004D57A8"/>
    <w:rsid w:val="004D65EE"/>
    <w:rsid w:val="004D6778"/>
    <w:rsid w:val="004D6BBE"/>
    <w:rsid w:val="004D7E4A"/>
    <w:rsid w:val="004E1497"/>
    <w:rsid w:val="004E19DB"/>
    <w:rsid w:val="004E1CB5"/>
    <w:rsid w:val="004E214B"/>
    <w:rsid w:val="004E21E1"/>
    <w:rsid w:val="004E3343"/>
    <w:rsid w:val="004E3CFB"/>
    <w:rsid w:val="004E49CE"/>
    <w:rsid w:val="004E4C00"/>
    <w:rsid w:val="004E4DE4"/>
    <w:rsid w:val="004E5654"/>
    <w:rsid w:val="004E5A61"/>
    <w:rsid w:val="004E6667"/>
    <w:rsid w:val="004E682F"/>
    <w:rsid w:val="004E68BA"/>
    <w:rsid w:val="004E6C1E"/>
    <w:rsid w:val="004E6DE7"/>
    <w:rsid w:val="004E7343"/>
    <w:rsid w:val="004F0008"/>
    <w:rsid w:val="004F0169"/>
    <w:rsid w:val="004F018B"/>
    <w:rsid w:val="004F0270"/>
    <w:rsid w:val="004F1A1C"/>
    <w:rsid w:val="004F1C61"/>
    <w:rsid w:val="004F528D"/>
    <w:rsid w:val="004F5A11"/>
    <w:rsid w:val="004F5FB3"/>
    <w:rsid w:val="004F63C0"/>
    <w:rsid w:val="004F652B"/>
    <w:rsid w:val="004F67E7"/>
    <w:rsid w:val="004F7206"/>
    <w:rsid w:val="004F74BF"/>
    <w:rsid w:val="004F7947"/>
    <w:rsid w:val="00500151"/>
    <w:rsid w:val="005002B5"/>
    <w:rsid w:val="00500319"/>
    <w:rsid w:val="00500B39"/>
    <w:rsid w:val="00500BED"/>
    <w:rsid w:val="0050124A"/>
    <w:rsid w:val="0050157E"/>
    <w:rsid w:val="005016D7"/>
    <w:rsid w:val="00502A3A"/>
    <w:rsid w:val="00503630"/>
    <w:rsid w:val="005036B1"/>
    <w:rsid w:val="0050440A"/>
    <w:rsid w:val="00504C2A"/>
    <w:rsid w:val="00504FD5"/>
    <w:rsid w:val="00505907"/>
    <w:rsid w:val="005077C2"/>
    <w:rsid w:val="00507D92"/>
    <w:rsid w:val="00507DCD"/>
    <w:rsid w:val="00510058"/>
    <w:rsid w:val="005116B0"/>
    <w:rsid w:val="00511B5C"/>
    <w:rsid w:val="00511E78"/>
    <w:rsid w:val="00512937"/>
    <w:rsid w:val="00512C8B"/>
    <w:rsid w:val="0051364A"/>
    <w:rsid w:val="00513C36"/>
    <w:rsid w:val="0051440B"/>
    <w:rsid w:val="00514839"/>
    <w:rsid w:val="0051553E"/>
    <w:rsid w:val="00515D8A"/>
    <w:rsid w:val="005163E6"/>
    <w:rsid w:val="00516501"/>
    <w:rsid w:val="005166A5"/>
    <w:rsid w:val="0051699C"/>
    <w:rsid w:val="00516CF6"/>
    <w:rsid w:val="00517081"/>
    <w:rsid w:val="005177CB"/>
    <w:rsid w:val="00517829"/>
    <w:rsid w:val="00517856"/>
    <w:rsid w:val="005201F3"/>
    <w:rsid w:val="005203BC"/>
    <w:rsid w:val="00520AFC"/>
    <w:rsid w:val="0052150F"/>
    <w:rsid w:val="00521F2C"/>
    <w:rsid w:val="00522E1F"/>
    <w:rsid w:val="00523524"/>
    <w:rsid w:val="0052379C"/>
    <w:rsid w:val="00523820"/>
    <w:rsid w:val="00523DA1"/>
    <w:rsid w:val="00523EAC"/>
    <w:rsid w:val="005240F7"/>
    <w:rsid w:val="0052455D"/>
    <w:rsid w:val="005247A5"/>
    <w:rsid w:val="0052495E"/>
    <w:rsid w:val="00524A27"/>
    <w:rsid w:val="00524C0D"/>
    <w:rsid w:val="00524C58"/>
    <w:rsid w:val="005253CD"/>
    <w:rsid w:val="00525B67"/>
    <w:rsid w:val="00525C6D"/>
    <w:rsid w:val="00526567"/>
    <w:rsid w:val="005270AA"/>
    <w:rsid w:val="005274B9"/>
    <w:rsid w:val="00527BBC"/>
    <w:rsid w:val="00527CA3"/>
    <w:rsid w:val="005308D9"/>
    <w:rsid w:val="00530939"/>
    <w:rsid w:val="00530F93"/>
    <w:rsid w:val="00531340"/>
    <w:rsid w:val="0053148E"/>
    <w:rsid w:val="00531610"/>
    <w:rsid w:val="0053220F"/>
    <w:rsid w:val="005329A8"/>
    <w:rsid w:val="0053359B"/>
    <w:rsid w:val="005335BB"/>
    <w:rsid w:val="00533F51"/>
    <w:rsid w:val="00534F56"/>
    <w:rsid w:val="005350C2"/>
    <w:rsid w:val="005356BB"/>
    <w:rsid w:val="0053570B"/>
    <w:rsid w:val="00535FA0"/>
    <w:rsid w:val="005366D4"/>
    <w:rsid w:val="005367D5"/>
    <w:rsid w:val="00536805"/>
    <w:rsid w:val="00537A57"/>
    <w:rsid w:val="00540527"/>
    <w:rsid w:val="00540DC8"/>
    <w:rsid w:val="005419E0"/>
    <w:rsid w:val="00541F0F"/>
    <w:rsid w:val="00542153"/>
    <w:rsid w:val="00542478"/>
    <w:rsid w:val="0054254C"/>
    <w:rsid w:val="00542F2D"/>
    <w:rsid w:val="005431FA"/>
    <w:rsid w:val="0054325B"/>
    <w:rsid w:val="00544E1F"/>
    <w:rsid w:val="00545406"/>
    <w:rsid w:val="00545F65"/>
    <w:rsid w:val="00546D5F"/>
    <w:rsid w:val="00546E0C"/>
    <w:rsid w:val="00547324"/>
    <w:rsid w:val="00547E82"/>
    <w:rsid w:val="005500FA"/>
    <w:rsid w:val="005504DF"/>
    <w:rsid w:val="00550C2D"/>
    <w:rsid w:val="0055150B"/>
    <w:rsid w:val="00551A5D"/>
    <w:rsid w:val="00551CF0"/>
    <w:rsid w:val="00552182"/>
    <w:rsid w:val="005522A3"/>
    <w:rsid w:val="005527CD"/>
    <w:rsid w:val="00552864"/>
    <w:rsid w:val="00553161"/>
    <w:rsid w:val="005533CC"/>
    <w:rsid w:val="00553804"/>
    <w:rsid w:val="00553AFE"/>
    <w:rsid w:val="00554166"/>
    <w:rsid w:val="00554219"/>
    <w:rsid w:val="0055579F"/>
    <w:rsid w:val="005559EF"/>
    <w:rsid w:val="005565EB"/>
    <w:rsid w:val="00556789"/>
    <w:rsid w:val="00556C07"/>
    <w:rsid w:val="0055717D"/>
    <w:rsid w:val="00557456"/>
    <w:rsid w:val="005575F0"/>
    <w:rsid w:val="00560C6E"/>
    <w:rsid w:val="00561386"/>
    <w:rsid w:val="005613B5"/>
    <w:rsid w:val="005615A8"/>
    <w:rsid w:val="00561642"/>
    <w:rsid w:val="00561727"/>
    <w:rsid w:val="0056213B"/>
    <w:rsid w:val="005622DF"/>
    <w:rsid w:val="00562708"/>
    <w:rsid w:val="005633C2"/>
    <w:rsid w:val="0056340D"/>
    <w:rsid w:val="00563C94"/>
    <w:rsid w:val="00564121"/>
    <w:rsid w:val="005641F5"/>
    <w:rsid w:val="005648F5"/>
    <w:rsid w:val="005649B6"/>
    <w:rsid w:val="00564BAE"/>
    <w:rsid w:val="00564E72"/>
    <w:rsid w:val="0056516D"/>
    <w:rsid w:val="00565C58"/>
    <w:rsid w:val="0056624E"/>
    <w:rsid w:val="00566E7E"/>
    <w:rsid w:val="00567DF2"/>
    <w:rsid w:val="00567E72"/>
    <w:rsid w:val="00572282"/>
    <w:rsid w:val="005723A1"/>
    <w:rsid w:val="00573295"/>
    <w:rsid w:val="005732B2"/>
    <w:rsid w:val="005736A2"/>
    <w:rsid w:val="005740C9"/>
    <w:rsid w:val="0057492D"/>
    <w:rsid w:val="005750A3"/>
    <w:rsid w:val="00575436"/>
    <w:rsid w:val="00575C19"/>
    <w:rsid w:val="00575C5A"/>
    <w:rsid w:val="0057681A"/>
    <w:rsid w:val="00576AA2"/>
    <w:rsid w:val="00576AC9"/>
    <w:rsid w:val="00576DD8"/>
    <w:rsid w:val="0057756A"/>
    <w:rsid w:val="00577F1B"/>
    <w:rsid w:val="00580A8A"/>
    <w:rsid w:val="00580FA0"/>
    <w:rsid w:val="005814A0"/>
    <w:rsid w:val="005815CD"/>
    <w:rsid w:val="00581957"/>
    <w:rsid w:val="00582779"/>
    <w:rsid w:val="00582DE2"/>
    <w:rsid w:val="00582F1A"/>
    <w:rsid w:val="0058366A"/>
    <w:rsid w:val="00583B2A"/>
    <w:rsid w:val="00583DD9"/>
    <w:rsid w:val="005850C1"/>
    <w:rsid w:val="005850F1"/>
    <w:rsid w:val="00586C7D"/>
    <w:rsid w:val="00586EA6"/>
    <w:rsid w:val="005879B2"/>
    <w:rsid w:val="00587A9D"/>
    <w:rsid w:val="00587C50"/>
    <w:rsid w:val="00587F6A"/>
    <w:rsid w:val="00590DDE"/>
    <w:rsid w:val="00591325"/>
    <w:rsid w:val="0059157D"/>
    <w:rsid w:val="00592243"/>
    <w:rsid w:val="00592514"/>
    <w:rsid w:val="0059276A"/>
    <w:rsid w:val="0059423E"/>
    <w:rsid w:val="00594510"/>
    <w:rsid w:val="00594A58"/>
    <w:rsid w:val="00594A9E"/>
    <w:rsid w:val="00594AEE"/>
    <w:rsid w:val="0059536B"/>
    <w:rsid w:val="0059577F"/>
    <w:rsid w:val="00595F26"/>
    <w:rsid w:val="00597B03"/>
    <w:rsid w:val="005A015E"/>
    <w:rsid w:val="005A0A30"/>
    <w:rsid w:val="005A1539"/>
    <w:rsid w:val="005A2262"/>
    <w:rsid w:val="005A2339"/>
    <w:rsid w:val="005A2D30"/>
    <w:rsid w:val="005A37FE"/>
    <w:rsid w:val="005A4442"/>
    <w:rsid w:val="005A4499"/>
    <w:rsid w:val="005A4602"/>
    <w:rsid w:val="005A48B2"/>
    <w:rsid w:val="005A4A27"/>
    <w:rsid w:val="005A4EC1"/>
    <w:rsid w:val="005A55C2"/>
    <w:rsid w:val="005A5952"/>
    <w:rsid w:val="005A5AB1"/>
    <w:rsid w:val="005A5FE6"/>
    <w:rsid w:val="005A6618"/>
    <w:rsid w:val="005A66A0"/>
    <w:rsid w:val="005A67B5"/>
    <w:rsid w:val="005A7435"/>
    <w:rsid w:val="005A7D3A"/>
    <w:rsid w:val="005A7F25"/>
    <w:rsid w:val="005B3D97"/>
    <w:rsid w:val="005B41A8"/>
    <w:rsid w:val="005B4742"/>
    <w:rsid w:val="005B4974"/>
    <w:rsid w:val="005B6E73"/>
    <w:rsid w:val="005B6F46"/>
    <w:rsid w:val="005B7210"/>
    <w:rsid w:val="005B735B"/>
    <w:rsid w:val="005B77B1"/>
    <w:rsid w:val="005B7E21"/>
    <w:rsid w:val="005C0025"/>
    <w:rsid w:val="005C0289"/>
    <w:rsid w:val="005C1200"/>
    <w:rsid w:val="005C1FF0"/>
    <w:rsid w:val="005C206D"/>
    <w:rsid w:val="005C3393"/>
    <w:rsid w:val="005C3D5F"/>
    <w:rsid w:val="005C51FC"/>
    <w:rsid w:val="005C563B"/>
    <w:rsid w:val="005C586B"/>
    <w:rsid w:val="005C5CE8"/>
    <w:rsid w:val="005C7ED3"/>
    <w:rsid w:val="005D0646"/>
    <w:rsid w:val="005D07E6"/>
    <w:rsid w:val="005D08F0"/>
    <w:rsid w:val="005D12BB"/>
    <w:rsid w:val="005D2D22"/>
    <w:rsid w:val="005D3C58"/>
    <w:rsid w:val="005D499E"/>
    <w:rsid w:val="005D4B5F"/>
    <w:rsid w:val="005D50C7"/>
    <w:rsid w:val="005D6093"/>
    <w:rsid w:val="005D6614"/>
    <w:rsid w:val="005D6683"/>
    <w:rsid w:val="005D73D3"/>
    <w:rsid w:val="005E0119"/>
    <w:rsid w:val="005E0130"/>
    <w:rsid w:val="005E03DB"/>
    <w:rsid w:val="005E0F50"/>
    <w:rsid w:val="005E11C8"/>
    <w:rsid w:val="005E24BA"/>
    <w:rsid w:val="005E26DE"/>
    <w:rsid w:val="005E27E4"/>
    <w:rsid w:val="005E3170"/>
    <w:rsid w:val="005E31F8"/>
    <w:rsid w:val="005E32F6"/>
    <w:rsid w:val="005E4151"/>
    <w:rsid w:val="005E4486"/>
    <w:rsid w:val="005E56B4"/>
    <w:rsid w:val="005E6A56"/>
    <w:rsid w:val="005E73B5"/>
    <w:rsid w:val="005E7406"/>
    <w:rsid w:val="005E7D8B"/>
    <w:rsid w:val="005F0519"/>
    <w:rsid w:val="005F093F"/>
    <w:rsid w:val="005F0A67"/>
    <w:rsid w:val="005F1A72"/>
    <w:rsid w:val="005F1CC7"/>
    <w:rsid w:val="005F2058"/>
    <w:rsid w:val="005F205E"/>
    <w:rsid w:val="005F2C7C"/>
    <w:rsid w:val="005F30B8"/>
    <w:rsid w:val="005F334C"/>
    <w:rsid w:val="005F43CE"/>
    <w:rsid w:val="005F51A6"/>
    <w:rsid w:val="005F5210"/>
    <w:rsid w:val="005F59FE"/>
    <w:rsid w:val="005F5C69"/>
    <w:rsid w:val="005F6482"/>
    <w:rsid w:val="005F64E7"/>
    <w:rsid w:val="005F6DEF"/>
    <w:rsid w:val="005F7114"/>
    <w:rsid w:val="005F7135"/>
    <w:rsid w:val="005F7D9E"/>
    <w:rsid w:val="00600A3F"/>
    <w:rsid w:val="006018A0"/>
    <w:rsid w:val="006018CF"/>
    <w:rsid w:val="00601A11"/>
    <w:rsid w:val="00602250"/>
    <w:rsid w:val="006025FA"/>
    <w:rsid w:val="00603953"/>
    <w:rsid w:val="00603B2E"/>
    <w:rsid w:val="00604BEB"/>
    <w:rsid w:val="00604F3A"/>
    <w:rsid w:val="00605523"/>
    <w:rsid w:val="006059AE"/>
    <w:rsid w:val="00605A84"/>
    <w:rsid w:val="00605DEA"/>
    <w:rsid w:val="0060693C"/>
    <w:rsid w:val="0060747E"/>
    <w:rsid w:val="00607B14"/>
    <w:rsid w:val="00610787"/>
    <w:rsid w:val="00611E73"/>
    <w:rsid w:val="00611FF4"/>
    <w:rsid w:val="006121E3"/>
    <w:rsid w:val="00613075"/>
    <w:rsid w:val="006130A8"/>
    <w:rsid w:val="00613229"/>
    <w:rsid w:val="006133C3"/>
    <w:rsid w:val="00613736"/>
    <w:rsid w:val="00613C2B"/>
    <w:rsid w:val="00613D92"/>
    <w:rsid w:val="006144A8"/>
    <w:rsid w:val="00614B10"/>
    <w:rsid w:val="0061671B"/>
    <w:rsid w:val="00616F24"/>
    <w:rsid w:val="00617894"/>
    <w:rsid w:val="00620089"/>
    <w:rsid w:val="006207CB"/>
    <w:rsid w:val="00620EF6"/>
    <w:rsid w:val="0062136B"/>
    <w:rsid w:val="006215CE"/>
    <w:rsid w:val="00621E16"/>
    <w:rsid w:val="00622011"/>
    <w:rsid w:val="00622093"/>
    <w:rsid w:val="006225A7"/>
    <w:rsid w:val="00622F99"/>
    <w:rsid w:val="0062318A"/>
    <w:rsid w:val="00623708"/>
    <w:rsid w:val="00623ADB"/>
    <w:rsid w:val="00623DD6"/>
    <w:rsid w:val="006241A6"/>
    <w:rsid w:val="0062456A"/>
    <w:rsid w:val="00624D6E"/>
    <w:rsid w:val="006252E5"/>
    <w:rsid w:val="00625CD6"/>
    <w:rsid w:val="00626398"/>
    <w:rsid w:val="00626A21"/>
    <w:rsid w:val="00627A1E"/>
    <w:rsid w:val="00630CBA"/>
    <w:rsid w:val="00630EBE"/>
    <w:rsid w:val="00630EF9"/>
    <w:rsid w:val="006313DF"/>
    <w:rsid w:val="006317A9"/>
    <w:rsid w:val="00631D2F"/>
    <w:rsid w:val="00631FF6"/>
    <w:rsid w:val="006322B5"/>
    <w:rsid w:val="00632440"/>
    <w:rsid w:val="00632679"/>
    <w:rsid w:val="0063279F"/>
    <w:rsid w:val="006333D5"/>
    <w:rsid w:val="006335DF"/>
    <w:rsid w:val="00633DA2"/>
    <w:rsid w:val="00633EDE"/>
    <w:rsid w:val="0063405F"/>
    <w:rsid w:val="00634289"/>
    <w:rsid w:val="006345BC"/>
    <w:rsid w:val="0063514C"/>
    <w:rsid w:val="00636697"/>
    <w:rsid w:val="006366B7"/>
    <w:rsid w:val="0063672D"/>
    <w:rsid w:val="00636E5E"/>
    <w:rsid w:val="00637001"/>
    <w:rsid w:val="00637002"/>
    <w:rsid w:val="00637455"/>
    <w:rsid w:val="00637553"/>
    <w:rsid w:val="00637E9D"/>
    <w:rsid w:val="00640A74"/>
    <w:rsid w:val="0064233E"/>
    <w:rsid w:val="00642D10"/>
    <w:rsid w:val="00643857"/>
    <w:rsid w:val="00643B60"/>
    <w:rsid w:val="006441D5"/>
    <w:rsid w:val="0064611E"/>
    <w:rsid w:val="00647036"/>
    <w:rsid w:val="00647107"/>
    <w:rsid w:val="00647309"/>
    <w:rsid w:val="00650432"/>
    <w:rsid w:val="0065083A"/>
    <w:rsid w:val="00650EEC"/>
    <w:rsid w:val="006511CB"/>
    <w:rsid w:val="00651640"/>
    <w:rsid w:val="0065165C"/>
    <w:rsid w:val="00651B5D"/>
    <w:rsid w:val="00652CBC"/>
    <w:rsid w:val="0065310A"/>
    <w:rsid w:val="006531CD"/>
    <w:rsid w:val="006533F3"/>
    <w:rsid w:val="0065375E"/>
    <w:rsid w:val="00653957"/>
    <w:rsid w:val="00653DE0"/>
    <w:rsid w:val="006550F4"/>
    <w:rsid w:val="0065582B"/>
    <w:rsid w:val="006577D3"/>
    <w:rsid w:val="00660AA6"/>
    <w:rsid w:val="00660F23"/>
    <w:rsid w:val="006616A1"/>
    <w:rsid w:val="006618A9"/>
    <w:rsid w:val="006620CB"/>
    <w:rsid w:val="006621BD"/>
    <w:rsid w:val="00662355"/>
    <w:rsid w:val="00662494"/>
    <w:rsid w:val="006626A7"/>
    <w:rsid w:val="00662E5F"/>
    <w:rsid w:val="00662F28"/>
    <w:rsid w:val="0066334A"/>
    <w:rsid w:val="00663623"/>
    <w:rsid w:val="006639B6"/>
    <w:rsid w:val="00663DC0"/>
    <w:rsid w:val="0066466F"/>
    <w:rsid w:val="00665970"/>
    <w:rsid w:val="00665D37"/>
    <w:rsid w:val="00665F19"/>
    <w:rsid w:val="006661BD"/>
    <w:rsid w:val="0066669E"/>
    <w:rsid w:val="00667420"/>
    <w:rsid w:val="00667442"/>
    <w:rsid w:val="00670054"/>
    <w:rsid w:val="00670559"/>
    <w:rsid w:val="0067091A"/>
    <w:rsid w:val="00670CA2"/>
    <w:rsid w:val="00671451"/>
    <w:rsid w:val="006726AF"/>
    <w:rsid w:val="00673567"/>
    <w:rsid w:val="00673FCD"/>
    <w:rsid w:val="00674D55"/>
    <w:rsid w:val="00674F35"/>
    <w:rsid w:val="00675061"/>
    <w:rsid w:val="006761A1"/>
    <w:rsid w:val="006765C2"/>
    <w:rsid w:val="00676615"/>
    <w:rsid w:val="006774E8"/>
    <w:rsid w:val="0068044C"/>
    <w:rsid w:val="00680B40"/>
    <w:rsid w:val="00680EBF"/>
    <w:rsid w:val="00681ABA"/>
    <w:rsid w:val="00681B47"/>
    <w:rsid w:val="0068204C"/>
    <w:rsid w:val="00682680"/>
    <w:rsid w:val="00682715"/>
    <w:rsid w:val="006830DF"/>
    <w:rsid w:val="0068331E"/>
    <w:rsid w:val="00683428"/>
    <w:rsid w:val="00683D4F"/>
    <w:rsid w:val="00684072"/>
    <w:rsid w:val="0068452F"/>
    <w:rsid w:val="006850A6"/>
    <w:rsid w:val="00685737"/>
    <w:rsid w:val="006861A3"/>
    <w:rsid w:val="00686797"/>
    <w:rsid w:val="00687380"/>
    <w:rsid w:val="00687D8E"/>
    <w:rsid w:val="00690099"/>
    <w:rsid w:val="00690816"/>
    <w:rsid w:val="00691789"/>
    <w:rsid w:val="00691A9B"/>
    <w:rsid w:val="00691E53"/>
    <w:rsid w:val="00691E5C"/>
    <w:rsid w:val="006942D5"/>
    <w:rsid w:val="00694331"/>
    <w:rsid w:val="006953EA"/>
    <w:rsid w:val="00695A04"/>
    <w:rsid w:val="00695CDD"/>
    <w:rsid w:val="00695F57"/>
    <w:rsid w:val="00696067"/>
    <w:rsid w:val="0069661E"/>
    <w:rsid w:val="00696DDE"/>
    <w:rsid w:val="00696F97"/>
    <w:rsid w:val="00697165"/>
    <w:rsid w:val="006973E9"/>
    <w:rsid w:val="006A090E"/>
    <w:rsid w:val="006A0A69"/>
    <w:rsid w:val="006A0F6B"/>
    <w:rsid w:val="006A127B"/>
    <w:rsid w:val="006A1718"/>
    <w:rsid w:val="006A1FEA"/>
    <w:rsid w:val="006A22BC"/>
    <w:rsid w:val="006A25B8"/>
    <w:rsid w:val="006A3450"/>
    <w:rsid w:val="006A3E9A"/>
    <w:rsid w:val="006A4673"/>
    <w:rsid w:val="006A569C"/>
    <w:rsid w:val="006A58EE"/>
    <w:rsid w:val="006A5A40"/>
    <w:rsid w:val="006B0608"/>
    <w:rsid w:val="006B0D5C"/>
    <w:rsid w:val="006B10F1"/>
    <w:rsid w:val="006B132E"/>
    <w:rsid w:val="006B1B71"/>
    <w:rsid w:val="006B2149"/>
    <w:rsid w:val="006B26A9"/>
    <w:rsid w:val="006B2832"/>
    <w:rsid w:val="006B2EFD"/>
    <w:rsid w:val="006B352E"/>
    <w:rsid w:val="006B3B0E"/>
    <w:rsid w:val="006B3F0D"/>
    <w:rsid w:val="006B48DE"/>
    <w:rsid w:val="006B4FC7"/>
    <w:rsid w:val="006B55B0"/>
    <w:rsid w:val="006B645E"/>
    <w:rsid w:val="006B686F"/>
    <w:rsid w:val="006B6895"/>
    <w:rsid w:val="006B73EC"/>
    <w:rsid w:val="006C0058"/>
    <w:rsid w:val="006C051F"/>
    <w:rsid w:val="006C0C1C"/>
    <w:rsid w:val="006C2378"/>
    <w:rsid w:val="006C23DE"/>
    <w:rsid w:val="006C23ED"/>
    <w:rsid w:val="006C24B5"/>
    <w:rsid w:val="006C26E4"/>
    <w:rsid w:val="006C345F"/>
    <w:rsid w:val="006C393B"/>
    <w:rsid w:val="006C405A"/>
    <w:rsid w:val="006C5803"/>
    <w:rsid w:val="006C5AFA"/>
    <w:rsid w:val="006C5EB1"/>
    <w:rsid w:val="006C65E2"/>
    <w:rsid w:val="006C7985"/>
    <w:rsid w:val="006D0581"/>
    <w:rsid w:val="006D11F8"/>
    <w:rsid w:val="006D153C"/>
    <w:rsid w:val="006D1E29"/>
    <w:rsid w:val="006D2184"/>
    <w:rsid w:val="006D2E5C"/>
    <w:rsid w:val="006D4DD0"/>
    <w:rsid w:val="006D519F"/>
    <w:rsid w:val="006D544B"/>
    <w:rsid w:val="006D573C"/>
    <w:rsid w:val="006D59EB"/>
    <w:rsid w:val="006D639D"/>
    <w:rsid w:val="006D691D"/>
    <w:rsid w:val="006E1757"/>
    <w:rsid w:val="006E1929"/>
    <w:rsid w:val="006E1D4D"/>
    <w:rsid w:val="006E23F0"/>
    <w:rsid w:val="006E2765"/>
    <w:rsid w:val="006E3019"/>
    <w:rsid w:val="006E36F1"/>
    <w:rsid w:val="006E3AB3"/>
    <w:rsid w:val="006E3C74"/>
    <w:rsid w:val="006E4B69"/>
    <w:rsid w:val="006E52FD"/>
    <w:rsid w:val="006E55D3"/>
    <w:rsid w:val="006E624F"/>
    <w:rsid w:val="006E64B1"/>
    <w:rsid w:val="006E69ED"/>
    <w:rsid w:val="006E7422"/>
    <w:rsid w:val="006E7540"/>
    <w:rsid w:val="006F04E8"/>
    <w:rsid w:val="006F072D"/>
    <w:rsid w:val="006F0C0F"/>
    <w:rsid w:val="006F115E"/>
    <w:rsid w:val="006F1626"/>
    <w:rsid w:val="006F1856"/>
    <w:rsid w:val="006F1BD5"/>
    <w:rsid w:val="006F3136"/>
    <w:rsid w:val="006F35FD"/>
    <w:rsid w:val="006F36D7"/>
    <w:rsid w:val="006F38B2"/>
    <w:rsid w:val="006F3904"/>
    <w:rsid w:val="006F3A90"/>
    <w:rsid w:val="006F3EB8"/>
    <w:rsid w:val="006F3FF1"/>
    <w:rsid w:val="006F4D54"/>
    <w:rsid w:val="006F565A"/>
    <w:rsid w:val="006F65BE"/>
    <w:rsid w:val="006F746A"/>
    <w:rsid w:val="006F7935"/>
    <w:rsid w:val="00700193"/>
    <w:rsid w:val="0070175B"/>
    <w:rsid w:val="007018D8"/>
    <w:rsid w:val="00701F48"/>
    <w:rsid w:val="00702243"/>
    <w:rsid w:val="00702488"/>
    <w:rsid w:val="00703E27"/>
    <w:rsid w:val="00705811"/>
    <w:rsid w:val="00706265"/>
    <w:rsid w:val="007065A0"/>
    <w:rsid w:val="007065B2"/>
    <w:rsid w:val="00706762"/>
    <w:rsid w:val="00706B29"/>
    <w:rsid w:val="00706B48"/>
    <w:rsid w:val="00706C56"/>
    <w:rsid w:val="00707558"/>
    <w:rsid w:val="007103CF"/>
    <w:rsid w:val="00710725"/>
    <w:rsid w:val="00710940"/>
    <w:rsid w:val="00711474"/>
    <w:rsid w:val="00711781"/>
    <w:rsid w:val="00711814"/>
    <w:rsid w:val="0071253A"/>
    <w:rsid w:val="00712C0F"/>
    <w:rsid w:val="00713599"/>
    <w:rsid w:val="00713727"/>
    <w:rsid w:val="007141D7"/>
    <w:rsid w:val="007148A6"/>
    <w:rsid w:val="00714EBE"/>
    <w:rsid w:val="0071645F"/>
    <w:rsid w:val="00716F59"/>
    <w:rsid w:val="00716F7C"/>
    <w:rsid w:val="0071787A"/>
    <w:rsid w:val="00717E1D"/>
    <w:rsid w:val="007203AF"/>
    <w:rsid w:val="00720CA4"/>
    <w:rsid w:val="00721044"/>
    <w:rsid w:val="0072105A"/>
    <w:rsid w:val="0072136C"/>
    <w:rsid w:val="007217C9"/>
    <w:rsid w:val="007218FC"/>
    <w:rsid w:val="00721EEB"/>
    <w:rsid w:val="00722104"/>
    <w:rsid w:val="007222D6"/>
    <w:rsid w:val="00723150"/>
    <w:rsid w:val="007237C5"/>
    <w:rsid w:val="007238B0"/>
    <w:rsid w:val="0072442E"/>
    <w:rsid w:val="00724AB9"/>
    <w:rsid w:val="0072562A"/>
    <w:rsid w:val="007263D6"/>
    <w:rsid w:val="00726C9F"/>
    <w:rsid w:val="00726FBA"/>
    <w:rsid w:val="00726FF3"/>
    <w:rsid w:val="00730265"/>
    <w:rsid w:val="007303D5"/>
    <w:rsid w:val="00731196"/>
    <w:rsid w:val="00731452"/>
    <w:rsid w:val="007315F7"/>
    <w:rsid w:val="00731774"/>
    <w:rsid w:val="00731F2F"/>
    <w:rsid w:val="00732427"/>
    <w:rsid w:val="00733465"/>
    <w:rsid w:val="007339FE"/>
    <w:rsid w:val="00733D03"/>
    <w:rsid w:val="00733E44"/>
    <w:rsid w:val="00733E86"/>
    <w:rsid w:val="00733F18"/>
    <w:rsid w:val="007349DA"/>
    <w:rsid w:val="0073573B"/>
    <w:rsid w:val="00735A22"/>
    <w:rsid w:val="00735A5E"/>
    <w:rsid w:val="00735BA4"/>
    <w:rsid w:val="0073679E"/>
    <w:rsid w:val="00737282"/>
    <w:rsid w:val="00740845"/>
    <w:rsid w:val="00740C02"/>
    <w:rsid w:val="00741C37"/>
    <w:rsid w:val="00742F08"/>
    <w:rsid w:val="00742F49"/>
    <w:rsid w:val="0074493C"/>
    <w:rsid w:val="00744B99"/>
    <w:rsid w:val="007457AD"/>
    <w:rsid w:val="00746298"/>
    <w:rsid w:val="00746D28"/>
    <w:rsid w:val="00747994"/>
    <w:rsid w:val="00750634"/>
    <w:rsid w:val="00750C90"/>
    <w:rsid w:val="00750DA6"/>
    <w:rsid w:val="0075171B"/>
    <w:rsid w:val="007521A0"/>
    <w:rsid w:val="007523C5"/>
    <w:rsid w:val="00752F97"/>
    <w:rsid w:val="00752FE5"/>
    <w:rsid w:val="00753205"/>
    <w:rsid w:val="0075369D"/>
    <w:rsid w:val="00753BED"/>
    <w:rsid w:val="0075412C"/>
    <w:rsid w:val="00754265"/>
    <w:rsid w:val="00754700"/>
    <w:rsid w:val="00754E54"/>
    <w:rsid w:val="00755405"/>
    <w:rsid w:val="00756946"/>
    <w:rsid w:val="00756F6C"/>
    <w:rsid w:val="00757CE3"/>
    <w:rsid w:val="0076041E"/>
    <w:rsid w:val="0076186F"/>
    <w:rsid w:val="00762294"/>
    <w:rsid w:val="007628F9"/>
    <w:rsid w:val="00762A68"/>
    <w:rsid w:val="00763118"/>
    <w:rsid w:val="0076324D"/>
    <w:rsid w:val="007639F4"/>
    <w:rsid w:val="00763AE8"/>
    <w:rsid w:val="0076467C"/>
    <w:rsid w:val="00764F3E"/>
    <w:rsid w:val="0076641F"/>
    <w:rsid w:val="0077014B"/>
    <w:rsid w:val="00770A80"/>
    <w:rsid w:val="007711A9"/>
    <w:rsid w:val="00771833"/>
    <w:rsid w:val="0077199F"/>
    <w:rsid w:val="00771A9E"/>
    <w:rsid w:val="00771F66"/>
    <w:rsid w:val="0077208C"/>
    <w:rsid w:val="007733D8"/>
    <w:rsid w:val="0077466A"/>
    <w:rsid w:val="00774ABC"/>
    <w:rsid w:val="00775100"/>
    <w:rsid w:val="00776577"/>
    <w:rsid w:val="007765ED"/>
    <w:rsid w:val="00780C5E"/>
    <w:rsid w:val="007811C3"/>
    <w:rsid w:val="00781A4A"/>
    <w:rsid w:val="0078252E"/>
    <w:rsid w:val="00782882"/>
    <w:rsid w:val="0078289B"/>
    <w:rsid w:val="00784401"/>
    <w:rsid w:val="007852C9"/>
    <w:rsid w:val="00786A01"/>
    <w:rsid w:val="00786A9A"/>
    <w:rsid w:val="00786DD4"/>
    <w:rsid w:val="00786F30"/>
    <w:rsid w:val="00786FDF"/>
    <w:rsid w:val="00787D09"/>
    <w:rsid w:val="00787FAD"/>
    <w:rsid w:val="007901D5"/>
    <w:rsid w:val="00790239"/>
    <w:rsid w:val="007904B1"/>
    <w:rsid w:val="00791351"/>
    <w:rsid w:val="00791744"/>
    <w:rsid w:val="00792269"/>
    <w:rsid w:val="0079251A"/>
    <w:rsid w:val="00792821"/>
    <w:rsid w:val="007929EF"/>
    <w:rsid w:val="00792F84"/>
    <w:rsid w:val="00793320"/>
    <w:rsid w:val="0079340B"/>
    <w:rsid w:val="00793B00"/>
    <w:rsid w:val="007949AF"/>
    <w:rsid w:val="007956C0"/>
    <w:rsid w:val="00795A2C"/>
    <w:rsid w:val="00795D5F"/>
    <w:rsid w:val="007960CF"/>
    <w:rsid w:val="00796EDE"/>
    <w:rsid w:val="00797143"/>
    <w:rsid w:val="007A02ED"/>
    <w:rsid w:val="007A0489"/>
    <w:rsid w:val="007A0CFF"/>
    <w:rsid w:val="007A0E44"/>
    <w:rsid w:val="007A11E6"/>
    <w:rsid w:val="007A14B3"/>
    <w:rsid w:val="007A165C"/>
    <w:rsid w:val="007A1832"/>
    <w:rsid w:val="007A2FE8"/>
    <w:rsid w:val="007A300C"/>
    <w:rsid w:val="007A45E3"/>
    <w:rsid w:val="007A4E21"/>
    <w:rsid w:val="007A5119"/>
    <w:rsid w:val="007A668E"/>
    <w:rsid w:val="007A6784"/>
    <w:rsid w:val="007A6F9C"/>
    <w:rsid w:val="007A738F"/>
    <w:rsid w:val="007A7870"/>
    <w:rsid w:val="007A7A6E"/>
    <w:rsid w:val="007B0AD5"/>
    <w:rsid w:val="007B0C8E"/>
    <w:rsid w:val="007B0DE3"/>
    <w:rsid w:val="007B1A31"/>
    <w:rsid w:val="007B1F6F"/>
    <w:rsid w:val="007B2B1E"/>
    <w:rsid w:val="007B2E6C"/>
    <w:rsid w:val="007B4BE9"/>
    <w:rsid w:val="007B62E2"/>
    <w:rsid w:val="007B63A7"/>
    <w:rsid w:val="007B63D0"/>
    <w:rsid w:val="007B7D5E"/>
    <w:rsid w:val="007B7D94"/>
    <w:rsid w:val="007B7F08"/>
    <w:rsid w:val="007C1869"/>
    <w:rsid w:val="007C25DE"/>
    <w:rsid w:val="007C27C0"/>
    <w:rsid w:val="007C2CE5"/>
    <w:rsid w:val="007C3509"/>
    <w:rsid w:val="007C36E1"/>
    <w:rsid w:val="007C3802"/>
    <w:rsid w:val="007C41B1"/>
    <w:rsid w:val="007C4636"/>
    <w:rsid w:val="007C4785"/>
    <w:rsid w:val="007C4829"/>
    <w:rsid w:val="007C4A28"/>
    <w:rsid w:val="007C4BBE"/>
    <w:rsid w:val="007C58FE"/>
    <w:rsid w:val="007C64C5"/>
    <w:rsid w:val="007C65DB"/>
    <w:rsid w:val="007C721D"/>
    <w:rsid w:val="007D0811"/>
    <w:rsid w:val="007D0878"/>
    <w:rsid w:val="007D08CB"/>
    <w:rsid w:val="007D1441"/>
    <w:rsid w:val="007D1AD1"/>
    <w:rsid w:val="007D1B97"/>
    <w:rsid w:val="007D2EBD"/>
    <w:rsid w:val="007D2F38"/>
    <w:rsid w:val="007D3003"/>
    <w:rsid w:val="007D302B"/>
    <w:rsid w:val="007D3430"/>
    <w:rsid w:val="007D34DF"/>
    <w:rsid w:val="007D4427"/>
    <w:rsid w:val="007D4C3C"/>
    <w:rsid w:val="007D5108"/>
    <w:rsid w:val="007D62C4"/>
    <w:rsid w:val="007D689F"/>
    <w:rsid w:val="007D6E0B"/>
    <w:rsid w:val="007D7395"/>
    <w:rsid w:val="007D73B4"/>
    <w:rsid w:val="007D7E13"/>
    <w:rsid w:val="007E1164"/>
    <w:rsid w:val="007E21B5"/>
    <w:rsid w:val="007E32CB"/>
    <w:rsid w:val="007E342D"/>
    <w:rsid w:val="007E352C"/>
    <w:rsid w:val="007E3BC2"/>
    <w:rsid w:val="007E3BCB"/>
    <w:rsid w:val="007E581E"/>
    <w:rsid w:val="007E58BD"/>
    <w:rsid w:val="007E5F1A"/>
    <w:rsid w:val="007E6628"/>
    <w:rsid w:val="007E6684"/>
    <w:rsid w:val="007E668E"/>
    <w:rsid w:val="007E6B2E"/>
    <w:rsid w:val="007F08FB"/>
    <w:rsid w:val="007F124A"/>
    <w:rsid w:val="007F14C9"/>
    <w:rsid w:val="007F166C"/>
    <w:rsid w:val="007F1855"/>
    <w:rsid w:val="007F3031"/>
    <w:rsid w:val="007F338F"/>
    <w:rsid w:val="007F3ACE"/>
    <w:rsid w:val="007F450F"/>
    <w:rsid w:val="007F4DC9"/>
    <w:rsid w:val="007F5664"/>
    <w:rsid w:val="007F5C38"/>
    <w:rsid w:val="007F66FE"/>
    <w:rsid w:val="007F6706"/>
    <w:rsid w:val="007F71C7"/>
    <w:rsid w:val="007F72C0"/>
    <w:rsid w:val="007F733B"/>
    <w:rsid w:val="007F7728"/>
    <w:rsid w:val="007F78AF"/>
    <w:rsid w:val="007F78F5"/>
    <w:rsid w:val="007F79FA"/>
    <w:rsid w:val="007F7B7A"/>
    <w:rsid w:val="007F7CEB"/>
    <w:rsid w:val="00800BFB"/>
    <w:rsid w:val="00800C86"/>
    <w:rsid w:val="00801BAB"/>
    <w:rsid w:val="00802431"/>
    <w:rsid w:val="008028D8"/>
    <w:rsid w:val="008038BE"/>
    <w:rsid w:val="00803982"/>
    <w:rsid w:val="00803CBA"/>
    <w:rsid w:val="008047A9"/>
    <w:rsid w:val="00806996"/>
    <w:rsid w:val="00806B54"/>
    <w:rsid w:val="0080770C"/>
    <w:rsid w:val="00810084"/>
    <w:rsid w:val="00810A49"/>
    <w:rsid w:val="00810CE7"/>
    <w:rsid w:val="00811E0C"/>
    <w:rsid w:val="008120C1"/>
    <w:rsid w:val="0081258D"/>
    <w:rsid w:val="008128CC"/>
    <w:rsid w:val="00812CED"/>
    <w:rsid w:val="00813A3F"/>
    <w:rsid w:val="00813E32"/>
    <w:rsid w:val="00814554"/>
    <w:rsid w:val="0081461C"/>
    <w:rsid w:val="00815153"/>
    <w:rsid w:val="00815887"/>
    <w:rsid w:val="00815A15"/>
    <w:rsid w:val="00815A79"/>
    <w:rsid w:val="00816BE7"/>
    <w:rsid w:val="00817641"/>
    <w:rsid w:val="00817756"/>
    <w:rsid w:val="00817C9F"/>
    <w:rsid w:val="00817E01"/>
    <w:rsid w:val="00820B72"/>
    <w:rsid w:val="00820F6A"/>
    <w:rsid w:val="0082152E"/>
    <w:rsid w:val="008216AF"/>
    <w:rsid w:val="00822083"/>
    <w:rsid w:val="00822436"/>
    <w:rsid w:val="00823A62"/>
    <w:rsid w:val="00823F43"/>
    <w:rsid w:val="00824D81"/>
    <w:rsid w:val="008253E6"/>
    <w:rsid w:val="00825C2B"/>
    <w:rsid w:val="00826486"/>
    <w:rsid w:val="0082650F"/>
    <w:rsid w:val="008266C2"/>
    <w:rsid w:val="00826FBE"/>
    <w:rsid w:val="00827EAA"/>
    <w:rsid w:val="00830188"/>
    <w:rsid w:val="008308A7"/>
    <w:rsid w:val="008313D3"/>
    <w:rsid w:val="00831BD4"/>
    <w:rsid w:val="00831E82"/>
    <w:rsid w:val="00832741"/>
    <w:rsid w:val="00832BC3"/>
    <w:rsid w:val="008331BA"/>
    <w:rsid w:val="008333DB"/>
    <w:rsid w:val="008336AB"/>
    <w:rsid w:val="00834008"/>
    <w:rsid w:val="008348EB"/>
    <w:rsid w:val="00834ABB"/>
    <w:rsid w:val="00835346"/>
    <w:rsid w:val="008355F2"/>
    <w:rsid w:val="008368D5"/>
    <w:rsid w:val="0083702F"/>
    <w:rsid w:val="00837824"/>
    <w:rsid w:val="00837F31"/>
    <w:rsid w:val="00840727"/>
    <w:rsid w:val="00840854"/>
    <w:rsid w:val="00840B6A"/>
    <w:rsid w:val="00840B76"/>
    <w:rsid w:val="008414E4"/>
    <w:rsid w:val="00842227"/>
    <w:rsid w:val="008431FD"/>
    <w:rsid w:val="00843BB3"/>
    <w:rsid w:val="00843C23"/>
    <w:rsid w:val="00843D6F"/>
    <w:rsid w:val="00844167"/>
    <w:rsid w:val="0084443F"/>
    <w:rsid w:val="008449BB"/>
    <w:rsid w:val="00844C25"/>
    <w:rsid w:val="008450E9"/>
    <w:rsid w:val="0084545E"/>
    <w:rsid w:val="008457C7"/>
    <w:rsid w:val="00845BEF"/>
    <w:rsid w:val="00845D5E"/>
    <w:rsid w:val="00845DF9"/>
    <w:rsid w:val="0085129C"/>
    <w:rsid w:val="008514F4"/>
    <w:rsid w:val="00851AA7"/>
    <w:rsid w:val="00851DE0"/>
    <w:rsid w:val="0085229E"/>
    <w:rsid w:val="00852D34"/>
    <w:rsid w:val="008533C3"/>
    <w:rsid w:val="00853A85"/>
    <w:rsid w:val="00853FB0"/>
    <w:rsid w:val="00854170"/>
    <w:rsid w:val="008541F4"/>
    <w:rsid w:val="0085593C"/>
    <w:rsid w:val="00855C6F"/>
    <w:rsid w:val="00855E98"/>
    <w:rsid w:val="008563BA"/>
    <w:rsid w:val="0085689C"/>
    <w:rsid w:val="00856CA2"/>
    <w:rsid w:val="00856D13"/>
    <w:rsid w:val="00856D9F"/>
    <w:rsid w:val="008578B0"/>
    <w:rsid w:val="0086030E"/>
    <w:rsid w:val="008610AC"/>
    <w:rsid w:val="00861255"/>
    <w:rsid w:val="0086211E"/>
    <w:rsid w:val="008623D2"/>
    <w:rsid w:val="008634E4"/>
    <w:rsid w:val="008637BA"/>
    <w:rsid w:val="00863A6F"/>
    <w:rsid w:val="00864441"/>
    <w:rsid w:val="008663F5"/>
    <w:rsid w:val="0086699C"/>
    <w:rsid w:val="0086731B"/>
    <w:rsid w:val="00870E5B"/>
    <w:rsid w:val="00871605"/>
    <w:rsid w:val="008717C8"/>
    <w:rsid w:val="00871A56"/>
    <w:rsid w:val="00871B1E"/>
    <w:rsid w:val="008725BD"/>
    <w:rsid w:val="00872B44"/>
    <w:rsid w:val="00872F07"/>
    <w:rsid w:val="008736BF"/>
    <w:rsid w:val="00873D92"/>
    <w:rsid w:val="00874086"/>
    <w:rsid w:val="00874568"/>
    <w:rsid w:val="00874986"/>
    <w:rsid w:val="00874AAE"/>
    <w:rsid w:val="00875342"/>
    <w:rsid w:val="008753E6"/>
    <w:rsid w:val="00875564"/>
    <w:rsid w:val="008760D6"/>
    <w:rsid w:val="00876280"/>
    <w:rsid w:val="00876327"/>
    <w:rsid w:val="00876B52"/>
    <w:rsid w:val="0087737C"/>
    <w:rsid w:val="0087744B"/>
    <w:rsid w:val="008778F9"/>
    <w:rsid w:val="008800EE"/>
    <w:rsid w:val="008803DC"/>
    <w:rsid w:val="008805C8"/>
    <w:rsid w:val="008818D1"/>
    <w:rsid w:val="00882A35"/>
    <w:rsid w:val="0088398D"/>
    <w:rsid w:val="00883DE5"/>
    <w:rsid w:val="00884548"/>
    <w:rsid w:val="00885605"/>
    <w:rsid w:val="00885A7E"/>
    <w:rsid w:val="008864D5"/>
    <w:rsid w:val="00886F6A"/>
    <w:rsid w:val="0088788A"/>
    <w:rsid w:val="008878CD"/>
    <w:rsid w:val="00887D1D"/>
    <w:rsid w:val="00887FB8"/>
    <w:rsid w:val="00890441"/>
    <w:rsid w:val="008906CD"/>
    <w:rsid w:val="00890B77"/>
    <w:rsid w:val="00891A7D"/>
    <w:rsid w:val="008921A5"/>
    <w:rsid w:val="00892428"/>
    <w:rsid w:val="008926FC"/>
    <w:rsid w:val="008926FF"/>
    <w:rsid w:val="00892A97"/>
    <w:rsid w:val="00893C6D"/>
    <w:rsid w:val="00893CAD"/>
    <w:rsid w:val="00893EF5"/>
    <w:rsid w:val="00895AC2"/>
    <w:rsid w:val="00895EBB"/>
    <w:rsid w:val="00896092"/>
    <w:rsid w:val="00896BB2"/>
    <w:rsid w:val="00897178"/>
    <w:rsid w:val="00897A4E"/>
    <w:rsid w:val="00897F8A"/>
    <w:rsid w:val="008A11C3"/>
    <w:rsid w:val="008A16C9"/>
    <w:rsid w:val="008A17D1"/>
    <w:rsid w:val="008A22FF"/>
    <w:rsid w:val="008A2B70"/>
    <w:rsid w:val="008A2D8A"/>
    <w:rsid w:val="008A2E2B"/>
    <w:rsid w:val="008A318D"/>
    <w:rsid w:val="008A32ED"/>
    <w:rsid w:val="008A34AE"/>
    <w:rsid w:val="008A3C18"/>
    <w:rsid w:val="008A420C"/>
    <w:rsid w:val="008A4500"/>
    <w:rsid w:val="008A515A"/>
    <w:rsid w:val="008A536C"/>
    <w:rsid w:val="008A6DE4"/>
    <w:rsid w:val="008A789B"/>
    <w:rsid w:val="008B04FE"/>
    <w:rsid w:val="008B06D7"/>
    <w:rsid w:val="008B0E2C"/>
    <w:rsid w:val="008B0F0F"/>
    <w:rsid w:val="008B134B"/>
    <w:rsid w:val="008B1457"/>
    <w:rsid w:val="008B2000"/>
    <w:rsid w:val="008B2426"/>
    <w:rsid w:val="008B2743"/>
    <w:rsid w:val="008B2980"/>
    <w:rsid w:val="008B2AC2"/>
    <w:rsid w:val="008B2E86"/>
    <w:rsid w:val="008B3399"/>
    <w:rsid w:val="008B357F"/>
    <w:rsid w:val="008B36D0"/>
    <w:rsid w:val="008B50C0"/>
    <w:rsid w:val="008B558A"/>
    <w:rsid w:val="008B5855"/>
    <w:rsid w:val="008B5A7C"/>
    <w:rsid w:val="008B5B7C"/>
    <w:rsid w:val="008B6487"/>
    <w:rsid w:val="008B6760"/>
    <w:rsid w:val="008B6A7B"/>
    <w:rsid w:val="008B6CDB"/>
    <w:rsid w:val="008B7327"/>
    <w:rsid w:val="008B7CF3"/>
    <w:rsid w:val="008B7F36"/>
    <w:rsid w:val="008C039E"/>
    <w:rsid w:val="008C058F"/>
    <w:rsid w:val="008C05A1"/>
    <w:rsid w:val="008C184A"/>
    <w:rsid w:val="008C185D"/>
    <w:rsid w:val="008C1C65"/>
    <w:rsid w:val="008C2F73"/>
    <w:rsid w:val="008C3382"/>
    <w:rsid w:val="008C4B63"/>
    <w:rsid w:val="008C5C2E"/>
    <w:rsid w:val="008C6091"/>
    <w:rsid w:val="008C610C"/>
    <w:rsid w:val="008C73BB"/>
    <w:rsid w:val="008C7F65"/>
    <w:rsid w:val="008D1177"/>
    <w:rsid w:val="008D1223"/>
    <w:rsid w:val="008D1C7C"/>
    <w:rsid w:val="008D1D99"/>
    <w:rsid w:val="008D22A7"/>
    <w:rsid w:val="008D2378"/>
    <w:rsid w:val="008D3C84"/>
    <w:rsid w:val="008D3DD3"/>
    <w:rsid w:val="008D40A0"/>
    <w:rsid w:val="008D4117"/>
    <w:rsid w:val="008D43FB"/>
    <w:rsid w:val="008D4662"/>
    <w:rsid w:val="008D625E"/>
    <w:rsid w:val="008D63BC"/>
    <w:rsid w:val="008D659B"/>
    <w:rsid w:val="008D6C5A"/>
    <w:rsid w:val="008D6CCA"/>
    <w:rsid w:val="008D6CDC"/>
    <w:rsid w:val="008D7024"/>
    <w:rsid w:val="008D713A"/>
    <w:rsid w:val="008D7254"/>
    <w:rsid w:val="008D75C6"/>
    <w:rsid w:val="008D7971"/>
    <w:rsid w:val="008E0291"/>
    <w:rsid w:val="008E11B4"/>
    <w:rsid w:val="008E1537"/>
    <w:rsid w:val="008E1B44"/>
    <w:rsid w:val="008E3001"/>
    <w:rsid w:val="008E3965"/>
    <w:rsid w:val="008E43C8"/>
    <w:rsid w:val="008E45B3"/>
    <w:rsid w:val="008E4BB1"/>
    <w:rsid w:val="008E5682"/>
    <w:rsid w:val="008E5A87"/>
    <w:rsid w:val="008E66AF"/>
    <w:rsid w:val="008E6887"/>
    <w:rsid w:val="008E6C86"/>
    <w:rsid w:val="008E71BF"/>
    <w:rsid w:val="008E7370"/>
    <w:rsid w:val="008E75A3"/>
    <w:rsid w:val="008F066F"/>
    <w:rsid w:val="008F0A63"/>
    <w:rsid w:val="008F0BDA"/>
    <w:rsid w:val="008F1C2F"/>
    <w:rsid w:val="008F388F"/>
    <w:rsid w:val="008F4702"/>
    <w:rsid w:val="008F5D4A"/>
    <w:rsid w:val="008F6A85"/>
    <w:rsid w:val="008F6B2F"/>
    <w:rsid w:val="008F6DBA"/>
    <w:rsid w:val="008F709E"/>
    <w:rsid w:val="008F72C5"/>
    <w:rsid w:val="008F74B8"/>
    <w:rsid w:val="00900130"/>
    <w:rsid w:val="009002BE"/>
    <w:rsid w:val="00900F94"/>
    <w:rsid w:val="009016C9"/>
    <w:rsid w:val="00902C8A"/>
    <w:rsid w:val="00902ECD"/>
    <w:rsid w:val="0090357A"/>
    <w:rsid w:val="00903B2B"/>
    <w:rsid w:val="00903C7B"/>
    <w:rsid w:val="0090467C"/>
    <w:rsid w:val="00905759"/>
    <w:rsid w:val="0090580A"/>
    <w:rsid w:val="0090585A"/>
    <w:rsid w:val="0090610B"/>
    <w:rsid w:val="009061BE"/>
    <w:rsid w:val="009116FE"/>
    <w:rsid w:val="00912093"/>
    <w:rsid w:val="009124F9"/>
    <w:rsid w:val="009127A4"/>
    <w:rsid w:val="00912BD6"/>
    <w:rsid w:val="00912DE2"/>
    <w:rsid w:val="00913975"/>
    <w:rsid w:val="009143AB"/>
    <w:rsid w:val="009156D2"/>
    <w:rsid w:val="00915F23"/>
    <w:rsid w:val="00916075"/>
    <w:rsid w:val="0091621E"/>
    <w:rsid w:val="00916939"/>
    <w:rsid w:val="0091694D"/>
    <w:rsid w:val="00916B74"/>
    <w:rsid w:val="009172B1"/>
    <w:rsid w:val="00917E40"/>
    <w:rsid w:val="0092034B"/>
    <w:rsid w:val="00920748"/>
    <w:rsid w:val="00921075"/>
    <w:rsid w:val="00921C56"/>
    <w:rsid w:val="0092232B"/>
    <w:rsid w:val="0092285D"/>
    <w:rsid w:val="00923156"/>
    <w:rsid w:val="00923BC6"/>
    <w:rsid w:val="00923F35"/>
    <w:rsid w:val="009246C3"/>
    <w:rsid w:val="00924EF5"/>
    <w:rsid w:val="00925712"/>
    <w:rsid w:val="00926345"/>
    <w:rsid w:val="00926616"/>
    <w:rsid w:val="009269AC"/>
    <w:rsid w:val="00926E6F"/>
    <w:rsid w:val="00927095"/>
    <w:rsid w:val="009270A8"/>
    <w:rsid w:val="00927F4D"/>
    <w:rsid w:val="0093009D"/>
    <w:rsid w:val="00931002"/>
    <w:rsid w:val="009320EB"/>
    <w:rsid w:val="009322E2"/>
    <w:rsid w:val="009324A0"/>
    <w:rsid w:val="009328BD"/>
    <w:rsid w:val="00932A28"/>
    <w:rsid w:val="00932FF4"/>
    <w:rsid w:val="00933176"/>
    <w:rsid w:val="009335C3"/>
    <w:rsid w:val="00933746"/>
    <w:rsid w:val="00933DB6"/>
    <w:rsid w:val="00934A51"/>
    <w:rsid w:val="00934BB1"/>
    <w:rsid w:val="009351C7"/>
    <w:rsid w:val="00935252"/>
    <w:rsid w:val="00935CCF"/>
    <w:rsid w:val="00935D0D"/>
    <w:rsid w:val="00935E8A"/>
    <w:rsid w:val="00936589"/>
    <w:rsid w:val="00937017"/>
    <w:rsid w:val="00937CB7"/>
    <w:rsid w:val="009401BF"/>
    <w:rsid w:val="0094066B"/>
    <w:rsid w:val="0094078B"/>
    <w:rsid w:val="0094085E"/>
    <w:rsid w:val="00940F3C"/>
    <w:rsid w:val="009414DD"/>
    <w:rsid w:val="00941632"/>
    <w:rsid w:val="0094169E"/>
    <w:rsid w:val="00942671"/>
    <w:rsid w:val="009429C5"/>
    <w:rsid w:val="00942C28"/>
    <w:rsid w:val="0094324F"/>
    <w:rsid w:val="00944255"/>
    <w:rsid w:val="0094467A"/>
    <w:rsid w:val="00944836"/>
    <w:rsid w:val="00945192"/>
    <w:rsid w:val="0094529B"/>
    <w:rsid w:val="009461D5"/>
    <w:rsid w:val="009464F6"/>
    <w:rsid w:val="009467D5"/>
    <w:rsid w:val="009475AC"/>
    <w:rsid w:val="0094776D"/>
    <w:rsid w:val="00950801"/>
    <w:rsid w:val="00950BB1"/>
    <w:rsid w:val="00950BDE"/>
    <w:rsid w:val="00950CC0"/>
    <w:rsid w:val="00951DEB"/>
    <w:rsid w:val="0095276C"/>
    <w:rsid w:val="00952A0A"/>
    <w:rsid w:val="00952B60"/>
    <w:rsid w:val="00952C29"/>
    <w:rsid w:val="0095340A"/>
    <w:rsid w:val="00953D55"/>
    <w:rsid w:val="00953EB1"/>
    <w:rsid w:val="00954766"/>
    <w:rsid w:val="009558C5"/>
    <w:rsid w:val="00955D0E"/>
    <w:rsid w:val="0095629C"/>
    <w:rsid w:val="00956CD7"/>
    <w:rsid w:val="00960056"/>
    <w:rsid w:val="00960290"/>
    <w:rsid w:val="0096047D"/>
    <w:rsid w:val="009606AC"/>
    <w:rsid w:val="009614A6"/>
    <w:rsid w:val="00961D24"/>
    <w:rsid w:val="0096296B"/>
    <w:rsid w:val="00962A0A"/>
    <w:rsid w:val="00962A64"/>
    <w:rsid w:val="0096368D"/>
    <w:rsid w:val="00964908"/>
    <w:rsid w:val="00964C76"/>
    <w:rsid w:val="009665F1"/>
    <w:rsid w:val="00966F02"/>
    <w:rsid w:val="00967911"/>
    <w:rsid w:val="009679CA"/>
    <w:rsid w:val="0097041C"/>
    <w:rsid w:val="00970464"/>
    <w:rsid w:val="0097155A"/>
    <w:rsid w:val="00971919"/>
    <w:rsid w:val="00971A4D"/>
    <w:rsid w:val="009720A1"/>
    <w:rsid w:val="00972BF9"/>
    <w:rsid w:val="00972C3A"/>
    <w:rsid w:val="0097335D"/>
    <w:rsid w:val="009735D0"/>
    <w:rsid w:val="009738AB"/>
    <w:rsid w:val="009740AF"/>
    <w:rsid w:val="009750A6"/>
    <w:rsid w:val="009764A0"/>
    <w:rsid w:val="0097670E"/>
    <w:rsid w:val="00976C0E"/>
    <w:rsid w:val="00977320"/>
    <w:rsid w:val="00977AC7"/>
    <w:rsid w:val="00977E38"/>
    <w:rsid w:val="00980C9A"/>
    <w:rsid w:val="0098105D"/>
    <w:rsid w:val="0098139D"/>
    <w:rsid w:val="00981DA1"/>
    <w:rsid w:val="00982A45"/>
    <w:rsid w:val="009834DC"/>
    <w:rsid w:val="0098384E"/>
    <w:rsid w:val="0098432C"/>
    <w:rsid w:val="00984C70"/>
    <w:rsid w:val="009855AE"/>
    <w:rsid w:val="009856D2"/>
    <w:rsid w:val="00985F6A"/>
    <w:rsid w:val="009860A3"/>
    <w:rsid w:val="009903F6"/>
    <w:rsid w:val="00990A41"/>
    <w:rsid w:val="00990D39"/>
    <w:rsid w:val="00990E91"/>
    <w:rsid w:val="00991D0D"/>
    <w:rsid w:val="0099259B"/>
    <w:rsid w:val="00992A82"/>
    <w:rsid w:val="0099303D"/>
    <w:rsid w:val="009933D9"/>
    <w:rsid w:val="009934C5"/>
    <w:rsid w:val="00993749"/>
    <w:rsid w:val="00993E2A"/>
    <w:rsid w:val="009940C4"/>
    <w:rsid w:val="0099415D"/>
    <w:rsid w:val="0099463C"/>
    <w:rsid w:val="0099530C"/>
    <w:rsid w:val="009954CF"/>
    <w:rsid w:val="009955F5"/>
    <w:rsid w:val="0099566F"/>
    <w:rsid w:val="00995707"/>
    <w:rsid w:val="00995823"/>
    <w:rsid w:val="00995E26"/>
    <w:rsid w:val="0099726F"/>
    <w:rsid w:val="009976C0"/>
    <w:rsid w:val="009976F0"/>
    <w:rsid w:val="0099773F"/>
    <w:rsid w:val="00997AF9"/>
    <w:rsid w:val="009A0461"/>
    <w:rsid w:val="009A07C4"/>
    <w:rsid w:val="009A0A30"/>
    <w:rsid w:val="009A0A76"/>
    <w:rsid w:val="009A0FF4"/>
    <w:rsid w:val="009A2574"/>
    <w:rsid w:val="009A2600"/>
    <w:rsid w:val="009A2779"/>
    <w:rsid w:val="009A2B63"/>
    <w:rsid w:val="009A31A6"/>
    <w:rsid w:val="009A3DEC"/>
    <w:rsid w:val="009A43C2"/>
    <w:rsid w:val="009A45EE"/>
    <w:rsid w:val="009A4CDC"/>
    <w:rsid w:val="009A4CED"/>
    <w:rsid w:val="009A54FA"/>
    <w:rsid w:val="009A5CE1"/>
    <w:rsid w:val="009A6064"/>
    <w:rsid w:val="009A6446"/>
    <w:rsid w:val="009A64B0"/>
    <w:rsid w:val="009A6DFF"/>
    <w:rsid w:val="009A7EE4"/>
    <w:rsid w:val="009B0B72"/>
    <w:rsid w:val="009B114A"/>
    <w:rsid w:val="009B1727"/>
    <w:rsid w:val="009B1832"/>
    <w:rsid w:val="009B1D0A"/>
    <w:rsid w:val="009B25FF"/>
    <w:rsid w:val="009B28D4"/>
    <w:rsid w:val="009B3264"/>
    <w:rsid w:val="009B38A8"/>
    <w:rsid w:val="009B44A7"/>
    <w:rsid w:val="009B678A"/>
    <w:rsid w:val="009B7737"/>
    <w:rsid w:val="009B7B69"/>
    <w:rsid w:val="009C02D9"/>
    <w:rsid w:val="009C06EA"/>
    <w:rsid w:val="009C0A6B"/>
    <w:rsid w:val="009C0B84"/>
    <w:rsid w:val="009C0DE3"/>
    <w:rsid w:val="009C0ED4"/>
    <w:rsid w:val="009C1F5C"/>
    <w:rsid w:val="009C2B2A"/>
    <w:rsid w:val="009C338A"/>
    <w:rsid w:val="009C3701"/>
    <w:rsid w:val="009C3DAF"/>
    <w:rsid w:val="009C3F26"/>
    <w:rsid w:val="009C419D"/>
    <w:rsid w:val="009C4464"/>
    <w:rsid w:val="009C52CA"/>
    <w:rsid w:val="009C5C8F"/>
    <w:rsid w:val="009C6952"/>
    <w:rsid w:val="009C6F40"/>
    <w:rsid w:val="009C73C7"/>
    <w:rsid w:val="009C78F9"/>
    <w:rsid w:val="009D04A2"/>
    <w:rsid w:val="009D1252"/>
    <w:rsid w:val="009D139E"/>
    <w:rsid w:val="009D1A77"/>
    <w:rsid w:val="009D241A"/>
    <w:rsid w:val="009D2743"/>
    <w:rsid w:val="009D2A55"/>
    <w:rsid w:val="009D3133"/>
    <w:rsid w:val="009D332A"/>
    <w:rsid w:val="009D3355"/>
    <w:rsid w:val="009D4649"/>
    <w:rsid w:val="009D57E1"/>
    <w:rsid w:val="009D5D77"/>
    <w:rsid w:val="009D62D7"/>
    <w:rsid w:val="009D6A07"/>
    <w:rsid w:val="009D6EE2"/>
    <w:rsid w:val="009D7700"/>
    <w:rsid w:val="009D7BAB"/>
    <w:rsid w:val="009D7BD9"/>
    <w:rsid w:val="009E029A"/>
    <w:rsid w:val="009E0C8E"/>
    <w:rsid w:val="009E15BC"/>
    <w:rsid w:val="009E1C87"/>
    <w:rsid w:val="009E2388"/>
    <w:rsid w:val="009E25A0"/>
    <w:rsid w:val="009E305E"/>
    <w:rsid w:val="009E31AA"/>
    <w:rsid w:val="009E3F0A"/>
    <w:rsid w:val="009E4D43"/>
    <w:rsid w:val="009E56D8"/>
    <w:rsid w:val="009E61F8"/>
    <w:rsid w:val="009E7042"/>
    <w:rsid w:val="009F039E"/>
    <w:rsid w:val="009F13DF"/>
    <w:rsid w:val="009F13ED"/>
    <w:rsid w:val="009F19E1"/>
    <w:rsid w:val="009F1B23"/>
    <w:rsid w:val="009F1F39"/>
    <w:rsid w:val="009F204E"/>
    <w:rsid w:val="009F253E"/>
    <w:rsid w:val="009F2541"/>
    <w:rsid w:val="009F39AC"/>
    <w:rsid w:val="009F4279"/>
    <w:rsid w:val="009F44D8"/>
    <w:rsid w:val="009F46F4"/>
    <w:rsid w:val="009F58DA"/>
    <w:rsid w:val="009F5A29"/>
    <w:rsid w:val="009F5B22"/>
    <w:rsid w:val="009F5F77"/>
    <w:rsid w:val="009F642C"/>
    <w:rsid w:val="009F655E"/>
    <w:rsid w:val="009F6BD0"/>
    <w:rsid w:val="009F7B89"/>
    <w:rsid w:val="009F7BC1"/>
    <w:rsid w:val="009F7D9A"/>
    <w:rsid w:val="009F7E67"/>
    <w:rsid w:val="00A00115"/>
    <w:rsid w:val="00A01043"/>
    <w:rsid w:val="00A013A3"/>
    <w:rsid w:val="00A01A95"/>
    <w:rsid w:val="00A01FD1"/>
    <w:rsid w:val="00A02276"/>
    <w:rsid w:val="00A02BE3"/>
    <w:rsid w:val="00A032DC"/>
    <w:rsid w:val="00A03B07"/>
    <w:rsid w:val="00A03EE6"/>
    <w:rsid w:val="00A03F93"/>
    <w:rsid w:val="00A042BA"/>
    <w:rsid w:val="00A048D7"/>
    <w:rsid w:val="00A05161"/>
    <w:rsid w:val="00A05E81"/>
    <w:rsid w:val="00A05EE0"/>
    <w:rsid w:val="00A06733"/>
    <w:rsid w:val="00A06EC7"/>
    <w:rsid w:val="00A06F43"/>
    <w:rsid w:val="00A070D6"/>
    <w:rsid w:val="00A07F13"/>
    <w:rsid w:val="00A1002C"/>
    <w:rsid w:val="00A102C4"/>
    <w:rsid w:val="00A106C8"/>
    <w:rsid w:val="00A10C0D"/>
    <w:rsid w:val="00A10C31"/>
    <w:rsid w:val="00A112DF"/>
    <w:rsid w:val="00A11380"/>
    <w:rsid w:val="00A113DA"/>
    <w:rsid w:val="00A117D9"/>
    <w:rsid w:val="00A11DD8"/>
    <w:rsid w:val="00A12313"/>
    <w:rsid w:val="00A1249C"/>
    <w:rsid w:val="00A12522"/>
    <w:rsid w:val="00A12992"/>
    <w:rsid w:val="00A13072"/>
    <w:rsid w:val="00A13206"/>
    <w:rsid w:val="00A1387F"/>
    <w:rsid w:val="00A13CD8"/>
    <w:rsid w:val="00A1402C"/>
    <w:rsid w:val="00A14FDF"/>
    <w:rsid w:val="00A153BE"/>
    <w:rsid w:val="00A157FD"/>
    <w:rsid w:val="00A15F9B"/>
    <w:rsid w:val="00A1757D"/>
    <w:rsid w:val="00A177CA"/>
    <w:rsid w:val="00A17D68"/>
    <w:rsid w:val="00A20D1F"/>
    <w:rsid w:val="00A21143"/>
    <w:rsid w:val="00A222E2"/>
    <w:rsid w:val="00A237B5"/>
    <w:rsid w:val="00A23FEF"/>
    <w:rsid w:val="00A248B1"/>
    <w:rsid w:val="00A24AAD"/>
    <w:rsid w:val="00A24F72"/>
    <w:rsid w:val="00A25C13"/>
    <w:rsid w:val="00A25FCC"/>
    <w:rsid w:val="00A26A47"/>
    <w:rsid w:val="00A26E9D"/>
    <w:rsid w:val="00A26FAB"/>
    <w:rsid w:val="00A275A3"/>
    <w:rsid w:val="00A27F34"/>
    <w:rsid w:val="00A3045D"/>
    <w:rsid w:val="00A304DB"/>
    <w:rsid w:val="00A30826"/>
    <w:rsid w:val="00A3096E"/>
    <w:rsid w:val="00A310CA"/>
    <w:rsid w:val="00A3113B"/>
    <w:rsid w:val="00A31503"/>
    <w:rsid w:val="00A31985"/>
    <w:rsid w:val="00A31A7E"/>
    <w:rsid w:val="00A31BAF"/>
    <w:rsid w:val="00A32609"/>
    <w:rsid w:val="00A32867"/>
    <w:rsid w:val="00A33E23"/>
    <w:rsid w:val="00A36074"/>
    <w:rsid w:val="00A367DB"/>
    <w:rsid w:val="00A36E14"/>
    <w:rsid w:val="00A371D8"/>
    <w:rsid w:val="00A3725C"/>
    <w:rsid w:val="00A37AEA"/>
    <w:rsid w:val="00A37F7A"/>
    <w:rsid w:val="00A40672"/>
    <w:rsid w:val="00A4163A"/>
    <w:rsid w:val="00A41AEA"/>
    <w:rsid w:val="00A41EEC"/>
    <w:rsid w:val="00A42076"/>
    <w:rsid w:val="00A4262C"/>
    <w:rsid w:val="00A434F2"/>
    <w:rsid w:val="00A437E1"/>
    <w:rsid w:val="00A43B19"/>
    <w:rsid w:val="00A43BAC"/>
    <w:rsid w:val="00A454DD"/>
    <w:rsid w:val="00A456B5"/>
    <w:rsid w:val="00A472CC"/>
    <w:rsid w:val="00A476EE"/>
    <w:rsid w:val="00A50017"/>
    <w:rsid w:val="00A50095"/>
    <w:rsid w:val="00A501D1"/>
    <w:rsid w:val="00A51584"/>
    <w:rsid w:val="00A517DD"/>
    <w:rsid w:val="00A51CC4"/>
    <w:rsid w:val="00A51FD9"/>
    <w:rsid w:val="00A52B8E"/>
    <w:rsid w:val="00A547EF"/>
    <w:rsid w:val="00A54DB7"/>
    <w:rsid w:val="00A55062"/>
    <w:rsid w:val="00A5574C"/>
    <w:rsid w:val="00A560CD"/>
    <w:rsid w:val="00A565AF"/>
    <w:rsid w:val="00A567B8"/>
    <w:rsid w:val="00A56D88"/>
    <w:rsid w:val="00A57739"/>
    <w:rsid w:val="00A60215"/>
    <w:rsid w:val="00A60541"/>
    <w:rsid w:val="00A6085B"/>
    <w:rsid w:val="00A61316"/>
    <w:rsid w:val="00A617C8"/>
    <w:rsid w:val="00A62081"/>
    <w:rsid w:val="00A625D7"/>
    <w:rsid w:val="00A64298"/>
    <w:rsid w:val="00A64847"/>
    <w:rsid w:val="00A648D7"/>
    <w:rsid w:val="00A64E2F"/>
    <w:rsid w:val="00A65839"/>
    <w:rsid w:val="00A65978"/>
    <w:rsid w:val="00A659A1"/>
    <w:rsid w:val="00A66E8F"/>
    <w:rsid w:val="00A67338"/>
    <w:rsid w:val="00A6751E"/>
    <w:rsid w:val="00A6753F"/>
    <w:rsid w:val="00A67A05"/>
    <w:rsid w:val="00A67A66"/>
    <w:rsid w:val="00A70BEF"/>
    <w:rsid w:val="00A71B18"/>
    <w:rsid w:val="00A721FD"/>
    <w:rsid w:val="00A72E75"/>
    <w:rsid w:val="00A7390C"/>
    <w:rsid w:val="00A74736"/>
    <w:rsid w:val="00A749D4"/>
    <w:rsid w:val="00A74A3B"/>
    <w:rsid w:val="00A761BB"/>
    <w:rsid w:val="00A76D7C"/>
    <w:rsid w:val="00A77CE7"/>
    <w:rsid w:val="00A80217"/>
    <w:rsid w:val="00A813A1"/>
    <w:rsid w:val="00A81BAD"/>
    <w:rsid w:val="00A82994"/>
    <w:rsid w:val="00A82C9F"/>
    <w:rsid w:val="00A82F63"/>
    <w:rsid w:val="00A830ED"/>
    <w:rsid w:val="00A8356F"/>
    <w:rsid w:val="00A83CBF"/>
    <w:rsid w:val="00A84526"/>
    <w:rsid w:val="00A84711"/>
    <w:rsid w:val="00A84BE5"/>
    <w:rsid w:val="00A85B24"/>
    <w:rsid w:val="00A860AB"/>
    <w:rsid w:val="00A87926"/>
    <w:rsid w:val="00A87934"/>
    <w:rsid w:val="00A9036A"/>
    <w:rsid w:val="00A904B8"/>
    <w:rsid w:val="00A905E4"/>
    <w:rsid w:val="00A9088C"/>
    <w:rsid w:val="00A91180"/>
    <w:rsid w:val="00A92E11"/>
    <w:rsid w:val="00A92F35"/>
    <w:rsid w:val="00A9326C"/>
    <w:rsid w:val="00A93CCD"/>
    <w:rsid w:val="00A93D3B"/>
    <w:rsid w:val="00A942DB"/>
    <w:rsid w:val="00A944F2"/>
    <w:rsid w:val="00A94784"/>
    <w:rsid w:val="00A94A3B"/>
    <w:rsid w:val="00A94B0F"/>
    <w:rsid w:val="00A94CE6"/>
    <w:rsid w:val="00A951EC"/>
    <w:rsid w:val="00A958EA"/>
    <w:rsid w:val="00A95B33"/>
    <w:rsid w:val="00A95BDE"/>
    <w:rsid w:val="00A96B1C"/>
    <w:rsid w:val="00A97205"/>
    <w:rsid w:val="00A9784C"/>
    <w:rsid w:val="00A97EC5"/>
    <w:rsid w:val="00AA0293"/>
    <w:rsid w:val="00AA1925"/>
    <w:rsid w:val="00AA1B41"/>
    <w:rsid w:val="00AA39D4"/>
    <w:rsid w:val="00AA3D5C"/>
    <w:rsid w:val="00AA47DD"/>
    <w:rsid w:val="00AA4AEE"/>
    <w:rsid w:val="00AA4B73"/>
    <w:rsid w:val="00AA5031"/>
    <w:rsid w:val="00AA5358"/>
    <w:rsid w:val="00AA57BF"/>
    <w:rsid w:val="00AA5877"/>
    <w:rsid w:val="00AA59FF"/>
    <w:rsid w:val="00AA6AC2"/>
    <w:rsid w:val="00AA6DD7"/>
    <w:rsid w:val="00AA7769"/>
    <w:rsid w:val="00AA793B"/>
    <w:rsid w:val="00AA79D9"/>
    <w:rsid w:val="00AA7EDC"/>
    <w:rsid w:val="00AA7F43"/>
    <w:rsid w:val="00AB075D"/>
    <w:rsid w:val="00AB0C52"/>
    <w:rsid w:val="00AB113C"/>
    <w:rsid w:val="00AB15A2"/>
    <w:rsid w:val="00AB16C3"/>
    <w:rsid w:val="00AB23EB"/>
    <w:rsid w:val="00AB3484"/>
    <w:rsid w:val="00AB34A8"/>
    <w:rsid w:val="00AB36FB"/>
    <w:rsid w:val="00AB43F7"/>
    <w:rsid w:val="00AB4701"/>
    <w:rsid w:val="00AB5185"/>
    <w:rsid w:val="00AB550C"/>
    <w:rsid w:val="00AB6506"/>
    <w:rsid w:val="00AB6538"/>
    <w:rsid w:val="00AB6DB9"/>
    <w:rsid w:val="00AB73F6"/>
    <w:rsid w:val="00AB7814"/>
    <w:rsid w:val="00AB7E45"/>
    <w:rsid w:val="00AB7FE3"/>
    <w:rsid w:val="00AC3511"/>
    <w:rsid w:val="00AC3BD1"/>
    <w:rsid w:val="00AC46F2"/>
    <w:rsid w:val="00AC4D37"/>
    <w:rsid w:val="00AC4D69"/>
    <w:rsid w:val="00AC5567"/>
    <w:rsid w:val="00AC57B9"/>
    <w:rsid w:val="00AC5846"/>
    <w:rsid w:val="00AC65A3"/>
    <w:rsid w:val="00AC6AFB"/>
    <w:rsid w:val="00AC6D00"/>
    <w:rsid w:val="00AC6E97"/>
    <w:rsid w:val="00AC76F7"/>
    <w:rsid w:val="00AC7B8B"/>
    <w:rsid w:val="00AC7CAD"/>
    <w:rsid w:val="00AD04B2"/>
    <w:rsid w:val="00AD0602"/>
    <w:rsid w:val="00AD10DF"/>
    <w:rsid w:val="00AD122C"/>
    <w:rsid w:val="00AD2338"/>
    <w:rsid w:val="00AD2876"/>
    <w:rsid w:val="00AD2EAA"/>
    <w:rsid w:val="00AD43E3"/>
    <w:rsid w:val="00AD44FE"/>
    <w:rsid w:val="00AD486C"/>
    <w:rsid w:val="00AD4F34"/>
    <w:rsid w:val="00AD52B8"/>
    <w:rsid w:val="00AD5B85"/>
    <w:rsid w:val="00AD5EA3"/>
    <w:rsid w:val="00AD6AEA"/>
    <w:rsid w:val="00AE0A93"/>
    <w:rsid w:val="00AE0C4C"/>
    <w:rsid w:val="00AE0E4E"/>
    <w:rsid w:val="00AE1127"/>
    <w:rsid w:val="00AE121C"/>
    <w:rsid w:val="00AE1414"/>
    <w:rsid w:val="00AE1489"/>
    <w:rsid w:val="00AE160D"/>
    <w:rsid w:val="00AE20C8"/>
    <w:rsid w:val="00AE29DD"/>
    <w:rsid w:val="00AE2CA8"/>
    <w:rsid w:val="00AE3772"/>
    <w:rsid w:val="00AE37DA"/>
    <w:rsid w:val="00AE38AE"/>
    <w:rsid w:val="00AE3A65"/>
    <w:rsid w:val="00AE458F"/>
    <w:rsid w:val="00AE47AF"/>
    <w:rsid w:val="00AE4D06"/>
    <w:rsid w:val="00AE4D7E"/>
    <w:rsid w:val="00AE50CE"/>
    <w:rsid w:val="00AE65BA"/>
    <w:rsid w:val="00AE6653"/>
    <w:rsid w:val="00AE7036"/>
    <w:rsid w:val="00AE7B49"/>
    <w:rsid w:val="00AF08EF"/>
    <w:rsid w:val="00AF1924"/>
    <w:rsid w:val="00AF1DF0"/>
    <w:rsid w:val="00AF2376"/>
    <w:rsid w:val="00AF37F7"/>
    <w:rsid w:val="00AF388A"/>
    <w:rsid w:val="00AF3AFB"/>
    <w:rsid w:val="00AF4492"/>
    <w:rsid w:val="00AF4CBE"/>
    <w:rsid w:val="00AF4FB1"/>
    <w:rsid w:val="00AF5EF9"/>
    <w:rsid w:val="00AF5F7A"/>
    <w:rsid w:val="00AF66AC"/>
    <w:rsid w:val="00AF6D99"/>
    <w:rsid w:val="00AF6DB0"/>
    <w:rsid w:val="00AF71E4"/>
    <w:rsid w:val="00AF7AE1"/>
    <w:rsid w:val="00B005B6"/>
    <w:rsid w:val="00B00651"/>
    <w:rsid w:val="00B01229"/>
    <w:rsid w:val="00B01B91"/>
    <w:rsid w:val="00B021AB"/>
    <w:rsid w:val="00B02395"/>
    <w:rsid w:val="00B02836"/>
    <w:rsid w:val="00B036BD"/>
    <w:rsid w:val="00B042CE"/>
    <w:rsid w:val="00B04EE5"/>
    <w:rsid w:val="00B04F8B"/>
    <w:rsid w:val="00B0539C"/>
    <w:rsid w:val="00B059BC"/>
    <w:rsid w:val="00B05AFC"/>
    <w:rsid w:val="00B062D0"/>
    <w:rsid w:val="00B07361"/>
    <w:rsid w:val="00B078CA"/>
    <w:rsid w:val="00B07A58"/>
    <w:rsid w:val="00B07E81"/>
    <w:rsid w:val="00B107D3"/>
    <w:rsid w:val="00B10A40"/>
    <w:rsid w:val="00B10D8F"/>
    <w:rsid w:val="00B12202"/>
    <w:rsid w:val="00B13535"/>
    <w:rsid w:val="00B14739"/>
    <w:rsid w:val="00B15F52"/>
    <w:rsid w:val="00B16EC1"/>
    <w:rsid w:val="00B1755A"/>
    <w:rsid w:val="00B17B59"/>
    <w:rsid w:val="00B17BD3"/>
    <w:rsid w:val="00B20802"/>
    <w:rsid w:val="00B21A2A"/>
    <w:rsid w:val="00B23137"/>
    <w:rsid w:val="00B23976"/>
    <w:rsid w:val="00B239FF"/>
    <w:rsid w:val="00B23F07"/>
    <w:rsid w:val="00B245D6"/>
    <w:rsid w:val="00B25565"/>
    <w:rsid w:val="00B25B9F"/>
    <w:rsid w:val="00B25D39"/>
    <w:rsid w:val="00B25E9E"/>
    <w:rsid w:val="00B26AB9"/>
    <w:rsid w:val="00B274FD"/>
    <w:rsid w:val="00B27B23"/>
    <w:rsid w:val="00B27E6C"/>
    <w:rsid w:val="00B3082D"/>
    <w:rsid w:val="00B30B8B"/>
    <w:rsid w:val="00B310A0"/>
    <w:rsid w:val="00B31AAF"/>
    <w:rsid w:val="00B32B42"/>
    <w:rsid w:val="00B33B23"/>
    <w:rsid w:val="00B3423D"/>
    <w:rsid w:val="00B3450F"/>
    <w:rsid w:val="00B34BBD"/>
    <w:rsid w:val="00B34BFC"/>
    <w:rsid w:val="00B35176"/>
    <w:rsid w:val="00B36A67"/>
    <w:rsid w:val="00B36D14"/>
    <w:rsid w:val="00B37485"/>
    <w:rsid w:val="00B40347"/>
    <w:rsid w:val="00B40CDD"/>
    <w:rsid w:val="00B41CF6"/>
    <w:rsid w:val="00B42EE3"/>
    <w:rsid w:val="00B42EF5"/>
    <w:rsid w:val="00B43290"/>
    <w:rsid w:val="00B435F5"/>
    <w:rsid w:val="00B43DDD"/>
    <w:rsid w:val="00B4407B"/>
    <w:rsid w:val="00B443D9"/>
    <w:rsid w:val="00B4471F"/>
    <w:rsid w:val="00B451EE"/>
    <w:rsid w:val="00B457B1"/>
    <w:rsid w:val="00B4597E"/>
    <w:rsid w:val="00B45CE8"/>
    <w:rsid w:val="00B46B3E"/>
    <w:rsid w:val="00B46B92"/>
    <w:rsid w:val="00B508AD"/>
    <w:rsid w:val="00B51060"/>
    <w:rsid w:val="00B52D8C"/>
    <w:rsid w:val="00B53E03"/>
    <w:rsid w:val="00B54917"/>
    <w:rsid w:val="00B54B10"/>
    <w:rsid w:val="00B54D93"/>
    <w:rsid w:val="00B5539E"/>
    <w:rsid w:val="00B55AF9"/>
    <w:rsid w:val="00B574C5"/>
    <w:rsid w:val="00B60D01"/>
    <w:rsid w:val="00B61487"/>
    <w:rsid w:val="00B6165F"/>
    <w:rsid w:val="00B61D6F"/>
    <w:rsid w:val="00B620A4"/>
    <w:rsid w:val="00B63096"/>
    <w:rsid w:val="00B6347F"/>
    <w:rsid w:val="00B636BB"/>
    <w:rsid w:val="00B63DD9"/>
    <w:rsid w:val="00B63FDF"/>
    <w:rsid w:val="00B64675"/>
    <w:rsid w:val="00B64D8A"/>
    <w:rsid w:val="00B64F70"/>
    <w:rsid w:val="00B653C0"/>
    <w:rsid w:val="00B6561B"/>
    <w:rsid w:val="00B6561E"/>
    <w:rsid w:val="00B659B5"/>
    <w:rsid w:val="00B65A76"/>
    <w:rsid w:val="00B65C86"/>
    <w:rsid w:val="00B66153"/>
    <w:rsid w:val="00B661E6"/>
    <w:rsid w:val="00B66200"/>
    <w:rsid w:val="00B66690"/>
    <w:rsid w:val="00B6674F"/>
    <w:rsid w:val="00B6719F"/>
    <w:rsid w:val="00B671DB"/>
    <w:rsid w:val="00B677F6"/>
    <w:rsid w:val="00B67854"/>
    <w:rsid w:val="00B67941"/>
    <w:rsid w:val="00B67BE1"/>
    <w:rsid w:val="00B700F2"/>
    <w:rsid w:val="00B71C23"/>
    <w:rsid w:val="00B72058"/>
    <w:rsid w:val="00B72627"/>
    <w:rsid w:val="00B72700"/>
    <w:rsid w:val="00B731EC"/>
    <w:rsid w:val="00B73CF6"/>
    <w:rsid w:val="00B73D3B"/>
    <w:rsid w:val="00B7449F"/>
    <w:rsid w:val="00B74E29"/>
    <w:rsid w:val="00B7532B"/>
    <w:rsid w:val="00B753EB"/>
    <w:rsid w:val="00B75F8C"/>
    <w:rsid w:val="00B75FF8"/>
    <w:rsid w:val="00B76F7A"/>
    <w:rsid w:val="00B7700D"/>
    <w:rsid w:val="00B773B9"/>
    <w:rsid w:val="00B778BA"/>
    <w:rsid w:val="00B805C9"/>
    <w:rsid w:val="00B811D6"/>
    <w:rsid w:val="00B8132A"/>
    <w:rsid w:val="00B81342"/>
    <w:rsid w:val="00B81ED2"/>
    <w:rsid w:val="00B82046"/>
    <w:rsid w:val="00B82077"/>
    <w:rsid w:val="00B82C2B"/>
    <w:rsid w:val="00B83751"/>
    <w:rsid w:val="00B8392E"/>
    <w:rsid w:val="00B83ABD"/>
    <w:rsid w:val="00B83DAE"/>
    <w:rsid w:val="00B8522F"/>
    <w:rsid w:val="00B854C5"/>
    <w:rsid w:val="00B8632F"/>
    <w:rsid w:val="00B8656F"/>
    <w:rsid w:val="00B869D1"/>
    <w:rsid w:val="00B86ECC"/>
    <w:rsid w:val="00B8711A"/>
    <w:rsid w:val="00B877AD"/>
    <w:rsid w:val="00B90689"/>
    <w:rsid w:val="00B90962"/>
    <w:rsid w:val="00B91009"/>
    <w:rsid w:val="00B920B3"/>
    <w:rsid w:val="00B92961"/>
    <w:rsid w:val="00B93D24"/>
    <w:rsid w:val="00B93E38"/>
    <w:rsid w:val="00B945D2"/>
    <w:rsid w:val="00B94C17"/>
    <w:rsid w:val="00B95A66"/>
    <w:rsid w:val="00B95C4A"/>
    <w:rsid w:val="00B9655A"/>
    <w:rsid w:val="00B96854"/>
    <w:rsid w:val="00B97388"/>
    <w:rsid w:val="00B975B2"/>
    <w:rsid w:val="00B97C57"/>
    <w:rsid w:val="00BA22E0"/>
    <w:rsid w:val="00BA23F0"/>
    <w:rsid w:val="00BA2506"/>
    <w:rsid w:val="00BA2947"/>
    <w:rsid w:val="00BA297B"/>
    <w:rsid w:val="00BA2B0F"/>
    <w:rsid w:val="00BA36BB"/>
    <w:rsid w:val="00BA38C0"/>
    <w:rsid w:val="00BA3BED"/>
    <w:rsid w:val="00BA4982"/>
    <w:rsid w:val="00BA50C8"/>
    <w:rsid w:val="00BA5354"/>
    <w:rsid w:val="00BA6376"/>
    <w:rsid w:val="00BA63F0"/>
    <w:rsid w:val="00BA66F6"/>
    <w:rsid w:val="00BA6EF7"/>
    <w:rsid w:val="00BA725D"/>
    <w:rsid w:val="00BA798F"/>
    <w:rsid w:val="00BB05BC"/>
    <w:rsid w:val="00BB08E6"/>
    <w:rsid w:val="00BB1040"/>
    <w:rsid w:val="00BB1800"/>
    <w:rsid w:val="00BB23E7"/>
    <w:rsid w:val="00BB3078"/>
    <w:rsid w:val="00BB33D9"/>
    <w:rsid w:val="00BB3DBD"/>
    <w:rsid w:val="00BB417B"/>
    <w:rsid w:val="00BB46C0"/>
    <w:rsid w:val="00BB4B29"/>
    <w:rsid w:val="00BB4B39"/>
    <w:rsid w:val="00BB52F2"/>
    <w:rsid w:val="00BB5B76"/>
    <w:rsid w:val="00BB7AF4"/>
    <w:rsid w:val="00BC002B"/>
    <w:rsid w:val="00BC0844"/>
    <w:rsid w:val="00BC1252"/>
    <w:rsid w:val="00BC19A0"/>
    <w:rsid w:val="00BC2374"/>
    <w:rsid w:val="00BC2377"/>
    <w:rsid w:val="00BC2FA6"/>
    <w:rsid w:val="00BC312C"/>
    <w:rsid w:val="00BC3302"/>
    <w:rsid w:val="00BC38E4"/>
    <w:rsid w:val="00BC3F05"/>
    <w:rsid w:val="00BC61D8"/>
    <w:rsid w:val="00BC631F"/>
    <w:rsid w:val="00BC6452"/>
    <w:rsid w:val="00BC65B0"/>
    <w:rsid w:val="00BC666A"/>
    <w:rsid w:val="00BC6B8E"/>
    <w:rsid w:val="00BD0105"/>
    <w:rsid w:val="00BD0D5A"/>
    <w:rsid w:val="00BD10DE"/>
    <w:rsid w:val="00BD124C"/>
    <w:rsid w:val="00BD297C"/>
    <w:rsid w:val="00BD3726"/>
    <w:rsid w:val="00BD3759"/>
    <w:rsid w:val="00BD4E47"/>
    <w:rsid w:val="00BD5796"/>
    <w:rsid w:val="00BD5A20"/>
    <w:rsid w:val="00BD6128"/>
    <w:rsid w:val="00BD69B7"/>
    <w:rsid w:val="00BD6BCC"/>
    <w:rsid w:val="00BD7279"/>
    <w:rsid w:val="00BD72E6"/>
    <w:rsid w:val="00BD7620"/>
    <w:rsid w:val="00BD79DA"/>
    <w:rsid w:val="00BD7A38"/>
    <w:rsid w:val="00BD7AD8"/>
    <w:rsid w:val="00BD7FAF"/>
    <w:rsid w:val="00BD7FE5"/>
    <w:rsid w:val="00BE0B9B"/>
    <w:rsid w:val="00BE0E33"/>
    <w:rsid w:val="00BE19A5"/>
    <w:rsid w:val="00BE343E"/>
    <w:rsid w:val="00BE468F"/>
    <w:rsid w:val="00BE48ED"/>
    <w:rsid w:val="00BE5DBE"/>
    <w:rsid w:val="00BE6B4F"/>
    <w:rsid w:val="00BE7744"/>
    <w:rsid w:val="00BE7968"/>
    <w:rsid w:val="00BE7B98"/>
    <w:rsid w:val="00BE7C0A"/>
    <w:rsid w:val="00BE7C4A"/>
    <w:rsid w:val="00BF0175"/>
    <w:rsid w:val="00BF0BF1"/>
    <w:rsid w:val="00BF0FC8"/>
    <w:rsid w:val="00BF15E4"/>
    <w:rsid w:val="00BF1639"/>
    <w:rsid w:val="00BF1C20"/>
    <w:rsid w:val="00BF266D"/>
    <w:rsid w:val="00BF2CE4"/>
    <w:rsid w:val="00BF3092"/>
    <w:rsid w:val="00BF3236"/>
    <w:rsid w:val="00BF37DE"/>
    <w:rsid w:val="00BF3E97"/>
    <w:rsid w:val="00BF4936"/>
    <w:rsid w:val="00BF51CA"/>
    <w:rsid w:val="00BF551C"/>
    <w:rsid w:val="00BF58EE"/>
    <w:rsid w:val="00BF6A5C"/>
    <w:rsid w:val="00BF6B11"/>
    <w:rsid w:val="00BF6BF2"/>
    <w:rsid w:val="00BF6D31"/>
    <w:rsid w:val="00BF6D97"/>
    <w:rsid w:val="00BF7821"/>
    <w:rsid w:val="00BF7B7C"/>
    <w:rsid w:val="00C00082"/>
    <w:rsid w:val="00C0011F"/>
    <w:rsid w:val="00C00585"/>
    <w:rsid w:val="00C00F36"/>
    <w:rsid w:val="00C01840"/>
    <w:rsid w:val="00C01962"/>
    <w:rsid w:val="00C01DB0"/>
    <w:rsid w:val="00C028E1"/>
    <w:rsid w:val="00C02B9C"/>
    <w:rsid w:val="00C02FF2"/>
    <w:rsid w:val="00C0398B"/>
    <w:rsid w:val="00C0415C"/>
    <w:rsid w:val="00C04872"/>
    <w:rsid w:val="00C05282"/>
    <w:rsid w:val="00C062D1"/>
    <w:rsid w:val="00C0656D"/>
    <w:rsid w:val="00C0663C"/>
    <w:rsid w:val="00C0745A"/>
    <w:rsid w:val="00C07857"/>
    <w:rsid w:val="00C07ABE"/>
    <w:rsid w:val="00C07BDD"/>
    <w:rsid w:val="00C108DC"/>
    <w:rsid w:val="00C10FBF"/>
    <w:rsid w:val="00C11C2C"/>
    <w:rsid w:val="00C124B1"/>
    <w:rsid w:val="00C126CE"/>
    <w:rsid w:val="00C12F75"/>
    <w:rsid w:val="00C131CE"/>
    <w:rsid w:val="00C13A74"/>
    <w:rsid w:val="00C13A80"/>
    <w:rsid w:val="00C13B46"/>
    <w:rsid w:val="00C14786"/>
    <w:rsid w:val="00C14CDA"/>
    <w:rsid w:val="00C158A3"/>
    <w:rsid w:val="00C16D1C"/>
    <w:rsid w:val="00C17071"/>
    <w:rsid w:val="00C170F6"/>
    <w:rsid w:val="00C17550"/>
    <w:rsid w:val="00C1782B"/>
    <w:rsid w:val="00C17951"/>
    <w:rsid w:val="00C179E7"/>
    <w:rsid w:val="00C20F82"/>
    <w:rsid w:val="00C21244"/>
    <w:rsid w:val="00C22B36"/>
    <w:rsid w:val="00C23AA2"/>
    <w:rsid w:val="00C23DB5"/>
    <w:rsid w:val="00C23FC1"/>
    <w:rsid w:val="00C253BA"/>
    <w:rsid w:val="00C255C5"/>
    <w:rsid w:val="00C2654B"/>
    <w:rsid w:val="00C26DBF"/>
    <w:rsid w:val="00C277FD"/>
    <w:rsid w:val="00C27B14"/>
    <w:rsid w:val="00C27F02"/>
    <w:rsid w:val="00C300EA"/>
    <w:rsid w:val="00C30EBE"/>
    <w:rsid w:val="00C312A6"/>
    <w:rsid w:val="00C3132F"/>
    <w:rsid w:val="00C3149E"/>
    <w:rsid w:val="00C317A1"/>
    <w:rsid w:val="00C31DC4"/>
    <w:rsid w:val="00C32887"/>
    <w:rsid w:val="00C3290B"/>
    <w:rsid w:val="00C32BAA"/>
    <w:rsid w:val="00C33118"/>
    <w:rsid w:val="00C336FC"/>
    <w:rsid w:val="00C33711"/>
    <w:rsid w:val="00C338EA"/>
    <w:rsid w:val="00C339D4"/>
    <w:rsid w:val="00C33DB9"/>
    <w:rsid w:val="00C3405E"/>
    <w:rsid w:val="00C34C3F"/>
    <w:rsid w:val="00C3661C"/>
    <w:rsid w:val="00C366E0"/>
    <w:rsid w:val="00C3680B"/>
    <w:rsid w:val="00C36D0A"/>
    <w:rsid w:val="00C36FE8"/>
    <w:rsid w:val="00C37658"/>
    <w:rsid w:val="00C37D0F"/>
    <w:rsid w:val="00C37FB5"/>
    <w:rsid w:val="00C40ECB"/>
    <w:rsid w:val="00C4102F"/>
    <w:rsid w:val="00C41807"/>
    <w:rsid w:val="00C41E97"/>
    <w:rsid w:val="00C41F80"/>
    <w:rsid w:val="00C42162"/>
    <w:rsid w:val="00C42409"/>
    <w:rsid w:val="00C42505"/>
    <w:rsid w:val="00C42EDC"/>
    <w:rsid w:val="00C4315D"/>
    <w:rsid w:val="00C43BC6"/>
    <w:rsid w:val="00C445CC"/>
    <w:rsid w:val="00C4495B"/>
    <w:rsid w:val="00C459AF"/>
    <w:rsid w:val="00C45B9A"/>
    <w:rsid w:val="00C45D37"/>
    <w:rsid w:val="00C46F28"/>
    <w:rsid w:val="00C4708B"/>
    <w:rsid w:val="00C47519"/>
    <w:rsid w:val="00C47F1B"/>
    <w:rsid w:val="00C509A7"/>
    <w:rsid w:val="00C51DE5"/>
    <w:rsid w:val="00C52D05"/>
    <w:rsid w:val="00C53358"/>
    <w:rsid w:val="00C540A2"/>
    <w:rsid w:val="00C558B7"/>
    <w:rsid w:val="00C55FC9"/>
    <w:rsid w:val="00C5604E"/>
    <w:rsid w:val="00C56289"/>
    <w:rsid w:val="00C56460"/>
    <w:rsid w:val="00C5747C"/>
    <w:rsid w:val="00C57618"/>
    <w:rsid w:val="00C57A26"/>
    <w:rsid w:val="00C57A68"/>
    <w:rsid w:val="00C57CC0"/>
    <w:rsid w:val="00C6102B"/>
    <w:rsid w:val="00C612AF"/>
    <w:rsid w:val="00C61826"/>
    <w:rsid w:val="00C61EDC"/>
    <w:rsid w:val="00C6237D"/>
    <w:rsid w:val="00C628E1"/>
    <w:rsid w:val="00C62D43"/>
    <w:rsid w:val="00C64128"/>
    <w:rsid w:val="00C649EA"/>
    <w:rsid w:val="00C651DB"/>
    <w:rsid w:val="00C65E2C"/>
    <w:rsid w:val="00C6637F"/>
    <w:rsid w:val="00C6644A"/>
    <w:rsid w:val="00C6741C"/>
    <w:rsid w:val="00C67846"/>
    <w:rsid w:val="00C678B9"/>
    <w:rsid w:val="00C700CC"/>
    <w:rsid w:val="00C70402"/>
    <w:rsid w:val="00C70E0E"/>
    <w:rsid w:val="00C7100C"/>
    <w:rsid w:val="00C71CF8"/>
    <w:rsid w:val="00C71F82"/>
    <w:rsid w:val="00C721EC"/>
    <w:rsid w:val="00C72350"/>
    <w:rsid w:val="00C72B13"/>
    <w:rsid w:val="00C73043"/>
    <w:rsid w:val="00C733C0"/>
    <w:rsid w:val="00C73FF3"/>
    <w:rsid w:val="00C7478C"/>
    <w:rsid w:val="00C74966"/>
    <w:rsid w:val="00C74C07"/>
    <w:rsid w:val="00C74DEA"/>
    <w:rsid w:val="00C75268"/>
    <w:rsid w:val="00C752D7"/>
    <w:rsid w:val="00C7570D"/>
    <w:rsid w:val="00C7586E"/>
    <w:rsid w:val="00C75C06"/>
    <w:rsid w:val="00C75D60"/>
    <w:rsid w:val="00C7619D"/>
    <w:rsid w:val="00C765E9"/>
    <w:rsid w:val="00C77986"/>
    <w:rsid w:val="00C804F7"/>
    <w:rsid w:val="00C808A0"/>
    <w:rsid w:val="00C812AE"/>
    <w:rsid w:val="00C813FD"/>
    <w:rsid w:val="00C829BB"/>
    <w:rsid w:val="00C838EA"/>
    <w:rsid w:val="00C83E58"/>
    <w:rsid w:val="00C84ECC"/>
    <w:rsid w:val="00C861B7"/>
    <w:rsid w:val="00C864EE"/>
    <w:rsid w:val="00C8665F"/>
    <w:rsid w:val="00C86832"/>
    <w:rsid w:val="00C86B60"/>
    <w:rsid w:val="00C86E60"/>
    <w:rsid w:val="00C87752"/>
    <w:rsid w:val="00C877E7"/>
    <w:rsid w:val="00C87FA4"/>
    <w:rsid w:val="00C90D2E"/>
    <w:rsid w:val="00C90D88"/>
    <w:rsid w:val="00C90E0E"/>
    <w:rsid w:val="00C91752"/>
    <w:rsid w:val="00C91814"/>
    <w:rsid w:val="00C91BA6"/>
    <w:rsid w:val="00C9242B"/>
    <w:rsid w:val="00C92475"/>
    <w:rsid w:val="00C9277D"/>
    <w:rsid w:val="00C92D28"/>
    <w:rsid w:val="00C9356C"/>
    <w:rsid w:val="00C9365D"/>
    <w:rsid w:val="00C93F9A"/>
    <w:rsid w:val="00C946C9"/>
    <w:rsid w:val="00C949E0"/>
    <w:rsid w:val="00C94A26"/>
    <w:rsid w:val="00C96ADC"/>
    <w:rsid w:val="00C97018"/>
    <w:rsid w:val="00C9723B"/>
    <w:rsid w:val="00C9754D"/>
    <w:rsid w:val="00C97D36"/>
    <w:rsid w:val="00CA03AF"/>
    <w:rsid w:val="00CA1099"/>
    <w:rsid w:val="00CA13DF"/>
    <w:rsid w:val="00CA1B35"/>
    <w:rsid w:val="00CA20C0"/>
    <w:rsid w:val="00CA3F8E"/>
    <w:rsid w:val="00CA4004"/>
    <w:rsid w:val="00CA4BF1"/>
    <w:rsid w:val="00CA4D5F"/>
    <w:rsid w:val="00CA5116"/>
    <w:rsid w:val="00CA52C1"/>
    <w:rsid w:val="00CA55E4"/>
    <w:rsid w:val="00CA5737"/>
    <w:rsid w:val="00CA58C1"/>
    <w:rsid w:val="00CA661A"/>
    <w:rsid w:val="00CA7187"/>
    <w:rsid w:val="00CA73DB"/>
    <w:rsid w:val="00CA7532"/>
    <w:rsid w:val="00CA7DCC"/>
    <w:rsid w:val="00CB17D9"/>
    <w:rsid w:val="00CB18B7"/>
    <w:rsid w:val="00CB2FE2"/>
    <w:rsid w:val="00CB3256"/>
    <w:rsid w:val="00CB347E"/>
    <w:rsid w:val="00CB3601"/>
    <w:rsid w:val="00CB3D0C"/>
    <w:rsid w:val="00CB3FF2"/>
    <w:rsid w:val="00CB4EDE"/>
    <w:rsid w:val="00CB5AFD"/>
    <w:rsid w:val="00CB746B"/>
    <w:rsid w:val="00CB7DCD"/>
    <w:rsid w:val="00CC0111"/>
    <w:rsid w:val="00CC061B"/>
    <w:rsid w:val="00CC0A2F"/>
    <w:rsid w:val="00CC1426"/>
    <w:rsid w:val="00CC199C"/>
    <w:rsid w:val="00CC1CB1"/>
    <w:rsid w:val="00CC1EBF"/>
    <w:rsid w:val="00CC2885"/>
    <w:rsid w:val="00CC2F7E"/>
    <w:rsid w:val="00CC40E4"/>
    <w:rsid w:val="00CC44F8"/>
    <w:rsid w:val="00CC45E8"/>
    <w:rsid w:val="00CC4D0B"/>
    <w:rsid w:val="00CC4D55"/>
    <w:rsid w:val="00CC5246"/>
    <w:rsid w:val="00CC5410"/>
    <w:rsid w:val="00CC5441"/>
    <w:rsid w:val="00CC56BF"/>
    <w:rsid w:val="00CC5943"/>
    <w:rsid w:val="00CC5A68"/>
    <w:rsid w:val="00CC5E90"/>
    <w:rsid w:val="00CC5EA1"/>
    <w:rsid w:val="00CC6106"/>
    <w:rsid w:val="00CC624C"/>
    <w:rsid w:val="00CC6690"/>
    <w:rsid w:val="00CC69A1"/>
    <w:rsid w:val="00CC7632"/>
    <w:rsid w:val="00CC7865"/>
    <w:rsid w:val="00CC7DD0"/>
    <w:rsid w:val="00CC7ED4"/>
    <w:rsid w:val="00CD0235"/>
    <w:rsid w:val="00CD040D"/>
    <w:rsid w:val="00CD0475"/>
    <w:rsid w:val="00CD1415"/>
    <w:rsid w:val="00CD1BF1"/>
    <w:rsid w:val="00CD22CE"/>
    <w:rsid w:val="00CD2C1A"/>
    <w:rsid w:val="00CD2FB9"/>
    <w:rsid w:val="00CD3306"/>
    <w:rsid w:val="00CD37FF"/>
    <w:rsid w:val="00CD38B3"/>
    <w:rsid w:val="00CD3AE6"/>
    <w:rsid w:val="00CD52BD"/>
    <w:rsid w:val="00CD6621"/>
    <w:rsid w:val="00CD7554"/>
    <w:rsid w:val="00CD7950"/>
    <w:rsid w:val="00CD7E99"/>
    <w:rsid w:val="00CE084E"/>
    <w:rsid w:val="00CE0C10"/>
    <w:rsid w:val="00CE0CBB"/>
    <w:rsid w:val="00CE0D78"/>
    <w:rsid w:val="00CE15D1"/>
    <w:rsid w:val="00CE254A"/>
    <w:rsid w:val="00CE2D6E"/>
    <w:rsid w:val="00CE32F1"/>
    <w:rsid w:val="00CE336B"/>
    <w:rsid w:val="00CE35C4"/>
    <w:rsid w:val="00CE41C1"/>
    <w:rsid w:val="00CE41DF"/>
    <w:rsid w:val="00CE45D9"/>
    <w:rsid w:val="00CE51DB"/>
    <w:rsid w:val="00CE5B72"/>
    <w:rsid w:val="00CE635F"/>
    <w:rsid w:val="00CE696E"/>
    <w:rsid w:val="00CE7B9E"/>
    <w:rsid w:val="00CE7E9A"/>
    <w:rsid w:val="00CF0089"/>
    <w:rsid w:val="00CF00E4"/>
    <w:rsid w:val="00CF03B2"/>
    <w:rsid w:val="00CF0980"/>
    <w:rsid w:val="00CF1395"/>
    <w:rsid w:val="00CF1D49"/>
    <w:rsid w:val="00CF2339"/>
    <w:rsid w:val="00CF2555"/>
    <w:rsid w:val="00CF2774"/>
    <w:rsid w:val="00CF2B81"/>
    <w:rsid w:val="00CF38B4"/>
    <w:rsid w:val="00CF42D9"/>
    <w:rsid w:val="00CF52F9"/>
    <w:rsid w:val="00CF5698"/>
    <w:rsid w:val="00CF57EB"/>
    <w:rsid w:val="00CF5863"/>
    <w:rsid w:val="00CF598C"/>
    <w:rsid w:val="00CF63DA"/>
    <w:rsid w:val="00CF6644"/>
    <w:rsid w:val="00CF6B84"/>
    <w:rsid w:val="00CF6D26"/>
    <w:rsid w:val="00CF6E18"/>
    <w:rsid w:val="00CF7120"/>
    <w:rsid w:val="00CF762D"/>
    <w:rsid w:val="00CF78CD"/>
    <w:rsid w:val="00CF79EA"/>
    <w:rsid w:val="00D00D59"/>
    <w:rsid w:val="00D01403"/>
    <w:rsid w:val="00D01881"/>
    <w:rsid w:val="00D02464"/>
    <w:rsid w:val="00D026B6"/>
    <w:rsid w:val="00D02D37"/>
    <w:rsid w:val="00D0311D"/>
    <w:rsid w:val="00D0406C"/>
    <w:rsid w:val="00D04EF5"/>
    <w:rsid w:val="00D04F1C"/>
    <w:rsid w:val="00D05C8A"/>
    <w:rsid w:val="00D066A7"/>
    <w:rsid w:val="00D075F7"/>
    <w:rsid w:val="00D07C43"/>
    <w:rsid w:val="00D1058B"/>
    <w:rsid w:val="00D108DF"/>
    <w:rsid w:val="00D11976"/>
    <w:rsid w:val="00D11F0A"/>
    <w:rsid w:val="00D1246E"/>
    <w:rsid w:val="00D13545"/>
    <w:rsid w:val="00D13DFC"/>
    <w:rsid w:val="00D13FA3"/>
    <w:rsid w:val="00D1432D"/>
    <w:rsid w:val="00D153C6"/>
    <w:rsid w:val="00D15431"/>
    <w:rsid w:val="00D15731"/>
    <w:rsid w:val="00D15F76"/>
    <w:rsid w:val="00D15FFA"/>
    <w:rsid w:val="00D167CC"/>
    <w:rsid w:val="00D174E4"/>
    <w:rsid w:val="00D17861"/>
    <w:rsid w:val="00D17D3B"/>
    <w:rsid w:val="00D17E5D"/>
    <w:rsid w:val="00D201A2"/>
    <w:rsid w:val="00D2080A"/>
    <w:rsid w:val="00D2081E"/>
    <w:rsid w:val="00D20CA8"/>
    <w:rsid w:val="00D21B25"/>
    <w:rsid w:val="00D22372"/>
    <w:rsid w:val="00D22F89"/>
    <w:rsid w:val="00D23091"/>
    <w:rsid w:val="00D23232"/>
    <w:rsid w:val="00D248DB"/>
    <w:rsid w:val="00D24AE8"/>
    <w:rsid w:val="00D24DD1"/>
    <w:rsid w:val="00D25048"/>
    <w:rsid w:val="00D26712"/>
    <w:rsid w:val="00D26A04"/>
    <w:rsid w:val="00D26B79"/>
    <w:rsid w:val="00D274A1"/>
    <w:rsid w:val="00D274CB"/>
    <w:rsid w:val="00D27F0C"/>
    <w:rsid w:val="00D27FAA"/>
    <w:rsid w:val="00D30043"/>
    <w:rsid w:val="00D30461"/>
    <w:rsid w:val="00D313DB"/>
    <w:rsid w:val="00D31A2C"/>
    <w:rsid w:val="00D321EC"/>
    <w:rsid w:val="00D3275E"/>
    <w:rsid w:val="00D330A5"/>
    <w:rsid w:val="00D334DC"/>
    <w:rsid w:val="00D334E9"/>
    <w:rsid w:val="00D33D58"/>
    <w:rsid w:val="00D3410B"/>
    <w:rsid w:val="00D3440D"/>
    <w:rsid w:val="00D3470B"/>
    <w:rsid w:val="00D35F8C"/>
    <w:rsid w:val="00D36813"/>
    <w:rsid w:val="00D36DCA"/>
    <w:rsid w:val="00D37115"/>
    <w:rsid w:val="00D378AF"/>
    <w:rsid w:val="00D37C4F"/>
    <w:rsid w:val="00D41C47"/>
    <w:rsid w:val="00D42047"/>
    <w:rsid w:val="00D42C6B"/>
    <w:rsid w:val="00D43372"/>
    <w:rsid w:val="00D43584"/>
    <w:rsid w:val="00D43A81"/>
    <w:rsid w:val="00D44A45"/>
    <w:rsid w:val="00D4514D"/>
    <w:rsid w:val="00D452FB"/>
    <w:rsid w:val="00D45775"/>
    <w:rsid w:val="00D45F6C"/>
    <w:rsid w:val="00D46261"/>
    <w:rsid w:val="00D46489"/>
    <w:rsid w:val="00D47157"/>
    <w:rsid w:val="00D47ACF"/>
    <w:rsid w:val="00D50104"/>
    <w:rsid w:val="00D507FC"/>
    <w:rsid w:val="00D508A2"/>
    <w:rsid w:val="00D50CE2"/>
    <w:rsid w:val="00D51CE0"/>
    <w:rsid w:val="00D5201A"/>
    <w:rsid w:val="00D520BD"/>
    <w:rsid w:val="00D5252E"/>
    <w:rsid w:val="00D539D7"/>
    <w:rsid w:val="00D53D22"/>
    <w:rsid w:val="00D55604"/>
    <w:rsid w:val="00D55671"/>
    <w:rsid w:val="00D56EA3"/>
    <w:rsid w:val="00D57B7E"/>
    <w:rsid w:val="00D60735"/>
    <w:rsid w:val="00D6140D"/>
    <w:rsid w:val="00D61800"/>
    <w:rsid w:val="00D6277D"/>
    <w:rsid w:val="00D638F7"/>
    <w:rsid w:val="00D639D9"/>
    <w:rsid w:val="00D63A36"/>
    <w:rsid w:val="00D63A61"/>
    <w:rsid w:val="00D6407A"/>
    <w:rsid w:val="00D64095"/>
    <w:rsid w:val="00D65FC0"/>
    <w:rsid w:val="00D66055"/>
    <w:rsid w:val="00D708D7"/>
    <w:rsid w:val="00D70E23"/>
    <w:rsid w:val="00D71041"/>
    <w:rsid w:val="00D7242C"/>
    <w:rsid w:val="00D72563"/>
    <w:rsid w:val="00D72859"/>
    <w:rsid w:val="00D7420E"/>
    <w:rsid w:val="00D743D4"/>
    <w:rsid w:val="00D74692"/>
    <w:rsid w:val="00D7548B"/>
    <w:rsid w:val="00D755F7"/>
    <w:rsid w:val="00D76093"/>
    <w:rsid w:val="00D76A6A"/>
    <w:rsid w:val="00D76DF2"/>
    <w:rsid w:val="00D7703F"/>
    <w:rsid w:val="00D80EBE"/>
    <w:rsid w:val="00D810AD"/>
    <w:rsid w:val="00D8172B"/>
    <w:rsid w:val="00D82EB6"/>
    <w:rsid w:val="00D82EE1"/>
    <w:rsid w:val="00D8306B"/>
    <w:rsid w:val="00D84229"/>
    <w:rsid w:val="00D84501"/>
    <w:rsid w:val="00D847CC"/>
    <w:rsid w:val="00D85094"/>
    <w:rsid w:val="00D85A59"/>
    <w:rsid w:val="00D86249"/>
    <w:rsid w:val="00D86553"/>
    <w:rsid w:val="00D8681E"/>
    <w:rsid w:val="00D86E26"/>
    <w:rsid w:val="00D8755E"/>
    <w:rsid w:val="00D878D5"/>
    <w:rsid w:val="00D87AF1"/>
    <w:rsid w:val="00D90CB9"/>
    <w:rsid w:val="00D9186F"/>
    <w:rsid w:val="00D91B95"/>
    <w:rsid w:val="00D91C65"/>
    <w:rsid w:val="00D9229D"/>
    <w:rsid w:val="00D92EE8"/>
    <w:rsid w:val="00D93BFC"/>
    <w:rsid w:val="00D94162"/>
    <w:rsid w:val="00D94CD0"/>
    <w:rsid w:val="00D953F2"/>
    <w:rsid w:val="00D957A6"/>
    <w:rsid w:val="00D95CF6"/>
    <w:rsid w:val="00D96512"/>
    <w:rsid w:val="00D965F9"/>
    <w:rsid w:val="00D967FC"/>
    <w:rsid w:val="00D96A0E"/>
    <w:rsid w:val="00D977D9"/>
    <w:rsid w:val="00D97828"/>
    <w:rsid w:val="00D9797A"/>
    <w:rsid w:val="00D97DDC"/>
    <w:rsid w:val="00DA04BC"/>
    <w:rsid w:val="00DA0693"/>
    <w:rsid w:val="00DA0B43"/>
    <w:rsid w:val="00DA0B4E"/>
    <w:rsid w:val="00DA1218"/>
    <w:rsid w:val="00DA1848"/>
    <w:rsid w:val="00DA2014"/>
    <w:rsid w:val="00DA2D71"/>
    <w:rsid w:val="00DA2F09"/>
    <w:rsid w:val="00DA3368"/>
    <w:rsid w:val="00DA4702"/>
    <w:rsid w:val="00DA4AE9"/>
    <w:rsid w:val="00DA4C14"/>
    <w:rsid w:val="00DA57C1"/>
    <w:rsid w:val="00DA582D"/>
    <w:rsid w:val="00DA59C5"/>
    <w:rsid w:val="00DA5BB6"/>
    <w:rsid w:val="00DA5E7D"/>
    <w:rsid w:val="00DA6AD9"/>
    <w:rsid w:val="00DA6E7C"/>
    <w:rsid w:val="00DA716E"/>
    <w:rsid w:val="00DA7526"/>
    <w:rsid w:val="00DA7DB9"/>
    <w:rsid w:val="00DA7EB1"/>
    <w:rsid w:val="00DB0ED1"/>
    <w:rsid w:val="00DB0EE2"/>
    <w:rsid w:val="00DB2D8F"/>
    <w:rsid w:val="00DB3285"/>
    <w:rsid w:val="00DB3348"/>
    <w:rsid w:val="00DB3D74"/>
    <w:rsid w:val="00DB47D4"/>
    <w:rsid w:val="00DB48EF"/>
    <w:rsid w:val="00DB4D2E"/>
    <w:rsid w:val="00DB562F"/>
    <w:rsid w:val="00DB746C"/>
    <w:rsid w:val="00DB76C6"/>
    <w:rsid w:val="00DB7E8F"/>
    <w:rsid w:val="00DC02E5"/>
    <w:rsid w:val="00DC07E8"/>
    <w:rsid w:val="00DC1386"/>
    <w:rsid w:val="00DC1448"/>
    <w:rsid w:val="00DC144F"/>
    <w:rsid w:val="00DC2FEE"/>
    <w:rsid w:val="00DC36E0"/>
    <w:rsid w:val="00DC3CD8"/>
    <w:rsid w:val="00DC4E68"/>
    <w:rsid w:val="00DC4ED2"/>
    <w:rsid w:val="00DC505A"/>
    <w:rsid w:val="00DC55DE"/>
    <w:rsid w:val="00DC6B80"/>
    <w:rsid w:val="00DC70D6"/>
    <w:rsid w:val="00DD07B2"/>
    <w:rsid w:val="00DD0B75"/>
    <w:rsid w:val="00DD0F2B"/>
    <w:rsid w:val="00DD1A90"/>
    <w:rsid w:val="00DD1E69"/>
    <w:rsid w:val="00DD41C5"/>
    <w:rsid w:val="00DD41DF"/>
    <w:rsid w:val="00DD4BED"/>
    <w:rsid w:val="00DD5186"/>
    <w:rsid w:val="00DD5CBD"/>
    <w:rsid w:val="00DD5F0C"/>
    <w:rsid w:val="00DD6C0F"/>
    <w:rsid w:val="00DD6EE6"/>
    <w:rsid w:val="00DD77FB"/>
    <w:rsid w:val="00DD79CD"/>
    <w:rsid w:val="00DD7C2F"/>
    <w:rsid w:val="00DE00C4"/>
    <w:rsid w:val="00DE0DC5"/>
    <w:rsid w:val="00DE112E"/>
    <w:rsid w:val="00DE12E7"/>
    <w:rsid w:val="00DE1885"/>
    <w:rsid w:val="00DE1CB5"/>
    <w:rsid w:val="00DE1E33"/>
    <w:rsid w:val="00DE1EA2"/>
    <w:rsid w:val="00DE1FD5"/>
    <w:rsid w:val="00DE2F5F"/>
    <w:rsid w:val="00DE3215"/>
    <w:rsid w:val="00DE3D8C"/>
    <w:rsid w:val="00DE4257"/>
    <w:rsid w:val="00DE4350"/>
    <w:rsid w:val="00DE616E"/>
    <w:rsid w:val="00DE645C"/>
    <w:rsid w:val="00DE739C"/>
    <w:rsid w:val="00DE7837"/>
    <w:rsid w:val="00DE7A36"/>
    <w:rsid w:val="00DE7A83"/>
    <w:rsid w:val="00DE7EBB"/>
    <w:rsid w:val="00DF0051"/>
    <w:rsid w:val="00DF04AD"/>
    <w:rsid w:val="00DF134D"/>
    <w:rsid w:val="00DF1B0D"/>
    <w:rsid w:val="00DF2E7D"/>
    <w:rsid w:val="00DF303F"/>
    <w:rsid w:val="00DF391F"/>
    <w:rsid w:val="00DF53A4"/>
    <w:rsid w:val="00DF65C2"/>
    <w:rsid w:val="00DF676D"/>
    <w:rsid w:val="00DF70A7"/>
    <w:rsid w:val="00DF7138"/>
    <w:rsid w:val="00DF71CB"/>
    <w:rsid w:val="00DF71E9"/>
    <w:rsid w:val="00E00D55"/>
    <w:rsid w:val="00E0192D"/>
    <w:rsid w:val="00E019FF"/>
    <w:rsid w:val="00E02681"/>
    <w:rsid w:val="00E04685"/>
    <w:rsid w:val="00E04FF5"/>
    <w:rsid w:val="00E059B2"/>
    <w:rsid w:val="00E07788"/>
    <w:rsid w:val="00E07E25"/>
    <w:rsid w:val="00E10F9F"/>
    <w:rsid w:val="00E117EA"/>
    <w:rsid w:val="00E11B87"/>
    <w:rsid w:val="00E132C9"/>
    <w:rsid w:val="00E1341E"/>
    <w:rsid w:val="00E13C69"/>
    <w:rsid w:val="00E14870"/>
    <w:rsid w:val="00E1591A"/>
    <w:rsid w:val="00E168CA"/>
    <w:rsid w:val="00E16F07"/>
    <w:rsid w:val="00E174EE"/>
    <w:rsid w:val="00E179A8"/>
    <w:rsid w:val="00E17AD1"/>
    <w:rsid w:val="00E17B6D"/>
    <w:rsid w:val="00E2068C"/>
    <w:rsid w:val="00E20924"/>
    <w:rsid w:val="00E20DEC"/>
    <w:rsid w:val="00E22991"/>
    <w:rsid w:val="00E2315D"/>
    <w:rsid w:val="00E23BEC"/>
    <w:rsid w:val="00E24073"/>
    <w:rsid w:val="00E241C3"/>
    <w:rsid w:val="00E2448F"/>
    <w:rsid w:val="00E2467E"/>
    <w:rsid w:val="00E24EE6"/>
    <w:rsid w:val="00E254BF"/>
    <w:rsid w:val="00E259B5"/>
    <w:rsid w:val="00E25E35"/>
    <w:rsid w:val="00E26B14"/>
    <w:rsid w:val="00E26BE6"/>
    <w:rsid w:val="00E27188"/>
    <w:rsid w:val="00E27630"/>
    <w:rsid w:val="00E27B5E"/>
    <w:rsid w:val="00E27E1A"/>
    <w:rsid w:val="00E3033C"/>
    <w:rsid w:val="00E30910"/>
    <w:rsid w:val="00E30BB9"/>
    <w:rsid w:val="00E31173"/>
    <w:rsid w:val="00E3158D"/>
    <w:rsid w:val="00E31795"/>
    <w:rsid w:val="00E31899"/>
    <w:rsid w:val="00E32653"/>
    <w:rsid w:val="00E32701"/>
    <w:rsid w:val="00E3291B"/>
    <w:rsid w:val="00E32DD3"/>
    <w:rsid w:val="00E332BD"/>
    <w:rsid w:val="00E3338F"/>
    <w:rsid w:val="00E33C1B"/>
    <w:rsid w:val="00E33D65"/>
    <w:rsid w:val="00E340C6"/>
    <w:rsid w:val="00E344CD"/>
    <w:rsid w:val="00E34884"/>
    <w:rsid w:val="00E34E35"/>
    <w:rsid w:val="00E35228"/>
    <w:rsid w:val="00E352AE"/>
    <w:rsid w:val="00E3576A"/>
    <w:rsid w:val="00E40740"/>
    <w:rsid w:val="00E40A66"/>
    <w:rsid w:val="00E414FE"/>
    <w:rsid w:val="00E4154F"/>
    <w:rsid w:val="00E41619"/>
    <w:rsid w:val="00E41BD9"/>
    <w:rsid w:val="00E41D29"/>
    <w:rsid w:val="00E428B9"/>
    <w:rsid w:val="00E42974"/>
    <w:rsid w:val="00E42B5F"/>
    <w:rsid w:val="00E439B6"/>
    <w:rsid w:val="00E43C0F"/>
    <w:rsid w:val="00E44672"/>
    <w:rsid w:val="00E4534D"/>
    <w:rsid w:val="00E459E1"/>
    <w:rsid w:val="00E46098"/>
    <w:rsid w:val="00E4649B"/>
    <w:rsid w:val="00E5013A"/>
    <w:rsid w:val="00E50A70"/>
    <w:rsid w:val="00E50BE5"/>
    <w:rsid w:val="00E50EA0"/>
    <w:rsid w:val="00E51040"/>
    <w:rsid w:val="00E515F4"/>
    <w:rsid w:val="00E52E4A"/>
    <w:rsid w:val="00E5352C"/>
    <w:rsid w:val="00E535E5"/>
    <w:rsid w:val="00E539D8"/>
    <w:rsid w:val="00E54EDF"/>
    <w:rsid w:val="00E550FA"/>
    <w:rsid w:val="00E55167"/>
    <w:rsid w:val="00E556BA"/>
    <w:rsid w:val="00E55A43"/>
    <w:rsid w:val="00E5613B"/>
    <w:rsid w:val="00E568CA"/>
    <w:rsid w:val="00E56B95"/>
    <w:rsid w:val="00E572AD"/>
    <w:rsid w:val="00E57812"/>
    <w:rsid w:val="00E57C74"/>
    <w:rsid w:val="00E57F2C"/>
    <w:rsid w:val="00E6032D"/>
    <w:rsid w:val="00E60488"/>
    <w:rsid w:val="00E60B2A"/>
    <w:rsid w:val="00E6168B"/>
    <w:rsid w:val="00E616B3"/>
    <w:rsid w:val="00E61B9D"/>
    <w:rsid w:val="00E6241D"/>
    <w:rsid w:val="00E6262A"/>
    <w:rsid w:val="00E62D4B"/>
    <w:rsid w:val="00E62E5E"/>
    <w:rsid w:val="00E6327E"/>
    <w:rsid w:val="00E63463"/>
    <w:rsid w:val="00E63F19"/>
    <w:rsid w:val="00E6415A"/>
    <w:rsid w:val="00E6469E"/>
    <w:rsid w:val="00E64AFB"/>
    <w:rsid w:val="00E65273"/>
    <w:rsid w:val="00E65563"/>
    <w:rsid w:val="00E66129"/>
    <w:rsid w:val="00E664B5"/>
    <w:rsid w:val="00E66D64"/>
    <w:rsid w:val="00E670E1"/>
    <w:rsid w:val="00E675DA"/>
    <w:rsid w:val="00E67C1C"/>
    <w:rsid w:val="00E70C2F"/>
    <w:rsid w:val="00E7136D"/>
    <w:rsid w:val="00E718ED"/>
    <w:rsid w:val="00E72358"/>
    <w:rsid w:val="00E72584"/>
    <w:rsid w:val="00E72D0B"/>
    <w:rsid w:val="00E736CD"/>
    <w:rsid w:val="00E73929"/>
    <w:rsid w:val="00E74029"/>
    <w:rsid w:val="00E7413C"/>
    <w:rsid w:val="00E74436"/>
    <w:rsid w:val="00E75950"/>
    <w:rsid w:val="00E76641"/>
    <w:rsid w:val="00E76FB6"/>
    <w:rsid w:val="00E77E95"/>
    <w:rsid w:val="00E802B1"/>
    <w:rsid w:val="00E805DE"/>
    <w:rsid w:val="00E809EA"/>
    <w:rsid w:val="00E80CBD"/>
    <w:rsid w:val="00E811FB"/>
    <w:rsid w:val="00E81712"/>
    <w:rsid w:val="00E81A36"/>
    <w:rsid w:val="00E81AF2"/>
    <w:rsid w:val="00E8204A"/>
    <w:rsid w:val="00E826F9"/>
    <w:rsid w:val="00E82F81"/>
    <w:rsid w:val="00E831E4"/>
    <w:rsid w:val="00E83919"/>
    <w:rsid w:val="00E83AE4"/>
    <w:rsid w:val="00E85658"/>
    <w:rsid w:val="00E85848"/>
    <w:rsid w:val="00E85A22"/>
    <w:rsid w:val="00E85DB5"/>
    <w:rsid w:val="00E8660E"/>
    <w:rsid w:val="00E86769"/>
    <w:rsid w:val="00E86839"/>
    <w:rsid w:val="00E86F2A"/>
    <w:rsid w:val="00E903B7"/>
    <w:rsid w:val="00E90844"/>
    <w:rsid w:val="00E912A3"/>
    <w:rsid w:val="00E91698"/>
    <w:rsid w:val="00E92907"/>
    <w:rsid w:val="00E929F8"/>
    <w:rsid w:val="00E937D5"/>
    <w:rsid w:val="00E937E8"/>
    <w:rsid w:val="00E93DD9"/>
    <w:rsid w:val="00E93E6F"/>
    <w:rsid w:val="00E9462A"/>
    <w:rsid w:val="00E95653"/>
    <w:rsid w:val="00E976AC"/>
    <w:rsid w:val="00E97DFF"/>
    <w:rsid w:val="00E97FA4"/>
    <w:rsid w:val="00EA1752"/>
    <w:rsid w:val="00EA1826"/>
    <w:rsid w:val="00EA233F"/>
    <w:rsid w:val="00EA2CC9"/>
    <w:rsid w:val="00EA2DD7"/>
    <w:rsid w:val="00EA2E95"/>
    <w:rsid w:val="00EA3470"/>
    <w:rsid w:val="00EA396B"/>
    <w:rsid w:val="00EA4C9D"/>
    <w:rsid w:val="00EA4F33"/>
    <w:rsid w:val="00EA526D"/>
    <w:rsid w:val="00EA5595"/>
    <w:rsid w:val="00EA57C4"/>
    <w:rsid w:val="00EA6013"/>
    <w:rsid w:val="00EA6734"/>
    <w:rsid w:val="00EA69F9"/>
    <w:rsid w:val="00EA6FB8"/>
    <w:rsid w:val="00EA7158"/>
    <w:rsid w:val="00EA75D4"/>
    <w:rsid w:val="00EA7717"/>
    <w:rsid w:val="00EA7B63"/>
    <w:rsid w:val="00EA7C2D"/>
    <w:rsid w:val="00EB06C4"/>
    <w:rsid w:val="00EB0B30"/>
    <w:rsid w:val="00EB111C"/>
    <w:rsid w:val="00EB19AD"/>
    <w:rsid w:val="00EB1DA5"/>
    <w:rsid w:val="00EB268F"/>
    <w:rsid w:val="00EB2CB9"/>
    <w:rsid w:val="00EB3003"/>
    <w:rsid w:val="00EB3033"/>
    <w:rsid w:val="00EB3856"/>
    <w:rsid w:val="00EB4ED9"/>
    <w:rsid w:val="00EB5EF7"/>
    <w:rsid w:val="00EB6B5F"/>
    <w:rsid w:val="00EB7460"/>
    <w:rsid w:val="00EB7828"/>
    <w:rsid w:val="00EC074F"/>
    <w:rsid w:val="00EC0830"/>
    <w:rsid w:val="00EC0F07"/>
    <w:rsid w:val="00EC351E"/>
    <w:rsid w:val="00EC4213"/>
    <w:rsid w:val="00EC43B2"/>
    <w:rsid w:val="00EC4B64"/>
    <w:rsid w:val="00EC7BC6"/>
    <w:rsid w:val="00ED0E0D"/>
    <w:rsid w:val="00ED1DE8"/>
    <w:rsid w:val="00ED2090"/>
    <w:rsid w:val="00ED2C4E"/>
    <w:rsid w:val="00ED3946"/>
    <w:rsid w:val="00ED3D7F"/>
    <w:rsid w:val="00ED422A"/>
    <w:rsid w:val="00ED457E"/>
    <w:rsid w:val="00ED4C5C"/>
    <w:rsid w:val="00ED540F"/>
    <w:rsid w:val="00ED5A52"/>
    <w:rsid w:val="00ED6670"/>
    <w:rsid w:val="00ED6D4C"/>
    <w:rsid w:val="00ED6D7F"/>
    <w:rsid w:val="00ED6E62"/>
    <w:rsid w:val="00ED71A0"/>
    <w:rsid w:val="00ED74EA"/>
    <w:rsid w:val="00ED7809"/>
    <w:rsid w:val="00ED7A07"/>
    <w:rsid w:val="00ED7B1B"/>
    <w:rsid w:val="00ED7D49"/>
    <w:rsid w:val="00EE0730"/>
    <w:rsid w:val="00EE0B1F"/>
    <w:rsid w:val="00EE2A55"/>
    <w:rsid w:val="00EE34D9"/>
    <w:rsid w:val="00EE3611"/>
    <w:rsid w:val="00EE396A"/>
    <w:rsid w:val="00EE3B9A"/>
    <w:rsid w:val="00EE3E13"/>
    <w:rsid w:val="00EE4295"/>
    <w:rsid w:val="00EE4B08"/>
    <w:rsid w:val="00EE4B98"/>
    <w:rsid w:val="00EE4D02"/>
    <w:rsid w:val="00EE54D2"/>
    <w:rsid w:val="00EE578D"/>
    <w:rsid w:val="00EE5AC2"/>
    <w:rsid w:val="00EE64E9"/>
    <w:rsid w:val="00EE68BA"/>
    <w:rsid w:val="00EE6F7F"/>
    <w:rsid w:val="00EE71C2"/>
    <w:rsid w:val="00EE7B60"/>
    <w:rsid w:val="00EE7D7F"/>
    <w:rsid w:val="00EF0795"/>
    <w:rsid w:val="00EF0835"/>
    <w:rsid w:val="00EF0FE5"/>
    <w:rsid w:val="00EF1FA6"/>
    <w:rsid w:val="00EF2196"/>
    <w:rsid w:val="00EF2407"/>
    <w:rsid w:val="00EF270F"/>
    <w:rsid w:val="00EF27BD"/>
    <w:rsid w:val="00EF2BBC"/>
    <w:rsid w:val="00EF3775"/>
    <w:rsid w:val="00EF3B2E"/>
    <w:rsid w:val="00EF419C"/>
    <w:rsid w:val="00EF4435"/>
    <w:rsid w:val="00EF4671"/>
    <w:rsid w:val="00EF5F3E"/>
    <w:rsid w:val="00EF5FE7"/>
    <w:rsid w:val="00EF61BB"/>
    <w:rsid w:val="00EF63B6"/>
    <w:rsid w:val="00EF6862"/>
    <w:rsid w:val="00EF6A56"/>
    <w:rsid w:val="00EF6AE6"/>
    <w:rsid w:val="00EF6E22"/>
    <w:rsid w:val="00EF7164"/>
    <w:rsid w:val="00EF7917"/>
    <w:rsid w:val="00EF7CFB"/>
    <w:rsid w:val="00F00948"/>
    <w:rsid w:val="00F00B5C"/>
    <w:rsid w:val="00F01904"/>
    <w:rsid w:val="00F01C7D"/>
    <w:rsid w:val="00F020F8"/>
    <w:rsid w:val="00F026E6"/>
    <w:rsid w:val="00F02A20"/>
    <w:rsid w:val="00F03411"/>
    <w:rsid w:val="00F03640"/>
    <w:rsid w:val="00F03A99"/>
    <w:rsid w:val="00F03BF3"/>
    <w:rsid w:val="00F03BF5"/>
    <w:rsid w:val="00F03E96"/>
    <w:rsid w:val="00F04237"/>
    <w:rsid w:val="00F04ADE"/>
    <w:rsid w:val="00F056CD"/>
    <w:rsid w:val="00F056F9"/>
    <w:rsid w:val="00F05954"/>
    <w:rsid w:val="00F059F2"/>
    <w:rsid w:val="00F05EA7"/>
    <w:rsid w:val="00F06056"/>
    <w:rsid w:val="00F0615A"/>
    <w:rsid w:val="00F06974"/>
    <w:rsid w:val="00F06DAA"/>
    <w:rsid w:val="00F07184"/>
    <w:rsid w:val="00F072E3"/>
    <w:rsid w:val="00F07529"/>
    <w:rsid w:val="00F07E12"/>
    <w:rsid w:val="00F11558"/>
    <w:rsid w:val="00F11ADE"/>
    <w:rsid w:val="00F11BB7"/>
    <w:rsid w:val="00F12020"/>
    <w:rsid w:val="00F12354"/>
    <w:rsid w:val="00F1258F"/>
    <w:rsid w:val="00F12B2C"/>
    <w:rsid w:val="00F12B60"/>
    <w:rsid w:val="00F12DED"/>
    <w:rsid w:val="00F13001"/>
    <w:rsid w:val="00F13026"/>
    <w:rsid w:val="00F13437"/>
    <w:rsid w:val="00F13E39"/>
    <w:rsid w:val="00F15850"/>
    <w:rsid w:val="00F15D3D"/>
    <w:rsid w:val="00F15F2D"/>
    <w:rsid w:val="00F161F2"/>
    <w:rsid w:val="00F1687A"/>
    <w:rsid w:val="00F16E9C"/>
    <w:rsid w:val="00F17566"/>
    <w:rsid w:val="00F17891"/>
    <w:rsid w:val="00F17B15"/>
    <w:rsid w:val="00F17DFD"/>
    <w:rsid w:val="00F210D9"/>
    <w:rsid w:val="00F216A0"/>
    <w:rsid w:val="00F22B10"/>
    <w:rsid w:val="00F232C4"/>
    <w:rsid w:val="00F243A7"/>
    <w:rsid w:val="00F243EC"/>
    <w:rsid w:val="00F24A55"/>
    <w:rsid w:val="00F24FDD"/>
    <w:rsid w:val="00F25158"/>
    <w:rsid w:val="00F254DD"/>
    <w:rsid w:val="00F25D5C"/>
    <w:rsid w:val="00F266F3"/>
    <w:rsid w:val="00F27459"/>
    <w:rsid w:val="00F278E7"/>
    <w:rsid w:val="00F30815"/>
    <w:rsid w:val="00F30AED"/>
    <w:rsid w:val="00F31200"/>
    <w:rsid w:val="00F320D5"/>
    <w:rsid w:val="00F32140"/>
    <w:rsid w:val="00F32469"/>
    <w:rsid w:val="00F329D5"/>
    <w:rsid w:val="00F32A35"/>
    <w:rsid w:val="00F32AD3"/>
    <w:rsid w:val="00F332E6"/>
    <w:rsid w:val="00F33FF4"/>
    <w:rsid w:val="00F3409D"/>
    <w:rsid w:val="00F357C1"/>
    <w:rsid w:val="00F35B4A"/>
    <w:rsid w:val="00F35DA8"/>
    <w:rsid w:val="00F360B0"/>
    <w:rsid w:val="00F3642E"/>
    <w:rsid w:val="00F3644F"/>
    <w:rsid w:val="00F36530"/>
    <w:rsid w:val="00F36664"/>
    <w:rsid w:val="00F37CB7"/>
    <w:rsid w:val="00F40117"/>
    <w:rsid w:val="00F40352"/>
    <w:rsid w:val="00F40E39"/>
    <w:rsid w:val="00F4115C"/>
    <w:rsid w:val="00F414CA"/>
    <w:rsid w:val="00F41AE8"/>
    <w:rsid w:val="00F41FD2"/>
    <w:rsid w:val="00F4224D"/>
    <w:rsid w:val="00F42456"/>
    <w:rsid w:val="00F43230"/>
    <w:rsid w:val="00F4346F"/>
    <w:rsid w:val="00F436DA"/>
    <w:rsid w:val="00F43C01"/>
    <w:rsid w:val="00F43EEA"/>
    <w:rsid w:val="00F454E6"/>
    <w:rsid w:val="00F45CD6"/>
    <w:rsid w:val="00F45F6E"/>
    <w:rsid w:val="00F46EBE"/>
    <w:rsid w:val="00F46F27"/>
    <w:rsid w:val="00F46FDF"/>
    <w:rsid w:val="00F47279"/>
    <w:rsid w:val="00F47DBC"/>
    <w:rsid w:val="00F51074"/>
    <w:rsid w:val="00F51D18"/>
    <w:rsid w:val="00F522CA"/>
    <w:rsid w:val="00F52643"/>
    <w:rsid w:val="00F52EFC"/>
    <w:rsid w:val="00F5318E"/>
    <w:rsid w:val="00F535E8"/>
    <w:rsid w:val="00F54465"/>
    <w:rsid w:val="00F545A8"/>
    <w:rsid w:val="00F54A4D"/>
    <w:rsid w:val="00F54B81"/>
    <w:rsid w:val="00F54E1E"/>
    <w:rsid w:val="00F555ED"/>
    <w:rsid w:val="00F559A3"/>
    <w:rsid w:val="00F559B3"/>
    <w:rsid w:val="00F55D15"/>
    <w:rsid w:val="00F5632E"/>
    <w:rsid w:val="00F56FAA"/>
    <w:rsid w:val="00F5704A"/>
    <w:rsid w:val="00F57804"/>
    <w:rsid w:val="00F57AD0"/>
    <w:rsid w:val="00F57E98"/>
    <w:rsid w:val="00F600B1"/>
    <w:rsid w:val="00F61167"/>
    <w:rsid w:val="00F62210"/>
    <w:rsid w:val="00F62915"/>
    <w:rsid w:val="00F62DD2"/>
    <w:rsid w:val="00F63307"/>
    <w:rsid w:val="00F633E6"/>
    <w:rsid w:val="00F6367A"/>
    <w:rsid w:val="00F63B54"/>
    <w:rsid w:val="00F647B0"/>
    <w:rsid w:val="00F653BF"/>
    <w:rsid w:val="00F660E2"/>
    <w:rsid w:val="00F6614C"/>
    <w:rsid w:val="00F66F3D"/>
    <w:rsid w:val="00F674FB"/>
    <w:rsid w:val="00F7004C"/>
    <w:rsid w:val="00F702F1"/>
    <w:rsid w:val="00F707C8"/>
    <w:rsid w:val="00F71265"/>
    <w:rsid w:val="00F716A3"/>
    <w:rsid w:val="00F71AC4"/>
    <w:rsid w:val="00F71D7B"/>
    <w:rsid w:val="00F72C2E"/>
    <w:rsid w:val="00F7438C"/>
    <w:rsid w:val="00F74B02"/>
    <w:rsid w:val="00F75A54"/>
    <w:rsid w:val="00F75CAE"/>
    <w:rsid w:val="00F75F92"/>
    <w:rsid w:val="00F76A21"/>
    <w:rsid w:val="00F77526"/>
    <w:rsid w:val="00F77F14"/>
    <w:rsid w:val="00F80721"/>
    <w:rsid w:val="00F80F06"/>
    <w:rsid w:val="00F815EE"/>
    <w:rsid w:val="00F816B3"/>
    <w:rsid w:val="00F82B87"/>
    <w:rsid w:val="00F8330A"/>
    <w:rsid w:val="00F8369C"/>
    <w:rsid w:val="00F83DF2"/>
    <w:rsid w:val="00F84410"/>
    <w:rsid w:val="00F84B8B"/>
    <w:rsid w:val="00F84EB5"/>
    <w:rsid w:val="00F8604A"/>
    <w:rsid w:val="00F866F0"/>
    <w:rsid w:val="00F8745B"/>
    <w:rsid w:val="00F87622"/>
    <w:rsid w:val="00F8793E"/>
    <w:rsid w:val="00F87A28"/>
    <w:rsid w:val="00F87F81"/>
    <w:rsid w:val="00F87FF0"/>
    <w:rsid w:val="00F90964"/>
    <w:rsid w:val="00F914A5"/>
    <w:rsid w:val="00F927ED"/>
    <w:rsid w:val="00F9336C"/>
    <w:rsid w:val="00F94405"/>
    <w:rsid w:val="00F94751"/>
    <w:rsid w:val="00F94E0F"/>
    <w:rsid w:val="00F9548B"/>
    <w:rsid w:val="00F955EF"/>
    <w:rsid w:val="00F95949"/>
    <w:rsid w:val="00F96007"/>
    <w:rsid w:val="00F964D9"/>
    <w:rsid w:val="00F9665B"/>
    <w:rsid w:val="00F970D3"/>
    <w:rsid w:val="00F973ED"/>
    <w:rsid w:val="00F97725"/>
    <w:rsid w:val="00F978C5"/>
    <w:rsid w:val="00F97C08"/>
    <w:rsid w:val="00FA0483"/>
    <w:rsid w:val="00FA12B6"/>
    <w:rsid w:val="00FA1400"/>
    <w:rsid w:val="00FA21AB"/>
    <w:rsid w:val="00FA23AB"/>
    <w:rsid w:val="00FA2588"/>
    <w:rsid w:val="00FA27D0"/>
    <w:rsid w:val="00FA2C9A"/>
    <w:rsid w:val="00FA32AE"/>
    <w:rsid w:val="00FA3550"/>
    <w:rsid w:val="00FA49D5"/>
    <w:rsid w:val="00FA59FA"/>
    <w:rsid w:val="00FA5BDE"/>
    <w:rsid w:val="00FA5D73"/>
    <w:rsid w:val="00FA7127"/>
    <w:rsid w:val="00FA7303"/>
    <w:rsid w:val="00FA7C1B"/>
    <w:rsid w:val="00FA7C7D"/>
    <w:rsid w:val="00FB0554"/>
    <w:rsid w:val="00FB079E"/>
    <w:rsid w:val="00FB0CEC"/>
    <w:rsid w:val="00FB0F13"/>
    <w:rsid w:val="00FB110A"/>
    <w:rsid w:val="00FB11E5"/>
    <w:rsid w:val="00FB1A54"/>
    <w:rsid w:val="00FB2099"/>
    <w:rsid w:val="00FB236C"/>
    <w:rsid w:val="00FB2E46"/>
    <w:rsid w:val="00FB37B2"/>
    <w:rsid w:val="00FB384C"/>
    <w:rsid w:val="00FB38DE"/>
    <w:rsid w:val="00FB550F"/>
    <w:rsid w:val="00FB5782"/>
    <w:rsid w:val="00FB59EF"/>
    <w:rsid w:val="00FB6084"/>
    <w:rsid w:val="00FB611B"/>
    <w:rsid w:val="00FB65FA"/>
    <w:rsid w:val="00FB743F"/>
    <w:rsid w:val="00FB7BB1"/>
    <w:rsid w:val="00FC0A4E"/>
    <w:rsid w:val="00FC138A"/>
    <w:rsid w:val="00FC16A5"/>
    <w:rsid w:val="00FC21ED"/>
    <w:rsid w:val="00FC3171"/>
    <w:rsid w:val="00FC31A2"/>
    <w:rsid w:val="00FC33CB"/>
    <w:rsid w:val="00FC3427"/>
    <w:rsid w:val="00FC3975"/>
    <w:rsid w:val="00FC3B05"/>
    <w:rsid w:val="00FC3C48"/>
    <w:rsid w:val="00FC404F"/>
    <w:rsid w:val="00FC48D4"/>
    <w:rsid w:val="00FC4AB5"/>
    <w:rsid w:val="00FC5247"/>
    <w:rsid w:val="00FC5519"/>
    <w:rsid w:val="00FC5CD2"/>
    <w:rsid w:val="00FC5FFD"/>
    <w:rsid w:val="00FC76A2"/>
    <w:rsid w:val="00FC7B6B"/>
    <w:rsid w:val="00FC7BD5"/>
    <w:rsid w:val="00FD058B"/>
    <w:rsid w:val="00FD0A49"/>
    <w:rsid w:val="00FD0CE9"/>
    <w:rsid w:val="00FD0D9B"/>
    <w:rsid w:val="00FD1CBE"/>
    <w:rsid w:val="00FD1DCF"/>
    <w:rsid w:val="00FD21E0"/>
    <w:rsid w:val="00FD2A0E"/>
    <w:rsid w:val="00FD3EAE"/>
    <w:rsid w:val="00FD409C"/>
    <w:rsid w:val="00FD452A"/>
    <w:rsid w:val="00FD458B"/>
    <w:rsid w:val="00FD45AC"/>
    <w:rsid w:val="00FD4C07"/>
    <w:rsid w:val="00FD4D96"/>
    <w:rsid w:val="00FD53E3"/>
    <w:rsid w:val="00FD553A"/>
    <w:rsid w:val="00FD5B13"/>
    <w:rsid w:val="00FD603E"/>
    <w:rsid w:val="00FD6148"/>
    <w:rsid w:val="00FD62D0"/>
    <w:rsid w:val="00FD6A7D"/>
    <w:rsid w:val="00FD6FC3"/>
    <w:rsid w:val="00FD7EE3"/>
    <w:rsid w:val="00FE03F4"/>
    <w:rsid w:val="00FE0DBB"/>
    <w:rsid w:val="00FE1633"/>
    <w:rsid w:val="00FE1DD1"/>
    <w:rsid w:val="00FE31D7"/>
    <w:rsid w:val="00FE3898"/>
    <w:rsid w:val="00FE4B2D"/>
    <w:rsid w:val="00FE4CFC"/>
    <w:rsid w:val="00FE528D"/>
    <w:rsid w:val="00FE5BA5"/>
    <w:rsid w:val="00FE61FF"/>
    <w:rsid w:val="00FE66BD"/>
    <w:rsid w:val="00FE6723"/>
    <w:rsid w:val="00FE6BF3"/>
    <w:rsid w:val="00FE72C0"/>
    <w:rsid w:val="00FE7922"/>
    <w:rsid w:val="00FF08B9"/>
    <w:rsid w:val="00FF0DDF"/>
    <w:rsid w:val="00FF1914"/>
    <w:rsid w:val="00FF19CF"/>
    <w:rsid w:val="00FF1F42"/>
    <w:rsid w:val="00FF2126"/>
    <w:rsid w:val="00FF237B"/>
    <w:rsid w:val="00FF30A3"/>
    <w:rsid w:val="00FF37C4"/>
    <w:rsid w:val="00FF3FE5"/>
    <w:rsid w:val="00FF4161"/>
    <w:rsid w:val="00FF4507"/>
    <w:rsid w:val="00FF473F"/>
    <w:rsid w:val="00FF4C7E"/>
    <w:rsid w:val="00FF5373"/>
    <w:rsid w:val="00FF59AF"/>
    <w:rsid w:val="00FF6112"/>
    <w:rsid w:val="00FF64E4"/>
    <w:rsid w:val="00FF6ACC"/>
    <w:rsid w:val="00FF6B21"/>
    <w:rsid w:val="00FF6D72"/>
    <w:rsid w:val="00FF7051"/>
    <w:rsid w:val="00FF71A8"/>
    <w:rsid w:val="00FF7B47"/>
    <w:rsid w:val="00FF7BA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77BC4"/>
    <w:rPr>
      <w:rFonts w:ascii="Arial" w:eastAsia="Arial" w:hAnsi="Arial" w:cs="Arial"/>
      <w:lang w:eastAsia="tr-TR" w:bidi="tr-TR"/>
    </w:rPr>
  </w:style>
  <w:style w:type="paragraph" w:styleId="Heading1">
    <w:name w:val="heading 1"/>
    <w:basedOn w:val="Normal"/>
    <w:next w:val="Normal"/>
    <w:link w:val="Heading1Char"/>
    <w:uiPriority w:val="9"/>
    <w:qFormat/>
    <w:rsid w:val="007A11E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A11E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23322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11E6"/>
    <w:rPr>
      <w:rFonts w:asciiTheme="majorHAnsi" w:eastAsiaTheme="majorEastAsia" w:hAnsiTheme="majorHAnsi" w:cstheme="majorBidi"/>
      <w:b/>
      <w:bCs/>
      <w:color w:val="365F91" w:themeColor="accent1" w:themeShade="BF"/>
      <w:sz w:val="28"/>
      <w:szCs w:val="28"/>
      <w:lang w:eastAsia="tr-TR" w:bidi="tr-TR"/>
    </w:rPr>
  </w:style>
  <w:style w:type="character" w:customStyle="1" w:styleId="Heading2Char">
    <w:name w:val="Heading 2 Char"/>
    <w:basedOn w:val="DefaultParagraphFont"/>
    <w:link w:val="Heading2"/>
    <w:uiPriority w:val="9"/>
    <w:rsid w:val="007A11E6"/>
    <w:rPr>
      <w:rFonts w:asciiTheme="majorHAnsi" w:eastAsiaTheme="majorEastAsia" w:hAnsiTheme="majorHAnsi" w:cstheme="majorBidi"/>
      <w:b/>
      <w:bCs/>
      <w:color w:val="4F81BD" w:themeColor="accent1"/>
      <w:sz w:val="26"/>
      <w:szCs w:val="26"/>
      <w:lang w:eastAsia="tr-TR" w:bidi="tr-TR"/>
    </w:rPr>
  </w:style>
  <w:style w:type="character" w:customStyle="1" w:styleId="Heading3Char">
    <w:name w:val="Heading 3 Char"/>
    <w:basedOn w:val="DefaultParagraphFont"/>
    <w:link w:val="Heading3"/>
    <w:uiPriority w:val="9"/>
    <w:semiHidden/>
    <w:rsid w:val="00233220"/>
    <w:rPr>
      <w:rFonts w:asciiTheme="majorHAnsi" w:eastAsiaTheme="majorEastAsia" w:hAnsiTheme="majorHAnsi" w:cstheme="majorBidi"/>
      <w:b/>
      <w:bCs/>
      <w:color w:val="4F81BD" w:themeColor="accent1"/>
      <w:lang w:eastAsia="tr-TR" w:bidi="tr-TR"/>
    </w:rPr>
  </w:style>
  <w:style w:type="paragraph" w:styleId="BodyText">
    <w:name w:val="Body Text"/>
    <w:basedOn w:val="Normal"/>
    <w:link w:val="BodyTextChar"/>
    <w:uiPriority w:val="1"/>
    <w:qFormat/>
    <w:rsid w:val="00477BC4"/>
    <w:pPr>
      <w:ind w:left="132"/>
    </w:pPr>
    <w:rPr>
      <w:sz w:val="18"/>
      <w:szCs w:val="18"/>
    </w:rPr>
  </w:style>
  <w:style w:type="character" w:customStyle="1" w:styleId="BodyTextChar">
    <w:name w:val="Body Text Char"/>
    <w:basedOn w:val="DefaultParagraphFont"/>
    <w:link w:val="BodyText"/>
    <w:uiPriority w:val="1"/>
    <w:rsid w:val="00477BC4"/>
    <w:rPr>
      <w:rFonts w:ascii="Arial" w:eastAsia="Arial" w:hAnsi="Arial" w:cs="Arial"/>
      <w:sz w:val="18"/>
      <w:szCs w:val="18"/>
      <w:lang w:val="tr-TR" w:eastAsia="tr-TR" w:bidi="tr-TR"/>
    </w:rPr>
  </w:style>
  <w:style w:type="paragraph" w:styleId="ListParagraph">
    <w:name w:val="List Paragraph"/>
    <w:aliases w:val="Table of contents numbered,Bullets,List Paragraph (numbered (a)),Akapit z listą BS,WB Para,List Square,Lapis Bulleted List,123 List Paragraph,ANNEX,Bullet paras,List Paragraph nowy,List Paragraph1,List_Paragraph,Liste 1,Multilevel para_II"/>
    <w:basedOn w:val="Normal"/>
    <w:link w:val="ListParagraphChar"/>
    <w:uiPriority w:val="34"/>
    <w:qFormat/>
    <w:rsid w:val="00477BC4"/>
    <w:pPr>
      <w:ind w:left="132"/>
    </w:pPr>
  </w:style>
  <w:style w:type="character" w:customStyle="1" w:styleId="ListParagraphChar">
    <w:name w:val="List Paragraph Char"/>
    <w:aliases w:val="Table of contents numbered Char,Bullets Char,List Paragraph (numbered (a)) Char,Akapit z listą BS Char,WB Para Char,List Square Char,Lapis Bulleted List Char,123 List Paragraph Char,ANNEX Char,Bullet paras Char,List Paragraph1 Char"/>
    <w:link w:val="ListParagraph"/>
    <w:uiPriority w:val="34"/>
    <w:locked/>
    <w:rsid w:val="00250E92"/>
    <w:rPr>
      <w:rFonts w:ascii="Arial" w:eastAsia="Arial" w:hAnsi="Arial" w:cs="Arial"/>
      <w:lang w:eastAsia="tr-TR" w:bidi="tr-TR"/>
    </w:rPr>
  </w:style>
  <w:style w:type="paragraph" w:customStyle="1" w:styleId="Balk11">
    <w:name w:val="Başlık 11"/>
    <w:basedOn w:val="Normal"/>
    <w:uiPriority w:val="1"/>
    <w:qFormat/>
    <w:rsid w:val="00477BC4"/>
    <w:pPr>
      <w:ind w:left="132"/>
      <w:outlineLvl w:val="1"/>
    </w:pPr>
    <w:rPr>
      <w:b/>
      <w:bCs/>
      <w:sz w:val="18"/>
      <w:szCs w:val="18"/>
    </w:rPr>
  </w:style>
  <w:style w:type="paragraph" w:customStyle="1" w:styleId="TableParagraph">
    <w:name w:val="Table Paragraph"/>
    <w:basedOn w:val="Normal"/>
    <w:uiPriority w:val="1"/>
    <w:qFormat/>
    <w:rsid w:val="00477BC4"/>
    <w:pPr>
      <w:spacing w:line="248" w:lineRule="exact"/>
      <w:jc w:val="right"/>
    </w:pPr>
  </w:style>
  <w:style w:type="paragraph" w:styleId="BalloonText">
    <w:name w:val="Balloon Text"/>
    <w:basedOn w:val="Normal"/>
    <w:link w:val="BalloonTextChar"/>
    <w:uiPriority w:val="99"/>
    <w:semiHidden/>
    <w:unhideWhenUsed/>
    <w:rsid w:val="007237C5"/>
    <w:rPr>
      <w:rFonts w:ascii="Tahoma" w:hAnsi="Tahoma" w:cs="Tahoma"/>
      <w:sz w:val="16"/>
      <w:szCs w:val="16"/>
    </w:rPr>
  </w:style>
  <w:style w:type="character" w:customStyle="1" w:styleId="BalloonTextChar">
    <w:name w:val="Balloon Text Char"/>
    <w:basedOn w:val="DefaultParagraphFont"/>
    <w:link w:val="BalloonText"/>
    <w:uiPriority w:val="99"/>
    <w:semiHidden/>
    <w:rsid w:val="007237C5"/>
    <w:rPr>
      <w:rFonts w:ascii="Tahoma" w:eastAsia="Arial" w:hAnsi="Tahoma" w:cs="Tahoma"/>
      <w:sz w:val="16"/>
      <w:szCs w:val="16"/>
      <w:lang w:eastAsia="tr-TR" w:bidi="tr-TR"/>
    </w:rPr>
  </w:style>
  <w:style w:type="paragraph" w:styleId="TOCHeading">
    <w:name w:val="TOC Heading"/>
    <w:basedOn w:val="Heading1"/>
    <w:next w:val="Normal"/>
    <w:uiPriority w:val="39"/>
    <w:semiHidden/>
    <w:unhideWhenUsed/>
    <w:qFormat/>
    <w:rsid w:val="007A11E6"/>
    <w:pPr>
      <w:widowControl/>
      <w:autoSpaceDE/>
      <w:autoSpaceDN/>
      <w:spacing w:line="276" w:lineRule="auto"/>
      <w:outlineLvl w:val="9"/>
    </w:pPr>
    <w:rPr>
      <w:lang w:eastAsia="en-US" w:bidi="ar-SA"/>
    </w:rPr>
  </w:style>
  <w:style w:type="paragraph" w:styleId="TOC1">
    <w:name w:val="toc 1"/>
    <w:basedOn w:val="Normal"/>
    <w:next w:val="Normal"/>
    <w:autoRedefine/>
    <w:uiPriority w:val="39"/>
    <w:unhideWhenUsed/>
    <w:rsid w:val="007A11E6"/>
    <w:pPr>
      <w:spacing w:after="100"/>
    </w:pPr>
  </w:style>
  <w:style w:type="paragraph" w:styleId="TOC2">
    <w:name w:val="toc 2"/>
    <w:basedOn w:val="Normal"/>
    <w:next w:val="Normal"/>
    <w:autoRedefine/>
    <w:uiPriority w:val="39"/>
    <w:unhideWhenUsed/>
    <w:rsid w:val="007A11E6"/>
    <w:pPr>
      <w:spacing w:after="100"/>
      <w:ind w:left="220"/>
    </w:pPr>
  </w:style>
  <w:style w:type="character" w:styleId="Hyperlink">
    <w:name w:val="Hyperlink"/>
    <w:basedOn w:val="DefaultParagraphFont"/>
    <w:uiPriority w:val="99"/>
    <w:unhideWhenUsed/>
    <w:rsid w:val="007A11E6"/>
    <w:rPr>
      <w:color w:val="0000FF" w:themeColor="hyperlink"/>
      <w:u w:val="single"/>
    </w:rPr>
  </w:style>
  <w:style w:type="paragraph" w:styleId="FootnoteText">
    <w:name w:val="footnote text"/>
    <w:aliases w:val="single space,footnote text,Footnote Text Char Char,Footnote Text Char Char Char,FOOTNOTES,fn,Fußnotentextf,ALTS FOOTNOTE,Footnote Text qer,Fußnotentext Char,Footnote Text Char2 Char,Fußnote,Footnotes,ft Char,ft,f,ADB,Footnote,Char Char Cha"/>
    <w:basedOn w:val="Normal"/>
    <w:link w:val="FootnoteTextChar"/>
    <w:uiPriority w:val="99"/>
    <w:unhideWhenUsed/>
    <w:rsid w:val="00F75F92"/>
    <w:rPr>
      <w:sz w:val="20"/>
      <w:szCs w:val="20"/>
    </w:rPr>
  </w:style>
  <w:style w:type="character" w:customStyle="1" w:styleId="FootnoteTextChar">
    <w:name w:val="Footnote Text Char"/>
    <w:aliases w:val="single space Char,footnote text Char,Footnote Text Char Char Char1,Footnote Text Char Char Char Char,FOOTNOTES Char,fn Char,Fußnotentextf Char,ALTS FOOTNOTE Char,Footnote Text qer Char,Fußnotentext Char Char,Fußnote Char,ft Char Char"/>
    <w:basedOn w:val="DefaultParagraphFont"/>
    <w:link w:val="FootnoteText"/>
    <w:uiPriority w:val="99"/>
    <w:rsid w:val="00F75F92"/>
    <w:rPr>
      <w:rFonts w:ascii="Arial" w:eastAsia="Arial" w:hAnsi="Arial" w:cs="Arial"/>
      <w:sz w:val="20"/>
      <w:szCs w:val="20"/>
      <w:lang w:eastAsia="tr-TR" w:bidi="tr-TR"/>
    </w:rPr>
  </w:style>
  <w:style w:type="character" w:styleId="FootnoteReference">
    <w:name w:val="footnote reference"/>
    <w:aliases w:val="BVI fnr,ftref,Footnote symbol,Footnote reference number,note TESI,ftref Char,BVI fnr Char,Footnotes refss,16 Point,Superscript 6 Point,Footnote Reference Number,nota pié di pagina,Times 10 Point,Exposant 3 Point,EN Footnote Reference"/>
    <w:basedOn w:val="DefaultParagraphFont"/>
    <w:link w:val="BVIfnrChar1Char"/>
    <w:uiPriority w:val="99"/>
    <w:unhideWhenUsed/>
    <w:rsid w:val="00F75F92"/>
    <w:rPr>
      <w:vertAlign w:val="superscript"/>
    </w:rPr>
  </w:style>
  <w:style w:type="paragraph" w:customStyle="1" w:styleId="BVIfnrChar1Char">
    <w:name w:val="BVI fnr Char1 Char"/>
    <w:aliases w:val="Footnotes refss Char1 Char,ftref Char1 Char,16 Point Char1 Char,Superscript 6 Point Char1 Char,Footnote Reference Number Char1 Char,nota pié di pagina Char1 Char,Times 10 Point Char1 Char"/>
    <w:basedOn w:val="Normal"/>
    <w:link w:val="FootnoteReference"/>
    <w:uiPriority w:val="99"/>
    <w:rsid w:val="003A1D74"/>
    <w:pPr>
      <w:autoSpaceDE/>
      <w:autoSpaceDN/>
      <w:spacing w:after="120" w:line="240" w:lineRule="exact"/>
      <w:jc w:val="both"/>
    </w:pPr>
    <w:rPr>
      <w:rFonts w:asciiTheme="minorHAnsi" w:eastAsiaTheme="minorEastAsia" w:hAnsiTheme="minorHAnsi" w:cstheme="minorBidi"/>
      <w:vertAlign w:val="superscript"/>
      <w:lang w:eastAsia="ja-JP" w:bidi="ar-SA"/>
    </w:rPr>
  </w:style>
  <w:style w:type="paragraph" w:styleId="TOC3">
    <w:name w:val="toc 3"/>
    <w:basedOn w:val="Normal"/>
    <w:next w:val="Normal"/>
    <w:autoRedefine/>
    <w:uiPriority w:val="39"/>
    <w:unhideWhenUsed/>
    <w:rsid w:val="00D11F0A"/>
    <w:pPr>
      <w:jc w:val="center"/>
    </w:pPr>
  </w:style>
  <w:style w:type="table" w:customStyle="1" w:styleId="AAMColorfulTable">
    <w:name w:val="AAM_ColorfulTable"/>
    <w:basedOn w:val="TableNormal"/>
    <w:uiPriority w:val="99"/>
    <w:qFormat/>
    <w:rsid w:val="000C5292"/>
    <w:pPr>
      <w:widowControl/>
      <w:autoSpaceDE/>
      <w:autoSpaceDN/>
      <w:ind w:left="57" w:right="57"/>
    </w:pPr>
    <w:rPr>
      <w:rFonts w:ascii="Franklin Gothic Book" w:eastAsia="Times New Roman" w:hAnsi="Franklin Gothic Book" w:cs="Times New Roman"/>
      <w:sz w:val="20"/>
      <w:szCs w:val="20"/>
      <w:lang w:val="hu-HU" w:eastAsia="hu-HU"/>
    </w:rPr>
    <w:tblP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Pr>
    <w:tblStylePr w:type="firstRow">
      <w:pPr>
        <w:jc w:val="center"/>
      </w:pPr>
      <w:rPr>
        <w:rFonts w:ascii="Franklin Gothic Demi" w:hAnsi="Franklin Gothic Demi" w:hint="default"/>
        <w:b/>
        <w:i w:val="0"/>
        <w:caps w:val="0"/>
        <w:smallCaps w:val="0"/>
        <w:strike w:val="0"/>
        <w:dstrike w:val="0"/>
        <w:vanish w:val="0"/>
        <w:webHidden w:val="0"/>
        <w:color w:val="auto"/>
        <w:sz w:val="20"/>
        <w:szCs w:val="20"/>
        <w:u w:val="none"/>
        <w:effect w:val="none"/>
        <w:specVanish w:val="0"/>
      </w:rPr>
      <w:tblPr/>
      <w:tcPr>
        <w:tcBorders>
          <w:top w:val="single" w:sz="12" w:space="0" w:color="000000"/>
          <w:left w:val="single" w:sz="12" w:space="0" w:color="000000"/>
          <w:bottom w:val="single" w:sz="12" w:space="0" w:color="000000"/>
          <w:right w:val="single" w:sz="12" w:space="0" w:color="000000"/>
        </w:tcBorders>
        <w:shd w:val="clear" w:color="auto" w:fill="92D050"/>
        <w:vAlign w:val="bottom"/>
      </w:tcPr>
    </w:tblStylePr>
    <w:tblStylePr w:type="lastRow">
      <w:rPr>
        <w:rFonts w:ascii="Franklin Gothic Demi" w:hAnsi="Franklin Gothic Demi" w:hint="default"/>
        <w:b/>
        <w:caps w:val="0"/>
        <w:smallCaps/>
        <w:sz w:val="20"/>
        <w:szCs w:val="20"/>
      </w:rPr>
      <w:tblPr/>
      <w:tcPr>
        <w:tcBorders>
          <w:top w:val="single" w:sz="12" w:space="0" w:color="auto"/>
          <w:left w:val="single" w:sz="12" w:space="0" w:color="auto"/>
          <w:bottom w:val="single" w:sz="12" w:space="0" w:color="auto"/>
          <w:right w:val="single" w:sz="12" w:space="0" w:color="auto"/>
          <w:insideH w:val="nil"/>
          <w:insideV w:val="single" w:sz="4" w:space="0" w:color="000000"/>
          <w:tl2br w:val="nil"/>
          <w:tr2bl w:val="nil"/>
        </w:tcBorders>
      </w:tcPr>
    </w:tblStylePr>
    <w:tblStylePr w:type="firstCol">
      <w:rPr>
        <w:rFonts w:ascii="Franklin Gothic Demi" w:hAnsi="Franklin Gothic Demi" w:hint="default"/>
        <w:b w:val="0"/>
        <w:i w:val="0"/>
        <w:caps w:val="0"/>
        <w:smallCaps w:val="0"/>
        <w:sz w:val="20"/>
        <w:szCs w:val="20"/>
      </w:rPr>
      <w:tblPr/>
      <w:tcPr>
        <w:tcBorders>
          <w:top w:val="single" w:sz="12" w:space="0" w:color="000000"/>
          <w:left w:val="single" w:sz="12" w:space="0" w:color="000000"/>
          <w:bottom w:val="single" w:sz="12" w:space="0" w:color="000000"/>
          <w:right w:val="single" w:sz="12" w:space="0" w:color="000000"/>
        </w:tcBorders>
        <w:shd w:val="clear" w:color="auto" w:fill="D9D9D9"/>
      </w:tcPr>
    </w:tblStylePr>
    <w:tblStylePr w:type="lastCol">
      <w:rPr>
        <w:rFonts w:ascii="Franklin Gothic Demi" w:hAnsi="Franklin Gothic Demi" w:hint="default"/>
        <w:b/>
        <w:caps w:val="0"/>
        <w:smallCaps/>
        <w:sz w:val="20"/>
        <w:szCs w:val="20"/>
      </w:rPr>
      <w:tblPr/>
      <w:tcPr>
        <w:tcBorders>
          <w:top w:val="single" w:sz="12" w:space="0" w:color="000000"/>
          <w:left w:val="single" w:sz="12" w:space="0" w:color="000000"/>
          <w:bottom w:val="single" w:sz="12" w:space="0" w:color="000000"/>
          <w:right w:val="single" w:sz="12" w:space="0" w:color="000000"/>
          <w:insideH w:val="nil"/>
          <w:insideV w:val="nil"/>
          <w:tl2br w:val="nil"/>
          <w:tr2bl w:val="nil"/>
        </w:tcBorders>
      </w:tcPr>
    </w:tblStylePr>
    <w:tblStylePr w:type="neCell">
      <w:tblPr/>
      <w:tcPr>
        <w:tcBorders>
          <w:left w:val="single" w:sz="12" w:space="0" w:color="000000"/>
        </w:tcBorders>
      </w:tcPr>
    </w:tblStylePr>
    <w:tblStylePr w:type="nwCell">
      <w:tblPr/>
      <w:tcPr>
        <w:tcBorders>
          <w:top w:val="nil"/>
          <w:left w:val="nil"/>
        </w:tcBorders>
        <w:shd w:val="clear" w:color="auto" w:fill="FFFFFF"/>
      </w:tcPr>
    </w:tblStylePr>
    <w:tblStylePr w:type="seCell">
      <w:tblPr/>
      <w:tcPr>
        <w:tcBorders>
          <w:left w:val="single" w:sz="12" w:space="0" w:color="000000"/>
        </w:tcBorders>
      </w:tcPr>
    </w:tblStylePr>
    <w:tblStylePr w:type="swCell">
      <w:tblPr/>
      <w:tcPr>
        <w:tcBorders>
          <w:right w:val="single" w:sz="12" w:space="0" w:color="000000"/>
        </w:tcBorders>
      </w:tcPr>
    </w:tblStylePr>
  </w:style>
  <w:style w:type="table" w:customStyle="1" w:styleId="AAMColorfulTable1">
    <w:name w:val="AAM_ColorfulTable1"/>
    <w:basedOn w:val="TableNormal"/>
    <w:uiPriority w:val="99"/>
    <w:qFormat/>
    <w:rsid w:val="00977AC7"/>
    <w:pPr>
      <w:widowControl/>
      <w:autoSpaceDE/>
      <w:autoSpaceDN/>
      <w:ind w:left="57" w:right="57"/>
    </w:pPr>
    <w:rPr>
      <w:rFonts w:ascii="Franklin Gothic Book" w:eastAsia="Times New Roman" w:hAnsi="Franklin Gothic Book" w:cs="Times New Roman"/>
      <w:sz w:val="20"/>
      <w:szCs w:val="20"/>
      <w:lang w:val="hu-HU" w:eastAsia="hu-HU"/>
    </w:rPr>
    <w:tblPr>
      <w:tblInd w:w="0"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CellMar>
        <w:top w:w="0" w:type="dxa"/>
        <w:left w:w="0" w:type="dxa"/>
        <w:bottom w:w="0" w:type="dxa"/>
        <w:right w:w="0" w:type="dxa"/>
      </w:tblCellMar>
    </w:tblPr>
    <w:tblStylePr w:type="firstRow">
      <w:pPr>
        <w:jc w:val="center"/>
      </w:pPr>
      <w:rPr>
        <w:rFonts w:ascii="Franklin Gothic Demi" w:hAnsi="Franklin Gothic Demi" w:hint="default"/>
        <w:b/>
        <w:i w:val="0"/>
        <w:caps w:val="0"/>
        <w:smallCaps w:val="0"/>
        <w:strike w:val="0"/>
        <w:dstrike w:val="0"/>
        <w:vanish w:val="0"/>
        <w:webHidden w:val="0"/>
        <w:color w:val="auto"/>
        <w:sz w:val="20"/>
        <w:szCs w:val="20"/>
        <w:u w:val="none"/>
        <w:effect w:val="none"/>
        <w:specVanish w:val="0"/>
      </w:rPr>
      <w:tblPr/>
      <w:tcPr>
        <w:tcBorders>
          <w:top w:val="single" w:sz="12" w:space="0" w:color="000000"/>
          <w:left w:val="single" w:sz="12" w:space="0" w:color="000000"/>
          <w:bottom w:val="single" w:sz="12" w:space="0" w:color="000000"/>
          <w:right w:val="single" w:sz="12" w:space="0" w:color="000000"/>
        </w:tcBorders>
        <w:shd w:val="clear" w:color="auto" w:fill="92D050"/>
        <w:vAlign w:val="bottom"/>
      </w:tcPr>
    </w:tblStylePr>
    <w:tblStylePr w:type="lastRow">
      <w:rPr>
        <w:rFonts w:ascii="Franklin Gothic Demi" w:hAnsi="Franklin Gothic Demi" w:hint="default"/>
        <w:b/>
        <w:caps w:val="0"/>
        <w:smallCaps/>
        <w:sz w:val="20"/>
        <w:szCs w:val="20"/>
      </w:rPr>
      <w:tblPr/>
      <w:tcPr>
        <w:tcBorders>
          <w:top w:val="single" w:sz="12" w:space="0" w:color="auto"/>
          <w:left w:val="single" w:sz="12" w:space="0" w:color="auto"/>
          <w:bottom w:val="single" w:sz="12" w:space="0" w:color="auto"/>
          <w:right w:val="single" w:sz="12" w:space="0" w:color="auto"/>
          <w:insideH w:val="nil"/>
          <w:insideV w:val="single" w:sz="4" w:space="0" w:color="000000"/>
          <w:tl2br w:val="nil"/>
          <w:tr2bl w:val="nil"/>
        </w:tcBorders>
      </w:tcPr>
    </w:tblStylePr>
    <w:tblStylePr w:type="firstCol">
      <w:rPr>
        <w:rFonts w:ascii="Franklin Gothic Demi" w:hAnsi="Franklin Gothic Demi" w:hint="default"/>
        <w:b w:val="0"/>
        <w:i w:val="0"/>
        <w:caps w:val="0"/>
        <w:smallCaps w:val="0"/>
        <w:sz w:val="20"/>
        <w:szCs w:val="20"/>
      </w:rPr>
      <w:tblPr/>
      <w:tcPr>
        <w:tcBorders>
          <w:top w:val="single" w:sz="12" w:space="0" w:color="000000"/>
          <w:left w:val="single" w:sz="12" w:space="0" w:color="000000"/>
          <w:bottom w:val="single" w:sz="12" w:space="0" w:color="000000"/>
          <w:right w:val="single" w:sz="12" w:space="0" w:color="000000"/>
        </w:tcBorders>
        <w:shd w:val="clear" w:color="auto" w:fill="D9D9D9"/>
      </w:tcPr>
    </w:tblStylePr>
    <w:tblStylePr w:type="lastCol">
      <w:rPr>
        <w:rFonts w:ascii="Franklin Gothic Demi" w:hAnsi="Franklin Gothic Demi" w:hint="default"/>
        <w:b/>
        <w:caps w:val="0"/>
        <w:smallCaps/>
        <w:sz w:val="20"/>
        <w:szCs w:val="20"/>
      </w:rPr>
      <w:tblPr/>
      <w:tcPr>
        <w:tcBorders>
          <w:top w:val="single" w:sz="12" w:space="0" w:color="000000"/>
          <w:left w:val="single" w:sz="12" w:space="0" w:color="000000"/>
          <w:bottom w:val="single" w:sz="12" w:space="0" w:color="000000"/>
          <w:right w:val="single" w:sz="12" w:space="0" w:color="000000"/>
          <w:insideH w:val="nil"/>
          <w:insideV w:val="nil"/>
          <w:tl2br w:val="nil"/>
          <w:tr2bl w:val="nil"/>
        </w:tcBorders>
      </w:tcPr>
    </w:tblStylePr>
    <w:tblStylePr w:type="neCell">
      <w:tblPr/>
      <w:tcPr>
        <w:tcBorders>
          <w:left w:val="single" w:sz="12" w:space="0" w:color="000000"/>
        </w:tcBorders>
      </w:tcPr>
    </w:tblStylePr>
    <w:tblStylePr w:type="nwCell">
      <w:tblPr/>
      <w:tcPr>
        <w:tcBorders>
          <w:top w:val="nil"/>
          <w:left w:val="nil"/>
        </w:tcBorders>
        <w:shd w:val="clear" w:color="auto" w:fill="FFFFFF"/>
      </w:tcPr>
    </w:tblStylePr>
    <w:tblStylePr w:type="seCell">
      <w:tblPr/>
      <w:tcPr>
        <w:tcBorders>
          <w:left w:val="single" w:sz="12" w:space="0" w:color="000000"/>
        </w:tcBorders>
      </w:tcPr>
    </w:tblStylePr>
    <w:tblStylePr w:type="swCell">
      <w:tblPr/>
      <w:tcPr>
        <w:tcBorders>
          <w:right w:val="single" w:sz="12" w:space="0" w:color="000000"/>
        </w:tcBorders>
      </w:tcPr>
    </w:tblStylePr>
  </w:style>
  <w:style w:type="paragraph" w:styleId="Footer">
    <w:name w:val="footer"/>
    <w:basedOn w:val="Normal"/>
    <w:link w:val="FooterChar"/>
    <w:uiPriority w:val="99"/>
    <w:unhideWhenUsed/>
    <w:rsid w:val="003A1D74"/>
    <w:pPr>
      <w:tabs>
        <w:tab w:val="center" w:pos="4680"/>
        <w:tab w:val="right" w:pos="9360"/>
      </w:tabs>
    </w:pPr>
  </w:style>
  <w:style w:type="character" w:customStyle="1" w:styleId="FooterChar">
    <w:name w:val="Footer Char"/>
    <w:basedOn w:val="DefaultParagraphFont"/>
    <w:link w:val="Footer"/>
    <w:uiPriority w:val="99"/>
    <w:rsid w:val="003A1D74"/>
    <w:rPr>
      <w:rFonts w:ascii="Arial" w:eastAsia="Arial" w:hAnsi="Arial" w:cs="Arial"/>
      <w:lang w:eastAsia="tr-TR" w:bidi="tr-TR"/>
    </w:rPr>
  </w:style>
  <w:style w:type="table" w:customStyle="1" w:styleId="GridTable6ColorfulAccent1">
    <w:name w:val="Grid Table 6 Colorful Accent 1"/>
    <w:basedOn w:val="TableNormal"/>
    <w:uiPriority w:val="51"/>
    <w:rsid w:val="00D90CB9"/>
    <w:pPr>
      <w:widowControl/>
      <w:autoSpaceDE/>
      <w:autoSpaceDN/>
    </w:pPr>
    <w:rPr>
      <w:color w:val="6D1D6A"/>
      <w:lang w:val="en-GB" w:eastAsia="en-US"/>
    </w:rPr>
    <w:tblPr>
      <w:tblStyleRowBandSize w:val="1"/>
      <w:tblStyleColBandSize w:val="1"/>
      <w:tblInd w:w="0" w:type="dxa"/>
      <w:tblBorders>
        <w:top w:val="single" w:sz="4" w:space="0" w:color="D565D2"/>
        <w:left w:val="single" w:sz="4" w:space="0" w:color="D565D2"/>
        <w:bottom w:val="single" w:sz="4" w:space="0" w:color="D565D2"/>
        <w:right w:val="single" w:sz="4" w:space="0" w:color="D565D2"/>
        <w:insideH w:val="single" w:sz="4" w:space="0" w:color="D565D2"/>
        <w:insideV w:val="single" w:sz="4" w:space="0" w:color="D565D2"/>
      </w:tblBorders>
      <w:tblCellMar>
        <w:top w:w="0" w:type="dxa"/>
        <w:left w:w="108" w:type="dxa"/>
        <w:bottom w:w="0" w:type="dxa"/>
        <w:right w:w="108" w:type="dxa"/>
      </w:tblCellMar>
    </w:tblPr>
    <w:tblStylePr w:type="firstRow">
      <w:rPr>
        <w:b/>
        <w:bCs/>
      </w:rPr>
      <w:tblPr/>
      <w:tcPr>
        <w:tcBorders>
          <w:bottom w:val="single" w:sz="12" w:space="0" w:color="D565D2"/>
        </w:tcBorders>
      </w:tcPr>
    </w:tblStylePr>
    <w:tblStylePr w:type="lastRow">
      <w:rPr>
        <w:b/>
        <w:bCs/>
      </w:rPr>
      <w:tblPr/>
      <w:tcPr>
        <w:tcBorders>
          <w:top w:val="double" w:sz="4" w:space="0" w:color="D565D2"/>
        </w:tcBorders>
      </w:tcPr>
    </w:tblStylePr>
    <w:tblStylePr w:type="firstCol">
      <w:rPr>
        <w:b/>
        <w:bCs/>
      </w:rPr>
    </w:tblStylePr>
    <w:tblStylePr w:type="lastCol">
      <w:rPr>
        <w:b/>
        <w:bCs/>
      </w:rPr>
    </w:tblStylePr>
    <w:tblStylePr w:type="band1Vert">
      <w:tblPr/>
      <w:tcPr>
        <w:shd w:val="clear" w:color="auto" w:fill="F1CBF0"/>
      </w:tcPr>
    </w:tblStylePr>
    <w:tblStylePr w:type="band1Horz">
      <w:tblPr/>
      <w:tcPr>
        <w:shd w:val="clear" w:color="auto" w:fill="F1CBF0"/>
      </w:tcPr>
    </w:tblStylePr>
  </w:style>
  <w:style w:type="paragraph" w:customStyle="1" w:styleId="Default">
    <w:name w:val="Default"/>
    <w:rsid w:val="00D42C6B"/>
    <w:pPr>
      <w:widowControl/>
      <w:adjustRightInd w:val="0"/>
    </w:pPr>
    <w:rPr>
      <w:rFonts w:ascii="Arial" w:hAnsi="Arial" w:cs="Arial"/>
      <w:color w:val="000000"/>
      <w:sz w:val="24"/>
      <w:szCs w:val="24"/>
    </w:rPr>
  </w:style>
  <w:style w:type="paragraph" w:customStyle="1" w:styleId="TabelaTekst">
    <w:name w:val="Tabela Tekst"/>
    <w:basedOn w:val="Normal"/>
    <w:rsid w:val="002F13B0"/>
    <w:pPr>
      <w:autoSpaceDE/>
      <w:autoSpaceDN/>
      <w:spacing w:before="60" w:after="120" w:line="264" w:lineRule="auto"/>
      <w:jc w:val="both"/>
    </w:pPr>
    <w:rPr>
      <w:rFonts w:ascii="Calibri" w:eastAsia="Calibri" w:hAnsi="Calibri"/>
      <w:sz w:val="18"/>
      <w:lang w:val="uz-Cyrl-UZ" w:eastAsia="en-US" w:bidi="ar-SA"/>
    </w:rPr>
  </w:style>
  <w:style w:type="character" w:styleId="Strong">
    <w:name w:val="Strong"/>
    <w:basedOn w:val="DefaultParagraphFont"/>
    <w:uiPriority w:val="22"/>
    <w:qFormat/>
    <w:rsid w:val="00BB1040"/>
    <w:rPr>
      <w:b/>
      <w:bCs/>
    </w:rPr>
  </w:style>
</w:styles>
</file>

<file path=word/webSettings.xml><?xml version="1.0" encoding="utf-8"?>
<w:webSettings xmlns:r="http://schemas.openxmlformats.org/officeDocument/2006/relationships" xmlns:w="http://schemas.openxmlformats.org/wordprocessingml/2006/main">
  <w:divs>
    <w:div w:id="60908440">
      <w:bodyDiv w:val="1"/>
      <w:marLeft w:val="0"/>
      <w:marRight w:val="0"/>
      <w:marTop w:val="0"/>
      <w:marBottom w:val="0"/>
      <w:divBdr>
        <w:top w:val="none" w:sz="0" w:space="0" w:color="auto"/>
        <w:left w:val="none" w:sz="0" w:space="0" w:color="auto"/>
        <w:bottom w:val="none" w:sz="0" w:space="0" w:color="auto"/>
        <w:right w:val="none" w:sz="0" w:space="0" w:color="auto"/>
      </w:divBdr>
    </w:div>
    <w:div w:id="135533053">
      <w:bodyDiv w:val="1"/>
      <w:marLeft w:val="0"/>
      <w:marRight w:val="0"/>
      <w:marTop w:val="0"/>
      <w:marBottom w:val="0"/>
      <w:divBdr>
        <w:top w:val="none" w:sz="0" w:space="0" w:color="auto"/>
        <w:left w:val="none" w:sz="0" w:space="0" w:color="auto"/>
        <w:bottom w:val="none" w:sz="0" w:space="0" w:color="auto"/>
        <w:right w:val="none" w:sz="0" w:space="0" w:color="auto"/>
      </w:divBdr>
    </w:div>
    <w:div w:id="251664209">
      <w:bodyDiv w:val="1"/>
      <w:marLeft w:val="0"/>
      <w:marRight w:val="0"/>
      <w:marTop w:val="0"/>
      <w:marBottom w:val="0"/>
      <w:divBdr>
        <w:top w:val="none" w:sz="0" w:space="0" w:color="auto"/>
        <w:left w:val="none" w:sz="0" w:space="0" w:color="auto"/>
        <w:bottom w:val="none" w:sz="0" w:space="0" w:color="auto"/>
        <w:right w:val="none" w:sz="0" w:space="0" w:color="auto"/>
      </w:divBdr>
    </w:div>
    <w:div w:id="371350188">
      <w:bodyDiv w:val="1"/>
      <w:marLeft w:val="0"/>
      <w:marRight w:val="0"/>
      <w:marTop w:val="0"/>
      <w:marBottom w:val="0"/>
      <w:divBdr>
        <w:top w:val="none" w:sz="0" w:space="0" w:color="auto"/>
        <w:left w:val="none" w:sz="0" w:space="0" w:color="auto"/>
        <w:bottom w:val="none" w:sz="0" w:space="0" w:color="auto"/>
        <w:right w:val="none" w:sz="0" w:space="0" w:color="auto"/>
      </w:divBdr>
    </w:div>
    <w:div w:id="487286718">
      <w:bodyDiv w:val="1"/>
      <w:marLeft w:val="0"/>
      <w:marRight w:val="0"/>
      <w:marTop w:val="0"/>
      <w:marBottom w:val="0"/>
      <w:divBdr>
        <w:top w:val="none" w:sz="0" w:space="0" w:color="auto"/>
        <w:left w:val="none" w:sz="0" w:space="0" w:color="auto"/>
        <w:bottom w:val="none" w:sz="0" w:space="0" w:color="auto"/>
        <w:right w:val="none" w:sz="0" w:space="0" w:color="auto"/>
      </w:divBdr>
    </w:div>
    <w:div w:id="554856255">
      <w:bodyDiv w:val="1"/>
      <w:marLeft w:val="0"/>
      <w:marRight w:val="0"/>
      <w:marTop w:val="0"/>
      <w:marBottom w:val="0"/>
      <w:divBdr>
        <w:top w:val="none" w:sz="0" w:space="0" w:color="auto"/>
        <w:left w:val="none" w:sz="0" w:space="0" w:color="auto"/>
        <w:bottom w:val="none" w:sz="0" w:space="0" w:color="auto"/>
        <w:right w:val="none" w:sz="0" w:space="0" w:color="auto"/>
      </w:divBdr>
    </w:div>
    <w:div w:id="604533786">
      <w:bodyDiv w:val="1"/>
      <w:marLeft w:val="0"/>
      <w:marRight w:val="0"/>
      <w:marTop w:val="0"/>
      <w:marBottom w:val="0"/>
      <w:divBdr>
        <w:top w:val="none" w:sz="0" w:space="0" w:color="auto"/>
        <w:left w:val="none" w:sz="0" w:space="0" w:color="auto"/>
        <w:bottom w:val="none" w:sz="0" w:space="0" w:color="auto"/>
        <w:right w:val="none" w:sz="0" w:space="0" w:color="auto"/>
      </w:divBdr>
      <w:divsChild>
        <w:div w:id="201751377">
          <w:marLeft w:val="0"/>
          <w:marRight w:val="0"/>
          <w:marTop w:val="0"/>
          <w:marBottom w:val="0"/>
          <w:divBdr>
            <w:top w:val="none" w:sz="0" w:space="0" w:color="auto"/>
            <w:left w:val="none" w:sz="0" w:space="0" w:color="auto"/>
            <w:bottom w:val="none" w:sz="0" w:space="0" w:color="auto"/>
            <w:right w:val="none" w:sz="0" w:space="0" w:color="auto"/>
          </w:divBdr>
        </w:div>
        <w:div w:id="844201350">
          <w:marLeft w:val="0"/>
          <w:marRight w:val="0"/>
          <w:marTop w:val="0"/>
          <w:marBottom w:val="0"/>
          <w:divBdr>
            <w:top w:val="none" w:sz="0" w:space="0" w:color="auto"/>
            <w:left w:val="none" w:sz="0" w:space="0" w:color="auto"/>
            <w:bottom w:val="none" w:sz="0" w:space="0" w:color="auto"/>
            <w:right w:val="none" w:sz="0" w:space="0" w:color="auto"/>
          </w:divBdr>
        </w:div>
        <w:div w:id="662780171">
          <w:marLeft w:val="0"/>
          <w:marRight w:val="0"/>
          <w:marTop w:val="0"/>
          <w:marBottom w:val="0"/>
          <w:divBdr>
            <w:top w:val="none" w:sz="0" w:space="0" w:color="auto"/>
            <w:left w:val="none" w:sz="0" w:space="0" w:color="auto"/>
            <w:bottom w:val="none" w:sz="0" w:space="0" w:color="auto"/>
            <w:right w:val="none" w:sz="0" w:space="0" w:color="auto"/>
          </w:divBdr>
        </w:div>
        <w:div w:id="1767192999">
          <w:marLeft w:val="0"/>
          <w:marRight w:val="0"/>
          <w:marTop w:val="0"/>
          <w:marBottom w:val="0"/>
          <w:divBdr>
            <w:top w:val="none" w:sz="0" w:space="0" w:color="auto"/>
            <w:left w:val="none" w:sz="0" w:space="0" w:color="auto"/>
            <w:bottom w:val="none" w:sz="0" w:space="0" w:color="auto"/>
            <w:right w:val="none" w:sz="0" w:space="0" w:color="auto"/>
          </w:divBdr>
        </w:div>
        <w:div w:id="1210729676">
          <w:marLeft w:val="0"/>
          <w:marRight w:val="0"/>
          <w:marTop w:val="0"/>
          <w:marBottom w:val="0"/>
          <w:divBdr>
            <w:top w:val="none" w:sz="0" w:space="0" w:color="auto"/>
            <w:left w:val="none" w:sz="0" w:space="0" w:color="auto"/>
            <w:bottom w:val="none" w:sz="0" w:space="0" w:color="auto"/>
            <w:right w:val="none" w:sz="0" w:space="0" w:color="auto"/>
          </w:divBdr>
        </w:div>
        <w:div w:id="1369407094">
          <w:marLeft w:val="0"/>
          <w:marRight w:val="0"/>
          <w:marTop w:val="0"/>
          <w:marBottom w:val="0"/>
          <w:divBdr>
            <w:top w:val="none" w:sz="0" w:space="0" w:color="auto"/>
            <w:left w:val="none" w:sz="0" w:space="0" w:color="auto"/>
            <w:bottom w:val="none" w:sz="0" w:space="0" w:color="auto"/>
            <w:right w:val="none" w:sz="0" w:space="0" w:color="auto"/>
          </w:divBdr>
        </w:div>
        <w:div w:id="388268014">
          <w:marLeft w:val="0"/>
          <w:marRight w:val="0"/>
          <w:marTop w:val="0"/>
          <w:marBottom w:val="0"/>
          <w:divBdr>
            <w:top w:val="none" w:sz="0" w:space="0" w:color="auto"/>
            <w:left w:val="none" w:sz="0" w:space="0" w:color="auto"/>
            <w:bottom w:val="none" w:sz="0" w:space="0" w:color="auto"/>
            <w:right w:val="none" w:sz="0" w:space="0" w:color="auto"/>
          </w:divBdr>
        </w:div>
        <w:div w:id="2053799372">
          <w:marLeft w:val="0"/>
          <w:marRight w:val="0"/>
          <w:marTop w:val="0"/>
          <w:marBottom w:val="0"/>
          <w:divBdr>
            <w:top w:val="none" w:sz="0" w:space="0" w:color="auto"/>
            <w:left w:val="none" w:sz="0" w:space="0" w:color="auto"/>
            <w:bottom w:val="none" w:sz="0" w:space="0" w:color="auto"/>
            <w:right w:val="none" w:sz="0" w:space="0" w:color="auto"/>
          </w:divBdr>
        </w:div>
        <w:div w:id="964849260">
          <w:marLeft w:val="0"/>
          <w:marRight w:val="0"/>
          <w:marTop w:val="0"/>
          <w:marBottom w:val="0"/>
          <w:divBdr>
            <w:top w:val="none" w:sz="0" w:space="0" w:color="auto"/>
            <w:left w:val="none" w:sz="0" w:space="0" w:color="auto"/>
            <w:bottom w:val="none" w:sz="0" w:space="0" w:color="auto"/>
            <w:right w:val="none" w:sz="0" w:space="0" w:color="auto"/>
          </w:divBdr>
        </w:div>
        <w:div w:id="1400446050">
          <w:marLeft w:val="0"/>
          <w:marRight w:val="0"/>
          <w:marTop w:val="0"/>
          <w:marBottom w:val="0"/>
          <w:divBdr>
            <w:top w:val="none" w:sz="0" w:space="0" w:color="auto"/>
            <w:left w:val="none" w:sz="0" w:space="0" w:color="auto"/>
            <w:bottom w:val="none" w:sz="0" w:space="0" w:color="auto"/>
            <w:right w:val="none" w:sz="0" w:space="0" w:color="auto"/>
          </w:divBdr>
        </w:div>
        <w:div w:id="2063366065">
          <w:marLeft w:val="0"/>
          <w:marRight w:val="0"/>
          <w:marTop w:val="0"/>
          <w:marBottom w:val="0"/>
          <w:divBdr>
            <w:top w:val="none" w:sz="0" w:space="0" w:color="auto"/>
            <w:left w:val="none" w:sz="0" w:space="0" w:color="auto"/>
            <w:bottom w:val="none" w:sz="0" w:space="0" w:color="auto"/>
            <w:right w:val="none" w:sz="0" w:space="0" w:color="auto"/>
          </w:divBdr>
        </w:div>
        <w:div w:id="2135250293">
          <w:marLeft w:val="0"/>
          <w:marRight w:val="0"/>
          <w:marTop w:val="0"/>
          <w:marBottom w:val="0"/>
          <w:divBdr>
            <w:top w:val="none" w:sz="0" w:space="0" w:color="auto"/>
            <w:left w:val="none" w:sz="0" w:space="0" w:color="auto"/>
            <w:bottom w:val="none" w:sz="0" w:space="0" w:color="auto"/>
            <w:right w:val="none" w:sz="0" w:space="0" w:color="auto"/>
          </w:divBdr>
        </w:div>
        <w:div w:id="267086625">
          <w:marLeft w:val="0"/>
          <w:marRight w:val="0"/>
          <w:marTop w:val="0"/>
          <w:marBottom w:val="0"/>
          <w:divBdr>
            <w:top w:val="none" w:sz="0" w:space="0" w:color="auto"/>
            <w:left w:val="none" w:sz="0" w:space="0" w:color="auto"/>
            <w:bottom w:val="none" w:sz="0" w:space="0" w:color="auto"/>
            <w:right w:val="none" w:sz="0" w:space="0" w:color="auto"/>
          </w:divBdr>
        </w:div>
        <w:div w:id="1970890122">
          <w:marLeft w:val="0"/>
          <w:marRight w:val="0"/>
          <w:marTop w:val="0"/>
          <w:marBottom w:val="0"/>
          <w:divBdr>
            <w:top w:val="none" w:sz="0" w:space="0" w:color="auto"/>
            <w:left w:val="none" w:sz="0" w:space="0" w:color="auto"/>
            <w:bottom w:val="none" w:sz="0" w:space="0" w:color="auto"/>
            <w:right w:val="none" w:sz="0" w:space="0" w:color="auto"/>
          </w:divBdr>
        </w:div>
        <w:div w:id="260115557">
          <w:marLeft w:val="0"/>
          <w:marRight w:val="0"/>
          <w:marTop w:val="0"/>
          <w:marBottom w:val="0"/>
          <w:divBdr>
            <w:top w:val="none" w:sz="0" w:space="0" w:color="auto"/>
            <w:left w:val="none" w:sz="0" w:space="0" w:color="auto"/>
            <w:bottom w:val="none" w:sz="0" w:space="0" w:color="auto"/>
            <w:right w:val="none" w:sz="0" w:space="0" w:color="auto"/>
          </w:divBdr>
        </w:div>
        <w:div w:id="2105833634">
          <w:marLeft w:val="0"/>
          <w:marRight w:val="0"/>
          <w:marTop w:val="0"/>
          <w:marBottom w:val="0"/>
          <w:divBdr>
            <w:top w:val="none" w:sz="0" w:space="0" w:color="auto"/>
            <w:left w:val="none" w:sz="0" w:space="0" w:color="auto"/>
            <w:bottom w:val="none" w:sz="0" w:space="0" w:color="auto"/>
            <w:right w:val="none" w:sz="0" w:space="0" w:color="auto"/>
          </w:divBdr>
        </w:div>
        <w:div w:id="153229139">
          <w:marLeft w:val="0"/>
          <w:marRight w:val="0"/>
          <w:marTop w:val="0"/>
          <w:marBottom w:val="0"/>
          <w:divBdr>
            <w:top w:val="none" w:sz="0" w:space="0" w:color="auto"/>
            <w:left w:val="none" w:sz="0" w:space="0" w:color="auto"/>
            <w:bottom w:val="none" w:sz="0" w:space="0" w:color="auto"/>
            <w:right w:val="none" w:sz="0" w:space="0" w:color="auto"/>
          </w:divBdr>
        </w:div>
        <w:div w:id="1757245442">
          <w:marLeft w:val="0"/>
          <w:marRight w:val="0"/>
          <w:marTop w:val="0"/>
          <w:marBottom w:val="0"/>
          <w:divBdr>
            <w:top w:val="none" w:sz="0" w:space="0" w:color="auto"/>
            <w:left w:val="none" w:sz="0" w:space="0" w:color="auto"/>
            <w:bottom w:val="none" w:sz="0" w:space="0" w:color="auto"/>
            <w:right w:val="none" w:sz="0" w:space="0" w:color="auto"/>
          </w:divBdr>
        </w:div>
        <w:div w:id="684673169">
          <w:marLeft w:val="0"/>
          <w:marRight w:val="0"/>
          <w:marTop w:val="0"/>
          <w:marBottom w:val="0"/>
          <w:divBdr>
            <w:top w:val="none" w:sz="0" w:space="0" w:color="auto"/>
            <w:left w:val="none" w:sz="0" w:space="0" w:color="auto"/>
            <w:bottom w:val="none" w:sz="0" w:space="0" w:color="auto"/>
            <w:right w:val="none" w:sz="0" w:space="0" w:color="auto"/>
          </w:divBdr>
        </w:div>
        <w:div w:id="86927482">
          <w:marLeft w:val="0"/>
          <w:marRight w:val="0"/>
          <w:marTop w:val="0"/>
          <w:marBottom w:val="0"/>
          <w:divBdr>
            <w:top w:val="none" w:sz="0" w:space="0" w:color="auto"/>
            <w:left w:val="none" w:sz="0" w:space="0" w:color="auto"/>
            <w:bottom w:val="none" w:sz="0" w:space="0" w:color="auto"/>
            <w:right w:val="none" w:sz="0" w:space="0" w:color="auto"/>
          </w:divBdr>
        </w:div>
        <w:div w:id="1031296004">
          <w:marLeft w:val="0"/>
          <w:marRight w:val="0"/>
          <w:marTop w:val="0"/>
          <w:marBottom w:val="0"/>
          <w:divBdr>
            <w:top w:val="none" w:sz="0" w:space="0" w:color="auto"/>
            <w:left w:val="none" w:sz="0" w:space="0" w:color="auto"/>
            <w:bottom w:val="none" w:sz="0" w:space="0" w:color="auto"/>
            <w:right w:val="none" w:sz="0" w:space="0" w:color="auto"/>
          </w:divBdr>
        </w:div>
        <w:div w:id="970549134">
          <w:marLeft w:val="0"/>
          <w:marRight w:val="0"/>
          <w:marTop w:val="0"/>
          <w:marBottom w:val="0"/>
          <w:divBdr>
            <w:top w:val="none" w:sz="0" w:space="0" w:color="auto"/>
            <w:left w:val="none" w:sz="0" w:space="0" w:color="auto"/>
            <w:bottom w:val="none" w:sz="0" w:space="0" w:color="auto"/>
            <w:right w:val="none" w:sz="0" w:space="0" w:color="auto"/>
          </w:divBdr>
        </w:div>
        <w:div w:id="1724283482">
          <w:marLeft w:val="0"/>
          <w:marRight w:val="0"/>
          <w:marTop w:val="0"/>
          <w:marBottom w:val="0"/>
          <w:divBdr>
            <w:top w:val="none" w:sz="0" w:space="0" w:color="auto"/>
            <w:left w:val="none" w:sz="0" w:space="0" w:color="auto"/>
            <w:bottom w:val="none" w:sz="0" w:space="0" w:color="auto"/>
            <w:right w:val="none" w:sz="0" w:space="0" w:color="auto"/>
          </w:divBdr>
        </w:div>
        <w:div w:id="2112970558">
          <w:marLeft w:val="0"/>
          <w:marRight w:val="0"/>
          <w:marTop w:val="0"/>
          <w:marBottom w:val="0"/>
          <w:divBdr>
            <w:top w:val="none" w:sz="0" w:space="0" w:color="auto"/>
            <w:left w:val="none" w:sz="0" w:space="0" w:color="auto"/>
            <w:bottom w:val="none" w:sz="0" w:space="0" w:color="auto"/>
            <w:right w:val="none" w:sz="0" w:space="0" w:color="auto"/>
          </w:divBdr>
        </w:div>
        <w:div w:id="584726292">
          <w:marLeft w:val="0"/>
          <w:marRight w:val="0"/>
          <w:marTop w:val="0"/>
          <w:marBottom w:val="0"/>
          <w:divBdr>
            <w:top w:val="none" w:sz="0" w:space="0" w:color="auto"/>
            <w:left w:val="none" w:sz="0" w:space="0" w:color="auto"/>
            <w:bottom w:val="none" w:sz="0" w:space="0" w:color="auto"/>
            <w:right w:val="none" w:sz="0" w:space="0" w:color="auto"/>
          </w:divBdr>
        </w:div>
      </w:divsChild>
    </w:div>
    <w:div w:id="622812981">
      <w:bodyDiv w:val="1"/>
      <w:marLeft w:val="0"/>
      <w:marRight w:val="0"/>
      <w:marTop w:val="0"/>
      <w:marBottom w:val="0"/>
      <w:divBdr>
        <w:top w:val="none" w:sz="0" w:space="0" w:color="auto"/>
        <w:left w:val="none" w:sz="0" w:space="0" w:color="auto"/>
        <w:bottom w:val="none" w:sz="0" w:space="0" w:color="auto"/>
        <w:right w:val="none" w:sz="0" w:space="0" w:color="auto"/>
      </w:divBdr>
    </w:div>
    <w:div w:id="11780832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yperlink" Target="http://www.ujn.gov.me/podzakonska-regulativa-zakona-o-javnim-nabavkama-sluzbeni-list-crne-%20above-br-074-19%20/" TargetMode="External"/><Relationship Id="rId26" Type="http://schemas.openxmlformats.org/officeDocument/2006/relationships/hyperlink" Target="http://monstat.org/cg/page.php?id=166&amp;pageid=19" TargetMode="External"/><Relationship Id="rId3" Type="http://schemas.openxmlformats.org/officeDocument/2006/relationships/styles" Target="styles.xml"/><Relationship Id="rId21" Type="http://schemas.openxmlformats.org/officeDocument/2006/relationships/image" Target="media/image12.png"/><Relationship Id="rId34" Type="http://schemas.openxmlformats.org/officeDocument/2006/relationships/hyperlink" Target="http://www.dri.co.me/1/index.php?option=com_content&amp;view=article&amp;id=93&amp;Itemid=20&amp;lang=sr"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png"/><Relationship Id="rId25" Type="http://schemas.openxmlformats.org/officeDocument/2006/relationships/hyperlink" Target="http://www.mf.gov.me/biblioteka/zakoni" TargetMode="External"/><Relationship Id="rId33" Type="http://schemas.openxmlformats.org/officeDocument/2006/relationships/hyperlink" Target="http://www.gov.me/ResourceManager/FileDownload.aspx?rId=279138&amp;rType=2" TargetMode="Externa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hyperlink" Target="http://www.ujn.gov.me/category/direk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mailto:tanja.musterovic@mif.gov.me" TargetMode="External"/><Relationship Id="rId32" Type="http://schemas.openxmlformats.org/officeDocument/2006/relationships/hyperlink" Target="http://www.ujn.gov.me/category/izvjestaji/"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mailto:tanja.musterovic@mif.gov.me" TargetMode="External"/><Relationship Id="rId28" Type="http://schemas.openxmlformats.org/officeDocument/2006/relationships/hyperlink" Target="http://www.upravacarina.gov.me/uprava/Slobodan_pristup_informacijama" TargetMode="External"/><Relationship Id="rId36"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www.ujn.gov.me/podzakonska-regulativa-zakona-o-javno-privatnom-partnerstvu-sluzbeni-%20list-crne-gore-br-73-19%20/" TargetMode="External"/><Relationship Id="rId31" Type="http://schemas.openxmlformats.org/officeDocument/2006/relationships/hyperlink" Target="http://www.mif.gov.me/rubrike/CFCU_tenderi/Tenderi/Otvoreni/156772/Klariifikacije-za-ugovor-o-uslugama-Implementacija-Elektronskog-sistema-javnih-nabavki.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hyperlink" Target="file:///C:\Users\win10\Downloads\Prelazni%20Akcioni%20plan%20za%202021.%20godinu_%2012.07.2021%20(00000002).xlsx" TargetMode="External"/><Relationship Id="rId27" Type="http://schemas.openxmlformats.org/officeDocument/2006/relationships/hyperlink" Target="http://www.upravacarina.gov.me/uprava/Slobodan_pristup_informacijama" TargetMode="External"/><Relationship Id="rId30" Type="http://schemas.openxmlformats.org/officeDocument/2006/relationships/hyperlink" Target="http://www.ujn.gov.me/2015/06/godisnji-izvjestaj-o-javnim-nabavkama-u-crnoj-gori-za-2014-godinu/" TargetMode="External"/><Relationship Id="rId35" Type="http://schemas.openxmlformats.org/officeDocument/2006/relationships/hyperlink" Target="http://www.dri.co.me/1/index.php?option=com_content&amp;view=article&amp;id=139&amp;Itemid=204&amp;lang=sr"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mif.gov.me/biblioteka/strateska_dokumenta" TargetMode="External"/><Relationship Id="rId13" Type="http://schemas.openxmlformats.org/officeDocument/2006/relationships/hyperlink" Target="http://www.gov.me/ResourceManager/FileDownload.aspx?rId=279138&amp;rType=2" TargetMode="External"/><Relationship Id="rId3" Type="http://schemas.openxmlformats.org/officeDocument/2006/relationships/hyperlink" Target="http://www.gsv.gov.me/ResourceManager/FileDownload.aspx?rId=357599&amp;rType=2" TargetMode="External"/><Relationship Id="rId7" Type="http://schemas.openxmlformats.org/officeDocument/2006/relationships/hyperlink" Target="http://www.mf.gov.me/biblioteka/strateska_dokumenta" TargetMode="External"/><Relationship Id="rId12" Type="http://schemas.openxmlformats.org/officeDocument/2006/relationships/hyperlink" Target="http://www.mif.gov.me/ministarstvo/Djelatnosti/178168/Pravilnik-o-unutrasnoj-organizacije-i-sistematizacije-Ministarstva-finansija.html" TargetMode="External"/><Relationship Id="rId2" Type="http://schemas.openxmlformats.org/officeDocument/2006/relationships/hyperlink" Target="http://www.mju.gov.me/ResourceManager/FileDownload.aspx?rId=329420&amp;rType=2" TargetMode="External"/><Relationship Id="rId1" Type="http://schemas.openxmlformats.org/officeDocument/2006/relationships/hyperlink" Target="http://www.mif.gov.me/biblioteka/strateska_dokumenta" TargetMode="External"/><Relationship Id="rId6" Type="http://schemas.openxmlformats.org/officeDocument/2006/relationships/hyperlink" Target="http://www.mf.gov.me/biblioteka/strateska_dokumenta" TargetMode="External"/><Relationship Id="rId11" Type="http://schemas.openxmlformats.org/officeDocument/2006/relationships/hyperlink" Target="http://www.mif.gov.me/rubrike/Budzet_Ministarstva_finansija/" TargetMode="External"/><Relationship Id="rId5" Type="http://schemas.openxmlformats.org/officeDocument/2006/relationships/hyperlink" Target="http://www.mif.gov.me/biblioteka/strateska_dokumenta" TargetMode="External"/><Relationship Id="rId10" Type="http://schemas.openxmlformats.org/officeDocument/2006/relationships/hyperlink" Target="http://www.mif.gov.me/ResourceManager/FileDownload.aspx?rId=395245&amp;rType=2" TargetMode="External"/><Relationship Id="rId4" Type="http://schemas.openxmlformats.org/officeDocument/2006/relationships/hyperlink" Target="http://www.mf.gov.me/biblioteka/strateska_dokumenta" TargetMode="External"/><Relationship Id="rId9" Type="http://schemas.openxmlformats.org/officeDocument/2006/relationships/hyperlink" Target="http://www.dri.co.me/1/doc/Smjernice%20za%20predlaganje%20i%20izbor%20finasijskih%20revizija%20i%20revizija%20pravilnosti%20za%20Godi%C5%A1nji%20plan%20revizija%20D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7136CF-64F3-4408-B228-E6A478DD6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2173</TotalTime>
  <Pages>1</Pages>
  <Words>45651</Words>
  <Characters>260211</Characters>
  <Application>Microsoft Office Word</Application>
  <DocSecurity>0</DocSecurity>
  <Lines>2168</Lines>
  <Paragraphs>610</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
      <vt:lpstr>&lt;Contents</vt:lpstr>
      <vt:lpstr>I GENERAL INFORMATION</vt:lpstr>
      <vt:lpstr>    GENERAL OVERVIEW</vt:lpstr>
      <vt:lpstr>    DEGREE OF IMPLEMENTATION</vt:lpstr>
      <vt:lpstr>    KEY ACHIEVEMENTS</vt:lpstr>
      <vt:lpstr>    CHALLENGES IN IMPLEMENTATION </vt:lpstr>
      <vt:lpstr>II INFORMATION ON THE STATUS OF PERFORMANCE INDICATORS (OVERVIEW OF ACHIEVED STR</vt:lpstr>
      <vt:lpstr>    OBJECTIVE 1 . SUSTAINABLE FISCAL FRAMEWORK, PUBLIC EXPENDITURE PLANNING AND BUDG</vt:lpstr>
      <vt:lpstr>        PHASED IMPLEMENTATION OF PROGRAMME-BASED BUDGETING</vt:lpstr>
      <vt:lpstr>        IMPROVING MODELS FOR MACROECONOMIC PROJECTIONS</vt:lpstr>
      <vt:lpstr>    GOAL 2. BUDGET EXECUTION</vt:lpstr>
      <vt:lpstr>        TAX ADMINISTRATION </vt:lpstr>
      <vt:lpstr>        STRENGTHENING CUSTOMS ADMINISTRATION CAPACITIES </vt:lpstr>
      <vt:lpstr>        PUBLIC PROCUREMENT</vt:lpstr>
    </vt:vector>
  </TitlesOfParts>
  <Company/>
  <LinksUpToDate>false</LinksUpToDate>
  <CharactersWithSpaces>305252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win10</dc:creator>
  <cp:lastModifiedBy>win10</cp:lastModifiedBy>
  <cp:revision>153</cp:revision>
  <dcterms:created xsi:type="dcterms:W3CDTF">2021-07-16T06:30:00Z</dcterms:created>
  <dcterms:modified xsi:type="dcterms:W3CDTF">2021-07-21T09:07:00Z</dcterms:modified>
</cp:coreProperties>
</file>