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421DA" w14:textId="13AB971E" w:rsidR="009107C0" w:rsidRPr="00E56DC2" w:rsidRDefault="0074391C" w:rsidP="00D55D18">
      <w:pPr>
        <w:pStyle w:val="Heading1"/>
        <w:numPr>
          <w:ilvl w:val="0"/>
          <w:numId w:val="0"/>
        </w:numPr>
        <w:ind w:left="7200" w:firstLine="720"/>
        <w:rPr>
          <w:noProof/>
        </w:rPr>
      </w:pPr>
      <w:r>
        <w:rPr>
          <w:noProof/>
        </w:rPr>
        <w:t>Predlog</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74391C" w:rsidRDefault="00A42866" w:rsidP="00A42866">
      <w:pPr>
        <w:suppressAutoHyphens w:val="0"/>
        <w:spacing w:after="160" w:line="259" w:lineRule="auto"/>
        <w:jc w:val="center"/>
        <w:rPr>
          <w:rFonts w:ascii="Arial" w:hAnsi="Arial" w:cs="Arial"/>
          <w:b/>
          <w:noProof/>
          <w:sz w:val="28"/>
          <w:szCs w:val="28"/>
          <w:lang w:val="pt-BR"/>
        </w:rPr>
      </w:pPr>
      <w:r w:rsidRPr="0074391C">
        <w:rPr>
          <w:rFonts w:ascii="Arial" w:hAnsi="Arial" w:cs="Arial"/>
          <w:b/>
          <w:noProof/>
          <w:sz w:val="28"/>
          <w:szCs w:val="28"/>
          <w:lang w:val="pt-BR"/>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6F9C1F12" w:rsidR="006D48EC" w:rsidRPr="00CA1F83" w:rsidRDefault="00CA1F83" w:rsidP="00D35018">
      <w:pPr>
        <w:spacing w:after="0" w:line="240" w:lineRule="auto"/>
        <w:jc w:val="both"/>
        <w:rPr>
          <w:rFonts w:ascii="Arial" w:hAnsi="Arial" w:cs="Arial"/>
          <w:lang w:val="sr-Latn-CS"/>
        </w:rPr>
      </w:pPr>
      <w:r w:rsidRPr="00CA1F83">
        <w:rPr>
          <w:rFonts w:ascii="Arial" w:hAnsi="Arial" w:cs="Arial"/>
          <w:lang w:val="sr-Latn-CS"/>
        </w:rPr>
        <w:t>Podgorica, 16. februar 2022 godine</w:t>
      </w:r>
    </w:p>
    <w:p w14:paraId="5360E16F" w14:textId="48D15539" w:rsidR="00CA1F83" w:rsidRPr="00CA1F83" w:rsidRDefault="00CA1F83" w:rsidP="00D35018">
      <w:pPr>
        <w:spacing w:after="0" w:line="240" w:lineRule="auto"/>
        <w:jc w:val="both"/>
        <w:rPr>
          <w:rFonts w:ascii="Arial" w:hAnsi="Arial" w:cs="Arial"/>
          <w:lang w:val="sr-Latn-CS"/>
        </w:rPr>
      </w:pPr>
      <w:r w:rsidRPr="00CA1F83">
        <w:rPr>
          <w:rFonts w:ascii="Arial" w:hAnsi="Arial" w:cs="Arial"/>
          <w:lang w:val="sr-Latn-CS"/>
        </w:rPr>
        <w:t>Broj: 04-304/22-1552/2</w:t>
      </w: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5ACF8B78" w14:textId="7A69F951" w:rsidR="00744584" w:rsidRPr="00E56DC2" w:rsidRDefault="003D537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14:paraId="67265CD3" w14:textId="547FD6FE" w:rsidR="00ED118C" w:rsidRPr="00E56DC2" w:rsidRDefault="003D5374" w:rsidP="00D35018">
      <w:pPr>
        <w:spacing w:after="0" w:line="240" w:lineRule="auto"/>
        <w:jc w:val="center"/>
        <w:rPr>
          <w:rFonts w:ascii="Arial" w:hAnsi="Arial" w:cs="Arial"/>
          <w:b/>
          <w:lang w:val="sr-Latn-CS"/>
        </w:rPr>
      </w:pPr>
      <w:r w:rsidRPr="00E56DC2">
        <w:rPr>
          <w:rFonts w:ascii="Arial" w:hAnsi="Arial" w:cs="Arial"/>
          <w:b/>
          <w:lang w:val="sr-Latn-CS"/>
        </w:rPr>
        <w:t xml:space="preserve">O NEMETALIČNOJ MINERALNOJ SIROVINI TEHNIČKO-GRAĐEVINSKOG KAMENA </w:t>
      </w:r>
    </w:p>
    <w:p w14:paraId="45C3E983" w14:textId="63A9EAF9" w:rsidR="00744584" w:rsidRPr="00E56DC2" w:rsidRDefault="003D5374" w:rsidP="00D35018">
      <w:pPr>
        <w:spacing w:after="0" w:line="240" w:lineRule="auto"/>
        <w:jc w:val="center"/>
        <w:rPr>
          <w:rFonts w:ascii="Arial" w:hAnsi="Arial" w:cs="Arial"/>
          <w:b/>
          <w:lang w:val="sr-Latn-CS"/>
        </w:rPr>
      </w:pPr>
      <w:r>
        <w:rPr>
          <w:rFonts w:ascii="Arial" w:hAnsi="Arial" w:cs="Arial"/>
          <w:b/>
          <w:lang w:val="sr-Latn-CS"/>
        </w:rPr>
        <w:t>LOKALITETA</w:t>
      </w:r>
      <w:r w:rsidRPr="00E56DC2">
        <w:rPr>
          <w:rFonts w:ascii="Arial" w:hAnsi="Arial" w:cs="Arial"/>
          <w:b/>
          <w:lang w:val="sr-Latn-CS"/>
        </w:rPr>
        <w:t xml:space="preserve"> </w:t>
      </w:r>
      <w:r>
        <w:rPr>
          <w:rFonts w:ascii="Arial" w:hAnsi="Arial" w:cs="Arial"/>
          <w:b/>
          <w:lang w:val="sr-Latn-CS"/>
        </w:rPr>
        <w:t>“MILOŠEV KRŠ”</w:t>
      </w:r>
      <w:r w:rsidRPr="00E56DC2">
        <w:rPr>
          <w:rFonts w:ascii="Arial" w:hAnsi="Arial" w:cs="Arial"/>
          <w:b/>
          <w:lang w:val="sr-Latn-CS"/>
        </w:rPr>
        <w:t xml:space="preserve">, </w:t>
      </w:r>
      <w:r>
        <w:rPr>
          <w:rFonts w:ascii="Arial" w:hAnsi="Arial" w:cs="Arial"/>
          <w:b/>
          <w:lang w:val="sr-Latn-CS"/>
        </w:rPr>
        <w:t>PRIJESTONICA</w:t>
      </w:r>
      <w:r w:rsidRPr="00E56DC2">
        <w:rPr>
          <w:rFonts w:ascii="Arial" w:hAnsi="Arial" w:cs="Arial"/>
          <w:b/>
          <w:lang w:val="sr-Latn-CS"/>
        </w:rPr>
        <w:t xml:space="preserve"> </w:t>
      </w:r>
      <w:r>
        <w:rPr>
          <w:rFonts w:ascii="Arial" w:hAnsi="Arial" w:cs="Arial"/>
          <w:b/>
          <w:lang w:val="sr-Latn-CS"/>
        </w:rPr>
        <w:t>CETINJE</w:t>
      </w:r>
    </w:p>
    <w:p w14:paraId="07E21EC9" w14:textId="77777777" w:rsidR="00744584" w:rsidRPr="00E56DC2" w:rsidRDefault="00744584" w:rsidP="00D35018">
      <w:pPr>
        <w:spacing w:after="0" w:line="240" w:lineRule="auto"/>
        <w:jc w:val="both"/>
        <w:rPr>
          <w:rFonts w:ascii="Arial" w:hAnsi="Arial" w:cs="Arial"/>
          <w:b/>
          <w:lang w:val="sr-Latn-CS"/>
        </w:rPr>
      </w:pPr>
    </w:p>
    <w:p w14:paraId="08C3B07B" w14:textId="77777777" w:rsidR="00744584" w:rsidRPr="00E56DC2" w:rsidRDefault="00744584" w:rsidP="00D35018">
      <w:pPr>
        <w:spacing w:after="0" w:line="240" w:lineRule="auto"/>
        <w:jc w:val="both"/>
        <w:rPr>
          <w:rFonts w:ascii="Arial" w:hAnsi="Arial" w:cs="Arial"/>
          <w:b/>
          <w:lang w:val="sr-Latn-CS"/>
        </w:rPr>
      </w:pP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EB712D6" w14:textId="77777777" w:rsidR="00995D8E" w:rsidRPr="00E56DC2" w:rsidRDefault="00995D8E" w:rsidP="00995D8E">
      <w:pPr>
        <w:suppressAutoHyphens w:val="0"/>
        <w:spacing w:after="0" w:line="240" w:lineRule="auto"/>
        <w:jc w:val="center"/>
        <w:rPr>
          <w:rFonts w:ascii="Arial" w:hAnsi="Arial" w:cs="Arial"/>
          <w:b/>
          <w:lang w:val="sr-Latn-CS"/>
        </w:rPr>
      </w:pPr>
    </w:p>
    <w:p w14:paraId="76136CB1" w14:textId="77777777" w:rsidR="00995D8E" w:rsidRPr="00E56DC2" w:rsidRDefault="00995D8E" w:rsidP="00995D8E">
      <w:pPr>
        <w:suppressAutoHyphens w:val="0"/>
        <w:spacing w:after="0" w:line="240" w:lineRule="auto"/>
        <w:jc w:val="center"/>
        <w:rPr>
          <w:rFonts w:ascii="Arial" w:hAnsi="Arial" w:cs="Arial"/>
          <w:b/>
          <w:lang w:val="sr-Latn-CS"/>
        </w:rPr>
      </w:pPr>
    </w:p>
    <w:p w14:paraId="73452419" w14:textId="77777777" w:rsidR="00995D8E" w:rsidRPr="00E56DC2" w:rsidRDefault="00995D8E" w:rsidP="00995D8E">
      <w:pPr>
        <w:suppressAutoHyphens w:val="0"/>
        <w:spacing w:after="0" w:line="240" w:lineRule="auto"/>
        <w:jc w:val="center"/>
        <w:rPr>
          <w:rFonts w:ascii="Arial" w:hAnsi="Arial" w:cs="Arial"/>
          <w:b/>
          <w:lang w:val="sr-Latn-CS"/>
        </w:rPr>
      </w:pPr>
    </w:p>
    <w:p w14:paraId="52AFA882" w14:textId="77777777" w:rsidR="00995D8E" w:rsidRPr="00E56DC2" w:rsidRDefault="00995D8E" w:rsidP="00995D8E">
      <w:pPr>
        <w:suppressAutoHyphens w:val="0"/>
        <w:spacing w:after="0" w:line="240" w:lineRule="auto"/>
        <w:jc w:val="center"/>
        <w:rPr>
          <w:rFonts w:ascii="Arial" w:hAnsi="Arial" w:cs="Arial"/>
          <w:b/>
          <w:lang w:val="sr-Latn-CS"/>
        </w:rPr>
      </w:pPr>
      <w:bookmarkStart w:id="0" w:name="_GoBack"/>
      <w:bookmarkEnd w:id="0"/>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78311D8D" w:rsidR="00A42866"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1746A3">
        <w:rPr>
          <w:rFonts w:ascii="Arial" w:hAnsi="Arial" w:cs="Arial"/>
          <w:b/>
          <w:lang w:val="sr-Latn-CS"/>
        </w:rPr>
        <w:t>decembar</w:t>
      </w:r>
      <w:r w:rsidRPr="00E56DC2">
        <w:rPr>
          <w:rFonts w:ascii="Arial" w:hAnsi="Arial" w:cs="Arial"/>
          <w:b/>
          <w:lang w:val="sr-Latn-CS"/>
        </w:rPr>
        <w:t xml:space="preserve"> 2021</w:t>
      </w:r>
      <w:r w:rsidR="00CE4541">
        <w:rPr>
          <w:rFonts w:ascii="Arial" w:hAnsi="Arial" w:cs="Arial"/>
          <w:b/>
          <w:lang w:val="sr-Latn-CS"/>
        </w:rPr>
        <w:t>. godine</w:t>
      </w:r>
    </w:p>
    <w:p w14:paraId="39F12C2A" w14:textId="77777777" w:rsidR="003D5374" w:rsidRPr="00E56DC2" w:rsidRDefault="003D5374" w:rsidP="001E4CB5">
      <w:pPr>
        <w:suppressAutoHyphens w:val="0"/>
        <w:spacing w:after="0" w:line="240" w:lineRule="auto"/>
        <w:jc w:val="center"/>
        <w:rPr>
          <w:rFonts w:ascii="Arial" w:hAnsi="Arial" w:cs="Arial"/>
          <w:b/>
          <w:lang w:val="sr-Latn-CS"/>
        </w:rPr>
      </w:pPr>
    </w:p>
    <w:p w14:paraId="7D5D5289" w14:textId="4664D302" w:rsidR="001746A3" w:rsidRDefault="001746A3" w:rsidP="003D5374">
      <w:pPr>
        <w:spacing w:after="0" w:line="240" w:lineRule="auto"/>
        <w:ind w:firstLine="720"/>
        <w:jc w:val="both"/>
        <w:rPr>
          <w:rFonts w:ascii="Arial" w:hAnsi="Arial" w:cs="Arial"/>
          <w:b/>
          <w:lang w:val="sr-Latn-CS"/>
        </w:rPr>
      </w:pPr>
    </w:p>
    <w:p w14:paraId="24FFBE6F" w14:textId="77777777" w:rsidR="00D671DB" w:rsidRDefault="00D671DB" w:rsidP="003D5374">
      <w:pPr>
        <w:spacing w:after="0" w:line="240" w:lineRule="auto"/>
        <w:ind w:firstLine="720"/>
        <w:jc w:val="both"/>
        <w:rPr>
          <w:rFonts w:ascii="Arial" w:hAnsi="Arial" w:cs="Arial"/>
          <w:b/>
          <w:lang w:val="sr-Latn-CS"/>
        </w:rPr>
      </w:pPr>
    </w:p>
    <w:p w14:paraId="4B7E6FB6" w14:textId="15E3EDCB" w:rsidR="00744584" w:rsidRPr="00E56DC2" w:rsidRDefault="00744584" w:rsidP="00E26BF1">
      <w:pPr>
        <w:spacing w:after="0" w:line="240" w:lineRule="auto"/>
        <w:jc w:val="both"/>
        <w:rPr>
          <w:rFonts w:ascii="Arial" w:hAnsi="Arial" w:cs="Arial"/>
          <w:b/>
          <w:lang w:val="sr-Latn-CS"/>
        </w:rPr>
      </w:pPr>
      <w:r w:rsidRPr="00E56DC2">
        <w:rPr>
          <w:rFonts w:ascii="Arial" w:hAnsi="Arial" w:cs="Arial"/>
          <w:b/>
          <w:lang w:val="sr-Latn-CS"/>
        </w:rPr>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E26BF1">
      <w:pPr>
        <w:spacing w:after="0" w:line="240" w:lineRule="auto"/>
        <w:jc w:val="both"/>
        <w:rPr>
          <w:rFonts w:ascii="Arial" w:hAnsi="Arial" w:cs="Arial"/>
          <w:b/>
          <w:lang w:val="sr-Latn-CS"/>
        </w:rPr>
      </w:pPr>
    </w:p>
    <w:p w14:paraId="5F1DB593" w14:textId="77777777" w:rsidR="00744584" w:rsidRPr="00E56DC2" w:rsidRDefault="00744584" w:rsidP="00E26BF1">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E26BF1">
      <w:pPr>
        <w:spacing w:after="0" w:line="240" w:lineRule="auto"/>
        <w:jc w:val="both"/>
        <w:rPr>
          <w:rFonts w:ascii="Arial" w:hAnsi="Arial" w:cs="Arial"/>
          <w:b/>
          <w:lang w:val="sr-Latn-CS"/>
        </w:rPr>
      </w:pPr>
    </w:p>
    <w:p w14:paraId="58620E04" w14:textId="674CA34F" w:rsidR="00197D09" w:rsidRPr="00E56DC2" w:rsidRDefault="00DB58E7" w:rsidP="00E26BF1">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4860ED05" w:rsidR="00197D09" w:rsidRDefault="00BC1B3C" w:rsidP="00E26BF1">
      <w:pPr>
        <w:spacing w:after="0" w:line="240" w:lineRule="auto"/>
        <w:jc w:val="both"/>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Pr>
          <w:rFonts w:ascii="Arial" w:hAnsi="Arial" w:cs="Arial"/>
          <w:b/>
          <w:lang w:val="sr-Latn-CS"/>
        </w:rPr>
        <w:t>“Milošev krš”</w:t>
      </w:r>
      <w:r w:rsidR="00197D09" w:rsidRPr="00E56DC2">
        <w:rPr>
          <w:rFonts w:ascii="Arial" w:hAnsi="Arial" w:cs="Arial"/>
          <w:b/>
          <w:lang w:val="sr-Latn-CS"/>
        </w:rPr>
        <w:t xml:space="preserve">, </w:t>
      </w:r>
      <w:r w:rsidR="003D5374">
        <w:rPr>
          <w:rFonts w:ascii="Arial" w:hAnsi="Arial" w:cs="Arial"/>
          <w:b/>
          <w:lang w:val="sr-Latn-CS"/>
        </w:rPr>
        <w:t>Prijestonica</w:t>
      </w:r>
      <w:r w:rsidR="003D5374" w:rsidRPr="00E56DC2">
        <w:rPr>
          <w:rFonts w:ascii="Arial" w:hAnsi="Arial" w:cs="Arial"/>
          <w:b/>
          <w:lang w:val="sr-Latn-CS"/>
        </w:rPr>
        <w:t xml:space="preserve"> </w:t>
      </w:r>
      <w:r>
        <w:rPr>
          <w:rFonts w:ascii="Arial" w:hAnsi="Arial" w:cs="Arial"/>
          <w:b/>
          <w:lang w:val="sr-Latn-CS"/>
        </w:rPr>
        <w:t>Cetinje</w:t>
      </w:r>
    </w:p>
    <w:p w14:paraId="676EA1B7" w14:textId="77777777" w:rsidR="003D5374" w:rsidRPr="00E56DC2" w:rsidRDefault="003D5374" w:rsidP="00E26BF1">
      <w:pPr>
        <w:spacing w:after="0" w:line="240" w:lineRule="auto"/>
        <w:jc w:val="both"/>
        <w:rPr>
          <w:rFonts w:ascii="Arial" w:hAnsi="Arial" w:cs="Arial"/>
          <w:b/>
          <w:lang w:val="sr-Latn-CS"/>
        </w:rPr>
      </w:pPr>
    </w:p>
    <w:p w14:paraId="2EC7D380" w14:textId="012B1E7A" w:rsidR="002D6F71" w:rsidRPr="00D671DB" w:rsidRDefault="00A42866" w:rsidP="00E26BF1">
      <w:pPr>
        <w:spacing w:after="0" w:line="240" w:lineRule="auto"/>
        <w:jc w:val="both"/>
        <w:rPr>
          <w:rFonts w:ascii="Arial" w:hAnsi="Arial" w:cs="Arial"/>
          <w:noProof/>
          <w:lang w:val="sr-Latn-CS"/>
        </w:rPr>
      </w:pPr>
      <w:r w:rsidRPr="00E56DC2">
        <w:rPr>
          <w:rFonts w:ascii="Arial" w:hAnsi="Arial" w:cs="Arial"/>
          <w:noProof/>
        </w:rPr>
        <w:t>Izrada</w:t>
      </w:r>
      <w:r w:rsidRPr="00D671DB">
        <w:rPr>
          <w:rFonts w:ascii="Arial" w:hAnsi="Arial" w:cs="Arial"/>
          <w:noProof/>
          <w:lang w:val="sr-Latn-CS"/>
        </w:rPr>
        <w:t xml:space="preserve"> </w:t>
      </w:r>
      <w:r w:rsidRPr="00E56DC2">
        <w:rPr>
          <w:rFonts w:ascii="Arial" w:hAnsi="Arial" w:cs="Arial"/>
          <w:noProof/>
        </w:rPr>
        <w:t>Koncesionog</w:t>
      </w:r>
      <w:r w:rsidRPr="00D671DB">
        <w:rPr>
          <w:rFonts w:ascii="Arial" w:hAnsi="Arial" w:cs="Arial"/>
          <w:noProof/>
          <w:lang w:val="sr-Latn-CS"/>
        </w:rPr>
        <w:t xml:space="preserve"> </w:t>
      </w:r>
      <w:r w:rsidRPr="00E56DC2">
        <w:rPr>
          <w:rFonts w:ascii="Arial" w:hAnsi="Arial" w:cs="Arial"/>
          <w:noProof/>
        </w:rPr>
        <w:t>akta</w:t>
      </w:r>
      <w:r w:rsidRPr="00D671DB">
        <w:rPr>
          <w:rFonts w:ascii="Arial" w:hAnsi="Arial" w:cs="Arial"/>
          <w:noProof/>
          <w:lang w:val="sr-Latn-CS"/>
        </w:rPr>
        <w:t xml:space="preserve"> </w:t>
      </w:r>
      <w:r w:rsidRPr="00E56DC2">
        <w:rPr>
          <w:rFonts w:ascii="Arial" w:hAnsi="Arial" w:cs="Arial"/>
          <w:noProof/>
        </w:rPr>
        <w:t>izvr</w:t>
      </w:r>
      <w:r w:rsidRPr="00D671DB">
        <w:rPr>
          <w:rFonts w:ascii="Arial" w:hAnsi="Arial" w:cs="Arial"/>
          <w:noProof/>
          <w:lang w:val="sr-Latn-CS"/>
        </w:rPr>
        <w:t>š</w:t>
      </w:r>
      <w:r w:rsidRPr="00E56DC2">
        <w:rPr>
          <w:rFonts w:ascii="Arial" w:hAnsi="Arial" w:cs="Arial"/>
          <w:noProof/>
        </w:rPr>
        <w:t>ena</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na</w:t>
      </w:r>
      <w:r w:rsidRPr="00D671DB">
        <w:rPr>
          <w:rFonts w:ascii="Arial" w:hAnsi="Arial" w:cs="Arial"/>
          <w:noProof/>
          <w:lang w:val="sr-Latn-CS"/>
        </w:rPr>
        <w:t xml:space="preserve"> </w:t>
      </w:r>
      <w:r w:rsidRPr="00E56DC2">
        <w:rPr>
          <w:rFonts w:ascii="Arial" w:hAnsi="Arial" w:cs="Arial"/>
          <w:noProof/>
        </w:rPr>
        <w:t>osnovu</w:t>
      </w:r>
      <w:r w:rsidRPr="00D671DB">
        <w:rPr>
          <w:rFonts w:ascii="Arial" w:hAnsi="Arial" w:cs="Arial"/>
          <w:noProof/>
          <w:lang w:val="sr-Latn-CS"/>
        </w:rPr>
        <w:t xml:space="preserve"> </w:t>
      </w:r>
      <w:r w:rsidR="006227DA" w:rsidRPr="00E56DC2">
        <w:rPr>
          <w:rFonts w:ascii="Arial" w:hAnsi="Arial" w:cs="Arial"/>
          <w:noProof/>
        </w:rPr>
        <w:t>godi</w:t>
      </w:r>
      <w:r w:rsidR="006227DA" w:rsidRPr="00D671DB">
        <w:rPr>
          <w:rFonts w:ascii="Arial" w:hAnsi="Arial" w:cs="Arial"/>
          <w:noProof/>
          <w:lang w:val="sr-Latn-CS"/>
        </w:rPr>
        <w:t>š</w:t>
      </w:r>
      <w:r w:rsidR="006227DA" w:rsidRPr="00E56DC2">
        <w:rPr>
          <w:rFonts w:ascii="Arial" w:hAnsi="Arial" w:cs="Arial"/>
          <w:noProof/>
        </w:rPr>
        <w:t>njeg</w:t>
      </w:r>
      <w:r w:rsidR="006227DA" w:rsidRPr="00D671DB">
        <w:rPr>
          <w:rFonts w:ascii="Arial" w:hAnsi="Arial" w:cs="Arial"/>
          <w:noProof/>
          <w:lang w:val="sr-Latn-CS"/>
        </w:rPr>
        <w:t xml:space="preserve"> </w:t>
      </w:r>
      <w:r w:rsidRPr="00E56DC2">
        <w:rPr>
          <w:rFonts w:ascii="Arial" w:hAnsi="Arial" w:cs="Arial"/>
          <w:noProof/>
        </w:rPr>
        <w:t>Plana</w:t>
      </w:r>
      <w:r w:rsidRPr="00D671DB">
        <w:rPr>
          <w:rFonts w:ascii="Arial" w:hAnsi="Arial" w:cs="Arial"/>
          <w:noProof/>
          <w:lang w:val="sr-Latn-CS"/>
        </w:rPr>
        <w:t xml:space="preserve"> </w:t>
      </w:r>
      <w:r w:rsidRPr="00E56DC2">
        <w:rPr>
          <w:rFonts w:ascii="Arial" w:hAnsi="Arial" w:cs="Arial"/>
          <w:noProof/>
        </w:rPr>
        <w:t>davanja</w:t>
      </w:r>
      <w:r w:rsidRPr="00D671DB">
        <w:rPr>
          <w:rFonts w:ascii="Arial" w:hAnsi="Arial" w:cs="Arial"/>
          <w:noProof/>
          <w:lang w:val="sr-Latn-CS"/>
        </w:rPr>
        <w:t xml:space="preserve"> </w:t>
      </w:r>
      <w:r w:rsidRPr="00E56DC2">
        <w:rPr>
          <w:rFonts w:ascii="Arial" w:hAnsi="Arial" w:cs="Arial"/>
          <w:noProof/>
        </w:rPr>
        <w:t>koncesija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detaljna</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ka</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eksploataciju</w:t>
      </w:r>
      <w:r w:rsidRPr="00D671DB">
        <w:rPr>
          <w:rFonts w:ascii="Arial" w:hAnsi="Arial" w:cs="Arial"/>
          <w:noProof/>
          <w:lang w:val="sr-Latn-CS"/>
        </w:rPr>
        <w:t xml:space="preserve"> </w:t>
      </w:r>
      <w:r w:rsidRPr="00E56DC2">
        <w:rPr>
          <w:rFonts w:ascii="Arial" w:hAnsi="Arial" w:cs="Arial"/>
          <w:noProof/>
        </w:rPr>
        <w:t>mineralnih</w:t>
      </w:r>
      <w:r w:rsidRPr="00D671DB">
        <w:rPr>
          <w:rFonts w:ascii="Arial" w:hAnsi="Arial" w:cs="Arial"/>
          <w:noProof/>
          <w:lang w:val="sr-Latn-CS"/>
        </w:rPr>
        <w:t xml:space="preserve"> </w:t>
      </w:r>
      <w:r w:rsidRPr="00E56DC2">
        <w:rPr>
          <w:rFonts w:ascii="Arial" w:hAnsi="Arial" w:cs="Arial"/>
          <w:noProof/>
        </w:rPr>
        <w:t>sirovina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2021. </w:t>
      </w:r>
      <w:r w:rsidRPr="00E56DC2">
        <w:rPr>
          <w:rFonts w:ascii="Arial" w:hAnsi="Arial" w:cs="Arial"/>
          <w:noProof/>
        </w:rPr>
        <w:t>godinu</w:t>
      </w:r>
      <w:r w:rsidR="00094233" w:rsidRPr="00D671DB">
        <w:rPr>
          <w:rFonts w:ascii="Arial" w:hAnsi="Arial" w:cs="Arial"/>
          <w:noProof/>
          <w:lang w:val="sr-Latn-CS"/>
        </w:rPr>
        <w:t>,</w:t>
      </w:r>
      <w:r w:rsidR="006227DA" w:rsidRPr="00D671DB">
        <w:rPr>
          <w:rFonts w:ascii="Arial" w:hAnsi="Arial" w:cs="Arial"/>
          <w:noProof/>
          <w:lang w:val="sr-Latn-CS"/>
        </w:rPr>
        <w:t xml:space="preserve"> </w:t>
      </w:r>
      <w:r w:rsidR="006227DA" w:rsidRPr="00E56DC2">
        <w:rPr>
          <w:rFonts w:ascii="Arial" w:hAnsi="Arial" w:cs="Arial"/>
          <w:noProof/>
        </w:rPr>
        <w:t>koji</w:t>
      </w:r>
      <w:r w:rsidR="006227DA" w:rsidRPr="00D671DB">
        <w:rPr>
          <w:rFonts w:ascii="Arial" w:hAnsi="Arial" w:cs="Arial"/>
          <w:noProof/>
          <w:lang w:val="sr-Latn-CS"/>
        </w:rPr>
        <w:t xml:space="preserve"> </w:t>
      </w:r>
      <w:r w:rsidR="006227DA" w:rsidRPr="00E56DC2">
        <w:rPr>
          <w:rFonts w:ascii="Arial" w:hAnsi="Arial" w:cs="Arial"/>
          <w:noProof/>
        </w:rPr>
        <w:t>na</w:t>
      </w:r>
      <w:r w:rsidR="006227DA" w:rsidRPr="00D671DB">
        <w:rPr>
          <w:rFonts w:ascii="Arial" w:hAnsi="Arial" w:cs="Arial"/>
          <w:noProof/>
          <w:lang w:val="sr-Latn-CS"/>
        </w:rPr>
        <w:t xml:space="preserve"> </w:t>
      </w:r>
      <w:r w:rsidR="006227DA" w:rsidRPr="00E56DC2">
        <w:rPr>
          <w:rFonts w:ascii="Arial" w:hAnsi="Arial" w:cs="Arial"/>
          <w:noProof/>
        </w:rPr>
        <w:t>osnovu</w:t>
      </w:r>
      <w:r w:rsidR="006227DA" w:rsidRPr="00D671DB">
        <w:rPr>
          <w:rFonts w:ascii="Arial" w:hAnsi="Arial" w:cs="Arial"/>
          <w:noProof/>
          <w:lang w:val="sr-Latn-CS"/>
        </w:rPr>
        <w:t xml:space="preserve"> č</w:t>
      </w:r>
      <w:r w:rsidR="006227DA" w:rsidRPr="00E56DC2">
        <w:rPr>
          <w:rFonts w:ascii="Arial" w:hAnsi="Arial" w:cs="Arial"/>
          <w:noProof/>
        </w:rPr>
        <w:t>lana</w:t>
      </w:r>
      <w:r w:rsidR="006227DA" w:rsidRPr="00D671DB">
        <w:rPr>
          <w:rFonts w:ascii="Arial" w:hAnsi="Arial" w:cs="Arial"/>
          <w:noProof/>
          <w:lang w:val="sr-Latn-CS"/>
        </w:rPr>
        <w:t xml:space="preserve"> 7 </w:t>
      </w:r>
      <w:r w:rsidR="006227DA" w:rsidRPr="00E56DC2">
        <w:rPr>
          <w:rFonts w:ascii="Arial" w:hAnsi="Arial" w:cs="Arial"/>
          <w:noProof/>
        </w:rPr>
        <w:t>stav</w:t>
      </w:r>
      <w:r w:rsidR="006227DA" w:rsidRPr="00D671DB">
        <w:rPr>
          <w:rFonts w:ascii="Arial" w:hAnsi="Arial" w:cs="Arial"/>
          <w:noProof/>
          <w:lang w:val="sr-Latn-CS"/>
        </w:rPr>
        <w:t xml:space="preserve"> 1 </w:t>
      </w:r>
      <w:r w:rsidR="006227DA" w:rsidRPr="00E56DC2">
        <w:rPr>
          <w:rFonts w:ascii="Arial" w:hAnsi="Arial" w:cs="Arial"/>
          <w:noProof/>
        </w:rPr>
        <w:t>Zakona</w:t>
      </w:r>
      <w:r w:rsidR="006227DA" w:rsidRPr="00D671DB">
        <w:rPr>
          <w:rFonts w:ascii="Arial" w:hAnsi="Arial" w:cs="Arial"/>
          <w:noProof/>
          <w:lang w:val="sr-Latn-CS"/>
        </w:rPr>
        <w:t xml:space="preserve"> </w:t>
      </w:r>
      <w:r w:rsidR="006227DA" w:rsidRPr="00E56DC2">
        <w:rPr>
          <w:rFonts w:ascii="Arial" w:hAnsi="Arial" w:cs="Arial"/>
          <w:noProof/>
        </w:rPr>
        <w:t>o</w:t>
      </w:r>
      <w:r w:rsidR="006227DA" w:rsidRPr="00D671DB">
        <w:rPr>
          <w:rFonts w:ascii="Arial" w:hAnsi="Arial" w:cs="Arial"/>
          <w:noProof/>
          <w:lang w:val="sr-Latn-CS"/>
        </w:rPr>
        <w:t xml:space="preserve"> </w:t>
      </w:r>
      <w:r w:rsidR="006227DA" w:rsidRPr="00E56DC2">
        <w:rPr>
          <w:rFonts w:ascii="Arial" w:hAnsi="Arial" w:cs="Arial"/>
          <w:noProof/>
        </w:rPr>
        <w:t>koncesijama</w:t>
      </w:r>
      <w:r w:rsidR="006227DA" w:rsidRPr="00D671DB">
        <w:rPr>
          <w:rFonts w:ascii="Arial" w:hAnsi="Arial" w:cs="Arial"/>
          <w:noProof/>
          <w:lang w:val="sr-Latn-CS"/>
        </w:rPr>
        <w:t xml:space="preserve"> („</w:t>
      </w:r>
      <w:r w:rsidR="006227DA" w:rsidRPr="00E56DC2">
        <w:rPr>
          <w:rFonts w:ascii="Arial" w:hAnsi="Arial" w:cs="Arial"/>
          <w:noProof/>
        </w:rPr>
        <w:t>Sl</w:t>
      </w:r>
      <w:r w:rsidR="006227DA" w:rsidRPr="00D671DB">
        <w:rPr>
          <w:rFonts w:ascii="Arial" w:hAnsi="Arial" w:cs="Arial"/>
          <w:noProof/>
          <w:lang w:val="sr-Latn-CS"/>
        </w:rPr>
        <w:t>.</w:t>
      </w:r>
      <w:r w:rsidR="006227DA" w:rsidRPr="00E56DC2">
        <w:rPr>
          <w:rFonts w:ascii="Arial" w:hAnsi="Arial" w:cs="Arial"/>
          <w:noProof/>
        </w:rPr>
        <w:t>list</w:t>
      </w:r>
      <w:r w:rsidR="006227DA" w:rsidRPr="00D671DB">
        <w:rPr>
          <w:rFonts w:ascii="Arial" w:hAnsi="Arial" w:cs="Arial"/>
          <w:noProof/>
          <w:lang w:val="sr-Latn-CS"/>
        </w:rPr>
        <w:t xml:space="preserve"> </w:t>
      </w:r>
      <w:r w:rsidR="006227DA" w:rsidRPr="00E56DC2">
        <w:rPr>
          <w:rFonts w:ascii="Arial" w:hAnsi="Arial" w:cs="Arial"/>
          <w:noProof/>
        </w:rPr>
        <w:t>CG</w:t>
      </w:r>
      <w:r w:rsidR="006227DA" w:rsidRPr="00D671DB">
        <w:rPr>
          <w:rFonts w:ascii="Arial" w:hAnsi="Arial" w:cs="Arial"/>
          <w:noProof/>
          <w:lang w:val="sr-Latn-CS"/>
        </w:rPr>
        <w:t>“,</w:t>
      </w:r>
      <w:r w:rsidR="00094233" w:rsidRPr="00D671DB">
        <w:rPr>
          <w:rFonts w:ascii="Arial" w:hAnsi="Arial" w:cs="Arial"/>
          <w:noProof/>
          <w:lang w:val="sr-Latn-CS"/>
        </w:rPr>
        <w:t xml:space="preserve">8/09 </w:t>
      </w:r>
      <w:r w:rsidR="00094233" w:rsidRPr="00E56DC2">
        <w:rPr>
          <w:rFonts w:ascii="Arial" w:hAnsi="Arial" w:cs="Arial"/>
          <w:noProof/>
        </w:rPr>
        <w:t>i</w:t>
      </w:r>
      <w:r w:rsidR="00094233" w:rsidRPr="00D671DB">
        <w:rPr>
          <w:rFonts w:ascii="Arial" w:hAnsi="Arial" w:cs="Arial"/>
          <w:noProof/>
          <w:lang w:val="sr-Latn-CS"/>
        </w:rPr>
        <w:t xml:space="preserve"> 73/19</w:t>
      </w:r>
      <w:r w:rsidR="006227DA" w:rsidRPr="00D671DB">
        <w:rPr>
          <w:rFonts w:ascii="Arial" w:hAnsi="Arial" w:cs="Arial"/>
          <w:noProof/>
          <w:lang w:val="sr-Latn-CS"/>
        </w:rPr>
        <w:t xml:space="preserve">) </w:t>
      </w:r>
      <w:r w:rsidR="000E39C7">
        <w:rPr>
          <w:rFonts w:ascii="Arial" w:hAnsi="Arial" w:cs="Arial"/>
          <w:noProof/>
        </w:rPr>
        <w:t>donosi</w:t>
      </w:r>
      <w:r w:rsidR="000E39C7" w:rsidRPr="000E39C7">
        <w:rPr>
          <w:rFonts w:ascii="Arial" w:hAnsi="Arial" w:cs="Arial"/>
          <w:noProof/>
          <w:lang w:val="sr-Latn-CS"/>
        </w:rPr>
        <w:t xml:space="preserve"> </w:t>
      </w:r>
      <w:r w:rsidR="000E39C7">
        <w:rPr>
          <w:rFonts w:ascii="Arial" w:hAnsi="Arial" w:cs="Arial"/>
          <w:noProof/>
          <w:lang w:val="sr-Latn-CS"/>
        </w:rPr>
        <w:t>Vlada</w:t>
      </w:r>
      <w:r w:rsidRPr="00D671DB">
        <w:rPr>
          <w:rFonts w:ascii="Arial" w:hAnsi="Arial" w:cs="Arial"/>
          <w:noProof/>
          <w:lang w:val="sr-Latn-CS"/>
        </w:rPr>
        <w:t xml:space="preserve">, </w:t>
      </w:r>
      <w:r w:rsidRPr="00E56DC2">
        <w:rPr>
          <w:rFonts w:ascii="Arial" w:hAnsi="Arial" w:cs="Arial"/>
          <w:noProof/>
        </w:rPr>
        <w:t>a</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koj</w:t>
      </w:r>
      <w:r w:rsidR="00436C34"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uvr</w:t>
      </w:r>
      <w:r w:rsidRPr="00D671DB">
        <w:rPr>
          <w:rFonts w:ascii="Arial" w:hAnsi="Arial" w:cs="Arial"/>
          <w:noProof/>
          <w:lang w:val="sr-Latn-CS"/>
        </w:rPr>
        <w:t>š</w:t>
      </w:r>
      <w:r w:rsidRPr="00E56DC2">
        <w:rPr>
          <w:rFonts w:ascii="Arial" w:hAnsi="Arial" w:cs="Arial"/>
          <w:noProof/>
        </w:rPr>
        <w:t>ten</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001F19FE">
        <w:rPr>
          <w:rFonts w:ascii="Arial" w:hAnsi="Arial" w:cs="Arial"/>
          <w:noProof/>
        </w:rPr>
        <w:t>lokalitet</w:t>
      </w:r>
      <w:r w:rsidR="002D6F71" w:rsidRPr="00D671DB">
        <w:rPr>
          <w:rFonts w:ascii="Arial" w:hAnsi="Arial" w:cs="Arial"/>
          <w:noProof/>
          <w:lang w:val="sr-Latn-CS"/>
        </w:rPr>
        <w:t xml:space="preserve"> </w:t>
      </w:r>
      <w:r w:rsidR="002D6F71" w:rsidRPr="00E56DC2">
        <w:rPr>
          <w:rFonts w:ascii="Arial" w:hAnsi="Arial" w:cs="Arial"/>
          <w:noProof/>
        </w:rPr>
        <w:t>tehni</w:t>
      </w:r>
      <w:r w:rsidR="002D6F71" w:rsidRPr="00D671DB">
        <w:rPr>
          <w:rFonts w:ascii="Arial" w:hAnsi="Arial" w:cs="Arial"/>
          <w:noProof/>
          <w:lang w:val="sr-Latn-CS"/>
        </w:rPr>
        <w:t>č</w:t>
      </w:r>
      <w:r w:rsidR="002D6F71" w:rsidRPr="00E56DC2">
        <w:rPr>
          <w:rFonts w:ascii="Arial" w:hAnsi="Arial" w:cs="Arial"/>
          <w:noProof/>
        </w:rPr>
        <w:t>ko</w:t>
      </w:r>
      <w:r w:rsidR="002D6F71" w:rsidRPr="00D671DB">
        <w:rPr>
          <w:rFonts w:ascii="Arial" w:hAnsi="Arial" w:cs="Arial"/>
          <w:noProof/>
          <w:lang w:val="sr-Latn-CS"/>
        </w:rPr>
        <w:t>-</w:t>
      </w:r>
      <w:r w:rsidR="002D6F71" w:rsidRPr="00E56DC2">
        <w:rPr>
          <w:rFonts w:ascii="Arial" w:hAnsi="Arial" w:cs="Arial"/>
          <w:noProof/>
        </w:rPr>
        <w:t>gra</w:t>
      </w:r>
      <w:r w:rsidR="002D6F71" w:rsidRPr="00D671DB">
        <w:rPr>
          <w:rFonts w:ascii="Arial" w:hAnsi="Arial" w:cs="Arial"/>
          <w:noProof/>
          <w:lang w:val="sr-Latn-CS"/>
        </w:rPr>
        <w:t>đ</w:t>
      </w:r>
      <w:r w:rsidR="002D6F71" w:rsidRPr="00E56DC2">
        <w:rPr>
          <w:rFonts w:ascii="Arial" w:hAnsi="Arial" w:cs="Arial"/>
          <w:noProof/>
        </w:rPr>
        <w:t>evinskog</w:t>
      </w:r>
      <w:r w:rsidR="002D6F71" w:rsidRPr="00D671DB">
        <w:rPr>
          <w:rFonts w:ascii="Arial" w:hAnsi="Arial" w:cs="Arial"/>
          <w:noProof/>
          <w:lang w:val="sr-Latn-CS"/>
        </w:rPr>
        <w:t xml:space="preserve"> </w:t>
      </w:r>
      <w:r w:rsidR="002D6F71" w:rsidRPr="00E56DC2">
        <w:rPr>
          <w:rFonts w:ascii="Arial" w:hAnsi="Arial" w:cs="Arial"/>
          <w:noProof/>
        </w:rPr>
        <w:t>kamena</w:t>
      </w:r>
      <w:r w:rsidR="00197D09" w:rsidRPr="00D671DB">
        <w:rPr>
          <w:rFonts w:ascii="Arial" w:hAnsi="Arial" w:cs="Arial"/>
          <w:noProof/>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002D6F71" w:rsidRPr="00D671DB">
        <w:rPr>
          <w:rFonts w:ascii="Arial" w:hAnsi="Arial" w:cs="Arial"/>
          <w:noProof/>
          <w:lang w:val="sr-Latn-CS"/>
        </w:rPr>
        <w:t xml:space="preserve">, </w:t>
      </w:r>
      <w:r w:rsidR="003D5374">
        <w:rPr>
          <w:rFonts w:ascii="Arial" w:hAnsi="Arial" w:cs="Arial"/>
          <w:noProof/>
        </w:rPr>
        <w:t>Prijestonica</w:t>
      </w:r>
      <w:r w:rsidR="003D5374" w:rsidRPr="00D671DB">
        <w:rPr>
          <w:rFonts w:ascii="Arial" w:hAnsi="Arial" w:cs="Arial"/>
          <w:noProof/>
          <w:lang w:val="sr-Latn-CS"/>
        </w:rPr>
        <w:t xml:space="preserve"> </w:t>
      </w:r>
      <w:r w:rsidR="003D5374">
        <w:rPr>
          <w:rFonts w:ascii="Arial" w:hAnsi="Arial" w:cs="Arial"/>
          <w:noProof/>
        </w:rPr>
        <w:t>Cetinje</w:t>
      </w:r>
      <w:r w:rsidR="002D6F71" w:rsidRPr="00D671DB">
        <w:rPr>
          <w:rFonts w:ascii="Arial" w:hAnsi="Arial" w:cs="Arial"/>
          <w:noProof/>
          <w:lang w:val="sr-Latn-CS"/>
        </w:rPr>
        <w:t>.</w:t>
      </w:r>
    </w:p>
    <w:p w14:paraId="4CE91BC5" w14:textId="1A9A5BFE" w:rsidR="00A42866" w:rsidRPr="00D671DB" w:rsidRDefault="00A42866" w:rsidP="00E26BF1">
      <w:pPr>
        <w:spacing w:after="0" w:line="240" w:lineRule="auto"/>
        <w:jc w:val="both"/>
        <w:rPr>
          <w:rFonts w:ascii="Arial" w:hAnsi="Arial" w:cs="Arial"/>
          <w:noProof/>
          <w:lang w:val="sr-Latn-CS"/>
        </w:rPr>
      </w:pPr>
    </w:p>
    <w:p w14:paraId="396FF467" w14:textId="50A5C88E" w:rsidR="00197D09" w:rsidRPr="00E56DC2" w:rsidRDefault="00A42866" w:rsidP="00E26BF1">
      <w:pPr>
        <w:spacing w:after="0" w:line="240" w:lineRule="auto"/>
        <w:jc w:val="both"/>
        <w:rPr>
          <w:rFonts w:ascii="Arial" w:hAnsi="Arial" w:cs="Arial"/>
          <w:lang w:val="sr-Latn-CS"/>
        </w:rPr>
      </w:pP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skladu</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č</w:t>
      </w:r>
      <w:r w:rsidRPr="00E56DC2">
        <w:rPr>
          <w:rFonts w:ascii="Arial" w:hAnsi="Arial" w:cs="Arial"/>
          <w:noProof/>
        </w:rPr>
        <w:t>lanom</w:t>
      </w:r>
      <w:r w:rsidRPr="00D671DB">
        <w:rPr>
          <w:rFonts w:ascii="Arial" w:hAnsi="Arial" w:cs="Arial"/>
          <w:noProof/>
          <w:lang w:val="sr-Latn-CS"/>
        </w:rPr>
        <w:t xml:space="preserve"> 40 </w:t>
      </w:r>
      <w:r w:rsidRPr="00E56DC2">
        <w:rPr>
          <w:rFonts w:ascii="Arial" w:hAnsi="Arial" w:cs="Arial"/>
          <w:noProof/>
        </w:rPr>
        <w:t>Zakona</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kim</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ivanjima</w:t>
      </w:r>
      <w:r w:rsidRPr="00D671DB">
        <w:rPr>
          <w:rFonts w:ascii="Arial" w:hAnsi="Arial" w:cs="Arial"/>
          <w:noProof/>
          <w:lang w:val="sr-Latn-CS"/>
        </w:rPr>
        <w:t xml:space="preserve"> („</w:t>
      </w:r>
      <w:r w:rsidRPr="00E56DC2">
        <w:rPr>
          <w:rFonts w:ascii="Arial" w:hAnsi="Arial" w:cs="Arial"/>
          <w:noProof/>
        </w:rPr>
        <w:t>Sl</w:t>
      </w:r>
      <w:r w:rsidRPr="00D671DB">
        <w:rPr>
          <w:rFonts w:ascii="Arial" w:hAnsi="Arial" w:cs="Arial"/>
          <w:noProof/>
          <w:lang w:val="sr-Latn-CS"/>
        </w:rPr>
        <w:t xml:space="preserve">. </w:t>
      </w:r>
      <w:r w:rsidRPr="00E56DC2">
        <w:rPr>
          <w:rFonts w:ascii="Arial" w:hAnsi="Arial" w:cs="Arial"/>
          <w:noProof/>
        </w:rPr>
        <w:t>list</w:t>
      </w:r>
      <w:r w:rsidRPr="00D671DB">
        <w:rPr>
          <w:rFonts w:ascii="Arial" w:hAnsi="Arial" w:cs="Arial"/>
          <w:noProof/>
          <w:lang w:val="sr-Latn-CS"/>
        </w:rPr>
        <w:t xml:space="preserve"> </w:t>
      </w:r>
      <w:r w:rsidRPr="00E56DC2">
        <w:rPr>
          <w:rFonts w:ascii="Arial" w:hAnsi="Arial" w:cs="Arial"/>
          <w:noProof/>
        </w:rPr>
        <w:t>RCG</w:t>
      </w:r>
      <w:r w:rsidRPr="00D671DB">
        <w:rPr>
          <w:rFonts w:ascii="Arial" w:hAnsi="Arial" w:cs="Arial"/>
          <w:noProof/>
          <w:lang w:val="sr-Latn-CS"/>
        </w:rPr>
        <w:t xml:space="preserve">’’, </w:t>
      </w:r>
      <w:r w:rsidRPr="00E56DC2">
        <w:rPr>
          <w:rFonts w:ascii="Arial" w:hAnsi="Arial" w:cs="Arial"/>
          <w:noProof/>
        </w:rPr>
        <w:t>br</w:t>
      </w:r>
      <w:r w:rsidRPr="00D671DB">
        <w:rPr>
          <w:rFonts w:ascii="Arial" w:hAnsi="Arial" w:cs="Arial"/>
          <w:noProof/>
          <w:lang w:val="sr-Latn-CS"/>
        </w:rPr>
        <w:t xml:space="preserve">. 28/93, 27/94, 42/94 </w:t>
      </w:r>
      <w:r w:rsidRPr="00E56DC2">
        <w:rPr>
          <w:rFonts w:ascii="Arial" w:hAnsi="Arial" w:cs="Arial"/>
          <w:noProof/>
        </w:rPr>
        <w:t>i</w:t>
      </w:r>
      <w:r w:rsidRPr="00D671DB">
        <w:rPr>
          <w:rFonts w:ascii="Arial" w:hAnsi="Arial" w:cs="Arial"/>
          <w:noProof/>
          <w:lang w:val="sr-Latn-CS"/>
        </w:rPr>
        <w:t xml:space="preserve"> 26/07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Sl</w:t>
      </w:r>
      <w:r w:rsidRPr="00D671DB">
        <w:rPr>
          <w:rFonts w:ascii="Arial" w:hAnsi="Arial" w:cs="Arial"/>
          <w:noProof/>
          <w:lang w:val="sr-Latn-CS"/>
        </w:rPr>
        <w:t xml:space="preserve">. </w:t>
      </w:r>
      <w:r w:rsidRPr="00E56DC2">
        <w:rPr>
          <w:rFonts w:ascii="Arial" w:hAnsi="Arial" w:cs="Arial"/>
          <w:noProof/>
        </w:rPr>
        <w:t>list</w:t>
      </w:r>
      <w:r w:rsidRPr="00D671DB">
        <w:rPr>
          <w:rFonts w:ascii="Arial" w:hAnsi="Arial" w:cs="Arial"/>
          <w:noProof/>
          <w:lang w:val="sr-Latn-CS"/>
        </w:rPr>
        <w:t xml:space="preserve"> </w:t>
      </w:r>
      <w:r w:rsidRPr="00E56DC2">
        <w:rPr>
          <w:rFonts w:ascii="Arial" w:hAnsi="Arial" w:cs="Arial"/>
          <w:noProof/>
        </w:rPr>
        <w:t>CG</w:t>
      </w:r>
      <w:r w:rsidRPr="00D671DB">
        <w:rPr>
          <w:rFonts w:ascii="Arial" w:hAnsi="Arial" w:cs="Arial"/>
          <w:noProof/>
          <w:lang w:val="sr-Latn-CS"/>
        </w:rPr>
        <w:t xml:space="preserve">“, </w:t>
      </w:r>
      <w:r w:rsidRPr="00E56DC2">
        <w:rPr>
          <w:rFonts w:ascii="Arial" w:hAnsi="Arial" w:cs="Arial"/>
          <w:noProof/>
        </w:rPr>
        <w:t>br</w:t>
      </w:r>
      <w:r w:rsidRPr="00D671DB">
        <w:rPr>
          <w:rFonts w:ascii="Arial" w:hAnsi="Arial" w:cs="Arial"/>
          <w:noProof/>
          <w:lang w:val="sr-Latn-CS"/>
        </w:rPr>
        <w:t xml:space="preserve">. 28/11)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Programom</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kih</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JU</w:t>
      </w:r>
      <w:r w:rsidRPr="00D671DB">
        <w:rPr>
          <w:rFonts w:ascii="Arial" w:hAnsi="Arial" w:cs="Arial"/>
          <w:noProof/>
          <w:lang w:val="sr-Latn-CS"/>
        </w:rPr>
        <w:t xml:space="preserve"> </w:t>
      </w:r>
      <w:r w:rsidRPr="00E56DC2">
        <w:rPr>
          <w:rFonts w:ascii="Arial" w:hAnsi="Arial" w:cs="Arial"/>
          <w:noProof/>
        </w:rPr>
        <w:t>Zavod</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ka</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pripremila</w:t>
      </w:r>
      <w:r w:rsidRPr="00D671DB">
        <w:rPr>
          <w:rFonts w:ascii="Arial" w:hAnsi="Arial" w:cs="Arial"/>
          <w:noProof/>
          <w:lang w:val="sr-Latn-CS"/>
        </w:rPr>
        <w:t xml:space="preserve"> </w:t>
      </w:r>
      <w:r w:rsidRPr="00E56DC2">
        <w:rPr>
          <w:rFonts w:ascii="Arial" w:hAnsi="Arial" w:cs="Arial"/>
          <w:noProof/>
        </w:rPr>
        <w:t>kompleksnu</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ku</w:t>
      </w:r>
      <w:r w:rsidRPr="00D671DB">
        <w:rPr>
          <w:rFonts w:ascii="Arial" w:hAnsi="Arial" w:cs="Arial"/>
          <w:noProof/>
          <w:lang w:val="sr-Latn-CS"/>
        </w:rPr>
        <w:t xml:space="preserve"> </w:t>
      </w:r>
      <w:r w:rsidRPr="00E56DC2">
        <w:rPr>
          <w:rFonts w:ascii="Arial" w:hAnsi="Arial" w:cs="Arial"/>
          <w:noProof/>
        </w:rPr>
        <w:t>podlogu</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potrebe</w:t>
      </w:r>
      <w:r w:rsidRPr="00D671DB">
        <w:rPr>
          <w:rFonts w:ascii="Arial" w:hAnsi="Arial" w:cs="Arial"/>
          <w:noProof/>
          <w:lang w:val="sr-Latn-CS"/>
        </w:rPr>
        <w:t xml:space="preserve"> </w:t>
      </w:r>
      <w:r w:rsidRPr="00E56DC2">
        <w:rPr>
          <w:rFonts w:ascii="Arial" w:hAnsi="Arial" w:cs="Arial"/>
          <w:noProof/>
        </w:rPr>
        <w:t>izrade</w:t>
      </w:r>
      <w:r w:rsidRPr="00D671DB">
        <w:rPr>
          <w:rFonts w:ascii="Arial" w:hAnsi="Arial" w:cs="Arial"/>
          <w:noProof/>
          <w:lang w:val="sr-Latn-CS"/>
        </w:rPr>
        <w:t xml:space="preserve"> </w:t>
      </w:r>
      <w:r w:rsidRPr="00E56DC2">
        <w:rPr>
          <w:rFonts w:ascii="Arial" w:hAnsi="Arial" w:cs="Arial"/>
          <w:noProof/>
        </w:rPr>
        <w:t>Koncesionog</w:t>
      </w:r>
      <w:r w:rsidRPr="00D671DB">
        <w:rPr>
          <w:rFonts w:ascii="Arial" w:hAnsi="Arial" w:cs="Arial"/>
          <w:noProof/>
          <w:lang w:val="sr-Latn-CS"/>
        </w:rPr>
        <w:t xml:space="preserve"> </w:t>
      </w:r>
      <w:r w:rsidRPr="00E56DC2">
        <w:rPr>
          <w:rFonts w:ascii="Arial" w:hAnsi="Arial" w:cs="Arial"/>
          <w:noProof/>
        </w:rPr>
        <w:t>akta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001F19FE">
        <w:rPr>
          <w:rFonts w:ascii="Arial" w:hAnsi="Arial" w:cs="Arial"/>
          <w:noProof/>
        </w:rPr>
        <w:t>lokalitet</w:t>
      </w:r>
      <w:r w:rsidRPr="00D671DB">
        <w:rPr>
          <w:rFonts w:ascii="Arial" w:hAnsi="Arial" w:cs="Arial"/>
          <w:noProof/>
          <w:lang w:val="sr-Latn-CS"/>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BC1B3C">
        <w:rPr>
          <w:rFonts w:ascii="Arial" w:hAnsi="Arial" w:cs="Arial"/>
          <w:lang w:val="sr-Latn-CS"/>
        </w:rPr>
        <w:t>“Milošev krš”</w:t>
      </w:r>
      <w:r w:rsidR="00197D09" w:rsidRPr="00E56DC2">
        <w:rPr>
          <w:rFonts w:ascii="Arial" w:hAnsi="Arial" w:cs="Arial"/>
          <w:lang w:val="sr-Latn-CS"/>
        </w:rPr>
        <w:t xml:space="preserve">, </w:t>
      </w:r>
      <w:r w:rsidR="003D5374">
        <w:rPr>
          <w:rFonts w:ascii="Arial" w:hAnsi="Arial" w:cs="Arial"/>
          <w:lang w:val="sr-Latn-CS"/>
        </w:rPr>
        <w:t>Prijestonica Cetinje</w:t>
      </w:r>
      <w:r w:rsidR="00197D09" w:rsidRPr="00E56DC2">
        <w:rPr>
          <w:rFonts w:ascii="Arial" w:hAnsi="Arial" w:cs="Arial"/>
          <w:lang w:val="sr-Latn-CS"/>
        </w:rPr>
        <w:t>.</w:t>
      </w:r>
    </w:p>
    <w:p w14:paraId="658A3233" w14:textId="2435FA5D" w:rsidR="00A42866" w:rsidRPr="00D671DB" w:rsidRDefault="00A42866" w:rsidP="00E26BF1">
      <w:pPr>
        <w:spacing w:after="0" w:line="240" w:lineRule="auto"/>
        <w:jc w:val="both"/>
        <w:rPr>
          <w:rFonts w:ascii="Arial" w:hAnsi="Arial" w:cs="Arial"/>
          <w:noProof/>
          <w:lang w:val="sr-Latn-CS"/>
        </w:rPr>
      </w:pPr>
    </w:p>
    <w:p w14:paraId="352C5C77" w14:textId="7868D32D" w:rsidR="00197D09" w:rsidRPr="00D671DB" w:rsidRDefault="00A42866" w:rsidP="00E26BF1">
      <w:pPr>
        <w:spacing w:after="0" w:line="240" w:lineRule="auto"/>
        <w:jc w:val="both"/>
        <w:rPr>
          <w:rFonts w:ascii="Arial" w:hAnsi="Arial" w:cs="Arial"/>
          <w:noProof/>
          <w:lang w:val="sr-Latn-CS"/>
        </w:rPr>
      </w:pP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skladu</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w:t>
      </w:r>
      <w:r w:rsidRPr="00E56DC2">
        <w:rPr>
          <w:rFonts w:ascii="Arial" w:hAnsi="Arial" w:cs="Arial"/>
          <w:noProof/>
        </w:rPr>
        <w:t>Zakonom</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 xml:space="preserve"> </w:t>
      </w:r>
      <w:r w:rsidRPr="00E56DC2">
        <w:rPr>
          <w:rFonts w:ascii="Arial" w:hAnsi="Arial" w:cs="Arial"/>
          <w:noProof/>
        </w:rPr>
        <w:t>koncesijama</w:t>
      </w:r>
      <w:r w:rsidRPr="00D671DB">
        <w:rPr>
          <w:rFonts w:ascii="Arial" w:hAnsi="Arial" w:cs="Arial"/>
          <w:noProof/>
          <w:lang w:val="sr-Latn-CS"/>
        </w:rPr>
        <w:t xml:space="preserve"> („</w:t>
      </w:r>
      <w:r w:rsidRPr="00E56DC2">
        <w:rPr>
          <w:rFonts w:ascii="Arial" w:hAnsi="Arial" w:cs="Arial"/>
          <w:noProof/>
        </w:rPr>
        <w:t>Slu</w:t>
      </w:r>
      <w:r w:rsidRPr="00D671DB">
        <w:rPr>
          <w:rFonts w:ascii="Arial" w:hAnsi="Arial" w:cs="Arial"/>
          <w:noProof/>
          <w:lang w:val="sr-Latn-CS"/>
        </w:rPr>
        <w:t>ž</w:t>
      </w:r>
      <w:r w:rsidRPr="00E56DC2">
        <w:rPr>
          <w:rFonts w:ascii="Arial" w:hAnsi="Arial" w:cs="Arial"/>
          <w:noProof/>
        </w:rPr>
        <w:t>beni</w:t>
      </w:r>
      <w:r w:rsidRPr="00D671DB">
        <w:rPr>
          <w:rFonts w:ascii="Arial" w:hAnsi="Arial" w:cs="Arial"/>
          <w:noProof/>
          <w:lang w:val="sr-Latn-CS"/>
        </w:rPr>
        <w:t xml:space="preserve"> </w:t>
      </w:r>
      <w:r w:rsidRPr="00E56DC2">
        <w:rPr>
          <w:rFonts w:ascii="Arial" w:hAnsi="Arial" w:cs="Arial"/>
          <w:noProof/>
        </w:rPr>
        <w:t>list</w:t>
      </w:r>
      <w:r w:rsidRPr="00D671DB">
        <w:rPr>
          <w:rFonts w:ascii="Arial" w:hAnsi="Arial" w:cs="Arial"/>
          <w:noProof/>
          <w:lang w:val="sr-Latn-CS"/>
        </w:rPr>
        <w:t xml:space="preserve"> </w:t>
      </w:r>
      <w:r w:rsidRPr="00E56DC2">
        <w:rPr>
          <w:rFonts w:ascii="Arial" w:hAnsi="Arial" w:cs="Arial"/>
          <w:noProof/>
        </w:rPr>
        <w:t>CG</w:t>
      </w:r>
      <w:r w:rsidRPr="00D671DB">
        <w:rPr>
          <w:rFonts w:ascii="Arial" w:hAnsi="Arial" w:cs="Arial"/>
          <w:noProof/>
          <w:lang w:val="sr-Latn-CS"/>
        </w:rPr>
        <w:t xml:space="preserve">”, </w:t>
      </w:r>
      <w:r w:rsidRPr="00E56DC2">
        <w:rPr>
          <w:rFonts w:ascii="Arial" w:hAnsi="Arial" w:cs="Arial"/>
          <w:noProof/>
        </w:rPr>
        <w:t>broj</w:t>
      </w:r>
      <w:r w:rsidRPr="00D671DB">
        <w:rPr>
          <w:rFonts w:ascii="Arial" w:hAnsi="Arial" w:cs="Arial"/>
          <w:noProof/>
          <w:lang w:val="sr-Latn-CS"/>
        </w:rPr>
        <w:t xml:space="preserve"> 8/09 </w:t>
      </w:r>
      <w:r w:rsidRPr="00E56DC2">
        <w:rPr>
          <w:rFonts w:ascii="Arial" w:hAnsi="Arial" w:cs="Arial"/>
          <w:noProof/>
        </w:rPr>
        <w:t>i</w:t>
      </w:r>
      <w:r w:rsidRPr="00D671DB">
        <w:rPr>
          <w:rFonts w:ascii="Arial" w:hAnsi="Arial" w:cs="Arial"/>
          <w:noProof/>
          <w:lang w:val="sr-Latn-CS"/>
        </w:rPr>
        <w:t xml:space="preserve"> 73/19)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Planom</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davanje</w:t>
      </w:r>
      <w:r w:rsidRPr="00D671DB">
        <w:rPr>
          <w:rFonts w:ascii="Arial" w:hAnsi="Arial" w:cs="Arial"/>
          <w:noProof/>
          <w:lang w:val="sr-Latn-CS"/>
        </w:rPr>
        <w:t xml:space="preserve"> </w:t>
      </w:r>
      <w:r w:rsidRPr="00E56DC2">
        <w:rPr>
          <w:rFonts w:ascii="Arial" w:hAnsi="Arial" w:cs="Arial"/>
          <w:noProof/>
        </w:rPr>
        <w:t>koncesija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detaljna</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ka</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eksploataciju</w:t>
      </w:r>
      <w:r w:rsidRPr="00D671DB">
        <w:rPr>
          <w:rFonts w:ascii="Arial" w:hAnsi="Arial" w:cs="Arial"/>
          <w:noProof/>
          <w:lang w:val="sr-Latn-CS"/>
        </w:rPr>
        <w:t xml:space="preserve"> </w:t>
      </w:r>
      <w:r w:rsidRPr="00E56DC2">
        <w:rPr>
          <w:rFonts w:ascii="Arial" w:hAnsi="Arial" w:cs="Arial"/>
          <w:noProof/>
        </w:rPr>
        <w:t>mineralnih</w:t>
      </w:r>
      <w:r w:rsidRPr="00D671DB">
        <w:rPr>
          <w:rFonts w:ascii="Arial" w:hAnsi="Arial" w:cs="Arial"/>
          <w:noProof/>
          <w:lang w:val="sr-Latn-CS"/>
        </w:rPr>
        <w:t xml:space="preserve"> </w:t>
      </w:r>
      <w:r w:rsidRPr="00E56DC2">
        <w:rPr>
          <w:rFonts w:ascii="Arial" w:hAnsi="Arial" w:cs="Arial"/>
          <w:noProof/>
        </w:rPr>
        <w:t>sirovina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2021. </w:t>
      </w:r>
      <w:r w:rsidRPr="00E56DC2">
        <w:rPr>
          <w:rFonts w:ascii="Arial" w:hAnsi="Arial" w:cs="Arial"/>
          <w:noProof/>
        </w:rPr>
        <w:t>godinu</w:t>
      </w:r>
      <w:r w:rsidRPr="00D671DB">
        <w:rPr>
          <w:rFonts w:ascii="Arial" w:hAnsi="Arial" w:cs="Arial"/>
          <w:noProof/>
          <w:lang w:val="sr-Latn-CS"/>
        </w:rPr>
        <w:t xml:space="preserve">, </w:t>
      </w:r>
      <w:r w:rsidRPr="00E56DC2">
        <w:rPr>
          <w:rFonts w:ascii="Arial" w:hAnsi="Arial" w:cs="Arial"/>
          <w:noProof/>
        </w:rPr>
        <w:t>Ministarstvo</w:t>
      </w:r>
      <w:r w:rsidRPr="00D671DB">
        <w:rPr>
          <w:rFonts w:ascii="Arial" w:hAnsi="Arial" w:cs="Arial"/>
          <w:noProof/>
          <w:lang w:val="sr-Latn-CS"/>
        </w:rPr>
        <w:t xml:space="preserve"> </w:t>
      </w:r>
      <w:r w:rsidRPr="00E56DC2">
        <w:rPr>
          <w:rFonts w:ascii="Arial" w:hAnsi="Arial" w:cs="Arial"/>
          <w:noProof/>
        </w:rPr>
        <w:t>kapitalnih</w:t>
      </w:r>
      <w:r w:rsidRPr="00D671DB">
        <w:rPr>
          <w:rFonts w:ascii="Arial" w:hAnsi="Arial" w:cs="Arial"/>
          <w:noProof/>
          <w:lang w:val="sr-Latn-CS"/>
        </w:rPr>
        <w:t xml:space="preserve"> </w:t>
      </w:r>
      <w:r w:rsidRPr="00E56DC2">
        <w:rPr>
          <w:rFonts w:ascii="Arial" w:hAnsi="Arial" w:cs="Arial"/>
          <w:noProof/>
        </w:rPr>
        <w:t>investicija</w:t>
      </w:r>
      <w:r w:rsidRPr="00D671DB">
        <w:rPr>
          <w:rFonts w:ascii="Arial" w:hAnsi="Arial" w:cs="Arial"/>
          <w:noProof/>
          <w:lang w:val="sr-Latn-CS"/>
        </w:rPr>
        <w:t>-</w:t>
      </w:r>
      <w:r w:rsidRPr="00E56DC2">
        <w:rPr>
          <w:rFonts w:ascii="Arial" w:hAnsi="Arial" w:cs="Arial"/>
          <w:noProof/>
        </w:rPr>
        <w:t>Vlade</w:t>
      </w:r>
      <w:r w:rsidRPr="00D671DB">
        <w:rPr>
          <w:rFonts w:ascii="Arial" w:hAnsi="Arial" w:cs="Arial"/>
          <w:noProof/>
          <w:lang w:val="sr-Latn-CS"/>
        </w:rPr>
        <w:t xml:space="preserve"> </w:t>
      </w:r>
      <w:r w:rsidRPr="00E56DC2">
        <w:rPr>
          <w:rFonts w:ascii="Arial" w:hAnsi="Arial" w:cs="Arial"/>
          <w:noProof/>
        </w:rPr>
        <w:t>Crne</w:t>
      </w:r>
      <w:r w:rsidRPr="00D671DB">
        <w:rPr>
          <w:rFonts w:ascii="Arial" w:hAnsi="Arial" w:cs="Arial"/>
          <w:noProof/>
          <w:lang w:val="sr-Latn-CS"/>
        </w:rPr>
        <w:t xml:space="preserve"> </w:t>
      </w:r>
      <w:r w:rsidRPr="00E56DC2">
        <w:rPr>
          <w:rFonts w:ascii="Arial" w:hAnsi="Arial" w:cs="Arial"/>
          <w:noProof/>
        </w:rPr>
        <w:t>Gore</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daljem</w:t>
      </w:r>
      <w:r w:rsidRPr="00D671DB">
        <w:rPr>
          <w:rFonts w:ascii="Arial" w:hAnsi="Arial" w:cs="Arial"/>
          <w:noProof/>
          <w:lang w:val="sr-Latn-CS"/>
        </w:rPr>
        <w:t xml:space="preserve"> </w:t>
      </w:r>
      <w:r w:rsidRPr="00E56DC2">
        <w:rPr>
          <w:rFonts w:ascii="Arial" w:hAnsi="Arial" w:cs="Arial"/>
          <w:noProof/>
        </w:rPr>
        <w:t>tekstu</w:t>
      </w:r>
      <w:r w:rsidRPr="00D671DB">
        <w:rPr>
          <w:rFonts w:ascii="Arial" w:hAnsi="Arial" w:cs="Arial"/>
          <w:noProof/>
          <w:lang w:val="sr-Latn-CS"/>
        </w:rPr>
        <w:t>:</w:t>
      </w:r>
      <w:r w:rsidR="008227F5" w:rsidRPr="00D671DB">
        <w:rPr>
          <w:rFonts w:ascii="Arial" w:hAnsi="Arial" w:cs="Arial"/>
          <w:noProof/>
          <w:lang w:val="sr-Latn-CS"/>
        </w:rPr>
        <w:t xml:space="preserve"> </w:t>
      </w:r>
      <w:r w:rsidRPr="00E56DC2">
        <w:rPr>
          <w:rFonts w:ascii="Arial" w:hAnsi="Arial" w:cs="Arial"/>
          <w:noProof/>
        </w:rPr>
        <w:t>Ministarstvo</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pripremilo</w:t>
      </w:r>
      <w:r w:rsidRPr="00D671DB">
        <w:rPr>
          <w:rFonts w:ascii="Arial" w:hAnsi="Arial" w:cs="Arial"/>
          <w:noProof/>
          <w:lang w:val="sr-Latn-CS"/>
        </w:rPr>
        <w:t xml:space="preserve"> </w:t>
      </w:r>
      <w:r w:rsidRPr="00E56DC2">
        <w:rPr>
          <w:rFonts w:ascii="Arial" w:hAnsi="Arial" w:cs="Arial"/>
          <w:noProof/>
        </w:rPr>
        <w:t>Koncesioni</w:t>
      </w:r>
      <w:r w:rsidRPr="00D671DB">
        <w:rPr>
          <w:rFonts w:ascii="Arial" w:hAnsi="Arial" w:cs="Arial"/>
          <w:noProof/>
          <w:lang w:val="sr-Latn-CS"/>
        </w:rPr>
        <w:t xml:space="preserve"> </w:t>
      </w:r>
      <w:r w:rsidRPr="00E56DC2">
        <w:rPr>
          <w:rFonts w:ascii="Arial" w:hAnsi="Arial" w:cs="Arial"/>
          <w:noProof/>
        </w:rPr>
        <w:t>akt</w:t>
      </w:r>
      <w:r w:rsidRPr="00D671DB">
        <w:rPr>
          <w:rFonts w:ascii="Arial" w:hAnsi="Arial" w:cs="Arial"/>
          <w:noProof/>
          <w:lang w:val="sr-Latn-CS"/>
        </w:rPr>
        <w:t xml:space="preserve"> </w:t>
      </w:r>
      <w:r w:rsidR="007642A0" w:rsidRPr="00E56DC2">
        <w:rPr>
          <w:rFonts w:ascii="Arial" w:hAnsi="Arial" w:cs="Arial"/>
          <w:noProof/>
        </w:rPr>
        <w:t>za</w:t>
      </w:r>
      <w:r w:rsidR="007642A0" w:rsidRPr="00D671DB">
        <w:rPr>
          <w:rFonts w:ascii="Arial" w:hAnsi="Arial" w:cs="Arial"/>
          <w:noProof/>
          <w:lang w:val="sr-Latn-CS"/>
        </w:rPr>
        <w:t xml:space="preserve"> </w:t>
      </w:r>
      <w:r w:rsidR="007642A0" w:rsidRPr="00E56DC2">
        <w:rPr>
          <w:rFonts w:ascii="Arial" w:hAnsi="Arial" w:cs="Arial"/>
          <w:lang w:val="sr-Latn-CS"/>
        </w:rPr>
        <w:t xml:space="preserve">za davanje prava na detaljna geološka istraživanja i eksploataciju </w:t>
      </w:r>
      <w:r w:rsidR="0044776A" w:rsidRPr="00E56DC2">
        <w:rPr>
          <w:rFonts w:ascii="Arial" w:hAnsi="Arial" w:cs="Arial"/>
          <w:noProof/>
        </w:rPr>
        <w:t>tehni</w:t>
      </w:r>
      <w:r w:rsidR="0044776A" w:rsidRPr="00D671DB">
        <w:rPr>
          <w:rFonts w:ascii="Arial" w:hAnsi="Arial" w:cs="Arial"/>
          <w:noProof/>
          <w:lang w:val="sr-Latn-CS"/>
        </w:rPr>
        <w:t>č</w:t>
      </w:r>
      <w:r w:rsidR="0044776A" w:rsidRPr="00E56DC2">
        <w:rPr>
          <w:rFonts w:ascii="Arial" w:hAnsi="Arial" w:cs="Arial"/>
          <w:noProof/>
        </w:rPr>
        <w:t>ko</w:t>
      </w:r>
      <w:r w:rsidR="0044776A" w:rsidRPr="00D671DB">
        <w:rPr>
          <w:rFonts w:ascii="Arial" w:hAnsi="Arial" w:cs="Arial"/>
          <w:noProof/>
          <w:lang w:val="sr-Latn-CS"/>
        </w:rPr>
        <w:t>-</w:t>
      </w:r>
      <w:r w:rsidR="0044776A" w:rsidRPr="00E56DC2">
        <w:rPr>
          <w:rFonts w:ascii="Arial" w:hAnsi="Arial" w:cs="Arial"/>
          <w:noProof/>
        </w:rPr>
        <w:t>gra</w:t>
      </w:r>
      <w:r w:rsidR="0044776A" w:rsidRPr="00D671DB">
        <w:rPr>
          <w:rFonts w:ascii="Arial" w:hAnsi="Arial" w:cs="Arial"/>
          <w:noProof/>
          <w:lang w:val="sr-Latn-CS"/>
        </w:rPr>
        <w:t>đ</w:t>
      </w:r>
      <w:r w:rsidR="0044776A" w:rsidRPr="00E56DC2">
        <w:rPr>
          <w:rFonts w:ascii="Arial" w:hAnsi="Arial" w:cs="Arial"/>
          <w:noProof/>
        </w:rPr>
        <w:t>evinskog</w:t>
      </w:r>
      <w:r w:rsidR="0044776A" w:rsidRPr="00D671DB">
        <w:rPr>
          <w:rFonts w:ascii="Arial" w:hAnsi="Arial" w:cs="Arial"/>
          <w:noProof/>
          <w:lang w:val="sr-Latn-CS"/>
        </w:rPr>
        <w:t xml:space="preserve"> </w:t>
      </w:r>
      <w:r w:rsidR="0044776A" w:rsidRPr="00E56DC2">
        <w:rPr>
          <w:rFonts w:ascii="Arial" w:hAnsi="Arial" w:cs="Arial"/>
          <w:noProof/>
        </w:rPr>
        <w:t>kamena</w:t>
      </w:r>
      <w:r w:rsidR="007642A0" w:rsidRPr="00E56DC2">
        <w:rPr>
          <w:rFonts w:ascii="Arial" w:hAnsi="Arial" w:cs="Arial"/>
          <w:lang w:val="sr-Latn-CS"/>
        </w:rPr>
        <w:t xml:space="preserve"> </w:t>
      </w:r>
      <w:r w:rsidR="00BC1B3C">
        <w:rPr>
          <w:rFonts w:ascii="Arial" w:hAnsi="Arial" w:cs="Arial"/>
          <w:lang w:val="sr-Latn-CS"/>
        </w:rPr>
        <w:t>lokaliteta</w:t>
      </w:r>
      <w:r w:rsidR="007642A0" w:rsidRPr="00E56DC2">
        <w:rPr>
          <w:rFonts w:ascii="Arial" w:hAnsi="Arial" w:cs="Arial"/>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00197D09" w:rsidRPr="00D671DB">
        <w:rPr>
          <w:rFonts w:ascii="Arial" w:hAnsi="Arial" w:cs="Arial"/>
          <w:noProof/>
          <w:lang w:val="sr-Latn-CS"/>
        </w:rPr>
        <w:t xml:space="preserve">, </w:t>
      </w:r>
      <w:r w:rsidR="003D5374">
        <w:rPr>
          <w:rFonts w:ascii="Arial" w:hAnsi="Arial" w:cs="Arial"/>
          <w:noProof/>
        </w:rPr>
        <w:t>Prijestonica</w:t>
      </w:r>
      <w:r w:rsidR="003D5374" w:rsidRPr="00D671DB">
        <w:rPr>
          <w:rFonts w:ascii="Arial" w:hAnsi="Arial" w:cs="Arial"/>
          <w:noProof/>
          <w:lang w:val="sr-Latn-CS"/>
        </w:rPr>
        <w:t xml:space="preserve"> </w:t>
      </w:r>
      <w:r w:rsidR="003D5374">
        <w:rPr>
          <w:rFonts w:ascii="Arial" w:hAnsi="Arial" w:cs="Arial"/>
          <w:noProof/>
        </w:rPr>
        <w:t>Cetinje</w:t>
      </w:r>
      <w:r w:rsidR="00197D09" w:rsidRPr="00D671DB">
        <w:rPr>
          <w:rFonts w:ascii="Arial" w:hAnsi="Arial" w:cs="Arial"/>
          <w:noProof/>
          <w:lang w:val="sr-Latn-CS"/>
        </w:rPr>
        <w:t>.</w:t>
      </w:r>
    </w:p>
    <w:p w14:paraId="399A3AB6" w14:textId="2D4D15A9" w:rsidR="007642A0" w:rsidRPr="00E56DC2" w:rsidRDefault="007642A0" w:rsidP="00E26BF1">
      <w:pPr>
        <w:spacing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3D5374">
      <w:pPr>
        <w:spacing w:after="0" w:line="240" w:lineRule="auto"/>
        <w:jc w:val="both"/>
        <w:rPr>
          <w:rFonts w:ascii="Arial" w:hAnsi="Arial" w:cs="Arial"/>
          <w:lang w:val="sr-Latn-CS"/>
        </w:rPr>
      </w:pPr>
    </w:p>
    <w:p w14:paraId="4776D623" w14:textId="77777777" w:rsidR="00744584" w:rsidRPr="00E56DC2" w:rsidRDefault="00744584" w:rsidP="000E39C7">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3501D4C2" w14:textId="77777777" w:rsidR="00744584" w:rsidRPr="00E56DC2" w:rsidRDefault="00744584" w:rsidP="000E39C7">
      <w:pPr>
        <w:spacing w:after="0" w:line="240" w:lineRule="auto"/>
        <w:jc w:val="both"/>
        <w:rPr>
          <w:rFonts w:ascii="Arial" w:hAnsi="Arial" w:cs="Arial"/>
          <w:b/>
          <w:lang w:val="sr-Latn-CS"/>
        </w:rPr>
      </w:pPr>
    </w:p>
    <w:p w14:paraId="224BDA5D" w14:textId="77777777" w:rsidR="00744584" w:rsidRPr="00E26BF1" w:rsidRDefault="00744584" w:rsidP="004A25AE">
      <w:pPr>
        <w:numPr>
          <w:ilvl w:val="0"/>
          <w:numId w:val="7"/>
        </w:numPr>
        <w:spacing w:after="0" w:line="240" w:lineRule="auto"/>
        <w:ind w:left="360" w:hanging="270"/>
        <w:jc w:val="both"/>
        <w:rPr>
          <w:rFonts w:ascii="Arial" w:hAnsi="Arial" w:cs="Arial"/>
          <w:sz w:val="20"/>
          <w:szCs w:val="20"/>
          <w:lang w:val="sr-Latn-CS"/>
        </w:rPr>
      </w:pPr>
      <w:r w:rsidRPr="00E26BF1">
        <w:rPr>
          <w:rFonts w:ascii="Arial" w:hAnsi="Arial" w:cs="Arial"/>
          <w:sz w:val="20"/>
          <w:szCs w:val="20"/>
          <w:lang w:val="sr-Latn-CS"/>
        </w:rPr>
        <w:t xml:space="preserve">Raspoloživa geološka i rudarska dokumentacija </w:t>
      </w:r>
      <w:r w:rsidR="007642A0" w:rsidRPr="00E26BF1">
        <w:rPr>
          <w:rFonts w:ascii="Arial" w:hAnsi="Arial" w:cs="Arial"/>
          <w:noProof/>
          <w:sz w:val="20"/>
          <w:szCs w:val="20"/>
          <w:lang w:val="pt-BR"/>
        </w:rPr>
        <w:t>Ministarstva kapitalnih investicija</w:t>
      </w:r>
      <w:r w:rsidR="007642A0" w:rsidRPr="00E26BF1">
        <w:rPr>
          <w:rFonts w:ascii="Arial" w:hAnsi="Arial" w:cs="Arial"/>
          <w:sz w:val="20"/>
          <w:szCs w:val="20"/>
          <w:lang w:val="sr-Latn-CS"/>
        </w:rPr>
        <w:t xml:space="preserve"> </w:t>
      </w:r>
      <w:r w:rsidR="00DB58E7" w:rsidRPr="00E26BF1">
        <w:rPr>
          <w:rFonts w:ascii="Arial" w:hAnsi="Arial" w:cs="Arial"/>
          <w:sz w:val="20"/>
          <w:szCs w:val="20"/>
          <w:lang w:val="sr-Latn-CS"/>
        </w:rPr>
        <w:t>i JU Zavod za geološka istraživanja Podgorica</w:t>
      </w:r>
      <w:r w:rsidRPr="00E26BF1">
        <w:rPr>
          <w:rFonts w:ascii="Arial" w:hAnsi="Arial" w:cs="Arial"/>
          <w:sz w:val="20"/>
          <w:szCs w:val="20"/>
          <w:lang w:val="sr-Latn-CS"/>
        </w:rPr>
        <w:t>;</w:t>
      </w:r>
    </w:p>
    <w:p w14:paraId="5304EAFD" w14:textId="491F88F8" w:rsidR="00744584" w:rsidRPr="00E26BF1" w:rsidRDefault="00744584" w:rsidP="004A25AE">
      <w:pPr>
        <w:numPr>
          <w:ilvl w:val="0"/>
          <w:numId w:val="7"/>
        </w:numPr>
        <w:spacing w:after="0" w:line="240" w:lineRule="auto"/>
        <w:ind w:left="360" w:hanging="270"/>
        <w:jc w:val="both"/>
        <w:rPr>
          <w:rFonts w:ascii="Arial" w:hAnsi="Arial" w:cs="Arial"/>
          <w:sz w:val="20"/>
          <w:szCs w:val="20"/>
          <w:lang w:val="sr-Latn-CS"/>
        </w:rPr>
      </w:pPr>
      <w:r w:rsidRPr="00E26BF1">
        <w:rPr>
          <w:rFonts w:ascii="Arial" w:hAnsi="Arial" w:cs="Arial"/>
          <w:sz w:val="20"/>
          <w:szCs w:val="20"/>
          <w:lang w:val="sr-Latn-CS"/>
        </w:rPr>
        <w:t xml:space="preserve">Podaci </w:t>
      </w:r>
      <w:r w:rsidR="001F19FE" w:rsidRPr="00E26BF1">
        <w:rPr>
          <w:rFonts w:ascii="Arial" w:hAnsi="Arial" w:cs="Arial"/>
          <w:sz w:val="20"/>
          <w:szCs w:val="20"/>
          <w:lang w:val="pt-BR"/>
        </w:rPr>
        <w:t>Uprave za katastar i državnu imovinu – Područna jedinica Cetinje, br. 917-119-97/2021 od 14.04.2021</w:t>
      </w:r>
      <w:r w:rsidR="00197D09" w:rsidRPr="00E26BF1">
        <w:rPr>
          <w:rFonts w:ascii="Arial" w:hAnsi="Arial" w:cs="Arial"/>
          <w:sz w:val="20"/>
          <w:szCs w:val="20"/>
          <w:lang w:val="sr-Latn-CS"/>
        </w:rPr>
        <w:t xml:space="preserve">; </w:t>
      </w:r>
    </w:p>
    <w:p w14:paraId="7EB7D781" w14:textId="3501F314" w:rsidR="00744584" w:rsidRPr="00E26BF1" w:rsidRDefault="005201A7" w:rsidP="004A25AE">
      <w:pPr>
        <w:pStyle w:val="ListParagraph"/>
        <w:numPr>
          <w:ilvl w:val="0"/>
          <w:numId w:val="7"/>
        </w:numPr>
        <w:spacing w:after="0" w:line="240" w:lineRule="auto"/>
        <w:ind w:left="360" w:hanging="270"/>
        <w:contextualSpacing w:val="0"/>
        <w:jc w:val="both"/>
        <w:rPr>
          <w:rFonts w:ascii="Arial" w:hAnsi="Arial" w:cs="Arial"/>
          <w:sz w:val="20"/>
          <w:szCs w:val="20"/>
          <w:lang w:val="sr-Latn-CS"/>
        </w:rPr>
      </w:pPr>
      <w:r w:rsidRPr="00E26BF1">
        <w:rPr>
          <w:rFonts w:ascii="Arial" w:hAnsi="Arial" w:cs="Arial"/>
          <w:sz w:val="20"/>
          <w:szCs w:val="20"/>
          <w:lang w:val="sr-Latn-CS"/>
        </w:rPr>
        <w:t xml:space="preserve">Mišljenje </w:t>
      </w:r>
      <w:r w:rsidR="001F19FE" w:rsidRPr="00E26BF1">
        <w:rPr>
          <w:rFonts w:ascii="Arial" w:hAnsi="Arial" w:cs="Arial"/>
          <w:sz w:val="20"/>
          <w:szCs w:val="20"/>
        </w:rPr>
        <w:t>Sekretarijata</w:t>
      </w:r>
      <w:r w:rsidR="001F19FE" w:rsidRPr="00E26BF1">
        <w:rPr>
          <w:rFonts w:ascii="Arial" w:hAnsi="Arial" w:cs="Arial"/>
          <w:sz w:val="20"/>
          <w:szCs w:val="20"/>
          <w:lang w:val="sr-Latn-CS"/>
        </w:rPr>
        <w:t xml:space="preserve"> </w:t>
      </w:r>
      <w:r w:rsidR="001F19FE" w:rsidRPr="00E26BF1">
        <w:rPr>
          <w:rFonts w:ascii="Arial" w:hAnsi="Arial" w:cs="Arial"/>
          <w:sz w:val="20"/>
          <w:szCs w:val="20"/>
        </w:rPr>
        <w:t>za</w:t>
      </w:r>
      <w:r w:rsidR="001F19FE" w:rsidRPr="00E26BF1">
        <w:rPr>
          <w:rFonts w:ascii="Arial" w:hAnsi="Arial" w:cs="Arial"/>
          <w:sz w:val="20"/>
          <w:szCs w:val="20"/>
          <w:lang w:val="sr-Latn-CS"/>
        </w:rPr>
        <w:t xml:space="preserve"> </w:t>
      </w:r>
      <w:r w:rsidR="001F19FE" w:rsidRPr="00E26BF1">
        <w:rPr>
          <w:rFonts w:ascii="Arial" w:hAnsi="Arial" w:cs="Arial"/>
          <w:sz w:val="20"/>
          <w:szCs w:val="20"/>
        </w:rPr>
        <w:t>ure</w:t>
      </w:r>
      <w:r w:rsidR="001F19FE" w:rsidRPr="00E26BF1">
        <w:rPr>
          <w:rFonts w:ascii="Arial" w:hAnsi="Arial" w:cs="Arial"/>
          <w:sz w:val="20"/>
          <w:szCs w:val="20"/>
          <w:lang w:val="sr-Latn-CS"/>
        </w:rPr>
        <w:t>đ</w:t>
      </w:r>
      <w:r w:rsidR="001F19FE" w:rsidRPr="00E26BF1">
        <w:rPr>
          <w:rFonts w:ascii="Arial" w:hAnsi="Arial" w:cs="Arial"/>
          <w:sz w:val="20"/>
          <w:szCs w:val="20"/>
        </w:rPr>
        <w:t>enje</w:t>
      </w:r>
      <w:r w:rsidR="001F19FE" w:rsidRPr="00E26BF1">
        <w:rPr>
          <w:rFonts w:ascii="Arial" w:hAnsi="Arial" w:cs="Arial"/>
          <w:sz w:val="20"/>
          <w:szCs w:val="20"/>
          <w:lang w:val="sr-Latn-CS"/>
        </w:rPr>
        <w:t xml:space="preserve"> </w:t>
      </w:r>
      <w:r w:rsidR="001F19FE" w:rsidRPr="00E26BF1">
        <w:rPr>
          <w:rFonts w:ascii="Arial" w:hAnsi="Arial" w:cs="Arial"/>
          <w:sz w:val="20"/>
          <w:szCs w:val="20"/>
        </w:rPr>
        <w:t>prostora</w:t>
      </w:r>
      <w:r w:rsidR="001F19FE" w:rsidRPr="00E26BF1">
        <w:rPr>
          <w:rFonts w:ascii="Arial" w:hAnsi="Arial" w:cs="Arial"/>
          <w:sz w:val="20"/>
          <w:szCs w:val="20"/>
          <w:lang w:val="sr-Latn-CS"/>
        </w:rPr>
        <w:t xml:space="preserve"> </w:t>
      </w:r>
      <w:r w:rsidR="001F19FE" w:rsidRPr="00E26BF1">
        <w:rPr>
          <w:rFonts w:ascii="Arial" w:hAnsi="Arial" w:cs="Arial"/>
          <w:sz w:val="20"/>
          <w:szCs w:val="20"/>
        </w:rPr>
        <w:t>i</w:t>
      </w:r>
      <w:r w:rsidR="001F19FE" w:rsidRPr="00E26BF1">
        <w:rPr>
          <w:rFonts w:ascii="Arial" w:hAnsi="Arial" w:cs="Arial"/>
          <w:sz w:val="20"/>
          <w:szCs w:val="20"/>
          <w:lang w:val="sr-Latn-CS"/>
        </w:rPr>
        <w:t xml:space="preserve"> </w:t>
      </w:r>
      <w:r w:rsidR="001F19FE" w:rsidRPr="00E26BF1">
        <w:rPr>
          <w:rFonts w:ascii="Arial" w:hAnsi="Arial" w:cs="Arial"/>
          <w:sz w:val="20"/>
          <w:szCs w:val="20"/>
        </w:rPr>
        <w:t>za</w:t>
      </w:r>
      <w:r w:rsidR="001F19FE" w:rsidRPr="00E26BF1">
        <w:rPr>
          <w:rFonts w:ascii="Arial" w:hAnsi="Arial" w:cs="Arial"/>
          <w:sz w:val="20"/>
          <w:szCs w:val="20"/>
          <w:lang w:val="sr-Latn-CS"/>
        </w:rPr>
        <w:t>š</w:t>
      </w:r>
      <w:r w:rsidR="001F19FE" w:rsidRPr="00E26BF1">
        <w:rPr>
          <w:rFonts w:ascii="Arial" w:hAnsi="Arial" w:cs="Arial"/>
          <w:sz w:val="20"/>
          <w:szCs w:val="20"/>
        </w:rPr>
        <w:t>titu</w:t>
      </w:r>
      <w:r w:rsidR="001F19FE" w:rsidRPr="00E26BF1">
        <w:rPr>
          <w:rFonts w:ascii="Arial" w:hAnsi="Arial" w:cs="Arial"/>
          <w:sz w:val="20"/>
          <w:szCs w:val="20"/>
          <w:lang w:val="sr-Latn-CS"/>
        </w:rPr>
        <w:t xml:space="preserve"> ž</w:t>
      </w:r>
      <w:r w:rsidR="001F19FE" w:rsidRPr="00E26BF1">
        <w:rPr>
          <w:rFonts w:ascii="Arial" w:hAnsi="Arial" w:cs="Arial"/>
          <w:sz w:val="20"/>
          <w:szCs w:val="20"/>
        </w:rPr>
        <w:t>ivotne</w:t>
      </w:r>
      <w:r w:rsidR="001F19FE" w:rsidRPr="00E26BF1">
        <w:rPr>
          <w:rFonts w:ascii="Arial" w:hAnsi="Arial" w:cs="Arial"/>
          <w:sz w:val="20"/>
          <w:szCs w:val="20"/>
          <w:lang w:val="sr-Latn-CS"/>
        </w:rPr>
        <w:t xml:space="preserve"> </w:t>
      </w:r>
      <w:r w:rsidR="001F19FE" w:rsidRPr="00E26BF1">
        <w:rPr>
          <w:rFonts w:ascii="Arial" w:hAnsi="Arial" w:cs="Arial"/>
          <w:sz w:val="20"/>
          <w:szCs w:val="20"/>
        </w:rPr>
        <w:t>sredine</w:t>
      </w:r>
      <w:r w:rsidR="001F19FE" w:rsidRPr="00E26BF1">
        <w:rPr>
          <w:rFonts w:ascii="Arial" w:hAnsi="Arial" w:cs="Arial"/>
          <w:sz w:val="20"/>
          <w:szCs w:val="20"/>
          <w:lang w:val="sr-Latn-CS"/>
        </w:rPr>
        <w:t xml:space="preserve">, </w:t>
      </w:r>
      <w:r w:rsidR="00771A4B">
        <w:rPr>
          <w:rFonts w:ascii="Arial" w:hAnsi="Arial" w:cs="Arial"/>
          <w:sz w:val="20"/>
          <w:szCs w:val="20"/>
        </w:rPr>
        <w:t>Prijesto</w:t>
      </w:r>
      <w:r w:rsidR="001F19FE" w:rsidRPr="00E26BF1">
        <w:rPr>
          <w:rFonts w:ascii="Arial" w:hAnsi="Arial" w:cs="Arial"/>
          <w:sz w:val="20"/>
          <w:szCs w:val="20"/>
        </w:rPr>
        <w:t>nica</w:t>
      </w:r>
      <w:r w:rsidR="001F19FE" w:rsidRPr="00E26BF1">
        <w:rPr>
          <w:rFonts w:ascii="Arial" w:hAnsi="Arial" w:cs="Arial"/>
          <w:sz w:val="20"/>
          <w:szCs w:val="20"/>
          <w:lang w:val="sr-Latn-CS"/>
        </w:rPr>
        <w:t xml:space="preserve"> </w:t>
      </w:r>
      <w:r w:rsidR="001F19FE" w:rsidRPr="00E26BF1">
        <w:rPr>
          <w:rFonts w:ascii="Arial" w:hAnsi="Arial" w:cs="Arial"/>
          <w:sz w:val="20"/>
          <w:szCs w:val="20"/>
        </w:rPr>
        <w:t>Cetinje</w:t>
      </w:r>
      <w:r w:rsidR="001F19FE" w:rsidRPr="00E26BF1">
        <w:rPr>
          <w:rFonts w:ascii="Arial" w:hAnsi="Arial" w:cs="Arial"/>
          <w:sz w:val="20"/>
          <w:szCs w:val="20"/>
          <w:lang w:val="sr-Latn-CS"/>
        </w:rPr>
        <w:t xml:space="preserve">, </w:t>
      </w:r>
      <w:r w:rsidR="001F19FE" w:rsidRPr="00E26BF1">
        <w:rPr>
          <w:rFonts w:ascii="Arial" w:hAnsi="Arial" w:cs="Arial"/>
          <w:sz w:val="20"/>
          <w:szCs w:val="20"/>
        </w:rPr>
        <w:t>broj</w:t>
      </w:r>
      <w:r w:rsidR="001F19FE" w:rsidRPr="00E26BF1">
        <w:rPr>
          <w:rFonts w:ascii="Arial" w:hAnsi="Arial" w:cs="Arial"/>
          <w:sz w:val="20"/>
          <w:szCs w:val="20"/>
          <w:lang w:val="sr-Latn-CS"/>
        </w:rPr>
        <w:t xml:space="preserve"> 05-332/21-188 </w:t>
      </w:r>
      <w:r w:rsidR="001F19FE" w:rsidRPr="00E26BF1">
        <w:rPr>
          <w:rFonts w:ascii="Arial" w:hAnsi="Arial" w:cs="Arial"/>
          <w:sz w:val="20"/>
          <w:szCs w:val="20"/>
        </w:rPr>
        <w:t>od</w:t>
      </w:r>
      <w:r w:rsidR="001F19FE" w:rsidRPr="00E26BF1">
        <w:rPr>
          <w:rFonts w:ascii="Arial" w:hAnsi="Arial" w:cs="Arial"/>
          <w:sz w:val="20"/>
          <w:szCs w:val="20"/>
          <w:lang w:val="sr-Latn-CS"/>
        </w:rPr>
        <w:t xml:space="preserve"> 19.03.2021.</w:t>
      </w:r>
      <w:r w:rsidR="001F19FE" w:rsidRPr="00E26BF1">
        <w:rPr>
          <w:rFonts w:ascii="Arial" w:hAnsi="Arial" w:cs="Arial"/>
          <w:sz w:val="20"/>
          <w:szCs w:val="20"/>
        </w:rPr>
        <w:t>godine</w:t>
      </w:r>
      <w:r w:rsidR="0000727F" w:rsidRPr="00E26BF1">
        <w:rPr>
          <w:rFonts w:ascii="Arial" w:hAnsi="Arial" w:cs="Arial"/>
          <w:sz w:val="20"/>
          <w:szCs w:val="20"/>
          <w:lang w:val="sr-Latn-CS"/>
        </w:rPr>
        <w:t>;</w:t>
      </w:r>
    </w:p>
    <w:p w14:paraId="6DD369C5" w14:textId="264C3FA6" w:rsidR="00647A0E" w:rsidRPr="00E26BF1" w:rsidRDefault="00346D88" w:rsidP="004A25AE">
      <w:pPr>
        <w:pStyle w:val="ListParagraph"/>
        <w:numPr>
          <w:ilvl w:val="0"/>
          <w:numId w:val="7"/>
        </w:numPr>
        <w:spacing w:after="0" w:line="240" w:lineRule="auto"/>
        <w:ind w:left="360" w:hanging="270"/>
        <w:contextualSpacing w:val="0"/>
        <w:jc w:val="both"/>
        <w:rPr>
          <w:rFonts w:ascii="Arial" w:hAnsi="Arial" w:cs="Arial"/>
          <w:sz w:val="20"/>
          <w:szCs w:val="20"/>
          <w:lang w:val="sr-Latn-CS"/>
        </w:rPr>
      </w:pPr>
      <w:r>
        <w:rPr>
          <w:rFonts w:ascii="Arial" w:hAnsi="Arial" w:cs="Arial"/>
          <w:sz w:val="20"/>
          <w:szCs w:val="20"/>
          <w:lang w:val="sr-Latn-CS"/>
        </w:rPr>
        <w:t>Mišljenje</w:t>
      </w:r>
      <w:r w:rsidR="0044776A" w:rsidRPr="00E26BF1">
        <w:rPr>
          <w:rFonts w:ascii="Arial" w:hAnsi="Arial" w:cs="Arial"/>
          <w:sz w:val="20"/>
          <w:szCs w:val="20"/>
          <w:lang w:val="sr-Latn-CS"/>
        </w:rPr>
        <w:t xml:space="preserve"> Uprave za zaštitu kulturnih dobara, </w:t>
      </w:r>
      <w:r w:rsidR="001F19FE" w:rsidRPr="00F87BC7">
        <w:rPr>
          <w:rFonts w:ascii="Arial" w:hAnsi="Arial" w:cs="Arial"/>
          <w:sz w:val="20"/>
          <w:szCs w:val="20"/>
          <w:lang w:val="pt-BR"/>
        </w:rPr>
        <w:t>br</w:t>
      </w:r>
      <w:r w:rsidR="001F19FE" w:rsidRPr="00E26BF1">
        <w:rPr>
          <w:rFonts w:ascii="Arial" w:hAnsi="Arial" w:cs="Arial"/>
          <w:sz w:val="20"/>
          <w:szCs w:val="20"/>
          <w:lang w:val="sr-Latn-CS"/>
        </w:rPr>
        <w:t xml:space="preserve">. 03-128/2021-17/2 </w:t>
      </w:r>
      <w:r w:rsidR="001F19FE" w:rsidRPr="00F87BC7">
        <w:rPr>
          <w:rFonts w:ascii="Arial" w:hAnsi="Arial" w:cs="Arial"/>
          <w:sz w:val="20"/>
          <w:szCs w:val="20"/>
          <w:lang w:val="pt-BR"/>
        </w:rPr>
        <w:t>od</w:t>
      </w:r>
      <w:r w:rsidR="001F19FE" w:rsidRPr="00E26BF1">
        <w:rPr>
          <w:rFonts w:ascii="Arial" w:hAnsi="Arial" w:cs="Arial"/>
          <w:sz w:val="20"/>
          <w:szCs w:val="20"/>
          <w:lang w:val="sr-Latn-CS"/>
        </w:rPr>
        <w:t xml:space="preserve"> 12.04.202</w:t>
      </w:r>
      <w:r w:rsidR="00B33302" w:rsidRPr="00E26BF1">
        <w:rPr>
          <w:rFonts w:ascii="Arial" w:hAnsi="Arial" w:cs="Arial"/>
          <w:sz w:val="20"/>
          <w:szCs w:val="20"/>
          <w:lang w:val="sr-Latn-CS"/>
        </w:rPr>
        <w:t>1</w:t>
      </w:r>
      <w:r w:rsidR="001F19FE" w:rsidRPr="00E26BF1">
        <w:rPr>
          <w:rFonts w:ascii="Arial" w:hAnsi="Arial" w:cs="Arial"/>
          <w:sz w:val="20"/>
          <w:szCs w:val="20"/>
          <w:lang w:val="sr-Latn-CS"/>
        </w:rPr>
        <w:t xml:space="preserve">. </w:t>
      </w:r>
    </w:p>
    <w:p w14:paraId="107D6F72" w14:textId="77777777" w:rsidR="00071C59" w:rsidRPr="00E26BF1" w:rsidRDefault="00071C59" w:rsidP="004A25AE">
      <w:pPr>
        <w:pStyle w:val="ListParagraph"/>
        <w:numPr>
          <w:ilvl w:val="0"/>
          <w:numId w:val="7"/>
        </w:numPr>
        <w:spacing w:after="0" w:line="240" w:lineRule="auto"/>
        <w:ind w:left="360" w:hanging="270"/>
        <w:contextualSpacing w:val="0"/>
        <w:jc w:val="both"/>
        <w:rPr>
          <w:rFonts w:ascii="Arial" w:hAnsi="Arial" w:cs="Arial"/>
          <w:sz w:val="20"/>
          <w:szCs w:val="20"/>
          <w:lang w:val="pl-PL"/>
        </w:rPr>
      </w:pPr>
      <w:r w:rsidRPr="00E26BF1">
        <w:rPr>
          <w:rFonts w:ascii="Arial" w:hAnsi="Arial" w:cs="Arial"/>
          <w:sz w:val="20"/>
          <w:szCs w:val="20"/>
          <w:lang w:val="pl-PL"/>
        </w:rPr>
        <w:t xml:space="preserve">Podaci </w:t>
      </w:r>
      <w:r w:rsidRPr="00E26BF1">
        <w:rPr>
          <w:rFonts w:ascii="Arial" w:hAnsi="Arial" w:cs="Arial"/>
          <w:sz w:val="20"/>
          <w:szCs w:val="20"/>
          <w:lang w:val="sr-Latn-CS"/>
        </w:rPr>
        <w:t>Zavoda za statistiku o ostvarenim prodajnim cijenama mineralnih sirovina za 2020. godinu, (br. 01-059/21-806/2 od 30.03.2021)</w:t>
      </w:r>
      <w:r w:rsidRPr="00E26BF1">
        <w:rPr>
          <w:rFonts w:ascii="Arial" w:hAnsi="Arial" w:cs="Arial"/>
          <w:sz w:val="20"/>
          <w:szCs w:val="20"/>
          <w:lang w:val="pl-PL" w:eastAsia="sl-SI"/>
        </w:rPr>
        <w:t>;</w:t>
      </w:r>
    </w:p>
    <w:p w14:paraId="6D2B3859" w14:textId="3B713112" w:rsidR="004F7D71" w:rsidRPr="00E26BF1" w:rsidRDefault="00330939" w:rsidP="004A25AE">
      <w:pPr>
        <w:pStyle w:val="ListParagraph"/>
        <w:numPr>
          <w:ilvl w:val="0"/>
          <w:numId w:val="7"/>
        </w:numPr>
        <w:spacing w:after="0" w:line="240" w:lineRule="auto"/>
        <w:ind w:left="360" w:hanging="270"/>
        <w:contextualSpacing w:val="0"/>
        <w:jc w:val="both"/>
        <w:rPr>
          <w:rFonts w:ascii="Arial" w:hAnsi="Arial" w:cs="Arial"/>
          <w:sz w:val="20"/>
          <w:szCs w:val="20"/>
          <w:lang w:val="sr-Latn-CS"/>
        </w:rPr>
      </w:pPr>
      <w:r w:rsidRPr="00E26BF1">
        <w:rPr>
          <w:rFonts w:ascii="Arial" w:hAnsi="Arial" w:cs="Arial"/>
          <w:sz w:val="20"/>
          <w:szCs w:val="20"/>
          <w:lang w:val="pl-PL"/>
        </w:rPr>
        <w:t xml:space="preserve">Tehnički izvještaj </w:t>
      </w:r>
      <w:r w:rsidRPr="00E26BF1">
        <w:rPr>
          <w:rFonts w:ascii="Arial" w:hAnsi="Arial" w:cs="Arial"/>
          <w:sz w:val="20"/>
          <w:szCs w:val="20"/>
          <w:lang w:val="sr-Latn-CS"/>
        </w:rPr>
        <w:t xml:space="preserve">sa </w:t>
      </w:r>
      <w:r w:rsidRPr="00E26BF1">
        <w:rPr>
          <w:rFonts w:ascii="Arial" w:hAnsi="Arial" w:cs="Arial"/>
          <w:sz w:val="20"/>
          <w:szCs w:val="20"/>
          <w:lang w:val="pl-PL"/>
        </w:rPr>
        <w:t>koordina</w:t>
      </w:r>
      <w:r w:rsidR="00DD095F" w:rsidRPr="00E26BF1">
        <w:rPr>
          <w:rFonts w:ascii="Arial" w:hAnsi="Arial" w:cs="Arial"/>
          <w:sz w:val="20"/>
          <w:szCs w:val="20"/>
          <w:lang w:val="pl-PL"/>
        </w:rPr>
        <w:t xml:space="preserve">tama graničnih tačaka </w:t>
      </w:r>
      <w:r w:rsidR="00BC1B3C" w:rsidRPr="00E26BF1">
        <w:rPr>
          <w:rFonts w:ascii="Arial" w:hAnsi="Arial" w:cs="Arial"/>
          <w:sz w:val="20"/>
          <w:szCs w:val="20"/>
          <w:lang w:val="pl-PL"/>
        </w:rPr>
        <w:t>lokaliteta</w:t>
      </w:r>
      <w:r w:rsidR="004F7D71" w:rsidRPr="00E26BF1">
        <w:rPr>
          <w:rFonts w:ascii="Arial" w:hAnsi="Arial" w:cs="Arial"/>
          <w:sz w:val="20"/>
          <w:szCs w:val="20"/>
          <w:lang w:val="sr-Latn-CS"/>
        </w:rPr>
        <w:t xml:space="preserve"> </w:t>
      </w:r>
      <w:r w:rsidR="00BC1B3C" w:rsidRPr="00E26BF1">
        <w:rPr>
          <w:rFonts w:ascii="Arial" w:hAnsi="Arial" w:cs="Arial"/>
          <w:noProof/>
          <w:sz w:val="20"/>
          <w:szCs w:val="20"/>
          <w:lang w:val="pl-PL"/>
        </w:rPr>
        <w:t>“Milošev krš”</w:t>
      </w:r>
      <w:r w:rsidR="00197D09" w:rsidRPr="00E26BF1">
        <w:rPr>
          <w:rFonts w:ascii="Arial" w:hAnsi="Arial" w:cs="Arial"/>
          <w:noProof/>
          <w:sz w:val="20"/>
          <w:szCs w:val="20"/>
          <w:lang w:val="pl-PL"/>
        </w:rPr>
        <w:t xml:space="preserve">, </w:t>
      </w:r>
      <w:r w:rsidR="003D5374" w:rsidRPr="00E26BF1">
        <w:rPr>
          <w:rFonts w:ascii="Arial" w:hAnsi="Arial" w:cs="Arial"/>
          <w:noProof/>
          <w:sz w:val="20"/>
          <w:szCs w:val="20"/>
          <w:lang w:val="pl-PL"/>
        </w:rPr>
        <w:t>Prijestonica Cetinje</w:t>
      </w:r>
      <w:r w:rsidR="00197D09" w:rsidRPr="00E26BF1">
        <w:rPr>
          <w:rFonts w:ascii="Arial" w:hAnsi="Arial" w:cs="Arial"/>
          <w:noProof/>
          <w:sz w:val="20"/>
          <w:szCs w:val="20"/>
          <w:lang w:val="pl-PL"/>
        </w:rPr>
        <w:t>.</w:t>
      </w:r>
    </w:p>
    <w:p w14:paraId="2E1DACAA" w14:textId="77777777" w:rsidR="004F7D71" w:rsidRPr="00E56DC2" w:rsidRDefault="004F7D71" w:rsidP="000E39C7">
      <w:pPr>
        <w:pStyle w:val="ListParagraph"/>
        <w:spacing w:after="0" w:line="240" w:lineRule="auto"/>
        <w:jc w:val="both"/>
        <w:rPr>
          <w:rFonts w:ascii="Arial" w:hAnsi="Arial" w:cs="Arial"/>
          <w:lang w:val="sr-Latn-CS"/>
        </w:rPr>
      </w:pPr>
    </w:p>
    <w:p w14:paraId="4375B2D3" w14:textId="77777777" w:rsidR="00684F40" w:rsidRPr="00E56DC2" w:rsidRDefault="00684F40" w:rsidP="004A25AE">
      <w:pPr>
        <w:spacing w:after="0" w:line="240" w:lineRule="auto"/>
        <w:jc w:val="both"/>
        <w:rPr>
          <w:rFonts w:ascii="Arial" w:hAnsi="Arial" w:cs="Arial"/>
          <w:b/>
          <w:lang w:val="sr-Latn-CS"/>
        </w:rPr>
      </w:pPr>
      <w:r w:rsidRPr="00E56DC2">
        <w:rPr>
          <w:rFonts w:ascii="Arial" w:hAnsi="Arial" w:cs="Arial"/>
          <w:b/>
          <w:lang w:val="sr-Latn-CS"/>
        </w:rPr>
        <w:t>Zakonski propisi korišćeni pri izradi Koncesionog akta:</w:t>
      </w:r>
    </w:p>
    <w:p w14:paraId="155A23EB" w14:textId="77777777" w:rsidR="00744584" w:rsidRPr="00E56DC2" w:rsidRDefault="00744584" w:rsidP="000E39C7">
      <w:pPr>
        <w:spacing w:after="0" w:line="240" w:lineRule="auto"/>
        <w:ind w:left="709"/>
        <w:jc w:val="both"/>
        <w:rPr>
          <w:rFonts w:ascii="Arial" w:hAnsi="Arial" w:cs="Arial"/>
          <w:lang w:val="sr-Latn-CS"/>
        </w:rPr>
      </w:pPr>
    </w:p>
    <w:p w14:paraId="3E20AAFD" w14:textId="77777777" w:rsidR="00684F40" w:rsidRPr="00E26BF1" w:rsidRDefault="00684F40" w:rsidP="004A25AE">
      <w:pPr>
        <w:numPr>
          <w:ilvl w:val="0"/>
          <w:numId w:val="8"/>
        </w:numPr>
        <w:spacing w:after="0" w:line="240" w:lineRule="auto"/>
        <w:ind w:left="360" w:hanging="270"/>
        <w:jc w:val="both"/>
        <w:rPr>
          <w:rFonts w:ascii="Arial" w:hAnsi="Arial" w:cs="Arial"/>
          <w:noProof/>
          <w:lang w:val="pt-BR"/>
        </w:rPr>
      </w:pPr>
      <w:bookmarkStart w:id="1" w:name="_Toc390549892"/>
      <w:bookmarkStart w:id="2" w:name="_Toc390336654"/>
      <w:bookmarkStart w:id="3" w:name="_Toc390336529"/>
      <w:bookmarkStart w:id="4" w:name="_Toc402262924"/>
      <w:r w:rsidRPr="00E26BF1">
        <w:rPr>
          <w:rFonts w:ascii="Arial" w:hAnsi="Arial" w:cs="Arial"/>
          <w:noProof/>
          <w:lang w:val="pt-BR"/>
        </w:rPr>
        <w:t>Zakon o koncesijama („Sl. list CG“, br. 8/09 i 73/19);</w:t>
      </w:r>
    </w:p>
    <w:p w14:paraId="064C83BB" w14:textId="77777777" w:rsidR="00684F40" w:rsidRPr="00E26BF1" w:rsidRDefault="00684F40" w:rsidP="004A25AE">
      <w:pPr>
        <w:numPr>
          <w:ilvl w:val="0"/>
          <w:numId w:val="8"/>
        </w:numPr>
        <w:spacing w:after="0" w:line="240" w:lineRule="auto"/>
        <w:ind w:left="360" w:hanging="270"/>
        <w:jc w:val="both"/>
        <w:rPr>
          <w:rFonts w:ascii="Arial" w:hAnsi="Arial" w:cs="Arial"/>
          <w:noProof/>
        </w:rPr>
      </w:pPr>
      <w:r w:rsidRPr="00E26BF1">
        <w:rPr>
          <w:rFonts w:ascii="Arial" w:hAnsi="Arial" w:cs="Arial"/>
          <w:noProof/>
        </w:rPr>
        <w:t>Zakon o rudarstvu („Sl. list CG“, br. 65/08, 74/10 i 40/11);</w:t>
      </w:r>
    </w:p>
    <w:p w14:paraId="40664BEA" w14:textId="77777777" w:rsidR="00684F40" w:rsidRPr="00E26BF1" w:rsidRDefault="00684F40" w:rsidP="004A25AE">
      <w:pPr>
        <w:numPr>
          <w:ilvl w:val="0"/>
          <w:numId w:val="8"/>
        </w:numPr>
        <w:spacing w:after="0" w:line="240" w:lineRule="auto"/>
        <w:ind w:left="360" w:hanging="270"/>
        <w:jc w:val="both"/>
        <w:rPr>
          <w:rFonts w:ascii="Arial" w:hAnsi="Arial" w:cs="Arial"/>
          <w:noProof/>
        </w:rPr>
      </w:pPr>
      <w:r w:rsidRPr="00E26BF1">
        <w:rPr>
          <w:rFonts w:ascii="Arial" w:hAnsi="Arial" w:cs="Arial"/>
          <w:noProof/>
        </w:rPr>
        <w:t>Zakon o geološkim istraživanjima (‘“Sl. list RCG’’, br. 28/93, 27/94, 42/94 i 26/07 i „Sl. list CG“, br. 28/11);</w:t>
      </w:r>
    </w:p>
    <w:p w14:paraId="2F7B2594" w14:textId="77777777" w:rsidR="00684F40" w:rsidRPr="00E26BF1" w:rsidRDefault="00684F40" w:rsidP="004A25AE">
      <w:pPr>
        <w:numPr>
          <w:ilvl w:val="0"/>
          <w:numId w:val="8"/>
        </w:numPr>
        <w:spacing w:after="0" w:line="240" w:lineRule="auto"/>
        <w:ind w:left="360" w:hanging="270"/>
        <w:jc w:val="both"/>
        <w:rPr>
          <w:rFonts w:ascii="Arial" w:hAnsi="Arial" w:cs="Arial"/>
          <w:noProof/>
          <w:lang w:val="pt-BR"/>
        </w:rPr>
      </w:pPr>
      <w:r w:rsidRPr="00E26BF1">
        <w:rPr>
          <w:rFonts w:ascii="Arial" w:hAnsi="Arial" w:cs="Arial"/>
          <w:noProof/>
          <w:lang w:val="pt-BR"/>
        </w:rPr>
        <w:t>Zakon o procjeni uticaja na životnu sredinu („Sl. list RCG“, br. 75/18);</w:t>
      </w:r>
    </w:p>
    <w:p w14:paraId="225D62E1" w14:textId="77777777" w:rsidR="00684F40" w:rsidRPr="00E26BF1" w:rsidRDefault="00684F40" w:rsidP="004A25AE">
      <w:pPr>
        <w:numPr>
          <w:ilvl w:val="0"/>
          <w:numId w:val="8"/>
        </w:numPr>
        <w:spacing w:after="0" w:line="240" w:lineRule="auto"/>
        <w:ind w:left="360" w:hanging="270"/>
        <w:jc w:val="both"/>
        <w:rPr>
          <w:rFonts w:ascii="Arial" w:hAnsi="Arial" w:cs="Arial"/>
          <w:noProof/>
          <w:lang w:val="pt-BR"/>
        </w:rPr>
      </w:pPr>
      <w:r w:rsidRPr="00E26BF1">
        <w:rPr>
          <w:rFonts w:ascii="Arial" w:hAnsi="Arial" w:cs="Arial"/>
          <w:noProof/>
          <w:lang w:val="pt-BR"/>
        </w:rPr>
        <w:t>Uredba o kriterijumima i načinu obračuna iznosa minimalne koncesione naknade za ustupanje prava na istraživanje i eksploataciju mineralnih sirovina („Sl. list CG“, br. 37/11 i 40/16);</w:t>
      </w:r>
    </w:p>
    <w:p w14:paraId="73A7097B" w14:textId="6E49A4DD" w:rsidR="00684F40" w:rsidRPr="00E26BF1" w:rsidRDefault="00684F40" w:rsidP="004A25AE">
      <w:pPr>
        <w:numPr>
          <w:ilvl w:val="0"/>
          <w:numId w:val="8"/>
        </w:numPr>
        <w:spacing w:after="0" w:line="240" w:lineRule="auto"/>
        <w:ind w:left="360" w:hanging="270"/>
        <w:jc w:val="both"/>
        <w:rPr>
          <w:rFonts w:ascii="Arial" w:hAnsi="Arial" w:cs="Arial"/>
          <w:noProof/>
          <w:lang w:val="pt-BR"/>
        </w:rPr>
      </w:pPr>
      <w:r w:rsidRPr="00E26BF1">
        <w:rPr>
          <w:rFonts w:ascii="Arial" w:hAnsi="Arial" w:cs="Arial"/>
          <w:noProof/>
          <w:lang w:val="pt-BR"/>
        </w:rPr>
        <w:t>Uredba o visini sredstava za sanaciju i rekultivaciju prostora na kojem se izvode rudarski radovi, načinu obračunavanja, plaćanja i korišćenja tih sredstava („Sl. list CG“, br. 51/11).</w:t>
      </w:r>
    </w:p>
    <w:p w14:paraId="1A46A3A7" w14:textId="74796088" w:rsidR="00BA6C79" w:rsidRPr="00E26BF1" w:rsidRDefault="00BA6C79" w:rsidP="004A25AE">
      <w:pPr>
        <w:numPr>
          <w:ilvl w:val="0"/>
          <w:numId w:val="8"/>
        </w:numPr>
        <w:spacing w:after="0" w:line="240" w:lineRule="auto"/>
        <w:ind w:left="360" w:hanging="270"/>
        <w:jc w:val="both"/>
        <w:rPr>
          <w:rFonts w:ascii="Arial" w:hAnsi="Arial" w:cs="Arial"/>
          <w:noProof/>
          <w:lang w:val="pt-BR"/>
        </w:rPr>
      </w:pPr>
      <w:r w:rsidRPr="00E26BF1">
        <w:rPr>
          <w:rFonts w:ascii="Arial" w:hAnsi="Arial" w:cs="Arial"/>
          <w:noProof/>
          <w:lang w:val="pt-BR"/>
        </w:rPr>
        <w:t>Uredba o načinu utvrđivanja naknade za korišćenje nepokretnosti u državnoj imovini („Sl. list CG“, br. 132/21).</w:t>
      </w:r>
    </w:p>
    <w:p w14:paraId="6A23B947" w14:textId="77777777" w:rsidR="00684F40" w:rsidRPr="00E56DC2" w:rsidRDefault="00684F40" w:rsidP="003D5374">
      <w:pPr>
        <w:spacing w:after="0" w:line="240" w:lineRule="auto"/>
        <w:ind w:left="709"/>
        <w:jc w:val="both"/>
        <w:rPr>
          <w:rFonts w:ascii="Arial" w:hAnsi="Arial" w:cs="Arial"/>
          <w:lang w:val="sr-Latn-CS"/>
        </w:rPr>
      </w:pPr>
    </w:p>
    <w:p w14:paraId="7787D3E6" w14:textId="0ECD8468" w:rsidR="00684F40" w:rsidRPr="00E26BF1" w:rsidRDefault="00684F40" w:rsidP="003D5374">
      <w:pPr>
        <w:spacing w:after="0" w:line="240" w:lineRule="auto"/>
        <w:jc w:val="both"/>
        <w:rPr>
          <w:rFonts w:ascii="Arial" w:hAnsi="Arial" w:cs="Arial"/>
          <w:b/>
          <w:sz w:val="20"/>
          <w:szCs w:val="20"/>
          <w:lang w:val="sr-Latn-CS"/>
        </w:rPr>
      </w:pPr>
      <w:r w:rsidRPr="00E26BF1">
        <w:rPr>
          <w:rFonts w:ascii="Arial" w:hAnsi="Arial" w:cs="Arial"/>
          <w:b/>
          <w:sz w:val="20"/>
          <w:szCs w:val="20"/>
          <w:lang w:val="sr-Latn-CS"/>
        </w:rPr>
        <w:lastRenderedPageBreak/>
        <w:t xml:space="preserve">Mjesto i vrijeme izrade Koncesionog akta: </w:t>
      </w:r>
      <w:r w:rsidRPr="00E26BF1">
        <w:rPr>
          <w:rFonts w:ascii="Arial" w:hAnsi="Arial" w:cs="Arial"/>
          <w:sz w:val="20"/>
          <w:szCs w:val="20"/>
          <w:lang w:val="sr-Latn-CS"/>
        </w:rPr>
        <w:t xml:space="preserve">Podgorica, </w:t>
      </w:r>
      <w:r w:rsidR="001746A3" w:rsidRPr="00E26BF1">
        <w:rPr>
          <w:rFonts w:ascii="Arial" w:hAnsi="Arial" w:cs="Arial"/>
          <w:sz w:val="20"/>
          <w:szCs w:val="20"/>
          <w:lang w:val="sr-Latn-CS"/>
        </w:rPr>
        <w:t>decembar</w:t>
      </w:r>
      <w:r w:rsidRPr="00E26BF1">
        <w:rPr>
          <w:rFonts w:ascii="Arial" w:hAnsi="Arial" w:cs="Arial"/>
          <w:sz w:val="20"/>
          <w:szCs w:val="20"/>
          <w:lang w:val="sr-Latn-CS"/>
        </w:rPr>
        <w:t xml:space="preserve"> 2021. godine</w:t>
      </w:r>
    </w:p>
    <w:p w14:paraId="30D9091B" w14:textId="77777777" w:rsidR="00684F40" w:rsidRPr="00E56DC2" w:rsidRDefault="00684F40" w:rsidP="003D5374">
      <w:pPr>
        <w:spacing w:after="0" w:line="240" w:lineRule="auto"/>
        <w:jc w:val="both"/>
        <w:rPr>
          <w:rFonts w:ascii="Arial" w:hAnsi="Arial" w:cs="Arial"/>
          <w:lang w:val="sr-Latn-CS"/>
        </w:rPr>
      </w:pPr>
    </w:p>
    <w:p w14:paraId="7FBEAE91" w14:textId="54ED0A93" w:rsidR="00684F40" w:rsidRPr="00D671DB" w:rsidRDefault="00684F40" w:rsidP="00D35018">
      <w:pPr>
        <w:spacing w:after="0" w:line="240" w:lineRule="auto"/>
        <w:jc w:val="both"/>
        <w:rPr>
          <w:rFonts w:ascii="Arial" w:hAnsi="Arial" w:cs="Arial"/>
          <w:b/>
          <w:lang w:val="pt-BR"/>
        </w:rPr>
      </w:pPr>
    </w:p>
    <w:p w14:paraId="513BF7D8" w14:textId="77777777" w:rsidR="003E777D" w:rsidRPr="00E56DC2" w:rsidRDefault="003E777D" w:rsidP="00F87BC7">
      <w:pPr>
        <w:spacing w:after="0" w:line="240" w:lineRule="auto"/>
        <w:jc w:val="center"/>
        <w:rPr>
          <w:rFonts w:ascii="Arial" w:hAnsi="Arial" w:cs="Arial"/>
          <w:b/>
        </w:rPr>
      </w:pPr>
      <w:r w:rsidRPr="00E56DC2">
        <w:rPr>
          <w:rFonts w:ascii="Arial" w:hAnsi="Arial" w:cs="Arial"/>
          <w:b/>
        </w:rPr>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r w:rsidRPr="00E56DC2">
              <w:rPr>
                <w:rFonts w:ascii="Arial" w:hAnsi="Arial" w:cs="Arial"/>
              </w:rPr>
              <w:t>Uvod</w:t>
            </w:r>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24B8E41D"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izvještaj o </w:t>
            </w:r>
            <w:r w:rsidR="001746A3">
              <w:rPr>
                <w:rFonts w:ascii="Arial" w:hAnsi="Arial" w:cs="Arial"/>
              </w:rPr>
              <w:t>lokalitetu</w:t>
            </w:r>
            <w:r w:rsidR="00F2620A" w:rsidRPr="00E56DC2">
              <w:rPr>
                <w:rFonts w:ascii="Arial" w:hAnsi="Arial" w:cs="Arial"/>
              </w:rPr>
              <w:t xml:space="preserve"> </w:t>
            </w:r>
            <w:r w:rsidR="003814AF" w:rsidRPr="00E56DC2">
              <w:rPr>
                <w:rFonts w:ascii="Arial" w:hAnsi="Arial" w:cs="Arial"/>
              </w:rPr>
              <w:t>tehničko-građevinskog kamena</w:t>
            </w:r>
            <w:r w:rsidR="00F2620A" w:rsidRPr="00E56DC2">
              <w:rPr>
                <w:rFonts w:ascii="Arial" w:hAnsi="Arial" w:cs="Arial"/>
              </w:rPr>
              <w:t xml:space="preserve"> </w:t>
            </w:r>
            <w:r w:rsidR="00BC1B3C">
              <w:rPr>
                <w:rFonts w:ascii="Arial" w:hAnsi="Arial" w:cs="Arial"/>
                <w:noProof/>
              </w:rPr>
              <w:t>“Milošev krš”</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Rok trajanja koncesije</w:t>
            </w:r>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CA1F83"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D671DB" w:rsidRDefault="00F2620A" w:rsidP="00D35018">
            <w:pPr>
              <w:spacing w:after="0" w:line="240" w:lineRule="auto"/>
              <w:jc w:val="center"/>
              <w:rPr>
                <w:rFonts w:ascii="Arial" w:hAnsi="Arial" w:cs="Arial"/>
                <w:lang w:val="pt-BR"/>
              </w:rPr>
            </w:pPr>
          </w:p>
        </w:tc>
      </w:tr>
      <w:tr w:rsidR="00E56DC2" w:rsidRPr="00CA1F83" w14:paraId="7943337D" w14:textId="77777777" w:rsidTr="0010704C">
        <w:tc>
          <w:tcPr>
            <w:tcW w:w="8926" w:type="dxa"/>
          </w:tcPr>
          <w:p w14:paraId="56636588"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3E3B0532" w14:textId="77777777" w:rsidR="00F2620A" w:rsidRPr="00D671DB" w:rsidRDefault="00F2620A" w:rsidP="00D35018">
            <w:pPr>
              <w:spacing w:after="0" w:line="240" w:lineRule="auto"/>
              <w:jc w:val="center"/>
              <w:rPr>
                <w:rFonts w:ascii="Arial" w:hAnsi="Arial" w:cs="Arial"/>
                <w:lang w:val="pt-BR"/>
              </w:rPr>
            </w:pPr>
          </w:p>
        </w:tc>
      </w:tr>
      <w:tr w:rsidR="00E56DC2" w:rsidRPr="00CA1F83"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D671DB" w:rsidRDefault="00F2620A" w:rsidP="00DC7002">
            <w:pPr>
              <w:spacing w:after="0" w:line="240" w:lineRule="auto"/>
              <w:jc w:val="center"/>
              <w:rPr>
                <w:rFonts w:ascii="Arial" w:hAnsi="Arial" w:cs="Arial"/>
                <w:lang w:val="pt-BR"/>
              </w:rPr>
            </w:pPr>
          </w:p>
        </w:tc>
      </w:tr>
      <w:tr w:rsidR="00E56DC2" w:rsidRPr="00CA1F83" w14:paraId="0AD29DB5" w14:textId="77777777" w:rsidTr="0010704C">
        <w:tc>
          <w:tcPr>
            <w:tcW w:w="8926" w:type="dxa"/>
          </w:tcPr>
          <w:p w14:paraId="5ACACAF4"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30D8DE3D" w14:textId="77777777" w:rsidR="00F2620A" w:rsidRPr="00D671DB" w:rsidRDefault="00F2620A" w:rsidP="00D35018">
            <w:pPr>
              <w:spacing w:after="0" w:line="240" w:lineRule="auto"/>
              <w:jc w:val="center"/>
              <w:rPr>
                <w:rFonts w:ascii="Arial" w:hAnsi="Arial" w:cs="Arial"/>
                <w:lang w:val="pt-BR"/>
              </w:rPr>
            </w:pPr>
          </w:p>
        </w:tc>
      </w:tr>
      <w:tr w:rsidR="00E56DC2" w:rsidRPr="00CA1F83" w14:paraId="33601E92" w14:textId="77777777" w:rsidTr="0010704C">
        <w:tc>
          <w:tcPr>
            <w:tcW w:w="8926" w:type="dxa"/>
          </w:tcPr>
          <w:p w14:paraId="4CF8F089" w14:textId="66FEA946"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BC1B3C" w:rsidRPr="00D671DB">
              <w:rPr>
                <w:rFonts w:ascii="Arial" w:hAnsi="Arial" w:cs="Arial"/>
                <w:noProof/>
                <w:lang w:val="pt-BR"/>
              </w:rPr>
              <w:t>“Milošev krš”</w:t>
            </w:r>
          </w:p>
        </w:tc>
        <w:tc>
          <w:tcPr>
            <w:tcW w:w="929" w:type="dxa"/>
            <w:vAlign w:val="center"/>
          </w:tcPr>
          <w:p w14:paraId="05309210" w14:textId="77777777" w:rsidR="00F2620A" w:rsidRPr="00D671DB" w:rsidRDefault="00F2620A" w:rsidP="00DC7002">
            <w:pPr>
              <w:spacing w:after="0" w:line="240" w:lineRule="auto"/>
              <w:jc w:val="center"/>
              <w:rPr>
                <w:rFonts w:ascii="Arial" w:hAnsi="Arial" w:cs="Arial"/>
                <w:lang w:val="pt-BR"/>
              </w:rPr>
            </w:pPr>
          </w:p>
        </w:tc>
      </w:tr>
      <w:tr w:rsidR="00E56DC2" w:rsidRPr="00CA1F83" w14:paraId="30D5FF46" w14:textId="77777777" w:rsidTr="0010704C">
        <w:tc>
          <w:tcPr>
            <w:tcW w:w="8926" w:type="dxa"/>
          </w:tcPr>
          <w:p w14:paraId="098187B5"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493FD4DD" w14:textId="77777777" w:rsidR="00F2620A" w:rsidRPr="00D671DB" w:rsidRDefault="00F2620A" w:rsidP="00D35018">
            <w:pPr>
              <w:spacing w:after="0" w:line="240" w:lineRule="auto"/>
              <w:jc w:val="center"/>
              <w:rPr>
                <w:rFonts w:ascii="Arial" w:hAnsi="Arial" w:cs="Arial"/>
                <w:lang w:val="pt-BR"/>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r w:rsidR="00A04177" w:rsidRPr="00E56DC2">
              <w:rPr>
                <w:rFonts w:ascii="Arial" w:hAnsi="Arial" w:cs="Arial"/>
              </w:rPr>
              <w:t>energetske</w:t>
            </w:r>
            <w:r w:rsidR="00F2620A" w:rsidRPr="00E56DC2">
              <w:rPr>
                <w:rFonts w:ascii="Arial" w:hAnsi="Arial" w:cs="Arial"/>
              </w:rPr>
              <w:t xml:space="preserve"> efikasnosti</w:t>
            </w:r>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CA1F83"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D671DB" w:rsidRDefault="00F2620A" w:rsidP="00DC7002">
            <w:pPr>
              <w:spacing w:after="0" w:line="240" w:lineRule="auto"/>
              <w:jc w:val="center"/>
              <w:rPr>
                <w:rFonts w:ascii="Arial" w:hAnsi="Arial" w:cs="Arial"/>
                <w:lang w:val="pt-BR"/>
              </w:rPr>
            </w:pPr>
          </w:p>
        </w:tc>
      </w:tr>
      <w:tr w:rsidR="00E56DC2" w:rsidRPr="00CA1F83" w14:paraId="47A9A70A" w14:textId="77777777" w:rsidTr="0010704C">
        <w:tc>
          <w:tcPr>
            <w:tcW w:w="8926" w:type="dxa"/>
          </w:tcPr>
          <w:p w14:paraId="678D12B4"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2A13762F" w14:textId="77777777" w:rsidR="00F2620A" w:rsidRPr="00D671DB" w:rsidRDefault="00F2620A" w:rsidP="00D35018">
            <w:pPr>
              <w:spacing w:after="0" w:line="240" w:lineRule="auto"/>
              <w:jc w:val="center"/>
              <w:rPr>
                <w:rFonts w:ascii="Arial" w:hAnsi="Arial" w:cs="Arial"/>
                <w:lang w:val="pt-BR"/>
              </w:rPr>
            </w:pPr>
          </w:p>
        </w:tc>
      </w:tr>
      <w:tr w:rsidR="00E56DC2" w:rsidRPr="00CA1F83"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D671DB" w:rsidRDefault="00F2620A" w:rsidP="00D35018">
            <w:pPr>
              <w:spacing w:after="0" w:line="240" w:lineRule="auto"/>
              <w:jc w:val="center"/>
              <w:rPr>
                <w:rFonts w:ascii="Arial" w:hAnsi="Arial" w:cs="Arial"/>
                <w:lang w:val="pt-BR"/>
              </w:rPr>
            </w:pPr>
          </w:p>
        </w:tc>
      </w:tr>
      <w:tr w:rsidR="00E56DC2" w:rsidRPr="00CA1F83" w14:paraId="7B2FF7A3" w14:textId="77777777" w:rsidTr="0010704C">
        <w:tc>
          <w:tcPr>
            <w:tcW w:w="8926" w:type="dxa"/>
          </w:tcPr>
          <w:p w14:paraId="0FDFA079"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111C0672" w14:textId="77777777" w:rsidR="00F2620A" w:rsidRPr="00D671DB" w:rsidRDefault="00F2620A" w:rsidP="00D35018">
            <w:pPr>
              <w:spacing w:after="0" w:line="240" w:lineRule="auto"/>
              <w:jc w:val="center"/>
              <w:rPr>
                <w:rFonts w:ascii="Arial" w:hAnsi="Arial" w:cs="Arial"/>
                <w:lang w:val="pt-BR"/>
              </w:rPr>
            </w:pPr>
          </w:p>
        </w:tc>
      </w:tr>
      <w:tr w:rsidR="00E56DC2" w:rsidRPr="00CA1F83"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D671DB" w:rsidRDefault="00F2620A" w:rsidP="00DC7002">
            <w:pPr>
              <w:spacing w:after="0" w:line="240" w:lineRule="auto"/>
              <w:jc w:val="center"/>
              <w:rPr>
                <w:rFonts w:ascii="Arial" w:hAnsi="Arial" w:cs="Arial"/>
                <w:lang w:val="pt-BR"/>
              </w:rPr>
            </w:pPr>
          </w:p>
        </w:tc>
      </w:tr>
      <w:tr w:rsidR="00E56DC2" w:rsidRPr="00CA1F83" w14:paraId="60F1A04C" w14:textId="77777777" w:rsidTr="0010704C">
        <w:tc>
          <w:tcPr>
            <w:tcW w:w="8926" w:type="dxa"/>
          </w:tcPr>
          <w:p w14:paraId="6F9DE479"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1752DCE9" w14:textId="77777777" w:rsidR="00F2620A" w:rsidRPr="00D671DB" w:rsidRDefault="00F2620A" w:rsidP="00D35018">
            <w:pPr>
              <w:spacing w:after="0" w:line="240" w:lineRule="auto"/>
              <w:jc w:val="center"/>
              <w:rPr>
                <w:rFonts w:ascii="Arial" w:hAnsi="Arial" w:cs="Arial"/>
                <w:lang w:val="pt-BR"/>
              </w:rPr>
            </w:pPr>
          </w:p>
        </w:tc>
      </w:tr>
      <w:tr w:rsidR="00E56DC2" w:rsidRPr="00CA1F83"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D671DB" w:rsidRDefault="00F2620A" w:rsidP="00DC7002">
            <w:pPr>
              <w:spacing w:after="0" w:line="240" w:lineRule="auto"/>
              <w:jc w:val="center"/>
              <w:rPr>
                <w:rFonts w:ascii="Arial" w:hAnsi="Arial" w:cs="Arial"/>
                <w:lang w:val="pt-BR"/>
              </w:rPr>
            </w:pPr>
          </w:p>
        </w:tc>
      </w:tr>
      <w:tr w:rsidR="00E56DC2" w:rsidRPr="00CA1F83" w14:paraId="29BBE2FE" w14:textId="77777777" w:rsidTr="0010704C">
        <w:tc>
          <w:tcPr>
            <w:tcW w:w="8926" w:type="dxa"/>
          </w:tcPr>
          <w:p w14:paraId="5971903A"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74B6F402" w14:textId="77777777" w:rsidR="00F2620A" w:rsidRPr="00D671DB" w:rsidRDefault="00F2620A" w:rsidP="00D35018">
            <w:pPr>
              <w:spacing w:after="0" w:line="240" w:lineRule="auto"/>
              <w:jc w:val="center"/>
              <w:rPr>
                <w:rFonts w:ascii="Arial" w:hAnsi="Arial" w:cs="Arial"/>
                <w:lang w:val="pt-BR"/>
              </w:rPr>
            </w:pPr>
          </w:p>
        </w:tc>
      </w:tr>
      <w:tr w:rsidR="00E56DC2" w:rsidRPr="00CA1F83"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D671DB" w:rsidRDefault="00F2620A" w:rsidP="00DC7002">
            <w:pPr>
              <w:spacing w:after="0" w:line="240" w:lineRule="auto"/>
              <w:jc w:val="center"/>
              <w:rPr>
                <w:rFonts w:ascii="Arial" w:hAnsi="Arial" w:cs="Arial"/>
                <w:lang w:val="pt-BR"/>
              </w:rPr>
            </w:pPr>
          </w:p>
        </w:tc>
      </w:tr>
      <w:tr w:rsidR="00E56DC2" w:rsidRPr="00CA1F83" w14:paraId="21E795AB" w14:textId="77777777" w:rsidTr="0010704C">
        <w:tc>
          <w:tcPr>
            <w:tcW w:w="8926" w:type="dxa"/>
          </w:tcPr>
          <w:p w14:paraId="67E39892" w14:textId="77777777" w:rsidR="00F2620A" w:rsidRPr="00D671DB" w:rsidRDefault="00F2620A" w:rsidP="00C01968">
            <w:pPr>
              <w:spacing w:after="0" w:line="240" w:lineRule="auto"/>
              <w:jc w:val="both"/>
              <w:rPr>
                <w:rFonts w:ascii="Arial" w:hAnsi="Arial" w:cs="Arial"/>
                <w:lang w:val="pt-BR"/>
              </w:rPr>
            </w:pPr>
          </w:p>
        </w:tc>
        <w:tc>
          <w:tcPr>
            <w:tcW w:w="929" w:type="dxa"/>
            <w:vAlign w:val="center"/>
          </w:tcPr>
          <w:p w14:paraId="2161041D" w14:textId="77777777" w:rsidR="00F2620A" w:rsidRPr="00D671DB" w:rsidRDefault="00F2620A" w:rsidP="00D35018">
            <w:pPr>
              <w:spacing w:after="0" w:line="240" w:lineRule="auto"/>
              <w:jc w:val="center"/>
              <w:rPr>
                <w:rFonts w:ascii="Arial" w:hAnsi="Arial" w:cs="Arial"/>
                <w:lang w:val="pt-BR"/>
              </w:rPr>
            </w:pPr>
          </w:p>
        </w:tc>
      </w:tr>
      <w:tr w:rsidR="00E56DC2" w:rsidRPr="00CA1F83"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CA1F83" w14:paraId="59B34F11" w14:textId="77777777" w:rsidTr="0010704C">
        <w:tc>
          <w:tcPr>
            <w:tcW w:w="8926" w:type="dxa"/>
          </w:tcPr>
          <w:p w14:paraId="384827DD" w14:textId="77777777" w:rsidR="00F2620A" w:rsidRPr="00E56DC2" w:rsidRDefault="00F2620A" w:rsidP="003D5374">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3D5374">
            <w:pPr>
              <w:spacing w:after="0" w:line="240" w:lineRule="auto"/>
              <w:jc w:val="center"/>
              <w:rPr>
                <w:rFonts w:ascii="Arial" w:hAnsi="Arial" w:cs="Arial"/>
                <w:lang w:val="pl-PL"/>
              </w:rPr>
            </w:pPr>
          </w:p>
        </w:tc>
      </w:tr>
    </w:tbl>
    <w:p w14:paraId="4EED21A2" w14:textId="77777777" w:rsidR="003E777D" w:rsidRPr="00E56DC2" w:rsidRDefault="003E777D" w:rsidP="003D5374">
      <w:pPr>
        <w:pStyle w:val="Heading1"/>
        <w:numPr>
          <w:ilvl w:val="0"/>
          <w:numId w:val="0"/>
        </w:numPr>
        <w:ind w:left="432" w:hanging="432"/>
        <w:rPr>
          <w:rFonts w:ascii="Arial" w:hAnsi="Arial" w:cs="Arial"/>
          <w:sz w:val="22"/>
          <w:szCs w:val="22"/>
        </w:rPr>
      </w:pPr>
    </w:p>
    <w:p w14:paraId="7A301140" w14:textId="77777777" w:rsidR="003E777D" w:rsidRPr="00E56DC2" w:rsidRDefault="003E777D" w:rsidP="003D5374">
      <w:pPr>
        <w:spacing w:after="0" w:line="240" w:lineRule="auto"/>
        <w:rPr>
          <w:rFonts w:ascii="Arial" w:hAnsi="Arial" w:cs="Arial"/>
          <w:lang w:val="pl-PL"/>
        </w:rPr>
      </w:pPr>
    </w:p>
    <w:p w14:paraId="2112B671" w14:textId="77777777" w:rsidR="003E777D" w:rsidRPr="00E56DC2" w:rsidRDefault="003E777D" w:rsidP="003D5374">
      <w:pPr>
        <w:spacing w:after="0" w:line="240" w:lineRule="auto"/>
        <w:rPr>
          <w:rFonts w:ascii="Arial" w:hAnsi="Arial" w:cs="Arial"/>
          <w:lang w:val="pl-PL"/>
        </w:rPr>
      </w:pPr>
    </w:p>
    <w:p w14:paraId="65EDDFFF" w14:textId="77777777" w:rsidR="003E777D" w:rsidRDefault="003E777D" w:rsidP="003D5374">
      <w:pPr>
        <w:spacing w:after="0" w:line="240" w:lineRule="auto"/>
        <w:rPr>
          <w:rFonts w:ascii="Arial" w:hAnsi="Arial" w:cs="Arial"/>
          <w:lang w:val="pl-PL"/>
        </w:rPr>
      </w:pPr>
    </w:p>
    <w:p w14:paraId="14CA3406" w14:textId="77777777" w:rsidR="001746A3" w:rsidRDefault="001746A3" w:rsidP="003D5374">
      <w:pPr>
        <w:spacing w:after="0" w:line="240" w:lineRule="auto"/>
        <w:rPr>
          <w:rFonts w:ascii="Arial" w:hAnsi="Arial" w:cs="Arial"/>
          <w:lang w:val="pl-PL"/>
        </w:rPr>
      </w:pPr>
    </w:p>
    <w:p w14:paraId="22EE9D23" w14:textId="77777777" w:rsidR="001746A3" w:rsidRDefault="001746A3" w:rsidP="003D5374">
      <w:pPr>
        <w:spacing w:after="0" w:line="240" w:lineRule="auto"/>
        <w:rPr>
          <w:rFonts w:ascii="Arial" w:hAnsi="Arial" w:cs="Arial"/>
          <w:lang w:val="pl-PL"/>
        </w:rPr>
      </w:pPr>
    </w:p>
    <w:p w14:paraId="370F0502" w14:textId="77777777" w:rsidR="001746A3" w:rsidRPr="00E56DC2" w:rsidRDefault="001746A3" w:rsidP="003D5374">
      <w:pPr>
        <w:spacing w:after="0" w:line="240" w:lineRule="auto"/>
        <w:rPr>
          <w:rFonts w:ascii="Arial" w:hAnsi="Arial" w:cs="Arial"/>
          <w:lang w:val="pl-PL"/>
        </w:rPr>
      </w:pPr>
    </w:p>
    <w:p w14:paraId="2BC10753" w14:textId="77777777" w:rsidR="003E777D" w:rsidRPr="00E56DC2" w:rsidRDefault="003E777D" w:rsidP="003D5374">
      <w:pPr>
        <w:spacing w:after="0" w:line="240" w:lineRule="auto"/>
        <w:jc w:val="both"/>
        <w:rPr>
          <w:rFonts w:ascii="Arial" w:hAnsi="Arial" w:cs="Arial"/>
          <w:lang w:val="sr-Latn-CS"/>
        </w:rPr>
      </w:pPr>
    </w:p>
    <w:p w14:paraId="5C60838B" w14:textId="623512B6" w:rsidR="001E1CB4" w:rsidRDefault="001E1CB4" w:rsidP="003D5374">
      <w:pPr>
        <w:spacing w:after="0" w:line="240" w:lineRule="auto"/>
        <w:jc w:val="both"/>
        <w:rPr>
          <w:rFonts w:ascii="Arial" w:hAnsi="Arial" w:cs="Arial"/>
          <w:lang w:val="sr-Latn-CS"/>
        </w:rPr>
      </w:pPr>
    </w:p>
    <w:p w14:paraId="291BC0E3" w14:textId="28C3861B" w:rsidR="003D5374" w:rsidRDefault="003D5374" w:rsidP="003D5374">
      <w:pPr>
        <w:spacing w:after="0" w:line="240" w:lineRule="auto"/>
        <w:jc w:val="both"/>
        <w:rPr>
          <w:rFonts w:ascii="Arial" w:hAnsi="Arial" w:cs="Arial"/>
          <w:lang w:val="sr-Latn-CS"/>
        </w:rPr>
      </w:pPr>
    </w:p>
    <w:p w14:paraId="6FFC71C7" w14:textId="42A5D36F" w:rsidR="003D5374" w:rsidRDefault="003D5374" w:rsidP="003D5374">
      <w:pPr>
        <w:spacing w:after="0" w:line="240" w:lineRule="auto"/>
        <w:jc w:val="both"/>
        <w:rPr>
          <w:rFonts w:ascii="Arial" w:hAnsi="Arial" w:cs="Arial"/>
          <w:lang w:val="sr-Latn-CS"/>
        </w:rPr>
      </w:pPr>
    </w:p>
    <w:p w14:paraId="6EAD11C7" w14:textId="4B772006" w:rsidR="003D5374" w:rsidRDefault="003D5374" w:rsidP="003D5374">
      <w:pPr>
        <w:spacing w:after="0" w:line="240" w:lineRule="auto"/>
        <w:jc w:val="both"/>
        <w:rPr>
          <w:rFonts w:ascii="Arial" w:hAnsi="Arial" w:cs="Arial"/>
          <w:lang w:val="sr-Latn-CS"/>
        </w:rPr>
      </w:pPr>
    </w:p>
    <w:p w14:paraId="34146258" w14:textId="0D0D8D7C" w:rsidR="003D5374" w:rsidRDefault="003D5374" w:rsidP="003D5374">
      <w:pPr>
        <w:spacing w:after="0" w:line="240" w:lineRule="auto"/>
        <w:jc w:val="both"/>
        <w:rPr>
          <w:rFonts w:ascii="Arial" w:hAnsi="Arial" w:cs="Arial"/>
          <w:lang w:val="sr-Latn-CS"/>
        </w:rPr>
      </w:pPr>
    </w:p>
    <w:p w14:paraId="5BF97469" w14:textId="0BF3B9FD" w:rsidR="003D5374" w:rsidRDefault="003D5374" w:rsidP="003D5374">
      <w:pPr>
        <w:spacing w:after="0" w:line="240" w:lineRule="auto"/>
        <w:jc w:val="both"/>
        <w:rPr>
          <w:rFonts w:ascii="Arial" w:hAnsi="Arial" w:cs="Arial"/>
          <w:lang w:val="sr-Latn-CS"/>
        </w:rPr>
      </w:pPr>
    </w:p>
    <w:p w14:paraId="2032CA39" w14:textId="57849FBB" w:rsidR="003D5374" w:rsidRDefault="003D5374" w:rsidP="003D5374">
      <w:pPr>
        <w:spacing w:after="0" w:line="240" w:lineRule="auto"/>
        <w:jc w:val="both"/>
        <w:rPr>
          <w:rFonts w:ascii="Arial" w:hAnsi="Arial" w:cs="Arial"/>
          <w:lang w:val="sr-Latn-CS"/>
        </w:rPr>
      </w:pPr>
    </w:p>
    <w:p w14:paraId="15F0BD86" w14:textId="4FA3896E" w:rsidR="003D5374" w:rsidRDefault="003D5374" w:rsidP="003D5374">
      <w:pPr>
        <w:spacing w:after="0" w:line="240" w:lineRule="auto"/>
        <w:jc w:val="both"/>
        <w:rPr>
          <w:rFonts w:ascii="Arial" w:hAnsi="Arial" w:cs="Arial"/>
          <w:lang w:val="sr-Latn-CS"/>
        </w:rPr>
      </w:pPr>
    </w:p>
    <w:p w14:paraId="4FDC334D" w14:textId="77777777" w:rsidR="003D5374" w:rsidRDefault="003D5374" w:rsidP="003D5374">
      <w:pPr>
        <w:spacing w:after="0" w:line="240" w:lineRule="auto"/>
        <w:jc w:val="both"/>
        <w:rPr>
          <w:rFonts w:ascii="Arial" w:hAnsi="Arial" w:cs="Arial"/>
          <w:lang w:val="sr-Latn-CS"/>
        </w:rPr>
      </w:pPr>
    </w:p>
    <w:p w14:paraId="2D41345E" w14:textId="77777777" w:rsidR="003D5374" w:rsidRPr="00E56DC2" w:rsidRDefault="003D5374" w:rsidP="003D5374">
      <w:pPr>
        <w:spacing w:after="0" w:line="240" w:lineRule="auto"/>
        <w:jc w:val="both"/>
        <w:rPr>
          <w:rFonts w:ascii="Arial" w:hAnsi="Arial" w:cs="Arial"/>
          <w:lang w:val="sr-Latn-CS"/>
        </w:rPr>
      </w:pPr>
    </w:p>
    <w:p w14:paraId="7DA3622E" w14:textId="77777777" w:rsidR="001E1CB4" w:rsidRPr="00E56DC2" w:rsidRDefault="001E1CB4" w:rsidP="003D5374">
      <w:pPr>
        <w:spacing w:after="0" w:line="240" w:lineRule="auto"/>
        <w:jc w:val="both"/>
        <w:rPr>
          <w:rFonts w:ascii="Arial" w:hAnsi="Arial" w:cs="Arial"/>
          <w:lang w:val="sr-Latn-CS"/>
        </w:rPr>
      </w:pPr>
    </w:p>
    <w:p w14:paraId="2742B66C" w14:textId="77777777" w:rsidR="00744584" w:rsidRPr="00E56DC2" w:rsidRDefault="00592620" w:rsidP="003D5374">
      <w:pPr>
        <w:spacing w:after="0" w:line="240" w:lineRule="auto"/>
        <w:jc w:val="both"/>
        <w:rPr>
          <w:rFonts w:ascii="Arial" w:hAnsi="Arial" w:cs="Arial"/>
          <w:b/>
          <w:lang w:val="sr-Latn-CS"/>
        </w:rPr>
      </w:pPr>
      <w:r w:rsidRPr="00E56DC2">
        <w:rPr>
          <w:rFonts w:ascii="Arial" w:hAnsi="Arial" w:cs="Arial"/>
          <w:b/>
        </w:rPr>
        <w:t>UVOD</w:t>
      </w:r>
      <w:bookmarkEnd w:id="1"/>
      <w:bookmarkEnd w:id="2"/>
      <w:bookmarkEnd w:id="3"/>
      <w:bookmarkEnd w:id="4"/>
    </w:p>
    <w:p w14:paraId="455D1AB6" w14:textId="77777777" w:rsidR="008D636E" w:rsidRPr="00E56DC2" w:rsidRDefault="008D636E" w:rsidP="003D5374">
      <w:pPr>
        <w:spacing w:after="0" w:line="240" w:lineRule="auto"/>
        <w:jc w:val="both"/>
        <w:rPr>
          <w:rFonts w:ascii="Arial" w:hAnsi="Arial" w:cs="Arial"/>
          <w:lang w:val="sr-Latn-CS"/>
        </w:rPr>
      </w:pPr>
    </w:p>
    <w:p w14:paraId="1FD68AEA" w14:textId="729E3F12" w:rsidR="00515AD3" w:rsidRPr="00E56DC2" w:rsidRDefault="00515AD3" w:rsidP="003D5374">
      <w:pPr>
        <w:spacing w:after="0" w:line="240" w:lineRule="auto"/>
        <w:jc w:val="both"/>
        <w:rPr>
          <w:rFonts w:ascii="Arial" w:hAnsi="Arial" w:cs="Arial"/>
          <w:lang w:val="sr-Latn-CS"/>
        </w:rPr>
      </w:pP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skladu</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w:t>
      </w:r>
      <w:r w:rsidRPr="00E56DC2">
        <w:rPr>
          <w:rFonts w:ascii="Arial" w:hAnsi="Arial" w:cs="Arial"/>
          <w:noProof/>
        </w:rPr>
        <w:t>Zakonom</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 xml:space="preserve"> </w:t>
      </w:r>
      <w:r w:rsidRPr="00E56DC2">
        <w:rPr>
          <w:rFonts w:ascii="Arial" w:hAnsi="Arial" w:cs="Arial"/>
          <w:noProof/>
        </w:rPr>
        <w:t>koncesijama</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Planom</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davanje</w:t>
      </w:r>
      <w:r w:rsidRPr="00D671DB">
        <w:rPr>
          <w:rFonts w:ascii="Arial" w:hAnsi="Arial" w:cs="Arial"/>
          <w:noProof/>
          <w:lang w:val="sr-Latn-CS"/>
        </w:rPr>
        <w:t xml:space="preserve"> </w:t>
      </w:r>
      <w:r w:rsidRPr="00E56DC2">
        <w:rPr>
          <w:rFonts w:ascii="Arial" w:hAnsi="Arial" w:cs="Arial"/>
          <w:noProof/>
        </w:rPr>
        <w:t>koncesija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detaljna</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ka</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eksploataciju</w:t>
      </w:r>
      <w:r w:rsidRPr="00D671DB">
        <w:rPr>
          <w:rFonts w:ascii="Arial" w:hAnsi="Arial" w:cs="Arial"/>
          <w:noProof/>
          <w:lang w:val="sr-Latn-CS"/>
        </w:rPr>
        <w:t xml:space="preserve"> </w:t>
      </w:r>
      <w:r w:rsidRPr="00E56DC2">
        <w:rPr>
          <w:rFonts w:ascii="Arial" w:hAnsi="Arial" w:cs="Arial"/>
          <w:noProof/>
        </w:rPr>
        <w:t>mineralnih</w:t>
      </w:r>
      <w:r w:rsidRPr="00D671DB">
        <w:rPr>
          <w:rFonts w:ascii="Arial" w:hAnsi="Arial" w:cs="Arial"/>
          <w:noProof/>
          <w:lang w:val="sr-Latn-CS"/>
        </w:rPr>
        <w:t xml:space="preserve"> </w:t>
      </w:r>
      <w:r w:rsidRPr="00E56DC2">
        <w:rPr>
          <w:rFonts w:ascii="Arial" w:hAnsi="Arial" w:cs="Arial"/>
          <w:noProof/>
        </w:rPr>
        <w:t>sirovina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2021. </w:t>
      </w:r>
      <w:r w:rsidRPr="00E56DC2">
        <w:rPr>
          <w:rFonts w:ascii="Arial" w:hAnsi="Arial" w:cs="Arial"/>
          <w:noProof/>
        </w:rPr>
        <w:t>godinu</w:t>
      </w:r>
      <w:r w:rsidRPr="00D671DB">
        <w:rPr>
          <w:rFonts w:ascii="Arial" w:hAnsi="Arial" w:cs="Arial"/>
          <w:noProof/>
          <w:lang w:val="sr-Latn-CS"/>
        </w:rPr>
        <w:t xml:space="preserve">, </w:t>
      </w:r>
      <w:r w:rsidRPr="00E56DC2">
        <w:rPr>
          <w:rFonts w:ascii="Arial" w:hAnsi="Arial" w:cs="Arial"/>
          <w:noProof/>
        </w:rPr>
        <w:t>Ministarstvo</w:t>
      </w:r>
      <w:r w:rsidRPr="00D671DB">
        <w:rPr>
          <w:rFonts w:ascii="Arial" w:hAnsi="Arial" w:cs="Arial"/>
          <w:noProof/>
          <w:lang w:val="sr-Latn-CS"/>
        </w:rPr>
        <w:t xml:space="preserve"> </w:t>
      </w:r>
      <w:r w:rsidRPr="00E56DC2">
        <w:rPr>
          <w:rFonts w:ascii="Arial" w:hAnsi="Arial" w:cs="Arial"/>
          <w:noProof/>
        </w:rPr>
        <w:t>kapitalnih</w:t>
      </w:r>
      <w:r w:rsidRPr="00D671DB">
        <w:rPr>
          <w:rFonts w:ascii="Arial" w:hAnsi="Arial" w:cs="Arial"/>
          <w:noProof/>
          <w:lang w:val="sr-Latn-CS"/>
        </w:rPr>
        <w:t xml:space="preserve"> </w:t>
      </w:r>
      <w:r w:rsidRPr="00E56DC2">
        <w:rPr>
          <w:rFonts w:ascii="Arial" w:hAnsi="Arial" w:cs="Arial"/>
          <w:noProof/>
        </w:rPr>
        <w:t>investicija</w:t>
      </w:r>
      <w:r w:rsidRPr="00D671DB">
        <w:rPr>
          <w:rFonts w:ascii="Arial" w:hAnsi="Arial" w:cs="Arial"/>
          <w:noProof/>
          <w:lang w:val="sr-Latn-CS"/>
        </w:rPr>
        <w:t xml:space="preserve"> - </w:t>
      </w:r>
      <w:r w:rsidRPr="00E56DC2">
        <w:rPr>
          <w:rFonts w:ascii="Arial" w:hAnsi="Arial" w:cs="Arial"/>
          <w:noProof/>
        </w:rPr>
        <w:t>Vlade</w:t>
      </w:r>
      <w:r w:rsidRPr="00D671DB">
        <w:rPr>
          <w:rFonts w:ascii="Arial" w:hAnsi="Arial" w:cs="Arial"/>
          <w:noProof/>
          <w:lang w:val="sr-Latn-CS"/>
        </w:rPr>
        <w:t xml:space="preserve"> </w:t>
      </w:r>
      <w:r w:rsidRPr="00E56DC2">
        <w:rPr>
          <w:rFonts w:ascii="Arial" w:hAnsi="Arial" w:cs="Arial"/>
          <w:noProof/>
        </w:rPr>
        <w:t>Crne</w:t>
      </w:r>
      <w:r w:rsidRPr="00D671DB">
        <w:rPr>
          <w:rFonts w:ascii="Arial" w:hAnsi="Arial" w:cs="Arial"/>
          <w:noProof/>
          <w:lang w:val="sr-Latn-CS"/>
        </w:rPr>
        <w:t xml:space="preserve"> </w:t>
      </w:r>
      <w:r w:rsidRPr="00E56DC2">
        <w:rPr>
          <w:rFonts w:ascii="Arial" w:hAnsi="Arial" w:cs="Arial"/>
          <w:noProof/>
        </w:rPr>
        <w:t>Gore</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daljem</w:t>
      </w:r>
      <w:r w:rsidRPr="00D671DB">
        <w:rPr>
          <w:rFonts w:ascii="Arial" w:hAnsi="Arial" w:cs="Arial"/>
          <w:noProof/>
          <w:lang w:val="sr-Latn-CS"/>
        </w:rPr>
        <w:t xml:space="preserve"> </w:t>
      </w:r>
      <w:r w:rsidRPr="00E56DC2">
        <w:rPr>
          <w:rFonts w:ascii="Arial" w:hAnsi="Arial" w:cs="Arial"/>
          <w:noProof/>
        </w:rPr>
        <w:t>tekstu</w:t>
      </w:r>
      <w:r w:rsidRPr="00D671DB">
        <w:rPr>
          <w:rFonts w:ascii="Arial" w:hAnsi="Arial" w:cs="Arial"/>
          <w:noProof/>
          <w:lang w:val="sr-Latn-CS"/>
        </w:rPr>
        <w:t xml:space="preserve">: </w:t>
      </w:r>
      <w:r w:rsidRPr="00E56DC2">
        <w:rPr>
          <w:rFonts w:ascii="Arial" w:hAnsi="Arial" w:cs="Arial"/>
          <w:noProof/>
        </w:rPr>
        <w:t>Ministarstvo</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saradnji</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w:t>
      </w:r>
      <w:r w:rsidRPr="00E56DC2">
        <w:rPr>
          <w:rFonts w:ascii="Arial" w:hAnsi="Arial" w:cs="Arial"/>
          <w:noProof/>
        </w:rPr>
        <w:t>JU</w:t>
      </w:r>
      <w:r w:rsidRPr="00D671DB">
        <w:rPr>
          <w:rFonts w:ascii="Arial" w:hAnsi="Arial" w:cs="Arial"/>
          <w:noProof/>
          <w:lang w:val="sr-Latn-CS"/>
        </w:rPr>
        <w:t xml:space="preserve"> </w:t>
      </w:r>
      <w:r w:rsidRPr="00E56DC2">
        <w:rPr>
          <w:rFonts w:ascii="Arial" w:hAnsi="Arial" w:cs="Arial"/>
          <w:noProof/>
        </w:rPr>
        <w:t>Zavod</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ka</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pripremilo</w:t>
      </w:r>
      <w:r w:rsidRPr="00D671DB">
        <w:rPr>
          <w:rFonts w:ascii="Arial" w:hAnsi="Arial" w:cs="Arial"/>
          <w:noProof/>
          <w:lang w:val="sr-Latn-CS"/>
        </w:rPr>
        <w:t xml:space="preserve"> </w:t>
      </w:r>
      <w:r w:rsidRPr="00E56DC2">
        <w:rPr>
          <w:rFonts w:ascii="Arial" w:hAnsi="Arial" w:cs="Arial"/>
          <w:noProof/>
        </w:rPr>
        <w:t>Koncesioni</w:t>
      </w:r>
      <w:r w:rsidRPr="00D671DB">
        <w:rPr>
          <w:rFonts w:ascii="Arial" w:hAnsi="Arial" w:cs="Arial"/>
          <w:noProof/>
          <w:lang w:val="sr-Latn-CS"/>
        </w:rPr>
        <w:t xml:space="preserve"> </w:t>
      </w:r>
      <w:r w:rsidRPr="00E56DC2">
        <w:rPr>
          <w:rFonts w:ascii="Arial" w:hAnsi="Arial" w:cs="Arial"/>
          <w:noProof/>
        </w:rPr>
        <w:t>akt</w:t>
      </w:r>
      <w:r w:rsidRPr="00D671DB">
        <w:rPr>
          <w:rFonts w:ascii="Arial" w:hAnsi="Arial" w:cs="Arial"/>
          <w:noProof/>
          <w:lang w:val="sr-Latn-CS"/>
        </w:rPr>
        <w:t xml:space="preserve"> </w:t>
      </w:r>
      <w:r w:rsidRPr="00E56DC2">
        <w:rPr>
          <w:rFonts w:ascii="Arial" w:hAnsi="Arial" w:cs="Arial"/>
          <w:noProof/>
        </w:rPr>
        <w:t>za</w:t>
      </w:r>
      <w:r w:rsidRPr="00E56DC2">
        <w:rPr>
          <w:rFonts w:ascii="Arial" w:hAnsi="Arial" w:cs="Arial"/>
          <w:lang w:val="sr-Latn-CS"/>
        </w:rPr>
        <w:t xml:space="preserve"> davanje prava na detaljna geološka istraživanja i eksploataciju</w:t>
      </w:r>
      <w:r w:rsidR="004E7EEB">
        <w:rPr>
          <w:rFonts w:ascii="Arial" w:hAnsi="Arial" w:cs="Arial"/>
          <w:lang w:val="sr-Latn-CS"/>
        </w:rPr>
        <w:t xml:space="preserve"> nemetalične mineralne sirovine</w:t>
      </w:r>
      <w:r w:rsidRPr="00E56DC2">
        <w:rPr>
          <w:rFonts w:ascii="Arial" w:hAnsi="Arial" w:cs="Arial"/>
          <w:lang w:val="sr-Latn-CS"/>
        </w:rPr>
        <w:t xml:space="preserve"> </w:t>
      </w:r>
      <w:r w:rsidR="001E1CB4" w:rsidRPr="00E56DC2">
        <w:rPr>
          <w:rFonts w:ascii="Arial" w:hAnsi="Arial" w:cs="Arial"/>
          <w:lang w:val="sr-Latn-CS"/>
        </w:rPr>
        <w:t>tehničko-građevinskog kamena</w:t>
      </w:r>
      <w:r w:rsidRPr="00E56DC2">
        <w:rPr>
          <w:rFonts w:ascii="Arial" w:hAnsi="Arial" w:cs="Arial"/>
          <w:lang w:val="sr-Latn-CS"/>
        </w:rPr>
        <w:t xml:space="preserve"> </w:t>
      </w:r>
      <w:r w:rsidR="00BC1B3C">
        <w:rPr>
          <w:rFonts w:ascii="Arial" w:hAnsi="Arial" w:cs="Arial"/>
          <w:lang w:val="sr-Latn-CS"/>
        </w:rPr>
        <w:t>lokaliteta</w:t>
      </w:r>
      <w:r w:rsidRPr="00E56DC2">
        <w:rPr>
          <w:rFonts w:ascii="Arial" w:hAnsi="Arial" w:cs="Arial"/>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 xml:space="preserve">. </w:t>
      </w:r>
    </w:p>
    <w:p w14:paraId="049C01D6" w14:textId="77777777" w:rsidR="003B7A63" w:rsidRPr="00E56DC2" w:rsidRDefault="003B7A63" w:rsidP="003D5374">
      <w:pPr>
        <w:spacing w:after="0" w:line="240" w:lineRule="auto"/>
        <w:jc w:val="both"/>
        <w:rPr>
          <w:rFonts w:ascii="Arial" w:hAnsi="Arial" w:cs="Arial"/>
          <w:lang w:val="sr-Latn-CS"/>
        </w:rPr>
      </w:pPr>
    </w:p>
    <w:p w14:paraId="6FFF2583" w14:textId="1DC5CF0D"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eksploataciju</w:t>
      </w:r>
      <w:r w:rsidR="005600B8">
        <w:rPr>
          <w:rFonts w:ascii="Arial" w:hAnsi="Arial" w:cs="Arial"/>
          <w:lang w:val="sr-Latn-CS"/>
        </w:rPr>
        <w:t xml:space="preserve"> nemetalične mineralne sirovine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746A3">
        <w:rPr>
          <w:rFonts w:ascii="Arial" w:hAnsi="Arial" w:cs="Arial"/>
          <w:lang w:val="sr-Latn-CS"/>
        </w:rPr>
        <w:t>lokalitetu</w:t>
      </w:r>
      <w:r w:rsidR="004D63DD" w:rsidRPr="00E56DC2">
        <w:rPr>
          <w:rFonts w:ascii="Arial" w:hAnsi="Arial" w:cs="Arial"/>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00695119"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w:t>
      </w:r>
    </w:p>
    <w:p w14:paraId="2A4F0A54" w14:textId="77777777" w:rsidR="00744584" w:rsidRPr="00E56DC2" w:rsidRDefault="00744584" w:rsidP="003D5374">
      <w:pPr>
        <w:spacing w:after="0" w:line="240" w:lineRule="auto"/>
        <w:jc w:val="both"/>
        <w:rPr>
          <w:rFonts w:ascii="Arial" w:hAnsi="Arial" w:cs="Arial"/>
          <w:lang w:val="sr-Latn-CS"/>
        </w:rPr>
      </w:pPr>
    </w:p>
    <w:p w14:paraId="354BF62F" w14:textId="0E94B8B4" w:rsidR="00515AD3" w:rsidRPr="00E56DC2" w:rsidRDefault="00515AD3" w:rsidP="003D5374">
      <w:pPr>
        <w:spacing w:after="0" w:line="240" w:lineRule="auto"/>
        <w:jc w:val="both"/>
        <w:rPr>
          <w:rFonts w:ascii="Arial" w:hAnsi="Arial" w:cs="Arial"/>
          <w:lang w:val="sr-Latn-CS"/>
        </w:rPr>
      </w:pPr>
      <w:r w:rsidRPr="00E56DC2">
        <w:rPr>
          <w:rFonts w:ascii="Arial" w:hAnsi="Arial" w:cs="Arial"/>
          <w:noProof/>
        </w:rPr>
        <w:t>Izrada</w:t>
      </w:r>
      <w:r w:rsidRPr="00D671DB">
        <w:rPr>
          <w:rFonts w:ascii="Arial" w:hAnsi="Arial" w:cs="Arial"/>
          <w:noProof/>
          <w:lang w:val="sr-Latn-CS"/>
        </w:rPr>
        <w:t xml:space="preserve"> </w:t>
      </w:r>
      <w:r w:rsidRPr="00E56DC2">
        <w:rPr>
          <w:rFonts w:ascii="Arial" w:hAnsi="Arial" w:cs="Arial"/>
          <w:noProof/>
        </w:rPr>
        <w:t>Koncesionog</w:t>
      </w:r>
      <w:r w:rsidRPr="00D671DB">
        <w:rPr>
          <w:rFonts w:ascii="Arial" w:hAnsi="Arial" w:cs="Arial"/>
          <w:noProof/>
          <w:lang w:val="sr-Latn-CS"/>
        </w:rPr>
        <w:t xml:space="preserve"> </w:t>
      </w:r>
      <w:r w:rsidRPr="00E56DC2">
        <w:rPr>
          <w:rFonts w:ascii="Arial" w:hAnsi="Arial" w:cs="Arial"/>
          <w:noProof/>
        </w:rPr>
        <w:t>akta</w:t>
      </w:r>
      <w:r w:rsidRPr="00D671DB">
        <w:rPr>
          <w:rFonts w:ascii="Arial" w:hAnsi="Arial" w:cs="Arial"/>
          <w:noProof/>
          <w:lang w:val="sr-Latn-CS"/>
        </w:rPr>
        <w:t xml:space="preserve"> </w:t>
      </w:r>
      <w:r w:rsidRPr="00E56DC2">
        <w:rPr>
          <w:rFonts w:ascii="Arial" w:hAnsi="Arial" w:cs="Arial"/>
          <w:noProof/>
        </w:rPr>
        <w:t>izvr</w:t>
      </w:r>
      <w:r w:rsidRPr="00D671DB">
        <w:rPr>
          <w:rFonts w:ascii="Arial" w:hAnsi="Arial" w:cs="Arial"/>
          <w:noProof/>
          <w:lang w:val="sr-Latn-CS"/>
        </w:rPr>
        <w:t>š</w:t>
      </w:r>
      <w:r w:rsidRPr="00E56DC2">
        <w:rPr>
          <w:rFonts w:ascii="Arial" w:hAnsi="Arial" w:cs="Arial"/>
          <w:noProof/>
        </w:rPr>
        <w:t>ena</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na</w:t>
      </w:r>
      <w:r w:rsidRPr="00D671DB">
        <w:rPr>
          <w:rFonts w:ascii="Arial" w:hAnsi="Arial" w:cs="Arial"/>
          <w:noProof/>
          <w:lang w:val="sr-Latn-CS"/>
        </w:rPr>
        <w:t xml:space="preserve"> </w:t>
      </w:r>
      <w:r w:rsidRPr="00E56DC2">
        <w:rPr>
          <w:rFonts w:ascii="Arial" w:hAnsi="Arial" w:cs="Arial"/>
          <w:noProof/>
        </w:rPr>
        <w:t>osnovu</w:t>
      </w:r>
      <w:r w:rsidRPr="00D671DB">
        <w:rPr>
          <w:rFonts w:ascii="Arial" w:hAnsi="Arial" w:cs="Arial"/>
          <w:noProof/>
          <w:lang w:val="sr-Latn-CS"/>
        </w:rPr>
        <w:t xml:space="preserve"> </w:t>
      </w:r>
      <w:r w:rsidR="00094233" w:rsidRPr="00E56DC2">
        <w:rPr>
          <w:rFonts w:ascii="Arial" w:hAnsi="Arial" w:cs="Arial"/>
          <w:noProof/>
        </w:rPr>
        <w:t>godi</w:t>
      </w:r>
      <w:r w:rsidR="00094233" w:rsidRPr="00D671DB">
        <w:rPr>
          <w:rFonts w:ascii="Arial" w:hAnsi="Arial" w:cs="Arial"/>
          <w:noProof/>
          <w:lang w:val="sr-Latn-CS"/>
        </w:rPr>
        <w:t>š</w:t>
      </w:r>
      <w:r w:rsidR="00094233" w:rsidRPr="00E56DC2">
        <w:rPr>
          <w:rFonts w:ascii="Arial" w:hAnsi="Arial" w:cs="Arial"/>
          <w:noProof/>
        </w:rPr>
        <w:t>njeg</w:t>
      </w:r>
      <w:r w:rsidR="00094233" w:rsidRPr="00D671DB">
        <w:rPr>
          <w:rFonts w:ascii="Arial" w:hAnsi="Arial" w:cs="Arial"/>
          <w:noProof/>
          <w:lang w:val="sr-Latn-CS"/>
        </w:rPr>
        <w:t xml:space="preserve"> </w:t>
      </w:r>
      <w:r w:rsidRPr="00E56DC2">
        <w:rPr>
          <w:rFonts w:ascii="Arial" w:hAnsi="Arial" w:cs="Arial"/>
          <w:noProof/>
        </w:rPr>
        <w:t>Plana</w:t>
      </w:r>
      <w:r w:rsidRPr="00D671DB">
        <w:rPr>
          <w:rFonts w:ascii="Arial" w:hAnsi="Arial" w:cs="Arial"/>
          <w:noProof/>
          <w:lang w:val="sr-Latn-CS"/>
        </w:rPr>
        <w:t xml:space="preserve"> </w:t>
      </w:r>
      <w:r w:rsidRPr="00E56DC2">
        <w:rPr>
          <w:rFonts w:ascii="Arial" w:hAnsi="Arial" w:cs="Arial"/>
          <w:noProof/>
        </w:rPr>
        <w:t>davanja</w:t>
      </w:r>
      <w:r w:rsidRPr="00D671DB">
        <w:rPr>
          <w:rFonts w:ascii="Arial" w:hAnsi="Arial" w:cs="Arial"/>
          <w:noProof/>
          <w:lang w:val="sr-Latn-CS"/>
        </w:rPr>
        <w:t xml:space="preserve"> </w:t>
      </w:r>
      <w:r w:rsidRPr="00E56DC2">
        <w:rPr>
          <w:rFonts w:ascii="Arial" w:hAnsi="Arial" w:cs="Arial"/>
          <w:noProof/>
        </w:rPr>
        <w:t>koncesija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detaljna</w:t>
      </w:r>
      <w:r w:rsidRPr="00D671DB">
        <w:rPr>
          <w:rFonts w:ascii="Arial" w:hAnsi="Arial" w:cs="Arial"/>
          <w:noProof/>
          <w:lang w:val="sr-Latn-CS"/>
        </w:rPr>
        <w:t xml:space="preserve"> </w:t>
      </w:r>
      <w:r w:rsidRPr="00E56DC2">
        <w:rPr>
          <w:rFonts w:ascii="Arial" w:hAnsi="Arial" w:cs="Arial"/>
          <w:noProof/>
        </w:rPr>
        <w:t>geolo</w:t>
      </w:r>
      <w:r w:rsidRPr="00D671DB">
        <w:rPr>
          <w:rFonts w:ascii="Arial" w:hAnsi="Arial" w:cs="Arial"/>
          <w:noProof/>
          <w:lang w:val="sr-Latn-CS"/>
        </w:rPr>
        <w:t>š</w:t>
      </w:r>
      <w:r w:rsidRPr="00E56DC2">
        <w:rPr>
          <w:rFonts w:ascii="Arial" w:hAnsi="Arial" w:cs="Arial"/>
          <w:noProof/>
        </w:rPr>
        <w:t>ka</w:t>
      </w:r>
      <w:r w:rsidRPr="00D671DB">
        <w:rPr>
          <w:rFonts w:ascii="Arial" w:hAnsi="Arial" w:cs="Arial"/>
          <w:noProof/>
          <w:lang w:val="sr-Latn-CS"/>
        </w:rPr>
        <w:t xml:space="preserve"> </w:t>
      </w:r>
      <w:r w:rsidRPr="00E56DC2">
        <w:rPr>
          <w:rFonts w:ascii="Arial" w:hAnsi="Arial" w:cs="Arial"/>
          <w:noProof/>
        </w:rPr>
        <w:t>istra</w:t>
      </w:r>
      <w:r w:rsidRPr="00D671DB">
        <w:rPr>
          <w:rFonts w:ascii="Arial" w:hAnsi="Arial" w:cs="Arial"/>
          <w:noProof/>
          <w:lang w:val="sr-Latn-CS"/>
        </w:rPr>
        <w:t>ž</w:t>
      </w:r>
      <w:r w:rsidRPr="00E56DC2">
        <w:rPr>
          <w:rFonts w:ascii="Arial" w:hAnsi="Arial" w:cs="Arial"/>
          <w:noProof/>
        </w:rPr>
        <w:t>ivanja</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eksploataciju</w:t>
      </w:r>
      <w:r w:rsidRPr="00D671DB">
        <w:rPr>
          <w:rFonts w:ascii="Arial" w:hAnsi="Arial" w:cs="Arial"/>
          <w:noProof/>
          <w:lang w:val="sr-Latn-CS"/>
        </w:rPr>
        <w:t xml:space="preserve"> </w:t>
      </w:r>
      <w:r w:rsidRPr="00E56DC2">
        <w:rPr>
          <w:rFonts w:ascii="Arial" w:hAnsi="Arial" w:cs="Arial"/>
          <w:noProof/>
        </w:rPr>
        <w:t>mineralnih</w:t>
      </w:r>
      <w:r w:rsidRPr="00D671DB">
        <w:rPr>
          <w:rFonts w:ascii="Arial" w:hAnsi="Arial" w:cs="Arial"/>
          <w:noProof/>
          <w:lang w:val="sr-Latn-CS"/>
        </w:rPr>
        <w:t xml:space="preserve"> </w:t>
      </w:r>
      <w:r w:rsidRPr="00E56DC2">
        <w:rPr>
          <w:rFonts w:ascii="Arial" w:hAnsi="Arial" w:cs="Arial"/>
          <w:noProof/>
        </w:rPr>
        <w:t>sirovina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2021. </w:t>
      </w:r>
      <w:r w:rsidRPr="00E56DC2">
        <w:rPr>
          <w:rFonts w:ascii="Arial" w:hAnsi="Arial" w:cs="Arial"/>
          <w:noProof/>
        </w:rPr>
        <w:t>godinu</w:t>
      </w:r>
      <w:r w:rsidRPr="00D671DB">
        <w:rPr>
          <w:rFonts w:ascii="Arial" w:hAnsi="Arial" w:cs="Arial"/>
          <w:noProof/>
          <w:lang w:val="sr-Latn-CS"/>
        </w:rPr>
        <w:t xml:space="preserve">, </w:t>
      </w:r>
      <w:r w:rsidRPr="00E56DC2">
        <w:rPr>
          <w:rFonts w:ascii="Arial" w:hAnsi="Arial" w:cs="Arial"/>
          <w:noProof/>
        </w:rPr>
        <w:t>a</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koju</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uvr</w:t>
      </w:r>
      <w:r w:rsidRPr="00D671DB">
        <w:rPr>
          <w:rFonts w:ascii="Arial" w:hAnsi="Arial" w:cs="Arial"/>
          <w:noProof/>
          <w:lang w:val="sr-Latn-CS"/>
        </w:rPr>
        <w:t>š</w:t>
      </w:r>
      <w:r w:rsidRPr="00E56DC2">
        <w:rPr>
          <w:rFonts w:ascii="Arial" w:hAnsi="Arial" w:cs="Arial"/>
          <w:noProof/>
        </w:rPr>
        <w:t>ten</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001F19FE">
        <w:rPr>
          <w:rFonts w:ascii="Arial" w:hAnsi="Arial" w:cs="Arial"/>
          <w:noProof/>
        </w:rPr>
        <w:t>lokalitet</w:t>
      </w:r>
      <w:r w:rsidRPr="00D671DB">
        <w:rPr>
          <w:rFonts w:ascii="Arial" w:hAnsi="Arial" w:cs="Arial"/>
          <w:noProof/>
          <w:lang w:val="sr-Latn-CS"/>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00695119"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w:t>
      </w:r>
    </w:p>
    <w:p w14:paraId="3E302F5B" w14:textId="77777777" w:rsidR="00D35018" w:rsidRPr="00E56DC2" w:rsidRDefault="00D35018" w:rsidP="003D5374">
      <w:pPr>
        <w:spacing w:after="0" w:line="240" w:lineRule="auto"/>
        <w:jc w:val="both"/>
        <w:rPr>
          <w:rFonts w:ascii="Arial" w:hAnsi="Arial" w:cs="Arial"/>
          <w:lang w:val="sr-Latn-CS"/>
        </w:rPr>
      </w:pPr>
    </w:p>
    <w:p w14:paraId="59959E6F" w14:textId="77777777" w:rsidR="00933D38" w:rsidRPr="00D671DB" w:rsidRDefault="00933D38" w:rsidP="003D5374">
      <w:pPr>
        <w:spacing w:after="0" w:line="240" w:lineRule="auto"/>
        <w:jc w:val="both"/>
        <w:rPr>
          <w:rFonts w:ascii="Arial" w:hAnsi="Arial" w:cs="Arial"/>
          <w:lang w:val="sr-Latn-CS"/>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3D5374">
      <w:pPr>
        <w:spacing w:after="0" w:line="240" w:lineRule="auto"/>
        <w:jc w:val="both"/>
        <w:rPr>
          <w:rFonts w:ascii="Arial" w:hAnsi="Arial" w:cs="Arial"/>
          <w:lang w:val="sr-Latn-CS"/>
        </w:rPr>
      </w:pPr>
    </w:p>
    <w:p w14:paraId="03759541" w14:textId="77777777" w:rsidR="00933D38" w:rsidRPr="00E56DC2" w:rsidRDefault="00933D38" w:rsidP="003D5374">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E56DC2" w:rsidRDefault="00DF6748" w:rsidP="003D5374">
      <w:pPr>
        <w:spacing w:after="0" w:line="240" w:lineRule="auto"/>
        <w:jc w:val="both"/>
        <w:rPr>
          <w:rFonts w:ascii="Arial" w:hAnsi="Arial" w:cs="Arial"/>
          <w:lang w:val="sr-Latn-CS"/>
        </w:rPr>
      </w:pPr>
    </w:p>
    <w:p w14:paraId="75F7890E" w14:textId="35BC5A96" w:rsidR="00DF6748" w:rsidRDefault="00744584" w:rsidP="003D5374">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eksploataciju</w:t>
      </w:r>
      <w:r w:rsidR="003E66AD">
        <w:rPr>
          <w:rFonts w:ascii="Arial" w:hAnsi="Arial" w:cs="Arial"/>
          <w:lang w:val="sr-Latn-CS"/>
        </w:rPr>
        <w:t xml:space="preserve"> nemetalične</w:t>
      </w:r>
      <w:r w:rsidRPr="00E56DC2">
        <w:rPr>
          <w:rFonts w:ascii="Arial" w:hAnsi="Arial" w:cs="Arial"/>
          <w:lang w:val="sr-Latn-CS"/>
        </w:rPr>
        <w:t xml:space="preserve">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746A3">
        <w:rPr>
          <w:rFonts w:ascii="Arial" w:hAnsi="Arial" w:cs="Arial"/>
          <w:lang w:val="sr-Latn-CS"/>
        </w:rPr>
        <w:t>lokalitetu</w:t>
      </w:r>
      <w:r w:rsidR="0010704C" w:rsidRPr="00E56DC2">
        <w:rPr>
          <w:rFonts w:ascii="Arial" w:hAnsi="Arial" w:cs="Arial"/>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00695119" w:rsidRPr="00E56DC2">
        <w:rPr>
          <w:rFonts w:ascii="Arial" w:hAnsi="Arial" w:cs="Arial"/>
          <w:lang w:val="sr-Latn-CS"/>
        </w:rPr>
        <w:t xml:space="preserve">, </w:t>
      </w:r>
      <w:r w:rsidR="003D5374">
        <w:rPr>
          <w:rFonts w:ascii="Arial" w:hAnsi="Arial" w:cs="Arial"/>
          <w:lang w:val="sr-Latn-CS"/>
        </w:rPr>
        <w:t>Prijestonica Cetinje</w:t>
      </w:r>
      <w:r w:rsidR="00447714" w:rsidRPr="00E56DC2">
        <w:rPr>
          <w:rFonts w:ascii="Arial" w:hAnsi="Arial" w:cs="Arial"/>
          <w:lang w:val="sr-Latn-CS"/>
        </w:rPr>
        <w:t>.</w:t>
      </w:r>
    </w:p>
    <w:p w14:paraId="57F7654F" w14:textId="77777777" w:rsidR="003E66AD" w:rsidRPr="00E56DC2" w:rsidRDefault="003E66AD" w:rsidP="003D5374">
      <w:pPr>
        <w:spacing w:after="0" w:line="240" w:lineRule="auto"/>
        <w:jc w:val="both"/>
        <w:rPr>
          <w:rFonts w:ascii="Arial" w:hAnsi="Arial" w:cs="Arial"/>
          <w:lang w:val="sr-Latn-CS"/>
        </w:rPr>
      </w:pPr>
    </w:p>
    <w:p w14:paraId="409093AC" w14:textId="4FCF45F9" w:rsidR="00DF6748" w:rsidRDefault="00744584" w:rsidP="003D5374">
      <w:pPr>
        <w:spacing w:after="0" w:line="240" w:lineRule="auto"/>
        <w:jc w:val="both"/>
        <w:rPr>
          <w:rFonts w:ascii="Arial" w:hAnsi="Arial" w:cs="Arial"/>
          <w:lang w:val="sr-Latn-CS" w:eastAsia="sl-SI"/>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eksploataciju</w:t>
      </w:r>
      <w:r w:rsidR="003E66AD">
        <w:rPr>
          <w:rFonts w:ascii="Arial" w:hAnsi="Arial" w:cs="Arial"/>
          <w:lang w:val="sr-Latn-CS"/>
        </w:rPr>
        <w:t xml:space="preserve"> nemetalične mineralne sirovine</w:t>
      </w:r>
      <w:r w:rsidRPr="00E56DC2">
        <w:rPr>
          <w:rFonts w:ascii="Arial" w:hAnsi="Arial" w:cs="Arial"/>
          <w:lang w:val="sr-Latn-CS"/>
        </w:rPr>
        <w:t xml:space="preserve">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746A3">
        <w:rPr>
          <w:rFonts w:ascii="Arial" w:hAnsi="Arial" w:cs="Arial"/>
          <w:lang w:val="sr-Latn-CS"/>
        </w:rPr>
        <w:t>lokalitetu</w:t>
      </w:r>
      <w:r w:rsidR="00AF5478" w:rsidRPr="00E56DC2">
        <w:rPr>
          <w:rFonts w:ascii="Arial" w:hAnsi="Arial" w:cs="Arial"/>
          <w:lang w:val="sr-Latn-CS"/>
        </w:rPr>
        <w:t xml:space="preserve"> </w:t>
      </w:r>
      <w:r w:rsidR="00BC1B3C" w:rsidRPr="00D671DB">
        <w:rPr>
          <w:rFonts w:ascii="Arial" w:hAnsi="Arial" w:cs="Arial"/>
          <w:noProof/>
          <w:lang w:val="sr-Latn-CS"/>
        </w:rPr>
        <w:t>“</w:t>
      </w:r>
      <w:r w:rsidR="00BC1B3C">
        <w:rPr>
          <w:rFonts w:ascii="Arial" w:hAnsi="Arial" w:cs="Arial"/>
          <w:noProof/>
        </w:rPr>
        <w:t>Milo</w:t>
      </w:r>
      <w:r w:rsidR="00BC1B3C" w:rsidRPr="00D671DB">
        <w:rPr>
          <w:rFonts w:ascii="Arial" w:hAnsi="Arial" w:cs="Arial"/>
          <w:noProof/>
          <w:lang w:val="sr-Latn-CS"/>
        </w:rPr>
        <w:t>š</w:t>
      </w:r>
      <w:r w:rsidR="00BC1B3C">
        <w:rPr>
          <w:rFonts w:ascii="Arial" w:hAnsi="Arial" w:cs="Arial"/>
          <w:noProof/>
        </w:rPr>
        <w:t>ev</w:t>
      </w:r>
      <w:r w:rsidR="00BC1B3C" w:rsidRPr="00D671DB">
        <w:rPr>
          <w:rFonts w:ascii="Arial" w:hAnsi="Arial" w:cs="Arial"/>
          <w:noProof/>
          <w:lang w:val="sr-Latn-CS"/>
        </w:rPr>
        <w:t xml:space="preserve"> </w:t>
      </w:r>
      <w:r w:rsidR="00BC1B3C">
        <w:rPr>
          <w:rFonts w:ascii="Arial" w:hAnsi="Arial" w:cs="Arial"/>
          <w:noProof/>
        </w:rPr>
        <w:t>kr</w:t>
      </w:r>
      <w:r w:rsidR="00BC1B3C" w:rsidRPr="00D671DB">
        <w:rPr>
          <w:rFonts w:ascii="Arial" w:hAnsi="Arial" w:cs="Arial"/>
          <w:noProof/>
          <w:lang w:val="sr-Latn-CS"/>
        </w:rPr>
        <w:t>š”</w:t>
      </w:r>
      <w:r w:rsidR="00695119"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5DBC481B" w14:textId="77777777" w:rsidR="003E66AD" w:rsidRPr="00E56DC2" w:rsidRDefault="003E66AD" w:rsidP="003D5374">
      <w:pPr>
        <w:spacing w:after="0" w:line="240" w:lineRule="auto"/>
        <w:jc w:val="both"/>
        <w:rPr>
          <w:rFonts w:ascii="Arial" w:hAnsi="Arial" w:cs="Arial"/>
          <w:lang w:val="sr-Latn-CS"/>
        </w:rPr>
      </w:pPr>
    </w:p>
    <w:p w14:paraId="50475613" w14:textId="4F614C30" w:rsidR="00BC305A" w:rsidRPr="00E56DC2" w:rsidRDefault="00FE7737" w:rsidP="003D5374">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3D5374">
      <w:pPr>
        <w:spacing w:after="0" w:line="240" w:lineRule="auto"/>
        <w:jc w:val="both"/>
        <w:rPr>
          <w:rFonts w:ascii="Arial" w:hAnsi="Arial" w:cs="Arial"/>
          <w:lang w:val="sr-Latn-CS" w:eastAsia="sl-SI"/>
        </w:rPr>
      </w:pPr>
    </w:p>
    <w:p w14:paraId="39B17CC4" w14:textId="57DD700D" w:rsidR="00BC305A" w:rsidRPr="00E56DC2" w:rsidRDefault="00BC305A" w:rsidP="003D5374">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3D5374">
      <w:pPr>
        <w:spacing w:after="0" w:line="240" w:lineRule="auto"/>
        <w:jc w:val="both"/>
        <w:rPr>
          <w:rFonts w:ascii="Arial" w:hAnsi="Arial" w:cs="Arial"/>
          <w:lang w:val="sr-Latn-CS" w:eastAsia="sl-SI"/>
        </w:rPr>
      </w:pPr>
    </w:p>
    <w:p w14:paraId="4DE078DA" w14:textId="77777777" w:rsidR="00744584" w:rsidRPr="00E56DC2" w:rsidRDefault="00744584" w:rsidP="003D5374">
      <w:pPr>
        <w:spacing w:after="0" w:line="240" w:lineRule="auto"/>
        <w:jc w:val="both"/>
        <w:rPr>
          <w:rFonts w:ascii="Arial" w:hAnsi="Arial" w:cs="Arial"/>
          <w:lang w:val="sr-Latn-CS" w:eastAsia="sl-SI"/>
        </w:rPr>
      </w:pPr>
    </w:p>
    <w:p w14:paraId="37891C36" w14:textId="77777777" w:rsidR="00AF5478" w:rsidRPr="00E56DC2" w:rsidRDefault="00AF5478" w:rsidP="003D5374">
      <w:pPr>
        <w:spacing w:after="0" w:line="240" w:lineRule="auto"/>
        <w:jc w:val="both"/>
        <w:rPr>
          <w:rFonts w:ascii="Arial" w:hAnsi="Arial" w:cs="Arial"/>
          <w:lang w:val="sr-Latn-CS" w:eastAsia="sl-SI"/>
        </w:rPr>
      </w:pPr>
    </w:p>
    <w:p w14:paraId="220C155E" w14:textId="77777777" w:rsidR="00AF5478" w:rsidRPr="00E56DC2" w:rsidRDefault="00AF5478" w:rsidP="003D5374">
      <w:pPr>
        <w:spacing w:after="0" w:line="240" w:lineRule="auto"/>
        <w:jc w:val="both"/>
        <w:rPr>
          <w:rFonts w:ascii="Arial" w:hAnsi="Arial" w:cs="Arial"/>
          <w:lang w:val="sr-Latn-CS" w:eastAsia="sl-SI"/>
        </w:rPr>
      </w:pPr>
    </w:p>
    <w:p w14:paraId="449C7125" w14:textId="77777777" w:rsidR="00AF5478" w:rsidRPr="00E56DC2" w:rsidRDefault="00AF5478" w:rsidP="003D5374">
      <w:pPr>
        <w:spacing w:after="0" w:line="240" w:lineRule="auto"/>
        <w:jc w:val="both"/>
        <w:rPr>
          <w:rFonts w:ascii="Arial" w:hAnsi="Arial" w:cs="Arial"/>
          <w:lang w:val="sr-Latn-CS" w:eastAsia="sl-SI"/>
        </w:rPr>
      </w:pPr>
    </w:p>
    <w:p w14:paraId="40AD628C" w14:textId="77777777" w:rsidR="00AF5478" w:rsidRPr="00E56DC2" w:rsidRDefault="00AF5478" w:rsidP="003D5374">
      <w:pPr>
        <w:spacing w:after="0" w:line="240" w:lineRule="auto"/>
        <w:jc w:val="both"/>
        <w:rPr>
          <w:rFonts w:ascii="Arial" w:hAnsi="Arial" w:cs="Arial"/>
          <w:lang w:val="sr-Latn-CS" w:eastAsia="sl-SI"/>
        </w:rPr>
      </w:pPr>
    </w:p>
    <w:p w14:paraId="56AA60FC" w14:textId="77777777" w:rsidR="00AF5478" w:rsidRPr="00E56DC2" w:rsidRDefault="00AF5478" w:rsidP="003D5374">
      <w:pPr>
        <w:spacing w:after="0" w:line="240" w:lineRule="auto"/>
        <w:jc w:val="both"/>
        <w:rPr>
          <w:rFonts w:ascii="Arial" w:hAnsi="Arial" w:cs="Arial"/>
          <w:lang w:val="sr-Latn-CS" w:eastAsia="sl-SI"/>
        </w:rPr>
      </w:pPr>
    </w:p>
    <w:p w14:paraId="6157925D" w14:textId="3777CCDF" w:rsidR="00AF5478" w:rsidRPr="00E56DC2" w:rsidRDefault="00AF5478" w:rsidP="003D5374">
      <w:pPr>
        <w:spacing w:after="0" w:line="240" w:lineRule="auto"/>
        <w:jc w:val="both"/>
        <w:rPr>
          <w:rFonts w:ascii="Arial" w:hAnsi="Arial" w:cs="Arial"/>
          <w:lang w:val="sr-Latn-CS" w:eastAsia="sl-SI"/>
        </w:rPr>
      </w:pPr>
    </w:p>
    <w:p w14:paraId="09FB4F3F" w14:textId="091BDB43" w:rsidR="00F1698B" w:rsidRPr="00E56DC2" w:rsidRDefault="00F1698B" w:rsidP="003D5374">
      <w:pPr>
        <w:spacing w:after="0" w:line="240" w:lineRule="auto"/>
        <w:jc w:val="both"/>
        <w:rPr>
          <w:rFonts w:ascii="Arial" w:hAnsi="Arial" w:cs="Arial"/>
          <w:lang w:val="sr-Latn-CS" w:eastAsia="sl-SI"/>
        </w:rPr>
      </w:pPr>
    </w:p>
    <w:p w14:paraId="0CB755BC" w14:textId="77777777" w:rsidR="00F1698B" w:rsidRPr="00E56DC2" w:rsidRDefault="00F1698B" w:rsidP="003D5374">
      <w:pPr>
        <w:spacing w:after="0" w:line="240" w:lineRule="auto"/>
        <w:jc w:val="both"/>
        <w:rPr>
          <w:rFonts w:ascii="Arial" w:hAnsi="Arial" w:cs="Arial"/>
          <w:lang w:val="sr-Latn-CS" w:eastAsia="sl-SI"/>
        </w:rPr>
      </w:pPr>
    </w:p>
    <w:p w14:paraId="7796EC6C" w14:textId="77777777" w:rsidR="00AF5478" w:rsidRPr="00E56DC2" w:rsidRDefault="00AF5478" w:rsidP="003D5374">
      <w:pPr>
        <w:spacing w:after="0" w:line="240" w:lineRule="auto"/>
        <w:jc w:val="both"/>
        <w:rPr>
          <w:rFonts w:ascii="Arial" w:hAnsi="Arial" w:cs="Arial"/>
          <w:lang w:val="sr-Latn-CS" w:eastAsia="sl-SI"/>
        </w:rPr>
      </w:pPr>
    </w:p>
    <w:p w14:paraId="73F8E7FD" w14:textId="77777777" w:rsidR="00E77AD9" w:rsidRPr="00E56DC2" w:rsidRDefault="00E77AD9" w:rsidP="003D5374">
      <w:pPr>
        <w:spacing w:after="0" w:line="240" w:lineRule="auto"/>
        <w:jc w:val="both"/>
        <w:rPr>
          <w:rFonts w:ascii="Arial" w:hAnsi="Arial" w:cs="Arial"/>
          <w:lang w:val="sr-Latn-CS" w:eastAsia="sl-SI"/>
        </w:rPr>
      </w:pPr>
    </w:p>
    <w:p w14:paraId="2EE8BF62" w14:textId="77777777" w:rsidR="00E77AD9" w:rsidRPr="00E56DC2" w:rsidRDefault="00E77AD9" w:rsidP="003D5374">
      <w:pPr>
        <w:spacing w:after="0" w:line="240" w:lineRule="auto"/>
        <w:jc w:val="both"/>
        <w:rPr>
          <w:rFonts w:ascii="Arial" w:hAnsi="Arial" w:cs="Arial"/>
          <w:lang w:val="sr-Latn-CS" w:eastAsia="sl-SI"/>
        </w:rPr>
      </w:pPr>
    </w:p>
    <w:p w14:paraId="3202F0CA" w14:textId="77777777" w:rsidR="00E77AD9" w:rsidRPr="00E56DC2" w:rsidRDefault="00E77AD9" w:rsidP="003D5374">
      <w:pPr>
        <w:spacing w:after="0" w:line="240" w:lineRule="auto"/>
        <w:jc w:val="both"/>
        <w:rPr>
          <w:rFonts w:ascii="Arial" w:hAnsi="Arial" w:cs="Arial"/>
          <w:lang w:val="sr-Latn-CS" w:eastAsia="sl-SI"/>
        </w:rPr>
      </w:pPr>
    </w:p>
    <w:p w14:paraId="5BF29C41" w14:textId="718528A7" w:rsidR="00D35018" w:rsidRPr="00E56DC2" w:rsidRDefault="00D35018" w:rsidP="003D5374">
      <w:pPr>
        <w:spacing w:after="0" w:line="240" w:lineRule="auto"/>
        <w:jc w:val="both"/>
        <w:rPr>
          <w:rFonts w:ascii="Arial" w:hAnsi="Arial" w:cs="Arial"/>
          <w:lang w:val="sr-Latn-CS" w:eastAsia="sl-SI"/>
        </w:rPr>
      </w:pPr>
    </w:p>
    <w:p w14:paraId="33AD6F73" w14:textId="2D873E9E" w:rsidR="003D5374" w:rsidRPr="003E66AD" w:rsidRDefault="001746A3" w:rsidP="003E66AD">
      <w:pPr>
        <w:pStyle w:val="Heading1"/>
        <w:numPr>
          <w:ilvl w:val="0"/>
          <w:numId w:val="39"/>
        </w:numPr>
        <w:ind w:left="360"/>
        <w:jc w:val="both"/>
        <w:rPr>
          <w:rFonts w:ascii="Arial" w:hAnsi="Arial" w:cs="Arial"/>
          <w:sz w:val="22"/>
          <w:szCs w:val="22"/>
        </w:rPr>
      </w:pPr>
      <w:bookmarkStart w:id="5" w:name="_Toc402262925"/>
      <w:r w:rsidRPr="00E56DC2">
        <w:rPr>
          <w:rFonts w:ascii="Arial" w:hAnsi="Arial" w:cs="Arial"/>
          <w:sz w:val="22"/>
          <w:szCs w:val="22"/>
        </w:rPr>
        <w:t>TEHNIČKI IZVJEŠTAJ O</w:t>
      </w:r>
      <w:r w:rsidR="003E66AD">
        <w:rPr>
          <w:rFonts w:ascii="Arial" w:hAnsi="Arial" w:cs="Arial"/>
          <w:sz w:val="22"/>
          <w:szCs w:val="22"/>
        </w:rPr>
        <w:t xml:space="preserve"> NEMETALIČNOJ MINERALNOJ SIROVINI TEHNIČKO -GRAĐEVINSKOG KAMENA NA</w:t>
      </w:r>
      <w:r w:rsidRPr="00E56DC2">
        <w:rPr>
          <w:rFonts w:ascii="Arial" w:hAnsi="Arial" w:cs="Arial"/>
          <w:sz w:val="22"/>
          <w:szCs w:val="22"/>
        </w:rPr>
        <w:t xml:space="preserve"> </w:t>
      </w:r>
      <w:r>
        <w:rPr>
          <w:rFonts w:ascii="Arial" w:hAnsi="Arial" w:cs="Arial"/>
          <w:sz w:val="22"/>
          <w:szCs w:val="22"/>
        </w:rPr>
        <w:t>LOKALITETU</w:t>
      </w:r>
      <w:r w:rsidRPr="00E56DC2">
        <w:rPr>
          <w:rFonts w:ascii="Arial" w:hAnsi="Arial" w:cs="Arial"/>
          <w:sz w:val="22"/>
          <w:szCs w:val="22"/>
        </w:rPr>
        <w:t xml:space="preserve"> </w:t>
      </w:r>
      <w:r w:rsidR="003E66AD" w:rsidRPr="003E66AD">
        <w:rPr>
          <w:rFonts w:ascii="Arial" w:hAnsi="Arial" w:cs="Arial"/>
          <w:sz w:val="22"/>
          <w:szCs w:val="22"/>
        </w:rPr>
        <w:t>“MILOŠEV KRŠ”, PRIJESTONICA CETINJE</w:t>
      </w:r>
    </w:p>
    <w:bookmarkEnd w:id="5"/>
    <w:p w14:paraId="2BF5A4FC" w14:textId="77777777" w:rsidR="006245BE" w:rsidRPr="00E56DC2" w:rsidRDefault="006245BE" w:rsidP="003D5374">
      <w:pPr>
        <w:spacing w:after="0" w:line="240" w:lineRule="auto"/>
        <w:rPr>
          <w:lang w:val="sr-Latn-CS"/>
        </w:rPr>
      </w:pPr>
    </w:p>
    <w:p w14:paraId="3B8EB1A5" w14:textId="7E2109DB" w:rsidR="00744584" w:rsidRPr="00E56DC2" w:rsidRDefault="006245BE" w:rsidP="003D5374">
      <w:pPr>
        <w:pStyle w:val="Heading2"/>
      </w:pPr>
      <w:bookmarkStart w:id="6" w:name="_Toc402262926"/>
      <w:r w:rsidRPr="00E56DC2">
        <w:t xml:space="preserve">1.1. </w:t>
      </w:r>
      <w:r w:rsidR="00744584" w:rsidRPr="00E56DC2">
        <w:t>Predmet Koncesionog akta</w:t>
      </w:r>
      <w:bookmarkEnd w:id="6"/>
    </w:p>
    <w:p w14:paraId="6C41C9A0" w14:textId="77777777" w:rsidR="00744584" w:rsidRPr="00E56DC2" w:rsidRDefault="00744584" w:rsidP="003D5374">
      <w:pPr>
        <w:spacing w:after="0" w:line="240" w:lineRule="auto"/>
        <w:jc w:val="both"/>
        <w:rPr>
          <w:rFonts w:ascii="Arial" w:hAnsi="Arial" w:cs="Arial"/>
          <w:b/>
          <w:lang w:val="sr-Latn-CS"/>
        </w:rPr>
      </w:pPr>
    </w:p>
    <w:p w14:paraId="45AD182D" w14:textId="60407238" w:rsidR="007D5270" w:rsidRPr="00E56DC2" w:rsidRDefault="00744584" w:rsidP="005C75D4">
      <w:pPr>
        <w:spacing w:after="0" w:line="240" w:lineRule="auto"/>
        <w:jc w:val="both"/>
        <w:rPr>
          <w:rFonts w:ascii="Arial" w:hAnsi="Arial" w:cs="Arial"/>
          <w:lang w:val="sr-Latn-CS"/>
        </w:rPr>
      </w:pPr>
      <w:r w:rsidRPr="00E56DC2">
        <w:rPr>
          <w:rFonts w:ascii="Arial" w:hAnsi="Arial" w:cs="Arial"/>
          <w:lang w:val="sr-Latn-CS"/>
        </w:rPr>
        <w:t xml:space="preserve">Predmet ovog Koncesionog akta je </w:t>
      </w:r>
      <w:r w:rsidR="001F19FE">
        <w:rPr>
          <w:rFonts w:ascii="Arial" w:hAnsi="Arial" w:cs="Arial"/>
          <w:lang w:val="sr-Latn-CS"/>
        </w:rPr>
        <w:t>lokalitet</w:t>
      </w:r>
      <w:r w:rsidR="003E66AD">
        <w:rPr>
          <w:rFonts w:ascii="Arial" w:hAnsi="Arial" w:cs="Arial"/>
          <w:lang w:val="sr-Latn-CS"/>
        </w:rPr>
        <w:t xml:space="preserve"> nemetalične</w:t>
      </w:r>
      <w:r w:rsidRPr="00E56DC2">
        <w:rPr>
          <w:rFonts w:ascii="Arial" w:hAnsi="Arial" w:cs="Arial"/>
          <w:lang w:val="sr-Latn-CS"/>
        </w:rPr>
        <w:t xml:space="preserve"> mineralne sirovine </w:t>
      </w:r>
      <w:r w:rsidR="002D6F71" w:rsidRPr="00E56DC2">
        <w:rPr>
          <w:rFonts w:ascii="Arial" w:hAnsi="Arial" w:cs="Arial"/>
          <w:lang w:val="sr-Latn-CS"/>
        </w:rPr>
        <w:t>tehničko-građevinskog kamena</w:t>
      </w:r>
      <w:r w:rsidR="003E66AD">
        <w:rPr>
          <w:rFonts w:ascii="Arial" w:hAnsi="Arial" w:cs="Arial"/>
          <w:lang w:val="sr-Latn-CS"/>
        </w:rPr>
        <w:t xml:space="preserve"> lokaliteta</w:t>
      </w:r>
      <w:r w:rsidR="002D6F71" w:rsidRPr="00E56DC2">
        <w:rPr>
          <w:rFonts w:ascii="Arial" w:hAnsi="Arial" w:cs="Arial"/>
          <w:lang w:val="sr-Latn-CS"/>
        </w:rPr>
        <w:t xml:space="preserve"> </w:t>
      </w:r>
      <w:r w:rsidR="00BC1B3C">
        <w:rPr>
          <w:rFonts w:ascii="Arial" w:hAnsi="Arial" w:cs="Arial"/>
          <w:lang w:val="sr-Latn-CS"/>
        </w:rPr>
        <w:t>“Milošev krš”</w:t>
      </w:r>
      <w:r w:rsidR="00E920EB" w:rsidRPr="00E56DC2">
        <w:rPr>
          <w:rFonts w:ascii="Arial" w:hAnsi="Arial" w:cs="Arial"/>
          <w:lang w:val="sr-Latn-CS"/>
        </w:rPr>
        <w:t>,</w:t>
      </w:r>
      <w:r w:rsidR="009D4FD3" w:rsidRPr="00E56DC2">
        <w:rPr>
          <w:rFonts w:ascii="Arial" w:hAnsi="Arial" w:cs="Arial"/>
          <w:lang w:val="sr-Latn-CS"/>
        </w:rPr>
        <w:t xml:space="preserve"> </w:t>
      </w:r>
      <w:r w:rsidR="003D5374">
        <w:rPr>
          <w:rFonts w:ascii="Arial" w:hAnsi="Arial" w:cs="Arial"/>
          <w:lang w:val="sr-Latn-CS"/>
        </w:rPr>
        <w:t>Prijestonica Cetinje</w:t>
      </w:r>
      <w:r w:rsidR="0010704C" w:rsidRPr="00E56DC2">
        <w:rPr>
          <w:rFonts w:ascii="Arial" w:hAnsi="Arial" w:cs="Arial"/>
          <w:lang w:val="sr-Latn-CS"/>
        </w:rPr>
        <w:t xml:space="preserve"> </w:t>
      </w:r>
      <w:r w:rsidRPr="00E56DC2">
        <w:rPr>
          <w:rFonts w:ascii="Arial" w:hAnsi="Arial" w:cs="Arial"/>
          <w:lang w:val="sr-Latn-CS"/>
        </w:rPr>
        <w:t>.</w:t>
      </w:r>
      <w:bookmarkStart w:id="7" w:name="_Toc402262927"/>
    </w:p>
    <w:p w14:paraId="3A5AC737" w14:textId="77777777" w:rsidR="007D5270" w:rsidRPr="00E56DC2" w:rsidRDefault="007D5270" w:rsidP="003D5374">
      <w:pPr>
        <w:spacing w:after="0" w:line="240" w:lineRule="auto"/>
        <w:rPr>
          <w:rFonts w:ascii="Arial" w:hAnsi="Arial" w:cs="Arial"/>
          <w:lang w:val="sr-Latn-CS"/>
        </w:rPr>
      </w:pPr>
    </w:p>
    <w:p w14:paraId="5E35D63E" w14:textId="76AF2C4B" w:rsidR="00857A57" w:rsidRPr="00E56DC2" w:rsidRDefault="006245BE" w:rsidP="003D5374">
      <w:pPr>
        <w:spacing w:after="0" w:line="240" w:lineRule="auto"/>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BC1B3C">
        <w:rPr>
          <w:rFonts w:ascii="Arial" w:hAnsi="Arial" w:cs="Times New Roman"/>
          <w:b/>
          <w:bCs/>
          <w:iCs/>
          <w:lang w:val="sr-Latn-CS"/>
        </w:rPr>
        <w:t>lokaliteta</w:t>
      </w:r>
      <w:bookmarkEnd w:id="7"/>
    </w:p>
    <w:p w14:paraId="633FABE7" w14:textId="77777777" w:rsidR="00857A57" w:rsidRPr="00E56DC2" w:rsidRDefault="00857A57" w:rsidP="003D5374">
      <w:pPr>
        <w:spacing w:after="0" w:line="240" w:lineRule="auto"/>
        <w:rPr>
          <w:lang w:val="sr-Latn-CS"/>
        </w:rPr>
      </w:pPr>
    </w:p>
    <w:p w14:paraId="7E1B98F1" w14:textId="6FC98513" w:rsidR="00EC60A0" w:rsidRDefault="00EC60A0" w:rsidP="003D5374">
      <w:pPr>
        <w:spacing w:after="0" w:line="240" w:lineRule="auto"/>
        <w:jc w:val="both"/>
        <w:rPr>
          <w:rFonts w:ascii="Arial" w:hAnsi="Arial" w:cs="Arial"/>
          <w:lang w:val="sr-Latn-CS"/>
        </w:rPr>
      </w:pPr>
      <w:r w:rsidRPr="00C0360B">
        <w:rPr>
          <w:rFonts w:ascii="Arial" w:hAnsi="Arial" w:cs="Arial"/>
          <w:lang w:val="sr-Latn-CS"/>
        </w:rPr>
        <w:t>Perspektivni prostor pojave tehničko-građevinskog kamena “</w:t>
      </w:r>
      <w:r>
        <w:rPr>
          <w:rFonts w:ascii="Arial" w:hAnsi="Arial" w:cs="Arial"/>
          <w:lang w:val="sr-Latn-CS"/>
        </w:rPr>
        <w:t>Milošev krš</w:t>
      </w:r>
      <w:r w:rsidRPr="00C0360B">
        <w:rPr>
          <w:rFonts w:ascii="Arial" w:hAnsi="Arial" w:cs="Arial"/>
          <w:lang w:val="sr-Latn-CS"/>
        </w:rPr>
        <w:t>”, se nalazi neposredno uz put za</w:t>
      </w:r>
      <w:r>
        <w:rPr>
          <w:rFonts w:ascii="Arial" w:hAnsi="Arial" w:cs="Arial"/>
          <w:lang w:val="sr-Latn-CS"/>
        </w:rPr>
        <w:t xml:space="preserve"> Đinoviće i</w:t>
      </w:r>
      <w:r w:rsidRPr="00C0360B">
        <w:rPr>
          <w:rFonts w:ascii="Arial" w:hAnsi="Arial" w:cs="Arial"/>
          <w:lang w:val="sr-Latn-CS"/>
        </w:rPr>
        <w:t xml:space="preserve"> </w:t>
      </w:r>
      <w:r>
        <w:rPr>
          <w:rFonts w:ascii="Arial" w:hAnsi="Arial" w:cs="Arial"/>
          <w:lang w:val="sr-Latn-CS"/>
        </w:rPr>
        <w:t>Štitare</w:t>
      </w:r>
      <w:r w:rsidRPr="00C0360B">
        <w:rPr>
          <w:rFonts w:ascii="Arial" w:hAnsi="Arial" w:cs="Arial"/>
          <w:lang w:val="sr-Latn-CS"/>
        </w:rPr>
        <w:t xml:space="preserve">, na </w:t>
      </w:r>
      <w:r>
        <w:rPr>
          <w:rFonts w:ascii="Arial" w:hAnsi="Arial" w:cs="Arial"/>
          <w:lang w:val="sr-Latn-CS"/>
        </w:rPr>
        <w:t>jugozapadnim</w:t>
      </w:r>
      <w:r w:rsidRPr="00C0360B">
        <w:rPr>
          <w:rFonts w:ascii="Arial" w:hAnsi="Arial" w:cs="Arial"/>
          <w:lang w:val="sr-Latn-CS"/>
        </w:rPr>
        <w:t xml:space="preserve"> padinama </w:t>
      </w:r>
      <w:r>
        <w:rPr>
          <w:rFonts w:ascii="Arial" w:hAnsi="Arial" w:cs="Arial"/>
          <w:lang w:val="sr-Latn-CS"/>
        </w:rPr>
        <w:t>brda Milošev krš</w:t>
      </w:r>
      <w:r w:rsidRPr="00C0360B">
        <w:rPr>
          <w:rFonts w:ascii="Arial" w:hAnsi="Arial" w:cs="Arial"/>
          <w:lang w:val="sr-Latn-CS"/>
        </w:rPr>
        <w:t xml:space="preserve"> na oko </w:t>
      </w:r>
      <w:r>
        <w:rPr>
          <w:rFonts w:ascii="Arial" w:hAnsi="Arial" w:cs="Arial"/>
          <w:lang w:val="sr-Latn-CS"/>
        </w:rPr>
        <w:t>7</w:t>
      </w:r>
      <w:r w:rsidRPr="00C0360B">
        <w:rPr>
          <w:rFonts w:ascii="Arial" w:hAnsi="Arial" w:cs="Arial"/>
          <w:lang w:val="sr-Latn-CS"/>
        </w:rPr>
        <w:t xml:space="preserve"> km</w:t>
      </w:r>
      <w:r>
        <w:rPr>
          <w:rFonts w:ascii="Arial" w:hAnsi="Arial" w:cs="Arial"/>
          <w:lang w:val="sr-Latn-CS"/>
        </w:rPr>
        <w:t>,</w:t>
      </w:r>
      <w:r w:rsidRPr="00C0360B">
        <w:rPr>
          <w:rFonts w:ascii="Arial" w:hAnsi="Arial" w:cs="Arial"/>
          <w:lang w:val="sr-Latn-CS"/>
        </w:rPr>
        <w:t xml:space="preserve"> </w:t>
      </w:r>
      <w:r>
        <w:rPr>
          <w:rFonts w:ascii="Arial" w:hAnsi="Arial" w:cs="Arial"/>
          <w:lang w:val="sr-Latn-CS"/>
        </w:rPr>
        <w:t>vazdušne linije, sjeveroistočno</w:t>
      </w:r>
      <w:r w:rsidRPr="00C0360B">
        <w:rPr>
          <w:rFonts w:ascii="Arial" w:hAnsi="Arial" w:cs="Arial"/>
          <w:lang w:val="sr-Latn-CS"/>
        </w:rPr>
        <w:t xml:space="preserve"> od </w:t>
      </w:r>
      <w:r>
        <w:rPr>
          <w:rFonts w:ascii="Arial" w:hAnsi="Arial" w:cs="Arial"/>
          <w:lang w:val="sr-Latn-CS"/>
        </w:rPr>
        <w:t>Cetinja</w:t>
      </w:r>
      <w:r w:rsidRPr="00C0360B">
        <w:rPr>
          <w:rFonts w:ascii="Arial" w:hAnsi="Arial" w:cs="Arial"/>
          <w:lang w:val="sr-Latn-CS"/>
        </w:rPr>
        <w:t xml:space="preserve">, sa kojim je povezan </w:t>
      </w:r>
      <w:r>
        <w:rPr>
          <w:rFonts w:ascii="Arial" w:hAnsi="Arial" w:cs="Arial"/>
          <w:lang w:val="sr-Latn-CS"/>
        </w:rPr>
        <w:t>regionalnim asfaltnim putem Podgorica – Cetinje.</w:t>
      </w:r>
      <w:r w:rsidRPr="00C0360B">
        <w:rPr>
          <w:rFonts w:ascii="Arial" w:hAnsi="Arial" w:cs="Arial"/>
          <w:lang w:val="sr-Latn-CS"/>
        </w:rPr>
        <w:t xml:space="preserve"> Sa </w:t>
      </w:r>
      <w:r>
        <w:rPr>
          <w:rFonts w:ascii="Arial" w:hAnsi="Arial" w:cs="Arial"/>
          <w:lang w:val="sr-Latn-CS"/>
        </w:rPr>
        <w:t xml:space="preserve">desne strane puta, koji se odvaja od </w:t>
      </w:r>
      <w:r w:rsidRPr="00C0360B">
        <w:rPr>
          <w:rFonts w:ascii="Arial" w:hAnsi="Arial" w:cs="Arial"/>
          <w:lang w:val="sr-Latn-CS"/>
        </w:rPr>
        <w:t xml:space="preserve">pomenutog </w:t>
      </w:r>
      <w:r>
        <w:rPr>
          <w:rFonts w:ascii="Arial" w:hAnsi="Arial" w:cs="Arial"/>
          <w:lang w:val="sr-Latn-CS"/>
        </w:rPr>
        <w:t>regionalnog</w:t>
      </w:r>
      <w:r w:rsidRPr="00C0360B">
        <w:rPr>
          <w:rFonts w:ascii="Arial" w:hAnsi="Arial" w:cs="Arial"/>
          <w:lang w:val="sr-Latn-CS"/>
        </w:rPr>
        <w:t xml:space="preserve"> puta</w:t>
      </w:r>
      <w:r>
        <w:rPr>
          <w:rFonts w:ascii="Arial" w:hAnsi="Arial" w:cs="Arial"/>
          <w:lang w:val="sr-Latn-CS"/>
        </w:rPr>
        <w:t>, na udaljenosti od oko 3 km,</w:t>
      </w:r>
      <w:r w:rsidRPr="00C0360B">
        <w:rPr>
          <w:rFonts w:ascii="Arial" w:hAnsi="Arial" w:cs="Arial"/>
          <w:lang w:val="sr-Latn-CS"/>
        </w:rPr>
        <w:t xml:space="preserve"> </w:t>
      </w:r>
      <w:r>
        <w:rPr>
          <w:rFonts w:ascii="Arial" w:hAnsi="Arial" w:cs="Arial"/>
          <w:lang w:val="sr-Latn-CS"/>
        </w:rPr>
        <w:t>nalazi predmetna lokacija. Ovaj put se dalje nastavlja do</w:t>
      </w:r>
      <w:r w:rsidRPr="00C0360B">
        <w:rPr>
          <w:rFonts w:ascii="Arial" w:hAnsi="Arial" w:cs="Arial"/>
          <w:lang w:val="sr-Latn-CS"/>
        </w:rPr>
        <w:t xml:space="preserve"> </w:t>
      </w:r>
      <w:r>
        <w:rPr>
          <w:rFonts w:ascii="Arial" w:hAnsi="Arial" w:cs="Arial"/>
          <w:lang w:val="sr-Latn-CS"/>
        </w:rPr>
        <w:t>Štitare, Bokova i Mikulića.</w:t>
      </w:r>
      <w:r w:rsidRPr="00C0360B">
        <w:rPr>
          <w:rFonts w:ascii="Arial" w:hAnsi="Arial" w:cs="Arial"/>
          <w:lang w:val="sr-Latn-CS"/>
        </w:rPr>
        <w:t xml:space="preserve"> </w:t>
      </w:r>
      <w:r>
        <w:rPr>
          <w:rFonts w:ascii="Arial" w:hAnsi="Arial" w:cs="Arial"/>
          <w:lang w:val="sr-Latn-CS"/>
        </w:rPr>
        <w:t>P</w:t>
      </w:r>
      <w:r w:rsidRPr="00C0360B">
        <w:rPr>
          <w:rFonts w:ascii="Arial" w:hAnsi="Arial" w:cs="Arial"/>
          <w:lang w:val="sr-Latn-CS"/>
        </w:rPr>
        <w:t>rosto</w:t>
      </w:r>
      <w:r>
        <w:rPr>
          <w:rFonts w:ascii="Arial" w:hAnsi="Arial" w:cs="Arial"/>
          <w:lang w:val="sr-Latn-CS"/>
        </w:rPr>
        <w:t xml:space="preserve">r pojave </w:t>
      </w:r>
      <w:r w:rsidRPr="00C0360B">
        <w:rPr>
          <w:rFonts w:ascii="Arial" w:hAnsi="Arial" w:cs="Arial"/>
          <w:lang w:val="sr-Latn-CS"/>
        </w:rPr>
        <w:t>“</w:t>
      </w:r>
      <w:r>
        <w:rPr>
          <w:rFonts w:ascii="Arial" w:hAnsi="Arial" w:cs="Arial"/>
          <w:lang w:val="sr-Latn-CS"/>
        </w:rPr>
        <w:t>Milošev krš</w:t>
      </w:r>
      <w:r w:rsidRPr="00C0360B">
        <w:rPr>
          <w:rFonts w:ascii="Arial" w:hAnsi="Arial" w:cs="Arial"/>
          <w:lang w:val="sr-Latn-CS"/>
        </w:rPr>
        <w:t>”</w:t>
      </w:r>
      <w:r>
        <w:rPr>
          <w:rFonts w:ascii="Arial" w:hAnsi="Arial" w:cs="Arial"/>
          <w:lang w:val="sr-Latn-CS"/>
        </w:rPr>
        <w:t xml:space="preserve"> se nalazi na </w:t>
      </w:r>
      <w:r w:rsidRPr="00C0360B">
        <w:rPr>
          <w:rFonts w:ascii="Arial" w:hAnsi="Arial" w:cs="Arial"/>
          <w:lang w:val="sr-Latn-CS"/>
        </w:rPr>
        <w:t xml:space="preserve">nadmorskoj visini od </w:t>
      </w:r>
      <w:r w:rsidR="00FE3DC9">
        <w:rPr>
          <w:rFonts w:ascii="Arial" w:hAnsi="Arial" w:cs="Arial"/>
          <w:lang w:val="sr-Latn-CS"/>
        </w:rPr>
        <w:t xml:space="preserve">560 do 590 </w:t>
      </w:r>
      <w:r w:rsidR="00FE3DC9" w:rsidRPr="00A312A0">
        <w:rPr>
          <w:rFonts w:ascii="Arial" w:hAnsi="Arial" w:cs="Arial"/>
          <w:lang w:val="sr-Latn-CS"/>
        </w:rPr>
        <w:t>m.n.m</w:t>
      </w:r>
      <w:r w:rsidRPr="00C0360B">
        <w:rPr>
          <w:rFonts w:ascii="Arial" w:hAnsi="Arial" w:cs="Arial"/>
          <w:lang w:val="sr-Latn-CS"/>
        </w:rPr>
        <w:t>.</w:t>
      </w:r>
    </w:p>
    <w:p w14:paraId="21031F3E" w14:textId="77777777" w:rsidR="003D5374" w:rsidRDefault="003D5374" w:rsidP="003D5374">
      <w:pPr>
        <w:spacing w:after="0" w:line="240" w:lineRule="auto"/>
        <w:jc w:val="both"/>
        <w:rPr>
          <w:rFonts w:ascii="Arial" w:hAnsi="Arial" w:cs="Arial"/>
          <w:lang w:val="sr-Latn-CS"/>
        </w:rPr>
      </w:pPr>
    </w:p>
    <w:p w14:paraId="485761AB" w14:textId="0FD25263" w:rsidR="00EC60A0" w:rsidRDefault="00EC60A0" w:rsidP="003D5374">
      <w:pPr>
        <w:spacing w:after="0" w:line="240" w:lineRule="auto"/>
        <w:jc w:val="both"/>
        <w:rPr>
          <w:rFonts w:ascii="Arial" w:hAnsi="Arial" w:cs="Arial"/>
          <w:lang w:val="sr-Latn-CS"/>
        </w:rPr>
      </w:pPr>
      <w:r w:rsidRPr="00C0360B">
        <w:rPr>
          <w:rFonts w:ascii="Arial" w:hAnsi="Arial" w:cs="Arial"/>
          <w:lang w:val="sr-Latn-CS"/>
        </w:rPr>
        <w:t>Predmetna pojava je nazvana “</w:t>
      </w:r>
      <w:r>
        <w:rPr>
          <w:rFonts w:ascii="Arial" w:hAnsi="Arial" w:cs="Arial"/>
          <w:lang w:val="sr-Latn-CS"/>
        </w:rPr>
        <w:t>Milošev krš</w:t>
      </w:r>
      <w:r w:rsidRPr="00C0360B">
        <w:rPr>
          <w:rFonts w:ascii="Arial" w:hAnsi="Arial" w:cs="Arial"/>
          <w:lang w:val="sr-Latn-CS"/>
        </w:rPr>
        <w:t>”</w:t>
      </w:r>
      <w:r>
        <w:rPr>
          <w:rFonts w:ascii="Arial" w:hAnsi="Arial" w:cs="Arial"/>
          <w:lang w:val="sr-Latn-CS"/>
        </w:rPr>
        <w:t xml:space="preserve"> </w:t>
      </w:r>
      <w:r w:rsidRPr="00C0360B">
        <w:rPr>
          <w:rFonts w:ascii="Arial" w:hAnsi="Arial" w:cs="Arial"/>
          <w:lang w:val="sr-Latn-CS"/>
        </w:rPr>
        <w:t xml:space="preserve">po istoimenom </w:t>
      </w:r>
      <w:r w:rsidR="00637F52">
        <w:rPr>
          <w:rFonts w:ascii="Arial" w:hAnsi="Arial" w:cs="Arial"/>
          <w:lang w:val="sr-Latn-CS"/>
        </w:rPr>
        <w:t>uzvišenju (603 m.n.m)</w:t>
      </w:r>
      <w:r w:rsidR="00637F52" w:rsidRPr="00C0360B">
        <w:rPr>
          <w:rFonts w:ascii="Arial" w:hAnsi="Arial" w:cs="Arial"/>
          <w:lang w:val="sr-Latn-CS"/>
        </w:rPr>
        <w:t xml:space="preserve"> </w:t>
      </w:r>
      <w:r w:rsidR="00637F52">
        <w:rPr>
          <w:rFonts w:ascii="Arial" w:hAnsi="Arial" w:cs="Arial"/>
          <w:lang w:val="sr-Latn-CS"/>
        </w:rPr>
        <w:t xml:space="preserve">na čijim padinama </w:t>
      </w:r>
      <w:r w:rsidRPr="00C0360B">
        <w:rPr>
          <w:rFonts w:ascii="Arial" w:hAnsi="Arial" w:cs="Arial"/>
          <w:lang w:val="sr-Latn-CS"/>
        </w:rPr>
        <w:t xml:space="preserve"> se nalazi traženi prostor.</w:t>
      </w:r>
    </w:p>
    <w:p w14:paraId="12AF50AC" w14:textId="77777777" w:rsidR="003D5374" w:rsidRPr="00C0360B" w:rsidRDefault="003D5374" w:rsidP="003D5374">
      <w:pPr>
        <w:spacing w:after="0" w:line="240" w:lineRule="auto"/>
        <w:jc w:val="both"/>
        <w:rPr>
          <w:rFonts w:ascii="Arial" w:hAnsi="Arial" w:cs="Arial"/>
          <w:lang w:val="sr-Latn-CS"/>
        </w:rPr>
      </w:pPr>
    </w:p>
    <w:p w14:paraId="018594BA" w14:textId="03C74978" w:rsidR="00245953" w:rsidRDefault="00EC60A0" w:rsidP="003D5374">
      <w:pPr>
        <w:spacing w:after="0" w:line="240" w:lineRule="auto"/>
        <w:jc w:val="both"/>
        <w:rPr>
          <w:rFonts w:ascii="Arial" w:hAnsi="Arial" w:cs="Arial"/>
          <w:lang w:val="sr-Latn-CS"/>
        </w:rPr>
      </w:pPr>
      <w:r w:rsidRPr="00C0360B">
        <w:rPr>
          <w:rFonts w:ascii="Arial" w:hAnsi="Arial" w:cs="Arial"/>
          <w:lang w:val="sr-Latn-CS"/>
        </w:rPr>
        <w:t>Prema kartografskoj podjeli, pojava tehničko-građevinskog kamena “</w:t>
      </w:r>
      <w:r>
        <w:rPr>
          <w:rFonts w:ascii="Arial" w:hAnsi="Arial" w:cs="Arial"/>
          <w:lang w:val="sr-Latn-CS"/>
        </w:rPr>
        <w:t>Milošev krš</w:t>
      </w:r>
      <w:r w:rsidRPr="00C0360B">
        <w:rPr>
          <w:rFonts w:ascii="Arial" w:hAnsi="Arial" w:cs="Arial"/>
          <w:lang w:val="sr-Latn-CS"/>
        </w:rPr>
        <w:t xml:space="preserve">” pripada topografskom listu </w:t>
      </w:r>
      <w:r>
        <w:rPr>
          <w:rFonts w:ascii="Arial" w:hAnsi="Arial" w:cs="Arial"/>
          <w:lang w:val="sr-Latn-CS"/>
        </w:rPr>
        <w:t>Cetinje</w:t>
      </w:r>
      <w:r w:rsidRPr="00C0360B">
        <w:rPr>
          <w:rFonts w:ascii="Arial" w:hAnsi="Arial" w:cs="Arial"/>
          <w:lang w:val="sr-Latn-CS"/>
        </w:rPr>
        <w:t xml:space="preserve"> 1:100 000, sekciji </w:t>
      </w:r>
      <w:r>
        <w:rPr>
          <w:rFonts w:ascii="Arial" w:hAnsi="Arial" w:cs="Arial"/>
          <w:lang w:val="sr-Latn-CS"/>
        </w:rPr>
        <w:t>Cetinje</w:t>
      </w:r>
      <w:r w:rsidRPr="00C0360B">
        <w:rPr>
          <w:rFonts w:ascii="Arial" w:hAnsi="Arial" w:cs="Arial"/>
          <w:lang w:val="sr-Latn-CS"/>
        </w:rPr>
        <w:t>, 1:25 000.</w:t>
      </w:r>
    </w:p>
    <w:p w14:paraId="0F5A3413" w14:textId="77777777" w:rsidR="00EC60A0" w:rsidRPr="00E56DC2" w:rsidRDefault="00EC60A0" w:rsidP="003D5374">
      <w:pPr>
        <w:spacing w:after="0" w:line="240" w:lineRule="auto"/>
        <w:jc w:val="both"/>
        <w:rPr>
          <w:rFonts w:ascii="Arial" w:hAnsi="Arial" w:cs="Arial"/>
          <w:lang w:val="sr-Latn-CS"/>
        </w:rPr>
      </w:pPr>
    </w:p>
    <w:p w14:paraId="721E0DC5" w14:textId="6082E8AC" w:rsidR="00E36FF8" w:rsidRPr="00E56DC2" w:rsidRDefault="00E36FF8" w:rsidP="003D5374">
      <w:pPr>
        <w:spacing w:after="0" w:line="240" w:lineRule="auto"/>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D671DB">
        <w:rPr>
          <w:rFonts w:ascii="Arial" w:hAnsi="Arial" w:cs="Arial"/>
          <w:noProof/>
          <w:lang w:val="sr-Latn-CS"/>
        </w:rPr>
        <w:t>(„</w:t>
      </w:r>
      <w:r w:rsidR="00D24705" w:rsidRPr="00E56DC2">
        <w:rPr>
          <w:rFonts w:ascii="Arial" w:hAnsi="Arial" w:cs="Arial"/>
          <w:noProof/>
        </w:rPr>
        <w:t>Sl</w:t>
      </w:r>
      <w:r w:rsidR="00D24705" w:rsidRPr="00D671DB">
        <w:rPr>
          <w:rFonts w:ascii="Arial" w:hAnsi="Arial" w:cs="Arial"/>
          <w:noProof/>
          <w:lang w:val="sr-Latn-CS"/>
        </w:rPr>
        <w:t xml:space="preserve">. </w:t>
      </w:r>
      <w:r w:rsidR="00D24705" w:rsidRPr="00E56DC2">
        <w:rPr>
          <w:rFonts w:ascii="Arial" w:hAnsi="Arial" w:cs="Arial"/>
          <w:noProof/>
        </w:rPr>
        <w:t>list</w:t>
      </w:r>
      <w:r w:rsidR="00D24705" w:rsidRPr="00D671DB">
        <w:rPr>
          <w:rFonts w:ascii="Arial" w:hAnsi="Arial" w:cs="Arial"/>
          <w:noProof/>
          <w:lang w:val="sr-Latn-CS"/>
        </w:rPr>
        <w:t xml:space="preserve"> </w:t>
      </w:r>
      <w:r w:rsidR="00D24705" w:rsidRPr="00E56DC2">
        <w:rPr>
          <w:rFonts w:ascii="Arial" w:hAnsi="Arial" w:cs="Arial"/>
          <w:noProof/>
        </w:rPr>
        <w:t>CG</w:t>
      </w:r>
      <w:r w:rsidR="00D24705" w:rsidRPr="00D671DB">
        <w:rPr>
          <w:rFonts w:ascii="Arial" w:hAnsi="Arial" w:cs="Arial"/>
          <w:noProof/>
          <w:lang w:val="sr-Latn-CS"/>
        </w:rPr>
        <w:t xml:space="preserve">“, </w:t>
      </w:r>
      <w:r w:rsidR="00D24705" w:rsidRPr="00E56DC2">
        <w:rPr>
          <w:rFonts w:ascii="Arial" w:hAnsi="Arial" w:cs="Arial"/>
          <w:noProof/>
        </w:rPr>
        <w:t>broj</w:t>
      </w:r>
      <w:r w:rsidR="00D24705" w:rsidRPr="00D671DB">
        <w:rPr>
          <w:rFonts w:ascii="Arial" w:hAnsi="Arial" w:cs="Arial"/>
          <w:noProof/>
          <w:lang w:val="sr-Latn-CS"/>
        </w:rPr>
        <w:t xml:space="preserve"> 16/18, 83/18, 74/19 </w:t>
      </w:r>
      <w:r w:rsidR="00D24705" w:rsidRPr="00E56DC2">
        <w:rPr>
          <w:rFonts w:ascii="Arial" w:hAnsi="Arial" w:cs="Arial"/>
          <w:noProof/>
        </w:rPr>
        <w:t>i</w:t>
      </w:r>
      <w:r w:rsidR="00D24705" w:rsidRPr="00D671DB">
        <w:rPr>
          <w:rFonts w:ascii="Arial" w:hAnsi="Arial" w:cs="Arial"/>
          <w:noProof/>
          <w:lang w:val="sr-Latn-CS"/>
        </w:rPr>
        <w:t xml:space="preserve"> 110/20)</w:t>
      </w:r>
      <w:r w:rsidRPr="00E56DC2">
        <w:rPr>
          <w:rFonts w:ascii="Arial" w:hAnsi="Arial" w:cs="Arial"/>
          <w:lang w:val="sr-Latn-CS"/>
        </w:rPr>
        <w:t xml:space="preserve">, a za potrebe izrade koncesionog akta za </w:t>
      </w:r>
      <w:r w:rsidR="001F19FE">
        <w:rPr>
          <w:rFonts w:ascii="Arial" w:hAnsi="Arial" w:cs="Arial"/>
          <w:lang w:val="sr-Latn-CS"/>
        </w:rPr>
        <w:t>lokalitet</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1F19FE">
        <w:rPr>
          <w:rFonts w:ascii="Arial" w:hAnsi="Arial" w:cs="Arial"/>
          <w:lang w:val="sr-Latn-CS"/>
        </w:rPr>
        <w:t>lokalitet</w:t>
      </w:r>
      <w:r w:rsidR="00604855" w:rsidRPr="00E56DC2">
        <w:rPr>
          <w:rFonts w:ascii="Arial" w:hAnsi="Arial" w:cs="Arial"/>
          <w:lang w:val="sr-Latn-CS"/>
        </w:rPr>
        <w:t xml:space="preserve"> </w:t>
      </w:r>
      <w:r w:rsidR="00BC1B3C">
        <w:rPr>
          <w:rFonts w:ascii="Arial" w:hAnsi="Arial" w:cs="Arial"/>
          <w:lang w:val="sr-Latn-CS"/>
        </w:rPr>
        <w:t>“Milošev krš”</w:t>
      </w:r>
      <w:r w:rsidR="00604855" w:rsidRPr="00E56DC2">
        <w:rPr>
          <w:rFonts w:ascii="Arial" w:hAnsi="Arial" w:cs="Arial"/>
          <w:lang w:val="sr-Latn-CS"/>
        </w:rPr>
        <w:t>,</w:t>
      </w:r>
      <w:r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3D5374">
      <w:pPr>
        <w:spacing w:after="0" w:line="240" w:lineRule="auto"/>
        <w:jc w:val="both"/>
        <w:rPr>
          <w:rFonts w:ascii="Arial" w:hAnsi="Arial" w:cs="Arial"/>
          <w:lang w:val="sr-Latn-CS"/>
        </w:rPr>
      </w:pPr>
    </w:p>
    <w:p w14:paraId="294E975F" w14:textId="0546EBF4" w:rsidR="00D565F8" w:rsidRPr="00E56DC2" w:rsidRDefault="001F19FE" w:rsidP="003D5374">
      <w:pPr>
        <w:spacing w:after="0" w:line="240" w:lineRule="auto"/>
        <w:jc w:val="both"/>
        <w:rPr>
          <w:rFonts w:ascii="Arial" w:hAnsi="Arial" w:cs="Arial"/>
          <w:lang w:val="sr-Latn-CS"/>
        </w:rPr>
      </w:pPr>
      <w:r>
        <w:rPr>
          <w:rFonts w:ascii="Arial" w:hAnsi="Arial" w:cs="Arial"/>
          <w:lang w:val="sr-Latn-CS"/>
        </w:rPr>
        <w:t>Lokalitet</w:t>
      </w:r>
      <w:r w:rsidR="00D565F8" w:rsidRPr="00E56DC2">
        <w:rPr>
          <w:rFonts w:ascii="Arial" w:hAnsi="Arial" w:cs="Arial"/>
          <w:lang w:val="sr-Latn-CS"/>
        </w:rPr>
        <w:t xml:space="preserve"> je šire definisan prostorno planskom dokumentacijom</w:t>
      </w:r>
      <w:r w:rsidR="00B33302">
        <w:rPr>
          <w:rFonts w:ascii="Arial" w:hAnsi="Arial" w:cs="Arial"/>
          <w:lang w:val="sr-Latn-CS"/>
        </w:rPr>
        <w:t xml:space="preserve"> </w:t>
      </w:r>
      <w:r w:rsidR="00D565F8" w:rsidRPr="00E56DC2">
        <w:rPr>
          <w:rFonts w:ascii="Arial" w:hAnsi="Arial" w:cs="Arial"/>
          <w:lang w:val="sr-Latn-CS"/>
        </w:rPr>
        <w:t>- prostorno urbanističkim</w:t>
      </w:r>
      <w:r w:rsidR="00DE2535" w:rsidRPr="00E56DC2">
        <w:rPr>
          <w:rFonts w:ascii="Arial" w:hAnsi="Arial" w:cs="Arial"/>
          <w:lang w:val="sr-Latn-CS"/>
        </w:rPr>
        <w:t xml:space="preserve"> </w:t>
      </w:r>
      <w:r w:rsidR="00D565F8" w:rsidRPr="00E56DC2">
        <w:rPr>
          <w:rFonts w:ascii="Arial" w:hAnsi="Arial" w:cs="Arial"/>
          <w:lang w:val="sr-Latn-CS"/>
        </w:rPr>
        <w:t xml:space="preserve">planom Opštine </w:t>
      </w:r>
      <w:r w:rsidR="00BC1B3C">
        <w:rPr>
          <w:rFonts w:ascii="Arial" w:hAnsi="Arial" w:cs="Arial"/>
          <w:lang w:val="sr-Latn-CS"/>
        </w:rPr>
        <w:t>Cetinje</w:t>
      </w:r>
      <w:r w:rsidR="00B33302">
        <w:rPr>
          <w:rFonts w:ascii="Arial" w:hAnsi="Arial" w:cs="Arial"/>
          <w:lang w:val="sr-Latn-CS"/>
        </w:rPr>
        <w:t>, i nakon izvr</w:t>
      </w:r>
      <w:r w:rsidR="00B33302">
        <w:rPr>
          <w:rFonts w:ascii="Arial" w:hAnsi="Arial" w:cs="Arial"/>
          <w:lang w:val="sr-Latn-ME"/>
        </w:rPr>
        <w:t>š</w:t>
      </w:r>
      <w:r w:rsidR="00D565F8" w:rsidRPr="00E56DC2">
        <w:rPr>
          <w:rFonts w:ascii="Arial" w:hAnsi="Arial" w:cs="Arial"/>
          <w:lang w:val="sr-Latn-CS"/>
        </w:rPr>
        <w:t>enih istražnih radova definisan je u utvrđ</w:t>
      </w:r>
      <w:r w:rsidR="00DE2535" w:rsidRPr="00E56DC2">
        <w:rPr>
          <w:rFonts w:ascii="Arial" w:hAnsi="Arial" w:cs="Arial"/>
          <w:lang w:val="sr-Latn-CS"/>
        </w:rPr>
        <w:t xml:space="preserve">enim </w:t>
      </w:r>
      <w:r w:rsidR="00D565F8" w:rsidRPr="00E56DC2">
        <w:rPr>
          <w:rFonts w:ascii="Arial" w:hAnsi="Arial" w:cs="Arial"/>
          <w:lang w:val="sr-Latn-CS"/>
        </w:rPr>
        <w:t>koordinatama državnog koordinatnog sistema (DKS), i</w:t>
      </w:r>
      <w:r w:rsidR="00DE2535" w:rsidRPr="00E56DC2">
        <w:rPr>
          <w:rFonts w:ascii="Arial" w:hAnsi="Arial" w:cs="Arial"/>
          <w:lang w:val="sr-Latn-CS"/>
        </w:rPr>
        <w:t xml:space="preserve"> prikazan na katastarskom planu </w:t>
      </w:r>
      <w:r w:rsidR="001746A3" w:rsidRPr="001746A3">
        <w:rPr>
          <w:rFonts w:ascii="Arial" w:hAnsi="Arial" w:cs="Arial"/>
          <w:lang w:val="sr-Latn-CS"/>
        </w:rPr>
        <w:t>K</w:t>
      </w:r>
      <w:r w:rsidR="001746A3" w:rsidRPr="001746A3">
        <w:rPr>
          <w:rStyle w:val="Heading2Char"/>
          <w:b w:val="0"/>
        </w:rPr>
        <w:t>O Dobrsko Selo</w:t>
      </w:r>
      <w:r w:rsidR="00DE2535" w:rsidRPr="00E56DC2">
        <w:rPr>
          <w:rFonts w:ascii="Arial" w:hAnsi="Arial" w:cs="Arial"/>
          <w:lang w:val="sr-Latn-CS"/>
        </w:rPr>
        <w:t>, č</w:t>
      </w:r>
      <w:r w:rsidR="00D565F8" w:rsidRPr="00E56DC2">
        <w:rPr>
          <w:rFonts w:ascii="Arial" w:hAnsi="Arial" w:cs="Arial"/>
          <w:lang w:val="sr-Latn-CS"/>
        </w:rPr>
        <w:t>ime je utvrđena površina područja koncesije i obim područja.</w:t>
      </w:r>
    </w:p>
    <w:p w14:paraId="24F87BB1" w14:textId="77777777" w:rsidR="00DE2535" w:rsidRPr="00E56DC2" w:rsidRDefault="00DE2535" w:rsidP="003D5374">
      <w:pPr>
        <w:spacing w:after="0" w:line="240" w:lineRule="auto"/>
        <w:jc w:val="both"/>
        <w:rPr>
          <w:rFonts w:ascii="Arial" w:hAnsi="Arial" w:cs="Arial"/>
          <w:lang w:val="sr-Latn-CS"/>
        </w:rPr>
      </w:pPr>
    </w:p>
    <w:p w14:paraId="19C367DB" w14:textId="77777777" w:rsidR="00DE2535"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Na priloženim skicama prikazano je</w:t>
      </w:r>
    </w:p>
    <w:p w14:paraId="1755A6B2" w14:textId="77777777" w:rsidR="00DE2535" w:rsidRPr="00E56DC2" w:rsidRDefault="00DE2535" w:rsidP="003D5374">
      <w:pPr>
        <w:spacing w:after="0" w:line="240" w:lineRule="auto"/>
        <w:jc w:val="both"/>
        <w:rPr>
          <w:rFonts w:ascii="Arial" w:hAnsi="Arial" w:cs="Arial"/>
          <w:lang w:val="sr-Latn-CS"/>
        </w:rPr>
      </w:pPr>
    </w:p>
    <w:p w14:paraId="112C3782" w14:textId="58CF0B0F"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 xml:space="preserve">1) Područje koncesije na katastarskom planu </w:t>
      </w:r>
      <w:r w:rsidRPr="001746A3">
        <w:rPr>
          <w:rFonts w:ascii="Arial" w:hAnsi="Arial" w:cs="Arial"/>
          <w:lang w:val="sr-Latn-CS"/>
        </w:rPr>
        <w:t>K</w:t>
      </w:r>
      <w:r w:rsidRPr="001746A3">
        <w:rPr>
          <w:rStyle w:val="Heading2Char"/>
          <w:b w:val="0"/>
        </w:rPr>
        <w:t xml:space="preserve">O </w:t>
      </w:r>
      <w:r w:rsidR="001746A3" w:rsidRPr="001746A3">
        <w:rPr>
          <w:rStyle w:val="Heading2Char"/>
          <w:b w:val="0"/>
        </w:rPr>
        <w:t>Dobrsko Selo</w:t>
      </w:r>
      <w:r w:rsidRPr="001746A3">
        <w:rPr>
          <w:rFonts w:ascii="Arial" w:hAnsi="Arial" w:cs="Arial"/>
          <w:b/>
          <w:lang w:val="sr-Latn-CS"/>
        </w:rPr>
        <w:t>,</w:t>
      </w:r>
      <w:r w:rsidRPr="001746A3">
        <w:rPr>
          <w:rFonts w:ascii="Arial" w:hAnsi="Arial" w:cs="Arial"/>
          <w:lang w:val="sr-Latn-CS"/>
        </w:rPr>
        <w:t xml:space="preserve"> sa koordinatama</w:t>
      </w:r>
    </w:p>
    <w:p w14:paraId="685A2761" w14:textId="50BC8D2E"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 xml:space="preserve">graničnih tačaka. u trenutku izrade ovog </w:t>
      </w:r>
      <w:r w:rsidR="00C87EB8" w:rsidRPr="00E56DC2">
        <w:rPr>
          <w:rFonts w:ascii="Arial" w:hAnsi="Arial" w:cs="Arial"/>
          <w:lang w:val="sr-Latn-CS"/>
        </w:rPr>
        <w:t>Tehničkog izvještaja</w:t>
      </w:r>
      <w:r w:rsidRPr="00E56DC2">
        <w:rPr>
          <w:rFonts w:ascii="Arial" w:hAnsi="Arial" w:cs="Arial"/>
          <w:lang w:val="sr-Latn-CS"/>
        </w:rPr>
        <w:t>,</w:t>
      </w:r>
    </w:p>
    <w:p w14:paraId="65A59412" w14:textId="77777777"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2) Područje koncesije na ortofoto karti UZN.</w:t>
      </w:r>
    </w:p>
    <w:p w14:paraId="3E8ECFC5" w14:textId="1C2E5C98"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3) Područje koncesije na topografskoj karti 1:25000.</w:t>
      </w:r>
    </w:p>
    <w:p w14:paraId="7F277D17" w14:textId="77777777" w:rsidR="008224E6" w:rsidRPr="00D671DB" w:rsidRDefault="008224E6" w:rsidP="003D5374">
      <w:pPr>
        <w:spacing w:after="0" w:line="240" w:lineRule="auto"/>
        <w:jc w:val="both"/>
        <w:rPr>
          <w:rFonts w:ascii="Arial" w:eastAsia="Calibri" w:hAnsi="Arial" w:cs="Arial"/>
          <w:kern w:val="0"/>
          <w:lang w:val="pt-BR"/>
        </w:rPr>
      </w:pPr>
    </w:p>
    <w:p w14:paraId="0DF6E144" w14:textId="77777777" w:rsidR="00D55D18" w:rsidRPr="00D55D18" w:rsidRDefault="00D55D18" w:rsidP="003D5374">
      <w:pPr>
        <w:spacing w:after="0" w:line="240" w:lineRule="auto"/>
        <w:jc w:val="both"/>
        <w:rPr>
          <w:rFonts w:ascii="Arial" w:hAnsi="Arial" w:cs="Arial"/>
          <w:lang w:val="sr-Latn-CS"/>
        </w:rPr>
      </w:pPr>
      <w:r w:rsidRPr="00D55D18">
        <w:rPr>
          <w:rFonts w:ascii="Arial" w:hAnsi="Arial" w:cs="Arial"/>
          <w:lang w:val="sr-Latn-CS"/>
        </w:rPr>
        <w:t>Prostor koji se nalazi na podrucju katstarske opštine Dobrsko Selo je dio KP343, svojina</w:t>
      </w:r>
    </w:p>
    <w:p w14:paraId="44BB6E2F" w14:textId="532CA78C" w:rsidR="002957A7" w:rsidRPr="00D55D18" w:rsidRDefault="00D55D18" w:rsidP="003D5374">
      <w:pPr>
        <w:spacing w:after="0" w:line="240" w:lineRule="auto"/>
        <w:jc w:val="both"/>
        <w:rPr>
          <w:rFonts w:ascii="Arial" w:hAnsi="Arial" w:cs="Arial"/>
          <w:lang w:val="sr-Latn-CS"/>
        </w:rPr>
      </w:pPr>
      <w:r w:rsidRPr="00D55D18">
        <w:rPr>
          <w:rFonts w:ascii="Arial" w:hAnsi="Arial" w:cs="Arial"/>
          <w:lang w:val="sr-Latn-CS"/>
        </w:rPr>
        <w:t>Crne Gore, raspolaganje Vlada Crne Gore.</w:t>
      </w:r>
    </w:p>
    <w:p w14:paraId="73248863" w14:textId="77777777" w:rsidR="00D55D18" w:rsidRPr="00E56DC2" w:rsidRDefault="00D55D18" w:rsidP="003D5374">
      <w:pPr>
        <w:spacing w:after="0" w:line="240" w:lineRule="auto"/>
        <w:jc w:val="both"/>
        <w:rPr>
          <w:rFonts w:ascii="Arial" w:hAnsi="Arial" w:cs="Arial"/>
          <w:lang w:val="pl-PL"/>
        </w:rPr>
      </w:pPr>
    </w:p>
    <w:p w14:paraId="427577E2" w14:textId="25C83C7F" w:rsidR="00E36FF8" w:rsidRDefault="00E36FF8" w:rsidP="003D5374">
      <w:pPr>
        <w:tabs>
          <w:tab w:val="left" w:pos="3119"/>
        </w:tabs>
        <w:spacing w:after="0" w:line="240" w:lineRule="auto"/>
        <w:jc w:val="both"/>
        <w:rPr>
          <w:rFonts w:ascii="Arial" w:hAnsi="Arial" w:cs="Arial"/>
          <w:lang w:val="sr-Latn-CS"/>
        </w:rPr>
      </w:pPr>
      <w:r w:rsidRPr="00E56DC2">
        <w:rPr>
          <w:rFonts w:ascii="Arial" w:hAnsi="Arial" w:cs="Arial"/>
          <w:lang w:val="sr-Latn-CS"/>
        </w:rPr>
        <w:t xml:space="preserve">Na planu </w:t>
      </w:r>
      <w:r w:rsidR="001746A3" w:rsidRPr="001746A3">
        <w:rPr>
          <w:rFonts w:ascii="Arial" w:hAnsi="Arial" w:cs="Arial"/>
          <w:lang w:val="sr-Latn-CS"/>
        </w:rPr>
        <w:t>K</w:t>
      </w:r>
      <w:r w:rsidR="001746A3" w:rsidRPr="001746A3">
        <w:rPr>
          <w:rStyle w:val="Heading2Char"/>
          <w:b w:val="0"/>
        </w:rPr>
        <w:t>O Dobrsko Selo</w:t>
      </w:r>
      <w:r w:rsidR="00DD095F" w:rsidRPr="00E56DC2">
        <w:rPr>
          <w:rFonts w:ascii="Arial" w:hAnsi="Arial" w:cs="Arial"/>
          <w:lang w:val="sr-Latn-CS"/>
        </w:rPr>
        <w:t xml:space="preserve">, </w:t>
      </w:r>
      <w:r w:rsidRPr="00E56DC2">
        <w:rPr>
          <w:rFonts w:ascii="Arial" w:hAnsi="Arial" w:cs="Arial"/>
          <w:lang w:val="sr-Latn-CS"/>
        </w:rPr>
        <w:t>razmjere 1:</w:t>
      </w:r>
      <w:r w:rsidR="002B33FA" w:rsidRPr="00E56DC2">
        <w:rPr>
          <w:rFonts w:ascii="Arial" w:hAnsi="Arial" w:cs="Arial"/>
          <w:lang w:val="sr-Latn-CS"/>
        </w:rPr>
        <w:t>2</w:t>
      </w:r>
      <w:r w:rsidR="002957A7" w:rsidRPr="00E56DC2">
        <w:rPr>
          <w:rFonts w:ascii="Arial" w:hAnsi="Arial" w:cs="Arial"/>
          <w:lang w:val="sr-Latn-CS"/>
        </w:rPr>
        <w:t>5</w:t>
      </w:r>
      <w:r w:rsidR="002B33FA" w:rsidRPr="00E56DC2">
        <w:rPr>
          <w:rFonts w:ascii="Arial" w:hAnsi="Arial" w:cs="Arial"/>
          <w:lang w:val="sr-Latn-CS"/>
        </w:rPr>
        <w:t>00</w:t>
      </w:r>
      <w:r w:rsidRPr="00E56DC2">
        <w:rPr>
          <w:rFonts w:ascii="Arial" w:hAnsi="Arial" w:cs="Arial"/>
          <w:lang w:val="sr-Latn-CS"/>
        </w:rPr>
        <w:t>, na zeml</w:t>
      </w:r>
      <w:r w:rsidR="002957A7" w:rsidRPr="00E56DC2">
        <w:rPr>
          <w:rFonts w:ascii="Arial" w:hAnsi="Arial" w:cs="Arial"/>
          <w:lang w:val="sr-Latn-CS"/>
        </w:rPr>
        <w:t>jištu na koj</w:t>
      </w:r>
      <w:r w:rsidR="00DE2535" w:rsidRPr="00E56DC2">
        <w:rPr>
          <w:rFonts w:ascii="Arial" w:hAnsi="Arial" w:cs="Arial"/>
          <w:lang w:val="sr-Latn-CS"/>
        </w:rPr>
        <w:t xml:space="preserve">em se nalazi </w:t>
      </w:r>
      <w:r w:rsidR="001F19FE">
        <w:rPr>
          <w:rFonts w:ascii="Arial" w:hAnsi="Arial" w:cs="Arial"/>
          <w:lang w:val="sr-Latn-CS"/>
        </w:rPr>
        <w:t>lokalitet</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Pr="00E56DC2">
        <w:rPr>
          <w:rFonts w:ascii="Arial" w:hAnsi="Arial" w:cs="Arial"/>
          <w:lang w:val="sr-Latn-CS"/>
        </w:rPr>
        <w:t>, definisan je</w:t>
      </w:r>
      <w:r w:rsidR="008224E6" w:rsidRPr="00E56DC2">
        <w:rPr>
          <w:rFonts w:ascii="Arial" w:hAnsi="Arial" w:cs="Arial"/>
          <w:lang w:val="sr-Latn-CS"/>
        </w:rPr>
        <w:t xml:space="preserve"> </w:t>
      </w:r>
      <w:r w:rsidRPr="00E56DC2">
        <w:rPr>
          <w:rFonts w:ascii="Arial" w:hAnsi="Arial" w:cs="Arial"/>
          <w:lang w:val="sr-Latn-CS"/>
        </w:rPr>
        <w:t xml:space="preserve">koncesioni prostor sa </w:t>
      </w:r>
      <w:r w:rsidR="001746A3">
        <w:rPr>
          <w:rFonts w:ascii="Arial" w:hAnsi="Arial" w:cs="Arial"/>
          <w:lang w:val="sr-Latn-CS"/>
        </w:rPr>
        <w:t>6</w:t>
      </w:r>
      <w:r w:rsidR="002957A7" w:rsidRPr="00E56DC2">
        <w:rPr>
          <w:rFonts w:ascii="Arial" w:hAnsi="Arial" w:cs="Arial"/>
          <w:lang w:val="sr-Latn-CS"/>
        </w:rPr>
        <w:t xml:space="preserve"> </w:t>
      </w:r>
      <w:r w:rsidRPr="00E56DC2">
        <w:rPr>
          <w:rFonts w:ascii="Arial" w:hAnsi="Arial" w:cs="Arial"/>
          <w:lang w:val="sr-Latn-CS"/>
        </w:rPr>
        <w:t>graničn</w:t>
      </w:r>
      <w:r w:rsidR="002B33FA" w:rsidRPr="00E56DC2">
        <w:rPr>
          <w:rFonts w:ascii="Arial" w:hAnsi="Arial" w:cs="Arial"/>
          <w:lang w:val="sr-Latn-CS"/>
        </w:rPr>
        <w:t>ih</w:t>
      </w:r>
      <w:r w:rsidRPr="00E56DC2">
        <w:rPr>
          <w:rFonts w:ascii="Arial" w:hAnsi="Arial" w:cs="Arial"/>
          <w:lang w:val="sr-Latn-CS"/>
        </w:rPr>
        <w:t xml:space="preserve"> tač</w:t>
      </w:r>
      <w:r w:rsidR="002B33FA" w:rsidRPr="00E56DC2">
        <w:rPr>
          <w:rFonts w:ascii="Arial" w:hAnsi="Arial" w:cs="Arial"/>
          <w:lang w:val="sr-Latn-CS"/>
        </w:rPr>
        <w:t>aka</w:t>
      </w:r>
      <w:r w:rsidRPr="00E56DC2">
        <w:rPr>
          <w:rFonts w:ascii="Arial" w:hAnsi="Arial" w:cs="Arial"/>
          <w:lang w:val="sr-Latn-CS"/>
        </w:rPr>
        <w:t xml:space="preserve"> sa utvrđenim koordinatama državnog koordinatnog sistema (DKS) i površinom</w:t>
      </w:r>
      <w:r w:rsidR="002957A7" w:rsidRPr="00E56DC2">
        <w:rPr>
          <w:rFonts w:ascii="Arial" w:hAnsi="Arial" w:cs="Arial"/>
          <w:lang w:val="sr-Latn-CS"/>
        </w:rPr>
        <w:t xml:space="preserve"> </w:t>
      </w:r>
      <w:r w:rsidR="002957A7" w:rsidRPr="00511C22">
        <w:rPr>
          <w:rFonts w:ascii="Arial" w:hAnsi="Arial" w:cs="Arial"/>
          <w:lang w:val="sr-Latn-CS"/>
        </w:rPr>
        <w:t>od</w:t>
      </w:r>
      <w:r w:rsidRPr="00511C22">
        <w:rPr>
          <w:rFonts w:ascii="Arial" w:hAnsi="Arial" w:cs="Arial"/>
          <w:lang w:val="sr-Latn-CS"/>
        </w:rPr>
        <w:t xml:space="preserve"> </w:t>
      </w:r>
      <w:r w:rsidR="00D55D18">
        <w:rPr>
          <w:rFonts w:ascii="Arial" w:hAnsi="Arial" w:cs="Arial"/>
          <w:lang w:val="sr-Latn-CS"/>
        </w:rPr>
        <w:t xml:space="preserve">4 ha 68 a 50 m² </w:t>
      </w:r>
      <w:r w:rsidR="002957A7" w:rsidRPr="00511C22">
        <w:rPr>
          <w:rFonts w:ascii="Arial" w:hAnsi="Arial" w:cs="Arial"/>
          <w:lang w:val="sr-Latn-CS"/>
        </w:rPr>
        <w:t xml:space="preserve"> </w:t>
      </w:r>
      <w:r w:rsidRPr="00511C22">
        <w:rPr>
          <w:rFonts w:ascii="Arial" w:hAnsi="Arial" w:cs="Arial"/>
          <w:lang w:val="sr-Latn-CS"/>
        </w:rPr>
        <w:t xml:space="preserve">koju zahvata </w:t>
      </w:r>
      <w:r w:rsidR="008224E6" w:rsidRPr="00511C22">
        <w:rPr>
          <w:rFonts w:ascii="Arial" w:hAnsi="Arial" w:cs="Arial"/>
          <w:lang w:val="sr-Latn-CS"/>
        </w:rPr>
        <w:t xml:space="preserve">predmetno </w:t>
      </w:r>
      <w:r w:rsidRPr="00511C22">
        <w:rPr>
          <w:rFonts w:ascii="Arial" w:hAnsi="Arial" w:cs="Arial"/>
          <w:lang w:val="sr-Latn-CS"/>
        </w:rPr>
        <w:t>područje</w:t>
      </w:r>
      <w:r w:rsidR="008224E6" w:rsidRPr="00511C22">
        <w:rPr>
          <w:rFonts w:ascii="Arial" w:hAnsi="Arial" w:cs="Arial"/>
          <w:lang w:val="sr-Latn-CS"/>
        </w:rPr>
        <w:t>.</w:t>
      </w:r>
      <w:r w:rsidRPr="00511C22">
        <w:rPr>
          <w:rFonts w:ascii="Arial" w:hAnsi="Arial" w:cs="Arial"/>
          <w:lang w:val="sr-Latn-CS"/>
        </w:rPr>
        <w:t xml:space="preserve"> </w:t>
      </w:r>
    </w:p>
    <w:p w14:paraId="578C5303" w14:textId="77777777" w:rsidR="00CA45CF" w:rsidRPr="00511C22" w:rsidRDefault="00CA45CF" w:rsidP="001A204D">
      <w:pPr>
        <w:tabs>
          <w:tab w:val="left" w:pos="3119"/>
        </w:tabs>
        <w:spacing w:after="0"/>
        <w:jc w:val="both"/>
        <w:rPr>
          <w:rFonts w:ascii="Arial" w:hAnsi="Arial" w:cs="Arial"/>
          <w:lang w:val="sr-Latn-CS"/>
        </w:rPr>
      </w:pPr>
    </w:p>
    <w:p w14:paraId="78D7C5DC" w14:textId="3CBFD279" w:rsidR="00E36FF8" w:rsidRPr="00E56DC2" w:rsidRDefault="00E36FF8" w:rsidP="00E36FF8">
      <w:pPr>
        <w:pStyle w:val="BodyText"/>
        <w:spacing w:after="0" w:line="240" w:lineRule="auto"/>
        <w:jc w:val="both"/>
        <w:rPr>
          <w:rFonts w:ascii="Arial" w:hAnsi="Arial" w:cs="Arial"/>
          <w:sz w:val="22"/>
          <w:szCs w:val="22"/>
          <w:lang w:val="sr-Latn-CS"/>
        </w:rPr>
      </w:pPr>
      <w:r w:rsidRPr="00E56DC2">
        <w:rPr>
          <w:rFonts w:ascii="Arial" w:hAnsi="Arial" w:cs="Arial"/>
          <w:sz w:val="22"/>
          <w:szCs w:val="22"/>
          <w:lang w:val="pl-PL"/>
        </w:rPr>
        <w:lastRenderedPageBreak/>
        <w:t xml:space="preserve">Koordinate graničnih tačaka i površina </w:t>
      </w:r>
      <w:r w:rsidR="00BC1B3C">
        <w:rPr>
          <w:rFonts w:ascii="Arial" w:hAnsi="Arial" w:cs="Arial"/>
          <w:sz w:val="22"/>
          <w:szCs w:val="22"/>
        </w:rPr>
        <w:t>lokaliteta</w:t>
      </w:r>
      <w:r w:rsidRPr="00D671DB">
        <w:rPr>
          <w:rFonts w:ascii="Arial" w:hAnsi="Arial" w:cs="Arial"/>
          <w:sz w:val="22"/>
          <w:szCs w:val="22"/>
          <w:lang w:val="sr-Latn-CS"/>
        </w:rPr>
        <w:t xml:space="preserve"> </w:t>
      </w:r>
      <w:r w:rsidR="002D6F71" w:rsidRPr="00E56DC2">
        <w:rPr>
          <w:rFonts w:ascii="Arial" w:hAnsi="Arial" w:cs="Arial"/>
          <w:sz w:val="22"/>
          <w:szCs w:val="22"/>
        </w:rPr>
        <w:t>tehni</w:t>
      </w:r>
      <w:r w:rsidR="002D6F71" w:rsidRPr="00D671DB">
        <w:rPr>
          <w:rFonts w:ascii="Arial" w:hAnsi="Arial" w:cs="Arial"/>
          <w:sz w:val="22"/>
          <w:szCs w:val="22"/>
          <w:lang w:val="sr-Latn-CS"/>
        </w:rPr>
        <w:t>č</w:t>
      </w:r>
      <w:r w:rsidR="002D6F71" w:rsidRPr="00E56DC2">
        <w:rPr>
          <w:rFonts w:ascii="Arial" w:hAnsi="Arial" w:cs="Arial"/>
          <w:sz w:val="22"/>
          <w:szCs w:val="22"/>
        </w:rPr>
        <w:t>ko</w:t>
      </w:r>
      <w:r w:rsidR="002D6F71" w:rsidRPr="00D671DB">
        <w:rPr>
          <w:rFonts w:ascii="Arial" w:hAnsi="Arial" w:cs="Arial"/>
          <w:sz w:val="22"/>
          <w:szCs w:val="22"/>
          <w:lang w:val="sr-Latn-CS"/>
        </w:rPr>
        <w:t>-</w:t>
      </w:r>
      <w:r w:rsidR="002D6F71" w:rsidRPr="00E56DC2">
        <w:rPr>
          <w:rFonts w:ascii="Arial" w:hAnsi="Arial" w:cs="Arial"/>
          <w:sz w:val="22"/>
          <w:szCs w:val="22"/>
        </w:rPr>
        <w:t>gra</w:t>
      </w:r>
      <w:r w:rsidR="002D6F71" w:rsidRPr="00D671DB">
        <w:rPr>
          <w:rFonts w:ascii="Arial" w:hAnsi="Arial" w:cs="Arial"/>
          <w:sz w:val="22"/>
          <w:szCs w:val="22"/>
          <w:lang w:val="sr-Latn-CS"/>
        </w:rPr>
        <w:t>đ</w:t>
      </w:r>
      <w:r w:rsidR="002D6F71" w:rsidRPr="00E56DC2">
        <w:rPr>
          <w:rFonts w:ascii="Arial" w:hAnsi="Arial" w:cs="Arial"/>
          <w:sz w:val="22"/>
          <w:szCs w:val="22"/>
        </w:rPr>
        <w:t>evins</w:t>
      </w:r>
      <w:r w:rsidR="00604855" w:rsidRPr="00E56DC2">
        <w:rPr>
          <w:rFonts w:ascii="Arial" w:hAnsi="Arial" w:cs="Arial"/>
          <w:sz w:val="22"/>
          <w:szCs w:val="22"/>
        </w:rPr>
        <w:t>kog</w:t>
      </w:r>
      <w:r w:rsidR="00604855" w:rsidRPr="00D671DB">
        <w:rPr>
          <w:rFonts w:ascii="Arial" w:hAnsi="Arial" w:cs="Arial"/>
          <w:sz w:val="22"/>
          <w:szCs w:val="22"/>
          <w:lang w:val="sr-Latn-CS"/>
        </w:rPr>
        <w:t xml:space="preserve"> </w:t>
      </w:r>
      <w:r w:rsidR="00604855" w:rsidRPr="00E56DC2">
        <w:rPr>
          <w:rFonts w:ascii="Arial" w:hAnsi="Arial" w:cs="Arial"/>
          <w:sz w:val="22"/>
          <w:szCs w:val="22"/>
        </w:rPr>
        <w:t>kamena</w:t>
      </w:r>
      <w:r w:rsidRPr="00D671DB">
        <w:rPr>
          <w:rFonts w:ascii="Arial" w:hAnsi="Arial" w:cs="Arial"/>
          <w:sz w:val="22"/>
          <w:szCs w:val="22"/>
          <w:lang w:val="sr-Latn-CS"/>
        </w:rPr>
        <w:t xml:space="preserve"> </w:t>
      </w:r>
      <w:r w:rsidR="00BC1B3C">
        <w:rPr>
          <w:rFonts w:ascii="Arial" w:hAnsi="Arial" w:cs="Arial"/>
          <w:sz w:val="22"/>
          <w:szCs w:val="22"/>
          <w:lang w:val="sr-Latn-CS"/>
        </w:rPr>
        <w:t>“Milošev krš”</w:t>
      </w:r>
      <w:r w:rsidRPr="00E56DC2">
        <w:rPr>
          <w:rFonts w:ascii="Arial" w:hAnsi="Arial" w:cs="Arial"/>
          <w:sz w:val="22"/>
          <w:szCs w:val="22"/>
          <w:lang w:val="sr-Latn-CS"/>
        </w:rPr>
        <w:t xml:space="preserve">, </w:t>
      </w:r>
      <w:r w:rsidR="003D5374">
        <w:rPr>
          <w:rFonts w:ascii="Arial" w:hAnsi="Arial" w:cs="Arial"/>
          <w:sz w:val="22"/>
          <w:szCs w:val="22"/>
          <w:lang w:val="sr-Latn-CS"/>
        </w:rPr>
        <w:t>Prijestonica Cetinje</w:t>
      </w:r>
      <w:r w:rsidRPr="00E56DC2">
        <w:rPr>
          <w:rFonts w:ascii="Arial" w:hAnsi="Arial" w:cs="Arial"/>
          <w:sz w:val="22"/>
          <w:szCs w:val="22"/>
          <w:lang w:val="pl-PL"/>
        </w:rPr>
        <w:t xml:space="preserve">, dati su u </w:t>
      </w:r>
      <w:r w:rsidR="00501EBE" w:rsidRPr="00E56DC2">
        <w:rPr>
          <w:rFonts w:ascii="Arial" w:hAnsi="Arial" w:cs="Arial"/>
          <w:sz w:val="22"/>
          <w:szCs w:val="22"/>
          <w:lang w:val="pl-PL"/>
        </w:rPr>
        <w:t>Tehničkom izvještaju</w:t>
      </w:r>
      <w:r w:rsidRPr="00E56DC2">
        <w:rPr>
          <w:rFonts w:ascii="Arial" w:hAnsi="Arial" w:cs="Arial"/>
          <w:sz w:val="22"/>
          <w:szCs w:val="22"/>
          <w:lang w:val="pl-PL"/>
        </w:rPr>
        <w:t>, koji je sastavni dio predmetnog Koncesionog akta</w:t>
      </w:r>
      <w:r w:rsidR="006245BE" w:rsidRPr="00E56DC2">
        <w:rPr>
          <w:rFonts w:ascii="Arial" w:hAnsi="Arial" w:cs="Arial"/>
          <w:sz w:val="22"/>
          <w:szCs w:val="22"/>
          <w:lang w:val="sr-Latn-CS"/>
        </w:rPr>
        <w:t>.</w:t>
      </w:r>
    </w:p>
    <w:p w14:paraId="6DB81B08" w14:textId="553ACBB3" w:rsidR="006245BE" w:rsidRPr="00E56DC2" w:rsidRDefault="006245BE" w:rsidP="00E36FF8">
      <w:pPr>
        <w:pStyle w:val="BodyText"/>
        <w:spacing w:after="0" w:line="240" w:lineRule="auto"/>
        <w:jc w:val="both"/>
        <w:rPr>
          <w:rFonts w:ascii="Arial" w:hAnsi="Arial" w:cs="Arial"/>
          <w:sz w:val="22"/>
          <w:szCs w:val="22"/>
          <w:lang w:val="sr-Latn-CS"/>
        </w:rPr>
      </w:pPr>
    </w:p>
    <w:p w14:paraId="4BA582CB" w14:textId="76AE140B" w:rsidR="006245BE" w:rsidRPr="00637F52" w:rsidRDefault="006245BE" w:rsidP="00E36FF8">
      <w:pPr>
        <w:pStyle w:val="BodyText"/>
        <w:spacing w:after="0" w:line="240" w:lineRule="auto"/>
        <w:jc w:val="both"/>
        <w:rPr>
          <w:rFonts w:ascii="Arial" w:hAnsi="Arial" w:cs="Arial"/>
          <w:sz w:val="22"/>
          <w:szCs w:val="22"/>
          <w:lang w:val="sr-Latn-ME"/>
        </w:rPr>
      </w:pPr>
      <w:r w:rsidRPr="00637F52">
        <w:rPr>
          <w:rFonts w:ascii="Arial" w:hAnsi="Arial" w:cs="Arial"/>
          <w:sz w:val="22"/>
          <w:szCs w:val="22"/>
          <w:lang w:val="sr-Latn-CS"/>
        </w:rPr>
        <w:t xml:space="preserve">1.3. </w:t>
      </w:r>
      <w:r w:rsidRPr="00637F52">
        <w:rPr>
          <w:rFonts w:ascii="Arial" w:hAnsi="Arial" w:cs="Arial"/>
          <w:b/>
          <w:bCs/>
          <w:sz w:val="22"/>
          <w:szCs w:val="22"/>
          <w:lang w:val="sr-Latn-CS"/>
        </w:rPr>
        <w:t>Geomorfolo</w:t>
      </w:r>
      <w:r w:rsidRPr="00637F52">
        <w:rPr>
          <w:rFonts w:ascii="Arial" w:hAnsi="Arial" w:cs="Arial"/>
          <w:b/>
          <w:bCs/>
          <w:sz w:val="22"/>
          <w:szCs w:val="22"/>
          <w:lang w:val="sr-Latn-ME"/>
        </w:rPr>
        <w:t xml:space="preserve">ške karakteristike područja </w:t>
      </w:r>
      <w:r w:rsidR="00BC1B3C" w:rsidRPr="00637F52">
        <w:rPr>
          <w:rFonts w:ascii="Arial" w:hAnsi="Arial" w:cs="Arial"/>
          <w:b/>
          <w:bCs/>
          <w:sz w:val="22"/>
          <w:szCs w:val="22"/>
          <w:lang w:val="sr-Latn-ME"/>
        </w:rPr>
        <w:t>lokaliteta</w:t>
      </w:r>
      <w:r w:rsidRPr="00637F52">
        <w:rPr>
          <w:rFonts w:ascii="Arial" w:hAnsi="Arial" w:cs="Arial"/>
          <w:b/>
          <w:bCs/>
          <w:sz w:val="22"/>
          <w:szCs w:val="22"/>
          <w:lang w:val="sr-Latn-ME"/>
        </w:rPr>
        <w:t xml:space="preserve"> </w:t>
      </w:r>
      <w:r w:rsidR="00BC1B3C" w:rsidRPr="00637F52">
        <w:rPr>
          <w:rFonts w:ascii="Arial" w:hAnsi="Arial" w:cs="Arial"/>
          <w:b/>
          <w:bCs/>
          <w:sz w:val="22"/>
          <w:szCs w:val="22"/>
          <w:lang w:val="sr-Latn-ME"/>
        </w:rPr>
        <w:t>“Milošev krš”</w:t>
      </w:r>
    </w:p>
    <w:p w14:paraId="747BB622" w14:textId="49071B5B" w:rsidR="006245BE" w:rsidRPr="00637F52" w:rsidRDefault="006245BE" w:rsidP="003D5374">
      <w:pPr>
        <w:pStyle w:val="BodyText"/>
        <w:spacing w:after="0" w:line="240" w:lineRule="auto"/>
        <w:jc w:val="both"/>
        <w:rPr>
          <w:rFonts w:ascii="Arial" w:hAnsi="Arial" w:cs="Arial"/>
          <w:sz w:val="22"/>
          <w:szCs w:val="22"/>
          <w:lang w:val="sr-Latn-ME"/>
        </w:rPr>
      </w:pPr>
    </w:p>
    <w:p w14:paraId="77B851B4" w14:textId="789A36B8" w:rsidR="006245BE" w:rsidRPr="00637F52" w:rsidRDefault="006245BE" w:rsidP="003D5374">
      <w:pPr>
        <w:spacing w:after="0" w:line="240" w:lineRule="auto"/>
        <w:jc w:val="both"/>
        <w:rPr>
          <w:rFonts w:ascii="Arial" w:hAnsi="Arial" w:cs="Arial"/>
          <w:lang w:val="sr-Latn-CS"/>
        </w:rPr>
      </w:pPr>
      <w:r w:rsidRPr="00637F52">
        <w:rPr>
          <w:rFonts w:ascii="Arial" w:hAnsi="Arial" w:cs="Arial"/>
          <w:lang w:val="sr-Latn-CS"/>
        </w:rPr>
        <w:t xml:space="preserve">Šire područje </w:t>
      </w:r>
      <w:r w:rsidR="00BC1B3C" w:rsidRPr="00637F52">
        <w:rPr>
          <w:rFonts w:ascii="Arial" w:hAnsi="Arial" w:cs="Arial"/>
          <w:lang w:val="sr-Latn-CS"/>
        </w:rPr>
        <w:t>lokaliteta</w:t>
      </w:r>
      <w:r w:rsidRPr="00637F52">
        <w:rPr>
          <w:rFonts w:ascii="Arial" w:hAnsi="Arial" w:cs="Arial"/>
          <w:lang w:val="sr-Latn-CS"/>
        </w:rPr>
        <w:t xml:space="preserve"> </w:t>
      </w:r>
      <w:r w:rsidR="00BC1B3C" w:rsidRPr="00637F52">
        <w:rPr>
          <w:rFonts w:ascii="Arial" w:hAnsi="Arial" w:cs="Arial"/>
          <w:lang w:val="sr-Latn-CS"/>
        </w:rPr>
        <w:t>“Milošev krš”</w:t>
      </w:r>
      <w:r w:rsidRPr="00637F52">
        <w:rPr>
          <w:rFonts w:ascii="Arial" w:hAnsi="Arial" w:cs="Arial"/>
          <w:lang w:val="sr-Latn-CS"/>
        </w:rPr>
        <w:t xml:space="preserve"> se karakteriše oblicima reljefa nastalim kao rezultat intenzivno izražene geotektonske aktivnosti i</w:t>
      </w:r>
      <w:r w:rsidR="003D5374">
        <w:rPr>
          <w:rFonts w:ascii="Arial" w:hAnsi="Arial" w:cs="Arial"/>
          <w:lang w:val="sr-Latn-CS"/>
        </w:rPr>
        <w:t xml:space="preserve"> </w:t>
      </w:r>
      <w:r w:rsidRPr="00637F52">
        <w:rPr>
          <w:rFonts w:ascii="Arial" w:hAnsi="Arial" w:cs="Arial"/>
          <w:lang w:val="sr-Latn-CS"/>
        </w:rPr>
        <w:t>naročito izraženih, egzogenih erozionih procesa, koji su oblikovali manje ili veće površi, u okviru nekad jedinstvene fluviodenudacione površi, disecirane povremenim i stalnim vodenim tokovima strmih strana, uskih klisurastih dolina u karbonatnim stijenama i proširenim, aluvijalnim dolinama i zaravnima u područjima sa klastičnim i jezerskim sedimentima.</w:t>
      </w:r>
    </w:p>
    <w:p w14:paraId="7523598D" w14:textId="77777777" w:rsidR="006245BE" w:rsidRPr="00637F52" w:rsidRDefault="006245BE" w:rsidP="003D5374">
      <w:pPr>
        <w:spacing w:after="0" w:line="240" w:lineRule="auto"/>
        <w:jc w:val="both"/>
        <w:rPr>
          <w:rFonts w:ascii="Arial" w:hAnsi="Arial" w:cs="Arial"/>
          <w:lang w:val="sr-Latn-CS"/>
        </w:rPr>
      </w:pPr>
    </w:p>
    <w:p w14:paraId="682F7D77" w14:textId="01A7ACA6" w:rsidR="006245BE" w:rsidRDefault="006245BE" w:rsidP="003D5374">
      <w:pPr>
        <w:spacing w:after="0" w:line="240" w:lineRule="auto"/>
        <w:jc w:val="both"/>
        <w:rPr>
          <w:rFonts w:ascii="Arial" w:hAnsi="Arial" w:cs="Arial"/>
          <w:lang w:val="sr-Latn-CS"/>
        </w:rPr>
      </w:pPr>
      <w:r w:rsidRPr="00637F52">
        <w:rPr>
          <w:rFonts w:ascii="Arial" w:hAnsi="Arial" w:cs="Arial"/>
          <w:lang w:val="sr-Latn-CS"/>
        </w:rPr>
        <w:t xml:space="preserve">Reljef istražno-eksploatacionog prostora i okolnog terena je brdski i brdsko-planinski, </w:t>
      </w:r>
      <w:r w:rsidR="00637F52" w:rsidRPr="00637F52">
        <w:rPr>
          <w:rFonts w:ascii="Arial" w:hAnsi="Arial" w:cs="Arial"/>
          <w:lang w:val="sr-Latn-CS"/>
        </w:rPr>
        <w:t>sa uzvišenjima Ćukovac 794 m.n.m, Zelenikovac 531 m.n.m i druga.</w:t>
      </w:r>
      <w:r w:rsidR="002F03E6">
        <w:rPr>
          <w:rFonts w:ascii="Arial" w:hAnsi="Arial" w:cs="Arial"/>
          <w:lang w:val="sr-Latn-CS"/>
        </w:rPr>
        <w:t xml:space="preserve"> </w:t>
      </w:r>
      <w:r w:rsidR="002F03E6" w:rsidRPr="00A312A0">
        <w:rPr>
          <w:rFonts w:ascii="Arial" w:hAnsi="Arial" w:cs="Arial"/>
          <w:lang w:val="sr-Latn-CS"/>
        </w:rPr>
        <w:t xml:space="preserve">Teren je kamenit, obrastao </w:t>
      </w:r>
      <w:r w:rsidR="002F03E6">
        <w:rPr>
          <w:rFonts w:ascii="Arial" w:hAnsi="Arial" w:cs="Arial"/>
          <w:lang w:val="sr-Latn-CS"/>
        </w:rPr>
        <w:t>niskim rastinjem.</w:t>
      </w:r>
    </w:p>
    <w:p w14:paraId="18970E6F" w14:textId="77777777" w:rsidR="003D5374" w:rsidRPr="00637F52" w:rsidRDefault="003D5374" w:rsidP="003D5374">
      <w:pPr>
        <w:spacing w:after="0" w:line="240" w:lineRule="auto"/>
        <w:jc w:val="both"/>
        <w:rPr>
          <w:rFonts w:ascii="Arial" w:hAnsi="Arial" w:cs="Arial"/>
          <w:lang w:val="sr-Latn-CS"/>
        </w:rPr>
      </w:pPr>
    </w:p>
    <w:p w14:paraId="53AF1FCE" w14:textId="23EE6889" w:rsidR="006245BE" w:rsidRPr="00E56DC2" w:rsidRDefault="006245BE" w:rsidP="003D5374">
      <w:pPr>
        <w:pStyle w:val="BodyText"/>
        <w:spacing w:after="0" w:line="240" w:lineRule="auto"/>
        <w:jc w:val="both"/>
        <w:rPr>
          <w:rFonts w:ascii="Arial" w:hAnsi="Arial" w:cs="Arial"/>
          <w:b/>
          <w:bCs/>
          <w:sz w:val="22"/>
          <w:szCs w:val="22"/>
          <w:lang w:val="sr-Latn-ME"/>
        </w:rPr>
      </w:pPr>
      <w:r w:rsidRPr="00E56DC2">
        <w:rPr>
          <w:rFonts w:ascii="Arial" w:hAnsi="Arial" w:cs="Arial"/>
          <w:sz w:val="22"/>
          <w:szCs w:val="22"/>
          <w:lang w:val="sr-Latn-ME"/>
        </w:rPr>
        <w:t xml:space="preserve">1.4. </w:t>
      </w:r>
      <w:r w:rsidRPr="00E56DC2">
        <w:rPr>
          <w:rFonts w:ascii="Arial" w:hAnsi="Arial" w:cs="Arial"/>
          <w:b/>
          <w:bCs/>
          <w:sz w:val="22"/>
          <w:szCs w:val="22"/>
          <w:lang w:val="sr-Latn-ME"/>
        </w:rPr>
        <w:t>Mišljenje uprave za zaštitu kulturnih dobara</w:t>
      </w:r>
    </w:p>
    <w:p w14:paraId="78DAD8B4" w14:textId="7EB86E5E" w:rsidR="005452B8" w:rsidRPr="00E56DC2" w:rsidRDefault="005452B8" w:rsidP="003D5374">
      <w:pPr>
        <w:pStyle w:val="BodyText"/>
        <w:spacing w:after="0" w:line="240" w:lineRule="auto"/>
        <w:jc w:val="both"/>
        <w:rPr>
          <w:rFonts w:ascii="Arial" w:hAnsi="Arial" w:cs="Arial"/>
          <w:b/>
          <w:bCs/>
          <w:sz w:val="22"/>
          <w:szCs w:val="22"/>
          <w:lang w:val="sr-Latn-ME"/>
        </w:rPr>
      </w:pPr>
    </w:p>
    <w:p w14:paraId="715C462C" w14:textId="55AA60EF" w:rsidR="00EC60A0" w:rsidRPr="003473C4" w:rsidRDefault="00EC60A0" w:rsidP="003D5374">
      <w:pPr>
        <w:spacing w:after="0" w:line="240" w:lineRule="auto"/>
        <w:jc w:val="both"/>
        <w:rPr>
          <w:rFonts w:ascii="Arial" w:hAnsi="Arial" w:cs="Arial"/>
          <w:lang w:val="sr-Latn-ME"/>
        </w:rPr>
      </w:pPr>
      <w:r w:rsidRPr="005E669C">
        <w:rPr>
          <w:rFonts w:ascii="Arial" w:hAnsi="Arial" w:cs="Arial"/>
        </w:rPr>
        <w:t>Mi</w:t>
      </w:r>
      <w:r w:rsidRPr="00D671DB">
        <w:rPr>
          <w:rFonts w:ascii="Arial" w:hAnsi="Arial" w:cs="Arial"/>
          <w:lang w:val="sr-Latn-ME"/>
        </w:rPr>
        <w:t>š</w:t>
      </w:r>
      <w:r w:rsidRPr="005E669C">
        <w:rPr>
          <w:rFonts w:ascii="Arial" w:hAnsi="Arial" w:cs="Arial"/>
        </w:rPr>
        <w:t>ljenjem</w:t>
      </w:r>
      <w:r w:rsidRPr="00D671DB">
        <w:rPr>
          <w:rFonts w:ascii="Arial" w:hAnsi="Arial" w:cs="Arial"/>
          <w:lang w:val="sr-Latn-ME"/>
        </w:rPr>
        <w:t xml:space="preserve"> </w:t>
      </w:r>
      <w:r w:rsidRPr="005E669C">
        <w:rPr>
          <w:rFonts w:ascii="Arial" w:hAnsi="Arial" w:cs="Arial"/>
        </w:rPr>
        <w:t>Uprave</w:t>
      </w:r>
      <w:r w:rsidRPr="00D671DB">
        <w:rPr>
          <w:rFonts w:ascii="Arial" w:hAnsi="Arial" w:cs="Arial"/>
          <w:lang w:val="sr-Latn-ME"/>
        </w:rPr>
        <w:t xml:space="preserve"> </w:t>
      </w:r>
      <w:r w:rsidRPr="005E669C">
        <w:rPr>
          <w:rFonts w:ascii="Arial" w:hAnsi="Arial" w:cs="Arial"/>
        </w:rPr>
        <w:t>za</w:t>
      </w:r>
      <w:r w:rsidRPr="00D671DB">
        <w:rPr>
          <w:rFonts w:ascii="Arial" w:hAnsi="Arial" w:cs="Arial"/>
          <w:lang w:val="sr-Latn-ME"/>
        </w:rPr>
        <w:t xml:space="preserve"> </w:t>
      </w:r>
      <w:r w:rsidRPr="005E669C">
        <w:rPr>
          <w:rFonts w:ascii="Arial" w:hAnsi="Arial" w:cs="Arial"/>
        </w:rPr>
        <w:t>za</w:t>
      </w:r>
      <w:r w:rsidRPr="00D671DB">
        <w:rPr>
          <w:rFonts w:ascii="Arial" w:hAnsi="Arial" w:cs="Arial"/>
          <w:lang w:val="sr-Latn-ME"/>
        </w:rPr>
        <w:t>š</w:t>
      </w:r>
      <w:r w:rsidRPr="005E669C">
        <w:rPr>
          <w:rFonts w:ascii="Arial" w:hAnsi="Arial" w:cs="Arial"/>
        </w:rPr>
        <w:t>titu</w:t>
      </w:r>
      <w:r w:rsidRPr="00D671DB">
        <w:rPr>
          <w:rFonts w:ascii="Arial" w:hAnsi="Arial" w:cs="Arial"/>
          <w:lang w:val="sr-Latn-ME"/>
        </w:rPr>
        <w:t xml:space="preserve"> </w:t>
      </w:r>
      <w:r w:rsidRPr="005E669C">
        <w:rPr>
          <w:rFonts w:ascii="Arial" w:hAnsi="Arial" w:cs="Arial"/>
        </w:rPr>
        <w:t>kulturnih</w:t>
      </w:r>
      <w:r w:rsidRPr="00D671DB">
        <w:rPr>
          <w:rFonts w:ascii="Arial" w:hAnsi="Arial" w:cs="Arial"/>
          <w:lang w:val="sr-Latn-ME"/>
        </w:rPr>
        <w:t xml:space="preserve"> </w:t>
      </w:r>
      <w:r w:rsidRPr="005E669C">
        <w:rPr>
          <w:rFonts w:ascii="Arial" w:hAnsi="Arial" w:cs="Arial"/>
        </w:rPr>
        <w:t>dobara</w:t>
      </w:r>
      <w:r w:rsidRPr="00D671DB">
        <w:rPr>
          <w:rFonts w:ascii="Arial" w:hAnsi="Arial" w:cs="Arial"/>
          <w:lang w:val="sr-Latn-ME"/>
        </w:rPr>
        <w:t xml:space="preserve">, </w:t>
      </w:r>
      <w:r w:rsidRPr="005E669C">
        <w:rPr>
          <w:rFonts w:ascii="Arial" w:hAnsi="Arial" w:cs="Arial"/>
        </w:rPr>
        <w:t>br</w:t>
      </w:r>
      <w:r w:rsidRPr="00D671DB">
        <w:rPr>
          <w:rFonts w:ascii="Arial" w:hAnsi="Arial" w:cs="Arial"/>
          <w:lang w:val="sr-Latn-ME"/>
        </w:rPr>
        <w:t xml:space="preserve">. 03-128/2021-17/2 </w:t>
      </w:r>
      <w:r w:rsidRPr="005E669C">
        <w:rPr>
          <w:rFonts w:ascii="Arial" w:hAnsi="Arial" w:cs="Arial"/>
        </w:rPr>
        <w:t>od</w:t>
      </w:r>
      <w:r w:rsidRPr="00D671DB">
        <w:rPr>
          <w:rFonts w:ascii="Arial" w:hAnsi="Arial" w:cs="Arial"/>
          <w:lang w:val="sr-Latn-ME"/>
        </w:rPr>
        <w:t xml:space="preserve"> 12.04.202</w:t>
      </w:r>
      <w:r w:rsidR="00B33302" w:rsidRPr="00D671DB">
        <w:rPr>
          <w:rFonts w:ascii="Arial" w:hAnsi="Arial" w:cs="Arial"/>
          <w:lang w:val="sr-Latn-ME"/>
        </w:rPr>
        <w:t>1</w:t>
      </w:r>
      <w:r w:rsidRPr="00D671DB">
        <w:rPr>
          <w:rFonts w:ascii="Arial" w:hAnsi="Arial" w:cs="Arial"/>
          <w:lang w:val="sr-Latn-ME"/>
        </w:rPr>
        <w:t xml:space="preserve">. </w:t>
      </w:r>
      <w:r w:rsidRPr="005E669C">
        <w:rPr>
          <w:rFonts w:ascii="Arial" w:hAnsi="Arial" w:cs="Arial"/>
        </w:rPr>
        <w:t>godine</w:t>
      </w:r>
      <w:r w:rsidRPr="00D671DB">
        <w:rPr>
          <w:rFonts w:ascii="Arial" w:hAnsi="Arial" w:cs="Arial"/>
          <w:lang w:val="sr-Latn-ME"/>
        </w:rPr>
        <w:t xml:space="preserve">, </w:t>
      </w:r>
      <w:r w:rsidRPr="005E669C">
        <w:rPr>
          <w:rFonts w:ascii="Arial" w:hAnsi="Arial" w:cs="Arial"/>
        </w:rPr>
        <w:t>konstatovano</w:t>
      </w:r>
      <w:r w:rsidRPr="00D671DB">
        <w:rPr>
          <w:rFonts w:ascii="Arial" w:hAnsi="Arial" w:cs="Arial"/>
          <w:lang w:val="sr-Latn-ME"/>
        </w:rPr>
        <w:t xml:space="preserve"> </w:t>
      </w:r>
      <w:r w:rsidRPr="005E669C">
        <w:rPr>
          <w:rFonts w:ascii="Arial" w:hAnsi="Arial" w:cs="Arial"/>
        </w:rPr>
        <w:t>je</w:t>
      </w:r>
      <w:r w:rsidRPr="00D671DB">
        <w:rPr>
          <w:rFonts w:ascii="Arial" w:hAnsi="Arial" w:cs="Arial"/>
          <w:lang w:val="sr-Latn-ME"/>
        </w:rPr>
        <w:t xml:space="preserve"> </w:t>
      </w:r>
      <w:r w:rsidRPr="005E669C">
        <w:rPr>
          <w:rFonts w:ascii="Arial" w:hAnsi="Arial" w:cs="Arial"/>
        </w:rPr>
        <w:t>da</w:t>
      </w:r>
      <w:r w:rsidRPr="00D671DB">
        <w:rPr>
          <w:rFonts w:ascii="Arial" w:hAnsi="Arial" w:cs="Arial"/>
          <w:lang w:val="sr-Latn-ME"/>
        </w:rPr>
        <w:t xml:space="preserve"> </w:t>
      </w:r>
      <w:r w:rsidRPr="005E669C">
        <w:rPr>
          <w:rFonts w:ascii="Arial" w:hAnsi="Arial" w:cs="Arial"/>
        </w:rPr>
        <w:t>u</w:t>
      </w:r>
      <w:r w:rsidRPr="00D671DB">
        <w:rPr>
          <w:rFonts w:ascii="Arial" w:hAnsi="Arial" w:cs="Arial"/>
          <w:lang w:val="sr-Latn-ME"/>
        </w:rPr>
        <w:t xml:space="preserve"> </w:t>
      </w:r>
      <w:r w:rsidRPr="005E669C">
        <w:rPr>
          <w:rFonts w:ascii="Arial" w:hAnsi="Arial" w:cs="Arial"/>
        </w:rPr>
        <w:t>predmetnom</w:t>
      </w:r>
      <w:r w:rsidRPr="00D671DB">
        <w:rPr>
          <w:rFonts w:ascii="Arial" w:hAnsi="Arial" w:cs="Arial"/>
          <w:lang w:val="sr-Latn-ME"/>
        </w:rPr>
        <w:t xml:space="preserve"> </w:t>
      </w:r>
      <w:r w:rsidRPr="005E669C">
        <w:rPr>
          <w:rFonts w:ascii="Arial" w:hAnsi="Arial" w:cs="Arial"/>
        </w:rPr>
        <w:t>zahvatu</w:t>
      </w:r>
      <w:r w:rsidRPr="00D671DB">
        <w:rPr>
          <w:rFonts w:ascii="Arial" w:hAnsi="Arial" w:cs="Arial"/>
          <w:lang w:val="sr-Latn-ME"/>
        </w:rPr>
        <w:t xml:space="preserve"> </w:t>
      </w:r>
      <w:r w:rsidRPr="005E669C">
        <w:rPr>
          <w:rFonts w:ascii="Arial" w:hAnsi="Arial" w:cs="Arial"/>
        </w:rPr>
        <w:t>lokaliteta</w:t>
      </w:r>
      <w:r w:rsidRPr="00D671DB">
        <w:rPr>
          <w:rFonts w:ascii="Arial" w:hAnsi="Arial" w:cs="Arial"/>
          <w:lang w:val="sr-Latn-ME"/>
        </w:rPr>
        <w:t xml:space="preserve"> “</w:t>
      </w:r>
      <w:r w:rsidRPr="00A63D5E">
        <w:rPr>
          <w:rFonts w:ascii="Arial" w:hAnsi="Arial" w:cs="Arial"/>
        </w:rPr>
        <w:t>Milo</w:t>
      </w:r>
      <w:r w:rsidRPr="00D671DB">
        <w:rPr>
          <w:rFonts w:ascii="Arial" w:hAnsi="Arial" w:cs="Arial"/>
          <w:lang w:val="sr-Latn-ME"/>
        </w:rPr>
        <w:t>š</w:t>
      </w:r>
      <w:r w:rsidRPr="00A63D5E">
        <w:rPr>
          <w:rFonts w:ascii="Arial" w:hAnsi="Arial" w:cs="Arial"/>
        </w:rPr>
        <w:t>ev</w:t>
      </w:r>
      <w:r w:rsidRPr="00D671DB">
        <w:rPr>
          <w:rFonts w:ascii="Arial" w:hAnsi="Arial" w:cs="Arial"/>
          <w:lang w:val="sr-Latn-ME"/>
        </w:rPr>
        <w:t xml:space="preserve"> </w:t>
      </w:r>
      <w:r w:rsidRPr="00A63D5E">
        <w:rPr>
          <w:rFonts w:ascii="Arial" w:hAnsi="Arial" w:cs="Arial"/>
        </w:rPr>
        <w:t>kr</w:t>
      </w:r>
      <w:r w:rsidRPr="00D671DB">
        <w:rPr>
          <w:rFonts w:ascii="Arial" w:hAnsi="Arial" w:cs="Arial"/>
          <w:lang w:val="sr-Latn-ME"/>
        </w:rPr>
        <w:t xml:space="preserve">š”, </w:t>
      </w:r>
      <w:r w:rsidRPr="005E669C">
        <w:rPr>
          <w:rFonts w:ascii="Arial" w:hAnsi="Arial" w:cs="Arial"/>
        </w:rPr>
        <w:t>sa</w:t>
      </w:r>
      <w:r w:rsidRPr="00D671DB">
        <w:rPr>
          <w:rFonts w:ascii="Arial" w:hAnsi="Arial" w:cs="Arial"/>
          <w:lang w:val="sr-Latn-ME"/>
        </w:rPr>
        <w:t xml:space="preserve"> </w:t>
      </w:r>
      <w:r w:rsidRPr="005E669C">
        <w:rPr>
          <w:rFonts w:ascii="Arial" w:hAnsi="Arial" w:cs="Arial"/>
        </w:rPr>
        <w:t>aspekta</w:t>
      </w:r>
      <w:r w:rsidRPr="00D671DB">
        <w:rPr>
          <w:rFonts w:ascii="Arial" w:hAnsi="Arial" w:cs="Arial"/>
          <w:lang w:val="sr-Latn-ME"/>
        </w:rPr>
        <w:t xml:space="preserve"> </w:t>
      </w:r>
      <w:r w:rsidRPr="005E669C">
        <w:rPr>
          <w:rFonts w:ascii="Arial" w:hAnsi="Arial" w:cs="Arial"/>
        </w:rPr>
        <w:t>za</w:t>
      </w:r>
      <w:r w:rsidRPr="00D671DB">
        <w:rPr>
          <w:rFonts w:ascii="Arial" w:hAnsi="Arial" w:cs="Arial"/>
          <w:lang w:val="sr-Latn-ME"/>
        </w:rPr>
        <w:t>š</w:t>
      </w:r>
      <w:r w:rsidRPr="005E669C">
        <w:rPr>
          <w:rFonts w:ascii="Arial" w:hAnsi="Arial" w:cs="Arial"/>
        </w:rPr>
        <w:t>tite</w:t>
      </w:r>
      <w:r w:rsidRPr="00D671DB">
        <w:rPr>
          <w:rFonts w:ascii="Arial" w:hAnsi="Arial" w:cs="Arial"/>
          <w:lang w:val="sr-Latn-ME"/>
        </w:rPr>
        <w:t xml:space="preserve"> </w:t>
      </w:r>
      <w:r w:rsidRPr="005E669C">
        <w:rPr>
          <w:rFonts w:ascii="Arial" w:hAnsi="Arial" w:cs="Arial"/>
        </w:rPr>
        <w:t>kulturnih</w:t>
      </w:r>
      <w:r w:rsidRPr="00D671DB">
        <w:rPr>
          <w:rFonts w:ascii="Arial" w:hAnsi="Arial" w:cs="Arial"/>
          <w:lang w:val="sr-Latn-ME"/>
        </w:rPr>
        <w:t xml:space="preserve"> </w:t>
      </w:r>
      <w:r w:rsidRPr="005E669C">
        <w:rPr>
          <w:rFonts w:ascii="Arial" w:hAnsi="Arial" w:cs="Arial"/>
        </w:rPr>
        <w:t>dobara</w:t>
      </w:r>
      <w:r w:rsidRPr="00D671DB">
        <w:rPr>
          <w:rFonts w:ascii="Arial" w:hAnsi="Arial" w:cs="Arial"/>
          <w:lang w:val="sr-Latn-ME"/>
        </w:rPr>
        <w:t xml:space="preserve">, </w:t>
      </w:r>
      <w:r w:rsidRPr="005E669C">
        <w:rPr>
          <w:rFonts w:ascii="Arial" w:hAnsi="Arial" w:cs="Arial"/>
        </w:rPr>
        <w:t>mo</w:t>
      </w:r>
      <w:r w:rsidRPr="00D671DB">
        <w:rPr>
          <w:rFonts w:ascii="Arial" w:hAnsi="Arial" w:cs="Arial"/>
          <w:lang w:val="sr-Latn-ME"/>
        </w:rPr>
        <w:t>ž</w:t>
      </w:r>
      <w:r w:rsidRPr="005E669C">
        <w:rPr>
          <w:rFonts w:ascii="Arial" w:hAnsi="Arial" w:cs="Arial"/>
        </w:rPr>
        <w:t>e</w:t>
      </w:r>
      <w:r w:rsidRPr="00D671DB">
        <w:rPr>
          <w:rFonts w:ascii="Arial" w:hAnsi="Arial" w:cs="Arial"/>
          <w:lang w:val="sr-Latn-ME"/>
        </w:rPr>
        <w:t xml:space="preserve"> </w:t>
      </w:r>
      <w:r w:rsidRPr="005E669C">
        <w:rPr>
          <w:rFonts w:ascii="Arial" w:hAnsi="Arial" w:cs="Arial"/>
        </w:rPr>
        <w:t>da</w:t>
      </w:r>
      <w:r w:rsidRPr="00D671DB">
        <w:rPr>
          <w:rFonts w:ascii="Arial" w:hAnsi="Arial" w:cs="Arial"/>
          <w:lang w:val="sr-Latn-ME"/>
        </w:rPr>
        <w:t xml:space="preserve"> </w:t>
      </w:r>
      <w:r w:rsidRPr="005E669C">
        <w:rPr>
          <w:rFonts w:ascii="Arial" w:hAnsi="Arial" w:cs="Arial"/>
        </w:rPr>
        <w:t>se</w:t>
      </w:r>
      <w:r w:rsidRPr="00D671DB">
        <w:rPr>
          <w:rFonts w:ascii="Arial" w:hAnsi="Arial" w:cs="Arial"/>
          <w:lang w:val="sr-Latn-ME"/>
        </w:rPr>
        <w:t xml:space="preserve"> </w:t>
      </w:r>
      <w:r w:rsidRPr="005E669C">
        <w:rPr>
          <w:rFonts w:ascii="Arial" w:hAnsi="Arial" w:cs="Arial"/>
        </w:rPr>
        <w:t>pristupi</w:t>
      </w:r>
      <w:r w:rsidRPr="00D671DB">
        <w:rPr>
          <w:rFonts w:ascii="Arial" w:hAnsi="Arial" w:cs="Arial"/>
          <w:lang w:val="sr-Latn-ME"/>
        </w:rPr>
        <w:t xml:space="preserve"> </w:t>
      </w:r>
      <w:r w:rsidRPr="005E669C">
        <w:rPr>
          <w:rFonts w:ascii="Arial" w:hAnsi="Arial" w:cs="Arial"/>
        </w:rPr>
        <w:t>istra</w:t>
      </w:r>
      <w:r w:rsidRPr="00D671DB">
        <w:rPr>
          <w:rFonts w:ascii="Arial" w:hAnsi="Arial" w:cs="Arial"/>
          <w:lang w:val="sr-Latn-ME"/>
        </w:rPr>
        <w:t>ž</w:t>
      </w:r>
      <w:r w:rsidRPr="005E669C">
        <w:rPr>
          <w:rFonts w:ascii="Arial" w:hAnsi="Arial" w:cs="Arial"/>
        </w:rPr>
        <w:t>ivanju</w:t>
      </w:r>
      <w:r w:rsidRPr="00D671DB">
        <w:rPr>
          <w:rFonts w:ascii="Arial" w:hAnsi="Arial" w:cs="Arial"/>
          <w:lang w:val="sr-Latn-ME"/>
        </w:rPr>
        <w:t xml:space="preserve"> </w:t>
      </w:r>
      <w:r w:rsidRPr="005E669C">
        <w:rPr>
          <w:rFonts w:ascii="Arial" w:hAnsi="Arial" w:cs="Arial"/>
        </w:rPr>
        <w:t>i</w:t>
      </w:r>
      <w:r w:rsidRPr="00D671DB">
        <w:rPr>
          <w:rFonts w:ascii="Arial" w:hAnsi="Arial" w:cs="Arial"/>
          <w:lang w:val="sr-Latn-ME"/>
        </w:rPr>
        <w:t xml:space="preserve"> </w:t>
      </w:r>
      <w:r w:rsidRPr="005E669C">
        <w:rPr>
          <w:rFonts w:ascii="Arial" w:hAnsi="Arial" w:cs="Arial"/>
        </w:rPr>
        <w:t>eksploataciji</w:t>
      </w:r>
      <w:r w:rsidRPr="00D671DB">
        <w:rPr>
          <w:rFonts w:ascii="Arial" w:hAnsi="Arial" w:cs="Arial"/>
          <w:lang w:val="sr-Latn-ME"/>
        </w:rPr>
        <w:t xml:space="preserve"> </w:t>
      </w:r>
      <w:r w:rsidRPr="005E669C">
        <w:rPr>
          <w:rFonts w:ascii="Arial" w:hAnsi="Arial" w:cs="Arial"/>
        </w:rPr>
        <w:t>mineralne</w:t>
      </w:r>
      <w:r w:rsidRPr="00D671DB">
        <w:rPr>
          <w:rFonts w:ascii="Arial" w:hAnsi="Arial" w:cs="Arial"/>
          <w:lang w:val="sr-Latn-ME"/>
        </w:rPr>
        <w:t xml:space="preserve"> </w:t>
      </w:r>
      <w:r w:rsidRPr="005E669C">
        <w:rPr>
          <w:rFonts w:ascii="Arial" w:hAnsi="Arial" w:cs="Arial"/>
        </w:rPr>
        <w:t>sirovine</w:t>
      </w:r>
      <w:r w:rsidRPr="00D671DB">
        <w:rPr>
          <w:rFonts w:ascii="Arial" w:hAnsi="Arial" w:cs="Arial"/>
          <w:lang w:val="sr-Latn-ME"/>
        </w:rPr>
        <w:t xml:space="preserve"> </w:t>
      </w:r>
      <w:r w:rsidRPr="005E669C">
        <w:rPr>
          <w:rFonts w:ascii="Arial" w:hAnsi="Arial" w:cs="Arial"/>
        </w:rPr>
        <w:t>na</w:t>
      </w:r>
      <w:r w:rsidRPr="00D671DB">
        <w:rPr>
          <w:rFonts w:ascii="Arial" w:hAnsi="Arial" w:cs="Arial"/>
          <w:lang w:val="sr-Latn-ME"/>
        </w:rPr>
        <w:t xml:space="preserve"> </w:t>
      </w:r>
      <w:r w:rsidRPr="005E669C">
        <w:rPr>
          <w:rFonts w:ascii="Arial" w:hAnsi="Arial" w:cs="Arial"/>
        </w:rPr>
        <w:t>predmetnoj</w:t>
      </w:r>
      <w:r w:rsidRPr="00D671DB">
        <w:rPr>
          <w:rFonts w:ascii="Arial" w:hAnsi="Arial" w:cs="Arial"/>
          <w:lang w:val="sr-Latn-ME"/>
        </w:rPr>
        <w:t xml:space="preserve"> </w:t>
      </w:r>
      <w:r w:rsidRPr="005E669C">
        <w:rPr>
          <w:rFonts w:ascii="Arial" w:hAnsi="Arial" w:cs="Arial"/>
        </w:rPr>
        <w:t>lokaciji</w:t>
      </w:r>
      <w:r w:rsidRPr="00D671DB">
        <w:rPr>
          <w:rFonts w:ascii="Arial" w:hAnsi="Arial" w:cs="Arial"/>
          <w:lang w:val="sr-Latn-ME"/>
        </w:rPr>
        <w:t xml:space="preserve">, </w:t>
      </w:r>
      <w:r w:rsidRPr="005E669C">
        <w:rPr>
          <w:rFonts w:ascii="Arial" w:hAnsi="Arial" w:cs="Arial"/>
        </w:rPr>
        <w:t>uz</w:t>
      </w:r>
      <w:r w:rsidRPr="00D671DB">
        <w:rPr>
          <w:rFonts w:ascii="Arial" w:hAnsi="Arial" w:cs="Arial"/>
          <w:lang w:val="sr-Latn-ME"/>
        </w:rPr>
        <w:t xml:space="preserve"> </w:t>
      </w:r>
      <w:r w:rsidRPr="005E669C">
        <w:rPr>
          <w:rFonts w:ascii="Arial" w:hAnsi="Arial" w:cs="Arial"/>
        </w:rPr>
        <w:t>obavezu</w:t>
      </w:r>
      <w:r w:rsidRPr="00D671DB">
        <w:rPr>
          <w:rFonts w:ascii="Arial" w:hAnsi="Arial" w:cs="Arial"/>
          <w:lang w:val="sr-Latn-ME"/>
        </w:rPr>
        <w:t xml:space="preserve"> </w:t>
      </w:r>
      <w:r w:rsidRPr="005E669C">
        <w:rPr>
          <w:rFonts w:ascii="Arial" w:hAnsi="Arial" w:cs="Arial"/>
        </w:rPr>
        <w:t>da</w:t>
      </w:r>
      <w:r w:rsidRPr="00D671DB">
        <w:rPr>
          <w:rFonts w:ascii="Arial" w:hAnsi="Arial" w:cs="Arial"/>
          <w:lang w:val="sr-Latn-ME"/>
        </w:rPr>
        <w:t xml:space="preserve"> </w:t>
      </w:r>
      <w:r w:rsidRPr="005E669C">
        <w:rPr>
          <w:rFonts w:ascii="Arial" w:hAnsi="Arial" w:cs="Arial"/>
        </w:rPr>
        <w:t>se</w:t>
      </w:r>
      <w:r w:rsidRPr="00D671DB">
        <w:rPr>
          <w:rFonts w:ascii="Arial" w:hAnsi="Arial" w:cs="Arial"/>
          <w:lang w:val="sr-Latn-ME"/>
        </w:rPr>
        <w:t xml:space="preserve"> </w:t>
      </w:r>
      <w:r w:rsidRPr="005E669C">
        <w:rPr>
          <w:rFonts w:ascii="Arial" w:hAnsi="Arial" w:cs="Arial"/>
        </w:rPr>
        <w:t>uva</w:t>
      </w:r>
      <w:r w:rsidRPr="00D671DB">
        <w:rPr>
          <w:rFonts w:ascii="Arial" w:hAnsi="Arial" w:cs="Arial"/>
          <w:lang w:val="sr-Latn-ME"/>
        </w:rPr>
        <w:t>ž</w:t>
      </w:r>
      <w:r w:rsidRPr="005E669C">
        <w:rPr>
          <w:rFonts w:ascii="Arial" w:hAnsi="Arial" w:cs="Arial"/>
        </w:rPr>
        <w:t>e</w:t>
      </w:r>
      <w:r w:rsidRPr="00D671DB">
        <w:rPr>
          <w:rFonts w:ascii="Arial" w:hAnsi="Arial" w:cs="Arial"/>
          <w:lang w:val="sr-Latn-ME"/>
        </w:rPr>
        <w:t xml:space="preserve"> </w:t>
      </w:r>
      <w:r w:rsidRPr="005E669C">
        <w:rPr>
          <w:rFonts w:ascii="Arial" w:hAnsi="Arial" w:cs="Arial"/>
        </w:rPr>
        <w:t>zakonske</w:t>
      </w:r>
      <w:r w:rsidRPr="00D671DB">
        <w:rPr>
          <w:rFonts w:ascii="Arial" w:hAnsi="Arial" w:cs="Arial"/>
          <w:lang w:val="sr-Latn-ME"/>
        </w:rPr>
        <w:t xml:space="preserve"> </w:t>
      </w:r>
      <w:r w:rsidRPr="005E669C">
        <w:rPr>
          <w:rFonts w:ascii="Arial" w:hAnsi="Arial" w:cs="Arial"/>
        </w:rPr>
        <w:t>odredbe</w:t>
      </w:r>
      <w:r w:rsidRPr="00D671DB">
        <w:rPr>
          <w:rFonts w:ascii="Arial" w:hAnsi="Arial" w:cs="Arial"/>
          <w:lang w:val="sr-Latn-ME"/>
        </w:rPr>
        <w:t xml:space="preserve"> </w:t>
      </w:r>
      <w:r w:rsidRPr="005E669C">
        <w:rPr>
          <w:rFonts w:ascii="Arial" w:hAnsi="Arial" w:cs="Arial"/>
        </w:rPr>
        <w:t>konstatovane</w:t>
      </w:r>
      <w:r w:rsidRPr="00D671DB">
        <w:rPr>
          <w:rFonts w:ascii="Arial" w:hAnsi="Arial" w:cs="Arial"/>
          <w:lang w:val="sr-Latn-ME"/>
        </w:rPr>
        <w:t xml:space="preserve"> </w:t>
      </w:r>
      <w:r w:rsidRPr="005E669C">
        <w:rPr>
          <w:rFonts w:ascii="Arial" w:hAnsi="Arial" w:cs="Arial"/>
        </w:rPr>
        <w:t>ovim</w:t>
      </w:r>
      <w:r w:rsidRPr="00D671DB">
        <w:rPr>
          <w:rFonts w:ascii="Arial" w:hAnsi="Arial" w:cs="Arial"/>
          <w:lang w:val="sr-Latn-ME"/>
        </w:rPr>
        <w:t xml:space="preserve"> </w:t>
      </w:r>
      <w:r w:rsidRPr="005E669C">
        <w:rPr>
          <w:rFonts w:ascii="Arial" w:hAnsi="Arial" w:cs="Arial"/>
        </w:rPr>
        <w:t>Mi</w:t>
      </w:r>
      <w:r w:rsidRPr="00D671DB">
        <w:rPr>
          <w:rFonts w:ascii="Arial" w:hAnsi="Arial" w:cs="Arial"/>
          <w:lang w:val="sr-Latn-ME"/>
        </w:rPr>
        <w:t>š</w:t>
      </w:r>
      <w:r w:rsidRPr="005E669C">
        <w:rPr>
          <w:rFonts w:ascii="Arial" w:hAnsi="Arial" w:cs="Arial"/>
        </w:rPr>
        <w:t>ljenjem</w:t>
      </w:r>
      <w:r w:rsidR="003473C4" w:rsidRPr="003473C4">
        <w:rPr>
          <w:rFonts w:ascii="Arial" w:hAnsi="Arial" w:cs="Arial"/>
          <w:lang w:val="sr-Latn-ME"/>
        </w:rPr>
        <w:t>.</w:t>
      </w:r>
    </w:p>
    <w:p w14:paraId="7BFD01FD" w14:textId="7DA8631D" w:rsidR="00EC60A0" w:rsidRPr="0074391C" w:rsidRDefault="00EC60A0" w:rsidP="003D5374">
      <w:pPr>
        <w:spacing w:after="0" w:line="240" w:lineRule="auto"/>
        <w:jc w:val="both"/>
        <w:rPr>
          <w:rFonts w:ascii="Arial" w:hAnsi="Arial" w:cs="Arial"/>
          <w:lang w:val="sr-Latn-ME"/>
        </w:rPr>
      </w:pPr>
      <w:r w:rsidRPr="005E669C">
        <w:rPr>
          <w:rFonts w:ascii="Arial" w:hAnsi="Arial" w:cs="Arial"/>
        </w:rPr>
        <w:t>U</w:t>
      </w:r>
      <w:r w:rsidRPr="0074391C">
        <w:rPr>
          <w:rFonts w:ascii="Arial" w:hAnsi="Arial" w:cs="Arial"/>
          <w:lang w:val="sr-Latn-ME"/>
        </w:rPr>
        <w:t xml:space="preserve"> </w:t>
      </w:r>
      <w:r w:rsidRPr="005E669C">
        <w:rPr>
          <w:rFonts w:ascii="Arial" w:hAnsi="Arial" w:cs="Arial"/>
        </w:rPr>
        <w:t>toku</w:t>
      </w:r>
      <w:r w:rsidRPr="0074391C">
        <w:rPr>
          <w:rFonts w:ascii="Arial" w:hAnsi="Arial" w:cs="Arial"/>
          <w:lang w:val="sr-Latn-ME"/>
        </w:rPr>
        <w:t xml:space="preserve"> </w:t>
      </w:r>
      <w:r w:rsidRPr="005E669C">
        <w:rPr>
          <w:rFonts w:ascii="Arial" w:hAnsi="Arial" w:cs="Arial"/>
        </w:rPr>
        <w:t>izrade</w:t>
      </w:r>
      <w:r w:rsidRPr="0074391C">
        <w:rPr>
          <w:rFonts w:ascii="Arial" w:hAnsi="Arial" w:cs="Arial"/>
          <w:lang w:val="sr-Latn-ME"/>
        </w:rPr>
        <w:t xml:space="preserve"> </w:t>
      </w:r>
      <w:r w:rsidRPr="005E669C">
        <w:rPr>
          <w:rFonts w:ascii="Arial" w:hAnsi="Arial" w:cs="Arial"/>
        </w:rPr>
        <w:t>Koncesionog</w:t>
      </w:r>
      <w:r w:rsidRPr="0074391C">
        <w:rPr>
          <w:rFonts w:ascii="Arial" w:hAnsi="Arial" w:cs="Arial"/>
          <w:lang w:val="sr-Latn-ME"/>
        </w:rPr>
        <w:t xml:space="preserve"> </w:t>
      </w:r>
      <w:r w:rsidRPr="005E669C">
        <w:rPr>
          <w:rFonts w:ascii="Arial" w:hAnsi="Arial" w:cs="Arial"/>
        </w:rPr>
        <w:t>akta</w:t>
      </w:r>
      <w:r w:rsidRPr="0074391C">
        <w:rPr>
          <w:rFonts w:ascii="Arial" w:hAnsi="Arial" w:cs="Arial"/>
          <w:lang w:val="sr-Latn-ME"/>
        </w:rPr>
        <w:t xml:space="preserve"> </w:t>
      </w:r>
      <w:r w:rsidRPr="005E669C">
        <w:rPr>
          <w:rFonts w:ascii="Arial" w:hAnsi="Arial" w:cs="Arial"/>
        </w:rPr>
        <w:t>i</w:t>
      </w:r>
      <w:r w:rsidRPr="0074391C">
        <w:rPr>
          <w:rFonts w:ascii="Arial" w:hAnsi="Arial" w:cs="Arial"/>
          <w:lang w:val="sr-Latn-ME"/>
        </w:rPr>
        <w:t xml:space="preserve"> </w:t>
      </w:r>
      <w:r w:rsidRPr="005E669C">
        <w:rPr>
          <w:rFonts w:ascii="Arial" w:hAnsi="Arial" w:cs="Arial"/>
        </w:rPr>
        <w:t>realizacije</w:t>
      </w:r>
      <w:r w:rsidRPr="0074391C">
        <w:rPr>
          <w:rFonts w:ascii="Arial" w:hAnsi="Arial" w:cs="Arial"/>
          <w:lang w:val="sr-Latn-ME"/>
        </w:rPr>
        <w:t xml:space="preserve"> </w:t>
      </w:r>
      <w:r w:rsidRPr="005E669C">
        <w:rPr>
          <w:rFonts w:ascii="Arial" w:hAnsi="Arial" w:cs="Arial"/>
        </w:rPr>
        <w:t>predmetne</w:t>
      </w:r>
      <w:r w:rsidRPr="0074391C">
        <w:rPr>
          <w:rFonts w:ascii="Arial" w:hAnsi="Arial" w:cs="Arial"/>
          <w:lang w:val="sr-Latn-ME"/>
        </w:rPr>
        <w:t xml:space="preserve"> </w:t>
      </w:r>
      <w:r w:rsidRPr="005E669C">
        <w:rPr>
          <w:rFonts w:ascii="Arial" w:hAnsi="Arial" w:cs="Arial"/>
        </w:rPr>
        <w:t>koncesije</w:t>
      </w:r>
      <w:r w:rsidRPr="0074391C">
        <w:rPr>
          <w:rFonts w:ascii="Arial" w:hAnsi="Arial" w:cs="Arial"/>
          <w:lang w:val="sr-Latn-ME"/>
        </w:rPr>
        <w:t xml:space="preserve">, </w:t>
      </w:r>
      <w:r w:rsidRPr="005E669C">
        <w:rPr>
          <w:rFonts w:ascii="Arial" w:hAnsi="Arial" w:cs="Arial"/>
        </w:rPr>
        <w:t>potrebno</w:t>
      </w:r>
      <w:r w:rsidRPr="0074391C">
        <w:rPr>
          <w:rFonts w:ascii="Arial" w:hAnsi="Arial" w:cs="Arial"/>
          <w:lang w:val="sr-Latn-ME"/>
        </w:rPr>
        <w:t xml:space="preserve"> </w:t>
      </w:r>
      <w:r w:rsidRPr="005E669C">
        <w:rPr>
          <w:rFonts w:ascii="Arial" w:hAnsi="Arial" w:cs="Arial"/>
        </w:rPr>
        <w:t>je</w:t>
      </w:r>
      <w:r w:rsidRPr="0074391C">
        <w:rPr>
          <w:rFonts w:ascii="Arial" w:hAnsi="Arial" w:cs="Arial"/>
          <w:lang w:val="sr-Latn-ME"/>
        </w:rPr>
        <w:t xml:space="preserve"> </w:t>
      </w:r>
      <w:r w:rsidRPr="005E669C">
        <w:rPr>
          <w:rFonts w:ascii="Arial" w:hAnsi="Arial" w:cs="Arial"/>
        </w:rPr>
        <w:t>uvrstiti</w:t>
      </w:r>
      <w:r w:rsidRPr="0074391C">
        <w:rPr>
          <w:rFonts w:ascii="Arial" w:hAnsi="Arial" w:cs="Arial"/>
          <w:lang w:val="sr-Latn-ME"/>
        </w:rPr>
        <w:t xml:space="preserve"> </w:t>
      </w:r>
      <w:r w:rsidRPr="005E669C">
        <w:rPr>
          <w:rFonts w:ascii="Arial" w:hAnsi="Arial" w:cs="Arial"/>
        </w:rPr>
        <w:t>i</w:t>
      </w:r>
      <w:r w:rsidRPr="0074391C">
        <w:rPr>
          <w:rFonts w:ascii="Arial" w:hAnsi="Arial" w:cs="Arial"/>
          <w:lang w:val="sr-Latn-ME"/>
        </w:rPr>
        <w:t xml:space="preserve"> </w:t>
      </w:r>
      <w:r w:rsidRPr="005E669C">
        <w:rPr>
          <w:rFonts w:ascii="Arial" w:hAnsi="Arial" w:cs="Arial"/>
        </w:rPr>
        <w:t>po</w:t>
      </w:r>
      <w:r w:rsidRPr="0074391C">
        <w:rPr>
          <w:rFonts w:ascii="Arial" w:hAnsi="Arial" w:cs="Arial"/>
          <w:lang w:val="sr-Latn-ME"/>
        </w:rPr>
        <w:t>š</w:t>
      </w:r>
      <w:r w:rsidRPr="005E669C">
        <w:rPr>
          <w:rFonts w:ascii="Arial" w:hAnsi="Arial" w:cs="Arial"/>
        </w:rPr>
        <w:t>tovati</w:t>
      </w:r>
      <w:r w:rsidRPr="0074391C">
        <w:rPr>
          <w:rFonts w:ascii="Arial" w:hAnsi="Arial" w:cs="Arial"/>
          <w:lang w:val="sr-Latn-ME"/>
        </w:rPr>
        <w:t xml:space="preserve"> </w:t>
      </w:r>
      <w:r w:rsidRPr="005E669C">
        <w:rPr>
          <w:rFonts w:ascii="Arial" w:hAnsi="Arial" w:cs="Arial"/>
        </w:rPr>
        <w:t>odredbe</w:t>
      </w:r>
      <w:r w:rsidRPr="0074391C">
        <w:rPr>
          <w:rFonts w:ascii="Arial" w:hAnsi="Arial" w:cs="Arial"/>
          <w:lang w:val="sr-Latn-ME"/>
        </w:rPr>
        <w:t xml:space="preserve"> č</w:t>
      </w:r>
      <w:r w:rsidRPr="005E669C">
        <w:rPr>
          <w:rFonts w:ascii="Arial" w:hAnsi="Arial" w:cs="Arial"/>
        </w:rPr>
        <w:t>l</w:t>
      </w:r>
      <w:r w:rsidRPr="0074391C">
        <w:rPr>
          <w:rFonts w:ascii="Arial" w:hAnsi="Arial" w:cs="Arial"/>
          <w:lang w:val="sr-Latn-ME"/>
        </w:rPr>
        <w:t xml:space="preserve">. 87 </w:t>
      </w:r>
      <w:r w:rsidRPr="005E669C">
        <w:rPr>
          <w:rFonts w:ascii="Arial" w:hAnsi="Arial" w:cs="Arial"/>
        </w:rPr>
        <w:t>i</w:t>
      </w:r>
      <w:r w:rsidRPr="0074391C">
        <w:rPr>
          <w:rFonts w:ascii="Arial" w:hAnsi="Arial" w:cs="Arial"/>
          <w:lang w:val="sr-Latn-ME"/>
        </w:rPr>
        <w:t xml:space="preserve"> 88  </w:t>
      </w:r>
      <w:r w:rsidRPr="005E669C">
        <w:rPr>
          <w:rFonts w:ascii="Arial" w:hAnsi="Arial" w:cs="Arial"/>
        </w:rPr>
        <w:t>Zakona</w:t>
      </w:r>
      <w:r w:rsidRPr="0074391C">
        <w:rPr>
          <w:rFonts w:ascii="Arial" w:hAnsi="Arial" w:cs="Arial"/>
          <w:lang w:val="sr-Latn-ME"/>
        </w:rPr>
        <w:t xml:space="preserve"> </w:t>
      </w:r>
      <w:r w:rsidRPr="005E669C">
        <w:rPr>
          <w:rFonts w:ascii="Arial" w:hAnsi="Arial" w:cs="Arial"/>
        </w:rPr>
        <w:t>o</w:t>
      </w:r>
      <w:r w:rsidRPr="0074391C">
        <w:rPr>
          <w:rFonts w:ascii="Arial" w:hAnsi="Arial" w:cs="Arial"/>
          <w:lang w:val="sr-Latn-ME"/>
        </w:rPr>
        <w:t xml:space="preserve"> </w:t>
      </w:r>
      <w:r w:rsidRPr="005E669C">
        <w:rPr>
          <w:rFonts w:ascii="Arial" w:hAnsi="Arial" w:cs="Arial"/>
        </w:rPr>
        <w:t>za</w:t>
      </w:r>
      <w:r w:rsidRPr="0074391C">
        <w:rPr>
          <w:rFonts w:ascii="Arial" w:hAnsi="Arial" w:cs="Arial"/>
          <w:lang w:val="sr-Latn-ME"/>
        </w:rPr>
        <w:t>š</w:t>
      </w:r>
      <w:r w:rsidRPr="005E669C">
        <w:rPr>
          <w:rFonts w:ascii="Arial" w:hAnsi="Arial" w:cs="Arial"/>
        </w:rPr>
        <w:t>titi</w:t>
      </w:r>
      <w:r w:rsidRPr="0074391C">
        <w:rPr>
          <w:rFonts w:ascii="Arial" w:hAnsi="Arial" w:cs="Arial"/>
          <w:lang w:val="sr-Latn-ME"/>
        </w:rPr>
        <w:t xml:space="preserve"> </w:t>
      </w:r>
      <w:r w:rsidRPr="005E669C">
        <w:rPr>
          <w:rFonts w:ascii="Arial" w:hAnsi="Arial" w:cs="Arial"/>
        </w:rPr>
        <w:t>kulturnih</w:t>
      </w:r>
      <w:r w:rsidRPr="0074391C">
        <w:rPr>
          <w:rFonts w:ascii="Arial" w:hAnsi="Arial" w:cs="Arial"/>
          <w:lang w:val="sr-Latn-ME"/>
        </w:rPr>
        <w:t xml:space="preserve"> </w:t>
      </w:r>
      <w:r w:rsidRPr="005E669C">
        <w:rPr>
          <w:rFonts w:ascii="Arial" w:hAnsi="Arial" w:cs="Arial"/>
        </w:rPr>
        <w:t>dobara</w:t>
      </w:r>
      <w:r w:rsidRPr="0074391C">
        <w:rPr>
          <w:rFonts w:ascii="Arial" w:hAnsi="Arial" w:cs="Arial"/>
          <w:lang w:val="sr-Latn-ME"/>
        </w:rPr>
        <w:t xml:space="preserve"> („</w:t>
      </w:r>
      <w:r w:rsidRPr="005E669C">
        <w:rPr>
          <w:rFonts w:ascii="Arial" w:hAnsi="Arial" w:cs="Arial"/>
        </w:rPr>
        <w:t>Sl</w:t>
      </w:r>
      <w:r w:rsidRPr="0074391C">
        <w:rPr>
          <w:rFonts w:ascii="Arial" w:hAnsi="Arial" w:cs="Arial"/>
          <w:lang w:val="sr-Latn-ME"/>
        </w:rPr>
        <w:t>.</w:t>
      </w:r>
      <w:r w:rsidRPr="005E669C">
        <w:rPr>
          <w:rFonts w:ascii="Arial" w:hAnsi="Arial" w:cs="Arial"/>
        </w:rPr>
        <w:t>list</w:t>
      </w:r>
      <w:r w:rsidRPr="0074391C">
        <w:rPr>
          <w:rFonts w:ascii="Arial" w:hAnsi="Arial" w:cs="Arial"/>
          <w:lang w:val="sr-Latn-ME"/>
        </w:rPr>
        <w:t xml:space="preserve"> </w:t>
      </w:r>
      <w:r w:rsidRPr="005E669C">
        <w:rPr>
          <w:rFonts w:ascii="Arial" w:hAnsi="Arial" w:cs="Arial"/>
        </w:rPr>
        <w:t>CG</w:t>
      </w:r>
      <w:r w:rsidRPr="0074391C">
        <w:rPr>
          <w:rFonts w:ascii="Arial" w:hAnsi="Arial" w:cs="Arial"/>
          <w:lang w:val="sr-Latn-ME"/>
        </w:rPr>
        <w:t xml:space="preserve">“, </w:t>
      </w:r>
      <w:r w:rsidRPr="005E669C">
        <w:rPr>
          <w:rFonts w:ascii="Arial" w:hAnsi="Arial" w:cs="Arial"/>
        </w:rPr>
        <w:t>br</w:t>
      </w:r>
      <w:r w:rsidRPr="0074391C">
        <w:rPr>
          <w:rFonts w:ascii="Arial" w:hAnsi="Arial" w:cs="Arial"/>
          <w:lang w:val="sr-Latn-ME"/>
        </w:rPr>
        <w:t xml:space="preserve">. 49/10, 40/11, 44/17 </w:t>
      </w:r>
      <w:r w:rsidRPr="005E669C">
        <w:rPr>
          <w:rFonts w:ascii="Arial" w:hAnsi="Arial" w:cs="Arial"/>
        </w:rPr>
        <w:t>i</w:t>
      </w:r>
      <w:r w:rsidRPr="0074391C">
        <w:rPr>
          <w:rFonts w:ascii="Arial" w:hAnsi="Arial" w:cs="Arial"/>
          <w:lang w:val="sr-Latn-ME"/>
        </w:rPr>
        <w:t xml:space="preserve"> 18/19), </w:t>
      </w:r>
      <w:r w:rsidRPr="005E669C">
        <w:rPr>
          <w:rFonts w:ascii="Arial" w:hAnsi="Arial" w:cs="Arial"/>
        </w:rPr>
        <w:t>koje</w:t>
      </w:r>
      <w:r w:rsidRPr="0074391C">
        <w:rPr>
          <w:rFonts w:ascii="Arial" w:hAnsi="Arial" w:cs="Arial"/>
          <w:lang w:val="sr-Latn-ME"/>
        </w:rPr>
        <w:t xml:space="preserve"> </w:t>
      </w:r>
      <w:r w:rsidRPr="005E669C">
        <w:rPr>
          <w:rFonts w:ascii="Arial" w:hAnsi="Arial" w:cs="Arial"/>
        </w:rPr>
        <w:t>se</w:t>
      </w:r>
      <w:r w:rsidRPr="0074391C">
        <w:rPr>
          <w:rFonts w:ascii="Arial" w:hAnsi="Arial" w:cs="Arial"/>
          <w:lang w:val="sr-Latn-ME"/>
        </w:rPr>
        <w:t xml:space="preserve"> </w:t>
      </w:r>
      <w:r w:rsidRPr="005E669C">
        <w:rPr>
          <w:rFonts w:ascii="Arial" w:hAnsi="Arial" w:cs="Arial"/>
        </w:rPr>
        <w:t>odnose</w:t>
      </w:r>
      <w:r w:rsidRPr="0074391C">
        <w:rPr>
          <w:rFonts w:ascii="Arial" w:hAnsi="Arial" w:cs="Arial"/>
          <w:lang w:val="sr-Latn-ME"/>
        </w:rPr>
        <w:t xml:space="preserve"> </w:t>
      </w:r>
      <w:r w:rsidRPr="005E669C">
        <w:rPr>
          <w:rFonts w:ascii="Arial" w:hAnsi="Arial" w:cs="Arial"/>
        </w:rPr>
        <w:t>na</w:t>
      </w:r>
      <w:r w:rsidRPr="0074391C">
        <w:rPr>
          <w:rFonts w:ascii="Arial" w:hAnsi="Arial" w:cs="Arial"/>
          <w:lang w:val="sr-Latn-ME"/>
        </w:rPr>
        <w:t xml:space="preserve"> </w:t>
      </w:r>
      <w:r w:rsidRPr="005E669C">
        <w:rPr>
          <w:rFonts w:ascii="Arial" w:hAnsi="Arial" w:cs="Arial"/>
        </w:rPr>
        <w:t>slu</w:t>
      </w:r>
      <w:r w:rsidRPr="0074391C">
        <w:rPr>
          <w:rFonts w:ascii="Arial" w:hAnsi="Arial" w:cs="Arial"/>
          <w:lang w:val="sr-Latn-ME"/>
        </w:rPr>
        <w:t>č</w:t>
      </w:r>
      <w:r w:rsidRPr="005E669C">
        <w:rPr>
          <w:rFonts w:ascii="Arial" w:hAnsi="Arial" w:cs="Arial"/>
        </w:rPr>
        <w:t>ajna</w:t>
      </w:r>
      <w:r w:rsidRPr="0074391C">
        <w:rPr>
          <w:rFonts w:ascii="Arial" w:hAnsi="Arial" w:cs="Arial"/>
          <w:lang w:val="sr-Latn-ME"/>
        </w:rPr>
        <w:t xml:space="preserve"> </w:t>
      </w:r>
      <w:r w:rsidRPr="005E669C">
        <w:rPr>
          <w:rFonts w:ascii="Arial" w:hAnsi="Arial" w:cs="Arial"/>
        </w:rPr>
        <w:t>otkri</w:t>
      </w:r>
      <w:r w:rsidRPr="0074391C">
        <w:rPr>
          <w:rFonts w:ascii="Arial" w:hAnsi="Arial" w:cs="Arial"/>
          <w:lang w:val="sr-Latn-ME"/>
        </w:rPr>
        <w:t>ć</w:t>
      </w:r>
      <w:r w:rsidRPr="005E669C">
        <w:rPr>
          <w:rFonts w:ascii="Arial" w:hAnsi="Arial" w:cs="Arial"/>
        </w:rPr>
        <w:t>a</w:t>
      </w:r>
      <w:r w:rsidRPr="0074391C">
        <w:rPr>
          <w:rFonts w:ascii="Arial" w:hAnsi="Arial" w:cs="Arial"/>
          <w:lang w:val="sr-Latn-ME"/>
        </w:rPr>
        <w:t xml:space="preserve"> – </w:t>
      </w:r>
      <w:r w:rsidRPr="005E669C">
        <w:rPr>
          <w:rFonts w:ascii="Arial" w:hAnsi="Arial" w:cs="Arial"/>
        </w:rPr>
        <w:t>nalaza</w:t>
      </w:r>
      <w:r w:rsidRPr="0074391C">
        <w:rPr>
          <w:rFonts w:ascii="Arial" w:hAnsi="Arial" w:cs="Arial"/>
          <w:lang w:val="sr-Latn-ME"/>
        </w:rPr>
        <w:t xml:space="preserve"> </w:t>
      </w:r>
      <w:r w:rsidRPr="005E669C">
        <w:rPr>
          <w:rFonts w:ascii="Arial" w:hAnsi="Arial" w:cs="Arial"/>
        </w:rPr>
        <w:t>od</w:t>
      </w:r>
      <w:r w:rsidRPr="0074391C">
        <w:rPr>
          <w:rFonts w:ascii="Arial" w:hAnsi="Arial" w:cs="Arial"/>
          <w:lang w:val="sr-Latn-ME"/>
        </w:rPr>
        <w:t xml:space="preserve"> </w:t>
      </w:r>
      <w:r w:rsidRPr="005E669C">
        <w:rPr>
          <w:rFonts w:ascii="Arial" w:hAnsi="Arial" w:cs="Arial"/>
        </w:rPr>
        <w:t>arheolo</w:t>
      </w:r>
      <w:r w:rsidRPr="0074391C">
        <w:rPr>
          <w:rFonts w:ascii="Arial" w:hAnsi="Arial" w:cs="Arial"/>
          <w:lang w:val="sr-Latn-ME"/>
        </w:rPr>
        <w:t>š</w:t>
      </w:r>
      <w:r w:rsidRPr="005E669C">
        <w:rPr>
          <w:rFonts w:ascii="Arial" w:hAnsi="Arial" w:cs="Arial"/>
        </w:rPr>
        <w:t>kog</w:t>
      </w:r>
      <w:r w:rsidRPr="0074391C">
        <w:rPr>
          <w:rFonts w:ascii="Arial" w:hAnsi="Arial" w:cs="Arial"/>
          <w:lang w:val="sr-Latn-ME"/>
        </w:rPr>
        <w:t xml:space="preserve"> </w:t>
      </w:r>
      <w:r w:rsidRPr="005E669C">
        <w:rPr>
          <w:rFonts w:ascii="Arial" w:hAnsi="Arial" w:cs="Arial"/>
        </w:rPr>
        <w:t>zna</w:t>
      </w:r>
      <w:r w:rsidRPr="0074391C">
        <w:rPr>
          <w:rFonts w:ascii="Arial" w:hAnsi="Arial" w:cs="Arial"/>
          <w:lang w:val="sr-Latn-ME"/>
        </w:rPr>
        <w:t>č</w:t>
      </w:r>
      <w:r w:rsidRPr="005E669C">
        <w:rPr>
          <w:rFonts w:ascii="Arial" w:hAnsi="Arial" w:cs="Arial"/>
        </w:rPr>
        <w:t>aja</w:t>
      </w:r>
      <w:r w:rsidRPr="0074391C">
        <w:rPr>
          <w:rFonts w:ascii="Arial" w:hAnsi="Arial" w:cs="Arial"/>
          <w:lang w:val="sr-Latn-ME"/>
        </w:rPr>
        <w:t xml:space="preserve">, </w:t>
      </w:r>
      <w:r w:rsidRPr="005E669C">
        <w:rPr>
          <w:rFonts w:ascii="Arial" w:hAnsi="Arial" w:cs="Arial"/>
        </w:rPr>
        <w:t>ukoliko</w:t>
      </w:r>
      <w:r w:rsidRPr="0074391C">
        <w:rPr>
          <w:rFonts w:ascii="Arial" w:hAnsi="Arial" w:cs="Arial"/>
          <w:lang w:val="sr-Latn-ME"/>
        </w:rPr>
        <w:t xml:space="preserve"> </w:t>
      </w:r>
      <w:r w:rsidRPr="005E669C">
        <w:rPr>
          <w:rFonts w:ascii="Arial" w:hAnsi="Arial" w:cs="Arial"/>
        </w:rPr>
        <w:t>se</w:t>
      </w:r>
      <w:r w:rsidRPr="0074391C">
        <w:rPr>
          <w:rFonts w:ascii="Arial" w:hAnsi="Arial" w:cs="Arial"/>
          <w:lang w:val="sr-Latn-ME"/>
        </w:rPr>
        <w:t xml:space="preserve"> </w:t>
      </w:r>
      <w:r w:rsidRPr="005E669C">
        <w:rPr>
          <w:rFonts w:ascii="Arial" w:hAnsi="Arial" w:cs="Arial"/>
        </w:rPr>
        <w:t>prilikom</w:t>
      </w:r>
      <w:r w:rsidRPr="0074391C">
        <w:rPr>
          <w:rFonts w:ascii="Arial" w:hAnsi="Arial" w:cs="Arial"/>
          <w:lang w:val="sr-Latn-ME"/>
        </w:rPr>
        <w:t xml:space="preserve"> </w:t>
      </w:r>
      <w:r w:rsidRPr="005E669C">
        <w:rPr>
          <w:rFonts w:ascii="Arial" w:hAnsi="Arial" w:cs="Arial"/>
        </w:rPr>
        <w:t>izvo</w:t>
      </w:r>
      <w:r w:rsidRPr="0074391C">
        <w:rPr>
          <w:rFonts w:ascii="Arial" w:hAnsi="Arial" w:cs="Arial"/>
          <w:lang w:val="sr-Latn-ME"/>
        </w:rPr>
        <w:t>đ</w:t>
      </w:r>
      <w:r w:rsidRPr="005E669C">
        <w:rPr>
          <w:rFonts w:ascii="Arial" w:hAnsi="Arial" w:cs="Arial"/>
        </w:rPr>
        <w:t>enja</w:t>
      </w:r>
      <w:r w:rsidRPr="0074391C">
        <w:rPr>
          <w:rFonts w:ascii="Arial" w:hAnsi="Arial" w:cs="Arial"/>
          <w:lang w:val="sr-Latn-ME"/>
        </w:rPr>
        <w:t xml:space="preserve"> </w:t>
      </w:r>
      <w:r w:rsidRPr="005E669C">
        <w:rPr>
          <w:rFonts w:ascii="Arial" w:hAnsi="Arial" w:cs="Arial"/>
        </w:rPr>
        <w:t>geolo</w:t>
      </w:r>
      <w:r w:rsidRPr="0074391C">
        <w:rPr>
          <w:rFonts w:ascii="Arial" w:hAnsi="Arial" w:cs="Arial"/>
          <w:lang w:val="sr-Latn-ME"/>
        </w:rPr>
        <w:t>š</w:t>
      </w:r>
      <w:r w:rsidRPr="005E669C">
        <w:rPr>
          <w:rFonts w:ascii="Arial" w:hAnsi="Arial" w:cs="Arial"/>
        </w:rPr>
        <w:t>kih</w:t>
      </w:r>
      <w:r w:rsidRPr="0074391C">
        <w:rPr>
          <w:rFonts w:ascii="Arial" w:hAnsi="Arial" w:cs="Arial"/>
          <w:lang w:val="sr-Latn-ME"/>
        </w:rPr>
        <w:t xml:space="preserve"> </w:t>
      </w:r>
      <w:r w:rsidRPr="005E669C">
        <w:rPr>
          <w:rFonts w:ascii="Arial" w:hAnsi="Arial" w:cs="Arial"/>
        </w:rPr>
        <w:t>i</w:t>
      </w:r>
      <w:r w:rsidRPr="0074391C">
        <w:rPr>
          <w:rFonts w:ascii="Arial" w:hAnsi="Arial" w:cs="Arial"/>
          <w:lang w:val="sr-Latn-ME"/>
        </w:rPr>
        <w:t xml:space="preserve"> </w:t>
      </w:r>
      <w:r w:rsidRPr="005E669C">
        <w:rPr>
          <w:rFonts w:ascii="Arial" w:hAnsi="Arial" w:cs="Arial"/>
        </w:rPr>
        <w:t>rudarskih</w:t>
      </w:r>
      <w:r w:rsidRPr="0074391C">
        <w:rPr>
          <w:rFonts w:ascii="Arial" w:hAnsi="Arial" w:cs="Arial"/>
          <w:lang w:val="sr-Latn-ME"/>
        </w:rPr>
        <w:t xml:space="preserve"> </w:t>
      </w:r>
      <w:r w:rsidRPr="005E669C">
        <w:rPr>
          <w:rFonts w:ascii="Arial" w:hAnsi="Arial" w:cs="Arial"/>
        </w:rPr>
        <w:t>radova</w:t>
      </w:r>
      <w:r w:rsidRPr="0074391C">
        <w:rPr>
          <w:rFonts w:ascii="Arial" w:hAnsi="Arial" w:cs="Arial"/>
          <w:lang w:val="sr-Latn-ME"/>
        </w:rPr>
        <w:t xml:space="preserve"> </w:t>
      </w:r>
      <w:r w:rsidRPr="005E669C">
        <w:rPr>
          <w:rFonts w:ascii="Arial" w:hAnsi="Arial" w:cs="Arial"/>
        </w:rPr>
        <w:t>nai</w:t>
      </w:r>
      <w:r w:rsidRPr="0074391C">
        <w:rPr>
          <w:rFonts w:ascii="Arial" w:hAnsi="Arial" w:cs="Arial"/>
          <w:lang w:val="sr-Latn-ME"/>
        </w:rPr>
        <w:t>đ</w:t>
      </w:r>
      <w:r w:rsidRPr="005E669C">
        <w:rPr>
          <w:rFonts w:ascii="Arial" w:hAnsi="Arial" w:cs="Arial"/>
        </w:rPr>
        <w:t>e</w:t>
      </w:r>
      <w:r w:rsidRPr="0074391C">
        <w:rPr>
          <w:rFonts w:ascii="Arial" w:hAnsi="Arial" w:cs="Arial"/>
          <w:lang w:val="sr-Latn-ME"/>
        </w:rPr>
        <w:t xml:space="preserve"> </w:t>
      </w:r>
      <w:r w:rsidRPr="005E669C">
        <w:rPr>
          <w:rFonts w:ascii="Arial" w:hAnsi="Arial" w:cs="Arial"/>
        </w:rPr>
        <w:t>na</w:t>
      </w:r>
      <w:r w:rsidRPr="0074391C">
        <w:rPr>
          <w:rFonts w:ascii="Arial" w:hAnsi="Arial" w:cs="Arial"/>
          <w:lang w:val="sr-Latn-ME"/>
        </w:rPr>
        <w:t xml:space="preserve"> </w:t>
      </w:r>
      <w:r w:rsidRPr="005E669C">
        <w:rPr>
          <w:rFonts w:ascii="Arial" w:hAnsi="Arial" w:cs="Arial"/>
        </w:rPr>
        <w:t>iste</w:t>
      </w:r>
      <w:r w:rsidRPr="0074391C">
        <w:rPr>
          <w:rFonts w:ascii="Arial" w:hAnsi="Arial" w:cs="Arial"/>
          <w:lang w:val="sr-Latn-ME"/>
        </w:rPr>
        <w:t xml:space="preserve">, </w:t>
      </w:r>
      <w:r w:rsidRPr="005E669C">
        <w:rPr>
          <w:rFonts w:ascii="Arial" w:hAnsi="Arial" w:cs="Arial"/>
        </w:rPr>
        <w:t>o</w:t>
      </w:r>
      <w:r w:rsidRPr="0074391C">
        <w:rPr>
          <w:rFonts w:ascii="Arial" w:hAnsi="Arial" w:cs="Arial"/>
          <w:lang w:val="sr-Latn-ME"/>
        </w:rPr>
        <w:t xml:space="preserve"> č</w:t>
      </w:r>
      <w:r w:rsidRPr="005E669C">
        <w:rPr>
          <w:rFonts w:ascii="Arial" w:hAnsi="Arial" w:cs="Arial"/>
        </w:rPr>
        <w:t>emu</w:t>
      </w:r>
      <w:r w:rsidRPr="0074391C">
        <w:rPr>
          <w:rFonts w:ascii="Arial" w:hAnsi="Arial" w:cs="Arial"/>
          <w:lang w:val="sr-Latn-ME"/>
        </w:rPr>
        <w:t xml:space="preserve"> </w:t>
      </w:r>
      <w:r w:rsidRPr="005E669C">
        <w:rPr>
          <w:rFonts w:ascii="Arial" w:hAnsi="Arial" w:cs="Arial"/>
        </w:rPr>
        <w:t>je</w:t>
      </w:r>
      <w:r w:rsidRPr="0074391C">
        <w:rPr>
          <w:rFonts w:ascii="Arial" w:hAnsi="Arial" w:cs="Arial"/>
          <w:lang w:val="sr-Latn-ME"/>
        </w:rPr>
        <w:t xml:space="preserve"> </w:t>
      </w:r>
      <w:r w:rsidRPr="005E669C">
        <w:rPr>
          <w:rFonts w:ascii="Arial" w:hAnsi="Arial" w:cs="Arial"/>
        </w:rPr>
        <w:t>potrebno</w:t>
      </w:r>
      <w:r w:rsidRPr="0074391C">
        <w:rPr>
          <w:rFonts w:ascii="Arial" w:hAnsi="Arial" w:cs="Arial"/>
          <w:lang w:val="sr-Latn-ME"/>
        </w:rPr>
        <w:t xml:space="preserve"> </w:t>
      </w:r>
      <w:r w:rsidRPr="005E669C">
        <w:rPr>
          <w:rFonts w:ascii="Arial" w:hAnsi="Arial" w:cs="Arial"/>
        </w:rPr>
        <w:t>obavijestiti</w:t>
      </w:r>
      <w:r w:rsidRPr="0074391C">
        <w:rPr>
          <w:rFonts w:ascii="Arial" w:hAnsi="Arial" w:cs="Arial"/>
          <w:lang w:val="sr-Latn-ME"/>
        </w:rPr>
        <w:t xml:space="preserve"> </w:t>
      </w:r>
      <w:r w:rsidRPr="005E669C">
        <w:rPr>
          <w:rFonts w:ascii="Arial" w:hAnsi="Arial" w:cs="Arial"/>
        </w:rPr>
        <w:t>ovu</w:t>
      </w:r>
      <w:r w:rsidRPr="0074391C">
        <w:rPr>
          <w:rFonts w:ascii="Arial" w:hAnsi="Arial" w:cs="Arial"/>
          <w:lang w:val="sr-Latn-ME"/>
        </w:rPr>
        <w:t xml:space="preserve"> </w:t>
      </w:r>
      <w:r w:rsidRPr="005E669C">
        <w:rPr>
          <w:rFonts w:ascii="Arial" w:hAnsi="Arial" w:cs="Arial"/>
        </w:rPr>
        <w:t>Upravu</w:t>
      </w:r>
      <w:r w:rsidRPr="0074391C">
        <w:rPr>
          <w:rFonts w:ascii="Arial" w:hAnsi="Arial" w:cs="Arial"/>
          <w:lang w:val="sr-Latn-ME"/>
        </w:rPr>
        <w:t>.</w:t>
      </w:r>
    </w:p>
    <w:p w14:paraId="3FEF525C" w14:textId="77777777" w:rsidR="003D5374" w:rsidRPr="0074391C" w:rsidRDefault="003D5374" w:rsidP="003D5374">
      <w:pPr>
        <w:spacing w:after="0" w:line="240" w:lineRule="auto"/>
        <w:jc w:val="both"/>
        <w:rPr>
          <w:rFonts w:ascii="Arial" w:hAnsi="Arial" w:cs="Arial"/>
          <w:lang w:val="sr-Latn-ME"/>
        </w:rPr>
      </w:pPr>
    </w:p>
    <w:p w14:paraId="424C6073" w14:textId="04FBD9C1" w:rsidR="005452B8" w:rsidRPr="00E56DC2" w:rsidRDefault="005452B8" w:rsidP="003D5374">
      <w:pPr>
        <w:spacing w:after="0" w:line="240" w:lineRule="auto"/>
        <w:jc w:val="both"/>
        <w:rPr>
          <w:rFonts w:ascii="Arial" w:hAnsi="Arial" w:cs="Arial"/>
          <w:b/>
          <w:bCs/>
          <w:lang w:val="sr-Latn-CS"/>
        </w:rPr>
      </w:pPr>
      <w:r w:rsidRPr="00E56DC2">
        <w:rPr>
          <w:rFonts w:ascii="Arial" w:hAnsi="Arial" w:cs="Arial"/>
          <w:lang w:val="sr-Latn-CS"/>
        </w:rPr>
        <w:t xml:space="preserve">1.5. </w:t>
      </w:r>
      <w:r w:rsidRPr="00E56DC2">
        <w:rPr>
          <w:rFonts w:ascii="Arial" w:hAnsi="Arial" w:cs="Arial"/>
          <w:b/>
          <w:bCs/>
          <w:lang w:val="sr-Latn-CS"/>
        </w:rPr>
        <w:t>Podaci o imovinsko-pravnim odnosima</w:t>
      </w:r>
    </w:p>
    <w:p w14:paraId="78E80816" w14:textId="77777777" w:rsidR="005452B8" w:rsidRPr="00E56DC2" w:rsidRDefault="005452B8" w:rsidP="003D5374">
      <w:pPr>
        <w:spacing w:after="0" w:line="240" w:lineRule="auto"/>
        <w:jc w:val="both"/>
        <w:rPr>
          <w:rFonts w:ascii="Arial" w:hAnsi="Arial" w:cs="Arial"/>
          <w:lang w:val="sr-Latn-CS"/>
        </w:rPr>
      </w:pPr>
    </w:p>
    <w:p w14:paraId="6ABB741A" w14:textId="03B48EF2" w:rsidR="00EC60A0" w:rsidRPr="00BB00F6" w:rsidRDefault="00EC60A0" w:rsidP="003D5374">
      <w:pPr>
        <w:spacing w:after="0" w:line="240" w:lineRule="auto"/>
        <w:jc w:val="both"/>
        <w:rPr>
          <w:rFonts w:ascii="Arial" w:hAnsi="Arial" w:cs="Arial"/>
          <w:lang w:val="sr-Latn-CS"/>
        </w:rPr>
      </w:pPr>
      <w:r w:rsidRPr="0058637C">
        <w:rPr>
          <w:rFonts w:ascii="Arial" w:hAnsi="Arial" w:cs="Arial"/>
        </w:rPr>
        <w:t>U</w:t>
      </w:r>
      <w:r w:rsidRPr="0074391C">
        <w:rPr>
          <w:rFonts w:ascii="Arial" w:hAnsi="Arial" w:cs="Arial"/>
          <w:lang w:val="sr-Latn-ME"/>
        </w:rPr>
        <w:t xml:space="preserve"> </w:t>
      </w:r>
      <w:r w:rsidRPr="0058637C">
        <w:rPr>
          <w:rFonts w:ascii="Arial" w:hAnsi="Arial" w:cs="Arial"/>
        </w:rPr>
        <w:t>aktu</w:t>
      </w:r>
      <w:r w:rsidRPr="0074391C">
        <w:rPr>
          <w:rFonts w:ascii="Arial" w:hAnsi="Arial" w:cs="Arial"/>
          <w:lang w:val="sr-Latn-ME"/>
        </w:rPr>
        <w:t xml:space="preserve"> </w:t>
      </w:r>
      <w:r w:rsidRPr="0058637C">
        <w:rPr>
          <w:rFonts w:ascii="Arial" w:hAnsi="Arial" w:cs="Arial"/>
        </w:rPr>
        <w:t>Uprave</w:t>
      </w:r>
      <w:r w:rsidRPr="0074391C">
        <w:rPr>
          <w:rFonts w:ascii="Arial" w:hAnsi="Arial" w:cs="Arial"/>
          <w:lang w:val="sr-Latn-ME"/>
        </w:rPr>
        <w:t xml:space="preserve"> </w:t>
      </w:r>
      <w:r w:rsidRPr="0058637C">
        <w:rPr>
          <w:rFonts w:ascii="Arial" w:hAnsi="Arial" w:cs="Arial"/>
        </w:rPr>
        <w:t>za</w:t>
      </w:r>
      <w:r w:rsidRPr="0074391C">
        <w:rPr>
          <w:rFonts w:ascii="Arial" w:hAnsi="Arial" w:cs="Arial"/>
          <w:lang w:val="sr-Latn-ME"/>
        </w:rPr>
        <w:t xml:space="preserve"> </w:t>
      </w:r>
      <w:r>
        <w:rPr>
          <w:rFonts w:ascii="Arial" w:hAnsi="Arial" w:cs="Arial"/>
        </w:rPr>
        <w:t>katastar</w:t>
      </w:r>
      <w:r w:rsidRPr="0074391C">
        <w:rPr>
          <w:rFonts w:ascii="Arial" w:hAnsi="Arial" w:cs="Arial"/>
          <w:lang w:val="sr-Latn-ME"/>
        </w:rPr>
        <w:t xml:space="preserve"> </w:t>
      </w:r>
      <w:r>
        <w:rPr>
          <w:rFonts w:ascii="Arial" w:hAnsi="Arial" w:cs="Arial"/>
        </w:rPr>
        <w:t>i</w:t>
      </w:r>
      <w:r w:rsidRPr="0074391C">
        <w:rPr>
          <w:rFonts w:ascii="Arial" w:hAnsi="Arial" w:cs="Arial"/>
          <w:lang w:val="sr-Latn-ME"/>
        </w:rPr>
        <w:t xml:space="preserve"> </w:t>
      </w:r>
      <w:r>
        <w:rPr>
          <w:rFonts w:ascii="Arial" w:hAnsi="Arial" w:cs="Arial"/>
        </w:rPr>
        <w:t>dr</w:t>
      </w:r>
      <w:r w:rsidRPr="0074391C">
        <w:rPr>
          <w:rFonts w:ascii="Arial" w:hAnsi="Arial" w:cs="Arial"/>
          <w:lang w:val="sr-Latn-ME"/>
        </w:rPr>
        <w:t>ž</w:t>
      </w:r>
      <w:r>
        <w:rPr>
          <w:rFonts w:ascii="Arial" w:hAnsi="Arial" w:cs="Arial"/>
        </w:rPr>
        <w:t>avnu</w:t>
      </w:r>
      <w:r w:rsidRPr="0074391C">
        <w:rPr>
          <w:rFonts w:ascii="Arial" w:hAnsi="Arial" w:cs="Arial"/>
          <w:lang w:val="sr-Latn-ME"/>
        </w:rPr>
        <w:t xml:space="preserve"> </w:t>
      </w:r>
      <w:r>
        <w:rPr>
          <w:rFonts w:ascii="Arial" w:hAnsi="Arial" w:cs="Arial"/>
        </w:rPr>
        <w:t>imovinu</w:t>
      </w:r>
      <w:r w:rsidRPr="0074391C">
        <w:rPr>
          <w:rFonts w:ascii="Arial" w:hAnsi="Arial" w:cs="Arial"/>
          <w:lang w:val="sr-Latn-ME"/>
        </w:rPr>
        <w:t xml:space="preserve"> – </w:t>
      </w:r>
      <w:r w:rsidRPr="0058637C">
        <w:rPr>
          <w:rFonts w:ascii="Arial" w:hAnsi="Arial" w:cs="Arial"/>
        </w:rPr>
        <w:t>Podru</w:t>
      </w:r>
      <w:r w:rsidRPr="0074391C">
        <w:rPr>
          <w:rFonts w:ascii="Arial" w:hAnsi="Arial" w:cs="Arial"/>
          <w:lang w:val="sr-Latn-ME"/>
        </w:rPr>
        <w:t>č</w:t>
      </w:r>
      <w:r w:rsidRPr="0058637C">
        <w:rPr>
          <w:rFonts w:ascii="Arial" w:hAnsi="Arial" w:cs="Arial"/>
        </w:rPr>
        <w:t>na</w:t>
      </w:r>
      <w:r w:rsidRPr="0074391C">
        <w:rPr>
          <w:rFonts w:ascii="Arial" w:hAnsi="Arial" w:cs="Arial"/>
          <w:lang w:val="sr-Latn-ME"/>
        </w:rPr>
        <w:t xml:space="preserve"> </w:t>
      </w:r>
      <w:r w:rsidRPr="0058637C">
        <w:rPr>
          <w:rFonts w:ascii="Arial" w:hAnsi="Arial" w:cs="Arial"/>
        </w:rPr>
        <w:t>jedinica</w:t>
      </w:r>
      <w:r w:rsidRPr="0074391C">
        <w:rPr>
          <w:rFonts w:ascii="Arial" w:hAnsi="Arial" w:cs="Arial"/>
          <w:lang w:val="sr-Latn-ME"/>
        </w:rPr>
        <w:t xml:space="preserve"> </w:t>
      </w:r>
      <w:r>
        <w:rPr>
          <w:rFonts w:ascii="Arial" w:hAnsi="Arial" w:cs="Arial"/>
        </w:rPr>
        <w:t>Cetinje</w:t>
      </w:r>
      <w:r w:rsidRPr="0074391C">
        <w:rPr>
          <w:rFonts w:ascii="Arial" w:hAnsi="Arial" w:cs="Arial"/>
          <w:lang w:val="sr-Latn-ME"/>
        </w:rPr>
        <w:t xml:space="preserve">, </w:t>
      </w:r>
      <w:r w:rsidRPr="0058637C">
        <w:rPr>
          <w:rFonts w:ascii="Arial" w:hAnsi="Arial" w:cs="Arial"/>
        </w:rPr>
        <w:t>br</w:t>
      </w:r>
      <w:r w:rsidRPr="0074391C">
        <w:rPr>
          <w:rFonts w:ascii="Arial" w:hAnsi="Arial" w:cs="Arial"/>
          <w:lang w:val="sr-Latn-ME"/>
        </w:rPr>
        <w:t xml:space="preserve">. 917-119-97/2021 </w:t>
      </w:r>
      <w:r w:rsidRPr="0058637C">
        <w:rPr>
          <w:rFonts w:ascii="Arial" w:hAnsi="Arial" w:cs="Arial"/>
        </w:rPr>
        <w:t>od</w:t>
      </w:r>
      <w:r w:rsidRPr="0074391C">
        <w:rPr>
          <w:rFonts w:ascii="Arial" w:hAnsi="Arial" w:cs="Arial"/>
          <w:lang w:val="sr-Latn-ME"/>
        </w:rPr>
        <w:t xml:space="preserve"> 14.04.2021. </w:t>
      </w:r>
      <w:r w:rsidRPr="0058637C">
        <w:rPr>
          <w:rFonts w:ascii="Arial" w:hAnsi="Arial" w:cs="Arial"/>
        </w:rPr>
        <w:t>godine</w:t>
      </w:r>
      <w:r w:rsidRPr="0074391C">
        <w:rPr>
          <w:rFonts w:ascii="Arial" w:hAnsi="Arial" w:cs="Arial"/>
          <w:lang w:val="sr-Latn-ME"/>
        </w:rPr>
        <w:t xml:space="preserve"> </w:t>
      </w:r>
      <w:r w:rsidRPr="0058637C">
        <w:rPr>
          <w:rFonts w:ascii="Arial" w:hAnsi="Arial" w:cs="Arial"/>
        </w:rPr>
        <w:t>navedeno</w:t>
      </w:r>
      <w:r w:rsidRPr="0074391C">
        <w:rPr>
          <w:rFonts w:ascii="Arial" w:hAnsi="Arial" w:cs="Arial"/>
          <w:lang w:val="sr-Latn-ME"/>
        </w:rPr>
        <w:t xml:space="preserve"> </w:t>
      </w:r>
      <w:r w:rsidRPr="0058637C">
        <w:rPr>
          <w:rFonts w:ascii="Arial" w:hAnsi="Arial" w:cs="Arial"/>
        </w:rPr>
        <w:t>je</w:t>
      </w:r>
      <w:r w:rsidRPr="0074391C">
        <w:rPr>
          <w:rFonts w:ascii="Arial" w:hAnsi="Arial" w:cs="Arial"/>
          <w:lang w:val="sr-Latn-ME"/>
        </w:rPr>
        <w:t xml:space="preserve">, </w:t>
      </w:r>
      <w:r>
        <w:rPr>
          <w:rFonts w:ascii="Arial" w:hAnsi="Arial" w:cs="Arial"/>
        </w:rPr>
        <w:t>da</w:t>
      </w:r>
      <w:r w:rsidRPr="0074391C">
        <w:rPr>
          <w:rFonts w:ascii="Arial" w:hAnsi="Arial" w:cs="Arial"/>
          <w:lang w:val="sr-Latn-ME"/>
        </w:rPr>
        <w:t xml:space="preserve"> </w:t>
      </w:r>
      <w:r>
        <w:rPr>
          <w:rFonts w:ascii="Arial" w:hAnsi="Arial" w:cs="Arial"/>
          <w:lang w:val="sr-Latn-CS"/>
        </w:rPr>
        <w:t>p</w:t>
      </w:r>
      <w:r w:rsidRPr="00BB00F6">
        <w:rPr>
          <w:rFonts w:ascii="Arial" w:hAnsi="Arial" w:cs="Arial"/>
          <w:lang w:val="sr-Latn-CS"/>
        </w:rPr>
        <w:t>odručje pojave tehničko-građevinskog kamena “</w:t>
      </w:r>
      <w:r>
        <w:rPr>
          <w:rFonts w:ascii="Arial" w:hAnsi="Arial" w:cs="Arial"/>
          <w:lang w:val="sr-Latn-CS"/>
        </w:rPr>
        <w:t>Milošev krš</w:t>
      </w:r>
      <w:r w:rsidRPr="00BB00F6">
        <w:rPr>
          <w:rFonts w:ascii="Arial" w:hAnsi="Arial" w:cs="Arial"/>
          <w:lang w:val="sr-Latn-CS"/>
        </w:rPr>
        <w:t>”,</w:t>
      </w:r>
      <w:r>
        <w:rPr>
          <w:rFonts w:ascii="Arial" w:hAnsi="Arial" w:cs="Arial"/>
          <w:lang w:val="sr-Latn-CS"/>
        </w:rPr>
        <w:t xml:space="preserve"> pripada KO Dobrsko selo i</w:t>
      </w:r>
      <w:r w:rsidRPr="00BB00F6">
        <w:rPr>
          <w:rFonts w:ascii="Arial" w:hAnsi="Arial" w:cs="Arial"/>
          <w:lang w:val="sr-Latn-CS"/>
        </w:rPr>
        <w:t xml:space="preserve"> obuhvata katastarsk</w:t>
      </w:r>
      <w:r>
        <w:rPr>
          <w:rFonts w:ascii="Arial" w:hAnsi="Arial" w:cs="Arial"/>
          <w:lang w:val="sr-Latn-CS"/>
        </w:rPr>
        <w:t>u</w:t>
      </w:r>
      <w:r w:rsidRPr="00BB00F6">
        <w:rPr>
          <w:rFonts w:ascii="Arial" w:hAnsi="Arial" w:cs="Arial"/>
          <w:lang w:val="sr-Latn-CS"/>
        </w:rPr>
        <w:t xml:space="preserve"> parcel</w:t>
      </w:r>
      <w:r>
        <w:rPr>
          <w:rFonts w:ascii="Arial" w:hAnsi="Arial" w:cs="Arial"/>
          <w:lang w:val="sr-Latn-CS"/>
        </w:rPr>
        <w:t>u 343, LN 85.</w:t>
      </w:r>
    </w:p>
    <w:p w14:paraId="3AE8434D" w14:textId="7CF824F8" w:rsidR="009E4344" w:rsidRPr="003D5374" w:rsidRDefault="00EC60A0" w:rsidP="003D5374">
      <w:pPr>
        <w:tabs>
          <w:tab w:val="left" w:pos="3119"/>
        </w:tabs>
        <w:spacing w:after="0" w:line="240" w:lineRule="auto"/>
        <w:jc w:val="both"/>
        <w:rPr>
          <w:rFonts w:ascii="Arial" w:hAnsi="Arial" w:cs="Arial"/>
          <w:lang w:val="sr-Latn-CS"/>
        </w:rPr>
      </w:pPr>
      <w:r w:rsidRPr="00BB00F6">
        <w:rPr>
          <w:rFonts w:ascii="Arial" w:hAnsi="Arial" w:cs="Arial"/>
          <w:lang w:val="sr-Latn-CS"/>
        </w:rPr>
        <w:t xml:space="preserve">Teren obuhvaćen </w:t>
      </w:r>
      <w:r>
        <w:rPr>
          <w:rFonts w:ascii="Arial" w:hAnsi="Arial" w:cs="Arial"/>
          <w:lang w:val="sr-Latn-CS"/>
        </w:rPr>
        <w:t>predmetnim</w:t>
      </w:r>
      <w:r w:rsidRPr="00BB00F6">
        <w:rPr>
          <w:rFonts w:ascii="Arial" w:hAnsi="Arial" w:cs="Arial"/>
          <w:lang w:val="sr-Latn-CS"/>
        </w:rPr>
        <w:t xml:space="preserve"> pro</w:t>
      </w:r>
      <w:r w:rsidR="00D3633A">
        <w:rPr>
          <w:rFonts w:ascii="Arial" w:hAnsi="Arial" w:cs="Arial"/>
          <w:lang w:val="sr-Latn-CS"/>
        </w:rPr>
        <w:t>storom zauzima površinu od</w:t>
      </w:r>
      <w:r w:rsidRPr="00511C22">
        <w:rPr>
          <w:rFonts w:ascii="Arial" w:hAnsi="Arial" w:cs="Arial"/>
          <w:lang w:val="sr-Latn-CS"/>
        </w:rPr>
        <w:t xml:space="preserve"> </w:t>
      </w:r>
      <w:r w:rsidR="00D3633A">
        <w:rPr>
          <w:rFonts w:ascii="Arial" w:hAnsi="Arial" w:cs="Arial"/>
          <w:lang w:val="sr-Latn-CS"/>
        </w:rPr>
        <w:t xml:space="preserve">4 ha 68 a 50 m² </w:t>
      </w:r>
      <w:r w:rsidRPr="00511C22">
        <w:rPr>
          <w:rFonts w:ascii="Arial" w:hAnsi="Arial" w:cs="Arial"/>
          <w:lang w:val="sr-Latn-CS"/>
        </w:rPr>
        <w:t xml:space="preserve">i nalazi </w:t>
      </w:r>
      <w:r w:rsidRPr="00BB00F6">
        <w:rPr>
          <w:rFonts w:ascii="Arial" w:hAnsi="Arial" w:cs="Arial"/>
          <w:lang w:val="sr-Latn-CS"/>
        </w:rPr>
        <w:t xml:space="preserve">se u vlasništvu </w:t>
      </w:r>
      <w:r>
        <w:rPr>
          <w:rFonts w:ascii="Arial" w:hAnsi="Arial" w:cs="Arial"/>
          <w:lang w:val="sr-Latn-CS"/>
        </w:rPr>
        <w:t xml:space="preserve">Države </w:t>
      </w:r>
      <w:r w:rsidRPr="00BB00F6">
        <w:rPr>
          <w:rFonts w:ascii="Arial" w:hAnsi="Arial" w:cs="Arial"/>
          <w:lang w:val="sr-Latn-CS"/>
        </w:rPr>
        <w:t>Crne Gore (</w:t>
      </w:r>
      <w:r>
        <w:rPr>
          <w:rFonts w:ascii="Arial" w:hAnsi="Arial" w:cs="Arial"/>
          <w:lang w:val="sr-Latn-CS"/>
        </w:rPr>
        <w:t>svojina</w:t>
      </w:r>
      <w:r w:rsidRPr="00BB00F6">
        <w:rPr>
          <w:rFonts w:ascii="Arial" w:hAnsi="Arial" w:cs="Arial"/>
          <w:lang w:val="sr-Latn-CS"/>
        </w:rPr>
        <w:t>)</w:t>
      </w:r>
      <w:r>
        <w:rPr>
          <w:rFonts w:ascii="Arial" w:hAnsi="Arial" w:cs="Arial"/>
          <w:lang w:val="sr-Latn-CS"/>
        </w:rPr>
        <w:t xml:space="preserve"> i Vlade Crne Gore (raspolaganje)</w:t>
      </w:r>
      <w:r w:rsidRPr="00BB00F6">
        <w:rPr>
          <w:rFonts w:ascii="Arial" w:hAnsi="Arial" w:cs="Arial"/>
          <w:lang w:val="sr-Latn-CS"/>
        </w:rPr>
        <w:t>.</w:t>
      </w:r>
      <w:bookmarkStart w:id="8" w:name="_Toc402262929"/>
      <w:r w:rsidR="003E0093">
        <w:rPr>
          <w:rFonts w:ascii="Arial" w:hAnsi="Arial" w:cs="Arial"/>
          <w:lang w:val="sr-Latn-CS"/>
        </w:rPr>
        <w:t xml:space="preserve"> </w:t>
      </w:r>
      <w:r w:rsidR="009E4344" w:rsidRPr="00E56DC2">
        <w:rPr>
          <w:rFonts w:ascii="Arial" w:eastAsia="Times New Roman" w:hAnsi="Arial" w:cs="Arial"/>
        </w:rPr>
        <w:t>Povr</w:t>
      </w:r>
      <w:r w:rsidR="009E4344" w:rsidRPr="00D671DB">
        <w:rPr>
          <w:rFonts w:ascii="Arial" w:eastAsia="Times New Roman" w:hAnsi="Arial" w:cs="Arial"/>
          <w:lang w:val="sr-Latn-CS"/>
        </w:rPr>
        <w:t>š</w:t>
      </w:r>
      <w:r w:rsidR="009E4344" w:rsidRPr="00E56DC2">
        <w:rPr>
          <w:rFonts w:ascii="Arial" w:eastAsia="Times New Roman" w:hAnsi="Arial" w:cs="Arial"/>
        </w:rPr>
        <w:t>ina</w:t>
      </w:r>
      <w:r w:rsidR="009E4344" w:rsidRPr="00D671DB">
        <w:rPr>
          <w:rFonts w:ascii="Arial" w:eastAsia="Times New Roman" w:hAnsi="Arial" w:cs="Arial"/>
          <w:lang w:val="sr-Latn-CS"/>
        </w:rPr>
        <w:t xml:space="preserve"> </w:t>
      </w:r>
      <w:r w:rsidR="009E4344" w:rsidRPr="00E56DC2">
        <w:rPr>
          <w:rFonts w:ascii="Arial" w:eastAsia="Times New Roman" w:hAnsi="Arial" w:cs="Arial"/>
        </w:rPr>
        <w:t>zahvata</w:t>
      </w:r>
      <w:r w:rsidR="009E4344" w:rsidRPr="00D671DB">
        <w:rPr>
          <w:rFonts w:ascii="Arial" w:eastAsia="Times New Roman" w:hAnsi="Arial" w:cs="Arial"/>
          <w:lang w:val="sr-Latn-CS"/>
        </w:rPr>
        <w:t xml:space="preserve"> </w:t>
      </w:r>
      <w:r w:rsidR="009E4344" w:rsidRPr="00E56DC2">
        <w:rPr>
          <w:rFonts w:ascii="Arial" w:eastAsia="Times New Roman" w:hAnsi="Arial" w:cs="Arial"/>
        </w:rPr>
        <w:t>istra</w:t>
      </w:r>
      <w:r w:rsidR="009E4344" w:rsidRPr="00D671DB">
        <w:rPr>
          <w:rFonts w:ascii="Arial" w:eastAsia="Times New Roman" w:hAnsi="Arial" w:cs="Arial"/>
          <w:lang w:val="sr-Latn-CS"/>
        </w:rPr>
        <w:t>ž</w:t>
      </w:r>
      <w:r w:rsidR="009E4344" w:rsidRPr="00E56DC2">
        <w:rPr>
          <w:rFonts w:ascii="Arial" w:eastAsia="Times New Roman" w:hAnsi="Arial" w:cs="Arial"/>
        </w:rPr>
        <w:t>no</w:t>
      </w:r>
      <w:r w:rsidR="009E4344" w:rsidRPr="00D671DB">
        <w:rPr>
          <w:rFonts w:ascii="Arial" w:eastAsia="Times New Roman" w:hAnsi="Arial" w:cs="Arial"/>
          <w:lang w:val="sr-Latn-CS"/>
        </w:rPr>
        <w:t>-</w:t>
      </w:r>
      <w:r w:rsidR="009E4344" w:rsidRPr="00E56DC2">
        <w:rPr>
          <w:rFonts w:ascii="Arial" w:eastAsia="Times New Roman" w:hAnsi="Arial" w:cs="Arial"/>
        </w:rPr>
        <w:t>eksploatacionog</w:t>
      </w:r>
      <w:r w:rsidR="009E4344" w:rsidRPr="00D671DB">
        <w:rPr>
          <w:rFonts w:ascii="Arial" w:eastAsia="Times New Roman" w:hAnsi="Arial" w:cs="Arial"/>
          <w:lang w:val="sr-Latn-CS"/>
        </w:rPr>
        <w:t xml:space="preserve"> </w:t>
      </w:r>
      <w:r w:rsidR="009E4344" w:rsidRPr="00E56DC2">
        <w:rPr>
          <w:rFonts w:ascii="Arial" w:eastAsia="Times New Roman" w:hAnsi="Arial" w:cs="Arial"/>
        </w:rPr>
        <w:t>prostora</w:t>
      </w:r>
      <w:r w:rsidR="009E4344" w:rsidRPr="00D671DB">
        <w:rPr>
          <w:rFonts w:ascii="Arial" w:eastAsia="Times New Roman" w:hAnsi="Arial" w:cs="Arial"/>
          <w:lang w:val="sr-Latn-CS"/>
        </w:rPr>
        <w:t xml:space="preserve"> </w:t>
      </w:r>
      <w:r w:rsidR="009E4344" w:rsidRPr="00E56DC2">
        <w:rPr>
          <w:rFonts w:ascii="Arial" w:eastAsia="Times New Roman" w:hAnsi="Arial" w:cs="Arial"/>
        </w:rPr>
        <w:t>prikazana</w:t>
      </w:r>
      <w:r w:rsidR="009E4344" w:rsidRPr="00D671DB">
        <w:rPr>
          <w:rFonts w:ascii="Arial" w:eastAsia="Times New Roman" w:hAnsi="Arial" w:cs="Arial"/>
          <w:lang w:val="sr-Latn-CS"/>
        </w:rPr>
        <w:t xml:space="preserve"> </w:t>
      </w:r>
      <w:r w:rsidR="009E4344" w:rsidRPr="00E56DC2">
        <w:rPr>
          <w:rFonts w:ascii="Arial" w:eastAsia="Times New Roman" w:hAnsi="Arial" w:cs="Arial"/>
        </w:rPr>
        <w:t>je</w:t>
      </w:r>
      <w:r w:rsidR="009E4344" w:rsidRPr="00D671DB">
        <w:rPr>
          <w:rFonts w:ascii="Arial" w:eastAsia="Times New Roman" w:hAnsi="Arial" w:cs="Arial"/>
          <w:lang w:val="sr-Latn-CS"/>
        </w:rPr>
        <w:t xml:space="preserve"> </w:t>
      </w:r>
      <w:r w:rsidR="009E4344" w:rsidRPr="00E56DC2">
        <w:rPr>
          <w:rFonts w:ascii="Arial" w:eastAsia="Times New Roman" w:hAnsi="Arial" w:cs="Arial"/>
        </w:rPr>
        <w:t>u</w:t>
      </w:r>
      <w:r w:rsidR="009E4344" w:rsidRPr="00D671DB">
        <w:rPr>
          <w:rFonts w:ascii="Arial" w:eastAsia="Times New Roman" w:hAnsi="Arial" w:cs="Arial"/>
          <w:lang w:val="sr-Latn-CS"/>
        </w:rPr>
        <w:t xml:space="preserve"> </w:t>
      </w:r>
      <w:r w:rsidR="009E4344" w:rsidRPr="00E56DC2">
        <w:rPr>
          <w:rFonts w:ascii="Arial" w:eastAsia="Times New Roman" w:hAnsi="Arial" w:cs="Arial"/>
        </w:rPr>
        <w:t>okviru</w:t>
      </w:r>
      <w:r w:rsidR="009E4344" w:rsidRPr="00D671DB">
        <w:rPr>
          <w:rFonts w:ascii="Arial" w:eastAsia="Times New Roman" w:hAnsi="Arial" w:cs="Arial"/>
          <w:lang w:val="sr-Latn-CS"/>
        </w:rPr>
        <w:t xml:space="preserve"> </w:t>
      </w:r>
      <w:r w:rsidR="009E4344" w:rsidRPr="00E56DC2">
        <w:rPr>
          <w:rFonts w:ascii="Arial" w:eastAsia="Times New Roman" w:hAnsi="Arial" w:cs="Arial"/>
        </w:rPr>
        <w:t>pomenutog</w:t>
      </w:r>
      <w:r w:rsidR="009E4344" w:rsidRPr="00D671DB">
        <w:rPr>
          <w:rFonts w:ascii="Arial" w:eastAsia="Times New Roman" w:hAnsi="Arial" w:cs="Arial"/>
          <w:lang w:val="sr-Latn-CS"/>
        </w:rPr>
        <w:t xml:space="preserve"> </w:t>
      </w:r>
      <w:r w:rsidR="002A433B" w:rsidRPr="00E56DC2">
        <w:rPr>
          <w:rFonts w:ascii="Arial" w:eastAsia="Times New Roman" w:hAnsi="Arial" w:cs="Arial"/>
        </w:rPr>
        <w:t>Tehni</w:t>
      </w:r>
      <w:r w:rsidR="002A433B" w:rsidRPr="00D671DB">
        <w:rPr>
          <w:rFonts w:ascii="Arial" w:eastAsia="Times New Roman" w:hAnsi="Arial" w:cs="Arial"/>
          <w:lang w:val="sr-Latn-CS"/>
        </w:rPr>
        <w:t>č</w:t>
      </w:r>
      <w:r w:rsidR="002A433B" w:rsidRPr="00E56DC2">
        <w:rPr>
          <w:rFonts w:ascii="Arial" w:eastAsia="Times New Roman" w:hAnsi="Arial" w:cs="Arial"/>
        </w:rPr>
        <w:t>kog</w:t>
      </w:r>
      <w:r w:rsidR="002A433B" w:rsidRPr="00D671DB">
        <w:rPr>
          <w:rFonts w:ascii="Arial" w:eastAsia="Times New Roman" w:hAnsi="Arial" w:cs="Arial"/>
          <w:lang w:val="sr-Latn-CS"/>
        </w:rPr>
        <w:t xml:space="preserve"> </w:t>
      </w:r>
      <w:r w:rsidR="002A433B" w:rsidRPr="00E56DC2">
        <w:rPr>
          <w:rFonts w:ascii="Arial" w:eastAsia="Times New Roman" w:hAnsi="Arial" w:cs="Arial"/>
        </w:rPr>
        <w:t>izvje</w:t>
      </w:r>
      <w:r w:rsidR="002A433B" w:rsidRPr="00D671DB">
        <w:rPr>
          <w:rFonts w:ascii="Arial" w:eastAsia="Times New Roman" w:hAnsi="Arial" w:cs="Arial"/>
          <w:lang w:val="sr-Latn-CS"/>
        </w:rPr>
        <w:t>š</w:t>
      </w:r>
      <w:r w:rsidR="002A433B" w:rsidRPr="00E56DC2">
        <w:rPr>
          <w:rFonts w:ascii="Arial" w:eastAsia="Times New Roman" w:hAnsi="Arial" w:cs="Arial"/>
        </w:rPr>
        <w:t>taja</w:t>
      </w:r>
      <w:r w:rsidR="009E4344" w:rsidRPr="00D671DB">
        <w:rPr>
          <w:rFonts w:ascii="Arial" w:eastAsia="Times New Roman" w:hAnsi="Arial" w:cs="Arial"/>
          <w:lang w:val="sr-Latn-CS"/>
        </w:rPr>
        <w:t xml:space="preserve"> </w:t>
      </w:r>
      <w:r w:rsidR="009E4344" w:rsidRPr="00E56DC2">
        <w:rPr>
          <w:rFonts w:ascii="Arial" w:eastAsia="Times New Roman" w:hAnsi="Arial" w:cs="Arial"/>
        </w:rPr>
        <w:t>koji</w:t>
      </w:r>
      <w:r w:rsidR="009E4344" w:rsidRPr="00D671DB">
        <w:rPr>
          <w:rFonts w:ascii="Arial" w:eastAsia="Times New Roman" w:hAnsi="Arial" w:cs="Arial"/>
          <w:lang w:val="sr-Latn-CS"/>
        </w:rPr>
        <w:t xml:space="preserve"> </w:t>
      </w:r>
      <w:r w:rsidR="009E4344" w:rsidRPr="00E56DC2">
        <w:rPr>
          <w:rFonts w:ascii="Arial" w:eastAsia="Times New Roman" w:hAnsi="Arial" w:cs="Arial"/>
        </w:rPr>
        <w:t>sadr</w:t>
      </w:r>
      <w:r w:rsidR="009E4344" w:rsidRPr="00D671DB">
        <w:rPr>
          <w:rFonts w:ascii="Arial" w:eastAsia="Times New Roman" w:hAnsi="Arial" w:cs="Arial"/>
          <w:lang w:val="sr-Latn-CS"/>
        </w:rPr>
        <w:t>ž</w:t>
      </w:r>
      <w:r w:rsidR="009E4344" w:rsidRPr="00E56DC2">
        <w:rPr>
          <w:rFonts w:ascii="Arial" w:eastAsia="Times New Roman" w:hAnsi="Arial" w:cs="Arial"/>
        </w:rPr>
        <w:t>i</w:t>
      </w:r>
      <w:r w:rsidR="009E4344" w:rsidRPr="00D671DB">
        <w:rPr>
          <w:rFonts w:ascii="Arial" w:eastAsia="Times New Roman" w:hAnsi="Arial" w:cs="Arial"/>
          <w:lang w:val="sr-Latn-CS"/>
        </w:rPr>
        <w:t xml:space="preserve"> </w:t>
      </w:r>
      <w:r w:rsidR="009E4344" w:rsidRPr="00E56DC2">
        <w:rPr>
          <w:rFonts w:ascii="Arial" w:eastAsia="Times New Roman" w:hAnsi="Arial" w:cs="Arial"/>
        </w:rPr>
        <w:t>podatke</w:t>
      </w:r>
      <w:r w:rsidR="009E4344" w:rsidRPr="00D671DB">
        <w:rPr>
          <w:rFonts w:ascii="Arial" w:eastAsia="Times New Roman" w:hAnsi="Arial" w:cs="Arial"/>
          <w:lang w:val="sr-Latn-CS"/>
        </w:rPr>
        <w:t xml:space="preserve"> </w:t>
      </w:r>
      <w:r w:rsidR="009E4344" w:rsidRPr="00E56DC2">
        <w:rPr>
          <w:rFonts w:ascii="Arial" w:eastAsia="Times New Roman" w:hAnsi="Arial" w:cs="Arial"/>
        </w:rPr>
        <w:t>sa</w:t>
      </w:r>
      <w:r w:rsidR="009E4344" w:rsidRPr="00D671DB">
        <w:rPr>
          <w:rFonts w:ascii="Arial" w:eastAsia="Times New Roman" w:hAnsi="Arial" w:cs="Arial"/>
          <w:lang w:val="sr-Latn-CS"/>
        </w:rPr>
        <w:t xml:space="preserve"> </w:t>
      </w:r>
      <w:r w:rsidR="009E4344" w:rsidRPr="00E56DC2">
        <w:rPr>
          <w:rFonts w:ascii="Arial" w:eastAsia="Times New Roman" w:hAnsi="Arial" w:cs="Arial"/>
        </w:rPr>
        <w:t>nazna</w:t>
      </w:r>
      <w:r w:rsidR="009E4344" w:rsidRPr="00D671DB">
        <w:rPr>
          <w:rFonts w:ascii="Arial" w:eastAsia="Times New Roman" w:hAnsi="Arial" w:cs="Arial"/>
          <w:lang w:val="sr-Latn-CS"/>
        </w:rPr>
        <w:t>č</w:t>
      </w:r>
      <w:r w:rsidR="009E4344" w:rsidRPr="00E56DC2">
        <w:rPr>
          <w:rFonts w:ascii="Arial" w:eastAsia="Times New Roman" w:hAnsi="Arial" w:cs="Arial"/>
        </w:rPr>
        <w:t>enim</w:t>
      </w:r>
      <w:r w:rsidR="009E4344" w:rsidRPr="00D671DB">
        <w:rPr>
          <w:rFonts w:ascii="Arial" w:eastAsia="Times New Roman" w:hAnsi="Arial" w:cs="Arial"/>
          <w:lang w:val="sr-Latn-CS"/>
        </w:rPr>
        <w:t xml:space="preserve"> </w:t>
      </w:r>
      <w:r w:rsidR="009E4344" w:rsidRPr="00E56DC2">
        <w:rPr>
          <w:rFonts w:ascii="Arial" w:eastAsia="Times New Roman" w:hAnsi="Arial" w:cs="Arial"/>
        </w:rPr>
        <w:t>vlasnicima</w:t>
      </w:r>
      <w:r w:rsidR="009E4344" w:rsidRPr="00D671DB">
        <w:rPr>
          <w:rFonts w:ascii="Arial" w:eastAsia="Times New Roman" w:hAnsi="Arial" w:cs="Arial"/>
          <w:lang w:val="sr-Latn-CS"/>
        </w:rPr>
        <w:t xml:space="preserve"> </w:t>
      </w:r>
      <w:r w:rsidR="009E4344" w:rsidRPr="00E56DC2">
        <w:rPr>
          <w:rFonts w:ascii="Arial" w:eastAsia="Times New Roman" w:hAnsi="Arial" w:cs="Arial"/>
        </w:rPr>
        <w:t>u</w:t>
      </w:r>
      <w:r w:rsidR="009E4344" w:rsidRPr="00D671DB">
        <w:rPr>
          <w:rFonts w:ascii="Arial" w:eastAsia="Times New Roman" w:hAnsi="Arial" w:cs="Arial"/>
          <w:lang w:val="sr-Latn-CS"/>
        </w:rPr>
        <w:t xml:space="preserve"> </w:t>
      </w:r>
      <w:r w:rsidR="009E4344" w:rsidRPr="00E56DC2">
        <w:rPr>
          <w:rFonts w:ascii="Arial" w:eastAsia="Times New Roman" w:hAnsi="Arial" w:cs="Arial"/>
        </w:rPr>
        <w:t>trenutku</w:t>
      </w:r>
      <w:r w:rsidR="009E4344" w:rsidRPr="00D671DB">
        <w:rPr>
          <w:rFonts w:ascii="Arial" w:eastAsia="Times New Roman" w:hAnsi="Arial" w:cs="Arial"/>
          <w:lang w:val="sr-Latn-CS"/>
        </w:rPr>
        <w:t xml:space="preserve"> </w:t>
      </w:r>
      <w:r w:rsidR="009E4344" w:rsidRPr="00E56DC2">
        <w:rPr>
          <w:rFonts w:ascii="Arial" w:eastAsia="Times New Roman" w:hAnsi="Arial" w:cs="Arial"/>
        </w:rPr>
        <w:t>izrade</w:t>
      </w:r>
      <w:r w:rsidR="009E4344" w:rsidRPr="00D671DB">
        <w:rPr>
          <w:rFonts w:ascii="Arial" w:eastAsia="Times New Roman" w:hAnsi="Arial" w:cs="Arial"/>
          <w:lang w:val="sr-Latn-CS"/>
        </w:rPr>
        <w:t xml:space="preserve"> </w:t>
      </w:r>
      <w:r w:rsidR="009E4344" w:rsidRPr="00E56DC2">
        <w:rPr>
          <w:rFonts w:ascii="Arial" w:eastAsia="Times New Roman" w:hAnsi="Arial" w:cs="Arial"/>
        </w:rPr>
        <w:t>kao</w:t>
      </w:r>
      <w:r w:rsidR="009E4344" w:rsidRPr="00D671DB">
        <w:rPr>
          <w:rFonts w:ascii="Arial" w:eastAsia="Times New Roman" w:hAnsi="Arial" w:cs="Arial"/>
          <w:lang w:val="sr-Latn-CS"/>
        </w:rPr>
        <w:t xml:space="preserve"> </w:t>
      </w:r>
      <w:r w:rsidR="009E4344" w:rsidRPr="00E56DC2">
        <w:rPr>
          <w:rFonts w:ascii="Arial" w:eastAsia="Times New Roman" w:hAnsi="Arial" w:cs="Arial"/>
        </w:rPr>
        <w:t>i</w:t>
      </w:r>
      <w:r w:rsidR="009E4344" w:rsidRPr="00D671DB">
        <w:rPr>
          <w:rFonts w:ascii="Arial" w:eastAsia="Times New Roman" w:hAnsi="Arial" w:cs="Arial"/>
          <w:lang w:val="sr-Latn-CS"/>
        </w:rPr>
        <w:t xml:space="preserve"> </w:t>
      </w:r>
      <w:r w:rsidR="009E4344" w:rsidRPr="00E56DC2">
        <w:rPr>
          <w:rFonts w:ascii="Arial" w:eastAsia="Times New Roman" w:hAnsi="Arial" w:cs="Arial"/>
        </w:rPr>
        <w:t>koordinate</w:t>
      </w:r>
      <w:r w:rsidR="009E4344" w:rsidRPr="00D671DB">
        <w:rPr>
          <w:rFonts w:ascii="Arial" w:eastAsia="Times New Roman" w:hAnsi="Arial" w:cs="Arial"/>
          <w:lang w:val="sr-Latn-CS"/>
        </w:rPr>
        <w:t xml:space="preserve"> </w:t>
      </w:r>
      <w:r w:rsidR="009E4344" w:rsidRPr="00E56DC2">
        <w:rPr>
          <w:rFonts w:ascii="Arial" w:eastAsia="Times New Roman" w:hAnsi="Arial" w:cs="Arial"/>
        </w:rPr>
        <w:t>grani</w:t>
      </w:r>
      <w:r w:rsidR="009E4344" w:rsidRPr="00D671DB">
        <w:rPr>
          <w:rFonts w:ascii="Arial" w:eastAsia="Times New Roman" w:hAnsi="Arial" w:cs="Arial"/>
          <w:lang w:val="sr-Latn-CS"/>
        </w:rPr>
        <w:t>č</w:t>
      </w:r>
      <w:r w:rsidR="009E4344" w:rsidRPr="00E56DC2">
        <w:rPr>
          <w:rFonts w:ascii="Arial" w:eastAsia="Times New Roman" w:hAnsi="Arial" w:cs="Arial"/>
        </w:rPr>
        <w:t>nih</w:t>
      </w:r>
      <w:r w:rsidR="009E4344" w:rsidRPr="00D671DB">
        <w:rPr>
          <w:rFonts w:ascii="Arial" w:eastAsia="Times New Roman" w:hAnsi="Arial" w:cs="Arial"/>
          <w:lang w:val="sr-Latn-CS"/>
        </w:rPr>
        <w:t xml:space="preserve"> </w:t>
      </w:r>
      <w:r w:rsidR="009E4344" w:rsidRPr="00E56DC2">
        <w:rPr>
          <w:rFonts w:ascii="Arial" w:eastAsia="Times New Roman" w:hAnsi="Arial" w:cs="Arial"/>
        </w:rPr>
        <w:t>ta</w:t>
      </w:r>
      <w:r w:rsidR="009E4344" w:rsidRPr="00D671DB">
        <w:rPr>
          <w:rFonts w:ascii="Arial" w:eastAsia="Times New Roman" w:hAnsi="Arial" w:cs="Arial"/>
          <w:lang w:val="sr-Latn-CS"/>
        </w:rPr>
        <w:t>č</w:t>
      </w:r>
      <w:r w:rsidR="009E4344" w:rsidRPr="00E56DC2">
        <w:rPr>
          <w:rFonts w:ascii="Arial" w:eastAsia="Times New Roman" w:hAnsi="Arial" w:cs="Arial"/>
        </w:rPr>
        <w:t>aka</w:t>
      </w:r>
      <w:r w:rsidR="009E4344" w:rsidRPr="00D671DB">
        <w:rPr>
          <w:rFonts w:ascii="Arial" w:eastAsia="Times New Roman" w:hAnsi="Arial" w:cs="Arial"/>
          <w:lang w:val="sr-Latn-CS"/>
        </w:rPr>
        <w:t xml:space="preserve"> </w:t>
      </w:r>
      <w:r w:rsidR="009E4344" w:rsidRPr="00E56DC2">
        <w:rPr>
          <w:rFonts w:ascii="Arial" w:eastAsia="Times New Roman" w:hAnsi="Arial" w:cs="Arial"/>
        </w:rPr>
        <w:t>uslovne</w:t>
      </w:r>
      <w:r w:rsidR="009E4344" w:rsidRPr="00D671DB">
        <w:rPr>
          <w:rFonts w:ascii="Arial" w:eastAsia="Times New Roman" w:hAnsi="Arial" w:cs="Arial"/>
          <w:lang w:val="sr-Latn-CS"/>
        </w:rPr>
        <w:t xml:space="preserve"> </w:t>
      </w:r>
      <w:r w:rsidR="009E4344" w:rsidRPr="00E56DC2">
        <w:rPr>
          <w:rFonts w:ascii="Arial" w:eastAsia="Times New Roman" w:hAnsi="Arial" w:cs="Arial"/>
        </w:rPr>
        <w:t>parcelacije</w:t>
      </w:r>
      <w:r w:rsidR="009E4344" w:rsidRPr="00D671DB">
        <w:rPr>
          <w:rFonts w:ascii="Arial" w:eastAsia="Times New Roman" w:hAnsi="Arial" w:cs="Arial"/>
          <w:lang w:val="sr-Latn-CS"/>
        </w:rPr>
        <w:t xml:space="preserve"> </w:t>
      </w:r>
      <w:r w:rsidR="009E4344" w:rsidRPr="00E56DC2">
        <w:rPr>
          <w:rFonts w:ascii="Arial" w:eastAsia="Times New Roman" w:hAnsi="Arial" w:cs="Arial"/>
        </w:rPr>
        <w:t>i</w:t>
      </w:r>
      <w:r w:rsidR="009E4344" w:rsidRPr="00D671DB">
        <w:rPr>
          <w:rFonts w:ascii="Arial" w:eastAsia="Times New Roman" w:hAnsi="Arial" w:cs="Arial"/>
          <w:lang w:val="sr-Latn-CS"/>
        </w:rPr>
        <w:t xml:space="preserve"> </w:t>
      </w:r>
      <w:r w:rsidR="009E4344" w:rsidRPr="00E56DC2">
        <w:rPr>
          <w:rFonts w:ascii="Arial" w:eastAsia="Times New Roman" w:hAnsi="Arial" w:cs="Arial"/>
        </w:rPr>
        <w:t>preparcelacije</w:t>
      </w:r>
      <w:r w:rsidR="009E4344" w:rsidRPr="00D671DB">
        <w:rPr>
          <w:rFonts w:ascii="Arial" w:eastAsia="Times New Roman" w:hAnsi="Arial" w:cs="Arial"/>
          <w:lang w:val="sr-Latn-CS"/>
        </w:rPr>
        <w:t xml:space="preserve">. </w:t>
      </w:r>
    </w:p>
    <w:p w14:paraId="7B6AB69D" w14:textId="77777777" w:rsidR="009E4344" w:rsidRPr="00D671DB" w:rsidRDefault="009E4344" w:rsidP="003D5374">
      <w:pPr>
        <w:shd w:val="clear" w:color="auto" w:fill="FFFFFF"/>
        <w:spacing w:after="0" w:line="240" w:lineRule="auto"/>
        <w:jc w:val="both"/>
        <w:rPr>
          <w:rFonts w:ascii="Arial" w:eastAsia="Times New Roman" w:hAnsi="Arial" w:cs="Arial"/>
          <w:lang w:val="sr-Latn-CS"/>
        </w:rPr>
      </w:pPr>
    </w:p>
    <w:p w14:paraId="47EC967A" w14:textId="77777777" w:rsidR="009E4344" w:rsidRPr="00D671DB" w:rsidRDefault="009E4344" w:rsidP="003D5374">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D671DB" w:rsidRDefault="009E4344" w:rsidP="003D5374">
      <w:pPr>
        <w:shd w:val="clear" w:color="auto" w:fill="FFFFFF"/>
        <w:spacing w:after="0" w:line="240" w:lineRule="auto"/>
        <w:jc w:val="both"/>
        <w:rPr>
          <w:rFonts w:ascii="Arial" w:eastAsia="Times New Roman" w:hAnsi="Arial" w:cs="Arial"/>
          <w:lang w:val="sr-Latn-CS"/>
        </w:rPr>
      </w:pPr>
    </w:p>
    <w:p w14:paraId="79F5A535" w14:textId="43B628A3" w:rsidR="00744584" w:rsidRPr="00E56DC2" w:rsidRDefault="009E4344" w:rsidP="003D5374">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8"/>
    </w:p>
    <w:p w14:paraId="3E41C7C9" w14:textId="7C9A4A4D" w:rsidR="005452B8" w:rsidRPr="00E56DC2" w:rsidRDefault="005452B8" w:rsidP="003D5374">
      <w:pPr>
        <w:shd w:val="clear" w:color="auto" w:fill="FFFFFF"/>
        <w:spacing w:after="0" w:line="240" w:lineRule="auto"/>
        <w:jc w:val="both"/>
        <w:rPr>
          <w:rFonts w:ascii="Arial" w:eastAsia="Times New Roman" w:hAnsi="Arial" w:cs="Arial"/>
          <w:lang w:val="pl-PL"/>
        </w:rPr>
      </w:pPr>
    </w:p>
    <w:p w14:paraId="46215579" w14:textId="6DB93913" w:rsidR="005452B8" w:rsidRPr="00E56DC2" w:rsidRDefault="005452B8" w:rsidP="003D5374">
      <w:pPr>
        <w:shd w:val="clear" w:color="auto" w:fill="FFFFFF"/>
        <w:spacing w:after="0" w:line="240" w:lineRule="auto"/>
        <w:jc w:val="both"/>
        <w:rPr>
          <w:rFonts w:ascii="Arial" w:eastAsia="Times New Roman" w:hAnsi="Arial" w:cs="Arial"/>
          <w:b/>
          <w:bCs/>
          <w:lang w:val="pl-PL"/>
        </w:rPr>
      </w:pPr>
      <w:r w:rsidRPr="00E56DC2">
        <w:rPr>
          <w:rFonts w:ascii="Arial" w:eastAsia="Times New Roman" w:hAnsi="Arial" w:cs="Arial"/>
          <w:lang w:val="pl-PL"/>
        </w:rPr>
        <w:t xml:space="preserve">1.6. </w:t>
      </w:r>
      <w:r w:rsidRPr="00E56DC2">
        <w:rPr>
          <w:rFonts w:ascii="Arial" w:eastAsia="Times New Roman" w:hAnsi="Arial" w:cs="Arial"/>
          <w:b/>
          <w:bCs/>
          <w:lang w:val="pl-PL"/>
        </w:rPr>
        <w:t>Podaci iz prostorno urbanističke dokumentacije</w:t>
      </w:r>
    </w:p>
    <w:p w14:paraId="5FCFECA5" w14:textId="77777777" w:rsidR="00885CFC" w:rsidRPr="00E56DC2" w:rsidRDefault="00885CFC" w:rsidP="003D5374">
      <w:pPr>
        <w:shd w:val="clear" w:color="auto" w:fill="FFFFFF"/>
        <w:spacing w:after="0" w:line="240" w:lineRule="auto"/>
        <w:jc w:val="both"/>
        <w:rPr>
          <w:rFonts w:ascii="Arial" w:hAnsi="Arial" w:cs="Arial"/>
          <w:lang w:val="sr-Latn-CS"/>
        </w:rPr>
      </w:pPr>
    </w:p>
    <w:p w14:paraId="352EF8A0" w14:textId="237C728C" w:rsidR="003D5374" w:rsidRDefault="00EC60A0" w:rsidP="003D5374">
      <w:pPr>
        <w:spacing w:after="0" w:line="240" w:lineRule="auto"/>
        <w:jc w:val="both"/>
        <w:rPr>
          <w:rFonts w:ascii="Arial" w:hAnsi="Arial" w:cs="Arial"/>
          <w:lang w:val="pl-PL"/>
        </w:rPr>
      </w:pPr>
      <w:bookmarkStart w:id="9" w:name="_Toc402262930"/>
      <w:r w:rsidRPr="00D671DB">
        <w:rPr>
          <w:rFonts w:ascii="Arial" w:hAnsi="Arial" w:cs="Arial"/>
          <w:lang w:val="pl-PL"/>
        </w:rPr>
        <w:t>Na osnovu dopisa Sekretarijata za uređenje prostora i zaštitu životne sred</w:t>
      </w:r>
      <w:r w:rsidR="003473C4">
        <w:rPr>
          <w:rFonts w:ascii="Arial" w:hAnsi="Arial" w:cs="Arial"/>
          <w:lang w:val="pl-PL"/>
        </w:rPr>
        <w:t>ine, Prijesto</w:t>
      </w:r>
      <w:r w:rsidRPr="00D671DB">
        <w:rPr>
          <w:rFonts w:ascii="Arial" w:hAnsi="Arial" w:cs="Arial"/>
          <w:lang w:val="pl-PL"/>
        </w:rPr>
        <w:t xml:space="preserve">nica Cetinje, broj 05-332/21-188 od 19.03.2021.godine, predmetni lokalitet “Milošev krš”, PUP-om Prjestojnice Cetinje, nije predviđeno kao koncesiono područje za istraživanje i eksploataciju ali je ostavljena mogućnost da se druga područja, uz definisani koncesioni akt i adekvatnu procjenu uticaja na životnu sredinu, mogu realizovati. Za sva područja koja mogu biti </w:t>
      </w:r>
      <w:r w:rsidRPr="00D671DB">
        <w:rPr>
          <w:rFonts w:ascii="Arial" w:hAnsi="Arial" w:cs="Arial"/>
          <w:lang w:val="pl-PL"/>
        </w:rPr>
        <w:lastRenderedPageBreak/>
        <w:t>predmet koncesije u skladu sa zakonima za pojedine oblasti, mogu se definisati koncesiona područja na osnovu prethodnih istraživanja i za one lokacije, koje nisu definisane ovim planom, a nisu u konfliktu sa drugim namjenama i zaštićenim područjima, zonama i koridorima.</w:t>
      </w:r>
    </w:p>
    <w:p w14:paraId="178B76AE" w14:textId="77777777" w:rsidR="000E1A1D" w:rsidRPr="00D671DB" w:rsidRDefault="000E1A1D" w:rsidP="003D5374">
      <w:pPr>
        <w:spacing w:after="0" w:line="240" w:lineRule="auto"/>
        <w:jc w:val="both"/>
        <w:rPr>
          <w:rFonts w:ascii="Arial" w:hAnsi="Arial" w:cs="Arial"/>
          <w:lang w:val="pl-PL"/>
        </w:rPr>
      </w:pPr>
    </w:p>
    <w:p w14:paraId="45C9CECD" w14:textId="4B6E43D8" w:rsidR="005452B8" w:rsidRPr="00D671DB" w:rsidRDefault="005452B8" w:rsidP="003D5374">
      <w:pPr>
        <w:shd w:val="clear" w:color="auto" w:fill="FFFFFF"/>
        <w:spacing w:after="0" w:line="240" w:lineRule="auto"/>
        <w:jc w:val="both"/>
        <w:rPr>
          <w:rFonts w:ascii="Arial" w:eastAsia="Times New Roman" w:hAnsi="Arial" w:cs="Arial"/>
          <w:lang w:val="pt-BR"/>
        </w:rPr>
      </w:pPr>
      <w:r w:rsidRPr="00D671DB">
        <w:rPr>
          <w:rFonts w:ascii="Arial" w:eastAsia="Times New Roman" w:hAnsi="Arial" w:cs="Arial"/>
          <w:lang w:val="pt-BR"/>
        </w:rPr>
        <w:t xml:space="preserve">1.7. </w:t>
      </w:r>
      <w:r w:rsidRPr="00D671DB">
        <w:rPr>
          <w:rFonts w:ascii="Arial" w:eastAsia="Times New Roman" w:hAnsi="Arial" w:cs="Arial"/>
          <w:b/>
          <w:bCs/>
          <w:lang w:val="pt-BR"/>
        </w:rPr>
        <w:t>Infrastruktura</w:t>
      </w:r>
    </w:p>
    <w:p w14:paraId="0707FD9B" w14:textId="5241EA64" w:rsidR="00DF6748" w:rsidRPr="00D671DB" w:rsidRDefault="00245953" w:rsidP="003D5374">
      <w:pPr>
        <w:shd w:val="clear" w:color="auto" w:fill="FFFFFF"/>
        <w:spacing w:after="0" w:line="240" w:lineRule="auto"/>
        <w:jc w:val="both"/>
        <w:rPr>
          <w:rFonts w:ascii="Arial" w:eastAsia="Times New Roman" w:hAnsi="Arial" w:cs="Arial"/>
          <w:lang w:val="pt-BR"/>
        </w:rPr>
      </w:pPr>
      <w:r w:rsidRPr="00D671DB">
        <w:rPr>
          <w:rFonts w:ascii="Arial" w:eastAsia="Times New Roman" w:hAnsi="Arial" w:cs="Arial"/>
          <w:lang w:val="pt-BR"/>
        </w:rPr>
        <w:t xml:space="preserve"> </w:t>
      </w:r>
      <w:bookmarkEnd w:id="9"/>
    </w:p>
    <w:p w14:paraId="2EA833AA" w14:textId="3D02C7C9" w:rsidR="00EC60A0" w:rsidRPr="00D671DB" w:rsidRDefault="002C709B" w:rsidP="003D5374">
      <w:pPr>
        <w:shd w:val="clear" w:color="auto" w:fill="FFFFFF"/>
        <w:spacing w:after="0" w:line="240" w:lineRule="auto"/>
        <w:jc w:val="both"/>
        <w:rPr>
          <w:rFonts w:ascii="Arial" w:eastAsia="Times New Roman" w:hAnsi="Arial" w:cs="Arial"/>
          <w:lang w:val="pt-BR"/>
        </w:rPr>
      </w:pPr>
      <w:r w:rsidRPr="00D671DB">
        <w:rPr>
          <w:rFonts w:ascii="Arial" w:eastAsia="Times New Roman" w:hAnsi="Arial" w:cs="Arial"/>
          <w:lang w:val="pt-BR"/>
        </w:rPr>
        <w:t xml:space="preserve">Saobraćajne veze u užem i širem području </w:t>
      </w:r>
      <w:r w:rsidR="00B33302" w:rsidRPr="00D671DB">
        <w:rPr>
          <w:rFonts w:ascii="Arial" w:eastAsia="Times New Roman" w:hAnsi="Arial" w:cs="Arial"/>
          <w:lang w:val="pt-BR"/>
        </w:rPr>
        <w:t>lokaliteta</w:t>
      </w:r>
      <w:r w:rsidRPr="00D671DB">
        <w:rPr>
          <w:rFonts w:ascii="Arial" w:eastAsia="Times New Roman" w:hAnsi="Arial" w:cs="Arial"/>
          <w:lang w:val="pt-BR"/>
        </w:rPr>
        <w:t xml:space="preserve"> </w:t>
      </w:r>
      <w:r w:rsidR="00BC1B3C" w:rsidRPr="00D671DB">
        <w:rPr>
          <w:rFonts w:ascii="Arial" w:eastAsia="Times New Roman" w:hAnsi="Arial" w:cs="Arial"/>
          <w:lang w:val="pt-BR"/>
        </w:rPr>
        <w:t>“Milošev krš”</w:t>
      </w:r>
      <w:r w:rsidRPr="00D671DB">
        <w:rPr>
          <w:rFonts w:ascii="Arial" w:eastAsia="Times New Roman" w:hAnsi="Arial" w:cs="Arial"/>
          <w:lang w:val="pt-BR"/>
        </w:rPr>
        <w:t xml:space="preserve"> su veoma dobre, kada se radi o drumskom saobraćaju.</w:t>
      </w:r>
    </w:p>
    <w:p w14:paraId="01673BCE" w14:textId="77777777" w:rsidR="00EC60A0" w:rsidRPr="00D671DB" w:rsidRDefault="00EC60A0" w:rsidP="003D5374">
      <w:pPr>
        <w:shd w:val="clear" w:color="auto" w:fill="FFFFFF"/>
        <w:spacing w:after="0" w:line="240" w:lineRule="auto"/>
        <w:jc w:val="both"/>
        <w:rPr>
          <w:rFonts w:ascii="Arial" w:eastAsia="Times New Roman" w:hAnsi="Arial" w:cs="Arial"/>
          <w:lang w:val="pt-BR"/>
        </w:rPr>
      </w:pPr>
    </w:p>
    <w:p w14:paraId="6444FF88" w14:textId="0E35CD97" w:rsidR="00EC60A0" w:rsidRPr="00D671DB" w:rsidRDefault="00EC60A0" w:rsidP="003D5374">
      <w:pPr>
        <w:shd w:val="clear" w:color="auto" w:fill="FFFFFF"/>
        <w:spacing w:after="0" w:line="240" w:lineRule="auto"/>
        <w:jc w:val="both"/>
        <w:rPr>
          <w:rFonts w:ascii="Arial" w:eastAsia="Times New Roman" w:hAnsi="Arial" w:cs="Arial"/>
          <w:lang w:val="pt-BR"/>
        </w:rPr>
      </w:pPr>
      <w:r w:rsidRPr="00D671DB">
        <w:rPr>
          <w:rFonts w:ascii="Arial" w:eastAsia="Times New Roman" w:hAnsi="Arial" w:cs="Arial"/>
          <w:lang w:val="pt-BR"/>
        </w:rPr>
        <w:t xml:space="preserve">Lokalitet tehničko-građevinskog kamena “Milošev krš” se nalazi neposredno uz </w:t>
      </w:r>
      <w:r w:rsidR="00E344DF" w:rsidRPr="00D671DB">
        <w:rPr>
          <w:rFonts w:ascii="Arial" w:eastAsia="Times New Roman" w:hAnsi="Arial" w:cs="Arial"/>
          <w:lang w:val="pt-BR"/>
        </w:rPr>
        <w:t xml:space="preserve">magistralni </w:t>
      </w:r>
      <w:r w:rsidRPr="00D671DB">
        <w:rPr>
          <w:rFonts w:ascii="Arial" w:eastAsia="Times New Roman" w:hAnsi="Arial" w:cs="Arial"/>
          <w:lang w:val="pt-BR"/>
        </w:rPr>
        <w:t>put Podgorica-Cetinje.</w:t>
      </w:r>
    </w:p>
    <w:p w14:paraId="375573B7" w14:textId="77777777" w:rsidR="00EC60A0" w:rsidRPr="00D671DB" w:rsidRDefault="00EC60A0" w:rsidP="003D5374">
      <w:pPr>
        <w:shd w:val="clear" w:color="auto" w:fill="FFFFFF"/>
        <w:spacing w:after="0" w:line="240" w:lineRule="auto"/>
        <w:jc w:val="both"/>
        <w:rPr>
          <w:rFonts w:ascii="Arial" w:eastAsia="Times New Roman" w:hAnsi="Arial" w:cs="Arial"/>
          <w:lang w:val="pt-BR"/>
        </w:rPr>
      </w:pPr>
    </w:p>
    <w:p w14:paraId="7AA6C561" w14:textId="077DB7AA" w:rsidR="005270E8" w:rsidRDefault="00EC60A0" w:rsidP="003D5374">
      <w:pPr>
        <w:spacing w:after="0" w:line="240" w:lineRule="auto"/>
        <w:jc w:val="both"/>
        <w:rPr>
          <w:rFonts w:ascii="Arial" w:hAnsi="Arial" w:cs="Arial"/>
          <w:lang w:val="sr-Latn-CS"/>
        </w:rPr>
      </w:pPr>
      <w:r w:rsidRPr="00A312A0">
        <w:rPr>
          <w:rFonts w:ascii="Arial" w:hAnsi="Arial" w:cs="Arial"/>
          <w:lang w:val="sr-Latn-CS"/>
        </w:rPr>
        <w:t xml:space="preserve">Do prostora predmetne pojave </w:t>
      </w:r>
      <w:r>
        <w:rPr>
          <w:rFonts w:ascii="Arial" w:hAnsi="Arial" w:cs="Arial"/>
          <w:lang w:val="sr-Latn-CS"/>
        </w:rPr>
        <w:t>tehničko</w:t>
      </w:r>
      <w:r w:rsidRPr="00A312A0">
        <w:rPr>
          <w:rFonts w:ascii="Arial" w:hAnsi="Arial" w:cs="Arial"/>
          <w:lang w:val="sr-Latn-CS"/>
        </w:rPr>
        <w:t xml:space="preserve">-građevinskog kamena vodi </w:t>
      </w:r>
      <w:r>
        <w:rPr>
          <w:rFonts w:ascii="Arial" w:hAnsi="Arial" w:cs="Arial"/>
          <w:lang w:val="sr-Latn-CS"/>
        </w:rPr>
        <w:t>asfaltni</w:t>
      </w:r>
      <w:r w:rsidRPr="00A312A0">
        <w:rPr>
          <w:rFonts w:ascii="Arial" w:hAnsi="Arial" w:cs="Arial"/>
          <w:lang w:val="sr-Latn-CS"/>
        </w:rPr>
        <w:t xml:space="preserve"> put širine 3 m i dužine </w:t>
      </w:r>
      <w:r>
        <w:rPr>
          <w:rFonts w:ascii="Arial" w:hAnsi="Arial" w:cs="Arial"/>
          <w:lang w:val="sr-Latn-CS"/>
        </w:rPr>
        <w:t xml:space="preserve">od </w:t>
      </w:r>
      <w:r w:rsidRPr="00A312A0">
        <w:rPr>
          <w:rFonts w:ascii="Arial" w:hAnsi="Arial" w:cs="Arial"/>
          <w:lang w:val="sr-Latn-CS"/>
        </w:rPr>
        <w:t xml:space="preserve">oko </w:t>
      </w:r>
      <w:r>
        <w:rPr>
          <w:rFonts w:ascii="Arial" w:hAnsi="Arial" w:cs="Arial"/>
          <w:lang w:val="sr-Latn-CS"/>
        </w:rPr>
        <w:t>3 km, koji spaja ovaj lokalitet sa regionalnim</w:t>
      </w:r>
      <w:r w:rsidRPr="00A312A0">
        <w:rPr>
          <w:rFonts w:ascii="Arial" w:hAnsi="Arial" w:cs="Arial"/>
          <w:lang w:val="sr-Latn-CS"/>
        </w:rPr>
        <w:t xml:space="preserve"> asfaltnim putem </w:t>
      </w:r>
      <w:r>
        <w:rPr>
          <w:rFonts w:ascii="Arial" w:hAnsi="Arial" w:cs="Arial"/>
          <w:lang w:val="sr-Latn-CS"/>
        </w:rPr>
        <w:t xml:space="preserve">Podgorica – </w:t>
      </w:r>
      <w:r w:rsidRPr="00671A14">
        <w:rPr>
          <w:rFonts w:ascii="Arial" w:hAnsi="Arial" w:cs="Arial"/>
          <w:lang w:val="sr-Latn-CS"/>
        </w:rPr>
        <w:t>Cetinje.</w:t>
      </w:r>
      <w:r>
        <w:rPr>
          <w:rFonts w:ascii="Arial" w:hAnsi="Arial" w:cs="Arial"/>
          <w:lang w:val="sr-Latn-CS"/>
        </w:rPr>
        <w:t xml:space="preserve"> </w:t>
      </w:r>
      <w:r w:rsidRPr="00A312A0">
        <w:rPr>
          <w:rFonts w:ascii="Arial" w:hAnsi="Arial" w:cs="Arial"/>
          <w:lang w:val="sr-Latn-CS"/>
        </w:rPr>
        <w:t xml:space="preserve">Na lokalitetu i njegovoj neposrednoj blizini nema stalnih naselja, prve kuće se nalaze </w:t>
      </w:r>
      <w:r>
        <w:rPr>
          <w:rFonts w:ascii="Arial" w:hAnsi="Arial" w:cs="Arial"/>
          <w:lang w:val="sr-Latn-CS"/>
        </w:rPr>
        <w:t xml:space="preserve"> na oko 500 m u naselju Markov do, istočno i u selu Bokovo,</w:t>
      </w:r>
      <w:r w:rsidRPr="00A312A0">
        <w:rPr>
          <w:rFonts w:ascii="Arial" w:hAnsi="Arial" w:cs="Arial"/>
          <w:lang w:val="sr-Latn-CS"/>
        </w:rPr>
        <w:t xml:space="preserve">na oko </w:t>
      </w:r>
      <w:r>
        <w:rPr>
          <w:rFonts w:ascii="Arial" w:hAnsi="Arial" w:cs="Arial"/>
          <w:lang w:val="sr-Latn-CS"/>
        </w:rPr>
        <w:t>1000 m, zapadno od lokaliteta.</w:t>
      </w:r>
      <w:r w:rsidRPr="00A312A0">
        <w:rPr>
          <w:rFonts w:ascii="Arial" w:hAnsi="Arial" w:cs="Arial"/>
          <w:lang w:val="sr-Latn-CS"/>
        </w:rPr>
        <w:t xml:space="preserve"> </w:t>
      </w:r>
      <w:r>
        <w:rPr>
          <w:rFonts w:ascii="Arial" w:hAnsi="Arial" w:cs="Arial"/>
          <w:lang w:val="sr-Latn-CS"/>
        </w:rPr>
        <w:t>Trasa dalekovoda se nalazi</w:t>
      </w:r>
      <w:r w:rsidRPr="00A312A0">
        <w:rPr>
          <w:rFonts w:ascii="Arial" w:hAnsi="Arial" w:cs="Arial"/>
          <w:lang w:val="sr-Latn-CS"/>
        </w:rPr>
        <w:t xml:space="preserve">i </w:t>
      </w:r>
      <w:r>
        <w:rPr>
          <w:rFonts w:ascii="Arial" w:hAnsi="Arial" w:cs="Arial"/>
          <w:lang w:val="sr-Latn-CS"/>
        </w:rPr>
        <w:t>na oko 1000 m zapadno</w:t>
      </w:r>
      <w:r w:rsidRPr="00A312A0">
        <w:rPr>
          <w:rFonts w:ascii="Arial" w:hAnsi="Arial" w:cs="Arial"/>
          <w:lang w:val="sr-Latn-CS"/>
        </w:rPr>
        <w:t xml:space="preserve"> od </w:t>
      </w:r>
      <w:r>
        <w:rPr>
          <w:rFonts w:ascii="Arial" w:hAnsi="Arial" w:cs="Arial"/>
          <w:lang w:val="sr-Latn-CS"/>
        </w:rPr>
        <w:t>predmetnog perspektivnog</w:t>
      </w:r>
      <w:r w:rsidRPr="00A312A0">
        <w:rPr>
          <w:rFonts w:ascii="Arial" w:hAnsi="Arial" w:cs="Arial"/>
          <w:lang w:val="sr-Latn-CS"/>
        </w:rPr>
        <w:t xml:space="preserve"> prostora. </w:t>
      </w:r>
    </w:p>
    <w:p w14:paraId="7CFBB80A" w14:textId="77777777" w:rsidR="003D5374" w:rsidRPr="00EC60A0" w:rsidRDefault="003D5374" w:rsidP="003D5374">
      <w:pPr>
        <w:spacing w:after="0" w:line="240" w:lineRule="auto"/>
        <w:jc w:val="both"/>
        <w:rPr>
          <w:rFonts w:ascii="Arial" w:hAnsi="Arial" w:cs="Arial"/>
          <w:lang w:val="sr-Latn-CS"/>
        </w:rPr>
      </w:pPr>
    </w:p>
    <w:p w14:paraId="28F1D0BC" w14:textId="7CF1CC42" w:rsidR="005270E8" w:rsidRPr="00D671DB" w:rsidRDefault="002C709B" w:rsidP="003D5374">
      <w:pPr>
        <w:shd w:val="clear" w:color="auto" w:fill="FFFFFF"/>
        <w:spacing w:after="0" w:line="240" w:lineRule="auto"/>
        <w:jc w:val="both"/>
        <w:rPr>
          <w:rFonts w:ascii="Arial" w:eastAsia="Times New Roman" w:hAnsi="Arial" w:cs="Arial"/>
          <w:lang w:val="pt-BR"/>
        </w:rPr>
      </w:pPr>
      <w:r w:rsidRPr="00D671DB">
        <w:rPr>
          <w:rFonts w:ascii="Arial" w:eastAsia="Times New Roman" w:hAnsi="Arial" w:cs="Arial"/>
          <w:lang w:val="pt-BR"/>
        </w:rPr>
        <w:t xml:space="preserve">U ekonomskom pogledu, a imajući u vidu postojeću infrastrukturu, ovo područje je, uglavnom, oslonjeno na </w:t>
      </w:r>
      <w:r w:rsidR="00BC1B3C" w:rsidRPr="00D671DB">
        <w:rPr>
          <w:rFonts w:ascii="Arial" w:eastAsia="Times New Roman" w:hAnsi="Arial" w:cs="Arial"/>
          <w:lang w:val="pt-BR"/>
        </w:rPr>
        <w:t>Cetinje</w:t>
      </w:r>
      <w:r w:rsidRPr="00D671DB">
        <w:rPr>
          <w:rFonts w:ascii="Arial" w:eastAsia="Times New Roman" w:hAnsi="Arial" w:cs="Arial"/>
          <w:lang w:val="pt-BR"/>
        </w:rPr>
        <w:t>. Od privrednih djelatnosti u ovom regionu od posebnog značaja su: rudarstvo, poljoprivreda i drvna industrija.</w:t>
      </w:r>
    </w:p>
    <w:p w14:paraId="6B0D5C9C" w14:textId="77777777" w:rsidR="005270E8" w:rsidRPr="00D671DB" w:rsidRDefault="005270E8" w:rsidP="003D5374">
      <w:pPr>
        <w:shd w:val="clear" w:color="auto" w:fill="FFFFFF"/>
        <w:spacing w:after="0" w:line="240" w:lineRule="auto"/>
        <w:jc w:val="both"/>
        <w:rPr>
          <w:rFonts w:ascii="Arial" w:eastAsia="Times New Roman" w:hAnsi="Arial" w:cs="Arial"/>
          <w:lang w:val="pt-BR"/>
        </w:rPr>
      </w:pPr>
    </w:p>
    <w:p w14:paraId="02933CED" w14:textId="79BBC9F4" w:rsidR="00592620" w:rsidRPr="00D671DB" w:rsidRDefault="00FE3DC9" w:rsidP="003D5374">
      <w:pPr>
        <w:shd w:val="clear" w:color="auto" w:fill="FFFFFF"/>
        <w:spacing w:after="0" w:line="240" w:lineRule="auto"/>
        <w:jc w:val="both"/>
        <w:rPr>
          <w:rFonts w:ascii="Arial" w:eastAsia="Times New Roman" w:hAnsi="Arial" w:cs="Arial"/>
          <w:lang w:val="pt-BR"/>
        </w:rPr>
      </w:pPr>
      <w:r w:rsidRPr="00D671DB">
        <w:rPr>
          <w:rFonts w:ascii="Arial" w:eastAsia="Times New Roman" w:hAnsi="Arial" w:cs="Arial"/>
          <w:lang w:val="pt-BR"/>
        </w:rPr>
        <w:t xml:space="preserve">Realizacija koncesije na predmetnom </w:t>
      </w:r>
      <w:r w:rsidR="00BC1B3C" w:rsidRPr="00D671DB">
        <w:rPr>
          <w:rFonts w:ascii="Arial" w:eastAsia="Times New Roman" w:hAnsi="Arial" w:cs="Arial"/>
          <w:lang w:val="pt-BR"/>
        </w:rPr>
        <w:t>lokalitet</w:t>
      </w:r>
      <w:r w:rsidRPr="00D671DB">
        <w:rPr>
          <w:rFonts w:ascii="Arial" w:eastAsia="Times New Roman" w:hAnsi="Arial" w:cs="Arial"/>
          <w:lang w:val="pt-BR"/>
        </w:rPr>
        <w:t>u</w:t>
      </w:r>
      <w:r w:rsidR="002C709B" w:rsidRPr="00D671DB">
        <w:rPr>
          <w:rFonts w:ascii="Arial" w:eastAsia="Times New Roman" w:hAnsi="Arial" w:cs="Arial"/>
          <w:lang w:val="pt-BR"/>
        </w:rPr>
        <w:t xml:space="preserve"> tehničko-građevinskog kamena </w:t>
      </w:r>
      <w:r w:rsidR="00BC1B3C" w:rsidRPr="00D671DB">
        <w:rPr>
          <w:rFonts w:ascii="Arial" w:eastAsia="Times New Roman" w:hAnsi="Arial" w:cs="Arial"/>
          <w:lang w:val="pt-BR"/>
        </w:rPr>
        <w:t>“Milošev krš”</w:t>
      </w:r>
      <w:r w:rsidR="002C709B" w:rsidRPr="00D671DB">
        <w:rPr>
          <w:rFonts w:ascii="Arial" w:eastAsia="Times New Roman" w:hAnsi="Arial" w:cs="Arial"/>
          <w:lang w:val="pt-BR"/>
        </w:rPr>
        <w:t xml:space="preserve">, daje nesumnjiv doprinos u ukupnom razvoju i rješavanju socijalno ekonomskih problema stanovništva u opštini </w:t>
      </w:r>
      <w:r w:rsidR="00BC1B3C" w:rsidRPr="00D671DB">
        <w:rPr>
          <w:rFonts w:ascii="Arial" w:eastAsia="Times New Roman" w:hAnsi="Arial" w:cs="Arial"/>
          <w:lang w:val="pt-BR"/>
        </w:rPr>
        <w:t>Cetinje</w:t>
      </w:r>
      <w:r w:rsidR="002C709B" w:rsidRPr="00D671DB">
        <w:rPr>
          <w:rFonts w:ascii="Arial" w:eastAsia="Times New Roman" w:hAnsi="Arial" w:cs="Arial"/>
          <w:lang w:val="pt-BR"/>
        </w:rPr>
        <w:t>.</w:t>
      </w:r>
    </w:p>
    <w:p w14:paraId="6594F316" w14:textId="602D8A49" w:rsidR="00592620" w:rsidRPr="00D671DB" w:rsidRDefault="00592620" w:rsidP="003D5374">
      <w:pPr>
        <w:spacing w:after="0" w:line="240" w:lineRule="auto"/>
        <w:jc w:val="both"/>
        <w:rPr>
          <w:rFonts w:ascii="Arial" w:hAnsi="Arial" w:cs="Arial"/>
          <w:lang w:val="pt-BR"/>
        </w:rPr>
      </w:pPr>
    </w:p>
    <w:p w14:paraId="4E1F0409" w14:textId="5E4C3154" w:rsidR="005452B8" w:rsidRPr="00D671DB" w:rsidRDefault="005452B8" w:rsidP="003D5374">
      <w:pPr>
        <w:spacing w:after="0" w:line="240" w:lineRule="auto"/>
        <w:jc w:val="both"/>
        <w:rPr>
          <w:rFonts w:ascii="Arial" w:hAnsi="Arial" w:cs="Arial"/>
          <w:b/>
          <w:lang w:val="pt-BR"/>
        </w:rPr>
      </w:pPr>
      <w:r w:rsidRPr="00D671DB">
        <w:rPr>
          <w:rFonts w:ascii="Arial" w:hAnsi="Arial" w:cs="Arial"/>
          <w:b/>
          <w:lang w:val="pt-BR"/>
        </w:rPr>
        <w:t>1.8. Tržište</w:t>
      </w:r>
    </w:p>
    <w:p w14:paraId="442AC28F" w14:textId="77777777" w:rsidR="005452B8" w:rsidRPr="00D671DB" w:rsidRDefault="005452B8" w:rsidP="003D5374">
      <w:pPr>
        <w:spacing w:after="0" w:line="240" w:lineRule="auto"/>
        <w:jc w:val="both"/>
        <w:rPr>
          <w:rFonts w:ascii="Arial" w:hAnsi="Arial" w:cs="Arial"/>
          <w:lang w:val="pt-BR"/>
        </w:rPr>
      </w:pPr>
    </w:p>
    <w:p w14:paraId="514743D3" w14:textId="5FD05C2E" w:rsidR="00197550" w:rsidRPr="00D671DB" w:rsidRDefault="00197550" w:rsidP="003D5374">
      <w:pPr>
        <w:spacing w:after="0" w:line="240" w:lineRule="auto"/>
        <w:jc w:val="both"/>
        <w:rPr>
          <w:rFonts w:ascii="Arial" w:hAnsi="Arial" w:cs="Arial"/>
          <w:lang w:val="pt-BR"/>
        </w:rPr>
      </w:pPr>
      <w:r w:rsidRPr="00D671DB">
        <w:rPr>
          <w:rFonts w:ascii="Arial" w:hAnsi="Arial" w:cs="Arial"/>
          <w:lang w:val="pt-BR"/>
        </w:rPr>
        <w:t>Potražnja, odnosno potrošnja</w:t>
      </w:r>
      <w:r w:rsidR="008A5352" w:rsidRPr="00D671DB">
        <w:rPr>
          <w:rFonts w:ascii="Arial" w:hAnsi="Arial" w:cs="Arial"/>
          <w:lang w:val="pt-BR"/>
        </w:rPr>
        <w:t>,</w:t>
      </w:r>
      <w:r w:rsidRPr="00D671DB">
        <w:rPr>
          <w:rFonts w:ascii="Arial" w:hAnsi="Arial" w:cs="Arial"/>
          <w:lang w:val="pt-BR"/>
        </w:rPr>
        <w:t xml:space="preserve"> pojedinih frakcija kamenog agregata ima trend stalnog porasta, a naročito je izražena potreba za frakcijom 0/4 mm, koja ima i najširu primjenu u građevinarstvu. Ovakav porast potražnje rezultat je konstantnog povećanja izgradnje građevinskih objekata, potreba modernizacije i održavanja postojećih i izgradnje novih saobraćajnica.</w:t>
      </w:r>
    </w:p>
    <w:p w14:paraId="576D36FD" w14:textId="77777777" w:rsidR="003D5374" w:rsidRPr="00D671DB" w:rsidRDefault="003D5374" w:rsidP="003D5374">
      <w:pPr>
        <w:spacing w:after="0" w:line="240" w:lineRule="auto"/>
        <w:jc w:val="both"/>
        <w:rPr>
          <w:rFonts w:ascii="Arial" w:hAnsi="Arial" w:cs="Arial"/>
          <w:lang w:val="pt-BR"/>
        </w:rPr>
      </w:pPr>
    </w:p>
    <w:p w14:paraId="5BBF6880" w14:textId="5CE138C3" w:rsidR="005270E8" w:rsidRPr="00D671DB" w:rsidRDefault="00197550" w:rsidP="003D5374">
      <w:pPr>
        <w:spacing w:after="0" w:line="240" w:lineRule="auto"/>
        <w:jc w:val="both"/>
        <w:rPr>
          <w:rFonts w:ascii="Arial" w:hAnsi="Arial" w:cs="Arial"/>
          <w:lang w:val="pt-BR"/>
        </w:rPr>
      </w:pPr>
      <w:r w:rsidRPr="00D671DB">
        <w:rPr>
          <w:rFonts w:ascii="Arial" w:hAnsi="Arial" w:cs="Arial"/>
          <w:lang w:val="pt-BR"/>
        </w:rPr>
        <w:t xml:space="preserve">Budući da se u širem području </w:t>
      </w:r>
      <w:r w:rsidR="00EC60A0" w:rsidRPr="00D671DB">
        <w:rPr>
          <w:rFonts w:ascii="Arial" w:hAnsi="Arial" w:cs="Arial"/>
          <w:lang w:val="pt-BR"/>
        </w:rPr>
        <w:t>Cetinja</w:t>
      </w:r>
      <w:r w:rsidRPr="00D671DB">
        <w:rPr>
          <w:rFonts w:ascii="Arial" w:hAnsi="Arial" w:cs="Arial"/>
          <w:lang w:val="pt-BR"/>
        </w:rPr>
        <w:t>, u zadnje vrijeme, intenzivno gradi (kako stambeni objekti tako i putna i ostala komunalna infrastruktura), postoji mogućnost konstantne tražnje ove vrste građevinskog materijala.</w:t>
      </w:r>
      <w:r w:rsidR="008A5352" w:rsidRPr="00D671DB">
        <w:rPr>
          <w:rFonts w:ascii="Arial" w:hAnsi="Arial" w:cs="Arial"/>
          <w:lang w:val="pt-BR"/>
        </w:rPr>
        <w:t xml:space="preserve"> </w:t>
      </w:r>
    </w:p>
    <w:p w14:paraId="474B74DE" w14:textId="77777777" w:rsidR="00EC60A0" w:rsidRPr="00D671DB" w:rsidRDefault="00EC60A0" w:rsidP="003D5374">
      <w:pPr>
        <w:spacing w:after="0" w:line="240" w:lineRule="auto"/>
        <w:jc w:val="both"/>
        <w:rPr>
          <w:rFonts w:ascii="Arial" w:hAnsi="Arial" w:cs="Arial"/>
          <w:lang w:val="pt-BR"/>
        </w:rPr>
      </w:pPr>
    </w:p>
    <w:p w14:paraId="10BFBC5F" w14:textId="343F806A" w:rsidR="00EC60A0" w:rsidRPr="00D671DB" w:rsidRDefault="00EC60A0" w:rsidP="003D5374">
      <w:pPr>
        <w:spacing w:after="0" w:line="240" w:lineRule="auto"/>
        <w:jc w:val="both"/>
        <w:rPr>
          <w:rFonts w:ascii="Arial" w:hAnsi="Arial" w:cs="Arial"/>
          <w:lang w:val="pt-BR"/>
        </w:rPr>
      </w:pPr>
      <w:r w:rsidRPr="00C0360B">
        <w:rPr>
          <w:rFonts w:ascii="Arial" w:hAnsi="Arial" w:cs="Arial"/>
          <w:lang w:val="sr-Latn-CS"/>
        </w:rPr>
        <w:t xml:space="preserve">Na području </w:t>
      </w:r>
      <w:r>
        <w:rPr>
          <w:rFonts w:ascii="Arial" w:hAnsi="Arial" w:cs="Arial"/>
          <w:lang w:val="sr-Latn-CS"/>
        </w:rPr>
        <w:t>opštine</w:t>
      </w:r>
      <w:r w:rsidRPr="00C0360B">
        <w:rPr>
          <w:rFonts w:ascii="Arial" w:hAnsi="Arial" w:cs="Arial"/>
          <w:lang w:val="sr-Latn-CS"/>
        </w:rPr>
        <w:t xml:space="preserve"> </w:t>
      </w:r>
      <w:r>
        <w:rPr>
          <w:rFonts w:ascii="Arial" w:hAnsi="Arial" w:cs="Arial"/>
          <w:lang w:val="sr-Latn-CS"/>
        </w:rPr>
        <w:t>Cetinje</w:t>
      </w:r>
      <w:r w:rsidRPr="00C0360B">
        <w:rPr>
          <w:rFonts w:ascii="Arial" w:hAnsi="Arial" w:cs="Arial"/>
          <w:lang w:val="sr-Latn-CS"/>
        </w:rPr>
        <w:t xml:space="preserve"> p</w:t>
      </w:r>
      <w:r w:rsidRPr="00D671DB">
        <w:rPr>
          <w:rFonts w:ascii="Arial" w:hAnsi="Arial" w:cs="Arial"/>
          <w:lang w:val="pt-BR"/>
        </w:rPr>
        <w:t>rimarni kameni agregati (tehničko-građevinski kamen) utvrđeni su sa znatnim rezervama, na više lokaliteta. Posebno treba istaći da na prostoru opštine Cetinje ima jedan zaključen Ugovor o koncesiji za eksploataciju tehničko-građevinskog kamena</w:t>
      </w:r>
      <w:r w:rsidR="00B6492B" w:rsidRPr="00D671DB">
        <w:rPr>
          <w:rFonts w:ascii="Arial" w:hAnsi="Arial" w:cs="Arial"/>
          <w:lang w:val="pt-BR"/>
        </w:rPr>
        <w:t xml:space="preserve"> koji još uvijek nije počeo eksploataciju. </w:t>
      </w:r>
      <w:r w:rsidRPr="00D671DB">
        <w:rPr>
          <w:rFonts w:ascii="Arial" w:hAnsi="Arial" w:cs="Arial"/>
          <w:lang w:val="pt-BR"/>
        </w:rPr>
        <w:t>Davanjem novih koncesija obezbjediće se tržišna konkurencija</w:t>
      </w:r>
      <w:r w:rsidR="00FE3DC9" w:rsidRPr="00D671DB">
        <w:rPr>
          <w:rFonts w:ascii="Arial" w:hAnsi="Arial" w:cs="Arial"/>
          <w:lang w:val="pt-BR"/>
        </w:rPr>
        <w:t>,</w:t>
      </w:r>
      <w:r w:rsidRPr="00D671DB">
        <w:rPr>
          <w:rFonts w:ascii="Arial" w:hAnsi="Arial" w:cs="Arial"/>
          <w:lang w:val="pt-BR"/>
        </w:rPr>
        <w:t xml:space="preserve"> kao podsticaj razvoja privrednih aktivnosti u Opštini Cetinje.</w:t>
      </w:r>
    </w:p>
    <w:p w14:paraId="7B1F9D76" w14:textId="06E8B4DA" w:rsidR="005452B8" w:rsidRPr="00D671DB" w:rsidRDefault="005452B8" w:rsidP="003D5374">
      <w:pPr>
        <w:spacing w:after="0" w:line="240" w:lineRule="auto"/>
        <w:jc w:val="both"/>
        <w:rPr>
          <w:rFonts w:ascii="Arial" w:hAnsi="Arial" w:cs="Arial"/>
          <w:lang w:val="pt-BR"/>
        </w:rPr>
      </w:pPr>
    </w:p>
    <w:p w14:paraId="286EC1C6" w14:textId="7A58F953" w:rsidR="005452B8" w:rsidRPr="00D671DB" w:rsidRDefault="005452B8" w:rsidP="003D5374">
      <w:pPr>
        <w:spacing w:after="0" w:line="240" w:lineRule="auto"/>
        <w:jc w:val="both"/>
        <w:rPr>
          <w:rFonts w:ascii="Arial" w:hAnsi="Arial" w:cs="Arial"/>
          <w:lang w:val="pt-BR"/>
        </w:rPr>
      </w:pPr>
      <w:r w:rsidRPr="00D671DB">
        <w:rPr>
          <w:rFonts w:ascii="Arial" w:hAnsi="Arial" w:cs="Arial"/>
          <w:b/>
          <w:lang w:val="pt-BR"/>
        </w:rPr>
        <w:t xml:space="preserve">1.9. </w:t>
      </w:r>
      <w:r w:rsidRPr="00D671DB">
        <w:rPr>
          <w:rFonts w:ascii="Arial" w:hAnsi="Arial" w:cs="Arial"/>
          <w:b/>
          <w:bCs/>
          <w:lang w:val="pt-BR"/>
        </w:rPr>
        <w:t>Dosadašnja geološka istraživanja, rezerve i kvalitet mineralne sirovine</w:t>
      </w:r>
    </w:p>
    <w:p w14:paraId="4261D83E" w14:textId="77777777" w:rsidR="005452B8" w:rsidRPr="00D671DB" w:rsidRDefault="005452B8" w:rsidP="003D5374">
      <w:pPr>
        <w:spacing w:after="0" w:line="240" w:lineRule="auto"/>
        <w:jc w:val="both"/>
        <w:rPr>
          <w:rFonts w:ascii="Arial" w:hAnsi="Arial" w:cs="Arial"/>
          <w:lang w:val="pt-BR"/>
        </w:rPr>
      </w:pPr>
    </w:p>
    <w:p w14:paraId="0C25C337" w14:textId="77777777" w:rsidR="00E344DF" w:rsidRPr="00A312A0" w:rsidRDefault="00E344DF" w:rsidP="003D5374">
      <w:pPr>
        <w:spacing w:after="0" w:line="240" w:lineRule="auto"/>
        <w:jc w:val="both"/>
        <w:rPr>
          <w:rFonts w:ascii="Arial" w:hAnsi="Arial" w:cs="Arial"/>
          <w:lang w:val="sr-Latn-CS"/>
        </w:rPr>
      </w:pPr>
      <w:r w:rsidRPr="00A312A0">
        <w:rPr>
          <w:rFonts w:ascii="Arial" w:hAnsi="Arial" w:cs="Arial"/>
          <w:lang w:val="sr-Latn-CS"/>
        </w:rPr>
        <w:t>Pre</w:t>
      </w:r>
      <w:r>
        <w:rPr>
          <w:rFonts w:ascii="Arial" w:hAnsi="Arial" w:cs="Arial"/>
          <w:lang w:val="sr-Latn-CS"/>
        </w:rPr>
        <w:t xml:space="preserve">ma podacima </w:t>
      </w:r>
      <w:r w:rsidRPr="00A312A0">
        <w:rPr>
          <w:rFonts w:ascii="Arial" w:hAnsi="Arial" w:cs="Arial"/>
          <w:lang w:val="sr-Latn-CS"/>
        </w:rPr>
        <w:t xml:space="preserve">OGK SFRJ, 1:100 000, list </w:t>
      </w:r>
      <w:r>
        <w:rPr>
          <w:rFonts w:ascii="Arial" w:hAnsi="Arial" w:cs="Arial"/>
          <w:lang w:val="sr-Latn-CS"/>
        </w:rPr>
        <w:t>Kotor</w:t>
      </w:r>
      <w:r w:rsidRPr="00A312A0">
        <w:rPr>
          <w:rFonts w:ascii="Arial" w:hAnsi="Arial" w:cs="Arial"/>
          <w:lang w:val="sr-Latn-CS"/>
        </w:rPr>
        <w:t xml:space="preserve">, </w:t>
      </w:r>
      <w:r>
        <w:rPr>
          <w:rFonts w:ascii="Arial" w:hAnsi="Arial" w:cs="Arial"/>
          <w:lang w:val="sr-Latn-CS"/>
        </w:rPr>
        <w:t>teren lokaliteta</w:t>
      </w:r>
      <w:r w:rsidRPr="00A312A0">
        <w:rPr>
          <w:rFonts w:ascii="Arial" w:hAnsi="Arial" w:cs="Arial"/>
          <w:lang w:val="sr-Latn-CS"/>
        </w:rPr>
        <w:t xml:space="preserve"> “</w:t>
      </w:r>
      <w:r>
        <w:rPr>
          <w:rFonts w:ascii="Arial" w:hAnsi="Arial" w:cs="Arial"/>
          <w:lang w:val="sr-Latn-CS"/>
        </w:rPr>
        <w:t>Milošev krš</w:t>
      </w:r>
      <w:r w:rsidRPr="00A312A0">
        <w:rPr>
          <w:rFonts w:ascii="Arial" w:hAnsi="Arial" w:cs="Arial"/>
          <w:lang w:val="sr-Latn-CS"/>
        </w:rPr>
        <w:t xml:space="preserve">” </w:t>
      </w:r>
      <w:r>
        <w:rPr>
          <w:rFonts w:ascii="Arial" w:hAnsi="Arial" w:cs="Arial"/>
          <w:lang w:val="sr-Latn-CS"/>
        </w:rPr>
        <w:t>izgrađuju gornjotrijaski, svijetlo smeđi krečnjaci, djelimično prekristalisali, debelo slojeviti do bankoviti, na površini karstifikovani u velikoj mjeri.</w:t>
      </w:r>
      <w:r w:rsidRPr="00A312A0">
        <w:rPr>
          <w:rFonts w:ascii="Arial" w:hAnsi="Arial" w:cs="Arial"/>
          <w:lang w:val="sr-Latn-CS"/>
        </w:rPr>
        <w:t xml:space="preserve"> </w:t>
      </w:r>
      <w:r>
        <w:rPr>
          <w:rFonts w:ascii="Arial" w:hAnsi="Arial" w:cs="Arial"/>
          <w:lang w:val="sr-Latn-CS"/>
        </w:rPr>
        <w:t>P</w:t>
      </w:r>
      <w:r w:rsidRPr="00A312A0">
        <w:rPr>
          <w:rFonts w:ascii="Arial" w:hAnsi="Arial" w:cs="Arial"/>
          <w:lang w:val="sr-Latn-CS"/>
        </w:rPr>
        <w:t xml:space="preserve">rostor pojave </w:t>
      </w:r>
      <w:r>
        <w:rPr>
          <w:rFonts w:ascii="Arial" w:hAnsi="Arial" w:cs="Arial"/>
          <w:lang w:val="sr-Latn-CS"/>
        </w:rPr>
        <w:t>tehničko</w:t>
      </w:r>
      <w:r w:rsidRPr="00A312A0">
        <w:rPr>
          <w:rFonts w:ascii="Arial" w:hAnsi="Arial" w:cs="Arial"/>
          <w:lang w:val="sr-Latn-CS"/>
        </w:rPr>
        <w:t>-građevinskog kamena “</w:t>
      </w:r>
      <w:r>
        <w:rPr>
          <w:rFonts w:ascii="Arial" w:hAnsi="Arial" w:cs="Arial"/>
          <w:lang w:val="sr-Latn-CS"/>
        </w:rPr>
        <w:t>Milošev krš” se</w:t>
      </w:r>
      <w:r w:rsidRPr="00A312A0">
        <w:rPr>
          <w:rFonts w:ascii="Arial" w:hAnsi="Arial" w:cs="Arial"/>
          <w:lang w:val="sr-Latn-CS"/>
        </w:rPr>
        <w:t xml:space="preserve"> nalazi na relativno povoljnom terenu sa aspekta geoloških faktora i zbog svojih prirodnih karakteristika može se smatrati kao teren pogodan za prikupljanje geoloških i inžinjersko-geoloških podataka. Sa aspekta primjene tehničko-tehnoloških rješenja otvaranja ležišta i buduće eksploatacije, morfološke karakteristike  prostora omogućavaju </w:t>
      </w:r>
      <w:r w:rsidRPr="00A312A0">
        <w:rPr>
          <w:rFonts w:ascii="Arial" w:hAnsi="Arial" w:cs="Arial"/>
          <w:lang w:val="sr-Latn-CS"/>
        </w:rPr>
        <w:lastRenderedPageBreak/>
        <w:t xml:space="preserve">tehnički izvodljiva i racionalna rješenja. Svi navedeni parametri će biti analizirani i definisani u toku izrade odgovarajuće tehničke  dokumentacije. Posebna pažnja mora biti usmjerena na zaštitu životne sredine, i pored toga što planirana vrsta istraživanja i eksploatacije ove mineralne sirovine traži primjenu modernih tehničkih sredstava i mehanizacije, čiji je nepovoljni uticaj na životnu sredinu relativno mali. </w:t>
      </w:r>
    </w:p>
    <w:p w14:paraId="2DD33D47" w14:textId="77777777" w:rsidR="007E6D9B" w:rsidRPr="00E56DC2" w:rsidRDefault="007E6D9B" w:rsidP="00801BA0">
      <w:pPr>
        <w:spacing w:after="0" w:line="240" w:lineRule="auto"/>
        <w:jc w:val="both"/>
        <w:rPr>
          <w:rFonts w:ascii="Arial" w:hAnsi="Arial" w:cs="Arial"/>
          <w:i/>
          <w:u w:val="single"/>
          <w:lang w:val="pl-PL"/>
        </w:rPr>
      </w:pPr>
    </w:p>
    <w:p w14:paraId="34B561B6" w14:textId="1D73D8E8" w:rsidR="000B353B" w:rsidRPr="00E56DC2" w:rsidRDefault="000B353B" w:rsidP="003D5374">
      <w:pPr>
        <w:spacing w:after="0" w:line="240" w:lineRule="auto"/>
        <w:jc w:val="both"/>
        <w:rPr>
          <w:rFonts w:ascii="Arial" w:hAnsi="Arial" w:cs="Arial"/>
          <w:i/>
          <w:u w:val="single"/>
          <w:lang w:val="pl-PL"/>
        </w:rPr>
      </w:pPr>
      <w:r w:rsidRPr="00E56DC2">
        <w:rPr>
          <w:rFonts w:ascii="Arial" w:hAnsi="Arial" w:cs="Arial"/>
          <w:i/>
          <w:u w:val="single"/>
          <w:lang w:val="pl-PL"/>
        </w:rPr>
        <w:t>Rezerve mineralne sirovine</w:t>
      </w:r>
    </w:p>
    <w:p w14:paraId="2D7264C0" w14:textId="77777777" w:rsidR="00BF3B65" w:rsidRPr="00E56DC2" w:rsidRDefault="00BF3B65" w:rsidP="003D5374">
      <w:pPr>
        <w:spacing w:after="0" w:line="240" w:lineRule="auto"/>
        <w:jc w:val="both"/>
        <w:rPr>
          <w:rFonts w:ascii="Arial" w:hAnsi="Arial" w:cs="Arial"/>
          <w:i/>
          <w:u w:val="single"/>
          <w:lang w:val="pl-PL"/>
        </w:rPr>
      </w:pPr>
    </w:p>
    <w:p w14:paraId="44F18934" w14:textId="2A2F1A9C" w:rsidR="000956DB" w:rsidRPr="00D671DB" w:rsidRDefault="000956DB" w:rsidP="003D5374">
      <w:pPr>
        <w:pStyle w:val="BodyText"/>
        <w:spacing w:after="0" w:line="240" w:lineRule="auto"/>
        <w:jc w:val="both"/>
        <w:rPr>
          <w:rFonts w:ascii="Arial" w:hAnsi="Arial" w:cs="Arial"/>
          <w:sz w:val="22"/>
          <w:szCs w:val="22"/>
          <w:lang w:val="pt-BR"/>
        </w:rPr>
      </w:pPr>
      <w:r w:rsidRPr="00D671DB">
        <w:rPr>
          <w:rFonts w:ascii="Arial" w:hAnsi="Arial" w:cs="Arial"/>
          <w:sz w:val="22"/>
          <w:szCs w:val="22"/>
          <w:lang w:val="pt-BR"/>
        </w:rPr>
        <w:t>S obzirom da nisu vršena detaljna geološka istraživanja na ovom prostoru</w:t>
      </w:r>
      <w:r w:rsidRPr="00D14F43">
        <w:rPr>
          <w:rFonts w:ascii="Arial" w:hAnsi="Arial" w:cs="Arial"/>
          <w:sz w:val="22"/>
          <w:szCs w:val="22"/>
          <w:lang w:val="sr-Latn-ME"/>
        </w:rPr>
        <w:t>,</w:t>
      </w:r>
      <w:r w:rsidRPr="00D671DB">
        <w:rPr>
          <w:rFonts w:ascii="Arial" w:hAnsi="Arial" w:cs="Arial"/>
          <w:sz w:val="22"/>
          <w:szCs w:val="22"/>
          <w:lang w:val="pt-BR"/>
        </w:rPr>
        <w:t xml:space="preserve"> nema podataka o rezervama i kvalitetu tehničko-građevinskog kamena. Može se konstatovati, na osnovu raspoloživih podataka, da se predmetna lokacija nalazi na povoljnom terenu sa aspekta geoloških faktora, a zbog svojih prirodnih karakteristika, može se smatrati kao teren povoljan za detaljna geološka istraživanja i eksploataciju tehničko-građevinskog kamena. </w:t>
      </w:r>
    </w:p>
    <w:p w14:paraId="6C1CA910" w14:textId="77777777" w:rsidR="000956DB" w:rsidRPr="00D671DB" w:rsidRDefault="000956DB" w:rsidP="003D5374">
      <w:pPr>
        <w:pStyle w:val="BodyText"/>
        <w:spacing w:after="0" w:line="240" w:lineRule="auto"/>
        <w:jc w:val="both"/>
        <w:rPr>
          <w:rFonts w:ascii="Arial" w:hAnsi="Arial" w:cs="Arial"/>
          <w:sz w:val="22"/>
          <w:szCs w:val="22"/>
          <w:lang w:val="pt-BR"/>
        </w:rPr>
      </w:pPr>
    </w:p>
    <w:p w14:paraId="3F6F1ED2" w14:textId="46523EDD" w:rsidR="00795CCE" w:rsidRDefault="00E344DF" w:rsidP="003D5374">
      <w:pPr>
        <w:spacing w:after="0" w:line="240" w:lineRule="auto"/>
        <w:jc w:val="both"/>
        <w:rPr>
          <w:rFonts w:ascii="Arial" w:hAnsi="Arial" w:cs="Arial"/>
          <w:lang w:val="sr-Latn-CS"/>
        </w:rPr>
      </w:pPr>
      <w:r>
        <w:rPr>
          <w:rFonts w:ascii="Arial" w:hAnsi="Arial" w:cs="Arial"/>
          <w:lang w:val="sr-Latn-CS"/>
        </w:rPr>
        <w:t>S o</w:t>
      </w:r>
      <w:r w:rsidRPr="00A312A0">
        <w:rPr>
          <w:rFonts w:ascii="Arial" w:hAnsi="Arial" w:cs="Arial"/>
          <w:lang w:val="sr-Latn-CS"/>
        </w:rPr>
        <w:t>bzirom na veličinu prostora</w:t>
      </w:r>
      <w:r>
        <w:rPr>
          <w:rFonts w:ascii="Arial" w:hAnsi="Arial" w:cs="Arial"/>
          <w:lang w:val="sr-Latn-CS"/>
        </w:rPr>
        <w:t xml:space="preserve"> </w:t>
      </w:r>
      <w:r w:rsidRPr="00511C22">
        <w:rPr>
          <w:rFonts w:ascii="Arial" w:hAnsi="Arial" w:cs="Arial"/>
          <w:lang w:val="sr-Latn-CS"/>
        </w:rPr>
        <w:t>(60 000 m</w:t>
      </w:r>
      <w:r w:rsidRPr="00511C22">
        <w:rPr>
          <w:rFonts w:ascii="Arial" w:hAnsi="Arial" w:cs="Arial"/>
          <w:vertAlign w:val="superscript"/>
          <w:lang w:val="sr-Latn-CS"/>
        </w:rPr>
        <w:t>2</w:t>
      </w:r>
      <w:r w:rsidRPr="00511C22">
        <w:rPr>
          <w:rFonts w:ascii="Arial" w:hAnsi="Arial" w:cs="Arial"/>
          <w:lang w:val="sr-Latn-CS"/>
        </w:rPr>
        <w:t xml:space="preserve">) </w:t>
      </w:r>
      <w:r w:rsidRPr="00A312A0">
        <w:rPr>
          <w:rFonts w:ascii="Arial" w:hAnsi="Arial" w:cs="Arial"/>
          <w:lang w:val="sr-Latn-CS"/>
        </w:rPr>
        <w:t>i na morfološke karakteristike</w:t>
      </w:r>
      <w:r>
        <w:rPr>
          <w:rFonts w:ascii="Arial" w:hAnsi="Arial" w:cs="Arial"/>
          <w:lang w:val="sr-Latn-CS"/>
        </w:rPr>
        <w:t xml:space="preserve"> (</w:t>
      </w:r>
      <w:r w:rsidRPr="00A312A0">
        <w:rPr>
          <w:rFonts w:ascii="Arial" w:hAnsi="Arial" w:cs="Arial"/>
          <w:lang w:val="sr-Latn-CS"/>
        </w:rPr>
        <w:t xml:space="preserve">razlika terena od </w:t>
      </w:r>
      <w:r>
        <w:rPr>
          <w:rFonts w:ascii="Arial" w:hAnsi="Arial" w:cs="Arial"/>
          <w:lang w:val="sr-Latn-CS"/>
        </w:rPr>
        <w:t xml:space="preserve">560 do 590 </w:t>
      </w:r>
      <w:r w:rsidRPr="00A312A0">
        <w:rPr>
          <w:rFonts w:ascii="Arial" w:hAnsi="Arial" w:cs="Arial"/>
          <w:lang w:val="sr-Latn-CS"/>
        </w:rPr>
        <w:t>m.n.m</w:t>
      </w:r>
      <w:r>
        <w:rPr>
          <w:rFonts w:ascii="Arial" w:hAnsi="Arial" w:cs="Arial"/>
          <w:lang w:val="sr-Latn-CS"/>
        </w:rPr>
        <w:t>)</w:t>
      </w:r>
      <w:r w:rsidRPr="006E7343">
        <w:rPr>
          <w:rFonts w:ascii="Arial" w:hAnsi="Arial" w:cs="Arial"/>
          <w:lang w:val="sr-Latn-CS"/>
        </w:rPr>
        <w:t xml:space="preserve">, procjenjene geološke rezerve na prostoru pojave </w:t>
      </w:r>
      <w:r>
        <w:rPr>
          <w:rFonts w:ascii="Arial" w:hAnsi="Arial" w:cs="Arial"/>
          <w:lang w:val="sr-Latn-CS"/>
        </w:rPr>
        <w:t>tehničko</w:t>
      </w:r>
      <w:r w:rsidRPr="006E7343">
        <w:rPr>
          <w:rFonts w:ascii="Arial" w:hAnsi="Arial" w:cs="Arial"/>
          <w:lang w:val="sr-Latn-CS"/>
        </w:rPr>
        <w:t>-građevinskog kamena “</w:t>
      </w:r>
      <w:r>
        <w:rPr>
          <w:rFonts w:ascii="Arial" w:hAnsi="Arial" w:cs="Arial"/>
          <w:lang w:val="sr-Latn-CS"/>
        </w:rPr>
        <w:t>Milošev krš</w:t>
      </w:r>
      <w:r w:rsidRPr="006E7343">
        <w:rPr>
          <w:rFonts w:ascii="Arial" w:hAnsi="Arial" w:cs="Arial"/>
          <w:lang w:val="sr-Latn-CS"/>
        </w:rPr>
        <w:t xml:space="preserve">” su oko </w:t>
      </w:r>
      <w:r>
        <w:rPr>
          <w:rFonts w:ascii="Arial" w:hAnsi="Arial" w:cs="Arial"/>
          <w:lang w:val="sr-Latn-CS"/>
        </w:rPr>
        <w:t xml:space="preserve">1 500 000 </w:t>
      </w:r>
      <w:r w:rsidRPr="006E7343">
        <w:rPr>
          <w:rFonts w:ascii="Arial" w:hAnsi="Arial" w:cs="Arial"/>
          <w:lang w:val="sr-Latn-CS"/>
        </w:rPr>
        <w:t>m</w:t>
      </w:r>
      <w:r w:rsidRPr="006E7343">
        <w:rPr>
          <w:rFonts w:ascii="Arial" w:hAnsi="Arial" w:cs="Arial"/>
          <w:vertAlign w:val="superscript"/>
          <w:lang w:val="sr-Latn-CS"/>
        </w:rPr>
        <w:t>3</w:t>
      </w:r>
      <w:r>
        <w:rPr>
          <w:rFonts w:ascii="Arial" w:hAnsi="Arial" w:cs="Arial"/>
          <w:lang w:val="sr-Latn-CS"/>
        </w:rPr>
        <w:t>.</w:t>
      </w:r>
    </w:p>
    <w:p w14:paraId="5C428FA8" w14:textId="77777777" w:rsidR="00E47BDE" w:rsidRPr="00E344DF" w:rsidRDefault="00E47BDE" w:rsidP="003D5374">
      <w:pPr>
        <w:spacing w:after="0" w:line="240" w:lineRule="auto"/>
        <w:jc w:val="both"/>
        <w:rPr>
          <w:rFonts w:ascii="Arial" w:hAnsi="Arial" w:cs="Arial"/>
          <w:i/>
          <w:lang w:val="sr-Latn-CS"/>
        </w:rPr>
      </w:pPr>
    </w:p>
    <w:p w14:paraId="39911E18" w14:textId="24FE2938" w:rsidR="000B353B" w:rsidRPr="00E56DC2" w:rsidRDefault="000B353B" w:rsidP="003D5374">
      <w:pPr>
        <w:spacing w:after="0" w:line="240" w:lineRule="auto"/>
        <w:jc w:val="both"/>
        <w:rPr>
          <w:rFonts w:ascii="Arial" w:hAnsi="Arial" w:cs="Arial"/>
          <w:i/>
          <w:u w:val="single"/>
          <w:lang w:val="pl-PL"/>
        </w:rPr>
      </w:pPr>
      <w:r w:rsidRPr="00E56DC2">
        <w:rPr>
          <w:rFonts w:ascii="Arial" w:hAnsi="Arial" w:cs="Arial"/>
          <w:i/>
          <w:u w:val="single"/>
          <w:lang w:val="pl-PL"/>
        </w:rPr>
        <w:t>Kvalitet mineralne sirovine</w:t>
      </w:r>
    </w:p>
    <w:p w14:paraId="0F3C533C" w14:textId="77777777" w:rsidR="00BF3B65" w:rsidRPr="00E56DC2" w:rsidRDefault="00BF3B65" w:rsidP="003D5374">
      <w:pPr>
        <w:spacing w:after="0" w:line="240" w:lineRule="auto"/>
        <w:jc w:val="both"/>
        <w:rPr>
          <w:rFonts w:ascii="Arial" w:hAnsi="Arial" w:cs="Arial"/>
          <w:i/>
          <w:u w:val="single"/>
          <w:lang w:val="pl-PL"/>
        </w:rPr>
      </w:pPr>
    </w:p>
    <w:p w14:paraId="33B6E319" w14:textId="77777777" w:rsidR="00E344DF" w:rsidRPr="00A312A0" w:rsidRDefault="00E344DF" w:rsidP="003D5374">
      <w:pPr>
        <w:spacing w:after="0" w:line="240" w:lineRule="auto"/>
        <w:jc w:val="both"/>
        <w:rPr>
          <w:rFonts w:ascii="Arial" w:hAnsi="Arial" w:cs="Arial"/>
          <w:i/>
          <w:lang w:val="sr-Latn-CS"/>
        </w:rPr>
      </w:pPr>
      <w:r>
        <w:rPr>
          <w:rFonts w:ascii="Arial" w:hAnsi="Arial" w:cs="Arial"/>
        </w:rPr>
        <w:t>U</w:t>
      </w:r>
      <w:r w:rsidRPr="00D671DB">
        <w:rPr>
          <w:rFonts w:ascii="Arial" w:hAnsi="Arial" w:cs="Arial"/>
          <w:lang w:val="sr-Latn-CS"/>
        </w:rPr>
        <w:t xml:space="preserve"> </w:t>
      </w:r>
      <w:r>
        <w:rPr>
          <w:rFonts w:ascii="Arial" w:hAnsi="Arial" w:cs="Arial"/>
        </w:rPr>
        <w:t>toku</w:t>
      </w:r>
      <w:r w:rsidRPr="00D671DB">
        <w:rPr>
          <w:rFonts w:ascii="Arial" w:hAnsi="Arial" w:cs="Arial"/>
          <w:lang w:val="sr-Latn-CS"/>
        </w:rPr>
        <w:t xml:space="preserve"> </w:t>
      </w:r>
      <w:r>
        <w:rPr>
          <w:rFonts w:ascii="Arial" w:hAnsi="Arial" w:cs="Arial"/>
        </w:rPr>
        <w:t>terenskih</w:t>
      </w:r>
      <w:r w:rsidRPr="00D671DB">
        <w:rPr>
          <w:rFonts w:ascii="Arial" w:hAnsi="Arial" w:cs="Arial"/>
          <w:lang w:val="sr-Latn-CS"/>
        </w:rPr>
        <w:t xml:space="preserve"> </w:t>
      </w:r>
      <w:r>
        <w:rPr>
          <w:rFonts w:ascii="Arial" w:hAnsi="Arial" w:cs="Arial"/>
        </w:rPr>
        <w:t>aktivnosti</w:t>
      </w:r>
      <w:r w:rsidRPr="00D671DB">
        <w:rPr>
          <w:rFonts w:ascii="Arial" w:hAnsi="Arial" w:cs="Arial"/>
          <w:lang w:val="sr-Latn-CS"/>
        </w:rPr>
        <w:t xml:space="preserve"> </w:t>
      </w:r>
      <w:r>
        <w:rPr>
          <w:rFonts w:ascii="Arial" w:hAnsi="Arial" w:cs="Arial"/>
        </w:rPr>
        <w:t>u</w:t>
      </w:r>
      <w:r w:rsidRPr="00D671DB">
        <w:rPr>
          <w:rFonts w:ascii="Arial" w:hAnsi="Arial" w:cs="Arial"/>
          <w:lang w:val="sr-Latn-CS"/>
        </w:rPr>
        <w:t xml:space="preserve"> </w:t>
      </w:r>
      <w:r>
        <w:rPr>
          <w:rFonts w:ascii="Arial" w:hAnsi="Arial" w:cs="Arial"/>
        </w:rPr>
        <w:t>toku</w:t>
      </w:r>
      <w:r w:rsidRPr="00D671DB">
        <w:rPr>
          <w:rFonts w:ascii="Arial" w:hAnsi="Arial" w:cs="Arial"/>
          <w:lang w:val="sr-Latn-CS"/>
        </w:rPr>
        <w:t xml:space="preserve"> 2019. </w:t>
      </w:r>
      <w:r>
        <w:rPr>
          <w:rFonts w:ascii="Arial" w:hAnsi="Arial" w:cs="Arial"/>
        </w:rPr>
        <w:t>godine</w:t>
      </w:r>
      <w:r w:rsidRPr="00D671DB">
        <w:rPr>
          <w:rFonts w:ascii="Arial" w:hAnsi="Arial" w:cs="Arial"/>
          <w:lang w:val="sr-Latn-CS"/>
        </w:rPr>
        <w:t xml:space="preserve">, </w:t>
      </w:r>
      <w:r>
        <w:rPr>
          <w:rFonts w:ascii="Arial" w:hAnsi="Arial" w:cs="Arial"/>
        </w:rPr>
        <w:t>u</w:t>
      </w:r>
      <w:r w:rsidRPr="00D671DB">
        <w:rPr>
          <w:rFonts w:ascii="Arial" w:hAnsi="Arial" w:cs="Arial"/>
          <w:lang w:val="sr-Latn-CS"/>
        </w:rPr>
        <w:t xml:space="preserve"> </w:t>
      </w:r>
      <w:r>
        <w:rPr>
          <w:rFonts w:ascii="Arial" w:hAnsi="Arial" w:cs="Arial"/>
        </w:rPr>
        <w:t>okviru</w:t>
      </w:r>
      <w:r w:rsidRPr="00D671DB">
        <w:rPr>
          <w:rFonts w:ascii="Arial" w:hAnsi="Arial" w:cs="Arial"/>
          <w:lang w:val="sr-Latn-CS"/>
        </w:rPr>
        <w:t xml:space="preserve"> </w:t>
      </w:r>
      <w:r>
        <w:rPr>
          <w:rFonts w:ascii="Arial" w:hAnsi="Arial" w:cs="Arial"/>
        </w:rPr>
        <w:t>projekata</w:t>
      </w:r>
      <w:r w:rsidRPr="00D671DB">
        <w:rPr>
          <w:rFonts w:ascii="Arial" w:hAnsi="Arial" w:cs="Arial"/>
          <w:lang w:val="sr-Latn-CS"/>
        </w:rPr>
        <w:t xml:space="preserve"> “</w:t>
      </w:r>
      <w:r w:rsidRPr="00A26CE1">
        <w:rPr>
          <w:rFonts w:ascii="Arial" w:hAnsi="Arial" w:cs="Arial"/>
        </w:rPr>
        <w:t>Prikupljanje</w:t>
      </w:r>
      <w:r w:rsidRPr="00D671DB">
        <w:rPr>
          <w:rFonts w:ascii="Arial" w:hAnsi="Arial" w:cs="Arial"/>
          <w:lang w:val="sr-Latn-CS"/>
        </w:rPr>
        <w:t xml:space="preserve"> </w:t>
      </w:r>
      <w:r w:rsidRPr="00A26CE1">
        <w:rPr>
          <w:rFonts w:ascii="Arial" w:hAnsi="Arial" w:cs="Arial"/>
        </w:rPr>
        <w:t>i</w:t>
      </w:r>
      <w:r w:rsidRPr="00D671DB">
        <w:rPr>
          <w:rFonts w:ascii="Arial" w:hAnsi="Arial" w:cs="Arial"/>
          <w:lang w:val="sr-Latn-CS"/>
        </w:rPr>
        <w:t xml:space="preserve"> </w:t>
      </w:r>
      <w:r w:rsidRPr="00A26CE1">
        <w:rPr>
          <w:rFonts w:ascii="Arial" w:hAnsi="Arial" w:cs="Arial"/>
        </w:rPr>
        <w:t>analiza</w:t>
      </w:r>
      <w:r w:rsidRPr="00D671DB">
        <w:rPr>
          <w:rFonts w:ascii="Arial" w:hAnsi="Arial" w:cs="Arial"/>
          <w:lang w:val="sr-Latn-CS"/>
        </w:rPr>
        <w:t xml:space="preserve"> </w:t>
      </w:r>
      <w:r w:rsidRPr="00A26CE1">
        <w:rPr>
          <w:rFonts w:ascii="Arial" w:hAnsi="Arial" w:cs="Arial"/>
        </w:rPr>
        <w:t>podataka</w:t>
      </w:r>
      <w:r w:rsidRPr="00D671DB">
        <w:rPr>
          <w:rFonts w:ascii="Arial" w:hAnsi="Arial" w:cs="Arial"/>
          <w:lang w:val="sr-Latn-CS"/>
        </w:rPr>
        <w:t xml:space="preserve">, </w:t>
      </w:r>
      <w:r w:rsidRPr="00A26CE1">
        <w:rPr>
          <w:rFonts w:ascii="Arial" w:hAnsi="Arial" w:cs="Arial"/>
        </w:rPr>
        <w:t>izrada</w:t>
      </w:r>
      <w:r w:rsidRPr="00D671DB">
        <w:rPr>
          <w:rFonts w:ascii="Arial" w:hAnsi="Arial" w:cs="Arial"/>
          <w:lang w:val="sr-Latn-CS"/>
        </w:rPr>
        <w:t xml:space="preserve"> </w:t>
      </w:r>
      <w:r w:rsidRPr="00A26CE1">
        <w:rPr>
          <w:rFonts w:ascii="Arial" w:hAnsi="Arial" w:cs="Arial"/>
        </w:rPr>
        <w:t>informacione</w:t>
      </w:r>
      <w:r w:rsidRPr="00D671DB">
        <w:rPr>
          <w:rFonts w:ascii="Arial" w:hAnsi="Arial" w:cs="Arial"/>
          <w:lang w:val="sr-Latn-CS"/>
        </w:rPr>
        <w:t xml:space="preserve"> </w:t>
      </w:r>
      <w:r w:rsidRPr="00A26CE1">
        <w:rPr>
          <w:rFonts w:ascii="Arial" w:hAnsi="Arial" w:cs="Arial"/>
        </w:rPr>
        <w:t>baze</w:t>
      </w:r>
      <w:r w:rsidRPr="00D671DB">
        <w:rPr>
          <w:rFonts w:ascii="Arial" w:hAnsi="Arial" w:cs="Arial"/>
          <w:lang w:val="sr-Latn-CS"/>
        </w:rPr>
        <w:t xml:space="preserve"> </w:t>
      </w:r>
      <w:r w:rsidRPr="00A26CE1">
        <w:rPr>
          <w:rFonts w:ascii="Arial" w:hAnsi="Arial" w:cs="Arial"/>
        </w:rPr>
        <w:t>i</w:t>
      </w:r>
      <w:r w:rsidRPr="00D671DB">
        <w:rPr>
          <w:rFonts w:ascii="Arial" w:hAnsi="Arial" w:cs="Arial"/>
          <w:lang w:val="sr-Latn-CS"/>
        </w:rPr>
        <w:t xml:space="preserve"> </w:t>
      </w:r>
      <w:r w:rsidRPr="00A26CE1">
        <w:rPr>
          <w:rFonts w:ascii="Arial" w:hAnsi="Arial" w:cs="Arial"/>
        </w:rPr>
        <w:t>ocjena</w:t>
      </w:r>
      <w:r w:rsidRPr="00D671DB">
        <w:rPr>
          <w:rFonts w:ascii="Arial" w:hAnsi="Arial" w:cs="Arial"/>
          <w:lang w:val="sr-Latn-CS"/>
        </w:rPr>
        <w:t xml:space="preserve"> </w:t>
      </w:r>
      <w:r w:rsidRPr="00A26CE1">
        <w:rPr>
          <w:rFonts w:ascii="Arial" w:hAnsi="Arial" w:cs="Arial"/>
        </w:rPr>
        <w:t>potencijalnosti</w:t>
      </w:r>
      <w:r w:rsidRPr="00D671DB">
        <w:rPr>
          <w:rFonts w:ascii="Arial" w:hAnsi="Arial" w:cs="Arial"/>
          <w:lang w:val="sr-Latn-CS"/>
        </w:rPr>
        <w:t xml:space="preserve"> </w:t>
      </w:r>
      <w:r w:rsidRPr="00A26CE1">
        <w:rPr>
          <w:rFonts w:ascii="Arial" w:hAnsi="Arial" w:cs="Arial"/>
        </w:rPr>
        <w:t>kao</w:t>
      </w:r>
      <w:r w:rsidRPr="00D671DB">
        <w:rPr>
          <w:rFonts w:ascii="Arial" w:hAnsi="Arial" w:cs="Arial"/>
          <w:lang w:val="sr-Latn-CS"/>
        </w:rPr>
        <w:t xml:space="preserve"> </w:t>
      </w:r>
      <w:r w:rsidRPr="00A26CE1">
        <w:rPr>
          <w:rFonts w:ascii="Arial" w:hAnsi="Arial" w:cs="Arial"/>
        </w:rPr>
        <w:t>osnove</w:t>
      </w:r>
      <w:r w:rsidRPr="00D671DB">
        <w:rPr>
          <w:rFonts w:ascii="Arial" w:hAnsi="Arial" w:cs="Arial"/>
          <w:lang w:val="sr-Latn-CS"/>
        </w:rPr>
        <w:t xml:space="preserve"> </w:t>
      </w:r>
      <w:r w:rsidRPr="00A26CE1">
        <w:rPr>
          <w:rFonts w:ascii="Arial" w:hAnsi="Arial" w:cs="Arial"/>
        </w:rPr>
        <w:t>za</w:t>
      </w:r>
      <w:r w:rsidRPr="00D671DB">
        <w:rPr>
          <w:rFonts w:ascii="Arial" w:hAnsi="Arial" w:cs="Arial"/>
          <w:lang w:val="sr-Latn-CS"/>
        </w:rPr>
        <w:t xml:space="preserve"> </w:t>
      </w:r>
      <w:r w:rsidRPr="00A26CE1">
        <w:rPr>
          <w:rFonts w:ascii="Arial" w:hAnsi="Arial" w:cs="Arial"/>
        </w:rPr>
        <w:t>planiranje</w:t>
      </w:r>
      <w:r w:rsidRPr="00D671DB">
        <w:rPr>
          <w:rFonts w:ascii="Arial" w:hAnsi="Arial" w:cs="Arial"/>
          <w:lang w:val="sr-Latn-CS"/>
        </w:rPr>
        <w:t xml:space="preserve"> </w:t>
      </w:r>
      <w:r w:rsidRPr="00A26CE1">
        <w:rPr>
          <w:rFonts w:ascii="Arial" w:hAnsi="Arial" w:cs="Arial"/>
        </w:rPr>
        <w:t>proizvodnje</w:t>
      </w:r>
      <w:r w:rsidRPr="00D671DB">
        <w:rPr>
          <w:rFonts w:ascii="Arial" w:hAnsi="Arial" w:cs="Arial"/>
          <w:lang w:val="sr-Latn-CS"/>
        </w:rPr>
        <w:t xml:space="preserve"> </w:t>
      </w:r>
      <w:r w:rsidRPr="00A26CE1">
        <w:rPr>
          <w:rFonts w:ascii="Arial" w:hAnsi="Arial" w:cs="Arial"/>
        </w:rPr>
        <w:t>i</w:t>
      </w:r>
      <w:r w:rsidRPr="00D671DB">
        <w:rPr>
          <w:rFonts w:ascii="Arial" w:hAnsi="Arial" w:cs="Arial"/>
          <w:lang w:val="sr-Latn-CS"/>
        </w:rPr>
        <w:t xml:space="preserve"> </w:t>
      </w:r>
      <w:r w:rsidRPr="00A26CE1">
        <w:rPr>
          <w:rFonts w:ascii="Arial" w:hAnsi="Arial" w:cs="Arial"/>
        </w:rPr>
        <w:t>snabdijevanje</w:t>
      </w:r>
      <w:r w:rsidRPr="00D671DB">
        <w:rPr>
          <w:rFonts w:ascii="Arial" w:hAnsi="Arial" w:cs="Arial"/>
          <w:lang w:val="sr-Latn-CS"/>
        </w:rPr>
        <w:t xml:space="preserve"> </w:t>
      </w:r>
      <w:r w:rsidRPr="00A26CE1">
        <w:rPr>
          <w:rFonts w:ascii="Arial" w:hAnsi="Arial" w:cs="Arial"/>
        </w:rPr>
        <w:t>primarnim</w:t>
      </w:r>
      <w:r w:rsidRPr="00D671DB">
        <w:rPr>
          <w:rFonts w:ascii="Arial" w:hAnsi="Arial" w:cs="Arial"/>
          <w:lang w:val="sr-Latn-CS"/>
        </w:rPr>
        <w:t xml:space="preserve"> </w:t>
      </w:r>
      <w:r>
        <w:rPr>
          <w:rFonts w:ascii="Arial" w:hAnsi="Arial" w:cs="Arial"/>
        </w:rPr>
        <w:t>kamenim</w:t>
      </w:r>
      <w:r w:rsidRPr="00D671DB">
        <w:rPr>
          <w:rFonts w:ascii="Arial" w:hAnsi="Arial" w:cs="Arial"/>
          <w:lang w:val="sr-Latn-CS"/>
        </w:rPr>
        <w:t xml:space="preserve"> </w:t>
      </w:r>
      <w:r>
        <w:rPr>
          <w:rFonts w:ascii="Arial" w:hAnsi="Arial" w:cs="Arial"/>
        </w:rPr>
        <w:t>agregatima</w:t>
      </w:r>
      <w:r w:rsidRPr="00D671DB">
        <w:rPr>
          <w:rFonts w:ascii="Arial" w:hAnsi="Arial" w:cs="Arial"/>
          <w:lang w:val="sr-Latn-CS"/>
        </w:rPr>
        <w:t xml:space="preserve"> </w:t>
      </w:r>
      <w:r>
        <w:rPr>
          <w:rFonts w:ascii="Arial" w:hAnsi="Arial" w:cs="Arial"/>
        </w:rPr>
        <w:t>u</w:t>
      </w:r>
      <w:r w:rsidRPr="00D671DB">
        <w:rPr>
          <w:rFonts w:ascii="Arial" w:hAnsi="Arial" w:cs="Arial"/>
          <w:lang w:val="sr-Latn-CS"/>
        </w:rPr>
        <w:t xml:space="preserve"> </w:t>
      </w:r>
      <w:r>
        <w:rPr>
          <w:rFonts w:ascii="Arial" w:hAnsi="Arial" w:cs="Arial"/>
        </w:rPr>
        <w:t>Crnoj</w:t>
      </w:r>
      <w:r w:rsidRPr="00D671DB">
        <w:rPr>
          <w:rFonts w:ascii="Arial" w:hAnsi="Arial" w:cs="Arial"/>
          <w:lang w:val="sr-Latn-CS"/>
        </w:rPr>
        <w:t xml:space="preserve"> </w:t>
      </w:r>
      <w:r>
        <w:rPr>
          <w:rFonts w:ascii="Arial" w:hAnsi="Arial" w:cs="Arial"/>
        </w:rPr>
        <w:t>Gori</w:t>
      </w:r>
      <w:r w:rsidRPr="00D671DB">
        <w:rPr>
          <w:rFonts w:ascii="Arial" w:hAnsi="Arial" w:cs="Arial"/>
          <w:lang w:val="sr-Latn-CS"/>
        </w:rPr>
        <w:t xml:space="preserve">” </w:t>
      </w:r>
      <w:r>
        <w:rPr>
          <w:rFonts w:ascii="Arial" w:hAnsi="Arial" w:cs="Arial"/>
        </w:rPr>
        <w:t>ova</w:t>
      </w:r>
      <w:r w:rsidRPr="00D671DB">
        <w:rPr>
          <w:rFonts w:ascii="Arial" w:hAnsi="Arial" w:cs="Arial"/>
          <w:lang w:val="sr-Latn-CS"/>
        </w:rPr>
        <w:t xml:space="preserve"> </w:t>
      </w:r>
      <w:r>
        <w:rPr>
          <w:rFonts w:ascii="Arial" w:hAnsi="Arial" w:cs="Arial"/>
        </w:rPr>
        <w:t>lokacija</w:t>
      </w:r>
      <w:r w:rsidRPr="00D671DB">
        <w:rPr>
          <w:rFonts w:ascii="Arial" w:hAnsi="Arial" w:cs="Arial"/>
          <w:lang w:val="sr-Latn-CS"/>
        </w:rPr>
        <w:t xml:space="preserve"> </w:t>
      </w:r>
      <w:r>
        <w:rPr>
          <w:rFonts w:ascii="Arial" w:hAnsi="Arial" w:cs="Arial"/>
        </w:rPr>
        <w:t>je</w:t>
      </w:r>
      <w:r w:rsidRPr="00D671DB">
        <w:rPr>
          <w:rFonts w:ascii="Arial" w:hAnsi="Arial" w:cs="Arial"/>
          <w:lang w:val="sr-Latn-CS"/>
        </w:rPr>
        <w:t xml:space="preserve"> </w:t>
      </w:r>
      <w:r>
        <w:rPr>
          <w:rFonts w:ascii="Arial" w:hAnsi="Arial" w:cs="Arial"/>
        </w:rPr>
        <w:t>izdvojena</w:t>
      </w:r>
      <w:r w:rsidRPr="00D671DB">
        <w:rPr>
          <w:rFonts w:ascii="Arial" w:hAnsi="Arial" w:cs="Arial"/>
          <w:lang w:val="sr-Latn-CS"/>
        </w:rPr>
        <w:t xml:space="preserve"> </w:t>
      </w:r>
      <w:r>
        <w:rPr>
          <w:rFonts w:ascii="Arial" w:hAnsi="Arial" w:cs="Arial"/>
        </w:rPr>
        <w:t>kao</w:t>
      </w:r>
      <w:r w:rsidRPr="00D671DB">
        <w:rPr>
          <w:rFonts w:ascii="Arial" w:hAnsi="Arial" w:cs="Arial"/>
          <w:lang w:val="sr-Latn-CS"/>
        </w:rPr>
        <w:t xml:space="preserve"> </w:t>
      </w:r>
      <w:r>
        <w:rPr>
          <w:rFonts w:ascii="Arial" w:hAnsi="Arial" w:cs="Arial"/>
        </w:rPr>
        <w:t>perspektivna</w:t>
      </w:r>
      <w:r w:rsidRPr="00D671DB">
        <w:rPr>
          <w:rFonts w:ascii="Arial" w:hAnsi="Arial" w:cs="Arial"/>
          <w:lang w:val="sr-Latn-CS"/>
        </w:rPr>
        <w:t xml:space="preserve">, </w:t>
      </w:r>
      <w:r>
        <w:rPr>
          <w:rFonts w:ascii="Arial" w:hAnsi="Arial" w:cs="Arial"/>
        </w:rPr>
        <w:t>sa</w:t>
      </w:r>
      <w:r w:rsidRPr="00D671DB">
        <w:rPr>
          <w:rFonts w:ascii="Arial" w:hAnsi="Arial" w:cs="Arial"/>
          <w:lang w:val="sr-Latn-CS"/>
        </w:rPr>
        <w:t xml:space="preserve"> </w:t>
      </w:r>
      <w:r>
        <w:rPr>
          <w:rFonts w:ascii="Arial" w:hAnsi="Arial" w:cs="Arial"/>
        </w:rPr>
        <w:t>aspekta</w:t>
      </w:r>
      <w:r w:rsidRPr="00D671DB">
        <w:rPr>
          <w:rFonts w:ascii="Arial" w:hAnsi="Arial" w:cs="Arial"/>
          <w:lang w:val="sr-Latn-CS"/>
        </w:rPr>
        <w:t xml:space="preserve"> </w:t>
      </w:r>
      <w:r>
        <w:rPr>
          <w:rFonts w:ascii="Arial" w:hAnsi="Arial" w:cs="Arial"/>
        </w:rPr>
        <w:t>kori</w:t>
      </w:r>
      <w:r w:rsidRPr="00D671DB">
        <w:rPr>
          <w:rFonts w:ascii="Arial" w:hAnsi="Arial" w:cs="Arial"/>
          <w:lang w:val="sr-Latn-CS"/>
        </w:rPr>
        <w:t>šć</w:t>
      </w:r>
      <w:r>
        <w:rPr>
          <w:rFonts w:ascii="Arial" w:hAnsi="Arial" w:cs="Arial"/>
        </w:rPr>
        <w:t>enja</w:t>
      </w:r>
      <w:r w:rsidRPr="00D671DB">
        <w:rPr>
          <w:rFonts w:ascii="Arial" w:hAnsi="Arial" w:cs="Arial"/>
          <w:lang w:val="sr-Latn-CS"/>
        </w:rPr>
        <w:t xml:space="preserve"> </w:t>
      </w:r>
      <w:r>
        <w:rPr>
          <w:rFonts w:ascii="Arial" w:hAnsi="Arial" w:cs="Arial"/>
        </w:rPr>
        <w:t>tehni</w:t>
      </w:r>
      <w:r w:rsidRPr="00D671DB">
        <w:rPr>
          <w:rFonts w:ascii="Arial" w:hAnsi="Arial" w:cs="Arial"/>
          <w:lang w:val="sr-Latn-CS"/>
        </w:rPr>
        <w:t>č</w:t>
      </w:r>
      <w:r>
        <w:rPr>
          <w:rFonts w:ascii="Arial" w:hAnsi="Arial" w:cs="Arial"/>
        </w:rPr>
        <w:t>ko</w:t>
      </w:r>
      <w:r w:rsidRPr="00D671DB">
        <w:rPr>
          <w:rFonts w:ascii="Arial" w:hAnsi="Arial" w:cs="Arial"/>
          <w:lang w:val="sr-Latn-CS"/>
        </w:rPr>
        <w:t>-</w:t>
      </w:r>
      <w:r>
        <w:rPr>
          <w:rFonts w:ascii="Arial" w:hAnsi="Arial" w:cs="Arial"/>
        </w:rPr>
        <w:t>gra</w:t>
      </w:r>
      <w:r w:rsidRPr="00D671DB">
        <w:rPr>
          <w:rFonts w:ascii="Arial" w:hAnsi="Arial" w:cs="Arial"/>
          <w:lang w:val="sr-Latn-CS"/>
        </w:rPr>
        <w:t>đ</w:t>
      </w:r>
      <w:r>
        <w:rPr>
          <w:rFonts w:ascii="Arial" w:hAnsi="Arial" w:cs="Arial"/>
        </w:rPr>
        <w:t>evinskog</w:t>
      </w:r>
      <w:r w:rsidRPr="00D671DB">
        <w:rPr>
          <w:rFonts w:ascii="Arial" w:hAnsi="Arial" w:cs="Arial"/>
          <w:lang w:val="sr-Latn-CS"/>
        </w:rPr>
        <w:t xml:space="preserve"> </w:t>
      </w:r>
      <w:r>
        <w:rPr>
          <w:rFonts w:ascii="Arial" w:hAnsi="Arial" w:cs="Arial"/>
        </w:rPr>
        <w:t>kamena</w:t>
      </w:r>
      <w:r w:rsidRPr="00D671DB">
        <w:rPr>
          <w:rFonts w:ascii="Arial" w:hAnsi="Arial" w:cs="Arial"/>
          <w:lang w:val="sr-Latn-CS"/>
        </w:rPr>
        <w:t xml:space="preserve">. </w:t>
      </w:r>
      <w:r>
        <w:rPr>
          <w:rFonts w:ascii="Arial" w:hAnsi="Arial" w:cs="Arial"/>
        </w:rPr>
        <w:t>Za</w:t>
      </w:r>
      <w:r w:rsidRPr="00D671DB">
        <w:rPr>
          <w:rFonts w:ascii="Arial" w:hAnsi="Arial" w:cs="Arial"/>
          <w:lang w:val="sr-Latn-CS"/>
        </w:rPr>
        <w:t xml:space="preserve"> </w:t>
      </w:r>
      <w:r>
        <w:rPr>
          <w:rFonts w:ascii="Arial" w:hAnsi="Arial" w:cs="Arial"/>
        </w:rPr>
        <w:t>ispitivanje</w:t>
      </w:r>
      <w:r w:rsidRPr="00D671DB">
        <w:rPr>
          <w:rFonts w:ascii="Arial" w:hAnsi="Arial" w:cs="Arial"/>
          <w:lang w:val="sr-Latn-CS"/>
        </w:rPr>
        <w:t xml:space="preserve"> </w:t>
      </w:r>
      <w:r>
        <w:rPr>
          <w:rFonts w:ascii="Arial" w:hAnsi="Arial" w:cs="Arial"/>
        </w:rPr>
        <w:t>fizi</w:t>
      </w:r>
      <w:r w:rsidRPr="00D671DB">
        <w:rPr>
          <w:rFonts w:ascii="Arial" w:hAnsi="Arial" w:cs="Arial"/>
          <w:lang w:val="sr-Latn-CS"/>
        </w:rPr>
        <w:t>č</w:t>
      </w:r>
      <w:r>
        <w:rPr>
          <w:rFonts w:ascii="Arial" w:hAnsi="Arial" w:cs="Arial"/>
        </w:rPr>
        <w:t>ko</w:t>
      </w:r>
      <w:r w:rsidRPr="00D671DB">
        <w:rPr>
          <w:rFonts w:ascii="Arial" w:hAnsi="Arial" w:cs="Arial"/>
          <w:lang w:val="sr-Latn-CS"/>
        </w:rPr>
        <w:t>-</w:t>
      </w:r>
      <w:r>
        <w:rPr>
          <w:rFonts w:ascii="Arial" w:hAnsi="Arial" w:cs="Arial"/>
        </w:rPr>
        <w:t>mehani</w:t>
      </w:r>
      <w:r w:rsidRPr="00D671DB">
        <w:rPr>
          <w:rFonts w:ascii="Arial" w:hAnsi="Arial" w:cs="Arial"/>
          <w:lang w:val="sr-Latn-CS"/>
        </w:rPr>
        <w:t>č</w:t>
      </w:r>
      <w:r>
        <w:rPr>
          <w:rFonts w:ascii="Arial" w:hAnsi="Arial" w:cs="Arial"/>
        </w:rPr>
        <w:t>kih</w:t>
      </w:r>
      <w:r w:rsidRPr="00D671DB">
        <w:rPr>
          <w:rFonts w:ascii="Arial" w:hAnsi="Arial" w:cs="Arial"/>
          <w:lang w:val="sr-Latn-CS"/>
        </w:rPr>
        <w:t xml:space="preserve"> </w:t>
      </w:r>
      <w:r>
        <w:rPr>
          <w:rFonts w:ascii="Arial" w:hAnsi="Arial" w:cs="Arial"/>
        </w:rPr>
        <w:t>karakteristika</w:t>
      </w:r>
      <w:r w:rsidRPr="00D671DB">
        <w:rPr>
          <w:rFonts w:ascii="Arial" w:hAnsi="Arial" w:cs="Arial"/>
          <w:lang w:val="sr-Latn-CS"/>
        </w:rPr>
        <w:t xml:space="preserve"> </w:t>
      </w:r>
      <w:r>
        <w:rPr>
          <w:rFonts w:ascii="Arial" w:hAnsi="Arial" w:cs="Arial"/>
        </w:rPr>
        <w:t>kamena</w:t>
      </w:r>
      <w:r w:rsidRPr="00D671DB">
        <w:rPr>
          <w:rFonts w:ascii="Arial" w:hAnsi="Arial" w:cs="Arial"/>
          <w:lang w:val="sr-Latn-CS"/>
        </w:rPr>
        <w:t xml:space="preserve"> </w:t>
      </w:r>
      <w:r>
        <w:rPr>
          <w:rFonts w:ascii="Arial" w:hAnsi="Arial" w:cs="Arial"/>
        </w:rPr>
        <w:t>sa</w:t>
      </w:r>
      <w:r w:rsidRPr="00D671DB">
        <w:rPr>
          <w:rFonts w:ascii="Arial" w:hAnsi="Arial" w:cs="Arial"/>
          <w:lang w:val="sr-Latn-CS"/>
        </w:rPr>
        <w:t xml:space="preserve"> </w:t>
      </w:r>
      <w:r>
        <w:rPr>
          <w:rFonts w:ascii="Arial" w:hAnsi="Arial" w:cs="Arial"/>
        </w:rPr>
        <w:t>ove</w:t>
      </w:r>
      <w:r w:rsidRPr="00D671DB">
        <w:rPr>
          <w:rFonts w:ascii="Arial" w:hAnsi="Arial" w:cs="Arial"/>
          <w:lang w:val="sr-Latn-CS"/>
        </w:rPr>
        <w:t xml:space="preserve"> </w:t>
      </w:r>
      <w:r>
        <w:rPr>
          <w:rFonts w:ascii="Arial" w:hAnsi="Arial" w:cs="Arial"/>
        </w:rPr>
        <w:t>lokacije</w:t>
      </w:r>
      <w:r w:rsidRPr="00D671DB">
        <w:rPr>
          <w:rFonts w:ascii="Arial" w:hAnsi="Arial" w:cs="Arial"/>
          <w:lang w:val="sr-Latn-CS"/>
        </w:rPr>
        <w:t xml:space="preserve"> </w:t>
      </w:r>
      <w:r>
        <w:rPr>
          <w:rFonts w:ascii="Arial" w:hAnsi="Arial" w:cs="Arial"/>
        </w:rPr>
        <w:t>uzeta</w:t>
      </w:r>
      <w:r w:rsidRPr="00D671DB">
        <w:rPr>
          <w:rFonts w:ascii="Arial" w:hAnsi="Arial" w:cs="Arial"/>
          <w:lang w:val="sr-Latn-CS"/>
        </w:rPr>
        <w:t xml:space="preserve"> </w:t>
      </w:r>
      <w:r>
        <w:rPr>
          <w:rFonts w:ascii="Arial" w:hAnsi="Arial" w:cs="Arial"/>
        </w:rPr>
        <w:t>je</w:t>
      </w:r>
      <w:r w:rsidRPr="00D671DB">
        <w:rPr>
          <w:rFonts w:ascii="Arial" w:hAnsi="Arial" w:cs="Arial"/>
          <w:lang w:val="sr-Latn-CS"/>
        </w:rPr>
        <w:t xml:space="preserve"> </w:t>
      </w:r>
      <w:r>
        <w:rPr>
          <w:rFonts w:ascii="Arial" w:hAnsi="Arial" w:cs="Arial"/>
        </w:rPr>
        <w:t>jedna</w:t>
      </w:r>
      <w:r w:rsidRPr="00D671DB">
        <w:rPr>
          <w:rFonts w:ascii="Arial" w:hAnsi="Arial" w:cs="Arial"/>
          <w:lang w:val="sr-Latn-CS"/>
        </w:rPr>
        <w:t xml:space="preserve"> </w:t>
      </w:r>
      <w:r>
        <w:rPr>
          <w:rFonts w:ascii="Arial" w:hAnsi="Arial" w:cs="Arial"/>
        </w:rPr>
        <w:t>proba</w:t>
      </w:r>
      <w:r w:rsidRPr="00D671DB">
        <w:rPr>
          <w:rFonts w:ascii="Arial" w:hAnsi="Arial" w:cs="Arial"/>
          <w:lang w:val="sr-Latn-CS"/>
        </w:rPr>
        <w:t xml:space="preserve"> </w:t>
      </w:r>
      <w:r>
        <w:rPr>
          <w:rFonts w:ascii="Arial" w:hAnsi="Arial" w:cs="Arial"/>
        </w:rPr>
        <w:t>za</w:t>
      </w:r>
      <w:r w:rsidRPr="00D671DB">
        <w:rPr>
          <w:rFonts w:ascii="Arial" w:hAnsi="Arial" w:cs="Arial"/>
          <w:lang w:val="sr-Latn-CS"/>
        </w:rPr>
        <w:t xml:space="preserve"> </w:t>
      </w:r>
      <w:r>
        <w:rPr>
          <w:rFonts w:ascii="Arial" w:hAnsi="Arial" w:cs="Arial"/>
        </w:rPr>
        <w:t>kompletna</w:t>
      </w:r>
      <w:r w:rsidRPr="00D671DB">
        <w:rPr>
          <w:rFonts w:ascii="Arial" w:hAnsi="Arial" w:cs="Arial"/>
          <w:lang w:val="sr-Latn-CS"/>
        </w:rPr>
        <w:t xml:space="preserve"> </w:t>
      </w:r>
      <w:r>
        <w:rPr>
          <w:rFonts w:ascii="Arial" w:hAnsi="Arial" w:cs="Arial"/>
        </w:rPr>
        <w:t>ispitivanja</w:t>
      </w:r>
      <w:r w:rsidRPr="00D671DB">
        <w:rPr>
          <w:rFonts w:ascii="Arial" w:hAnsi="Arial" w:cs="Arial"/>
          <w:lang w:val="sr-Latn-CS"/>
        </w:rPr>
        <w:t xml:space="preserve"> </w:t>
      </w:r>
      <w:r>
        <w:rPr>
          <w:rFonts w:ascii="Arial" w:hAnsi="Arial" w:cs="Arial"/>
        </w:rPr>
        <w:t>fizi</w:t>
      </w:r>
      <w:r w:rsidRPr="00D671DB">
        <w:rPr>
          <w:rFonts w:ascii="Arial" w:hAnsi="Arial" w:cs="Arial"/>
          <w:lang w:val="sr-Latn-CS"/>
        </w:rPr>
        <w:t>č</w:t>
      </w:r>
      <w:r>
        <w:rPr>
          <w:rFonts w:ascii="Arial" w:hAnsi="Arial" w:cs="Arial"/>
        </w:rPr>
        <w:t>ko</w:t>
      </w:r>
      <w:r w:rsidRPr="00D671DB">
        <w:rPr>
          <w:rFonts w:ascii="Arial" w:hAnsi="Arial" w:cs="Arial"/>
          <w:lang w:val="sr-Latn-CS"/>
        </w:rPr>
        <w:t>-</w:t>
      </w:r>
      <w:r>
        <w:rPr>
          <w:rFonts w:ascii="Arial" w:hAnsi="Arial" w:cs="Arial"/>
        </w:rPr>
        <w:t>mehani</w:t>
      </w:r>
      <w:r w:rsidRPr="00D671DB">
        <w:rPr>
          <w:rFonts w:ascii="Arial" w:hAnsi="Arial" w:cs="Arial"/>
          <w:lang w:val="sr-Latn-CS"/>
        </w:rPr>
        <w:t>č</w:t>
      </w:r>
      <w:r>
        <w:rPr>
          <w:rFonts w:ascii="Arial" w:hAnsi="Arial" w:cs="Arial"/>
        </w:rPr>
        <w:t>kih</w:t>
      </w:r>
      <w:r w:rsidRPr="00D671DB">
        <w:rPr>
          <w:rFonts w:ascii="Arial" w:hAnsi="Arial" w:cs="Arial"/>
          <w:lang w:val="sr-Latn-CS"/>
        </w:rPr>
        <w:t xml:space="preserve"> </w:t>
      </w:r>
      <w:r>
        <w:rPr>
          <w:rFonts w:ascii="Arial" w:hAnsi="Arial" w:cs="Arial"/>
        </w:rPr>
        <w:t>karakteristika</w:t>
      </w:r>
      <w:r w:rsidRPr="00D671DB">
        <w:rPr>
          <w:rFonts w:ascii="Arial" w:hAnsi="Arial" w:cs="Arial"/>
          <w:lang w:val="sr-Latn-CS"/>
        </w:rPr>
        <w:t>.</w:t>
      </w:r>
    </w:p>
    <w:p w14:paraId="0A331758" w14:textId="13E35F6E" w:rsidR="00E344DF" w:rsidRDefault="00E344DF" w:rsidP="003D5374">
      <w:pPr>
        <w:spacing w:after="0" w:line="240" w:lineRule="auto"/>
        <w:jc w:val="both"/>
        <w:rPr>
          <w:rFonts w:ascii="Arial" w:hAnsi="Arial" w:cs="Arial"/>
          <w:lang w:val="sr-Latn-CS"/>
        </w:rPr>
      </w:pPr>
      <w:r w:rsidRPr="00A312A0">
        <w:rPr>
          <w:rFonts w:ascii="Arial" w:hAnsi="Arial" w:cs="Arial"/>
          <w:lang w:val="sr-Latn-CS"/>
        </w:rPr>
        <w:t xml:space="preserve">Na osnovu </w:t>
      </w:r>
      <w:r>
        <w:rPr>
          <w:rFonts w:ascii="Arial" w:hAnsi="Arial" w:cs="Arial"/>
          <w:lang w:val="sr-Latn-CS"/>
        </w:rPr>
        <w:t xml:space="preserve">rezultata laboratorijskih ispitivanja (proba sa oznakom Mk-3/19 za </w:t>
      </w:r>
      <w:r w:rsidRPr="00D750FE">
        <w:rPr>
          <w:rFonts w:ascii="Arial" w:hAnsi="Arial" w:cs="Arial"/>
          <w:lang w:val="sr-Latn-CS"/>
        </w:rPr>
        <w:t>kompletnu analizu</w:t>
      </w:r>
      <w:r>
        <w:rPr>
          <w:rFonts w:ascii="Arial" w:hAnsi="Arial" w:cs="Arial"/>
          <w:lang w:val="sr-Latn-CS"/>
        </w:rPr>
        <w:t xml:space="preserve"> kamena) kao i na osnovu analogije sa sličnim ležištima, </w:t>
      </w:r>
      <w:r w:rsidRPr="00A312A0">
        <w:rPr>
          <w:rFonts w:ascii="Arial" w:hAnsi="Arial" w:cs="Arial"/>
          <w:lang w:val="sr-Latn-CS"/>
        </w:rPr>
        <w:t xml:space="preserve">možemo pretpostaviti da će sirovina sa ovog lokaliteta ispuniti uslove za primjenu kao </w:t>
      </w:r>
      <w:r>
        <w:rPr>
          <w:rFonts w:ascii="Arial" w:hAnsi="Arial" w:cs="Arial"/>
          <w:lang w:val="sr-Latn-CS"/>
        </w:rPr>
        <w:t>tehničko</w:t>
      </w:r>
      <w:r w:rsidRPr="00A312A0">
        <w:rPr>
          <w:rFonts w:ascii="Arial" w:hAnsi="Arial" w:cs="Arial"/>
          <w:lang w:val="sr-Latn-CS"/>
        </w:rPr>
        <w:t xml:space="preserve">-građevinski kamen. </w:t>
      </w:r>
      <w:r>
        <w:rPr>
          <w:rFonts w:ascii="Arial" w:hAnsi="Arial" w:cs="Arial"/>
          <w:lang w:val="sr-Latn-CS"/>
        </w:rPr>
        <w:t>Konačno mišljenje o upotrebljivosti i kvalitetu</w:t>
      </w:r>
      <w:r w:rsidRPr="00A312A0">
        <w:rPr>
          <w:rFonts w:ascii="Arial" w:hAnsi="Arial" w:cs="Arial"/>
          <w:lang w:val="sr-Latn-CS"/>
        </w:rPr>
        <w:t xml:space="preserve"> dobiti kroz </w:t>
      </w:r>
      <w:r w:rsidR="00E73F27">
        <w:rPr>
          <w:rFonts w:ascii="Arial" w:hAnsi="Arial" w:cs="Arial"/>
          <w:lang w:val="sr-Latn-CS"/>
        </w:rPr>
        <w:t>detaljna geološka</w:t>
      </w:r>
      <w:r>
        <w:rPr>
          <w:rFonts w:ascii="Arial" w:hAnsi="Arial" w:cs="Arial"/>
          <w:lang w:val="sr-Latn-CS"/>
        </w:rPr>
        <w:t xml:space="preserve"> istraživanja</w:t>
      </w:r>
      <w:r w:rsidR="00E73F27">
        <w:rPr>
          <w:rFonts w:ascii="Arial" w:hAnsi="Arial" w:cs="Arial"/>
          <w:lang w:val="sr-Latn-CS"/>
        </w:rPr>
        <w:t xml:space="preserve"> u okviru kojih će se vršiti</w:t>
      </w:r>
      <w:r>
        <w:rPr>
          <w:rFonts w:ascii="Arial" w:hAnsi="Arial" w:cs="Arial"/>
          <w:lang w:val="sr-Latn-CS"/>
        </w:rPr>
        <w:t xml:space="preserve"> </w:t>
      </w:r>
      <w:r w:rsidRPr="00A312A0">
        <w:rPr>
          <w:rFonts w:ascii="Arial" w:hAnsi="Arial" w:cs="Arial"/>
          <w:lang w:val="sr-Latn-CS"/>
        </w:rPr>
        <w:t>ispitivanje kvaliteta</w:t>
      </w:r>
      <w:r w:rsidR="00E73F27">
        <w:rPr>
          <w:rFonts w:ascii="Arial" w:hAnsi="Arial" w:cs="Arial"/>
          <w:lang w:val="sr-Latn-CS"/>
        </w:rPr>
        <w:t>,</w:t>
      </w:r>
      <w:r w:rsidRPr="00A312A0">
        <w:rPr>
          <w:rFonts w:ascii="Arial" w:hAnsi="Arial" w:cs="Arial"/>
          <w:lang w:val="sr-Latn-CS"/>
        </w:rPr>
        <w:t xml:space="preserve"> u skladu sa važećim standardima</w:t>
      </w:r>
      <w:r>
        <w:rPr>
          <w:rFonts w:ascii="Arial" w:hAnsi="Arial" w:cs="Arial"/>
          <w:lang w:val="sr-Latn-CS"/>
        </w:rPr>
        <w:t>.</w:t>
      </w:r>
    </w:p>
    <w:p w14:paraId="14D0B86F" w14:textId="77777777" w:rsidR="003D5374" w:rsidRDefault="003D5374" w:rsidP="003D5374">
      <w:pPr>
        <w:spacing w:after="0" w:line="240" w:lineRule="auto"/>
        <w:jc w:val="both"/>
        <w:rPr>
          <w:rFonts w:ascii="Arial" w:hAnsi="Arial" w:cs="Arial"/>
          <w:lang w:val="sr-Latn-CS"/>
        </w:rPr>
      </w:pPr>
    </w:p>
    <w:p w14:paraId="724E21CA" w14:textId="2634B015" w:rsidR="00744584" w:rsidRDefault="00E73F27" w:rsidP="003D5374">
      <w:pPr>
        <w:suppressAutoHyphens w:val="0"/>
        <w:spacing w:after="0" w:line="240" w:lineRule="auto"/>
        <w:jc w:val="both"/>
        <w:rPr>
          <w:rFonts w:ascii="Arial" w:hAnsi="Arial" w:cs="Arial"/>
          <w:b/>
          <w:lang w:val="sr-Latn-CS"/>
        </w:rPr>
      </w:pPr>
      <w:r>
        <w:rPr>
          <w:rFonts w:ascii="Arial" w:hAnsi="Arial" w:cs="Arial"/>
          <w:b/>
          <w:lang w:val="sr-Latn-CS"/>
        </w:rPr>
        <w:t>1.10. Klima</w:t>
      </w:r>
    </w:p>
    <w:p w14:paraId="4E53D6BE" w14:textId="77777777" w:rsidR="00E73F27" w:rsidRPr="00E56DC2" w:rsidRDefault="00E73F27" w:rsidP="003D5374">
      <w:pPr>
        <w:suppressAutoHyphens w:val="0"/>
        <w:spacing w:after="0" w:line="240" w:lineRule="auto"/>
        <w:jc w:val="both"/>
        <w:rPr>
          <w:rFonts w:ascii="Arial" w:hAnsi="Arial" w:cs="Arial"/>
          <w:b/>
          <w:lang w:val="sr-Latn-CS"/>
        </w:rPr>
      </w:pPr>
    </w:p>
    <w:p w14:paraId="401B3A6D" w14:textId="44FE6FE7" w:rsidR="00E73F27" w:rsidRPr="00D671DB"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lang w:val="sr-Latn-CS"/>
        </w:rPr>
      </w:pPr>
      <w:r w:rsidRPr="00E73F27">
        <w:rPr>
          <w:rFonts w:ascii="Arial" w:eastAsia="Times New Roman" w:hAnsi="Arial" w:cs="Arial"/>
          <w:kern w:val="0"/>
          <w:szCs w:val="21"/>
        </w:rPr>
        <w:t>Cetinje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ima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umjereno</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kontinentalnu</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klimu</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koju</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odlikuju</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su</w:t>
      </w:r>
      <w:r w:rsidRPr="00D671DB">
        <w:rPr>
          <w:rFonts w:ascii="Arial" w:eastAsia="Times New Roman" w:hAnsi="Arial" w:cs="Arial"/>
          <w:kern w:val="0"/>
          <w:szCs w:val="21"/>
          <w:lang w:val="sr-Latn-CS"/>
        </w:rPr>
        <w:t>š</w:t>
      </w:r>
      <w:r w:rsidRPr="00E73F27">
        <w:rPr>
          <w:rFonts w:ascii="Arial" w:eastAsia="Times New Roman" w:hAnsi="Arial" w:cs="Arial"/>
          <w:kern w:val="0"/>
          <w:szCs w:val="21"/>
        </w:rPr>
        <w:t>na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topla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ljeta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sa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prosje</w:t>
      </w:r>
      <w:r w:rsidRPr="00D671DB">
        <w:rPr>
          <w:rFonts w:ascii="Arial" w:eastAsia="Times New Roman" w:hAnsi="Arial" w:cs="Arial"/>
          <w:kern w:val="0"/>
          <w:szCs w:val="21"/>
          <w:lang w:val="sr-Latn-CS"/>
        </w:rPr>
        <w:t>č</w:t>
      </w:r>
      <w:r w:rsidRPr="00E73F27">
        <w:rPr>
          <w:rFonts w:ascii="Arial" w:eastAsia="Times New Roman" w:hAnsi="Arial" w:cs="Arial"/>
          <w:kern w:val="0"/>
          <w:szCs w:val="21"/>
        </w:rPr>
        <w:t>nom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temperaturom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od</w:t>
      </w:r>
      <w:r w:rsidRPr="00D671DB">
        <w:rPr>
          <w:rFonts w:ascii="Arial" w:eastAsia="Times New Roman" w:hAnsi="Arial" w:cs="Arial"/>
          <w:kern w:val="0"/>
          <w:szCs w:val="21"/>
          <w:lang w:val="sr-Latn-CS"/>
        </w:rPr>
        <w:t xml:space="preserve"> 20°</w:t>
      </w:r>
      <w:r w:rsidRPr="00E73F27">
        <w:rPr>
          <w:rFonts w:ascii="Arial" w:eastAsia="Times New Roman" w:hAnsi="Arial" w:cs="Arial"/>
          <w:kern w:val="0"/>
          <w:szCs w:val="21"/>
        </w:rPr>
        <w:t>C</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uz</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blage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vla</w:t>
      </w:r>
      <w:r w:rsidRPr="00D671DB">
        <w:rPr>
          <w:rFonts w:ascii="Arial" w:eastAsia="Times New Roman" w:hAnsi="Arial" w:cs="Arial"/>
          <w:kern w:val="0"/>
          <w:szCs w:val="21"/>
          <w:lang w:val="sr-Latn-CS"/>
        </w:rPr>
        <w:t>ž</w:t>
      </w:r>
      <w:r w:rsidRPr="00E73F27">
        <w:rPr>
          <w:rFonts w:ascii="Arial" w:eastAsia="Times New Roman" w:hAnsi="Arial" w:cs="Arial"/>
          <w:kern w:val="0"/>
          <w:szCs w:val="21"/>
        </w:rPr>
        <w:t>ne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zime</w:t>
      </w:r>
      <w:r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sa</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prosje</w:t>
      </w:r>
      <w:r w:rsidR="003537A4" w:rsidRPr="00D671DB">
        <w:rPr>
          <w:rFonts w:ascii="Arial" w:eastAsia="Times New Roman" w:hAnsi="Arial" w:cs="Arial"/>
          <w:kern w:val="0"/>
          <w:szCs w:val="21"/>
          <w:lang w:val="sr-Latn-CS"/>
        </w:rPr>
        <w:t>č</w:t>
      </w:r>
      <w:r w:rsidR="003537A4">
        <w:rPr>
          <w:rFonts w:ascii="Arial" w:eastAsia="Times New Roman" w:hAnsi="Arial" w:cs="Arial"/>
          <w:kern w:val="0"/>
          <w:szCs w:val="21"/>
        </w:rPr>
        <w:t>nom</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temperaturom</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od</w:t>
      </w:r>
      <w:r w:rsidR="003537A4" w:rsidRPr="00D671DB">
        <w:rPr>
          <w:rFonts w:ascii="Arial" w:eastAsia="Times New Roman" w:hAnsi="Arial" w:cs="Arial"/>
          <w:kern w:val="0"/>
          <w:szCs w:val="21"/>
          <w:lang w:val="sr-Latn-CS"/>
        </w:rPr>
        <w:t xml:space="preserve"> 2,</w:t>
      </w:r>
      <w:r w:rsidRPr="00D671DB">
        <w:rPr>
          <w:rFonts w:ascii="Arial" w:eastAsia="Times New Roman" w:hAnsi="Arial" w:cs="Arial"/>
          <w:kern w:val="0"/>
          <w:szCs w:val="21"/>
          <w:lang w:val="sr-Latn-CS"/>
        </w:rPr>
        <w:t>1°</w:t>
      </w:r>
      <w:r w:rsidRPr="00E73F27">
        <w:rPr>
          <w:rFonts w:ascii="Arial" w:eastAsia="Times New Roman" w:hAnsi="Arial" w:cs="Arial"/>
          <w:kern w:val="0"/>
          <w:szCs w:val="21"/>
        </w:rPr>
        <w:t>C</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Prosje</w:t>
      </w:r>
      <w:r w:rsidRPr="00D671DB">
        <w:rPr>
          <w:rFonts w:ascii="Arial" w:eastAsia="Times New Roman" w:hAnsi="Arial" w:cs="Arial"/>
          <w:kern w:val="0"/>
          <w:szCs w:val="21"/>
          <w:lang w:val="sr-Latn-CS"/>
        </w:rPr>
        <w:t>č</w:t>
      </w:r>
      <w:r w:rsidRPr="00E73F27">
        <w:rPr>
          <w:rFonts w:ascii="Arial" w:eastAsia="Times New Roman" w:hAnsi="Arial" w:cs="Arial"/>
          <w:kern w:val="0"/>
          <w:szCs w:val="21"/>
        </w:rPr>
        <w:t>n</w:t>
      </w:r>
      <w:r w:rsidR="003537A4">
        <w:rPr>
          <w:rFonts w:ascii="Arial" w:eastAsia="Times New Roman" w:hAnsi="Arial" w:cs="Arial"/>
          <w:kern w:val="0"/>
          <w:szCs w:val="21"/>
        </w:rPr>
        <w:t>a</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godi</w:t>
      </w:r>
      <w:r w:rsidR="003537A4" w:rsidRPr="00D671DB">
        <w:rPr>
          <w:rFonts w:ascii="Arial" w:eastAsia="Times New Roman" w:hAnsi="Arial" w:cs="Arial"/>
          <w:kern w:val="0"/>
          <w:szCs w:val="21"/>
          <w:lang w:val="sr-Latn-CS"/>
        </w:rPr>
        <w:t>š</w:t>
      </w:r>
      <w:r w:rsidR="003537A4">
        <w:rPr>
          <w:rFonts w:ascii="Arial" w:eastAsia="Times New Roman" w:hAnsi="Arial" w:cs="Arial"/>
          <w:kern w:val="0"/>
          <w:szCs w:val="21"/>
        </w:rPr>
        <w:t>nja</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temperatura</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iznosi</w:t>
      </w:r>
      <w:r w:rsidR="003537A4" w:rsidRPr="00D671DB">
        <w:rPr>
          <w:rFonts w:ascii="Arial" w:eastAsia="Times New Roman" w:hAnsi="Arial" w:cs="Arial"/>
          <w:kern w:val="0"/>
          <w:szCs w:val="21"/>
          <w:lang w:val="sr-Latn-CS"/>
        </w:rPr>
        <w:t xml:space="preserve"> 1</w:t>
      </w:r>
      <w:r w:rsidRPr="00D671DB">
        <w:rPr>
          <w:rFonts w:ascii="Arial" w:eastAsia="Times New Roman" w:hAnsi="Arial" w:cs="Arial"/>
          <w:kern w:val="0"/>
          <w:szCs w:val="21"/>
          <w:lang w:val="sr-Latn-CS"/>
        </w:rPr>
        <w:t>°</w:t>
      </w:r>
      <w:r w:rsidRPr="00E73F27">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sa</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godi</w:t>
      </w:r>
      <w:r w:rsidR="003537A4" w:rsidRPr="00D671DB">
        <w:rPr>
          <w:rFonts w:ascii="Arial" w:eastAsia="Times New Roman" w:hAnsi="Arial" w:cs="Arial"/>
          <w:kern w:val="0"/>
          <w:szCs w:val="21"/>
          <w:lang w:val="sr-Latn-CS"/>
        </w:rPr>
        <w:t>š</w:t>
      </w:r>
      <w:r w:rsidR="003537A4">
        <w:rPr>
          <w:rFonts w:ascii="Arial" w:eastAsia="Times New Roman" w:hAnsi="Arial" w:cs="Arial"/>
          <w:kern w:val="0"/>
          <w:szCs w:val="21"/>
        </w:rPr>
        <w:t>njom</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amplitudom</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od</w:t>
      </w:r>
      <w:r w:rsidR="003537A4" w:rsidRPr="00D671DB">
        <w:rPr>
          <w:rFonts w:ascii="Arial" w:eastAsia="Times New Roman" w:hAnsi="Arial" w:cs="Arial"/>
          <w:kern w:val="0"/>
          <w:szCs w:val="21"/>
          <w:lang w:val="sr-Latn-CS"/>
        </w:rPr>
        <w:t xml:space="preserve"> 20,</w:t>
      </w:r>
      <w:r w:rsidRPr="00D671DB">
        <w:rPr>
          <w:rFonts w:ascii="Arial" w:eastAsia="Times New Roman" w:hAnsi="Arial" w:cs="Arial"/>
          <w:kern w:val="0"/>
          <w:szCs w:val="21"/>
          <w:lang w:val="sr-Latn-CS"/>
        </w:rPr>
        <w:t>1°</w:t>
      </w:r>
      <w:r w:rsidRPr="00E73F27">
        <w:rPr>
          <w:rFonts w:ascii="Arial" w:eastAsia="Times New Roman" w:hAnsi="Arial" w:cs="Arial"/>
          <w:kern w:val="0"/>
          <w:szCs w:val="21"/>
        </w:rPr>
        <w:t>C</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Najtopliji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mjesec</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jul</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najhladniji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januar</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Prosje</w:t>
      </w:r>
      <w:r w:rsidRPr="00D671DB">
        <w:rPr>
          <w:rFonts w:ascii="Arial" w:eastAsia="Times New Roman" w:hAnsi="Arial" w:cs="Arial"/>
          <w:kern w:val="0"/>
          <w:szCs w:val="21"/>
          <w:lang w:val="sr-Latn-CS"/>
        </w:rPr>
        <w:t>č</w:t>
      </w:r>
      <w:r w:rsidRPr="00E73F27">
        <w:rPr>
          <w:rFonts w:ascii="Arial" w:eastAsia="Times New Roman" w:hAnsi="Arial" w:cs="Arial"/>
          <w:kern w:val="0"/>
          <w:szCs w:val="21"/>
        </w:rPr>
        <w:t>na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temperatura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vazduha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na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mjese</w:t>
      </w:r>
      <w:r w:rsidRPr="00D671DB">
        <w:rPr>
          <w:rFonts w:ascii="Arial" w:eastAsia="Times New Roman" w:hAnsi="Arial" w:cs="Arial"/>
          <w:kern w:val="0"/>
          <w:szCs w:val="21"/>
          <w:lang w:val="sr-Latn-CS"/>
        </w:rPr>
        <w:t>č</w:t>
      </w:r>
      <w:r w:rsidRPr="00E73F27">
        <w:rPr>
          <w:rFonts w:ascii="Arial" w:eastAsia="Times New Roman" w:hAnsi="Arial" w:cs="Arial"/>
          <w:kern w:val="0"/>
          <w:szCs w:val="21"/>
        </w:rPr>
        <w:t>nom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nivou</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sljede</w:t>
      </w:r>
      <w:r w:rsidRPr="00D671DB">
        <w:rPr>
          <w:rFonts w:ascii="Arial" w:eastAsia="Times New Roman" w:hAnsi="Arial" w:cs="Arial"/>
          <w:kern w:val="0"/>
          <w:szCs w:val="21"/>
          <w:lang w:val="sr-Latn-CS"/>
        </w:rPr>
        <w:t>ć</w:t>
      </w:r>
      <w:r w:rsidRPr="00E73F27">
        <w:rPr>
          <w:rFonts w:ascii="Arial" w:eastAsia="Times New Roman" w:hAnsi="Arial" w:cs="Arial"/>
          <w:kern w:val="0"/>
          <w:szCs w:val="21"/>
        </w:rPr>
        <w:t>a</w:t>
      </w:r>
      <w:r w:rsidRPr="00D671DB">
        <w:rPr>
          <w:rFonts w:ascii="Arial" w:eastAsia="Times New Roman" w:hAnsi="Arial" w:cs="Arial"/>
          <w:kern w:val="0"/>
          <w:szCs w:val="21"/>
          <w:lang w:val="sr-Latn-CS"/>
        </w:rPr>
        <w:t xml:space="preserve"> – </w:t>
      </w:r>
      <w:r w:rsidRPr="00E73F27">
        <w:rPr>
          <w:rFonts w:ascii="Arial" w:eastAsia="Times New Roman" w:hAnsi="Arial" w:cs="Arial"/>
          <w:kern w:val="0"/>
          <w:szCs w:val="21"/>
        </w:rPr>
        <w:t>januar</w:t>
      </w:r>
      <w:r w:rsidRPr="00D671DB">
        <w:rPr>
          <w:rFonts w:ascii="Arial" w:eastAsia="Times New Roman" w:hAnsi="Arial" w:cs="Arial"/>
          <w:kern w:val="0"/>
          <w:szCs w:val="21"/>
          <w:lang w:val="sr-Latn-CS"/>
        </w:rPr>
        <w:t xml:space="preserve"> 0.9º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februar</w:t>
      </w:r>
      <w:r w:rsidR="003537A4" w:rsidRPr="00D671DB">
        <w:rPr>
          <w:rFonts w:ascii="Arial" w:eastAsia="Times New Roman" w:hAnsi="Arial" w:cs="Arial"/>
          <w:kern w:val="0"/>
          <w:szCs w:val="21"/>
          <w:lang w:val="sr-Latn-CS"/>
        </w:rPr>
        <w:t xml:space="preserve"> 1,</w:t>
      </w:r>
      <w:r w:rsidRPr="00D671DB">
        <w:rPr>
          <w:rFonts w:ascii="Arial" w:eastAsia="Times New Roman" w:hAnsi="Arial" w:cs="Arial"/>
          <w:kern w:val="0"/>
          <w:szCs w:val="21"/>
          <w:lang w:val="sr-Latn-CS"/>
        </w:rPr>
        <w:t>9º</w:t>
      </w:r>
      <w:r w:rsidRPr="00E73F27">
        <w:rPr>
          <w:rFonts w:ascii="Arial" w:eastAsia="Times New Roman" w:hAnsi="Arial" w:cs="Arial"/>
          <w:kern w:val="0"/>
          <w:szCs w:val="21"/>
        </w:rPr>
        <w:t>C</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mart</w:t>
      </w:r>
      <w:r w:rsidRPr="00D671DB">
        <w:rPr>
          <w:rFonts w:ascii="Arial" w:eastAsia="Times New Roman" w:hAnsi="Arial" w:cs="Arial"/>
          <w:kern w:val="0"/>
          <w:szCs w:val="21"/>
          <w:lang w:val="sr-Latn-CS"/>
        </w:rPr>
        <w:t xml:space="preserve"> 4.7º</w:t>
      </w:r>
      <w:r w:rsidRPr="00E73F27">
        <w:rPr>
          <w:rFonts w:ascii="Arial" w:eastAsia="Times New Roman" w:hAnsi="Arial" w:cs="Arial"/>
          <w:kern w:val="0"/>
          <w:szCs w:val="21"/>
        </w:rPr>
        <w:t>C</w:t>
      </w:r>
      <w:r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april</w:t>
      </w:r>
      <w:r w:rsidR="003537A4" w:rsidRPr="00D671DB">
        <w:rPr>
          <w:rFonts w:ascii="Arial" w:eastAsia="Times New Roman" w:hAnsi="Arial" w:cs="Arial"/>
          <w:kern w:val="0"/>
          <w:szCs w:val="21"/>
          <w:lang w:val="sr-Latn-CS"/>
        </w:rPr>
        <w:t xml:space="preserve"> 9,5º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maj</w:t>
      </w:r>
      <w:r w:rsidR="003537A4" w:rsidRPr="00D671DB">
        <w:rPr>
          <w:rFonts w:ascii="Arial" w:eastAsia="Times New Roman" w:hAnsi="Arial" w:cs="Arial"/>
          <w:kern w:val="0"/>
          <w:szCs w:val="21"/>
          <w:lang w:val="sr-Latn-CS"/>
        </w:rPr>
        <w:t xml:space="preserve"> 14,2º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jun</w:t>
      </w:r>
      <w:r w:rsidR="003537A4" w:rsidRPr="00D671DB">
        <w:rPr>
          <w:rFonts w:ascii="Arial" w:eastAsia="Times New Roman" w:hAnsi="Arial" w:cs="Arial"/>
          <w:kern w:val="0"/>
          <w:szCs w:val="21"/>
          <w:lang w:val="sr-Latn-CS"/>
        </w:rPr>
        <w:t xml:space="preserve"> 18,2º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jul</w:t>
      </w:r>
      <w:r w:rsidR="003537A4" w:rsidRPr="00D671DB">
        <w:rPr>
          <w:rFonts w:ascii="Arial" w:eastAsia="Times New Roman" w:hAnsi="Arial" w:cs="Arial"/>
          <w:kern w:val="0"/>
          <w:szCs w:val="21"/>
          <w:lang w:val="sr-Latn-CS"/>
        </w:rPr>
        <w:t xml:space="preserve"> 21,</w:t>
      </w:r>
      <w:r w:rsidRPr="00D671DB">
        <w:rPr>
          <w:rFonts w:ascii="Arial" w:eastAsia="Times New Roman" w:hAnsi="Arial" w:cs="Arial"/>
          <w:kern w:val="0"/>
          <w:szCs w:val="21"/>
          <w:lang w:val="sr-Latn-CS"/>
        </w:rPr>
        <w:t>1º</w:t>
      </w:r>
      <w:r w:rsidRPr="00E73F27">
        <w:rPr>
          <w:rFonts w:ascii="Arial" w:eastAsia="Times New Roman" w:hAnsi="Arial" w:cs="Arial"/>
          <w:kern w:val="0"/>
          <w:szCs w:val="21"/>
        </w:rPr>
        <w:t>C</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avgust</w:t>
      </w:r>
      <w:r w:rsidRPr="00D671DB">
        <w:rPr>
          <w:rFonts w:ascii="Arial" w:eastAsia="Times New Roman" w:hAnsi="Arial" w:cs="Arial"/>
          <w:kern w:val="0"/>
          <w:szCs w:val="21"/>
          <w:lang w:val="sr-Latn-CS"/>
        </w:rPr>
        <w:t xml:space="preserve"> 20.7º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septembar</w:t>
      </w:r>
      <w:r w:rsidR="003537A4" w:rsidRPr="00D671DB">
        <w:rPr>
          <w:rFonts w:ascii="Arial" w:eastAsia="Times New Roman" w:hAnsi="Arial" w:cs="Arial"/>
          <w:kern w:val="0"/>
          <w:szCs w:val="21"/>
          <w:lang w:val="sr-Latn-CS"/>
        </w:rPr>
        <w:t xml:space="preserve"> 16.5º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oktobar</w:t>
      </w:r>
      <w:r w:rsidR="003537A4" w:rsidRPr="00D671DB">
        <w:rPr>
          <w:rFonts w:ascii="Arial" w:eastAsia="Times New Roman" w:hAnsi="Arial" w:cs="Arial"/>
          <w:kern w:val="0"/>
          <w:szCs w:val="21"/>
          <w:lang w:val="sr-Latn-CS"/>
        </w:rPr>
        <w:t xml:space="preserve"> 11,2º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novembar</w:t>
      </w:r>
      <w:r w:rsidR="003537A4" w:rsidRPr="00D671DB">
        <w:rPr>
          <w:rFonts w:ascii="Arial" w:eastAsia="Times New Roman" w:hAnsi="Arial" w:cs="Arial"/>
          <w:kern w:val="0"/>
          <w:szCs w:val="21"/>
          <w:lang w:val="sr-Latn-CS"/>
        </w:rPr>
        <w:t xml:space="preserve"> 6,9º</w:t>
      </w:r>
      <w:r w:rsidR="003537A4">
        <w:rPr>
          <w:rFonts w:ascii="Arial" w:eastAsia="Times New Roman" w:hAnsi="Arial" w:cs="Arial"/>
          <w:kern w:val="0"/>
          <w:szCs w:val="21"/>
        </w:rPr>
        <w:t>C</w:t>
      </w:r>
      <w:r w:rsidR="003537A4" w:rsidRPr="00D671DB">
        <w:rPr>
          <w:rFonts w:ascii="Arial" w:eastAsia="Times New Roman" w:hAnsi="Arial" w:cs="Arial"/>
          <w:kern w:val="0"/>
          <w:szCs w:val="21"/>
          <w:lang w:val="sr-Latn-CS"/>
        </w:rPr>
        <w:t xml:space="preserve">, </w:t>
      </w:r>
      <w:r w:rsidR="003537A4">
        <w:rPr>
          <w:rFonts w:ascii="Arial" w:eastAsia="Times New Roman" w:hAnsi="Arial" w:cs="Arial"/>
          <w:kern w:val="0"/>
          <w:szCs w:val="21"/>
        </w:rPr>
        <w:t>decembar</w:t>
      </w:r>
      <w:r w:rsidR="003537A4" w:rsidRPr="00D671DB">
        <w:rPr>
          <w:rFonts w:ascii="Arial" w:eastAsia="Times New Roman" w:hAnsi="Arial" w:cs="Arial"/>
          <w:kern w:val="0"/>
          <w:szCs w:val="21"/>
          <w:lang w:val="sr-Latn-CS"/>
        </w:rPr>
        <w:t xml:space="preserve"> 2,</w:t>
      </w:r>
      <w:r w:rsidRPr="00D671DB">
        <w:rPr>
          <w:rFonts w:ascii="Arial" w:eastAsia="Times New Roman" w:hAnsi="Arial" w:cs="Arial"/>
          <w:kern w:val="0"/>
          <w:szCs w:val="21"/>
          <w:lang w:val="sr-Latn-CS"/>
        </w:rPr>
        <w:t>8º</w:t>
      </w:r>
      <w:r w:rsidRPr="00E73F27">
        <w:rPr>
          <w:rFonts w:ascii="Arial" w:eastAsia="Times New Roman" w:hAnsi="Arial" w:cs="Arial"/>
          <w:kern w:val="0"/>
          <w:szCs w:val="21"/>
        </w:rPr>
        <w:t>C</w:t>
      </w:r>
      <w:r w:rsidRPr="00D671DB">
        <w:rPr>
          <w:rFonts w:ascii="Arial" w:eastAsia="Times New Roman" w:hAnsi="Arial" w:cs="Arial"/>
          <w:kern w:val="0"/>
          <w:szCs w:val="21"/>
          <w:lang w:val="sr-Latn-CS"/>
        </w:rPr>
        <w:t>.</w:t>
      </w:r>
    </w:p>
    <w:p w14:paraId="6F9D36DF" w14:textId="77777777" w:rsidR="00E73F27" w:rsidRPr="00D671DB"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lang w:val="pt-BR"/>
        </w:rPr>
      </w:pPr>
      <w:r w:rsidRPr="00E73F27">
        <w:rPr>
          <w:rFonts w:ascii="Arial" w:eastAsia="Times New Roman" w:hAnsi="Arial" w:cs="Arial"/>
          <w:kern w:val="0"/>
          <w:szCs w:val="21"/>
        </w:rPr>
        <w:t>Cetinje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poznato</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po</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obilnim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prolje</w:t>
      </w:r>
      <w:r w:rsidRPr="00D671DB">
        <w:rPr>
          <w:rFonts w:ascii="Arial" w:eastAsia="Times New Roman" w:hAnsi="Arial" w:cs="Arial"/>
          <w:kern w:val="0"/>
          <w:szCs w:val="21"/>
          <w:lang w:val="sr-Latn-CS"/>
        </w:rPr>
        <w:t>ć</w:t>
      </w:r>
      <w:r w:rsidRPr="00E73F27">
        <w:rPr>
          <w:rFonts w:ascii="Arial" w:eastAsia="Times New Roman" w:hAnsi="Arial" w:cs="Arial"/>
          <w:kern w:val="0"/>
          <w:szCs w:val="21"/>
        </w:rPr>
        <w:t>nim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jesenjim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ki</w:t>
      </w:r>
      <w:r w:rsidRPr="00D671DB">
        <w:rPr>
          <w:rFonts w:ascii="Arial" w:eastAsia="Times New Roman" w:hAnsi="Arial" w:cs="Arial"/>
          <w:kern w:val="0"/>
          <w:szCs w:val="21"/>
          <w:lang w:val="sr-Latn-CS"/>
        </w:rPr>
        <w:t>š</w:t>
      </w:r>
      <w:r w:rsidRPr="00E73F27">
        <w:rPr>
          <w:rFonts w:ascii="Arial" w:eastAsia="Times New Roman" w:hAnsi="Arial" w:cs="Arial"/>
          <w:kern w:val="0"/>
          <w:szCs w:val="21"/>
        </w:rPr>
        <w:t>ama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te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spada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me</w:t>
      </w:r>
      <w:r w:rsidRPr="00D671DB">
        <w:rPr>
          <w:rFonts w:ascii="Arial" w:eastAsia="Times New Roman" w:hAnsi="Arial" w:cs="Arial"/>
          <w:kern w:val="0"/>
          <w:szCs w:val="21"/>
          <w:lang w:val="sr-Latn-CS"/>
        </w:rPr>
        <w:t>đ</w:t>
      </w:r>
      <w:r w:rsidRPr="00E73F27">
        <w:rPr>
          <w:rFonts w:ascii="Arial" w:eastAsia="Times New Roman" w:hAnsi="Arial" w:cs="Arial"/>
          <w:kern w:val="0"/>
          <w:szCs w:val="21"/>
        </w:rPr>
        <w:t>u</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najki</w:t>
      </w:r>
      <w:r w:rsidRPr="00D671DB">
        <w:rPr>
          <w:rFonts w:ascii="Arial" w:eastAsia="Times New Roman" w:hAnsi="Arial" w:cs="Arial"/>
          <w:kern w:val="0"/>
          <w:szCs w:val="21"/>
          <w:lang w:val="sr-Latn-CS"/>
        </w:rPr>
        <w:t>š</w:t>
      </w:r>
      <w:r w:rsidRPr="00E73F27">
        <w:rPr>
          <w:rFonts w:ascii="Arial" w:eastAsia="Times New Roman" w:hAnsi="Arial" w:cs="Arial"/>
          <w:kern w:val="0"/>
          <w:szCs w:val="21"/>
        </w:rPr>
        <w:t>ovitije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gradove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Evrope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sa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oko</w:t>
      </w:r>
      <w:r w:rsidRPr="00D671DB">
        <w:rPr>
          <w:rFonts w:ascii="Arial" w:eastAsia="Times New Roman" w:hAnsi="Arial" w:cs="Arial"/>
          <w:kern w:val="0"/>
          <w:szCs w:val="21"/>
          <w:lang w:val="sr-Latn-CS"/>
        </w:rPr>
        <w:t xml:space="preserve"> 4000 </w:t>
      </w:r>
      <w:r w:rsidRPr="00E73F27">
        <w:rPr>
          <w:rFonts w:ascii="Arial" w:eastAsia="Times New Roman" w:hAnsi="Arial" w:cs="Arial"/>
          <w:kern w:val="0"/>
          <w:szCs w:val="21"/>
        </w:rPr>
        <w:t>mm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vodenog</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taloga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godi</w:t>
      </w:r>
      <w:r w:rsidRPr="00D671DB">
        <w:rPr>
          <w:rFonts w:ascii="Arial" w:eastAsia="Times New Roman" w:hAnsi="Arial" w:cs="Arial"/>
          <w:kern w:val="0"/>
          <w:szCs w:val="21"/>
          <w:lang w:val="sr-Latn-CS"/>
        </w:rPr>
        <w:t>š</w:t>
      </w:r>
      <w:r w:rsidRPr="00E73F27">
        <w:rPr>
          <w:rFonts w:ascii="Arial" w:eastAsia="Times New Roman" w:hAnsi="Arial" w:cs="Arial"/>
          <w:kern w:val="0"/>
          <w:szCs w:val="21"/>
        </w:rPr>
        <w:t>nje</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Prosje</w:t>
      </w:r>
      <w:r w:rsidRPr="00D671DB">
        <w:rPr>
          <w:rFonts w:ascii="Arial" w:eastAsia="Times New Roman" w:hAnsi="Arial" w:cs="Arial"/>
          <w:kern w:val="0"/>
          <w:szCs w:val="21"/>
          <w:lang w:val="sr-Latn-CS"/>
        </w:rPr>
        <w:t>č</w:t>
      </w:r>
      <w:r w:rsidRPr="00E73F27">
        <w:rPr>
          <w:rFonts w:ascii="Arial" w:eastAsia="Times New Roman" w:hAnsi="Arial" w:cs="Arial"/>
          <w:kern w:val="0"/>
          <w:szCs w:val="21"/>
        </w:rPr>
        <w:t>na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godi</w:t>
      </w:r>
      <w:r w:rsidRPr="00D671DB">
        <w:rPr>
          <w:rFonts w:ascii="Arial" w:eastAsia="Times New Roman" w:hAnsi="Arial" w:cs="Arial"/>
          <w:kern w:val="0"/>
          <w:szCs w:val="21"/>
          <w:lang w:val="sr-Latn-CS"/>
        </w:rPr>
        <w:t>š</w:t>
      </w:r>
      <w:r w:rsidRPr="00E73F27">
        <w:rPr>
          <w:rFonts w:ascii="Arial" w:eastAsia="Times New Roman" w:hAnsi="Arial" w:cs="Arial"/>
          <w:kern w:val="0"/>
          <w:szCs w:val="21"/>
        </w:rPr>
        <w:t>nja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koli</w:t>
      </w:r>
      <w:r w:rsidRPr="00D671DB">
        <w:rPr>
          <w:rFonts w:ascii="Arial" w:eastAsia="Times New Roman" w:hAnsi="Arial" w:cs="Arial"/>
          <w:kern w:val="0"/>
          <w:szCs w:val="21"/>
          <w:lang w:val="sr-Latn-CS"/>
        </w:rPr>
        <w:t>č</w:t>
      </w:r>
      <w:r w:rsidRPr="00E73F27">
        <w:rPr>
          <w:rFonts w:ascii="Arial" w:eastAsia="Times New Roman" w:hAnsi="Arial" w:cs="Arial"/>
          <w:kern w:val="0"/>
          <w:szCs w:val="21"/>
        </w:rPr>
        <w:t>ina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padavina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iznosi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oko</w:t>
      </w:r>
      <w:r w:rsidRPr="00D671DB">
        <w:rPr>
          <w:rFonts w:ascii="Arial" w:eastAsia="Times New Roman" w:hAnsi="Arial" w:cs="Arial"/>
          <w:kern w:val="0"/>
          <w:szCs w:val="21"/>
          <w:lang w:val="sr-Latn-CS"/>
        </w:rPr>
        <w:t xml:space="preserve"> 3.200 </w:t>
      </w:r>
      <w:r w:rsidRPr="00E73F27">
        <w:rPr>
          <w:rFonts w:ascii="Arial" w:eastAsia="Times New Roman" w:hAnsi="Arial" w:cs="Arial"/>
          <w:kern w:val="0"/>
          <w:szCs w:val="21"/>
        </w:rPr>
        <w:t>mm</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a</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prosje</w:t>
      </w:r>
      <w:r w:rsidRPr="00D671DB">
        <w:rPr>
          <w:rFonts w:ascii="Arial" w:eastAsia="Times New Roman" w:hAnsi="Arial" w:cs="Arial"/>
          <w:kern w:val="0"/>
          <w:szCs w:val="21"/>
          <w:lang w:val="sr-Latn-CS"/>
        </w:rPr>
        <w:t>č</w:t>
      </w:r>
      <w:r w:rsidRPr="00E73F27">
        <w:rPr>
          <w:rFonts w:ascii="Arial" w:eastAsia="Times New Roman" w:hAnsi="Arial" w:cs="Arial"/>
          <w:kern w:val="0"/>
          <w:szCs w:val="21"/>
        </w:rPr>
        <w:t>an</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godi</w:t>
      </w:r>
      <w:r w:rsidRPr="00D671DB">
        <w:rPr>
          <w:rFonts w:ascii="Arial" w:eastAsia="Times New Roman" w:hAnsi="Arial" w:cs="Arial"/>
          <w:kern w:val="0"/>
          <w:szCs w:val="21"/>
          <w:lang w:val="sr-Latn-CS"/>
        </w:rPr>
        <w:t>š</w:t>
      </w:r>
      <w:r w:rsidRPr="00E73F27">
        <w:rPr>
          <w:rFonts w:ascii="Arial" w:eastAsia="Times New Roman" w:hAnsi="Arial" w:cs="Arial"/>
          <w:kern w:val="0"/>
          <w:szCs w:val="21"/>
        </w:rPr>
        <w:t>nji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snije</w:t>
      </w:r>
      <w:r w:rsidRPr="00D671DB">
        <w:rPr>
          <w:rFonts w:ascii="Arial" w:eastAsia="Times New Roman" w:hAnsi="Arial" w:cs="Arial"/>
          <w:kern w:val="0"/>
          <w:szCs w:val="21"/>
          <w:lang w:val="sr-Latn-CS"/>
        </w:rPr>
        <w:t>ž</w:t>
      </w:r>
      <w:r w:rsidRPr="00E73F27">
        <w:rPr>
          <w:rFonts w:ascii="Arial" w:eastAsia="Times New Roman" w:hAnsi="Arial" w:cs="Arial"/>
          <w:kern w:val="0"/>
          <w:szCs w:val="21"/>
        </w:rPr>
        <w:t>ni</w:t>
      </w:r>
      <w:r w:rsidRPr="00D671DB">
        <w:rPr>
          <w:rFonts w:ascii="Arial" w:eastAsia="Times New Roman" w:hAnsi="Arial" w:cs="Arial"/>
          <w:kern w:val="0"/>
          <w:szCs w:val="21"/>
          <w:lang w:val="sr-Latn-CS"/>
        </w:rPr>
        <w:t xml:space="preserve"> </w:t>
      </w:r>
      <w:r w:rsidRPr="00E73F27">
        <w:rPr>
          <w:rFonts w:ascii="Arial" w:eastAsia="Times New Roman" w:hAnsi="Arial" w:cs="Arial"/>
          <w:kern w:val="0"/>
          <w:szCs w:val="21"/>
        </w:rPr>
        <w:t>pokriva</w:t>
      </w:r>
      <w:r w:rsidRPr="00D671DB">
        <w:rPr>
          <w:rFonts w:ascii="Arial" w:eastAsia="Times New Roman" w:hAnsi="Arial" w:cs="Arial"/>
          <w:kern w:val="0"/>
          <w:szCs w:val="21"/>
          <w:lang w:val="sr-Latn-CS"/>
        </w:rPr>
        <w:t xml:space="preserve">č 119,1 </w:t>
      </w:r>
      <w:r w:rsidRPr="00E73F27">
        <w:rPr>
          <w:rFonts w:ascii="Arial" w:eastAsia="Times New Roman" w:hAnsi="Arial" w:cs="Arial"/>
          <w:kern w:val="0"/>
          <w:szCs w:val="21"/>
        </w:rPr>
        <w:t>cm</w:t>
      </w:r>
      <w:r w:rsidRPr="00D671DB">
        <w:rPr>
          <w:rFonts w:ascii="Arial" w:eastAsia="Times New Roman" w:hAnsi="Arial" w:cs="Arial"/>
          <w:kern w:val="0"/>
          <w:szCs w:val="21"/>
          <w:lang w:val="sr-Latn-CS"/>
        </w:rPr>
        <w:t>.</w:t>
      </w:r>
      <w:r w:rsidRPr="00D671DB">
        <w:rPr>
          <w:rFonts w:ascii="Arial" w:eastAsia="Times New Roman" w:hAnsi="Arial" w:cs="Arial"/>
          <w:kern w:val="0"/>
          <w:szCs w:val="21"/>
          <w:lang w:val="sr-Latn-CS"/>
        </w:rPr>
        <w:br/>
      </w:r>
      <w:r w:rsidRPr="00D671DB">
        <w:rPr>
          <w:rFonts w:ascii="Arial" w:eastAsia="Times New Roman" w:hAnsi="Arial" w:cs="Arial"/>
          <w:kern w:val="0"/>
          <w:szCs w:val="21"/>
          <w:lang w:val="pt-BR"/>
        </w:rPr>
        <w:t>Cetinje spada u najkišovitije gradove Evrope sa oko 4000 mm vodenog taloga godišnje.</w:t>
      </w:r>
    </w:p>
    <w:p w14:paraId="7D4EF50E" w14:textId="77777777" w:rsidR="00E73F27" w:rsidRPr="00D671DB"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lang w:val="pt-BR"/>
        </w:rPr>
      </w:pPr>
      <w:r w:rsidRPr="00D671DB">
        <w:rPr>
          <w:rFonts w:ascii="Arial" w:eastAsia="Times New Roman" w:hAnsi="Arial" w:cs="Arial"/>
          <w:kern w:val="0"/>
          <w:szCs w:val="21"/>
          <w:lang w:val="pt-BR"/>
        </w:rPr>
        <w:t>Prema podacima iz posljednjih godina, najveća količina padavina je u novembru, a najmanje ih je u junu. Prosječna količina padavina, na mjesečnom nivou, je sljedeća: januar 445 mm, februar 443 mm, mart 358 mm, april 206 mm, maj 172 mm, jun 114 mm, jul 61 mm, avgust 75 mm, septembar 181 mm, oktobar 484 mm, novembar 605 mm, decembar 592 mm.</w:t>
      </w:r>
    </w:p>
    <w:p w14:paraId="591C1797" w14:textId="77777777" w:rsidR="00E73F27" w:rsidRPr="00D671DB"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lang w:val="pt-BR"/>
        </w:rPr>
      </w:pPr>
      <w:r w:rsidRPr="00D671DB">
        <w:rPr>
          <w:rFonts w:ascii="Arial" w:eastAsia="Times New Roman" w:hAnsi="Arial" w:cs="Arial"/>
          <w:kern w:val="0"/>
          <w:szCs w:val="21"/>
          <w:lang w:val="pt-BR"/>
        </w:rPr>
        <w:t>No, i pored velikih padavina, Cetinjsko polje i njegova neposredna okolina su bez površinskih vodotoka i sa rijetkim izvorima, što je posljedica kraške konfiguracije i geološkog sastava terena.</w:t>
      </w:r>
    </w:p>
    <w:p w14:paraId="684EC2BA" w14:textId="6267A8B7" w:rsidR="00CC2143" w:rsidRDefault="00CC2143" w:rsidP="003D5374">
      <w:pPr>
        <w:spacing w:after="0" w:line="240" w:lineRule="auto"/>
        <w:jc w:val="both"/>
        <w:rPr>
          <w:rFonts w:ascii="Arial" w:hAnsi="Arial" w:cs="Arial"/>
          <w:lang w:val="sr-Cyrl-CS"/>
        </w:rPr>
      </w:pPr>
    </w:p>
    <w:p w14:paraId="3DC05AC2" w14:textId="77777777" w:rsidR="00E47BDE" w:rsidRPr="00E56DC2" w:rsidRDefault="00E47BDE" w:rsidP="003D5374">
      <w:pPr>
        <w:spacing w:after="0" w:line="240" w:lineRule="auto"/>
        <w:jc w:val="both"/>
        <w:rPr>
          <w:rFonts w:ascii="Arial" w:hAnsi="Arial" w:cs="Arial"/>
          <w:lang w:val="sr-Cyrl-CS"/>
        </w:rPr>
      </w:pPr>
    </w:p>
    <w:p w14:paraId="30913968" w14:textId="0E6E1F0A" w:rsidR="00744584" w:rsidRPr="00E56DC2" w:rsidRDefault="007D5270" w:rsidP="003D5374">
      <w:pPr>
        <w:pStyle w:val="Heading1"/>
        <w:numPr>
          <w:ilvl w:val="0"/>
          <w:numId w:val="0"/>
        </w:numPr>
        <w:jc w:val="both"/>
        <w:rPr>
          <w:rFonts w:ascii="Arial" w:hAnsi="Arial" w:cs="Arial"/>
          <w:sz w:val="22"/>
          <w:szCs w:val="22"/>
        </w:rPr>
      </w:pPr>
      <w:bookmarkStart w:id="10" w:name="_Toc402262933"/>
      <w:r w:rsidRPr="00E56DC2">
        <w:rPr>
          <w:rFonts w:ascii="Arial" w:hAnsi="Arial" w:cs="Arial"/>
          <w:sz w:val="22"/>
          <w:szCs w:val="22"/>
        </w:rPr>
        <w:lastRenderedPageBreak/>
        <w:t xml:space="preserve">2.    </w:t>
      </w:r>
      <w:r w:rsidR="00592620" w:rsidRPr="00E56DC2">
        <w:rPr>
          <w:rFonts w:ascii="Arial" w:hAnsi="Arial" w:cs="Arial"/>
          <w:sz w:val="22"/>
          <w:szCs w:val="22"/>
        </w:rPr>
        <w:t>ROK TRAJANJA KONCESIJE</w:t>
      </w:r>
      <w:bookmarkEnd w:id="10"/>
    </w:p>
    <w:p w14:paraId="4E540A78" w14:textId="77777777" w:rsidR="00744584" w:rsidRPr="00E56DC2" w:rsidRDefault="00744584" w:rsidP="003D5374">
      <w:pPr>
        <w:shd w:val="clear" w:color="auto" w:fill="FFFFFF"/>
        <w:spacing w:after="0" w:line="240" w:lineRule="auto"/>
        <w:jc w:val="both"/>
        <w:rPr>
          <w:rFonts w:ascii="Arial" w:hAnsi="Arial" w:cs="Arial"/>
          <w:lang w:val="sr-Latn-CS"/>
        </w:rPr>
      </w:pPr>
    </w:p>
    <w:p w14:paraId="06C4ACF6" w14:textId="77777777" w:rsidR="001C61D2" w:rsidRPr="00E56DC2" w:rsidRDefault="001C61D2" w:rsidP="003D5374">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14:paraId="422C0354" w14:textId="77777777" w:rsidR="001C61D2" w:rsidRPr="00E56DC2" w:rsidRDefault="001C61D2" w:rsidP="003D5374">
      <w:pPr>
        <w:shd w:val="clear" w:color="auto" w:fill="FFFFFF"/>
        <w:spacing w:after="0" w:line="240" w:lineRule="auto"/>
        <w:jc w:val="both"/>
        <w:rPr>
          <w:rFonts w:ascii="Arial" w:hAnsi="Arial" w:cs="Arial"/>
          <w:lang w:val="sr-Latn-CS"/>
        </w:rPr>
      </w:pPr>
    </w:p>
    <w:p w14:paraId="2D887C91" w14:textId="48336896" w:rsidR="001C61D2" w:rsidRPr="00E56DC2" w:rsidRDefault="001C61D2" w:rsidP="003D5374">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w:t>
      </w:r>
      <w:r w:rsidR="00BC1B3C">
        <w:rPr>
          <w:rFonts w:ascii="Arial" w:hAnsi="Arial" w:cs="Arial"/>
          <w:lang w:val="sr-Latn-CS"/>
        </w:rPr>
        <w:t>lokaliteta</w:t>
      </w:r>
      <w:r w:rsidRPr="00E56DC2">
        <w:rPr>
          <w:rFonts w:ascii="Arial" w:hAnsi="Arial" w:cs="Arial"/>
          <w:lang w:val="sr-Latn-CS"/>
        </w:rPr>
        <w:t xml:space="preserve"> </w:t>
      </w:r>
      <w:r w:rsidR="00BC1B3C">
        <w:rPr>
          <w:rFonts w:ascii="Arial" w:hAnsi="Arial" w:cs="Arial"/>
          <w:lang w:val="sr-Latn-CS"/>
        </w:rPr>
        <w:t>“Milošev krš”</w:t>
      </w:r>
      <w:r w:rsidRPr="00E56DC2">
        <w:rPr>
          <w:rFonts w:ascii="Arial" w:hAnsi="Arial" w:cs="Arial"/>
          <w:lang w:val="sr-Latn-CS"/>
        </w:rPr>
        <w:t xml:space="preserve">, na period od </w:t>
      </w:r>
      <w:r w:rsidR="00801BA0">
        <w:rPr>
          <w:rFonts w:ascii="Arial" w:hAnsi="Arial" w:cs="Arial"/>
          <w:lang w:val="sr-Latn-CS"/>
        </w:rPr>
        <w:t>30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3D5374">
      <w:pPr>
        <w:shd w:val="clear" w:color="auto" w:fill="FFFFFF"/>
        <w:spacing w:after="0" w:line="240" w:lineRule="auto"/>
        <w:jc w:val="both"/>
        <w:rPr>
          <w:rFonts w:ascii="Arial" w:hAnsi="Arial" w:cs="Arial"/>
          <w:lang w:val="sr-Latn-CS"/>
        </w:rPr>
      </w:pPr>
    </w:p>
    <w:p w14:paraId="1E3E7212" w14:textId="3623BEBF" w:rsidR="001C61D2" w:rsidRPr="00E56DC2" w:rsidRDefault="001C61D2" w:rsidP="003D5374">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eksploataciju tehničko-građevinskog kamena iz </w:t>
      </w:r>
      <w:r w:rsidR="00BC1B3C">
        <w:rPr>
          <w:rFonts w:ascii="Arial" w:hAnsi="Arial" w:cs="Arial"/>
          <w:lang w:val="sr-Latn-CS"/>
        </w:rPr>
        <w:t>lokaliteta</w:t>
      </w:r>
      <w:r w:rsidR="006631CA" w:rsidRPr="00E56DC2">
        <w:rPr>
          <w:rFonts w:ascii="Arial" w:hAnsi="Arial" w:cs="Arial"/>
          <w:lang w:val="sr-Latn-CS"/>
        </w:rPr>
        <w:t xml:space="preserve"> </w:t>
      </w:r>
      <w:r w:rsidR="00BC1B3C">
        <w:rPr>
          <w:rFonts w:ascii="Arial" w:hAnsi="Arial" w:cs="Arial"/>
          <w:lang w:val="sr-Latn-CS"/>
        </w:rPr>
        <w:t>“Milošev krš”</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801BA0">
        <w:rPr>
          <w:rFonts w:ascii="Arial" w:eastAsia="Times New Roman" w:hAnsi="Arial" w:cs="Arial"/>
          <w:lang w:val="sr-Latn-CS"/>
        </w:rPr>
        <w:t>30</w:t>
      </w:r>
      <w:r w:rsidRPr="00E56DC2">
        <w:rPr>
          <w:rFonts w:ascii="Arial" w:eastAsia="Times New Roman" w:hAnsi="Arial" w:cs="Arial"/>
          <w:lang w:val="sr-Latn-CS"/>
        </w:rPr>
        <w:t xml:space="preserve"> godina, od čega: </w:t>
      </w:r>
    </w:p>
    <w:p w14:paraId="5CAADB2D" w14:textId="77777777" w:rsidR="001C61D2" w:rsidRPr="00E56DC2" w:rsidRDefault="001C61D2" w:rsidP="003D5374">
      <w:pPr>
        <w:shd w:val="clear" w:color="auto" w:fill="FFFFFF"/>
        <w:spacing w:after="0" w:line="240" w:lineRule="auto"/>
        <w:jc w:val="both"/>
        <w:rPr>
          <w:rFonts w:ascii="Arial" w:eastAsia="Times New Roman" w:hAnsi="Arial" w:cs="Arial"/>
          <w:lang w:val="sr-Latn-CS"/>
        </w:rPr>
      </w:pPr>
    </w:p>
    <w:p w14:paraId="21A747DC" w14:textId="77777777" w:rsidR="001C61D2" w:rsidRPr="00D671DB" w:rsidRDefault="001C61D2" w:rsidP="003D5374">
      <w:pPr>
        <w:pStyle w:val="ListParagraph"/>
        <w:numPr>
          <w:ilvl w:val="0"/>
          <w:numId w:val="32"/>
        </w:numPr>
        <w:suppressAutoHyphens w:val="0"/>
        <w:spacing w:after="0" w:line="240" w:lineRule="auto"/>
        <w:ind w:left="0" w:firstLine="0"/>
        <w:contextualSpacing w:val="0"/>
        <w:jc w:val="both"/>
        <w:rPr>
          <w:rFonts w:ascii="Arial" w:hAnsi="Arial" w:cs="Arial"/>
          <w:lang w:val="pt-BR"/>
        </w:rPr>
      </w:pPr>
      <w:r w:rsidRPr="00D671DB">
        <w:rPr>
          <w:rFonts w:ascii="Arial" w:hAnsi="Arial" w:cs="Arial"/>
          <w:lang w:val="pt-BR"/>
        </w:rPr>
        <w:t>jedna (1) godina za detaljna geološka istraživanja,</w:t>
      </w:r>
    </w:p>
    <w:p w14:paraId="297C75BA" w14:textId="77777777" w:rsidR="001C61D2" w:rsidRPr="00D671DB" w:rsidRDefault="001C61D2" w:rsidP="003D5374">
      <w:pPr>
        <w:pStyle w:val="ListParagraph"/>
        <w:numPr>
          <w:ilvl w:val="0"/>
          <w:numId w:val="32"/>
        </w:numPr>
        <w:suppressAutoHyphens w:val="0"/>
        <w:spacing w:after="0" w:line="240" w:lineRule="auto"/>
        <w:ind w:left="709" w:hanging="709"/>
        <w:contextualSpacing w:val="0"/>
        <w:jc w:val="both"/>
        <w:rPr>
          <w:rFonts w:ascii="Arial" w:hAnsi="Arial" w:cs="Arial"/>
          <w:lang w:val="pt-BR"/>
        </w:rPr>
      </w:pPr>
      <w:r w:rsidRPr="00D671DB">
        <w:rPr>
          <w:rFonts w:ascii="Arial" w:hAnsi="Arial" w:cs="Arial"/>
          <w:lang w:val="pt-BR"/>
        </w:rPr>
        <w:t>jedna (1) godina za: izradu rudarske dokumentacije, pribavljanja odobrenja, saglasnosti i dozvola za izvođenje radova po istoj, pripremu lokaliteta za eksploataciju, instaliranje postrojenja i opreme potrebne za eksploataciju, kao i pribavljanje upotrebne dozvole za izgrađene objekte i</w:t>
      </w:r>
    </w:p>
    <w:p w14:paraId="26BD19E4" w14:textId="58829C5E" w:rsidR="001C61D2" w:rsidRPr="00D671DB" w:rsidRDefault="00801BA0" w:rsidP="003D5374">
      <w:pPr>
        <w:pStyle w:val="ListParagraph"/>
        <w:numPr>
          <w:ilvl w:val="0"/>
          <w:numId w:val="32"/>
        </w:numPr>
        <w:suppressAutoHyphens w:val="0"/>
        <w:spacing w:after="0" w:line="240" w:lineRule="auto"/>
        <w:ind w:left="0" w:firstLine="0"/>
        <w:contextualSpacing w:val="0"/>
        <w:jc w:val="both"/>
        <w:rPr>
          <w:rFonts w:ascii="Arial" w:hAnsi="Arial" w:cs="Arial"/>
          <w:lang w:val="pt-BR"/>
        </w:rPr>
      </w:pPr>
      <w:r w:rsidRPr="00D671DB">
        <w:rPr>
          <w:rFonts w:ascii="Arial" w:hAnsi="Arial" w:cs="Arial"/>
          <w:lang w:val="pt-BR"/>
        </w:rPr>
        <w:t>2</w:t>
      </w:r>
      <w:r w:rsidR="00870E21" w:rsidRPr="00D671DB">
        <w:rPr>
          <w:rFonts w:ascii="Arial" w:hAnsi="Arial" w:cs="Arial"/>
          <w:lang w:val="pt-BR"/>
        </w:rPr>
        <w:t>8</w:t>
      </w:r>
      <w:r w:rsidR="001C61D2" w:rsidRPr="00D671DB">
        <w:rPr>
          <w:rFonts w:ascii="Arial" w:hAnsi="Arial" w:cs="Arial"/>
          <w:lang w:val="pt-BR"/>
        </w:rPr>
        <w:t xml:space="preserve"> (</w:t>
      </w:r>
      <w:r w:rsidR="003D5374" w:rsidRPr="00D671DB">
        <w:rPr>
          <w:rFonts w:ascii="Arial" w:hAnsi="Arial" w:cs="Arial"/>
          <w:lang w:val="pt-BR"/>
        </w:rPr>
        <w:t>dvadeset osam</w:t>
      </w:r>
      <w:r w:rsidR="001C61D2" w:rsidRPr="00D671DB">
        <w:rPr>
          <w:rFonts w:ascii="Arial" w:hAnsi="Arial" w:cs="Arial"/>
          <w:lang w:val="pt-BR"/>
        </w:rPr>
        <w:t>) godina za eksploataciju</w:t>
      </w:r>
      <w:r w:rsidR="00D23A84" w:rsidRPr="00D671DB">
        <w:rPr>
          <w:rFonts w:ascii="Arial" w:hAnsi="Arial" w:cs="Arial"/>
          <w:lang w:val="pt-BR"/>
        </w:rPr>
        <w:t>.</w:t>
      </w:r>
    </w:p>
    <w:p w14:paraId="3F9717F2" w14:textId="77777777" w:rsidR="001C61D2" w:rsidRPr="00E56DC2" w:rsidRDefault="001C61D2" w:rsidP="003D5374">
      <w:pPr>
        <w:shd w:val="clear" w:color="auto" w:fill="FFFFFF"/>
        <w:suppressAutoHyphens w:val="0"/>
        <w:spacing w:after="0" w:line="240" w:lineRule="auto"/>
        <w:jc w:val="both"/>
        <w:rPr>
          <w:rFonts w:ascii="Arial" w:eastAsia="Times New Roman" w:hAnsi="Arial" w:cs="Arial"/>
          <w:lang w:val="sr-Latn-CS"/>
        </w:rPr>
      </w:pPr>
    </w:p>
    <w:p w14:paraId="227E69C5" w14:textId="73912345" w:rsidR="001C61D2" w:rsidRPr="00E56DC2" w:rsidRDefault="001C61D2" w:rsidP="003D5374">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r w:rsidRPr="00E56DC2">
        <w:rPr>
          <w:rFonts w:ascii="Arial" w:eastAsia="Times New Roman" w:hAnsi="Arial" w:cs="Arial"/>
        </w:rPr>
        <w:t>kupan</w:t>
      </w:r>
      <w:r w:rsidRPr="00D671DB">
        <w:rPr>
          <w:rFonts w:ascii="Arial" w:eastAsia="Times New Roman" w:hAnsi="Arial" w:cs="Arial"/>
          <w:lang w:val="sr-Latn-CS"/>
        </w:rPr>
        <w:t xml:space="preserve"> </w:t>
      </w:r>
      <w:r w:rsidRPr="00E56DC2">
        <w:rPr>
          <w:rFonts w:ascii="Arial" w:eastAsia="Times New Roman" w:hAnsi="Arial" w:cs="Arial"/>
        </w:rPr>
        <w:t>koncesioni</w:t>
      </w:r>
      <w:r w:rsidRPr="00D671DB">
        <w:rPr>
          <w:rFonts w:ascii="Arial" w:eastAsia="Times New Roman" w:hAnsi="Arial" w:cs="Arial"/>
          <w:lang w:val="sr-Latn-CS"/>
        </w:rPr>
        <w:t xml:space="preserve"> </w:t>
      </w:r>
      <w:r w:rsidRPr="00E56DC2">
        <w:rPr>
          <w:rFonts w:ascii="Arial" w:eastAsia="Times New Roman" w:hAnsi="Arial" w:cs="Arial"/>
        </w:rPr>
        <w:t>period</w:t>
      </w:r>
      <w:r w:rsidRPr="00D671DB">
        <w:rPr>
          <w:rFonts w:ascii="Arial" w:eastAsia="Times New Roman" w:hAnsi="Arial" w:cs="Arial"/>
          <w:lang w:val="sr-Latn-CS"/>
        </w:rPr>
        <w:t xml:space="preserve">, </w:t>
      </w:r>
      <w:r w:rsidRPr="00E56DC2">
        <w:rPr>
          <w:rFonts w:ascii="Arial" w:eastAsia="Times New Roman" w:hAnsi="Arial" w:cs="Arial"/>
        </w:rPr>
        <w:t>koji</w:t>
      </w:r>
      <w:r w:rsidRPr="00D671DB">
        <w:rPr>
          <w:rFonts w:ascii="Arial" w:eastAsia="Times New Roman" w:hAnsi="Arial" w:cs="Arial"/>
          <w:lang w:val="sr-Latn-CS"/>
        </w:rPr>
        <w:t xml:space="preserve"> </w:t>
      </w:r>
      <w:r w:rsidRPr="00E56DC2">
        <w:rPr>
          <w:rFonts w:ascii="Arial" w:eastAsia="Times New Roman" w:hAnsi="Arial" w:cs="Arial"/>
        </w:rPr>
        <w:t>obuhvata</w:t>
      </w:r>
      <w:r w:rsidRPr="00D671DB">
        <w:rPr>
          <w:rFonts w:ascii="Arial" w:eastAsia="Times New Roman" w:hAnsi="Arial" w:cs="Arial"/>
          <w:lang w:val="sr-Latn-CS"/>
        </w:rPr>
        <w:t xml:space="preserve"> </w:t>
      </w:r>
      <w:r w:rsidRPr="00E56DC2">
        <w:rPr>
          <w:rFonts w:ascii="Arial" w:eastAsia="Times New Roman" w:hAnsi="Arial" w:cs="Arial"/>
        </w:rPr>
        <w:t>sve</w:t>
      </w:r>
      <w:r w:rsidRPr="00D671DB">
        <w:rPr>
          <w:rFonts w:ascii="Arial" w:eastAsia="Times New Roman" w:hAnsi="Arial" w:cs="Arial"/>
          <w:lang w:val="sr-Latn-CS"/>
        </w:rPr>
        <w:t xml:space="preserve"> </w:t>
      </w:r>
      <w:r w:rsidRPr="00E56DC2">
        <w:rPr>
          <w:rFonts w:ascii="Arial" w:eastAsia="Times New Roman" w:hAnsi="Arial" w:cs="Arial"/>
        </w:rPr>
        <w:t>gore</w:t>
      </w:r>
      <w:r w:rsidRPr="00D671DB">
        <w:rPr>
          <w:rFonts w:ascii="Arial" w:eastAsia="Times New Roman" w:hAnsi="Arial" w:cs="Arial"/>
          <w:lang w:val="sr-Latn-CS"/>
        </w:rPr>
        <w:t xml:space="preserve"> </w:t>
      </w:r>
      <w:r w:rsidRPr="00E56DC2">
        <w:rPr>
          <w:rFonts w:ascii="Arial" w:eastAsia="Times New Roman" w:hAnsi="Arial" w:cs="Arial"/>
        </w:rPr>
        <w:t>navedene</w:t>
      </w:r>
      <w:r w:rsidRPr="00D671DB">
        <w:rPr>
          <w:rFonts w:ascii="Arial" w:eastAsia="Times New Roman" w:hAnsi="Arial" w:cs="Arial"/>
          <w:lang w:val="sr-Latn-CS"/>
        </w:rPr>
        <w:t xml:space="preserve"> </w:t>
      </w:r>
      <w:r w:rsidRPr="00E56DC2">
        <w:rPr>
          <w:rFonts w:ascii="Arial" w:eastAsia="Times New Roman" w:hAnsi="Arial" w:cs="Arial"/>
        </w:rPr>
        <w:t>faze</w:t>
      </w:r>
      <w:r w:rsidRPr="00D671DB">
        <w:rPr>
          <w:rFonts w:ascii="Arial" w:eastAsia="Times New Roman" w:hAnsi="Arial" w:cs="Arial"/>
          <w:lang w:val="sr-Latn-CS"/>
        </w:rPr>
        <w:t xml:space="preserve">, </w:t>
      </w:r>
      <w:r w:rsidRPr="00E56DC2">
        <w:rPr>
          <w:rFonts w:ascii="Arial" w:eastAsia="Times New Roman" w:hAnsi="Arial" w:cs="Arial"/>
        </w:rPr>
        <w:t>ne</w:t>
      </w:r>
      <w:r w:rsidRPr="00D671DB">
        <w:rPr>
          <w:rFonts w:ascii="Arial" w:eastAsia="Times New Roman" w:hAnsi="Arial" w:cs="Arial"/>
          <w:lang w:val="sr-Latn-CS"/>
        </w:rPr>
        <w:t xml:space="preserve"> </w:t>
      </w:r>
      <w:r w:rsidRPr="00E56DC2">
        <w:rPr>
          <w:rFonts w:ascii="Arial" w:eastAsia="Times New Roman" w:hAnsi="Arial" w:cs="Arial"/>
        </w:rPr>
        <w:t>prelazi</w:t>
      </w:r>
      <w:r w:rsidRPr="00D671DB">
        <w:rPr>
          <w:rFonts w:ascii="Arial" w:eastAsia="Times New Roman" w:hAnsi="Arial" w:cs="Arial"/>
          <w:lang w:val="sr-Latn-CS"/>
        </w:rPr>
        <w:t xml:space="preserve"> </w:t>
      </w:r>
      <w:r w:rsidRPr="00E56DC2">
        <w:rPr>
          <w:rFonts w:ascii="Arial" w:eastAsia="Times New Roman" w:hAnsi="Arial" w:cs="Arial"/>
        </w:rPr>
        <w:t>zakonom</w:t>
      </w:r>
      <w:r w:rsidRPr="00D671DB">
        <w:rPr>
          <w:rFonts w:ascii="Arial" w:eastAsia="Times New Roman" w:hAnsi="Arial" w:cs="Arial"/>
          <w:lang w:val="sr-Latn-CS"/>
        </w:rPr>
        <w:t xml:space="preserve"> </w:t>
      </w:r>
      <w:r w:rsidRPr="00E56DC2">
        <w:rPr>
          <w:rFonts w:ascii="Arial" w:eastAsia="Times New Roman" w:hAnsi="Arial" w:cs="Arial"/>
        </w:rPr>
        <w:t>definisan</w:t>
      </w:r>
      <w:r w:rsidRPr="00D671DB">
        <w:rPr>
          <w:rFonts w:ascii="Arial" w:eastAsia="Times New Roman" w:hAnsi="Arial" w:cs="Arial"/>
          <w:lang w:val="sr-Latn-CS"/>
        </w:rPr>
        <w:t xml:space="preserve"> </w:t>
      </w:r>
      <w:r w:rsidRPr="00E56DC2">
        <w:rPr>
          <w:rFonts w:ascii="Arial" w:eastAsia="Times New Roman" w:hAnsi="Arial" w:cs="Arial"/>
        </w:rPr>
        <w:t>rok</w:t>
      </w:r>
      <w:r w:rsidRPr="00D671DB">
        <w:rPr>
          <w:rFonts w:ascii="Arial" w:eastAsia="Times New Roman" w:hAnsi="Arial" w:cs="Arial"/>
          <w:lang w:val="sr-Latn-CS"/>
        </w:rPr>
        <w:t xml:space="preserve"> </w:t>
      </w:r>
      <w:r w:rsidRPr="00E56DC2">
        <w:rPr>
          <w:rFonts w:ascii="Arial" w:eastAsia="Times New Roman" w:hAnsi="Arial" w:cs="Arial"/>
        </w:rPr>
        <w:t>trajanja</w:t>
      </w:r>
      <w:r w:rsidRPr="00D671DB">
        <w:rPr>
          <w:rFonts w:ascii="Arial" w:eastAsia="Times New Roman" w:hAnsi="Arial" w:cs="Arial"/>
          <w:lang w:val="sr-Latn-CS"/>
        </w:rPr>
        <w:t xml:space="preserve"> </w:t>
      </w:r>
      <w:r w:rsidRPr="00E56DC2">
        <w:rPr>
          <w:rFonts w:ascii="Arial" w:eastAsia="Times New Roman" w:hAnsi="Arial" w:cs="Arial"/>
        </w:rPr>
        <w:t>koncesije</w:t>
      </w:r>
      <w:r w:rsidRPr="00D671DB">
        <w:rPr>
          <w:rFonts w:ascii="Arial" w:eastAsia="Times New Roman" w:hAnsi="Arial" w:cs="Arial"/>
          <w:lang w:val="sr-Latn-CS"/>
        </w:rPr>
        <w:t xml:space="preserve"> </w:t>
      </w:r>
      <w:r w:rsidRPr="00E56DC2">
        <w:rPr>
          <w:rFonts w:ascii="Arial" w:eastAsia="Times New Roman" w:hAnsi="Arial" w:cs="Arial"/>
        </w:rPr>
        <w:t>od</w:t>
      </w:r>
      <w:r w:rsidRPr="00D671DB">
        <w:rPr>
          <w:rFonts w:ascii="Arial" w:eastAsia="Times New Roman" w:hAnsi="Arial" w:cs="Arial"/>
          <w:lang w:val="sr-Latn-CS"/>
        </w:rPr>
        <w:t xml:space="preserve"> </w:t>
      </w:r>
      <w:r w:rsidR="00801BA0" w:rsidRPr="00D671DB">
        <w:rPr>
          <w:rFonts w:ascii="Arial" w:eastAsia="Times New Roman" w:hAnsi="Arial" w:cs="Arial"/>
          <w:lang w:val="sr-Latn-CS"/>
        </w:rPr>
        <w:t>30</w:t>
      </w:r>
      <w:r w:rsidRPr="00D671DB">
        <w:rPr>
          <w:rFonts w:ascii="Arial" w:eastAsia="Times New Roman" w:hAnsi="Arial" w:cs="Arial"/>
          <w:lang w:val="sr-Latn-CS"/>
        </w:rPr>
        <w:t xml:space="preserve"> </w:t>
      </w:r>
      <w:r w:rsidRPr="00E56DC2">
        <w:rPr>
          <w:rFonts w:ascii="Arial" w:eastAsia="Times New Roman" w:hAnsi="Arial" w:cs="Arial"/>
        </w:rPr>
        <w:t>godina</w:t>
      </w:r>
      <w:r w:rsidRPr="00D671DB">
        <w:rPr>
          <w:rFonts w:ascii="Arial" w:eastAsia="Times New Roman" w:hAnsi="Arial" w:cs="Arial"/>
          <w:lang w:val="sr-Latn-CS"/>
        </w:rPr>
        <w:t>.</w:t>
      </w:r>
    </w:p>
    <w:p w14:paraId="66AC6FA6" w14:textId="77777777" w:rsidR="001C61D2" w:rsidRPr="00E56DC2" w:rsidRDefault="001C61D2" w:rsidP="003D5374">
      <w:pPr>
        <w:shd w:val="clear" w:color="auto" w:fill="FFFFFF"/>
        <w:suppressAutoHyphens w:val="0"/>
        <w:spacing w:after="0" w:line="240" w:lineRule="auto"/>
        <w:jc w:val="both"/>
        <w:rPr>
          <w:rFonts w:ascii="Arial" w:eastAsia="Times New Roman" w:hAnsi="Arial" w:cs="Arial"/>
          <w:lang w:val="sr-Latn-CS"/>
        </w:rPr>
      </w:pPr>
    </w:p>
    <w:p w14:paraId="00441F48" w14:textId="77777777" w:rsidR="001C61D2" w:rsidRPr="00E56DC2" w:rsidRDefault="001C61D2" w:rsidP="003D5374">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18E09364" w14:textId="4D6A4CA2" w:rsidR="00F16AFB" w:rsidRPr="00E56DC2" w:rsidRDefault="00F16AFB" w:rsidP="003D5374">
      <w:pPr>
        <w:suppressAutoHyphens w:val="0"/>
        <w:spacing w:after="0" w:line="240" w:lineRule="auto"/>
        <w:rPr>
          <w:rFonts w:ascii="Arial" w:eastAsia="Times New Roman" w:hAnsi="Arial" w:cs="Arial"/>
          <w:lang w:val="sr-Latn-CS"/>
        </w:rPr>
      </w:pPr>
    </w:p>
    <w:p w14:paraId="020AB4D4" w14:textId="77777777" w:rsidR="007A0970" w:rsidRPr="00E56DC2" w:rsidRDefault="007A0970" w:rsidP="003D5374">
      <w:pPr>
        <w:suppressAutoHyphens w:val="0"/>
        <w:spacing w:after="0" w:line="240" w:lineRule="auto"/>
        <w:rPr>
          <w:rFonts w:ascii="Arial" w:eastAsia="Times New Roman" w:hAnsi="Arial" w:cs="Arial"/>
          <w:lang w:val="sr-Latn-CS"/>
        </w:rPr>
      </w:pPr>
    </w:p>
    <w:p w14:paraId="7A830F75" w14:textId="362FB433" w:rsidR="00744584" w:rsidRPr="00E56DC2" w:rsidRDefault="007D5270" w:rsidP="003D5374">
      <w:pPr>
        <w:pStyle w:val="Heading1"/>
        <w:numPr>
          <w:ilvl w:val="0"/>
          <w:numId w:val="0"/>
        </w:numPr>
        <w:jc w:val="both"/>
        <w:rPr>
          <w:rFonts w:ascii="Arial" w:hAnsi="Arial" w:cs="Arial"/>
          <w:sz w:val="22"/>
          <w:szCs w:val="22"/>
        </w:rPr>
      </w:pPr>
      <w:bookmarkStart w:id="11"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1"/>
    </w:p>
    <w:p w14:paraId="10F4FB2F" w14:textId="77777777" w:rsidR="00744584" w:rsidRPr="00E56DC2" w:rsidRDefault="00744584" w:rsidP="003D5374">
      <w:pPr>
        <w:spacing w:after="0" w:line="240" w:lineRule="auto"/>
        <w:jc w:val="both"/>
        <w:rPr>
          <w:rFonts w:ascii="Arial" w:hAnsi="Arial" w:cs="Arial"/>
          <w:lang w:val="sr-Latn-CS"/>
        </w:rPr>
      </w:pPr>
    </w:p>
    <w:p w14:paraId="21550155" w14:textId="1FE634E3" w:rsidR="003E1049" w:rsidRPr="00D671DB" w:rsidRDefault="003E1049" w:rsidP="003D5374">
      <w:pPr>
        <w:pStyle w:val="ListParagraph"/>
        <w:spacing w:after="0" w:line="240" w:lineRule="auto"/>
        <w:ind w:left="0"/>
        <w:rPr>
          <w:rFonts w:ascii="Arial" w:hAnsi="Arial" w:cs="Arial"/>
          <w:i/>
          <w:u w:val="single"/>
          <w:lang w:val="sr-Latn-CS"/>
        </w:rPr>
      </w:pPr>
      <w:r w:rsidRPr="00E56DC2">
        <w:rPr>
          <w:rFonts w:ascii="Arial" w:hAnsi="Arial" w:cs="Arial"/>
          <w:i/>
          <w:u w:val="single"/>
        </w:rPr>
        <w:t>Opis</w:t>
      </w:r>
      <w:r w:rsidRPr="00E56DC2">
        <w:rPr>
          <w:rFonts w:ascii="Arial" w:hAnsi="Arial" w:cs="Arial"/>
          <w:i/>
          <w:u w:val="single"/>
          <w:lang w:val="sr-Latn-CS"/>
        </w:rPr>
        <w:t xml:space="preserve"> </w:t>
      </w:r>
      <w:r w:rsidRPr="00E56DC2">
        <w:rPr>
          <w:rFonts w:ascii="Arial" w:hAnsi="Arial" w:cs="Arial"/>
          <w:i/>
          <w:u w:val="single"/>
        </w:rPr>
        <w:t>tehni</w:t>
      </w:r>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r w:rsidRPr="00E56DC2">
        <w:rPr>
          <w:rFonts w:ascii="Arial" w:hAnsi="Arial" w:cs="Arial"/>
          <w:i/>
          <w:u w:val="single"/>
        </w:rPr>
        <w:t>tehnolo</w:t>
      </w:r>
      <w:r w:rsidRPr="00E56DC2">
        <w:rPr>
          <w:rFonts w:ascii="Arial" w:hAnsi="Arial" w:cs="Arial"/>
          <w:i/>
          <w:u w:val="single"/>
          <w:lang w:val="sr-Latn-CS"/>
        </w:rPr>
        <w:t>š</w:t>
      </w:r>
      <w:r w:rsidRPr="00E56DC2">
        <w:rPr>
          <w:rFonts w:ascii="Arial" w:hAnsi="Arial" w:cs="Arial"/>
          <w:i/>
          <w:u w:val="single"/>
        </w:rPr>
        <w:t>kog</w:t>
      </w:r>
      <w:r w:rsidRPr="00E56DC2">
        <w:rPr>
          <w:rFonts w:ascii="Arial" w:hAnsi="Arial" w:cs="Arial"/>
          <w:i/>
          <w:u w:val="single"/>
          <w:lang w:val="sr-Latn-CS"/>
        </w:rPr>
        <w:t xml:space="preserve"> </w:t>
      </w:r>
      <w:r w:rsidRPr="00E56DC2">
        <w:rPr>
          <w:rFonts w:ascii="Arial" w:hAnsi="Arial" w:cs="Arial"/>
          <w:i/>
          <w:u w:val="single"/>
        </w:rPr>
        <w:t>procesa</w:t>
      </w:r>
      <w:r w:rsidRPr="00E56DC2">
        <w:rPr>
          <w:rFonts w:ascii="Arial" w:hAnsi="Arial" w:cs="Arial"/>
          <w:i/>
          <w:u w:val="single"/>
          <w:lang w:val="sr-Latn-CS"/>
        </w:rPr>
        <w:t xml:space="preserve"> </w:t>
      </w:r>
      <w:r w:rsidRPr="00E56DC2">
        <w:rPr>
          <w:rFonts w:ascii="Arial" w:hAnsi="Arial" w:cs="Arial"/>
          <w:i/>
          <w:u w:val="single"/>
        </w:rPr>
        <w:t>eksploatacije</w:t>
      </w:r>
    </w:p>
    <w:p w14:paraId="5D87A442" w14:textId="77777777" w:rsidR="00D23A84" w:rsidRPr="00E56DC2" w:rsidRDefault="00D23A84" w:rsidP="003D5374">
      <w:pPr>
        <w:pStyle w:val="ListParagraph"/>
        <w:spacing w:after="0" w:line="240" w:lineRule="auto"/>
        <w:ind w:left="0"/>
        <w:rPr>
          <w:rFonts w:ascii="Arial" w:hAnsi="Arial" w:cs="Arial"/>
          <w:iCs/>
          <w:lang w:val="sr-Latn-CS"/>
        </w:rPr>
      </w:pPr>
    </w:p>
    <w:p w14:paraId="5520E9C0" w14:textId="77777777" w:rsidR="003E1049" w:rsidRPr="00E56DC2" w:rsidRDefault="003E1049" w:rsidP="003D5374">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r w:rsidRPr="00E56DC2">
        <w:rPr>
          <w:rFonts w:ascii="Arial" w:hAnsi="Arial" w:cs="Arial"/>
        </w:rPr>
        <w:t>ovom</w:t>
      </w:r>
      <w:r w:rsidRPr="00E56DC2">
        <w:rPr>
          <w:rFonts w:ascii="Arial" w:hAnsi="Arial" w:cs="Arial"/>
          <w:lang w:val="sr-Latn-CS"/>
        </w:rPr>
        <w:t xml:space="preserve"> </w:t>
      </w:r>
      <w:r w:rsidRPr="00E56DC2">
        <w:rPr>
          <w:rFonts w:ascii="Arial" w:hAnsi="Arial" w:cs="Arial"/>
        </w:rPr>
        <w:t>poglavlju</w:t>
      </w:r>
      <w:r w:rsidRPr="00E56DC2">
        <w:rPr>
          <w:rFonts w:ascii="Arial" w:hAnsi="Arial" w:cs="Arial"/>
          <w:lang w:val="sr-Latn-CS"/>
        </w:rPr>
        <w:t xml:space="preserve"> </w:t>
      </w:r>
      <w:r w:rsidRPr="00E56DC2">
        <w:rPr>
          <w:rFonts w:ascii="Arial" w:hAnsi="Arial" w:cs="Arial"/>
        </w:rPr>
        <w:t>daju</w:t>
      </w:r>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r w:rsidRPr="00E56DC2">
        <w:rPr>
          <w:rFonts w:ascii="Arial" w:hAnsi="Arial" w:cs="Arial"/>
        </w:rPr>
        <w:t>osnovni</w:t>
      </w:r>
      <w:r w:rsidRPr="00E56DC2">
        <w:rPr>
          <w:rFonts w:ascii="Arial" w:hAnsi="Arial" w:cs="Arial"/>
          <w:lang w:val="sr-Latn-CS"/>
        </w:rPr>
        <w:t xml:space="preserve"> </w:t>
      </w:r>
      <w:r w:rsidRPr="00E56DC2">
        <w:rPr>
          <w:rFonts w:ascii="Arial" w:hAnsi="Arial" w:cs="Arial"/>
        </w:rPr>
        <w:t>parametri</w:t>
      </w:r>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r w:rsidRPr="00E56DC2">
        <w:rPr>
          <w:rFonts w:ascii="Arial" w:hAnsi="Arial" w:cs="Arial"/>
        </w:rPr>
        <w:t>treba</w:t>
      </w:r>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r w:rsidRPr="00E56DC2">
        <w:rPr>
          <w:rFonts w:ascii="Arial" w:hAnsi="Arial" w:cs="Arial"/>
        </w:rPr>
        <w:t>poslu</w:t>
      </w:r>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r w:rsidRPr="00E56DC2">
        <w:rPr>
          <w:rFonts w:ascii="Arial" w:hAnsi="Arial" w:cs="Arial"/>
        </w:rPr>
        <w:t>ponu</w:t>
      </w:r>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r w:rsidRPr="00E56DC2">
        <w:rPr>
          <w:rFonts w:ascii="Arial" w:hAnsi="Arial" w:cs="Arial"/>
        </w:rPr>
        <w:t>ima</w:t>
      </w:r>
      <w:r w:rsidRPr="00E56DC2">
        <w:rPr>
          <w:rFonts w:ascii="Arial" w:hAnsi="Arial" w:cs="Arial"/>
          <w:lang w:val="sr-Latn-CS"/>
        </w:rPr>
        <w:t xml:space="preserve">, </w:t>
      </w:r>
      <w:r w:rsidRPr="00E56DC2">
        <w:rPr>
          <w:rFonts w:ascii="Arial" w:hAnsi="Arial" w:cs="Arial"/>
        </w:rPr>
        <w:t>odnosno</w:t>
      </w:r>
      <w:r w:rsidRPr="00E56DC2">
        <w:rPr>
          <w:rFonts w:ascii="Arial" w:hAnsi="Arial" w:cs="Arial"/>
          <w:lang w:val="sr-Latn-CS"/>
        </w:rPr>
        <w:t xml:space="preserve"> </w:t>
      </w:r>
      <w:r w:rsidRPr="00E56DC2">
        <w:rPr>
          <w:rFonts w:ascii="Arial" w:hAnsi="Arial" w:cs="Arial"/>
        </w:rPr>
        <w:t>potencijalnim</w:t>
      </w:r>
      <w:r w:rsidRPr="00E56DC2">
        <w:rPr>
          <w:rFonts w:ascii="Arial" w:hAnsi="Arial" w:cs="Arial"/>
          <w:lang w:val="sr-Latn-CS"/>
        </w:rPr>
        <w:t xml:space="preserve"> </w:t>
      </w:r>
      <w:r w:rsidRPr="00E56DC2">
        <w:rPr>
          <w:rFonts w:ascii="Arial" w:hAnsi="Arial" w:cs="Arial"/>
        </w:rPr>
        <w:t>investitorima</w:t>
      </w:r>
      <w:r w:rsidRPr="00E56DC2">
        <w:rPr>
          <w:rFonts w:ascii="Arial" w:hAnsi="Arial" w:cs="Arial"/>
          <w:lang w:val="sr-Latn-CS"/>
        </w:rPr>
        <w:t xml:space="preserve"> </w:t>
      </w:r>
      <w:r w:rsidRPr="00E56DC2">
        <w:rPr>
          <w:rFonts w:ascii="Arial" w:hAnsi="Arial" w:cs="Arial"/>
        </w:rPr>
        <w:t>pri</w:t>
      </w:r>
      <w:r w:rsidRPr="00E56DC2">
        <w:rPr>
          <w:rFonts w:ascii="Arial" w:hAnsi="Arial" w:cs="Arial"/>
          <w:lang w:val="sr-Latn-CS"/>
        </w:rPr>
        <w:t xml:space="preserve"> </w:t>
      </w:r>
      <w:r w:rsidRPr="00E56DC2">
        <w:rPr>
          <w:rFonts w:ascii="Arial" w:hAnsi="Arial" w:cs="Arial"/>
        </w:rPr>
        <w:t>obradi</w:t>
      </w:r>
      <w:r w:rsidRPr="00E56DC2">
        <w:rPr>
          <w:rFonts w:ascii="Arial" w:hAnsi="Arial" w:cs="Arial"/>
          <w:lang w:val="sr-Latn-CS"/>
        </w:rPr>
        <w:t xml:space="preserve"> </w:t>
      </w:r>
      <w:r w:rsidRPr="00E56DC2">
        <w:rPr>
          <w:rFonts w:ascii="Arial" w:hAnsi="Arial" w:cs="Arial"/>
        </w:rPr>
        <w:t>proizvodnog</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ekonomskog</w:t>
      </w:r>
      <w:r w:rsidRPr="00E56DC2">
        <w:rPr>
          <w:rFonts w:ascii="Arial" w:hAnsi="Arial" w:cs="Arial"/>
          <w:lang w:val="sr-Latn-CS"/>
        </w:rPr>
        <w:t xml:space="preserve"> </w:t>
      </w:r>
      <w:r w:rsidRPr="00E56DC2">
        <w:rPr>
          <w:rFonts w:ascii="Arial" w:hAnsi="Arial" w:cs="Arial"/>
        </w:rPr>
        <w:t>aspekta</w:t>
      </w:r>
      <w:r w:rsidRPr="00E56DC2">
        <w:rPr>
          <w:rFonts w:ascii="Arial" w:hAnsi="Arial" w:cs="Arial"/>
          <w:lang w:val="sr-Latn-CS"/>
        </w:rPr>
        <w:t xml:space="preserve"> </w:t>
      </w:r>
      <w:r w:rsidRPr="00E56DC2">
        <w:rPr>
          <w:rFonts w:ascii="Arial" w:hAnsi="Arial" w:cs="Arial"/>
        </w:rPr>
        <w:t>ponude</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ekonomske</w:t>
      </w:r>
      <w:r w:rsidRPr="00E56DC2">
        <w:rPr>
          <w:rFonts w:ascii="Arial" w:hAnsi="Arial" w:cs="Arial"/>
          <w:lang w:val="sr-Latn-CS"/>
        </w:rPr>
        <w:t xml:space="preserve"> </w:t>
      </w:r>
      <w:r w:rsidRPr="00E56DC2">
        <w:rPr>
          <w:rFonts w:ascii="Arial" w:hAnsi="Arial" w:cs="Arial"/>
        </w:rPr>
        <w:t>ocjene</w:t>
      </w:r>
      <w:r w:rsidRPr="00E56DC2">
        <w:rPr>
          <w:rFonts w:ascii="Arial" w:hAnsi="Arial" w:cs="Arial"/>
          <w:lang w:val="sr-Latn-CS"/>
        </w:rPr>
        <w:t xml:space="preserve"> </w:t>
      </w:r>
      <w:r w:rsidRPr="00E56DC2">
        <w:rPr>
          <w:rFonts w:ascii="Arial" w:hAnsi="Arial" w:cs="Arial"/>
        </w:rPr>
        <w:t>opravdanosti</w:t>
      </w:r>
      <w:r w:rsidRPr="00E56DC2">
        <w:rPr>
          <w:rFonts w:ascii="Arial" w:hAnsi="Arial" w:cs="Arial"/>
          <w:lang w:val="sr-Latn-CS"/>
        </w:rPr>
        <w:t xml:space="preserve"> </w:t>
      </w:r>
      <w:r w:rsidRPr="00E56DC2">
        <w:rPr>
          <w:rFonts w:ascii="Arial" w:hAnsi="Arial" w:cs="Arial"/>
        </w:rPr>
        <w:t>ove</w:t>
      </w:r>
      <w:r w:rsidRPr="00E56DC2">
        <w:rPr>
          <w:rFonts w:ascii="Arial" w:hAnsi="Arial" w:cs="Arial"/>
          <w:lang w:val="sr-Latn-CS"/>
        </w:rPr>
        <w:t xml:space="preserve"> </w:t>
      </w:r>
      <w:r w:rsidRPr="00E56DC2">
        <w:rPr>
          <w:rFonts w:ascii="Arial" w:hAnsi="Arial" w:cs="Arial"/>
        </w:rPr>
        <w:t>investicije</w:t>
      </w:r>
      <w:r w:rsidRPr="00E56DC2">
        <w:rPr>
          <w:rFonts w:ascii="Arial" w:hAnsi="Arial" w:cs="Arial"/>
          <w:lang w:val="sr-Latn-CS"/>
        </w:rPr>
        <w:t>.</w:t>
      </w:r>
    </w:p>
    <w:p w14:paraId="6AB45CB7" w14:textId="77777777" w:rsidR="00744584" w:rsidRPr="00E56DC2" w:rsidRDefault="00744584" w:rsidP="003D5374">
      <w:pPr>
        <w:spacing w:after="0" w:line="240" w:lineRule="auto"/>
        <w:jc w:val="both"/>
        <w:rPr>
          <w:rFonts w:ascii="Arial" w:eastAsia="Calibri" w:hAnsi="Arial" w:cs="Arial"/>
          <w:lang w:val="sr-Latn-CS"/>
        </w:rPr>
      </w:pPr>
    </w:p>
    <w:p w14:paraId="2455BCE3" w14:textId="77777777" w:rsidR="00744584" w:rsidRPr="00E56DC2" w:rsidRDefault="00744584" w:rsidP="003D5374">
      <w:pPr>
        <w:pStyle w:val="Heading2"/>
        <w:numPr>
          <w:ilvl w:val="1"/>
          <w:numId w:val="20"/>
        </w:numPr>
      </w:pPr>
      <w:bookmarkStart w:id="12" w:name="_Toc402262936"/>
      <w:r w:rsidRPr="00E56DC2">
        <w:t>Ocjena mogućnosti korišćenja mineralne sirovine</w:t>
      </w:r>
      <w:bookmarkEnd w:id="12"/>
    </w:p>
    <w:p w14:paraId="083C133B" w14:textId="77777777" w:rsidR="00744584" w:rsidRPr="00E56DC2" w:rsidRDefault="00744584" w:rsidP="003D5374">
      <w:pPr>
        <w:spacing w:after="0" w:line="240" w:lineRule="auto"/>
        <w:jc w:val="both"/>
        <w:rPr>
          <w:rFonts w:ascii="Arial" w:hAnsi="Arial" w:cs="Arial"/>
          <w:lang w:val="sr-Latn-CS"/>
        </w:rPr>
      </w:pPr>
    </w:p>
    <w:p w14:paraId="03BA6BD8" w14:textId="396EAE6C" w:rsidR="00744584" w:rsidRPr="00E56DC2" w:rsidRDefault="008916D9" w:rsidP="003D5374">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D671DB">
        <w:rPr>
          <w:rFonts w:ascii="Arial" w:eastAsia="Calibri" w:hAnsi="Arial" w:cs="Arial"/>
          <w:lang w:val="sr-Latn-CS"/>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3D5374">
      <w:pPr>
        <w:spacing w:after="0" w:line="240" w:lineRule="auto"/>
        <w:jc w:val="both"/>
        <w:rPr>
          <w:rFonts w:ascii="Arial" w:eastAsia="Calibri" w:hAnsi="Arial" w:cs="Arial"/>
          <w:lang w:val="sr-Latn-CS"/>
        </w:rPr>
      </w:pPr>
    </w:p>
    <w:p w14:paraId="0EE080AD" w14:textId="37B54FDE" w:rsidR="00754CD0" w:rsidRPr="00E56DC2" w:rsidRDefault="00744584" w:rsidP="003D5374">
      <w:pPr>
        <w:pStyle w:val="Heading2"/>
        <w:numPr>
          <w:ilvl w:val="1"/>
          <w:numId w:val="20"/>
        </w:numPr>
      </w:pPr>
      <w:bookmarkStart w:id="13" w:name="_Toc402262937"/>
      <w:r w:rsidRPr="00E56DC2">
        <w:t>Proizvodni kapacitet i vijek eksploatacije</w:t>
      </w:r>
      <w:bookmarkEnd w:id="13"/>
    </w:p>
    <w:p w14:paraId="41C5D3F6" w14:textId="77777777" w:rsidR="00D23A84" w:rsidRPr="00E56DC2" w:rsidRDefault="00D23A84" w:rsidP="003D5374">
      <w:pPr>
        <w:spacing w:after="0" w:line="240" w:lineRule="auto"/>
        <w:rPr>
          <w:lang w:val="sr-Latn-CS"/>
        </w:rPr>
      </w:pPr>
    </w:p>
    <w:p w14:paraId="3DF200C4" w14:textId="76B577CE" w:rsidR="000956DB" w:rsidRPr="00D671DB" w:rsidRDefault="000956DB" w:rsidP="003D5374">
      <w:pPr>
        <w:spacing w:after="0" w:line="240" w:lineRule="auto"/>
        <w:jc w:val="both"/>
        <w:rPr>
          <w:rFonts w:ascii="Arial" w:hAnsi="Arial" w:cs="Arial"/>
          <w:lang w:val="sr-Latn-CS"/>
        </w:rPr>
      </w:pPr>
      <w:r w:rsidRPr="00D14F43">
        <w:rPr>
          <w:rFonts w:ascii="Arial" w:hAnsi="Arial" w:cs="Arial"/>
        </w:rPr>
        <w:t>Na</w:t>
      </w:r>
      <w:r w:rsidRPr="00D671DB">
        <w:rPr>
          <w:rFonts w:ascii="Arial" w:hAnsi="Arial" w:cs="Arial"/>
          <w:lang w:val="sr-Latn-CS"/>
        </w:rPr>
        <w:t xml:space="preserve"> </w:t>
      </w:r>
      <w:r w:rsidRPr="00D14F43">
        <w:rPr>
          <w:rFonts w:ascii="Arial" w:hAnsi="Arial" w:cs="Arial"/>
        </w:rPr>
        <w:t>bazi</w:t>
      </w:r>
      <w:r w:rsidRPr="00D671DB">
        <w:rPr>
          <w:rFonts w:ascii="Arial" w:hAnsi="Arial" w:cs="Arial"/>
          <w:lang w:val="sr-Latn-CS"/>
        </w:rPr>
        <w:t xml:space="preserve"> </w:t>
      </w:r>
      <w:r w:rsidRPr="00D14F43">
        <w:rPr>
          <w:rFonts w:ascii="Arial" w:hAnsi="Arial" w:cs="Arial"/>
        </w:rPr>
        <w:t>izvr</w:t>
      </w:r>
      <w:r w:rsidRPr="00D671DB">
        <w:rPr>
          <w:rFonts w:ascii="Arial" w:hAnsi="Arial" w:cs="Arial"/>
          <w:lang w:val="sr-Latn-CS"/>
        </w:rPr>
        <w:t>š</w:t>
      </w:r>
      <w:r w:rsidRPr="00D14F43">
        <w:rPr>
          <w:rFonts w:ascii="Arial" w:hAnsi="Arial" w:cs="Arial"/>
        </w:rPr>
        <w:t>ene</w:t>
      </w:r>
      <w:r w:rsidRPr="00D671DB">
        <w:rPr>
          <w:rFonts w:ascii="Arial" w:hAnsi="Arial" w:cs="Arial"/>
          <w:lang w:val="sr-Latn-CS"/>
        </w:rPr>
        <w:t xml:space="preserve"> </w:t>
      </w:r>
      <w:r w:rsidRPr="00D14F43">
        <w:rPr>
          <w:rFonts w:ascii="Arial" w:hAnsi="Arial" w:cs="Arial"/>
        </w:rPr>
        <w:t>procjene</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 xml:space="preserve"> </w:t>
      </w:r>
      <w:r w:rsidRPr="00D14F43">
        <w:rPr>
          <w:rFonts w:ascii="Arial" w:hAnsi="Arial" w:cs="Arial"/>
        </w:rPr>
        <w:t>lokalitetu</w:t>
      </w:r>
      <w:r w:rsidRPr="00D671DB">
        <w:rPr>
          <w:rFonts w:ascii="Arial" w:hAnsi="Arial" w:cs="Arial"/>
          <w:lang w:val="sr-Latn-CS"/>
        </w:rPr>
        <w:t xml:space="preserve"> </w:t>
      </w:r>
      <w:r w:rsidRPr="00D14F43">
        <w:rPr>
          <w:rFonts w:ascii="Arial" w:hAnsi="Arial" w:cs="Arial"/>
        </w:rPr>
        <w:t>tehni</w:t>
      </w:r>
      <w:r w:rsidRPr="00D671DB">
        <w:rPr>
          <w:rFonts w:ascii="Arial" w:hAnsi="Arial" w:cs="Arial"/>
          <w:lang w:val="sr-Latn-CS"/>
        </w:rPr>
        <w:t>č</w:t>
      </w:r>
      <w:r w:rsidRPr="00D14F43">
        <w:rPr>
          <w:rFonts w:ascii="Arial" w:hAnsi="Arial" w:cs="Arial"/>
        </w:rPr>
        <w:t>ko</w:t>
      </w:r>
      <w:r w:rsidRPr="00D671DB">
        <w:rPr>
          <w:rFonts w:ascii="Arial" w:hAnsi="Arial" w:cs="Arial"/>
          <w:lang w:val="sr-Latn-CS"/>
        </w:rPr>
        <w:t>-</w:t>
      </w:r>
      <w:r w:rsidRPr="00D14F43">
        <w:rPr>
          <w:rFonts w:ascii="Arial" w:hAnsi="Arial" w:cs="Arial"/>
        </w:rPr>
        <w:t>gra</w:t>
      </w:r>
      <w:r w:rsidRPr="00D671DB">
        <w:rPr>
          <w:rFonts w:ascii="Arial" w:hAnsi="Arial" w:cs="Arial"/>
          <w:lang w:val="sr-Latn-CS"/>
        </w:rPr>
        <w:t>đ</w:t>
      </w:r>
      <w:r w:rsidRPr="00D14F43">
        <w:rPr>
          <w:rFonts w:ascii="Arial" w:hAnsi="Arial" w:cs="Arial"/>
        </w:rPr>
        <w:t>evinskog</w:t>
      </w:r>
      <w:r w:rsidRPr="00D671DB">
        <w:rPr>
          <w:rFonts w:ascii="Arial" w:hAnsi="Arial" w:cs="Arial"/>
          <w:lang w:val="sr-Latn-CS"/>
        </w:rPr>
        <w:t xml:space="preserve"> </w:t>
      </w:r>
      <w:r w:rsidRPr="00D14F43">
        <w:rPr>
          <w:rFonts w:ascii="Arial" w:hAnsi="Arial" w:cs="Arial"/>
        </w:rPr>
        <w:t>kamena</w:t>
      </w:r>
      <w:r w:rsidRPr="00D671DB">
        <w:rPr>
          <w:rFonts w:ascii="Arial" w:hAnsi="Arial" w:cs="Arial"/>
          <w:lang w:val="sr-Latn-CS"/>
        </w:rPr>
        <w:t xml:space="preserve"> “</w:t>
      </w:r>
      <w:r>
        <w:rPr>
          <w:rFonts w:ascii="Arial" w:hAnsi="Arial" w:cs="Arial"/>
        </w:rPr>
        <w:t>Milo</w:t>
      </w:r>
      <w:r w:rsidRPr="00D671DB">
        <w:rPr>
          <w:rFonts w:ascii="Arial" w:hAnsi="Arial" w:cs="Arial"/>
          <w:lang w:val="sr-Latn-CS"/>
        </w:rPr>
        <w:t>š</w:t>
      </w:r>
      <w:r>
        <w:rPr>
          <w:rFonts w:ascii="Arial" w:hAnsi="Arial" w:cs="Arial"/>
        </w:rPr>
        <w:t>ev</w:t>
      </w:r>
      <w:r w:rsidRPr="00D671DB">
        <w:rPr>
          <w:rFonts w:ascii="Arial" w:hAnsi="Arial" w:cs="Arial"/>
          <w:lang w:val="sr-Latn-CS"/>
        </w:rPr>
        <w:t xml:space="preserve"> </w:t>
      </w:r>
      <w:r>
        <w:rPr>
          <w:rFonts w:ascii="Arial" w:hAnsi="Arial" w:cs="Arial"/>
        </w:rPr>
        <w:t>kr</w:t>
      </w:r>
      <w:r w:rsidRPr="00D671DB">
        <w:rPr>
          <w:rFonts w:ascii="Arial" w:hAnsi="Arial" w:cs="Arial"/>
          <w:lang w:val="sr-Latn-CS"/>
        </w:rPr>
        <w:t xml:space="preserve">š”, </w:t>
      </w:r>
      <w:r w:rsidRPr="00D14F43">
        <w:rPr>
          <w:rFonts w:ascii="Arial" w:hAnsi="Arial" w:cs="Arial"/>
        </w:rPr>
        <w:t>uzimaju</w:t>
      </w:r>
      <w:r w:rsidRPr="00D671DB">
        <w:rPr>
          <w:rFonts w:ascii="Arial" w:hAnsi="Arial" w:cs="Arial"/>
          <w:lang w:val="sr-Latn-CS"/>
        </w:rPr>
        <w:t>ć</w:t>
      </w:r>
      <w:r w:rsidRPr="00D14F43">
        <w:rPr>
          <w:rFonts w:ascii="Arial" w:hAnsi="Arial" w:cs="Arial"/>
        </w:rPr>
        <w:t>i</w:t>
      </w:r>
      <w:r w:rsidRPr="00D671DB">
        <w:rPr>
          <w:rFonts w:ascii="Arial" w:hAnsi="Arial" w:cs="Arial"/>
          <w:lang w:val="sr-Latn-CS"/>
        </w:rPr>
        <w:t xml:space="preserve"> </w:t>
      </w:r>
      <w:r w:rsidRPr="00D14F43">
        <w:rPr>
          <w:rFonts w:ascii="Arial" w:hAnsi="Arial" w:cs="Arial"/>
        </w:rPr>
        <w:t>u</w:t>
      </w:r>
      <w:r w:rsidRPr="00D671DB">
        <w:rPr>
          <w:rFonts w:ascii="Arial" w:hAnsi="Arial" w:cs="Arial"/>
          <w:lang w:val="sr-Latn-CS"/>
        </w:rPr>
        <w:t xml:space="preserve"> </w:t>
      </w:r>
      <w:r w:rsidRPr="00D14F43">
        <w:rPr>
          <w:rFonts w:ascii="Arial" w:hAnsi="Arial" w:cs="Arial"/>
        </w:rPr>
        <w:t>obzir</w:t>
      </w:r>
      <w:r w:rsidRPr="00D671DB">
        <w:rPr>
          <w:rFonts w:ascii="Arial" w:hAnsi="Arial" w:cs="Arial"/>
          <w:lang w:val="sr-Latn-CS"/>
        </w:rPr>
        <w:t xml:space="preserve"> </w:t>
      </w:r>
      <w:r w:rsidRPr="00D14F43">
        <w:rPr>
          <w:rFonts w:ascii="Arial" w:hAnsi="Arial" w:cs="Arial"/>
        </w:rPr>
        <w:t>povr</w:t>
      </w:r>
      <w:r w:rsidRPr="00D671DB">
        <w:rPr>
          <w:rFonts w:ascii="Arial" w:hAnsi="Arial" w:cs="Arial"/>
          <w:lang w:val="sr-Latn-CS"/>
        </w:rPr>
        <w:t>š</w:t>
      </w:r>
      <w:r w:rsidRPr="00D14F43">
        <w:rPr>
          <w:rFonts w:ascii="Arial" w:hAnsi="Arial" w:cs="Arial"/>
        </w:rPr>
        <w:t>inu</w:t>
      </w:r>
      <w:r w:rsidRPr="00D671DB">
        <w:rPr>
          <w:rFonts w:ascii="Arial" w:hAnsi="Arial" w:cs="Arial"/>
          <w:lang w:val="sr-Latn-CS"/>
        </w:rPr>
        <w:t xml:space="preserve"> </w:t>
      </w:r>
      <w:r w:rsidRPr="00D14F43">
        <w:rPr>
          <w:rFonts w:ascii="Arial" w:hAnsi="Arial" w:cs="Arial"/>
        </w:rPr>
        <w:t>prostora</w:t>
      </w:r>
      <w:r w:rsidRPr="00D671DB">
        <w:rPr>
          <w:rFonts w:ascii="Arial" w:hAnsi="Arial" w:cs="Arial"/>
          <w:lang w:val="sr-Latn-CS"/>
        </w:rPr>
        <w:t xml:space="preserve"> </w:t>
      </w:r>
      <w:r w:rsidRPr="00D14F43">
        <w:rPr>
          <w:rFonts w:ascii="Arial" w:hAnsi="Arial" w:cs="Arial"/>
        </w:rPr>
        <w:t>i</w:t>
      </w:r>
      <w:r w:rsidRPr="00D671DB">
        <w:rPr>
          <w:rFonts w:ascii="Arial" w:hAnsi="Arial" w:cs="Arial"/>
          <w:lang w:val="sr-Latn-CS"/>
        </w:rPr>
        <w:t xml:space="preserve"> </w:t>
      </w:r>
      <w:r w:rsidRPr="00D14F43">
        <w:rPr>
          <w:rFonts w:ascii="Arial" w:hAnsi="Arial" w:cs="Arial"/>
        </w:rPr>
        <w:t>morfolo</w:t>
      </w:r>
      <w:r w:rsidRPr="00D671DB">
        <w:rPr>
          <w:rFonts w:ascii="Arial" w:hAnsi="Arial" w:cs="Arial"/>
          <w:lang w:val="sr-Latn-CS"/>
        </w:rPr>
        <w:t>š</w:t>
      </w:r>
      <w:r w:rsidRPr="00D14F43">
        <w:rPr>
          <w:rFonts w:ascii="Arial" w:hAnsi="Arial" w:cs="Arial"/>
        </w:rPr>
        <w:t>ke</w:t>
      </w:r>
      <w:r w:rsidRPr="00D671DB">
        <w:rPr>
          <w:rFonts w:ascii="Arial" w:hAnsi="Arial" w:cs="Arial"/>
          <w:lang w:val="sr-Latn-CS"/>
        </w:rPr>
        <w:t xml:space="preserve"> </w:t>
      </w:r>
      <w:r w:rsidRPr="00D14F43">
        <w:rPr>
          <w:rFonts w:ascii="Arial" w:hAnsi="Arial" w:cs="Arial"/>
        </w:rPr>
        <w:t>karakteristike</w:t>
      </w:r>
      <w:r w:rsidRPr="00D671DB">
        <w:rPr>
          <w:rFonts w:ascii="Arial" w:hAnsi="Arial" w:cs="Arial"/>
          <w:lang w:val="sr-Latn-CS"/>
        </w:rPr>
        <w:t xml:space="preserve">, </w:t>
      </w:r>
      <w:r w:rsidRPr="00D14F43">
        <w:rPr>
          <w:rFonts w:ascii="Arial" w:hAnsi="Arial" w:cs="Arial"/>
        </w:rPr>
        <w:t>potencijalne</w:t>
      </w:r>
      <w:r w:rsidRPr="00D671DB">
        <w:rPr>
          <w:rFonts w:ascii="Arial" w:hAnsi="Arial" w:cs="Arial"/>
          <w:lang w:val="sr-Latn-CS"/>
        </w:rPr>
        <w:t xml:space="preserve"> </w:t>
      </w:r>
      <w:r w:rsidRPr="00D14F43">
        <w:rPr>
          <w:rFonts w:ascii="Arial" w:hAnsi="Arial" w:cs="Arial"/>
        </w:rPr>
        <w:t>geolo</w:t>
      </w:r>
      <w:r w:rsidRPr="00D671DB">
        <w:rPr>
          <w:rFonts w:ascii="Arial" w:hAnsi="Arial" w:cs="Arial"/>
          <w:lang w:val="sr-Latn-CS"/>
        </w:rPr>
        <w:t>š</w:t>
      </w:r>
      <w:r w:rsidRPr="00D14F43">
        <w:rPr>
          <w:rFonts w:ascii="Arial" w:hAnsi="Arial" w:cs="Arial"/>
        </w:rPr>
        <w:t>ke</w:t>
      </w:r>
      <w:r w:rsidRPr="00D671DB">
        <w:rPr>
          <w:rFonts w:ascii="Arial" w:hAnsi="Arial" w:cs="Arial"/>
          <w:lang w:val="sr-Latn-CS"/>
        </w:rPr>
        <w:t xml:space="preserve"> </w:t>
      </w:r>
      <w:r w:rsidRPr="00D14F43">
        <w:rPr>
          <w:rFonts w:ascii="Arial" w:hAnsi="Arial" w:cs="Arial"/>
        </w:rPr>
        <w:t>rezerve</w:t>
      </w:r>
      <w:r w:rsidRPr="00D671DB">
        <w:rPr>
          <w:rFonts w:ascii="Arial" w:hAnsi="Arial" w:cs="Arial"/>
          <w:lang w:val="sr-Latn-CS"/>
        </w:rPr>
        <w:t xml:space="preserve"> </w:t>
      </w:r>
      <w:r w:rsidRPr="00D14F43">
        <w:rPr>
          <w:rFonts w:ascii="Arial" w:hAnsi="Arial" w:cs="Arial"/>
        </w:rPr>
        <w:t>tehni</w:t>
      </w:r>
      <w:r w:rsidRPr="00D671DB">
        <w:rPr>
          <w:rFonts w:ascii="Arial" w:hAnsi="Arial" w:cs="Arial"/>
          <w:lang w:val="sr-Latn-CS"/>
        </w:rPr>
        <w:t>č</w:t>
      </w:r>
      <w:r w:rsidRPr="00D14F43">
        <w:rPr>
          <w:rFonts w:ascii="Arial" w:hAnsi="Arial" w:cs="Arial"/>
        </w:rPr>
        <w:t>ko</w:t>
      </w:r>
      <w:r w:rsidRPr="00D671DB">
        <w:rPr>
          <w:rFonts w:ascii="Arial" w:hAnsi="Arial" w:cs="Arial"/>
          <w:lang w:val="sr-Latn-CS"/>
        </w:rPr>
        <w:t>-</w:t>
      </w:r>
      <w:r w:rsidRPr="00D14F43">
        <w:rPr>
          <w:rFonts w:ascii="Arial" w:hAnsi="Arial" w:cs="Arial"/>
        </w:rPr>
        <w:t>gra</w:t>
      </w:r>
      <w:r w:rsidRPr="00D671DB">
        <w:rPr>
          <w:rFonts w:ascii="Arial" w:hAnsi="Arial" w:cs="Arial"/>
          <w:lang w:val="sr-Latn-CS"/>
        </w:rPr>
        <w:t>đ</w:t>
      </w:r>
      <w:r w:rsidRPr="00D14F43">
        <w:rPr>
          <w:rFonts w:ascii="Arial" w:hAnsi="Arial" w:cs="Arial"/>
        </w:rPr>
        <w:t>evinskog</w:t>
      </w:r>
      <w:r w:rsidRPr="00D671DB">
        <w:rPr>
          <w:rFonts w:ascii="Arial" w:hAnsi="Arial" w:cs="Arial"/>
          <w:lang w:val="sr-Latn-CS"/>
        </w:rPr>
        <w:t xml:space="preserve"> </w:t>
      </w:r>
      <w:r w:rsidRPr="00D14F43">
        <w:rPr>
          <w:rFonts w:ascii="Arial" w:hAnsi="Arial" w:cs="Arial"/>
        </w:rPr>
        <w:t>kamena</w:t>
      </w:r>
      <w:r w:rsidRPr="00D671DB">
        <w:rPr>
          <w:rFonts w:ascii="Arial" w:hAnsi="Arial" w:cs="Arial"/>
          <w:lang w:val="sr-Latn-CS"/>
        </w:rPr>
        <w:t xml:space="preserve"> </w:t>
      </w:r>
      <w:r w:rsidRPr="00D14F43">
        <w:rPr>
          <w:rFonts w:ascii="Arial" w:hAnsi="Arial" w:cs="Arial"/>
        </w:rPr>
        <w:t>procijenjene</w:t>
      </w:r>
      <w:r w:rsidRPr="00D671DB">
        <w:rPr>
          <w:rFonts w:ascii="Arial" w:hAnsi="Arial" w:cs="Arial"/>
          <w:lang w:val="sr-Latn-CS"/>
        </w:rPr>
        <w:t xml:space="preserve"> </w:t>
      </w:r>
      <w:r w:rsidRPr="00D14F43">
        <w:rPr>
          <w:rFonts w:ascii="Arial" w:hAnsi="Arial" w:cs="Arial"/>
        </w:rPr>
        <w:t>su</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 xml:space="preserve"> 1.500.000 </w:t>
      </w:r>
      <w:r w:rsidRPr="00D14F43">
        <w:rPr>
          <w:rFonts w:ascii="Arial" w:hAnsi="Arial" w:cs="Arial"/>
        </w:rPr>
        <w:t>m</w:t>
      </w:r>
      <w:r w:rsidRPr="00D671DB">
        <w:rPr>
          <w:rFonts w:ascii="Arial" w:hAnsi="Arial" w:cs="Arial"/>
          <w:vertAlign w:val="superscript"/>
          <w:lang w:val="sr-Latn-CS"/>
        </w:rPr>
        <w:t>3</w:t>
      </w:r>
      <w:r w:rsidRPr="00D671DB">
        <w:rPr>
          <w:rFonts w:ascii="Arial" w:hAnsi="Arial" w:cs="Arial"/>
          <w:lang w:val="sr-Latn-CS"/>
        </w:rPr>
        <w:t xml:space="preserve"> č.</w:t>
      </w:r>
      <w:r w:rsidRPr="00D14F43">
        <w:rPr>
          <w:rFonts w:ascii="Arial" w:hAnsi="Arial" w:cs="Arial"/>
        </w:rPr>
        <w:t>s</w:t>
      </w:r>
      <w:r w:rsidRPr="00D671DB">
        <w:rPr>
          <w:rFonts w:ascii="Arial" w:hAnsi="Arial" w:cs="Arial"/>
          <w:lang w:val="sr-Latn-CS"/>
        </w:rPr>
        <w:t>.</w:t>
      </w:r>
      <w:r w:rsidRPr="00D14F43">
        <w:rPr>
          <w:rFonts w:ascii="Arial" w:hAnsi="Arial" w:cs="Arial"/>
        </w:rPr>
        <w:t>m</w:t>
      </w:r>
      <w:r w:rsidRPr="00D671DB">
        <w:rPr>
          <w:rFonts w:ascii="Arial" w:hAnsi="Arial" w:cs="Arial"/>
          <w:lang w:val="sr-Latn-CS"/>
        </w:rPr>
        <w:t xml:space="preserve">. </w:t>
      </w:r>
      <w:r w:rsidRPr="00D14F43">
        <w:rPr>
          <w:rFonts w:ascii="Arial" w:hAnsi="Arial" w:cs="Arial"/>
        </w:rPr>
        <w:t>i</w:t>
      </w:r>
      <w:r w:rsidRPr="00D671DB">
        <w:rPr>
          <w:rFonts w:ascii="Arial" w:hAnsi="Arial" w:cs="Arial"/>
          <w:lang w:val="sr-Latn-CS"/>
        </w:rPr>
        <w:t xml:space="preserve"> </w:t>
      </w:r>
      <w:r w:rsidRPr="00D14F43">
        <w:rPr>
          <w:rFonts w:ascii="Arial" w:hAnsi="Arial" w:cs="Arial"/>
        </w:rPr>
        <w:t>bi</w:t>
      </w:r>
      <w:r w:rsidRPr="00D671DB">
        <w:rPr>
          <w:rFonts w:ascii="Arial" w:hAnsi="Arial" w:cs="Arial"/>
          <w:lang w:val="sr-Latn-CS"/>
        </w:rPr>
        <w:t>ć</w:t>
      </w:r>
      <w:r w:rsidRPr="00D14F43">
        <w:rPr>
          <w:rFonts w:ascii="Arial" w:hAnsi="Arial" w:cs="Arial"/>
        </w:rPr>
        <w:t>e</w:t>
      </w:r>
      <w:r w:rsidRPr="00D671DB">
        <w:rPr>
          <w:rFonts w:ascii="Arial" w:hAnsi="Arial" w:cs="Arial"/>
          <w:lang w:val="sr-Latn-CS"/>
        </w:rPr>
        <w:t xml:space="preserve"> </w:t>
      </w:r>
      <w:r w:rsidRPr="00D14F43">
        <w:rPr>
          <w:rFonts w:ascii="Arial" w:hAnsi="Arial" w:cs="Arial"/>
        </w:rPr>
        <w:t>zahva</w:t>
      </w:r>
      <w:r w:rsidRPr="00D671DB">
        <w:rPr>
          <w:rFonts w:ascii="Arial" w:hAnsi="Arial" w:cs="Arial"/>
          <w:lang w:val="sr-Latn-CS"/>
        </w:rPr>
        <w:t>ć</w:t>
      </w:r>
      <w:r w:rsidRPr="00D14F43">
        <w:rPr>
          <w:rFonts w:ascii="Arial" w:hAnsi="Arial" w:cs="Arial"/>
        </w:rPr>
        <w:t>ene</w:t>
      </w:r>
      <w:r w:rsidRPr="00D671DB">
        <w:rPr>
          <w:rFonts w:ascii="Arial" w:hAnsi="Arial" w:cs="Arial"/>
          <w:lang w:val="sr-Latn-CS"/>
        </w:rPr>
        <w:t xml:space="preserve"> </w:t>
      </w:r>
      <w:r w:rsidRPr="00D14F43">
        <w:rPr>
          <w:rFonts w:ascii="Arial" w:hAnsi="Arial" w:cs="Arial"/>
        </w:rPr>
        <w:t>konturama</w:t>
      </w:r>
      <w:r w:rsidRPr="00D671DB">
        <w:rPr>
          <w:rFonts w:ascii="Arial" w:hAnsi="Arial" w:cs="Arial"/>
          <w:lang w:val="sr-Latn-CS"/>
        </w:rPr>
        <w:t xml:space="preserve"> </w:t>
      </w:r>
      <w:r w:rsidRPr="00D14F43">
        <w:rPr>
          <w:rFonts w:ascii="Arial" w:hAnsi="Arial" w:cs="Arial"/>
        </w:rPr>
        <w:t>povr</w:t>
      </w:r>
      <w:r w:rsidRPr="00D671DB">
        <w:rPr>
          <w:rFonts w:ascii="Arial" w:hAnsi="Arial" w:cs="Arial"/>
          <w:lang w:val="sr-Latn-CS"/>
        </w:rPr>
        <w:t>š</w:t>
      </w:r>
      <w:r w:rsidRPr="00D14F43">
        <w:rPr>
          <w:rFonts w:ascii="Arial" w:hAnsi="Arial" w:cs="Arial"/>
        </w:rPr>
        <w:t>inskog</w:t>
      </w:r>
      <w:r w:rsidRPr="00D671DB">
        <w:rPr>
          <w:rFonts w:ascii="Arial" w:hAnsi="Arial" w:cs="Arial"/>
          <w:lang w:val="sr-Latn-CS"/>
        </w:rPr>
        <w:t xml:space="preserve"> </w:t>
      </w:r>
      <w:r w:rsidRPr="00D14F43">
        <w:rPr>
          <w:rFonts w:ascii="Arial" w:hAnsi="Arial" w:cs="Arial"/>
        </w:rPr>
        <w:t>kopa</w:t>
      </w:r>
      <w:r w:rsidRPr="00D671DB">
        <w:rPr>
          <w:rFonts w:ascii="Arial" w:hAnsi="Arial" w:cs="Arial"/>
          <w:lang w:val="sr-Latn-CS"/>
        </w:rPr>
        <w:t xml:space="preserve">, </w:t>
      </w:r>
      <w:r w:rsidRPr="00D14F43">
        <w:rPr>
          <w:rFonts w:ascii="Arial" w:hAnsi="Arial" w:cs="Arial"/>
        </w:rPr>
        <w:t>a</w:t>
      </w:r>
      <w:r w:rsidRPr="00D671DB">
        <w:rPr>
          <w:rFonts w:ascii="Arial" w:hAnsi="Arial" w:cs="Arial"/>
          <w:lang w:val="sr-Latn-CS"/>
        </w:rPr>
        <w:t xml:space="preserve"> </w:t>
      </w:r>
      <w:r w:rsidRPr="00D14F43">
        <w:rPr>
          <w:rFonts w:ascii="Arial" w:hAnsi="Arial" w:cs="Arial"/>
        </w:rPr>
        <w:t>za</w:t>
      </w:r>
      <w:r w:rsidRPr="00D671DB">
        <w:rPr>
          <w:rFonts w:ascii="Arial" w:hAnsi="Arial" w:cs="Arial"/>
          <w:lang w:val="sr-Latn-CS"/>
        </w:rPr>
        <w:t xml:space="preserve"> </w:t>
      </w:r>
      <w:r w:rsidRPr="00D14F43">
        <w:rPr>
          <w:rFonts w:ascii="Arial" w:hAnsi="Arial" w:cs="Arial"/>
        </w:rPr>
        <w:t>predlo</w:t>
      </w:r>
      <w:r w:rsidRPr="00D671DB">
        <w:rPr>
          <w:rFonts w:ascii="Arial" w:hAnsi="Arial" w:cs="Arial"/>
          <w:lang w:val="sr-Latn-CS"/>
        </w:rPr>
        <w:t>ž</w:t>
      </w:r>
      <w:r w:rsidRPr="00D14F43">
        <w:rPr>
          <w:rFonts w:ascii="Arial" w:hAnsi="Arial" w:cs="Arial"/>
        </w:rPr>
        <w:t>eni</w:t>
      </w:r>
      <w:r w:rsidRPr="00D671DB">
        <w:rPr>
          <w:rFonts w:ascii="Arial" w:hAnsi="Arial" w:cs="Arial"/>
          <w:lang w:val="sr-Latn-CS"/>
        </w:rPr>
        <w:t xml:space="preserve"> </w:t>
      </w:r>
      <w:r w:rsidRPr="00D14F43">
        <w:rPr>
          <w:rFonts w:ascii="Arial" w:hAnsi="Arial" w:cs="Arial"/>
        </w:rPr>
        <w:t>period</w:t>
      </w:r>
      <w:r w:rsidRPr="00D671DB">
        <w:rPr>
          <w:rFonts w:ascii="Arial" w:hAnsi="Arial" w:cs="Arial"/>
          <w:lang w:val="sr-Latn-CS"/>
        </w:rPr>
        <w:t xml:space="preserve"> </w:t>
      </w:r>
      <w:r w:rsidRPr="00D14F43">
        <w:rPr>
          <w:rFonts w:ascii="Arial" w:hAnsi="Arial" w:cs="Arial"/>
        </w:rPr>
        <w:t>trajanja</w:t>
      </w:r>
      <w:r w:rsidRPr="00D671DB">
        <w:rPr>
          <w:rFonts w:ascii="Arial" w:hAnsi="Arial" w:cs="Arial"/>
          <w:lang w:val="sr-Latn-CS"/>
        </w:rPr>
        <w:t xml:space="preserve"> </w:t>
      </w:r>
      <w:r w:rsidRPr="00D14F43">
        <w:rPr>
          <w:rFonts w:ascii="Arial" w:hAnsi="Arial" w:cs="Arial"/>
        </w:rPr>
        <w:t>koncesije</w:t>
      </w:r>
      <w:r w:rsidRPr="00D671DB">
        <w:rPr>
          <w:rFonts w:ascii="Arial" w:hAnsi="Arial" w:cs="Arial"/>
          <w:lang w:val="sr-Latn-CS"/>
        </w:rPr>
        <w:t xml:space="preserve"> </w:t>
      </w:r>
      <w:r w:rsidRPr="00D14F43">
        <w:rPr>
          <w:rFonts w:ascii="Arial" w:hAnsi="Arial" w:cs="Arial"/>
        </w:rPr>
        <w:t>od</w:t>
      </w:r>
      <w:r w:rsidRPr="00D671DB">
        <w:rPr>
          <w:rFonts w:ascii="Arial" w:hAnsi="Arial" w:cs="Arial"/>
          <w:lang w:val="sr-Latn-CS"/>
        </w:rPr>
        <w:t xml:space="preserve"> </w:t>
      </w:r>
      <w:r w:rsidRPr="00D14F43">
        <w:rPr>
          <w:rFonts w:ascii="Arial" w:eastAsia="Times New Roman" w:hAnsi="Arial" w:cs="Arial"/>
          <w:lang w:val="sr-Latn-CS"/>
        </w:rPr>
        <w:t xml:space="preserve">28 godina </w:t>
      </w:r>
      <w:r w:rsidRPr="00D671DB">
        <w:rPr>
          <w:rFonts w:ascii="Arial" w:hAnsi="Arial" w:cs="Arial"/>
          <w:lang w:val="sr-Latn-CS"/>
        </w:rPr>
        <w:t>(</w:t>
      </w:r>
      <w:r w:rsidRPr="00D14F43">
        <w:rPr>
          <w:rFonts w:ascii="Arial" w:hAnsi="Arial" w:cs="Arial"/>
        </w:rPr>
        <w:t>za</w:t>
      </w:r>
      <w:r w:rsidRPr="00D671DB">
        <w:rPr>
          <w:rFonts w:ascii="Arial" w:hAnsi="Arial" w:cs="Arial"/>
          <w:lang w:val="sr-Latn-CS"/>
        </w:rPr>
        <w:t xml:space="preserve"> </w:t>
      </w:r>
      <w:r w:rsidRPr="00D14F43">
        <w:rPr>
          <w:rFonts w:ascii="Arial" w:hAnsi="Arial" w:cs="Arial"/>
        </w:rPr>
        <w:t>eksploataciju</w:t>
      </w:r>
      <w:r w:rsidRPr="00D671DB">
        <w:rPr>
          <w:rFonts w:ascii="Arial" w:hAnsi="Arial" w:cs="Arial"/>
          <w:lang w:val="sr-Latn-CS"/>
        </w:rPr>
        <w:t xml:space="preserve">), </w:t>
      </w:r>
      <w:r w:rsidRPr="00D14F43">
        <w:rPr>
          <w:rFonts w:ascii="Arial" w:hAnsi="Arial" w:cs="Arial"/>
        </w:rPr>
        <w:t>proizvodni</w:t>
      </w:r>
      <w:r w:rsidRPr="00D671DB">
        <w:rPr>
          <w:rFonts w:ascii="Arial" w:hAnsi="Arial" w:cs="Arial"/>
          <w:lang w:val="sr-Latn-CS"/>
        </w:rPr>
        <w:t xml:space="preserve"> </w:t>
      </w:r>
      <w:r w:rsidRPr="00D14F43">
        <w:rPr>
          <w:rFonts w:ascii="Arial" w:hAnsi="Arial" w:cs="Arial"/>
        </w:rPr>
        <w:t>kapacitet</w:t>
      </w:r>
      <w:r w:rsidRPr="00D671DB">
        <w:rPr>
          <w:rFonts w:ascii="Arial" w:hAnsi="Arial" w:cs="Arial"/>
          <w:lang w:val="sr-Latn-CS"/>
        </w:rPr>
        <w:t xml:space="preserve"> ć</w:t>
      </w:r>
      <w:r w:rsidRPr="00D14F43">
        <w:rPr>
          <w:rFonts w:ascii="Arial" w:hAnsi="Arial" w:cs="Arial"/>
        </w:rPr>
        <w:t>e</w:t>
      </w:r>
      <w:r w:rsidRPr="00D671DB">
        <w:rPr>
          <w:rFonts w:ascii="Arial" w:hAnsi="Arial" w:cs="Arial"/>
          <w:lang w:val="sr-Latn-CS"/>
        </w:rPr>
        <w:t xml:space="preserve"> </w:t>
      </w:r>
      <w:r w:rsidRPr="00D14F43">
        <w:rPr>
          <w:rFonts w:ascii="Arial" w:hAnsi="Arial" w:cs="Arial"/>
        </w:rPr>
        <w:t>iznositi</w:t>
      </w:r>
      <w:r w:rsidRPr="00D671DB">
        <w:rPr>
          <w:rFonts w:ascii="Arial" w:hAnsi="Arial" w:cs="Arial"/>
          <w:lang w:val="sr-Latn-CS"/>
        </w:rPr>
        <w:t xml:space="preserve"> </w:t>
      </w:r>
      <w:r w:rsidRPr="00D14F43">
        <w:rPr>
          <w:rFonts w:ascii="Arial" w:hAnsi="Arial" w:cs="Arial"/>
        </w:rPr>
        <w:t>do</w:t>
      </w:r>
      <w:r w:rsidRPr="00D671DB">
        <w:rPr>
          <w:rFonts w:ascii="Arial" w:hAnsi="Arial" w:cs="Arial"/>
          <w:lang w:val="sr-Latn-CS"/>
        </w:rPr>
        <w:t xml:space="preserve"> 20.000 </w:t>
      </w:r>
      <w:r w:rsidRPr="00D14F43">
        <w:rPr>
          <w:rFonts w:ascii="Arial" w:hAnsi="Arial" w:cs="Arial"/>
        </w:rPr>
        <w:t>m</w:t>
      </w:r>
      <w:r w:rsidRPr="00D671DB">
        <w:rPr>
          <w:rFonts w:ascii="Arial" w:hAnsi="Arial" w:cs="Arial"/>
          <w:vertAlign w:val="superscript"/>
          <w:lang w:val="sr-Latn-CS"/>
        </w:rPr>
        <w:t>3</w:t>
      </w:r>
      <w:r w:rsidRPr="00D671DB">
        <w:rPr>
          <w:rFonts w:ascii="Arial" w:hAnsi="Arial" w:cs="Arial"/>
          <w:lang w:val="sr-Latn-CS"/>
        </w:rPr>
        <w:t xml:space="preserve"> č.</w:t>
      </w:r>
      <w:r w:rsidRPr="00D14F43">
        <w:rPr>
          <w:rFonts w:ascii="Arial" w:hAnsi="Arial" w:cs="Arial"/>
        </w:rPr>
        <w:t>s</w:t>
      </w:r>
      <w:r w:rsidRPr="00D671DB">
        <w:rPr>
          <w:rFonts w:ascii="Arial" w:hAnsi="Arial" w:cs="Arial"/>
          <w:lang w:val="sr-Latn-CS"/>
        </w:rPr>
        <w:t>.</w:t>
      </w:r>
      <w:r w:rsidRPr="00D14F43">
        <w:rPr>
          <w:rFonts w:ascii="Arial" w:hAnsi="Arial" w:cs="Arial"/>
        </w:rPr>
        <w:t>m</w:t>
      </w:r>
      <w:r w:rsidRPr="00D671DB">
        <w:rPr>
          <w:rFonts w:ascii="Arial" w:hAnsi="Arial" w:cs="Arial"/>
          <w:lang w:val="sr-Latn-CS"/>
        </w:rPr>
        <w:t xml:space="preserve">. </w:t>
      </w:r>
      <w:r w:rsidRPr="00D14F43">
        <w:rPr>
          <w:rFonts w:ascii="Arial" w:hAnsi="Arial" w:cs="Arial"/>
        </w:rPr>
        <w:t>ili</w:t>
      </w:r>
      <w:r w:rsidRPr="00D671DB">
        <w:rPr>
          <w:rFonts w:ascii="Arial" w:hAnsi="Arial" w:cs="Arial"/>
          <w:lang w:val="sr-Latn-CS"/>
        </w:rPr>
        <w:t xml:space="preserve"> 30.000 </w:t>
      </w:r>
      <w:r w:rsidRPr="00D14F43">
        <w:rPr>
          <w:rFonts w:ascii="Arial" w:hAnsi="Arial" w:cs="Arial"/>
        </w:rPr>
        <w:t>m</w:t>
      </w:r>
      <w:r w:rsidRPr="00D671DB">
        <w:rPr>
          <w:rFonts w:ascii="Arial" w:hAnsi="Arial" w:cs="Arial"/>
          <w:vertAlign w:val="superscript"/>
          <w:lang w:val="sr-Latn-CS"/>
        </w:rPr>
        <w:t>3</w:t>
      </w:r>
      <w:r w:rsidRPr="00D671DB">
        <w:rPr>
          <w:rFonts w:ascii="Arial" w:hAnsi="Arial" w:cs="Arial"/>
          <w:lang w:val="sr-Latn-CS"/>
        </w:rPr>
        <w:t xml:space="preserve"> </w:t>
      </w:r>
      <w:r w:rsidRPr="00D14F43">
        <w:rPr>
          <w:rFonts w:ascii="Arial" w:hAnsi="Arial" w:cs="Arial"/>
        </w:rPr>
        <w:t>agregata</w:t>
      </w:r>
      <w:r w:rsidRPr="00D671DB">
        <w:rPr>
          <w:rFonts w:ascii="Arial" w:hAnsi="Arial" w:cs="Arial"/>
          <w:lang w:val="sr-Latn-CS"/>
        </w:rPr>
        <w:t xml:space="preserve"> (</w:t>
      </w:r>
      <w:r w:rsidRPr="00D14F43">
        <w:rPr>
          <w:rFonts w:ascii="Arial" w:hAnsi="Arial" w:cs="Arial"/>
        </w:rPr>
        <w:t>svih</w:t>
      </w:r>
      <w:r w:rsidRPr="00D671DB">
        <w:rPr>
          <w:rFonts w:ascii="Arial" w:hAnsi="Arial" w:cs="Arial"/>
          <w:lang w:val="sr-Latn-CS"/>
        </w:rPr>
        <w:t xml:space="preserve"> </w:t>
      </w:r>
      <w:r w:rsidRPr="00D14F43">
        <w:rPr>
          <w:rFonts w:ascii="Arial" w:hAnsi="Arial" w:cs="Arial"/>
        </w:rPr>
        <w:t>frakcija</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 xml:space="preserve"> </w:t>
      </w:r>
      <w:r w:rsidRPr="00D14F43">
        <w:rPr>
          <w:rFonts w:ascii="Arial" w:hAnsi="Arial" w:cs="Arial"/>
        </w:rPr>
        <w:t>godi</w:t>
      </w:r>
      <w:r w:rsidRPr="00D671DB">
        <w:rPr>
          <w:rFonts w:ascii="Arial" w:hAnsi="Arial" w:cs="Arial"/>
          <w:lang w:val="sr-Latn-CS"/>
        </w:rPr>
        <w:t>š</w:t>
      </w:r>
      <w:r w:rsidRPr="00D14F43">
        <w:rPr>
          <w:rFonts w:ascii="Arial" w:hAnsi="Arial" w:cs="Arial"/>
        </w:rPr>
        <w:t>njem</w:t>
      </w:r>
      <w:r w:rsidRPr="00D671DB">
        <w:rPr>
          <w:rFonts w:ascii="Arial" w:hAnsi="Arial" w:cs="Arial"/>
          <w:lang w:val="sr-Latn-CS"/>
        </w:rPr>
        <w:t xml:space="preserve"> </w:t>
      </w:r>
      <w:r w:rsidRPr="00D14F43">
        <w:rPr>
          <w:rFonts w:ascii="Arial" w:hAnsi="Arial" w:cs="Arial"/>
        </w:rPr>
        <w:t>nivou</w:t>
      </w:r>
      <w:r w:rsidRPr="00D671DB">
        <w:rPr>
          <w:rFonts w:ascii="Arial" w:hAnsi="Arial" w:cs="Arial"/>
          <w:lang w:val="sr-Latn-CS"/>
        </w:rPr>
        <w:t xml:space="preserve"> (</w:t>
      </w:r>
      <w:r w:rsidRPr="00D14F43">
        <w:rPr>
          <w:rFonts w:ascii="Arial" w:hAnsi="Arial" w:cs="Arial"/>
        </w:rPr>
        <w:t>Kr</w:t>
      </w:r>
      <w:r w:rsidRPr="00D671DB">
        <w:rPr>
          <w:rFonts w:ascii="Arial" w:hAnsi="Arial" w:cs="Arial"/>
          <w:lang w:val="sr-Latn-CS"/>
        </w:rPr>
        <w:t xml:space="preserve">=1,50). </w:t>
      </w:r>
    </w:p>
    <w:p w14:paraId="2AC20117" w14:textId="77777777" w:rsidR="003D5374" w:rsidRPr="00D671DB" w:rsidRDefault="003D5374" w:rsidP="003D5374">
      <w:pPr>
        <w:spacing w:after="0" w:line="240" w:lineRule="auto"/>
        <w:jc w:val="both"/>
        <w:rPr>
          <w:rFonts w:ascii="Arial" w:hAnsi="Arial" w:cs="Arial"/>
          <w:lang w:val="sr-Latn-CS"/>
        </w:rPr>
      </w:pPr>
    </w:p>
    <w:p w14:paraId="08142903" w14:textId="278D3DEE" w:rsidR="000956DB" w:rsidRPr="00D14F43" w:rsidRDefault="000956DB" w:rsidP="003D5374">
      <w:pPr>
        <w:spacing w:after="0" w:line="240" w:lineRule="auto"/>
        <w:jc w:val="both"/>
        <w:rPr>
          <w:rFonts w:ascii="Arial" w:eastAsia="Calibri" w:hAnsi="Arial" w:cs="Arial"/>
          <w:lang w:val="sr-Latn-CS"/>
        </w:rPr>
      </w:pPr>
      <w:r w:rsidRPr="00D14F43">
        <w:rPr>
          <w:rFonts w:ascii="Arial" w:eastAsia="Calibri" w:hAnsi="Arial" w:cs="Arial"/>
          <w:lang w:val="sr-Latn-CS"/>
        </w:rPr>
        <w:t>Za godišnji kapacitet površinskog kopa od 20.000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u predviđenom periodu eksploatacije od </w:t>
      </w:r>
      <w:r w:rsidRPr="00D14F43">
        <w:rPr>
          <w:rFonts w:ascii="Arial" w:eastAsia="Times New Roman" w:hAnsi="Arial" w:cs="Arial"/>
          <w:lang w:val="sr-Latn-CS"/>
        </w:rPr>
        <w:t>28  godina</w:t>
      </w:r>
      <w:r w:rsidRPr="00D14F43">
        <w:rPr>
          <w:rFonts w:ascii="Arial" w:eastAsia="Calibri" w:hAnsi="Arial" w:cs="Arial"/>
          <w:lang w:val="sr-Latn-CS"/>
        </w:rPr>
        <w:t>, potrebno je 560 000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ili </w:t>
      </w:r>
      <w:r w:rsidR="001A4753">
        <w:rPr>
          <w:rFonts w:ascii="Arial" w:eastAsia="Calibri" w:hAnsi="Arial" w:cs="Arial"/>
          <w:lang w:val="sr-Latn-CS"/>
        </w:rPr>
        <w:t>37</w:t>
      </w:r>
      <w:r w:rsidRPr="00D14F43">
        <w:rPr>
          <w:rFonts w:ascii="Arial" w:eastAsia="Calibri" w:hAnsi="Arial" w:cs="Arial"/>
          <w:lang w:val="sr-Latn-CS"/>
        </w:rPr>
        <w:t xml:space="preserve">% od procijenjenih rezervi što daje mogućnost rada na ovom lokalitetu ne samo za predviđeni period trajanja koncesije nego i mnogo duže. </w:t>
      </w:r>
    </w:p>
    <w:p w14:paraId="08760859" w14:textId="77777777" w:rsidR="000956DB" w:rsidRPr="00D14F43" w:rsidRDefault="000956DB" w:rsidP="003D5374">
      <w:pPr>
        <w:spacing w:after="0" w:line="240" w:lineRule="auto"/>
        <w:jc w:val="both"/>
        <w:rPr>
          <w:rFonts w:ascii="Arial" w:eastAsia="Calibri" w:hAnsi="Arial" w:cs="Arial"/>
          <w:lang w:val="sr-Latn-CS"/>
        </w:rPr>
      </w:pPr>
    </w:p>
    <w:p w14:paraId="332AF0E9" w14:textId="77777777" w:rsidR="000956DB" w:rsidRPr="00D14F43" w:rsidRDefault="000956DB" w:rsidP="003D5374">
      <w:pPr>
        <w:spacing w:after="0" w:line="240" w:lineRule="auto"/>
        <w:jc w:val="both"/>
        <w:rPr>
          <w:rFonts w:ascii="Arial" w:eastAsia="Calibri" w:hAnsi="Arial" w:cs="Arial"/>
          <w:lang w:val="sr-Latn-CS"/>
        </w:rPr>
      </w:pPr>
      <w:r w:rsidRPr="00D14F43">
        <w:rPr>
          <w:rFonts w:ascii="Arial" w:eastAsia="Calibri" w:hAnsi="Arial" w:cs="Arial"/>
          <w:lang w:val="sr-Latn-CS"/>
        </w:rPr>
        <w:lastRenderedPageBreak/>
        <w:t xml:space="preserve">S obzirom na </w:t>
      </w:r>
      <w:r w:rsidRPr="00D14F43">
        <w:rPr>
          <w:rFonts w:ascii="Arial" w:hAnsi="Arial" w:cs="Arial"/>
        </w:rPr>
        <w:t>utvr</w:t>
      </w:r>
      <w:r w:rsidRPr="00D671DB">
        <w:rPr>
          <w:rFonts w:ascii="Arial" w:hAnsi="Arial" w:cs="Arial"/>
          <w:lang w:val="sr-Latn-CS"/>
        </w:rPr>
        <w:t>đ</w:t>
      </w:r>
      <w:r w:rsidRPr="00D14F43">
        <w:rPr>
          <w:rFonts w:ascii="Arial" w:hAnsi="Arial" w:cs="Arial"/>
        </w:rPr>
        <w:t>ene</w:t>
      </w:r>
      <w:r w:rsidRPr="00D671DB">
        <w:rPr>
          <w:rFonts w:ascii="Arial" w:hAnsi="Arial" w:cs="Arial"/>
          <w:lang w:val="sr-Latn-CS"/>
        </w:rPr>
        <w:t xml:space="preserve"> </w:t>
      </w:r>
      <w:r w:rsidRPr="00D14F43">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00478D0" w14:textId="68AAA8FE" w:rsidR="009F11D3" w:rsidRPr="00E56DC2" w:rsidRDefault="009F11D3" w:rsidP="003D5374">
      <w:pPr>
        <w:spacing w:after="0" w:line="240" w:lineRule="auto"/>
        <w:jc w:val="both"/>
        <w:rPr>
          <w:rFonts w:ascii="Arial" w:eastAsia="Calibri" w:hAnsi="Arial" w:cs="Arial"/>
          <w:lang w:val="sr-Latn-CS"/>
        </w:rPr>
      </w:pPr>
    </w:p>
    <w:p w14:paraId="169B6ECD" w14:textId="77777777" w:rsidR="00744584" w:rsidRPr="00E56DC2" w:rsidRDefault="00744584" w:rsidP="003D5374">
      <w:pPr>
        <w:pStyle w:val="Heading2"/>
        <w:numPr>
          <w:ilvl w:val="1"/>
          <w:numId w:val="20"/>
        </w:numPr>
      </w:pPr>
      <w:bookmarkStart w:id="14" w:name="_Toc402262938"/>
      <w:r w:rsidRPr="00E56DC2">
        <w:t>Opis tehničko-tehnološkog procesa eksploatacije</w:t>
      </w:r>
      <w:bookmarkEnd w:id="14"/>
    </w:p>
    <w:p w14:paraId="63F65A87" w14:textId="77777777" w:rsidR="00744584" w:rsidRPr="00E56DC2" w:rsidRDefault="00744584" w:rsidP="003D5374">
      <w:pPr>
        <w:spacing w:after="0" w:line="240" w:lineRule="auto"/>
        <w:jc w:val="both"/>
        <w:rPr>
          <w:rFonts w:ascii="Arial" w:hAnsi="Arial" w:cs="Arial"/>
          <w:lang w:val="sr-Latn-CS"/>
        </w:rPr>
      </w:pPr>
    </w:p>
    <w:p w14:paraId="7CFBE5C0" w14:textId="37B786C5"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sidR="001746A3">
        <w:rPr>
          <w:rFonts w:ascii="Arial" w:hAnsi="Arial" w:cs="Arial"/>
          <w:color w:val="auto"/>
          <w:sz w:val="22"/>
          <w:szCs w:val="22"/>
          <w:lang w:val="sr-Latn-CS"/>
        </w:rPr>
        <w:t>lokalitetu</w:t>
      </w:r>
      <w:r w:rsidRPr="00E56DC2">
        <w:rPr>
          <w:rFonts w:ascii="Arial" w:hAnsi="Arial" w:cs="Arial"/>
          <w:color w:val="auto"/>
          <w:sz w:val="22"/>
          <w:szCs w:val="22"/>
          <w:lang w:val="sr-Latn-CS"/>
        </w:rPr>
        <w:t xml:space="preserve">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3D5374">
      <w:pPr>
        <w:pStyle w:val="Default"/>
        <w:jc w:val="both"/>
        <w:rPr>
          <w:rFonts w:ascii="Arial" w:hAnsi="Arial" w:cs="Arial"/>
          <w:color w:val="auto"/>
          <w:sz w:val="22"/>
          <w:szCs w:val="22"/>
          <w:lang w:val="sr-Latn-CS"/>
        </w:rPr>
      </w:pPr>
    </w:p>
    <w:p w14:paraId="1F48F96D"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4D95814B" w14:textId="77777777" w:rsidR="00D35018" w:rsidRPr="00E56DC2" w:rsidRDefault="00D35018" w:rsidP="003D5374">
      <w:pPr>
        <w:pStyle w:val="Default"/>
        <w:jc w:val="both"/>
        <w:rPr>
          <w:rFonts w:ascii="Arial" w:hAnsi="Arial" w:cs="Arial"/>
          <w:color w:val="auto"/>
          <w:sz w:val="22"/>
          <w:szCs w:val="22"/>
          <w:lang w:val="sr-Latn-CS"/>
        </w:rPr>
      </w:pPr>
    </w:p>
    <w:p w14:paraId="7B8E0B03"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14:paraId="13495A18"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585BC7B3" w14:textId="77777777" w:rsidR="000D2054" w:rsidRPr="00E56DC2" w:rsidRDefault="000D2054" w:rsidP="003D5374">
      <w:pPr>
        <w:pStyle w:val="Default"/>
        <w:jc w:val="both"/>
        <w:rPr>
          <w:rFonts w:ascii="Arial" w:hAnsi="Arial" w:cs="Arial"/>
          <w:color w:val="auto"/>
          <w:sz w:val="22"/>
          <w:szCs w:val="22"/>
          <w:lang w:val="sr-Latn-CS"/>
        </w:rPr>
      </w:pPr>
    </w:p>
    <w:p w14:paraId="6535894C" w14:textId="0A88E603"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51E11A20"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14:paraId="43B41E95" w14:textId="77777777" w:rsidR="00DC7002" w:rsidRPr="00E56DC2" w:rsidRDefault="00DC7002" w:rsidP="003D5374">
      <w:pPr>
        <w:pStyle w:val="Default"/>
        <w:jc w:val="both"/>
        <w:rPr>
          <w:rFonts w:ascii="Arial" w:hAnsi="Arial" w:cs="Arial"/>
          <w:b/>
          <w:bCs/>
          <w:i/>
          <w:iCs/>
          <w:color w:val="auto"/>
          <w:sz w:val="22"/>
          <w:szCs w:val="22"/>
          <w:lang w:val="sr-Latn-CS"/>
        </w:rPr>
      </w:pPr>
    </w:p>
    <w:p w14:paraId="34781FEC" w14:textId="6A5C6194"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7F6D6C2F"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3D5374">
      <w:pPr>
        <w:pStyle w:val="Default"/>
        <w:jc w:val="both"/>
        <w:rPr>
          <w:rFonts w:ascii="Arial" w:hAnsi="Arial" w:cs="Arial"/>
          <w:color w:val="auto"/>
          <w:sz w:val="22"/>
          <w:szCs w:val="22"/>
          <w:lang w:val="sr-Latn-CS"/>
        </w:rPr>
      </w:pPr>
    </w:p>
    <w:p w14:paraId="4D061148" w14:textId="60FD5D32" w:rsidR="0093359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14:paraId="7CD1D2A4" w14:textId="1593AB1E" w:rsidR="0093359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3D5374">
      <w:pPr>
        <w:pStyle w:val="Default"/>
        <w:jc w:val="both"/>
        <w:rPr>
          <w:rFonts w:ascii="Arial" w:hAnsi="Arial" w:cs="Arial"/>
          <w:color w:val="auto"/>
          <w:sz w:val="22"/>
          <w:szCs w:val="22"/>
          <w:lang w:val="sr-Latn-CS"/>
        </w:rPr>
      </w:pPr>
    </w:p>
    <w:p w14:paraId="30496D0B" w14:textId="10B5DCBC"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0BE90A01"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3D5374">
      <w:pPr>
        <w:pStyle w:val="Default"/>
        <w:jc w:val="both"/>
        <w:rPr>
          <w:rFonts w:ascii="Arial" w:hAnsi="Arial" w:cs="Arial"/>
          <w:color w:val="auto"/>
          <w:sz w:val="22"/>
          <w:szCs w:val="22"/>
          <w:lang w:val="sr-Latn-CS"/>
        </w:rPr>
      </w:pPr>
    </w:p>
    <w:p w14:paraId="207DDFA2" w14:textId="60AD0E3C"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17F91C5A"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3D5374">
      <w:pPr>
        <w:pStyle w:val="Default"/>
        <w:jc w:val="both"/>
        <w:rPr>
          <w:rFonts w:ascii="Arial" w:hAnsi="Arial" w:cs="Arial"/>
          <w:color w:val="auto"/>
          <w:sz w:val="22"/>
          <w:szCs w:val="22"/>
          <w:lang w:val="sr-Latn-CS"/>
        </w:rPr>
      </w:pPr>
    </w:p>
    <w:p w14:paraId="6599822F" w14:textId="4820B9FF" w:rsidR="00744584" w:rsidRPr="003D5374" w:rsidRDefault="00744584" w:rsidP="003D5374">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4D243731"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01661EC8" w14:textId="77777777" w:rsidR="00754CD0" w:rsidRPr="00E56DC2" w:rsidRDefault="00754CD0" w:rsidP="003D5374">
      <w:pPr>
        <w:pStyle w:val="Default"/>
        <w:jc w:val="both"/>
        <w:rPr>
          <w:rFonts w:ascii="Arial" w:hAnsi="Arial" w:cs="Arial"/>
          <w:color w:val="auto"/>
          <w:sz w:val="22"/>
          <w:szCs w:val="22"/>
          <w:lang w:val="sr-Latn-CS"/>
        </w:rPr>
      </w:pPr>
    </w:p>
    <w:p w14:paraId="45B7992D" w14:textId="659E9B8C" w:rsidR="00744584" w:rsidRPr="00E56DC2" w:rsidRDefault="00744584" w:rsidP="003D5374">
      <w:pPr>
        <w:pStyle w:val="Heading2"/>
        <w:numPr>
          <w:ilvl w:val="1"/>
          <w:numId w:val="20"/>
        </w:numPr>
      </w:pPr>
      <w:bookmarkStart w:id="15" w:name="_Toc402262939"/>
      <w:r w:rsidRPr="00E56DC2">
        <w:t>Snabdijevanje</w:t>
      </w:r>
      <w:r w:rsidR="00E067C5" w:rsidRPr="00E56DC2">
        <w:t xml:space="preserve"> električnom energijom,</w:t>
      </w:r>
      <w:r w:rsidRPr="00E56DC2">
        <w:t xml:space="preserve"> eksplozivom i eksplozivnim sredstvima</w:t>
      </w:r>
      <w:bookmarkEnd w:id="15"/>
    </w:p>
    <w:p w14:paraId="2F7C27DF" w14:textId="77777777" w:rsidR="00933594" w:rsidRPr="00E56DC2" w:rsidRDefault="00933594" w:rsidP="003D5374">
      <w:pPr>
        <w:spacing w:after="0" w:line="240" w:lineRule="auto"/>
        <w:jc w:val="both"/>
        <w:rPr>
          <w:rFonts w:ascii="Arial" w:hAnsi="Arial" w:cs="Arial"/>
          <w:lang w:val="sr-Latn-CS"/>
        </w:rPr>
      </w:pPr>
    </w:p>
    <w:p w14:paraId="461E8722" w14:textId="6A8FB953" w:rsidR="00E067C5" w:rsidRPr="00E56DC2" w:rsidRDefault="00E067C5" w:rsidP="003D5374">
      <w:pPr>
        <w:spacing w:after="0" w:line="240" w:lineRule="auto"/>
        <w:jc w:val="both"/>
        <w:rPr>
          <w:rFonts w:ascii="Arial" w:hAnsi="Arial" w:cs="Arial"/>
          <w:lang w:val="sr-Latn-CS"/>
        </w:rPr>
      </w:pPr>
      <w:r w:rsidRPr="00E56DC2">
        <w:rPr>
          <w:rFonts w:ascii="Arial" w:hAnsi="Arial" w:cs="Arial"/>
          <w:kern w:val="2"/>
        </w:rPr>
        <w:t>Budu</w:t>
      </w:r>
      <w:r w:rsidRPr="00D671DB">
        <w:rPr>
          <w:rFonts w:ascii="Arial" w:hAnsi="Arial" w:cs="Arial"/>
          <w:kern w:val="2"/>
          <w:lang w:val="sr-Latn-CS"/>
        </w:rPr>
        <w:t>ć</w:t>
      </w:r>
      <w:r w:rsidRPr="00E56DC2">
        <w:rPr>
          <w:rFonts w:ascii="Arial" w:hAnsi="Arial" w:cs="Arial"/>
          <w:kern w:val="2"/>
        </w:rPr>
        <w:t>i</w:t>
      </w:r>
      <w:r w:rsidRPr="00D671DB">
        <w:rPr>
          <w:rFonts w:ascii="Arial" w:hAnsi="Arial" w:cs="Arial"/>
          <w:kern w:val="2"/>
          <w:lang w:val="sr-Latn-CS"/>
        </w:rPr>
        <w:t xml:space="preserve"> </w:t>
      </w:r>
      <w:r w:rsidRPr="00E56DC2">
        <w:rPr>
          <w:rFonts w:ascii="Arial" w:hAnsi="Arial" w:cs="Arial"/>
          <w:kern w:val="2"/>
        </w:rPr>
        <w:t>da</w:t>
      </w:r>
      <w:r w:rsidRPr="00D671DB">
        <w:rPr>
          <w:rFonts w:ascii="Arial" w:hAnsi="Arial" w:cs="Arial"/>
          <w:kern w:val="2"/>
          <w:lang w:val="sr-Latn-CS"/>
        </w:rPr>
        <w:t xml:space="preserve"> </w:t>
      </w:r>
      <w:r w:rsidRPr="00E56DC2">
        <w:rPr>
          <w:rFonts w:ascii="Arial" w:hAnsi="Arial" w:cs="Arial"/>
          <w:kern w:val="2"/>
        </w:rPr>
        <w:t>kroz</w:t>
      </w:r>
      <w:r w:rsidRPr="00D671DB">
        <w:rPr>
          <w:rFonts w:ascii="Arial" w:hAnsi="Arial" w:cs="Arial"/>
          <w:kern w:val="2"/>
          <w:lang w:val="sr-Latn-CS"/>
        </w:rPr>
        <w:t xml:space="preserve"> </w:t>
      </w:r>
      <w:r w:rsidRPr="00E56DC2">
        <w:rPr>
          <w:rFonts w:ascii="Arial" w:hAnsi="Arial" w:cs="Arial"/>
          <w:kern w:val="2"/>
        </w:rPr>
        <w:t>okolna</w:t>
      </w:r>
      <w:r w:rsidRPr="00D671DB">
        <w:rPr>
          <w:rFonts w:ascii="Arial" w:hAnsi="Arial" w:cs="Arial"/>
          <w:kern w:val="2"/>
          <w:lang w:val="sr-Latn-CS"/>
        </w:rPr>
        <w:t xml:space="preserve"> </w:t>
      </w:r>
      <w:r w:rsidRPr="00E56DC2">
        <w:rPr>
          <w:rFonts w:ascii="Arial" w:hAnsi="Arial" w:cs="Arial"/>
          <w:kern w:val="2"/>
        </w:rPr>
        <w:t>sela</w:t>
      </w:r>
      <w:r w:rsidRPr="00D671DB">
        <w:rPr>
          <w:rFonts w:ascii="Arial" w:hAnsi="Arial" w:cs="Arial"/>
          <w:kern w:val="2"/>
          <w:lang w:val="sr-Latn-CS"/>
        </w:rPr>
        <w:t xml:space="preserve"> </w:t>
      </w:r>
      <w:r w:rsidRPr="00E56DC2">
        <w:rPr>
          <w:rFonts w:ascii="Arial" w:hAnsi="Arial" w:cs="Arial"/>
          <w:kern w:val="2"/>
        </w:rPr>
        <w:t>koja</w:t>
      </w:r>
      <w:r w:rsidRPr="00D671DB">
        <w:rPr>
          <w:rFonts w:ascii="Arial" w:hAnsi="Arial" w:cs="Arial"/>
          <w:kern w:val="2"/>
          <w:lang w:val="sr-Latn-CS"/>
        </w:rPr>
        <w:t xml:space="preserve"> </w:t>
      </w:r>
      <w:r w:rsidRPr="00E56DC2">
        <w:rPr>
          <w:rFonts w:ascii="Arial" w:hAnsi="Arial" w:cs="Arial"/>
          <w:kern w:val="2"/>
        </w:rPr>
        <w:t>su</w:t>
      </w:r>
      <w:r w:rsidRPr="00D671DB">
        <w:rPr>
          <w:rFonts w:ascii="Arial" w:hAnsi="Arial" w:cs="Arial"/>
          <w:kern w:val="2"/>
          <w:lang w:val="sr-Latn-CS"/>
        </w:rPr>
        <w:t xml:space="preserve"> </w:t>
      </w:r>
      <w:r w:rsidRPr="00E56DC2">
        <w:rPr>
          <w:rFonts w:ascii="Arial" w:hAnsi="Arial" w:cs="Arial"/>
          <w:kern w:val="2"/>
        </w:rPr>
        <w:t>najbli</w:t>
      </w:r>
      <w:r w:rsidRPr="00D671DB">
        <w:rPr>
          <w:rFonts w:ascii="Arial" w:hAnsi="Arial" w:cs="Arial"/>
          <w:kern w:val="2"/>
          <w:lang w:val="sr-Latn-CS"/>
        </w:rPr>
        <w:t>ž</w:t>
      </w:r>
      <w:r w:rsidRPr="00E56DC2">
        <w:rPr>
          <w:rFonts w:ascii="Arial" w:hAnsi="Arial" w:cs="Arial"/>
          <w:kern w:val="2"/>
        </w:rPr>
        <w:t>a</w:t>
      </w:r>
      <w:r w:rsidRPr="00D671DB">
        <w:rPr>
          <w:rFonts w:ascii="Arial" w:hAnsi="Arial" w:cs="Arial"/>
          <w:kern w:val="2"/>
          <w:lang w:val="sr-Latn-CS"/>
        </w:rPr>
        <w:t xml:space="preserve"> </w:t>
      </w:r>
      <w:r w:rsidRPr="00E56DC2">
        <w:rPr>
          <w:rFonts w:ascii="Arial" w:hAnsi="Arial" w:cs="Arial"/>
          <w:kern w:val="2"/>
        </w:rPr>
        <w:t>predmetnom</w:t>
      </w:r>
      <w:r w:rsidRPr="00D671DB">
        <w:rPr>
          <w:rFonts w:ascii="Arial" w:hAnsi="Arial" w:cs="Arial"/>
          <w:kern w:val="2"/>
          <w:lang w:val="sr-Latn-CS"/>
        </w:rPr>
        <w:t xml:space="preserve"> </w:t>
      </w:r>
      <w:r w:rsidRPr="00E56DC2">
        <w:rPr>
          <w:rFonts w:ascii="Arial" w:hAnsi="Arial" w:cs="Arial"/>
          <w:kern w:val="2"/>
        </w:rPr>
        <w:t>lokalitetu</w:t>
      </w:r>
      <w:r w:rsidRPr="00D671DB">
        <w:rPr>
          <w:rFonts w:ascii="Arial" w:hAnsi="Arial" w:cs="Arial"/>
          <w:kern w:val="2"/>
          <w:lang w:val="sr-Latn-CS"/>
        </w:rPr>
        <w:t xml:space="preserve">, </w:t>
      </w:r>
      <w:r w:rsidRPr="00E56DC2">
        <w:rPr>
          <w:rFonts w:ascii="Arial" w:hAnsi="Arial" w:cs="Arial"/>
          <w:kern w:val="2"/>
        </w:rPr>
        <w:t>prolazi</w:t>
      </w:r>
      <w:r w:rsidRPr="00D671DB">
        <w:rPr>
          <w:rFonts w:ascii="Arial" w:hAnsi="Arial" w:cs="Arial"/>
          <w:kern w:val="2"/>
          <w:lang w:val="sr-Latn-CS"/>
        </w:rPr>
        <w:t xml:space="preserve"> </w:t>
      </w:r>
      <w:r w:rsidRPr="00E56DC2">
        <w:rPr>
          <w:rFonts w:ascii="Arial" w:hAnsi="Arial" w:cs="Arial"/>
          <w:kern w:val="2"/>
        </w:rPr>
        <w:t>nisko</w:t>
      </w:r>
      <w:r w:rsidRPr="00D671DB">
        <w:rPr>
          <w:rFonts w:ascii="Arial" w:hAnsi="Arial" w:cs="Arial"/>
          <w:kern w:val="2"/>
          <w:lang w:val="sr-Latn-CS"/>
        </w:rPr>
        <w:t xml:space="preserve"> </w:t>
      </w:r>
      <w:r w:rsidRPr="00E56DC2">
        <w:rPr>
          <w:rFonts w:ascii="Arial" w:hAnsi="Arial" w:cs="Arial"/>
          <w:kern w:val="2"/>
        </w:rPr>
        <w:t>naponska</w:t>
      </w:r>
      <w:r w:rsidRPr="00D671DB">
        <w:rPr>
          <w:rFonts w:ascii="Arial" w:hAnsi="Arial" w:cs="Arial"/>
          <w:kern w:val="2"/>
          <w:lang w:val="sr-Latn-CS"/>
        </w:rPr>
        <w:t xml:space="preserve"> </w:t>
      </w:r>
      <w:r w:rsidRPr="00E56DC2">
        <w:rPr>
          <w:rFonts w:ascii="Arial" w:hAnsi="Arial" w:cs="Arial"/>
          <w:kern w:val="2"/>
        </w:rPr>
        <w:t>elektri</w:t>
      </w:r>
      <w:r w:rsidRPr="00D671DB">
        <w:rPr>
          <w:rFonts w:ascii="Arial" w:hAnsi="Arial" w:cs="Arial"/>
          <w:kern w:val="2"/>
          <w:lang w:val="sr-Latn-CS"/>
        </w:rPr>
        <w:t>č</w:t>
      </w:r>
      <w:r w:rsidRPr="00E56DC2">
        <w:rPr>
          <w:rFonts w:ascii="Arial" w:hAnsi="Arial" w:cs="Arial"/>
          <w:kern w:val="2"/>
        </w:rPr>
        <w:t>na</w:t>
      </w:r>
      <w:r w:rsidRPr="00D671DB">
        <w:rPr>
          <w:rFonts w:ascii="Arial" w:hAnsi="Arial" w:cs="Arial"/>
          <w:kern w:val="2"/>
          <w:lang w:val="sr-Latn-CS"/>
        </w:rPr>
        <w:t xml:space="preserve"> </w:t>
      </w:r>
      <w:r w:rsidRPr="00E56DC2">
        <w:rPr>
          <w:rFonts w:ascii="Arial" w:hAnsi="Arial" w:cs="Arial"/>
          <w:kern w:val="2"/>
        </w:rPr>
        <w:t>mre</w:t>
      </w:r>
      <w:r w:rsidRPr="00D671DB">
        <w:rPr>
          <w:rFonts w:ascii="Arial" w:hAnsi="Arial" w:cs="Arial"/>
          <w:kern w:val="2"/>
          <w:lang w:val="sr-Latn-CS"/>
        </w:rPr>
        <w:t>ž</w:t>
      </w:r>
      <w:r w:rsidRPr="00E56DC2">
        <w:rPr>
          <w:rFonts w:ascii="Arial" w:hAnsi="Arial" w:cs="Arial"/>
          <w:kern w:val="2"/>
        </w:rPr>
        <w:t>a</w:t>
      </w:r>
      <w:r w:rsidRPr="00D671DB">
        <w:rPr>
          <w:rFonts w:ascii="Arial" w:hAnsi="Arial" w:cs="Arial"/>
          <w:kern w:val="2"/>
          <w:lang w:val="sr-Latn-CS"/>
        </w:rPr>
        <w:t xml:space="preserve"> </w:t>
      </w:r>
      <w:r w:rsidRPr="00E56DC2">
        <w:rPr>
          <w:rFonts w:ascii="Arial" w:hAnsi="Arial" w:cs="Arial"/>
          <w:kern w:val="2"/>
        </w:rPr>
        <w:t>i</w:t>
      </w:r>
      <w:r w:rsidRPr="00D671DB">
        <w:rPr>
          <w:rFonts w:ascii="Arial" w:hAnsi="Arial" w:cs="Arial"/>
          <w:kern w:val="2"/>
          <w:lang w:val="sr-Latn-CS"/>
        </w:rPr>
        <w:t xml:space="preserve"> </w:t>
      </w:r>
      <w:r w:rsidRPr="00E56DC2">
        <w:rPr>
          <w:rFonts w:ascii="Arial" w:hAnsi="Arial" w:cs="Arial"/>
          <w:kern w:val="2"/>
        </w:rPr>
        <w:t>visokonaponski</w:t>
      </w:r>
      <w:r w:rsidRPr="00D671DB">
        <w:rPr>
          <w:rFonts w:ascii="Arial" w:hAnsi="Arial" w:cs="Arial"/>
          <w:kern w:val="2"/>
          <w:lang w:val="sr-Latn-CS"/>
        </w:rPr>
        <w:t xml:space="preserve"> </w:t>
      </w:r>
      <w:r w:rsidRPr="00E56DC2">
        <w:rPr>
          <w:rFonts w:ascii="Arial" w:hAnsi="Arial" w:cs="Arial"/>
          <w:kern w:val="2"/>
        </w:rPr>
        <w:t>dalekovod</w:t>
      </w:r>
      <w:r w:rsidRPr="00D671DB">
        <w:rPr>
          <w:rFonts w:ascii="Arial" w:hAnsi="Arial" w:cs="Arial"/>
          <w:kern w:val="2"/>
          <w:lang w:val="sr-Latn-CS"/>
        </w:rPr>
        <w:t xml:space="preserve">, </w:t>
      </w:r>
      <w:r w:rsidRPr="00E56DC2">
        <w:rPr>
          <w:rFonts w:ascii="Arial" w:hAnsi="Arial" w:cs="Arial"/>
          <w:lang w:val="sr-Latn-CS"/>
        </w:rPr>
        <w:t xml:space="preserve">snabdijevanje električnom energijom moguće je priključenjem na prenosni ili distributivni sistem; </w:t>
      </w:r>
      <w:r w:rsidRPr="00E56DC2">
        <w:rPr>
          <w:rFonts w:ascii="Arial" w:hAnsi="Arial" w:cs="Arial"/>
          <w:kern w:val="2"/>
        </w:rPr>
        <w:t>dok</w:t>
      </w:r>
      <w:r w:rsidRPr="00D671DB">
        <w:rPr>
          <w:rFonts w:ascii="Arial" w:hAnsi="Arial" w:cs="Arial"/>
          <w:kern w:val="2"/>
          <w:lang w:val="sr-Latn-CS"/>
        </w:rPr>
        <w:t xml:space="preserve"> ć</w:t>
      </w:r>
      <w:r w:rsidRPr="00E56DC2">
        <w:rPr>
          <w:rFonts w:ascii="Arial" w:hAnsi="Arial" w:cs="Arial"/>
          <w:kern w:val="2"/>
        </w:rPr>
        <w:t>e</w:t>
      </w:r>
      <w:r w:rsidRPr="00D671DB">
        <w:rPr>
          <w:rFonts w:ascii="Arial" w:hAnsi="Arial" w:cs="Arial"/>
          <w:kern w:val="2"/>
          <w:lang w:val="sr-Latn-CS"/>
        </w:rPr>
        <w:t xml:space="preserve"> </w:t>
      </w:r>
      <w:r w:rsidRPr="00E56DC2">
        <w:rPr>
          <w:rFonts w:ascii="Arial" w:hAnsi="Arial" w:cs="Arial"/>
          <w:kern w:val="2"/>
        </w:rPr>
        <w:t>se</w:t>
      </w:r>
      <w:r w:rsidRPr="00D671DB">
        <w:rPr>
          <w:rFonts w:ascii="Arial" w:hAnsi="Arial" w:cs="Arial"/>
          <w:kern w:val="2"/>
          <w:lang w:val="sr-Latn-CS"/>
        </w:rPr>
        <w:t xml:space="preserve"> </w:t>
      </w:r>
      <w:r w:rsidRPr="00E56DC2">
        <w:rPr>
          <w:rFonts w:ascii="Arial" w:hAnsi="Arial" w:cs="Arial"/>
          <w:lang w:val="sr-Latn-CS"/>
        </w:rPr>
        <w:t>eksploziv i eksplozivna sredstva obezbijediti na tržištu kod specijalizovanih firmi.</w:t>
      </w:r>
    </w:p>
    <w:p w14:paraId="5EB0E589" w14:textId="38583837" w:rsidR="00E86BC4" w:rsidRDefault="00E86BC4" w:rsidP="003D5374">
      <w:pPr>
        <w:spacing w:after="0" w:line="240" w:lineRule="auto"/>
        <w:jc w:val="both"/>
        <w:rPr>
          <w:rFonts w:ascii="Arial" w:hAnsi="Arial" w:cs="Arial"/>
          <w:lang w:val="sr-Latn-CS"/>
        </w:rPr>
      </w:pPr>
      <w:bookmarkStart w:id="16" w:name="_Toc402262940"/>
    </w:p>
    <w:p w14:paraId="2B716661" w14:textId="2F7644C5" w:rsidR="00E27983" w:rsidRDefault="00E27983" w:rsidP="003D5374">
      <w:pPr>
        <w:spacing w:after="0" w:line="240" w:lineRule="auto"/>
        <w:jc w:val="both"/>
        <w:rPr>
          <w:rFonts w:ascii="Arial" w:hAnsi="Arial" w:cs="Arial"/>
          <w:lang w:val="sr-Latn-CS"/>
        </w:rPr>
      </w:pPr>
    </w:p>
    <w:p w14:paraId="67390EAF" w14:textId="5F2EA75D" w:rsidR="00E27983" w:rsidRDefault="00E27983" w:rsidP="003D5374">
      <w:pPr>
        <w:spacing w:after="0" w:line="240" w:lineRule="auto"/>
        <w:jc w:val="both"/>
        <w:rPr>
          <w:rFonts w:ascii="Arial" w:hAnsi="Arial" w:cs="Arial"/>
          <w:lang w:val="sr-Latn-CS"/>
        </w:rPr>
      </w:pPr>
    </w:p>
    <w:p w14:paraId="1BD771A1" w14:textId="77777777" w:rsidR="00E27983" w:rsidRPr="00E56DC2" w:rsidRDefault="00E27983" w:rsidP="003D5374">
      <w:pPr>
        <w:spacing w:after="0" w:line="240" w:lineRule="auto"/>
        <w:jc w:val="both"/>
        <w:rPr>
          <w:rFonts w:ascii="Arial" w:hAnsi="Arial" w:cs="Arial"/>
          <w:lang w:val="sr-Latn-CS"/>
        </w:rPr>
      </w:pPr>
    </w:p>
    <w:p w14:paraId="4362A86A" w14:textId="77777777" w:rsidR="00744584" w:rsidRPr="00E56DC2" w:rsidRDefault="00744584" w:rsidP="003D5374">
      <w:pPr>
        <w:pStyle w:val="Heading2"/>
        <w:numPr>
          <w:ilvl w:val="1"/>
          <w:numId w:val="20"/>
        </w:numPr>
      </w:pPr>
      <w:r w:rsidRPr="00E56DC2">
        <w:lastRenderedPageBreak/>
        <w:t>Potrebna oprema i mehanizacija</w:t>
      </w:r>
      <w:bookmarkEnd w:id="16"/>
    </w:p>
    <w:p w14:paraId="3AE3B6B6" w14:textId="77777777" w:rsidR="00EE5BB8" w:rsidRPr="00E56DC2" w:rsidRDefault="00EE5BB8" w:rsidP="003D5374">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F74290">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3D5374">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318E4D34" w14:textId="77777777" w:rsidR="00744584" w:rsidRPr="00E56DC2" w:rsidRDefault="00933594" w:rsidP="003D5374">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F74290">
        <w:trPr>
          <w:jc w:val="center"/>
        </w:trPr>
        <w:tc>
          <w:tcPr>
            <w:tcW w:w="1134" w:type="dxa"/>
            <w:tcBorders>
              <w:top w:val="single" w:sz="18" w:space="0" w:color="auto"/>
              <w:left w:val="single" w:sz="18" w:space="0" w:color="auto"/>
            </w:tcBorders>
          </w:tcPr>
          <w:p w14:paraId="0891CFB5"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Utovarivač</w:t>
            </w:r>
          </w:p>
        </w:tc>
        <w:tc>
          <w:tcPr>
            <w:tcW w:w="1072" w:type="dxa"/>
            <w:tcBorders>
              <w:top w:val="single" w:sz="18" w:space="0" w:color="auto"/>
            </w:tcBorders>
          </w:tcPr>
          <w:p w14:paraId="3139AD9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3D5374">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F74290">
        <w:trPr>
          <w:jc w:val="center"/>
        </w:trPr>
        <w:tc>
          <w:tcPr>
            <w:tcW w:w="1134" w:type="dxa"/>
            <w:tcBorders>
              <w:left w:val="single" w:sz="18" w:space="0" w:color="auto"/>
            </w:tcBorders>
          </w:tcPr>
          <w:p w14:paraId="1262BFAA"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Bušilica</w:t>
            </w:r>
          </w:p>
        </w:tc>
        <w:tc>
          <w:tcPr>
            <w:tcW w:w="1072" w:type="dxa"/>
          </w:tcPr>
          <w:p w14:paraId="7AB9F921"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3D5374">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F74290">
        <w:trPr>
          <w:jc w:val="center"/>
        </w:trPr>
        <w:tc>
          <w:tcPr>
            <w:tcW w:w="1134" w:type="dxa"/>
            <w:tcBorders>
              <w:left w:val="single" w:sz="18" w:space="0" w:color="auto"/>
            </w:tcBorders>
          </w:tcPr>
          <w:p w14:paraId="1AF3B687"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Kamion</w:t>
            </w:r>
          </w:p>
        </w:tc>
        <w:tc>
          <w:tcPr>
            <w:tcW w:w="1072" w:type="dxa"/>
          </w:tcPr>
          <w:p w14:paraId="3B6ACD3F" w14:textId="77777777" w:rsidR="00744584" w:rsidRPr="00E56DC2" w:rsidRDefault="004C2FC5" w:rsidP="003D5374">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3D5374">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F74290">
        <w:trPr>
          <w:jc w:val="center"/>
        </w:trPr>
        <w:tc>
          <w:tcPr>
            <w:tcW w:w="1134" w:type="dxa"/>
            <w:tcBorders>
              <w:left w:val="single" w:sz="18" w:space="0" w:color="auto"/>
            </w:tcBorders>
          </w:tcPr>
          <w:p w14:paraId="2635F259"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Drobilično postrojenje</w:t>
            </w:r>
          </w:p>
        </w:tc>
        <w:tc>
          <w:tcPr>
            <w:tcW w:w="1072" w:type="dxa"/>
          </w:tcPr>
          <w:p w14:paraId="3554E2D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F74290">
        <w:trPr>
          <w:jc w:val="center"/>
        </w:trPr>
        <w:tc>
          <w:tcPr>
            <w:tcW w:w="1134" w:type="dxa"/>
            <w:tcBorders>
              <w:left w:val="single" w:sz="18" w:space="0" w:color="auto"/>
            </w:tcBorders>
          </w:tcPr>
          <w:p w14:paraId="1527E1B5"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77777777" w:rsidR="00744584" w:rsidRPr="00E56DC2" w:rsidRDefault="00A9182B" w:rsidP="003D5374">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72" w:type="dxa"/>
          </w:tcPr>
          <w:p w14:paraId="508DBF1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F74290">
        <w:trPr>
          <w:jc w:val="center"/>
        </w:trPr>
        <w:tc>
          <w:tcPr>
            <w:tcW w:w="1134" w:type="dxa"/>
            <w:tcBorders>
              <w:left w:val="single" w:sz="18" w:space="0" w:color="auto"/>
            </w:tcBorders>
          </w:tcPr>
          <w:p w14:paraId="6024E50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Bager</w:t>
            </w:r>
          </w:p>
        </w:tc>
        <w:tc>
          <w:tcPr>
            <w:tcW w:w="1072" w:type="dxa"/>
          </w:tcPr>
          <w:p w14:paraId="1DFCED0E"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F74290">
        <w:trPr>
          <w:jc w:val="center"/>
        </w:trPr>
        <w:tc>
          <w:tcPr>
            <w:tcW w:w="1134" w:type="dxa"/>
            <w:tcBorders>
              <w:left w:val="single" w:sz="18" w:space="0" w:color="auto"/>
              <w:bottom w:val="single" w:sz="18" w:space="0" w:color="auto"/>
            </w:tcBorders>
          </w:tcPr>
          <w:p w14:paraId="03B8CD5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Cistijerna za vodu</w:t>
            </w:r>
          </w:p>
        </w:tc>
        <w:tc>
          <w:tcPr>
            <w:tcW w:w="1072" w:type="dxa"/>
            <w:tcBorders>
              <w:bottom w:val="single" w:sz="18" w:space="0" w:color="auto"/>
            </w:tcBorders>
          </w:tcPr>
          <w:p w14:paraId="1833A3E7"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F74290">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3D5374">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2A8C427B" w:rsidR="00DC7002" w:rsidRDefault="00DC7002" w:rsidP="003D5374">
      <w:pPr>
        <w:spacing w:after="0" w:line="240" w:lineRule="auto"/>
        <w:jc w:val="both"/>
        <w:rPr>
          <w:rFonts w:ascii="Arial" w:hAnsi="Arial" w:cs="Arial"/>
          <w:lang w:val="sr-Latn-CS"/>
        </w:rPr>
      </w:pPr>
    </w:p>
    <w:p w14:paraId="61DF302A" w14:textId="77777777" w:rsidR="003D5374" w:rsidRPr="00E56DC2" w:rsidRDefault="003D5374" w:rsidP="003D5374">
      <w:pPr>
        <w:spacing w:after="0" w:line="240" w:lineRule="auto"/>
        <w:jc w:val="both"/>
        <w:rPr>
          <w:rFonts w:ascii="Arial" w:hAnsi="Arial" w:cs="Arial"/>
          <w:lang w:val="sr-Latn-CS"/>
        </w:rPr>
      </w:pPr>
    </w:p>
    <w:p w14:paraId="6CA46666" w14:textId="77777777" w:rsidR="000A7B93" w:rsidRPr="00E56DC2" w:rsidRDefault="00744584" w:rsidP="003D5374">
      <w:pPr>
        <w:pStyle w:val="Heading2"/>
        <w:numPr>
          <w:ilvl w:val="1"/>
          <w:numId w:val="20"/>
        </w:numPr>
      </w:pPr>
      <w:bookmarkStart w:id="17" w:name="_Toc402262941"/>
      <w:r w:rsidRPr="00E56DC2">
        <w:t>Objekti</w:t>
      </w:r>
      <w:bookmarkEnd w:id="17"/>
    </w:p>
    <w:p w14:paraId="79F9529C" w14:textId="77777777" w:rsidR="00744584" w:rsidRPr="00E56DC2" w:rsidRDefault="00744584" w:rsidP="003D5374">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3D5374">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3D5374">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3D5374">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3D5374">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3D5374">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42FC45D7" w14:textId="77777777" w:rsidR="00C12E10" w:rsidRPr="00E56DC2" w:rsidRDefault="00C12E10" w:rsidP="003D5374">
      <w:pPr>
        <w:spacing w:after="0" w:line="240" w:lineRule="auto"/>
        <w:jc w:val="both"/>
        <w:rPr>
          <w:rFonts w:ascii="Arial" w:hAnsi="Arial" w:cs="Arial"/>
          <w:lang w:val="sr-Latn-CS"/>
        </w:rPr>
      </w:pPr>
      <w:bookmarkStart w:id="18" w:name="_Toc402262942"/>
    </w:p>
    <w:p w14:paraId="2DBB93FB" w14:textId="77777777" w:rsidR="00744584" w:rsidRPr="00E56DC2" w:rsidRDefault="00744584" w:rsidP="003D5374">
      <w:pPr>
        <w:pStyle w:val="Heading2"/>
        <w:numPr>
          <w:ilvl w:val="1"/>
          <w:numId w:val="20"/>
        </w:numPr>
      </w:pPr>
      <w:r w:rsidRPr="00E56DC2">
        <w:t>Radna snaga</w:t>
      </w:r>
      <w:bookmarkEnd w:id="18"/>
    </w:p>
    <w:p w14:paraId="1028DDCD" w14:textId="77777777" w:rsidR="00744584" w:rsidRPr="00E56DC2" w:rsidRDefault="00744584" w:rsidP="003D5374">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3D5374">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3D5374">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3D5374">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3D5374">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3D5374">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3D5374">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3D5374">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3D5374">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3D5374">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3D5374">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3D5374">
      <w:pPr>
        <w:spacing w:after="0" w:line="240" w:lineRule="auto"/>
        <w:jc w:val="both"/>
        <w:rPr>
          <w:rFonts w:ascii="Arial" w:eastAsia="Calibri" w:hAnsi="Arial" w:cs="Arial"/>
          <w:b/>
          <w:lang w:val="sr-Latn-CS"/>
        </w:rPr>
      </w:pPr>
    </w:p>
    <w:p w14:paraId="517D3F3B" w14:textId="77777777" w:rsidR="00744584" w:rsidRPr="00E56DC2" w:rsidRDefault="00744584" w:rsidP="003D5374">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4A47A009" w:rsidR="00744584" w:rsidRDefault="00744584" w:rsidP="003D5374">
      <w:pPr>
        <w:spacing w:after="0" w:line="240" w:lineRule="auto"/>
        <w:jc w:val="both"/>
        <w:rPr>
          <w:rFonts w:ascii="Arial" w:eastAsia="Calibri" w:hAnsi="Arial" w:cs="Arial"/>
          <w:b/>
          <w:lang w:val="sr-Latn-CS"/>
        </w:rPr>
      </w:pPr>
    </w:p>
    <w:p w14:paraId="38D35EE0" w14:textId="77777777" w:rsidR="003D5374" w:rsidRPr="00E56DC2" w:rsidRDefault="003D5374" w:rsidP="003D5374">
      <w:pPr>
        <w:spacing w:after="0" w:line="240" w:lineRule="auto"/>
        <w:jc w:val="both"/>
        <w:rPr>
          <w:rFonts w:ascii="Arial" w:eastAsia="Calibri" w:hAnsi="Arial" w:cs="Arial"/>
          <w:b/>
          <w:lang w:val="sr-Latn-CS"/>
        </w:rPr>
      </w:pPr>
    </w:p>
    <w:p w14:paraId="5006A135" w14:textId="77777777" w:rsidR="00744584" w:rsidRPr="00E56DC2" w:rsidRDefault="00DF73D1" w:rsidP="003D5374">
      <w:pPr>
        <w:pStyle w:val="Heading1"/>
        <w:numPr>
          <w:ilvl w:val="0"/>
          <w:numId w:val="20"/>
        </w:numPr>
        <w:ind w:left="0" w:firstLine="0"/>
        <w:jc w:val="both"/>
        <w:rPr>
          <w:rFonts w:ascii="Arial" w:hAnsi="Arial" w:cs="Arial"/>
          <w:sz w:val="22"/>
          <w:szCs w:val="22"/>
        </w:rPr>
      </w:pPr>
      <w:bookmarkStart w:id="19" w:name="_Toc402262948"/>
      <w:r w:rsidRPr="00E56DC2">
        <w:rPr>
          <w:rFonts w:ascii="Arial" w:hAnsi="Arial" w:cs="Arial"/>
          <w:sz w:val="22"/>
          <w:szCs w:val="22"/>
        </w:rPr>
        <w:t>MJERE ZA ZAŠTITU ŽIVOTNE SREDINE</w:t>
      </w:r>
      <w:bookmarkEnd w:id="19"/>
    </w:p>
    <w:p w14:paraId="29633BE2" w14:textId="77777777" w:rsidR="00744584" w:rsidRPr="00E56DC2" w:rsidRDefault="00744584" w:rsidP="003D5374">
      <w:pPr>
        <w:spacing w:after="0" w:line="240" w:lineRule="auto"/>
        <w:jc w:val="both"/>
        <w:rPr>
          <w:rFonts w:ascii="Arial" w:hAnsi="Arial" w:cs="Arial"/>
          <w:lang w:val="sr-Latn-CS"/>
        </w:rPr>
      </w:pPr>
    </w:p>
    <w:p w14:paraId="5EFD0778" w14:textId="083E5DE3"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3D5374">
      <w:pPr>
        <w:spacing w:after="0" w:line="240" w:lineRule="auto"/>
        <w:jc w:val="both"/>
        <w:rPr>
          <w:rFonts w:ascii="Arial" w:hAnsi="Arial" w:cs="Arial"/>
          <w:lang w:val="sr-Latn-CS"/>
        </w:rPr>
      </w:pPr>
    </w:p>
    <w:p w14:paraId="27A15305"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E56DC2" w:rsidRDefault="00744584" w:rsidP="003D5374">
      <w:pPr>
        <w:spacing w:after="0" w:line="240" w:lineRule="auto"/>
        <w:jc w:val="both"/>
        <w:rPr>
          <w:rFonts w:ascii="Arial" w:hAnsi="Arial" w:cs="Arial"/>
          <w:lang w:val="sr-Latn-CS"/>
        </w:rPr>
      </w:pPr>
    </w:p>
    <w:p w14:paraId="166AB97A" w14:textId="7DFAB836"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BC1B3C">
        <w:rPr>
          <w:rFonts w:ascii="Arial" w:hAnsi="Arial" w:cs="Arial"/>
          <w:lang w:val="sr-Latn-CS"/>
        </w:rPr>
        <w:t>“Milošev krš”</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E56DC2" w:rsidRDefault="00744584" w:rsidP="003D5374">
      <w:pPr>
        <w:spacing w:after="0" w:line="240" w:lineRule="auto"/>
        <w:jc w:val="both"/>
        <w:rPr>
          <w:rFonts w:ascii="Arial" w:hAnsi="Arial" w:cs="Arial"/>
          <w:lang w:val="sr-Latn-CS"/>
        </w:rPr>
      </w:pPr>
    </w:p>
    <w:p w14:paraId="7B5C44C7"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3D5374">
      <w:pPr>
        <w:spacing w:after="0" w:line="240" w:lineRule="auto"/>
        <w:jc w:val="both"/>
        <w:rPr>
          <w:rFonts w:ascii="Arial" w:hAnsi="Arial" w:cs="Arial"/>
          <w:lang w:val="sr-Latn-CS"/>
        </w:rPr>
      </w:pPr>
    </w:p>
    <w:p w14:paraId="07C7E72F"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3D5374">
      <w:pPr>
        <w:spacing w:after="0" w:line="240" w:lineRule="auto"/>
        <w:jc w:val="both"/>
        <w:rPr>
          <w:rFonts w:ascii="Arial" w:hAnsi="Arial" w:cs="Arial"/>
          <w:lang w:val="sr-Latn-CS"/>
        </w:rPr>
      </w:pPr>
    </w:p>
    <w:p w14:paraId="6AF5ACE6" w14:textId="77777777" w:rsidR="00E77AD9" w:rsidRPr="00D671DB" w:rsidRDefault="00E77AD9" w:rsidP="003D5374">
      <w:pPr>
        <w:spacing w:after="0" w:line="240" w:lineRule="auto"/>
        <w:jc w:val="both"/>
        <w:rPr>
          <w:rFonts w:ascii="Arial" w:hAnsi="Arial" w:cs="Arial"/>
          <w:noProof/>
          <w:lang w:val="sr-Latn-CS"/>
        </w:rPr>
      </w:pPr>
      <w:bookmarkStart w:id="20" w:name="_Toc402262949"/>
      <w:r w:rsidRPr="00E56DC2">
        <w:rPr>
          <w:rFonts w:ascii="Arial" w:hAnsi="Arial" w:cs="Arial"/>
          <w:noProof/>
        </w:rPr>
        <w:t>Nadle</w:t>
      </w:r>
      <w:r w:rsidRPr="00D671DB">
        <w:rPr>
          <w:rFonts w:ascii="Arial" w:hAnsi="Arial" w:cs="Arial"/>
          <w:noProof/>
          <w:lang w:val="sr-Latn-CS"/>
        </w:rPr>
        <w:t>ž</w:t>
      </w:r>
      <w:r w:rsidRPr="00E56DC2">
        <w:rPr>
          <w:rFonts w:ascii="Arial" w:hAnsi="Arial" w:cs="Arial"/>
          <w:noProof/>
        </w:rPr>
        <w:t>ni</w:t>
      </w:r>
      <w:r w:rsidRPr="00D671DB">
        <w:rPr>
          <w:rFonts w:ascii="Arial" w:hAnsi="Arial" w:cs="Arial"/>
          <w:noProof/>
          <w:lang w:val="sr-Latn-CS"/>
        </w:rPr>
        <w:t xml:space="preserve"> </w:t>
      </w:r>
      <w:r w:rsidRPr="00E56DC2">
        <w:rPr>
          <w:rFonts w:ascii="Arial" w:hAnsi="Arial" w:cs="Arial"/>
          <w:noProof/>
        </w:rPr>
        <w:t>dr</w:t>
      </w:r>
      <w:r w:rsidRPr="00D671DB">
        <w:rPr>
          <w:rFonts w:ascii="Arial" w:hAnsi="Arial" w:cs="Arial"/>
          <w:noProof/>
          <w:lang w:val="sr-Latn-CS"/>
        </w:rPr>
        <w:t>ž</w:t>
      </w:r>
      <w:r w:rsidRPr="00E56DC2">
        <w:rPr>
          <w:rFonts w:ascii="Arial" w:hAnsi="Arial" w:cs="Arial"/>
          <w:noProof/>
        </w:rPr>
        <w:t>avni</w:t>
      </w:r>
      <w:r w:rsidRPr="00D671DB">
        <w:rPr>
          <w:rFonts w:ascii="Arial" w:hAnsi="Arial" w:cs="Arial"/>
          <w:noProof/>
          <w:lang w:val="sr-Latn-CS"/>
        </w:rPr>
        <w:t xml:space="preserve"> </w:t>
      </w:r>
      <w:r w:rsidRPr="00E56DC2">
        <w:rPr>
          <w:rFonts w:ascii="Arial" w:hAnsi="Arial" w:cs="Arial"/>
          <w:noProof/>
        </w:rPr>
        <w:t>organ</w:t>
      </w:r>
      <w:r w:rsidRPr="00D671DB">
        <w:rPr>
          <w:rFonts w:ascii="Arial" w:hAnsi="Arial" w:cs="Arial"/>
          <w:noProof/>
          <w:lang w:val="sr-Latn-CS"/>
        </w:rPr>
        <w:t xml:space="preserve"> </w:t>
      </w:r>
      <w:r w:rsidRPr="00E56DC2">
        <w:rPr>
          <w:rFonts w:ascii="Arial" w:hAnsi="Arial" w:cs="Arial"/>
          <w:noProof/>
        </w:rPr>
        <w:t>procjenjuje</w:t>
      </w:r>
      <w:r w:rsidRPr="00D671DB">
        <w:rPr>
          <w:rFonts w:ascii="Arial" w:hAnsi="Arial" w:cs="Arial"/>
          <w:noProof/>
          <w:lang w:val="sr-Latn-CS"/>
        </w:rPr>
        <w:t xml:space="preserve"> </w:t>
      </w:r>
      <w:r w:rsidRPr="00E56DC2">
        <w:rPr>
          <w:rFonts w:ascii="Arial" w:hAnsi="Arial" w:cs="Arial"/>
          <w:noProof/>
        </w:rPr>
        <w:t>potrebu</w:t>
      </w:r>
      <w:r w:rsidRPr="00D671DB">
        <w:rPr>
          <w:rFonts w:ascii="Arial" w:hAnsi="Arial" w:cs="Arial"/>
          <w:noProof/>
          <w:lang w:val="sr-Latn-CS"/>
        </w:rPr>
        <w:t xml:space="preserve"> </w:t>
      </w:r>
      <w:r w:rsidRPr="00E56DC2">
        <w:rPr>
          <w:rFonts w:ascii="Arial" w:hAnsi="Arial" w:cs="Arial"/>
          <w:noProof/>
        </w:rPr>
        <w:t>izrade</w:t>
      </w:r>
      <w:r w:rsidRPr="00D671DB">
        <w:rPr>
          <w:rFonts w:ascii="Arial" w:hAnsi="Arial" w:cs="Arial"/>
          <w:noProof/>
          <w:lang w:val="sr-Latn-CS"/>
        </w:rPr>
        <w:t xml:space="preserve"> </w:t>
      </w:r>
      <w:r w:rsidRPr="00E56DC2">
        <w:rPr>
          <w:rFonts w:ascii="Arial" w:hAnsi="Arial" w:cs="Arial"/>
          <w:noProof/>
        </w:rPr>
        <w:t>Elaborata</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 xml:space="preserve"> </w:t>
      </w:r>
      <w:r w:rsidRPr="00E56DC2">
        <w:rPr>
          <w:rFonts w:ascii="Arial" w:hAnsi="Arial" w:cs="Arial"/>
          <w:noProof/>
        </w:rPr>
        <w:t>procjeni</w:t>
      </w:r>
      <w:r w:rsidRPr="00D671DB">
        <w:rPr>
          <w:rFonts w:ascii="Arial" w:hAnsi="Arial" w:cs="Arial"/>
          <w:noProof/>
          <w:lang w:val="sr-Latn-CS"/>
        </w:rPr>
        <w:t xml:space="preserve"> </w:t>
      </w:r>
      <w:r w:rsidRPr="00E56DC2">
        <w:rPr>
          <w:rFonts w:ascii="Arial" w:hAnsi="Arial" w:cs="Arial"/>
          <w:noProof/>
        </w:rPr>
        <w:t>uticaja</w:t>
      </w:r>
      <w:r w:rsidRPr="00D671DB">
        <w:rPr>
          <w:rFonts w:ascii="Arial" w:hAnsi="Arial" w:cs="Arial"/>
          <w:noProof/>
          <w:lang w:val="sr-Latn-CS"/>
        </w:rPr>
        <w:t xml:space="preserve"> </w:t>
      </w:r>
      <w:r w:rsidRPr="00E56DC2">
        <w:rPr>
          <w:rFonts w:ascii="Arial" w:hAnsi="Arial" w:cs="Arial"/>
          <w:noProof/>
        </w:rPr>
        <w:t>zahvata</w:t>
      </w:r>
      <w:r w:rsidRPr="00D671DB">
        <w:rPr>
          <w:rFonts w:ascii="Arial" w:hAnsi="Arial" w:cs="Arial"/>
          <w:noProof/>
          <w:lang w:val="sr-Latn-CS"/>
        </w:rPr>
        <w:t xml:space="preserve"> </w:t>
      </w:r>
      <w:r w:rsidRPr="00E56DC2">
        <w:rPr>
          <w:rFonts w:ascii="Arial" w:hAnsi="Arial" w:cs="Arial"/>
          <w:noProof/>
        </w:rPr>
        <w:t>na</w:t>
      </w:r>
      <w:r w:rsidRPr="00D671DB">
        <w:rPr>
          <w:rFonts w:ascii="Arial" w:hAnsi="Arial" w:cs="Arial"/>
          <w:noProof/>
          <w:lang w:val="sr-Latn-CS"/>
        </w:rPr>
        <w:t xml:space="preserve"> ž</w:t>
      </w:r>
      <w:r w:rsidRPr="00E56DC2">
        <w:rPr>
          <w:rFonts w:ascii="Arial" w:hAnsi="Arial" w:cs="Arial"/>
          <w:noProof/>
        </w:rPr>
        <w:t>ivotnu</w:t>
      </w:r>
      <w:r w:rsidRPr="00D671DB">
        <w:rPr>
          <w:rFonts w:ascii="Arial" w:hAnsi="Arial" w:cs="Arial"/>
          <w:noProof/>
          <w:lang w:val="sr-Latn-CS"/>
        </w:rPr>
        <w:t xml:space="preserve"> </w:t>
      </w:r>
      <w:r w:rsidRPr="00E56DC2">
        <w:rPr>
          <w:rFonts w:ascii="Arial" w:hAnsi="Arial" w:cs="Arial"/>
          <w:noProof/>
        </w:rPr>
        <w:t>sredinu</w:t>
      </w:r>
      <w:r w:rsidRPr="00D671DB">
        <w:rPr>
          <w:rFonts w:ascii="Arial" w:hAnsi="Arial" w:cs="Arial"/>
          <w:noProof/>
          <w:lang w:val="sr-Latn-CS"/>
        </w:rPr>
        <w:t xml:space="preserve">, </w:t>
      </w:r>
      <w:r w:rsidRPr="00E56DC2">
        <w:rPr>
          <w:rFonts w:ascii="Arial" w:hAnsi="Arial" w:cs="Arial"/>
          <w:noProof/>
        </w:rPr>
        <w:t>koji</w:t>
      </w:r>
      <w:r w:rsidRPr="00D671DB">
        <w:rPr>
          <w:rFonts w:ascii="Arial" w:hAnsi="Arial" w:cs="Arial"/>
          <w:noProof/>
          <w:lang w:val="sr-Latn-CS"/>
        </w:rPr>
        <w:t xml:space="preserve"> </w:t>
      </w:r>
      <w:r w:rsidRPr="00E56DC2">
        <w:rPr>
          <w:rFonts w:ascii="Arial" w:hAnsi="Arial" w:cs="Arial"/>
          <w:noProof/>
        </w:rPr>
        <w:t>se</w:t>
      </w:r>
      <w:r w:rsidRPr="00D671DB">
        <w:rPr>
          <w:rFonts w:ascii="Arial" w:hAnsi="Arial" w:cs="Arial"/>
          <w:noProof/>
          <w:lang w:val="sr-Latn-CS"/>
        </w:rPr>
        <w:t xml:space="preserve"> </w:t>
      </w:r>
      <w:r w:rsidRPr="00E56DC2">
        <w:rPr>
          <w:rFonts w:ascii="Arial" w:hAnsi="Arial" w:cs="Arial"/>
          <w:noProof/>
        </w:rPr>
        <w:t>radi</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skladu</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w:t>
      </w:r>
      <w:r w:rsidRPr="00E56DC2">
        <w:rPr>
          <w:rFonts w:ascii="Arial" w:hAnsi="Arial" w:cs="Arial"/>
          <w:noProof/>
        </w:rPr>
        <w:t>Zakonom</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 xml:space="preserve"> </w:t>
      </w:r>
      <w:r w:rsidRPr="00E56DC2">
        <w:rPr>
          <w:rFonts w:ascii="Arial" w:hAnsi="Arial" w:cs="Arial"/>
          <w:noProof/>
        </w:rPr>
        <w:t>procjeni</w:t>
      </w:r>
      <w:r w:rsidRPr="00D671DB">
        <w:rPr>
          <w:rFonts w:ascii="Arial" w:hAnsi="Arial" w:cs="Arial"/>
          <w:noProof/>
          <w:lang w:val="sr-Latn-CS"/>
        </w:rPr>
        <w:t xml:space="preserve"> </w:t>
      </w:r>
      <w:r w:rsidRPr="00E56DC2">
        <w:rPr>
          <w:rFonts w:ascii="Arial" w:hAnsi="Arial" w:cs="Arial"/>
          <w:noProof/>
        </w:rPr>
        <w:t>uticaja</w:t>
      </w:r>
      <w:r w:rsidRPr="00D671DB">
        <w:rPr>
          <w:rFonts w:ascii="Arial" w:hAnsi="Arial" w:cs="Arial"/>
          <w:noProof/>
          <w:lang w:val="sr-Latn-CS"/>
        </w:rPr>
        <w:t xml:space="preserve"> </w:t>
      </w:r>
      <w:r w:rsidRPr="00E56DC2">
        <w:rPr>
          <w:rFonts w:ascii="Arial" w:hAnsi="Arial" w:cs="Arial"/>
          <w:noProof/>
        </w:rPr>
        <w:t>na</w:t>
      </w:r>
      <w:r w:rsidRPr="00D671DB">
        <w:rPr>
          <w:rFonts w:ascii="Arial" w:hAnsi="Arial" w:cs="Arial"/>
          <w:noProof/>
          <w:lang w:val="sr-Latn-CS"/>
        </w:rPr>
        <w:t xml:space="preserve"> ž</w:t>
      </w:r>
      <w:r w:rsidRPr="00E56DC2">
        <w:rPr>
          <w:rFonts w:ascii="Arial" w:hAnsi="Arial" w:cs="Arial"/>
          <w:noProof/>
        </w:rPr>
        <w:t>ivotnu</w:t>
      </w:r>
      <w:r w:rsidRPr="00D671DB">
        <w:rPr>
          <w:rFonts w:ascii="Arial" w:hAnsi="Arial" w:cs="Arial"/>
          <w:noProof/>
          <w:lang w:val="sr-Latn-CS"/>
        </w:rPr>
        <w:t xml:space="preserve"> </w:t>
      </w:r>
      <w:r w:rsidRPr="00E56DC2">
        <w:rPr>
          <w:rFonts w:ascii="Arial" w:hAnsi="Arial" w:cs="Arial"/>
          <w:noProof/>
        </w:rPr>
        <w:t>sredinu</w:t>
      </w:r>
      <w:r w:rsidRPr="00D671DB">
        <w:rPr>
          <w:rFonts w:ascii="Arial" w:hAnsi="Arial" w:cs="Arial"/>
          <w:noProof/>
          <w:lang w:val="sr-Latn-CS"/>
        </w:rPr>
        <w:t xml:space="preserve"> („</w:t>
      </w:r>
      <w:r w:rsidRPr="00E56DC2">
        <w:rPr>
          <w:rFonts w:ascii="Arial" w:hAnsi="Arial" w:cs="Arial"/>
          <w:noProof/>
        </w:rPr>
        <w:t>Sl</w:t>
      </w:r>
      <w:r w:rsidRPr="00D671DB">
        <w:rPr>
          <w:rFonts w:ascii="Arial" w:hAnsi="Arial" w:cs="Arial"/>
          <w:noProof/>
          <w:lang w:val="sr-Latn-CS"/>
        </w:rPr>
        <w:t xml:space="preserve">. </w:t>
      </w:r>
      <w:r w:rsidRPr="00E56DC2">
        <w:rPr>
          <w:rFonts w:ascii="Arial" w:hAnsi="Arial" w:cs="Arial"/>
          <w:noProof/>
        </w:rPr>
        <w:t>list</w:t>
      </w:r>
      <w:r w:rsidRPr="00D671DB">
        <w:rPr>
          <w:rFonts w:ascii="Arial" w:hAnsi="Arial" w:cs="Arial"/>
          <w:noProof/>
          <w:lang w:val="sr-Latn-CS"/>
        </w:rPr>
        <w:t xml:space="preserve"> </w:t>
      </w:r>
      <w:r w:rsidRPr="00E56DC2">
        <w:rPr>
          <w:rFonts w:ascii="Arial" w:hAnsi="Arial" w:cs="Arial"/>
          <w:noProof/>
        </w:rPr>
        <w:t>CG</w:t>
      </w:r>
      <w:r w:rsidRPr="00D671DB">
        <w:rPr>
          <w:rFonts w:ascii="Arial" w:hAnsi="Arial" w:cs="Arial"/>
          <w:noProof/>
          <w:lang w:val="sr-Latn-CS"/>
        </w:rPr>
        <w:t xml:space="preserve">“, </w:t>
      </w:r>
      <w:r w:rsidRPr="00E56DC2">
        <w:rPr>
          <w:rFonts w:ascii="Arial" w:hAnsi="Arial" w:cs="Arial"/>
          <w:noProof/>
        </w:rPr>
        <w:t>br</w:t>
      </w:r>
      <w:r w:rsidRPr="00D671DB">
        <w:rPr>
          <w:rFonts w:ascii="Arial" w:hAnsi="Arial" w:cs="Arial"/>
          <w:noProof/>
          <w:lang w:val="sr-Latn-CS"/>
        </w:rPr>
        <w:t>. 75/18).</w:t>
      </w:r>
    </w:p>
    <w:p w14:paraId="6DF6EE49" w14:textId="77777777" w:rsidR="00E77AD9" w:rsidRPr="00D671DB" w:rsidRDefault="00E77AD9" w:rsidP="003D5374">
      <w:pPr>
        <w:spacing w:after="0" w:line="240" w:lineRule="auto"/>
        <w:jc w:val="both"/>
        <w:rPr>
          <w:rFonts w:ascii="Arial" w:hAnsi="Arial" w:cs="Arial"/>
          <w:noProof/>
          <w:lang w:val="sr-Latn-CS"/>
        </w:rPr>
      </w:pPr>
      <w:r w:rsidRPr="00E56DC2">
        <w:rPr>
          <w:rFonts w:ascii="Arial" w:hAnsi="Arial" w:cs="Arial"/>
          <w:noProof/>
        </w:rPr>
        <w:t>S</w:t>
      </w:r>
      <w:r w:rsidRPr="00D671DB">
        <w:rPr>
          <w:rFonts w:ascii="Arial" w:hAnsi="Arial" w:cs="Arial"/>
          <w:noProof/>
          <w:lang w:val="sr-Latn-CS"/>
        </w:rPr>
        <w:t xml:space="preserve"> </w:t>
      </w:r>
      <w:r w:rsidRPr="00E56DC2">
        <w:rPr>
          <w:rFonts w:ascii="Arial" w:hAnsi="Arial" w:cs="Arial"/>
          <w:noProof/>
        </w:rPr>
        <w:t>obzirom</w:t>
      </w:r>
      <w:r w:rsidRPr="00D671DB">
        <w:rPr>
          <w:rFonts w:ascii="Arial" w:hAnsi="Arial" w:cs="Arial"/>
          <w:noProof/>
          <w:lang w:val="sr-Latn-CS"/>
        </w:rPr>
        <w:t xml:space="preserve"> </w:t>
      </w:r>
      <w:r w:rsidRPr="00E56DC2">
        <w:rPr>
          <w:rFonts w:ascii="Arial" w:hAnsi="Arial" w:cs="Arial"/>
          <w:noProof/>
        </w:rPr>
        <w:t>na</w:t>
      </w:r>
      <w:r w:rsidRPr="00D671DB">
        <w:rPr>
          <w:rFonts w:ascii="Arial" w:hAnsi="Arial" w:cs="Arial"/>
          <w:noProof/>
          <w:lang w:val="sr-Latn-CS"/>
        </w:rPr>
        <w:t xml:space="preserve"> </w:t>
      </w:r>
      <w:r w:rsidRPr="00E56DC2">
        <w:rPr>
          <w:rFonts w:ascii="Arial" w:hAnsi="Arial" w:cs="Arial"/>
          <w:noProof/>
        </w:rPr>
        <w:t>zna</w:t>
      </w:r>
      <w:r w:rsidRPr="00D671DB">
        <w:rPr>
          <w:rFonts w:ascii="Arial" w:hAnsi="Arial" w:cs="Arial"/>
          <w:noProof/>
          <w:lang w:val="sr-Latn-CS"/>
        </w:rPr>
        <w:t>č</w:t>
      </w:r>
      <w:r w:rsidRPr="00E56DC2">
        <w:rPr>
          <w:rFonts w:ascii="Arial" w:hAnsi="Arial" w:cs="Arial"/>
          <w:noProof/>
        </w:rPr>
        <w:t>aj</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č</w:t>
      </w:r>
      <w:r w:rsidRPr="00E56DC2">
        <w:rPr>
          <w:rFonts w:ascii="Arial" w:hAnsi="Arial" w:cs="Arial"/>
          <w:noProof/>
        </w:rPr>
        <w:t>uvanja</w:t>
      </w:r>
      <w:r w:rsidRPr="00D671DB">
        <w:rPr>
          <w:rFonts w:ascii="Arial" w:hAnsi="Arial" w:cs="Arial"/>
          <w:noProof/>
          <w:lang w:val="sr-Latn-CS"/>
        </w:rPr>
        <w:t xml:space="preserve"> ž</w:t>
      </w:r>
      <w:r w:rsidRPr="00E56DC2">
        <w:rPr>
          <w:rFonts w:ascii="Arial" w:hAnsi="Arial" w:cs="Arial"/>
          <w:noProof/>
        </w:rPr>
        <w:t>ivotne</w:t>
      </w:r>
      <w:r w:rsidRPr="00D671DB">
        <w:rPr>
          <w:rFonts w:ascii="Arial" w:hAnsi="Arial" w:cs="Arial"/>
          <w:noProof/>
          <w:lang w:val="sr-Latn-CS"/>
        </w:rPr>
        <w:t xml:space="preserve"> </w:t>
      </w:r>
      <w:r w:rsidRPr="00E56DC2">
        <w:rPr>
          <w:rFonts w:ascii="Arial" w:hAnsi="Arial" w:cs="Arial"/>
          <w:noProof/>
        </w:rPr>
        <w:t>sredine</w:t>
      </w:r>
      <w:r w:rsidRPr="00D671DB">
        <w:rPr>
          <w:rFonts w:ascii="Arial" w:hAnsi="Arial" w:cs="Arial"/>
          <w:noProof/>
          <w:lang w:val="sr-Latn-CS"/>
        </w:rPr>
        <w:t xml:space="preserve">, </w:t>
      </w:r>
      <w:r w:rsidRPr="00E56DC2">
        <w:rPr>
          <w:rFonts w:ascii="Arial" w:hAnsi="Arial" w:cs="Arial"/>
          <w:noProof/>
        </w:rPr>
        <w:t>Koncesionar</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du</w:t>
      </w:r>
      <w:r w:rsidRPr="00D671DB">
        <w:rPr>
          <w:rFonts w:ascii="Arial" w:hAnsi="Arial" w:cs="Arial"/>
          <w:noProof/>
          <w:lang w:val="sr-Latn-CS"/>
        </w:rPr>
        <w:t>ž</w:t>
      </w:r>
      <w:r w:rsidRPr="00E56DC2">
        <w:rPr>
          <w:rFonts w:ascii="Arial" w:hAnsi="Arial" w:cs="Arial"/>
          <w:noProof/>
        </w:rPr>
        <w:t>an</w:t>
      </w:r>
      <w:r w:rsidRPr="00D671DB">
        <w:rPr>
          <w:rFonts w:ascii="Arial" w:hAnsi="Arial" w:cs="Arial"/>
          <w:noProof/>
          <w:lang w:val="sr-Latn-CS"/>
        </w:rPr>
        <w:t xml:space="preserve"> </w:t>
      </w:r>
      <w:r w:rsidRPr="00E56DC2">
        <w:rPr>
          <w:rFonts w:ascii="Arial" w:hAnsi="Arial" w:cs="Arial"/>
          <w:noProof/>
        </w:rPr>
        <w:t>da</w:t>
      </w:r>
      <w:r w:rsidRPr="00D671DB">
        <w:rPr>
          <w:rFonts w:ascii="Arial" w:hAnsi="Arial" w:cs="Arial"/>
          <w:noProof/>
          <w:lang w:val="sr-Latn-CS"/>
        </w:rPr>
        <w:t xml:space="preserve"> </w:t>
      </w:r>
      <w:r w:rsidRPr="00E56DC2">
        <w:rPr>
          <w:rFonts w:ascii="Arial" w:hAnsi="Arial" w:cs="Arial"/>
          <w:noProof/>
        </w:rPr>
        <w:t>se</w:t>
      </w:r>
      <w:r w:rsidRPr="00D671DB">
        <w:rPr>
          <w:rFonts w:ascii="Arial" w:hAnsi="Arial" w:cs="Arial"/>
          <w:noProof/>
          <w:lang w:val="sr-Latn-CS"/>
        </w:rPr>
        <w:t xml:space="preserve"> </w:t>
      </w:r>
      <w:r w:rsidRPr="00E56DC2">
        <w:rPr>
          <w:rFonts w:ascii="Arial" w:hAnsi="Arial" w:cs="Arial"/>
          <w:noProof/>
        </w:rPr>
        <w:t>pridr</w:t>
      </w:r>
      <w:r w:rsidRPr="00D671DB">
        <w:rPr>
          <w:rFonts w:ascii="Arial" w:hAnsi="Arial" w:cs="Arial"/>
          <w:noProof/>
          <w:lang w:val="sr-Latn-CS"/>
        </w:rPr>
        <w:t>ž</w:t>
      </w:r>
      <w:r w:rsidRPr="00E56DC2">
        <w:rPr>
          <w:rFonts w:ascii="Arial" w:hAnsi="Arial" w:cs="Arial"/>
          <w:noProof/>
        </w:rPr>
        <w:t>ava</w:t>
      </w:r>
      <w:r w:rsidRPr="00D671DB">
        <w:rPr>
          <w:rFonts w:ascii="Arial" w:hAnsi="Arial" w:cs="Arial"/>
          <w:noProof/>
          <w:lang w:val="sr-Latn-CS"/>
        </w:rPr>
        <w:t xml:space="preserve"> </w:t>
      </w:r>
      <w:r w:rsidRPr="00E56DC2">
        <w:rPr>
          <w:rFonts w:ascii="Arial" w:hAnsi="Arial" w:cs="Arial"/>
          <w:noProof/>
        </w:rPr>
        <w:t>svih</w:t>
      </w:r>
      <w:r w:rsidRPr="00D671DB">
        <w:rPr>
          <w:rFonts w:ascii="Arial" w:hAnsi="Arial" w:cs="Arial"/>
          <w:noProof/>
          <w:lang w:val="sr-Latn-CS"/>
        </w:rPr>
        <w:t xml:space="preserve"> </w:t>
      </w:r>
      <w:r w:rsidRPr="00E56DC2">
        <w:rPr>
          <w:rFonts w:ascii="Arial" w:hAnsi="Arial" w:cs="Arial"/>
          <w:noProof/>
        </w:rPr>
        <w:t>mjera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š</w:t>
      </w:r>
      <w:r w:rsidRPr="00E56DC2">
        <w:rPr>
          <w:rFonts w:ascii="Arial" w:hAnsi="Arial" w:cs="Arial"/>
          <w:noProof/>
        </w:rPr>
        <w:t>tite</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skladu</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w:t>
      </w:r>
      <w:r w:rsidRPr="00E56DC2">
        <w:rPr>
          <w:rFonts w:ascii="Arial" w:hAnsi="Arial" w:cs="Arial"/>
          <w:noProof/>
        </w:rPr>
        <w:t>zakonskim</w:t>
      </w:r>
      <w:r w:rsidRPr="00D671DB">
        <w:rPr>
          <w:rFonts w:ascii="Arial" w:hAnsi="Arial" w:cs="Arial"/>
          <w:noProof/>
          <w:lang w:val="sr-Latn-CS"/>
        </w:rPr>
        <w:t xml:space="preserve"> </w:t>
      </w:r>
      <w:r w:rsidRPr="00E56DC2">
        <w:rPr>
          <w:rFonts w:ascii="Arial" w:hAnsi="Arial" w:cs="Arial"/>
          <w:noProof/>
        </w:rPr>
        <w:t>propisima</w:t>
      </w:r>
      <w:r w:rsidRPr="00D671DB">
        <w:rPr>
          <w:rFonts w:ascii="Arial" w:hAnsi="Arial" w:cs="Arial"/>
          <w:noProof/>
          <w:lang w:val="sr-Latn-CS"/>
        </w:rPr>
        <w:t>.</w:t>
      </w:r>
    </w:p>
    <w:p w14:paraId="352054BD" w14:textId="1FEB768B" w:rsidR="00E77AD9" w:rsidRPr="00D671DB" w:rsidRDefault="00E77AD9" w:rsidP="003D5374">
      <w:pPr>
        <w:spacing w:after="0" w:line="240" w:lineRule="auto"/>
        <w:jc w:val="both"/>
        <w:rPr>
          <w:rFonts w:ascii="Arial" w:hAnsi="Arial" w:cs="Arial"/>
          <w:noProof/>
          <w:lang w:val="sr-Latn-CS"/>
        </w:rPr>
      </w:pPr>
      <w:r w:rsidRPr="00E56DC2">
        <w:rPr>
          <w:rFonts w:ascii="Arial" w:hAnsi="Arial" w:cs="Arial"/>
          <w:noProof/>
        </w:rPr>
        <w:t>Zakonska</w:t>
      </w:r>
      <w:r w:rsidRPr="00D671DB">
        <w:rPr>
          <w:rFonts w:ascii="Arial" w:hAnsi="Arial" w:cs="Arial"/>
          <w:noProof/>
          <w:lang w:val="sr-Latn-CS"/>
        </w:rPr>
        <w:t xml:space="preserve"> </w:t>
      </w:r>
      <w:r w:rsidRPr="00E56DC2">
        <w:rPr>
          <w:rFonts w:ascii="Arial" w:hAnsi="Arial" w:cs="Arial"/>
          <w:noProof/>
        </w:rPr>
        <w:t>regulativa</w:t>
      </w:r>
      <w:r w:rsidRPr="00D671DB">
        <w:rPr>
          <w:rFonts w:ascii="Arial" w:hAnsi="Arial" w:cs="Arial"/>
          <w:noProof/>
          <w:lang w:val="sr-Latn-CS"/>
        </w:rPr>
        <w:t xml:space="preserve"> </w:t>
      </w:r>
      <w:r w:rsidRPr="00E56DC2">
        <w:rPr>
          <w:rFonts w:ascii="Arial" w:hAnsi="Arial" w:cs="Arial"/>
          <w:noProof/>
        </w:rPr>
        <w:t>koja</w:t>
      </w:r>
      <w:r w:rsidRPr="00D671DB">
        <w:rPr>
          <w:rFonts w:ascii="Arial" w:hAnsi="Arial" w:cs="Arial"/>
          <w:noProof/>
          <w:lang w:val="sr-Latn-CS"/>
        </w:rPr>
        <w:t xml:space="preserve"> </w:t>
      </w:r>
      <w:r w:rsidRPr="00E56DC2">
        <w:rPr>
          <w:rFonts w:ascii="Arial" w:hAnsi="Arial" w:cs="Arial"/>
          <w:noProof/>
        </w:rPr>
        <w:t>ure</w:t>
      </w:r>
      <w:r w:rsidRPr="00D671DB">
        <w:rPr>
          <w:rFonts w:ascii="Arial" w:hAnsi="Arial" w:cs="Arial"/>
          <w:noProof/>
          <w:lang w:val="sr-Latn-CS"/>
        </w:rPr>
        <w:t>đ</w:t>
      </w:r>
      <w:r w:rsidRPr="00E56DC2">
        <w:rPr>
          <w:rFonts w:ascii="Arial" w:hAnsi="Arial" w:cs="Arial"/>
          <w:noProof/>
        </w:rPr>
        <w:t>uje</w:t>
      </w:r>
      <w:r w:rsidRPr="00D671DB">
        <w:rPr>
          <w:rFonts w:ascii="Arial" w:hAnsi="Arial" w:cs="Arial"/>
          <w:noProof/>
          <w:lang w:val="sr-Latn-CS"/>
        </w:rPr>
        <w:t xml:space="preserve"> </w:t>
      </w:r>
      <w:r w:rsidRPr="00E56DC2">
        <w:rPr>
          <w:rFonts w:ascii="Arial" w:hAnsi="Arial" w:cs="Arial"/>
          <w:noProof/>
        </w:rPr>
        <w:t>ovu</w:t>
      </w:r>
      <w:r w:rsidRPr="00D671DB">
        <w:rPr>
          <w:rFonts w:ascii="Arial" w:hAnsi="Arial" w:cs="Arial"/>
          <w:noProof/>
          <w:lang w:val="sr-Latn-CS"/>
        </w:rPr>
        <w:t xml:space="preserve"> </w:t>
      </w:r>
      <w:r w:rsidRPr="00E56DC2">
        <w:rPr>
          <w:rFonts w:ascii="Arial" w:hAnsi="Arial" w:cs="Arial"/>
          <w:noProof/>
        </w:rPr>
        <w:t>djelatnost</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sljede</w:t>
      </w:r>
      <w:r w:rsidRPr="00D671DB">
        <w:rPr>
          <w:rFonts w:ascii="Arial" w:hAnsi="Arial" w:cs="Arial"/>
          <w:noProof/>
          <w:lang w:val="sr-Latn-CS"/>
        </w:rPr>
        <w:t>ć</w:t>
      </w:r>
      <w:r w:rsidRPr="00E56DC2">
        <w:rPr>
          <w:rFonts w:ascii="Arial" w:hAnsi="Arial" w:cs="Arial"/>
          <w:noProof/>
        </w:rPr>
        <w:t>a</w:t>
      </w:r>
      <w:r w:rsidRPr="00D671DB">
        <w:rPr>
          <w:rFonts w:ascii="Arial" w:hAnsi="Arial" w:cs="Arial"/>
          <w:noProof/>
          <w:lang w:val="sr-Latn-CS"/>
        </w:rPr>
        <w:t>:</w:t>
      </w:r>
    </w:p>
    <w:p w14:paraId="272F6AB2" w14:textId="77777777" w:rsidR="003D5374" w:rsidRPr="00D671DB" w:rsidRDefault="003D5374" w:rsidP="003D5374">
      <w:pPr>
        <w:spacing w:after="0" w:line="240" w:lineRule="auto"/>
        <w:jc w:val="both"/>
        <w:rPr>
          <w:rFonts w:ascii="Arial" w:hAnsi="Arial" w:cs="Arial"/>
          <w:noProof/>
          <w:lang w:val="sr-Latn-CS"/>
        </w:rPr>
      </w:pPr>
    </w:p>
    <w:p w14:paraId="345FB7FE" w14:textId="77777777"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Zakon o procjeni uticaja na životnu sredinu („Sl. list RCG“, br. 75/18);</w:t>
      </w:r>
    </w:p>
    <w:p w14:paraId="5722633D" w14:textId="77777777"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Zakon o zaštiti prirode („Sl. list CG“, br. 54/16 i 18/19);</w:t>
      </w:r>
    </w:p>
    <w:p w14:paraId="5D45FE70" w14:textId="77777777"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Uredba o projektima za koje se vrši procjena uticaja na životnu sredinu („Sl. list RCG“, br. 20/07 i „Sl. list CG“, br. 47/13, 53/14 i 37/18);</w:t>
      </w:r>
    </w:p>
    <w:p w14:paraId="613F0260" w14:textId="77777777"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Uredba o visini naknada, načinu obračuna i plaćanja naknada zbog zagađenja životne sredine („Sl. list RCG“, br. 26/97, 09/00 i 52/00 i „Sl. list CG“, br. 33/08, 05/09, 64/09, 40/11 i 49/11);</w:t>
      </w:r>
    </w:p>
    <w:p w14:paraId="494B0819" w14:textId="77777777"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Pravilnik o sadržaju dokumentacije koja se podnosi uz zahtjev za odlučivanje o potrebi procjene uticaja na životnu sredinu („Sl. list CG“, br. 14/07);</w:t>
      </w:r>
    </w:p>
    <w:p w14:paraId="5E827E26" w14:textId="77777777"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Pravilnik o sadržaju dokumentacije koja se podnosi uz zahtjev za određivanje obima i sadržaja Elaborata o procjeni uticaja na životnu sredinu („Sl. list CG“, br. 14/07); i</w:t>
      </w:r>
    </w:p>
    <w:p w14:paraId="4F2E5431" w14:textId="6E728AAF" w:rsidR="00E77AD9" w:rsidRPr="00D671DB" w:rsidRDefault="00E77AD9" w:rsidP="003D5374">
      <w:pPr>
        <w:pStyle w:val="ListParagraph"/>
        <w:numPr>
          <w:ilvl w:val="0"/>
          <w:numId w:val="30"/>
        </w:numPr>
        <w:spacing w:after="0" w:line="240" w:lineRule="auto"/>
        <w:ind w:left="630"/>
        <w:jc w:val="both"/>
        <w:rPr>
          <w:rFonts w:ascii="Arial" w:hAnsi="Arial" w:cs="Arial"/>
          <w:noProof/>
          <w:lang w:val="pt-BR"/>
        </w:rPr>
      </w:pPr>
      <w:r w:rsidRPr="00D671DB">
        <w:rPr>
          <w:rFonts w:ascii="Arial" w:hAnsi="Arial" w:cs="Arial"/>
          <w:noProof/>
          <w:lang w:val="pt-BR"/>
        </w:rPr>
        <w:t>Pravilnik o bližoj sadržini Elaborata o procjeni uticaja na životnu sredinu („Sl. list CG“, br. 19/19).</w:t>
      </w:r>
    </w:p>
    <w:p w14:paraId="08B18F5B" w14:textId="29C77E3D" w:rsidR="000159F2" w:rsidRPr="00D671DB" w:rsidRDefault="000159F2" w:rsidP="003D5374">
      <w:pPr>
        <w:pStyle w:val="ListParagraph"/>
        <w:spacing w:after="0" w:line="240" w:lineRule="auto"/>
        <w:ind w:left="502"/>
        <w:jc w:val="both"/>
        <w:rPr>
          <w:rFonts w:ascii="Arial" w:hAnsi="Arial" w:cs="Arial"/>
          <w:noProof/>
          <w:lang w:val="pt-BR"/>
        </w:rPr>
      </w:pPr>
    </w:p>
    <w:p w14:paraId="6542BE3A" w14:textId="77777777" w:rsidR="003D5374" w:rsidRPr="00D671DB" w:rsidRDefault="003D5374" w:rsidP="003D5374">
      <w:pPr>
        <w:pStyle w:val="ListParagraph"/>
        <w:spacing w:after="0" w:line="240" w:lineRule="auto"/>
        <w:ind w:left="502"/>
        <w:jc w:val="both"/>
        <w:rPr>
          <w:rFonts w:ascii="Arial" w:hAnsi="Arial" w:cs="Arial"/>
          <w:noProof/>
          <w:lang w:val="pt-BR"/>
        </w:rPr>
      </w:pPr>
    </w:p>
    <w:p w14:paraId="3F60B437" w14:textId="219E4143" w:rsidR="008B6DB0" w:rsidRPr="00E56DC2" w:rsidRDefault="00592620" w:rsidP="003D5374">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 xml:space="preserve">PROSTORA </w:t>
      </w:r>
      <w:r w:rsidR="00E47BDE">
        <w:rPr>
          <w:rFonts w:ascii="Arial" w:hAnsi="Arial" w:cs="Arial"/>
          <w:sz w:val="22"/>
          <w:szCs w:val="22"/>
        </w:rPr>
        <w:t>“MILOŠEV KRŠ</w:t>
      </w:r>
      <w:r w:rsidR="00BC1B3C">
        <w:rPr>
          <w:rFonts w:ascii="Arial" w:hAnsi="Arial" w:cs="Arial"/>
          <w:sz w:val="22"/>
          <w:szCs w:val="22"/>
        </w:rPr>
        <w:t>”</w:t>
      </w:r>
      <w:bookmarkEnd w:id="20"/>
    </w:p>
    <w:p w14:paraId="7BEE88B4" w14:textId="77777777" w:rsidR="00744584" w:rsidRPr="00E56DC2" w:rsidRDefault="00744584" w:rsidP="003D5374">
      <w:pPr>
        <w:spacing w:after="0" w:line="240" w:lineRule="auto"/>
        <w:jc w:val="both"/>
        <w:rPr>
          <w:rFonts w:ascii="Arial" w:hAnsi="Arial" w:cs="Arial"/>
          <w:lang w:val="sr-Latn-CS"/>
        </w:rPr>
      </w:pPr>
    </w:p>
    <w:p w14:paraId="08FF62B8" w14:textId="55ED0CB5"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BC1B3C">
        <w:rPr>
          <w:rFonts w:ascii="Arial" w:hAnsi="Arial" w:cs="Arial"/>
          <w:lang w:val="sr-Latn-CS"/>
        </w:rPr>
        <w:t>“Milošev krš”</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3D5374">
      <w:pPr>
        <w:spacing w:after="0" w:line="240" w:lineRule="auto"/>
        <w:jc w:val="both"/>
        <w:rPr>
          <w:rFonts w:ascii="Arial" w:hAnsi="Arial" w:cs="Arial"/>
          <w:lang w:val="sr-Latn-CS"/>
        </w:rPr>
      </w:pPr>
    </w:p>
    <w:p w14:paraId="2FF35952"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3D5374">
      <w:pPr>
        <w:spacing w:after="0" w:line="240" w:lineRule="auto"/>
        <w:jc w:val="both"/>
        <w:rPr>
          <w:rFonts w:ascii="Arial" w:hAnsi="Arial" w:cs="Arial"/>
          <w:lang w:val="sr-Latn-CS"/>
        </w:rPr>
      </w:pPr>
    </w:p>
    <w:p w14:paraId="621C62BB" w14:textId="08D20971"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1F19FE">
        <w:rPr>
          <w:rFonts w:ascii="Arial" w:hAnsi="Arial" w:cs="Arial"/>
          <w:lang w:val="sr-Latn-CS"/>
        </w:rPr>
        <w:t>lokalitet</w:t>
      </w:r>
      <w:r w:rsidRPr="00E56DC2">
        <w:rPr>
          <w:rFonts w:ascii="Arial" w:hAnsi="Arial" w:cs="Arial"/>
          <w:lang w:val="sr-Latn-CS"/>
        </w:rPr>
        <w:t>u i neposrednoj okolini.</w:t>
      </w:r>
    </w:p>
    <w:p w14:paraId="7604890E" w14:textId="77777777" w:rsidR="00744584" w:rsidRPr="00E56DC2" w:rsidRDefault="00744584" w:rsidP="003D5374">
      <w:pPr>
        <w:spacing w:after="0" w:line="240" w:lineRule="auto"/>
        <w:jc w:val="both"/>
        <w:rPr>
          <w:rFonts w:ascii="Arial" w:hAnsi="Arial" w:cs="Arial"/>
          <w:lang w:val="sr-Latn-CS"/>
        </w:rPr>
      </w:pPr>
    </w:p>
    <w:p w14:paraId="270AD83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3D5374">
      <w:pPr>
        <w:spacing w:after="0" w:line="240" w:lineRule="auto"/>
        <w:ind w:left="270"/>
        <w:jc w:val="both"/>
        <w:rPr>
          <w:rFonts w:ascii="Arial" w:hAnsi="Arial" w:cs="Arial"/>
          <w:lang w:val="sr-Latn-CS"/>
        </w:rPr>
      </w:pPr>
    </w:p>
    <w:p w14:paraId="6A6DF592" w14:textId="77777777" w:rsidR="00744584" w:rsidRPr="00E56DC2" w:rsidRDefault="00744584" w:rsidP="003D5374">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3D5374">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3D5374">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3D5374">
      <w:pPr>
        <w:spacing w:after="0" w:line="240" w:lineRule="auto"/>
        <w:jc w:val="both"/>
        <w:rPr>
          <w:rFonts w:ascii="Arial" w:hAnsi="Arial" w:cs="Arial"/>
          <w:lang w:val="sr-Latn-CS"/>
        </w:rPr>
      </w:pPr>
    </w:p>
    <w:p w14:paraId="642C96C6" w14:textId="0DBE8BE5"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lastRenderedPageBreak/>
        <w:t xml:space="preserve">Osnovni cilj rekultivacije je da se prostoru, na kojem će biti vršena eksploatacija, da prirodna vrijednost slična ili bolja od prvobitne, što je, prema procijenjenim sadašnjim uslovima na ovom </w:t>
      </w:r>
      <w:r w:rsidR="001F19FE">
        <w:rPr>
          <w:rFonts w:ascii="Arial" w:hAnsi="Arial" w:cs="Arial"/>
          <w:lang w:val="sr-Latn-CS"/>
        </w:rPr>
        <w:t>lokalitet</w:t>
      </w:r>
      <w:r w:rsidRPr="00E56DC2">
        <w:rPr>
          <w:rFonts w:ascii="Arial" w:hAnsi="Arial" w:cs="Arial"/>
          <w:lang w:val="sr-Latn-CS"/>
        </w:rPr>
        <w:t xml:space="preserve">u, sasvim moguće. </w:t>
      </w:r>
    </w:p>
    <w:p w14:paraId="1DA10905" w14:textId="77777777" w:rsidR="00744584" w:rsidRPr="00E56DC2" w:rsidRDefault="00744584" w:rsidP="003D5374">
      <w:pPr>
        <w:spacing w:after="0" w:line="240" w:lineRule="auto"/>
        <w:jc w:val="both"/>
        <w:rPr>
          <w:rFonts w:ascii="Arial" w:hAnsi="Arial" w:cs="Arial"/>
          <w:lang w:val="sr-Latn-CS"/>
        </w:rPr>
      </w:pPr>
    </w:p>
    <w:p w14:paraId="45E3BC30" w14:textId="77777777" w:rsidR="00C4558C"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3D5374">
      <w:pPr>
        <w:spacing w:after="0" w:line="240" w:lineRule="auto"/>
        <w:jc w:val="both"/>
        <w:rPr>
          <w:rFonts w:ascii="Arial" w:hAnsi="Arial" w:cs="Arial"/>
          <w:lang w:val="sr-Latn-CS"/>
        </w:rPr>
      </w:pPr>
    </w:p>
    <w:p w14:paraId="31F22114"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2C6974B" w14:textId="77777777" w:rsidR="003D5374" w:rsidRDefault="003D5374" w:rsidP="003D5374">
      <w:pPr>
        <w:spacing w:after="0" w:line="240" w:lineRule="auto"/>
        <w:jc w:val="both"/>
        <w:rPr>
          <w:rFonts w:ascii="Arial" w:hAnsi="Arial" w:cs="Arial"/>
          <w:lang w:val="sr-Latn-CS"/>
        </w:rPr>
      </w:pPr>
    </w:p>
    <w:p w14:paraId="5DEFB01D" w14:textId="4C88AFA1"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3D5374">
      <w:pPr>
        <w:spacing w:after="0" w:line="240" w:lineRule="auto"/>
        <w:jc w:val="both"/>
        <w:rPr>
          <w:rFonts w:ascii="Arial" w:hAnsi="Arial" w:cs="Arial"/>
          <w:lang w:val="sr-Latn-CS"/>
        </w:rPr>
      </w:pPr>
    </w:p>
    <w:p w14:paraId="07FAFF9B" w14:textId="77777777" w:rsidR="00754CD0"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3D5374">
      <w:pPr>
        <w:spacing w:after="0" w:line="240" w:lineRule="auto"/>
        <w:jc w:val="both"/>
        <w:rPr>
          <w:rFonts w:ascii="Arial" w:hAnsi="Arial" w:cs="Arial"/>
          <w:lang w:val="sr-Latn-CS"/>
        </w:rPr>
      </w:pPr>
    </w:p>
    <w:p w14:paraId="22DA6205" w14:textId="77777777" w:rsidR="00744584" w:rsidRPr="00E56DC2" w:rsidRDefault="00A41658" w:rsidP="003D5374">
      <w:pPr>
        <w:pStyle w:val="Heading2"/>
      </w:pPr>
      <w:bookmarkStart w:id="21" w:name="_Toc402262950"/>
      <w:r w:rsidRPr="00E56DC2">
        <w:t xml:space="preserve">5.1 </w:t>
      </w:r>
      <w:r w:rsidR="00744584" w:rsidRPr="00E56DC2">
        <w:t>Zaključak</w:t>
      </w:r>
      <w:bookmarkEnd w:id="21"/>
    </w:p>
    <w:p w14:paraId="2EEF26EB" w14:textId="77777777" w:rsidR="00744584" w:rsidRPr="00E56DC2" w:rsidRDefault="00744584" w:rsidP="003D5374">
      <w:pPr>
        <w:spacing w:after="0" w:line="240" w:lineRule="auto"/>
        <w:jc w:val="both"/>
        <w:rPr>
          <w:rFonts w:ascii="Arial" w:hAnsi="Arial" w:cs="Arial"/>
          <w:lang w:val="sr-Latn-CS"/>
        </w:rPr>
      </w:pPr>
    </w:p>
    <w:p w14:paraId="27B4DBB1" w14:textId="77777777" w:rsidR="00744584" w:rsidRPr="00E56DC2" w:rsidRDefault="00436FEF" w:rsidP="003D5374">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3D5374">
      <w:pPr>
        <w:spacing w:after="0" w:line="240" w:lineRule="auto"/>
        <w:jc w:val="both"/>
        <w:rPr>
          <w:rFonts w:ascii="Arial" w:hAnsi="Arial" w:cs="Arial"/>
          <w:lang w:val="sr-Latn-CS"/>
        </w:rPr>
      </w:pPr>
    </w:p>
    <w:p w14:paraId="63FF3B6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3D5374">
      <w:pPr>
        <w:spacing w:after="0" w:line="240" w:lineRule="auto"/>
        <w:jc w:val="both"/>
        <w:rPr>
          <w:rFonts w:ascii="Arial" w:hAnsi="Arial" w:cs="Arial"/>
          <w:lang w:val="sr-Latn-CS"/>
        </w:rPr>
      </w:pPr>
    </w:p>
    <w:p w14:paraId="2B05B971"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3D5374">
      <w:pPr>
        <w:spacing w:after="0" w:line="240" w:lineRule="auto"/>
        <w:jc w:val="both"/>
        <w:rPr>
          <w:rFonts w:ascii="Arial" w:hAnsi="Arial" w:cs="Arial"/>
          <w:lang w:val="sr-Latn-CS"/>
        </w:rPr>
      </w:pPr>
    </w:p>
    <w:p w14:paraId="68176D42"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3D5374">
      <w:pPr>
        <w:spacing w:after="0" w:line="240" w:lineRule="auto"/>
        <w:jc w:val="both"/>
        <w:rPr>
          <w:rFonts w:ascii="Arial" w:hAnsi="Arial" w:cs="Arial"/>
          <w:lang w:val="sr-Latn-CS"/>
        </w:rPr>
      </w:pPr>
    </w:p>
    <w:p w14:paraId="2DD884E4" w14:textId="77777777" w:rsidR="006C4D9F" w:rsidRPr="00E56DC2" w:rsidRDefault="006C4D9F" w:rsidP="003D5374">
      <w:pPr>
        <w:spacing w:after="0" w:line="240" w:lineRule="auto"/>
        <w:jc w:val="both"/>
        <w:rPr>
          <w:rFonts w:ascii="Arial" w:hAnsi="Arial" w:cs="Arial"/>
          <w:lang w:val="sr-Latn-CS"/>
        </w:rPr>
      </w:pPr>
    </w:p>
    <w:p w14:paraId="666ED7B2" w14:textId="731440EE" w:rsidR="00744584" w:rsidRPr="00E56DC2" w:rsidRDefault="00592620" w:rsidP="003D5374">
      <w:pPr>
        <w:pStyle w:val="Heading1"/>
        <w:numPr>
          <w:ilvl w:val="0"/>
          <w:numId w:val="28"/>
        </w:numPr>
        <w:ind w:left="450" w:hanging="450"/>
        <w:jc w:val="both"/>
        <w:rPr>
          <w:rFonts w:ascii="Arial" w:hAnsi="Arial" w:cs="Arial"/>
          <w:sz w:val="22"/>
          <w:szCs w:val="22"/>
        </w:rPr>
      </w:pPr>
      <w:bookmarkStart w:id="22" w:name="_Toc402262951"/>
      <w:r w:rsidRPr="00E56DC2">
        <w:rPr>
          <w:rFonts w:ascii="Arial" w:hAnsi="Arial" w:cs="Arial"/>
          <w:sz w:val="22"/>
          <w:szCs w:val="22"/>
        </w:rPr>
        <w:t>UNAPREĐENJE ENERGETSKE EFIKASNOSTI</w:t>
      </w:r>
      <w:bookmarkEnd w:id="22"/>
    </w:p>
    <w:p w14:paraId="4555C2B2" w14:textId="77777777" w:rsidR="00744584" w:rsidRPr="00E56DC2" w:rsidRDefault="00744584" w:rsidP="003D5374">
      <w:pPr>
        <w:spacing w:after="0" w:line="240" w:lineRule="auto"/>
        <w:jc w:val="both"/>
        <w:rPr>
          <w:rFonts w:ascii="Arial" w:hAnsi="Arial" w:cs="Arial"/>
          <w:lang w:val="sr-Latn-CS"/>
        </w:rPr>
      </w:pPr>
    </w:p>
    <w:p w14:paraId="061B0A3F" w14:textId="77777777" w:rsidR="00E77AD9" w:rsidRPr="00D671DB" w:rsidRDefault="00E77AD9" w:rsidP="003D5374">
      <w:pPr>
        <w:spacing w:after="0" w:line="240" w:lineRule="auto"/>
        <w:jc w:val="both"/>
        <w:rPr>
          <w:rFonts w:ascii="Arial" w:hAnsi="Arial" w:cs="Arial"/>
          <w:noProof/>
          <w:lang w:val="sr-Latn-CS"/>
        </w:rPr>
      </w:pPr>
      <w:r w:rsidRPr="00E56DC2">
        <w:rPr>
          <w:rFonts w:ascii="Arial" w:hAnsi="Arial" w:cs="Arial"/>
          <w:noProof/>
        </w:rPr>
        <w:t>Radi</w:t>
      </w:r>
      <w:r w:rsidRPr="00D671DB">
        <w:rPr>
          <w:rFonts w:ascii="Arial" w:hAnsi="Arial" w:cs="Arial"/>
          <w:noProof/>
          <w:lang w:val="sr-Latn-CS"/>
        </w:rPr>
        <w:t xml:space="preserve"> </w:t>
      </w:r>
      <w:r w:rsidRPr="00E56DC2">
        <w:rPr>
          <w:rFonts w:ascii="Arial" w:hAnsi="Arial" w:cs="Arial"/>
          <w:noProof/>
        </w:rPr>
        <w:t>efikasnog</w:t>
      </w:r>
      <w:r w:rsidRPr="00D671DB">
        <w:rPr>
          <w:rFonts w:ascii="Arial" w:hAnsi="Arial" w:cs="Arial"/>
          <w:noProof/>
          <w:lang w:val="sr-Latn-CS"/>
        </w:rPr>
        <w:t xml:space="preserve"> </w:t>
      </w:r>
      <w:r w:rsidRPr="00E56DC2">
        <w:rPr>
          <w:rFonts w:ascii="Arial" w:hAnsi="Arial" w:cs="Arial"/>
          <w:noProof/>
        </w:rPr>
        <w:t>kori</w:t>
      </w:r>
      <w:r w:rsidRPr="00D671DB">
        <w:rPr>
          <w:rFonts w:ascii="Arial" w:hAnsi="Arial" w:cs="Arial"/>
          <w:noProof/>
          <w:lang w:val="sr-Latn-CS"/>
        </w:rPr>
        <w:t>šć</w:t>
      </w:r>
      <w:r w:rsidRPr="00E56DC2">
        <w:rPr>
          <w:rFonts w:ascii="Arial" w:hAnsi="Arial" w:cs="Arial"/>
          <w:noProof/>
        </w:rPr>
        <w:t>enja</w:t>
      </w:r>
      <w:r w:rsidRPr="00D671DB">
        <w:rPr>
          <w:rFonts w:ascii="Arial" w:hAnsi="Arial" w:cs="Arial"/>
          <w:noProof/>
          <w:lang w:val="sr-Latn-CS"/>
        </w:rPr>
        <w:t xml:space="preserve"> </w:t>
      </w:r>
      <w:r w:rsidRPr="00E56DC2">
        <w:rPr>
          <w:rFonts w:ascii="Arial" w:hAnsi="Arial" w:cs="Arial"/>
          <w:noProof/>
        </w:rPr>
        <w:t>energije</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 xml:space="preserve"> </w:t>
      </w:r>
      <w:r w:rsidRPr="00E56DC2">
        <w:rPr>
          <w:rFonts w:ascii="Arial" w:hAnsi="Arial" w:cs="Arial"/>
          <w:noProof/>
        </w:rPr>
        <w:t>skladu</w:t>
      </w:r>
      <w:r w:rsidRPr="00D671DB">
        <w:rPr>
          <w:rFonts w:ascii="Arial" w:hAnsi="Arial" w:cs="Arial"/>
          <w:noProof/>
          <w:lang w:val="sr-Latn-CS"/>
        </w:rPr>
        <w:t xml:space="preserve"> </w:t>
      </w:r>
      <w:r w:rsidRPr="00E56DC2">
        <w:rPr>
          <w:rFonts w:ascii="Arial" w:hAnsi="Arial" w:cs="Arial"/>
          <w:noProof/>
        </w:rPr>
        <w:t>sa</w:t>
      </w:r>
      <w:r w:rsidRPr="00D671DB">
        <w:rPr>
          <w:rFonts w:ascii="Arial" w:hAnsi="Arial" w:cs="Arial"/>
          <w:noProof/>
          <w:lang w:val="sr-Latn-CS"/>
        </w:rPr>
        <w:t xml:space="preserve"> </w:t>
      </w:r>
      <w:r w:rsidRPr="00E56DC2">
        <w:rPr>
          <w:rFonts w:ascii="Arial" w:hAnsi="Arial" w:cs="Arial"/>
          <w:noProof/>
        </w:rPr>
        <w:t>odredbama</w:t>
      </w:r>
      <w:r w:rsidRPr="00D671DB">
        <w:rPr>
          <w:rFonts w:ascii="Arial" w:hAnsi="Arial" w:cs="Arial"/>
          <w:noProof/>
          <w:lang w:val="sr-Latn-CS"/>
        </w:rPr>
        <w:t xml:space="preserve"> </w:t>
      </w:r>
      <w:r w:rsidRPr="00E56DC2">
        <w:rPr>
          <w:rFonts w:ascii="Arial" w:hAnsi="Arial" w:cs="Arial"/>
          <w:noProof/>
        </w:rPr>
        <w:t>Zakona</w:t>
      </w:r>
      <w:r w:rsidRPr="00D671DB">
        <w:rPr>
          <w:rFonts w:ascii="Arial" w:hAnsi="Arial" w:cs="Arial"/>
          <w:noProof/>
          <w:lang w:val="sr-Latn-CS"/>
        </w:rPr>
        <w:t xml:space="preserve"> </w:t>
      </w:r>
      <w:r w:rsidRPr="00E56DC2">
        <w:rPr>
          <w:rFonts w:ascii="Arial" w:hAnsi="Arial" w:cs="Arial"/>
          <w:noProof/>
        </w:rPr>
        <w:t>o</w:t>
      </w:r>
      <w:r w:rsidRPr="00D671DB">
        <w:rPr>
          <w:rFonts w:ascii="Arial" w:hAnsi="Arial" w:cs="Arial"/>
          <w:noProof/>
          <w:lang w:val="sr-Latn-CS"/>
        </w:rPr>
        <w:t xml:space="preserve"> </w:t>
      </w:r>
      <w:r w:rsidRPr="00E56DC2">
        <w:rPr>
          <w:rFonts w:ascii="Arial" w:hAnsi="Arial" w:cs="Arial"/>
          <w:noProof/>
        </w:rPr>
        <w:t>efikasnom</w:t>
      </w:r>
      <w:r w:rsidRPr="00D671DB">
        <w:rPr>
          <w:rFonts w:ascii="Arial" w:hAnsi="Arial" w:cs="Arial"/>
          <w:noProof/>
          <w:lang w:val="sr-Latn-CS"/>
        </w:rPr>
        <w:t xml:space="preserve"> </w:t>
      </w:r>
      <w:r w:rsidRPr="00E56DC2">
        <w:rPr>
          <w:rFonts w:ascii="Arial" w:hAnsi="Arial" w:cs="Arial"/>
          <w:noProof/>
        </w:rPr>
        <w:t>kori</w:t>
      </w:r>
      <w:r w:rsidRPr="00D671DB">
        <w:rPr>
          <w:rFonts w:ascii="Arial" w:hAnsi="Arial" w:cs="Arial"/>
          <w:noProof/>
          <w:lang w:val="sr-Latn-CS"/>
        </w:rPr>
        <w:t>šć</w:t>
      </w:r>
      <w:r w:rsidRPr="00E56DC2">
        <w:rPr>
          <w:rFonts w:ascii="Arial" w:hAnsi="Arial" w:cs="Arial"/>
          <w:noProof/>
        </w:rPr>
        <w:t>enju</w:t>
      </w:r>
      <w:r w:rsidRPr="00D671DB">
        <w:rPr>
          <w:rFonts w:ascii="Arial" w:hAnsi="Arial" w:cs="Arial"/>
          <w:noProof/>
          <w:lang w:val="sr-Latn-CS"/>
        </w:rPr>
        <w:t xml:space="preserve"> </w:t>
      </w:r>
      <w:r w:rsidRPr="00E56DC2">
        <w:rPr>
          <w:rFonts w:ascii="Arial" w:hAnsi="Arial" w:cs="Arial"/>
          <w:noProof/>
        </w:rPr>
        <w:t>energije</w:t>
      </w:r>
      <w:r w:rsidRPr="00D671DB">
        <w:rPr>
          <w:rFonts w:ascii="Arial" w:hAnsi="Arial" w:cs="Arial"/>
          <w:noProof/>
          <w:lang w:val="sr-Latn-CS"/>
        </w:rPr>
        <w:t xml:space="preserve"> („</w:t>
      </w:r>
      <w:r w:rsidRPr="00E56DC2">
        <w:rPr>
          <w:rFonts w:ascii="Arial" w:hAnsi="Arial" w:cs="Arial"/>
          <w:noProof/>
        </w:rPr>
        <w:t>Sl</w:t>
      </w:r>
      <w:r w:rsidRPr="00D671DB">
        <w:rPr>
          <w:rFonts w:ascii="Arial" w:hAnsi="Arial" w:cs="Arial"/>
          <w:noProof/>
          <w:lang w:val="sr-Latn-CS"/>
        </w:rPr>
        <w:t>.</w:t>
      </w:r>
      <w:r w:rsidRPr="00E56DC2">
        <w:rPr>
          <w:rFonts w:ascii="Arial" w:hAnsi="Arial" w:cs="Arial"/>
          <w:noProof/>
        </w:rPr>
        <w:t>list</w:t>
      </w:r>
      <w:r w:rsidRPr="00D671DB">
        <w:rPr>
          <w:rFonts w:ascii="Arial" w:hAnsi="Arial" w:cs="Arial"/>
          <w:noProof/>
          <w:lang w:val="sr-Latn-CS"/>
        </w:rPr>
        <w:t xml:space="preserve"> </w:t>
      </w:r>
      <w:r w:rsidRPr="00E56DC2">
        <w:rPr>
          <w:rFonts w:ascii="Arial" w:hAnsi="Arial" w:cs="Arial"/>
          <w:noProof/>
        </w:rPr>
        <w:t>CG</w:t>
      </w:r>
      <w:r w:rsidRPr="00D671DB">
        <w:rPr>
          <w:rFonts w:ascii="Arial" w:hAnsi="Arial" w:cs="Arial"/>
          <w:noProof/>
          <w:lang w:val="sr-Latn-CS"/>
        </w:rPr>
        <w:t xml:space="preserve">“ </w:t>
      </w:r>
      <w:r w:rsidRPr="00E56DC2">
        <w:rPr>
          <w:rFonts w:ascii="Arial" w:hAnsi="Arial" w:cs="Arial"/>
          <w:noProof/>
        </w:rPr>
        <w:t>br</w:t>
      </w:r>
      <w:r w:rsidRPr="00D671DB">
        <w:rPr>
          <w:rFonts w:ascii="Arial" w:hAnsi="Arial" w:cs="Arial"/>
          <w:noProof/>
          <w:lang w:val="sr-Latn-CS"/>
        </w:rPr>
        <w:t xml:space="preserve">. 57/14, 3/15 </w:t>
      </w:r>
      <w:r w:rsidRPr="00E56DC2">
        <w:rPr>
          <w:rFonts w:ascii="Arial" w:hAnsi="Arial" w:cs="Arial"/>
          <w:noProof/>
        </w:rPr>
        <w:t>i</w:t>
      </w:r>
      <w:r w:rsidRPr="00D671DB">
        <w:rPr>
          <w:rFonts w:ascii="Arial" w:hAnsi="Arial" w:cs="Arial"/>
          <w:noProof/>
          <w:lang w:val="sr-Latn-CS"/>
        </w:rPr>
        <w:t xml:space="preserve"> 25/19), </w:t>
      </w:r>
      <w:r w:rsidRPr="00E56DC2">
        <w:rPr>
          <w:rFonts w:ascii="Arial" w:hAnsi="Arial" w:cs="Arial"/>
          <w:noProof/>
        </w:rPr>
        <w:t>Koncesionar</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du</w:t>
      </w:r>
      <w:r w:rsidRPr="00D671DB">
        <w:rPr>
          <w:rFonts w:ascii="Arial" w:hAnsi="Arial" w:cs="Arial"/>
          <w:noProof/>
          <w:lang w:val="sr-Latn-CS"/>
        </w:rPr>
        <w:t>ž</w:t>
      </w:r>
      <w:r w:rsidRPr="00E56DC2">
        <w:rPr>
          <w:rFonts w:ascii="Arial" w:hAnsi="Arial" w:cs="Arial"/>
          <w:noProof/>
        </w:rPr>
        <w:t>an</w:t>
      </w:r>
      <w:r w:rsidRPr="00D671DB">
        <w:rPr>
          <w:rFonts w:ascii="Arial" w:hAnsi="Arial" w:cs="Arial"/>
          <w:noProof/>
          <w:lang w:val="sr-Latn-CS"/>
        </w:rPr>
        <w:t xml:space="preserve"> </w:t>
      </w:r>
      <w:r w:rsidRPr="00E56DC2">
        <w:rPr>
          <w:rFonts w:ascii="Arial" w:hAnsi="Arial" w:cs="Arial"/>
          <w:noProof/>
        </w:rPr>
        <w:t>da</w:t>
      </w:r>
      <w:r w:rsidRPr="00D671DB">
        <w:rPr>
          <w:rFonts w:ascii="Arial" w:hAnsi="Arial" w:cs="Arial"/>
          <w:noProof/>
          <w:lang w:val="sr-Latn-CS"/>
        </w:rPr>
        <w:t xml:space="preserve"> </w:t>
      </w:r>
      <w:r w:rsidRPr="00E56DC2">
        <w:rPr>
          <w:rFonts w:ascii="Arial" w:hAnsi="Arial" w:cs="Arial"/>
          <w:noProof/>
        </w:rPr>
        <w:t>preduzima</w:t>
      </w:r>
      <w:r w:rsidRPr="00D671DB">
        <w:rPr>
          <w:rFonts w:ascii="Arial" w:hAnsi="Arial" w:cs="Arial"/>
          <w:noProof/>
          <w:lang w:val="sr-Latn-CS"/>
        </w:rPr>
        <w:t xml:space="preserve"> </w:t>
      </w:r>
      <w:r w:rsidRPr="00E56DC2">
        <w:rPr>
          <w:rFonts w:ascii="Arial" w:hAnsi="Arial" w:cs="Arial"/>
          <w:noProof/>
        </w:rPr>
        <w:t>mjere</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pobolj</w:t>
      </w:r>
      <w:r w:rsidRPr="00D671DB">
        <w:rPr>
          <w:rFonts w:ascii="Arial" w:hAnsi="Arial" w:cs="Arial"/>
          <w:noProof/>
          <w:lang w:val="sr-Latn-CS"/>
        </w:rPr>
        <w:t>š</w:t>
      </w:r>
      <w:r w:rsidRPr="00E56DC2">
        <w:rPr>
          <w:rFonts w:ascii="Arial" w:hAnsi="Arial" w:cs="Arial"/>
          <w:noProof/>
        </w:rPr>
        <w:t>anje</w:t>
      </w:r>
      <w:r w:rsidRPr="00D671DB">
        <w:rPr>
          <w:rFonts w:ascii="Arial" w:hAnsi="Arial" w:cs="Arial"/>
          <w:noProof/>
          <w:lang w:val="sr-Latn-CS"/>
        </w:rPr>
        <w:t xml:space="preserve"> </w:t>
      </w:r>
      <w:r w:rsidRPr="00E56DC2">
        <w:rPr>
          <w:rFonts w:ascii="Arial" w:hAnsi="Arial" w:cs="Arial"/>
          <w:noProof/>
        </w:rPr>
        <w:t>energetske</w:t>
      </w:r>
      <w:r w:rsidRPr="00D671DB">
        <w:rPr>
          <w:rFonts w:ascii="Arial" w:hAnsi="Arial" w:cs="Arial"/>
          <w:noProof/>
          <w:lang w:val="sr-Latn-CS"/>
        </w:rPr>
        <w:t xml:space="preserve"> </w:t>
      </w:r>
      <w:r w:rsidRPr="00E56DC2">
        <w:rPr>
          <w:rFonts w:ascii="Arial" w:hAnsi="Arial" w:cs="Arial"/>
          <w:noProof/>
        </w:rPr>
        <w:t>efikasnosti</w:t>
      </w:r>
      <w:r w:rsidRPr="00D671DB">
        <w:rPr>
          <w:rFonts w:ascii="Arial" w:hAnsi="Arial" w:cs="Arial"/>
          <w:noProof/>
          <w:lang w:val="sr-Latn-CS"/>
        </w:rPr>
        <w:t>.</w:t>
      </w:r>
    </w:p>
    <w:p w14:paraId="5664D5B9" w14:textId="77777777" w:rsidR="00E77AD9" w:rsidRPr="00D671DB" w:rsidRDefault="00E77AD9" w:rsidP="003D5374">
      <w:pPr>
        <w:spacing w:after="0" w:line="240" w:lineRule="auto"/>
        <w:jc w:val="both"/>
        <w:rPr>
          <w:rFonts w:ascii="Arial" w:hAnsi="Arial" w:cs="Arial"/>
          <w:noProof/>
          <w:lang w:val="sr-Latn-CS"/>
        </w:rPr>
      </w:pPr>
    </w:p>
    <w:p w14:paraId="7567F4F1" w14:textId="77777777" w:rsidR="00E77AD9" w:rsidRPr="00D671DB" w:rsidRDefault="00E77AD9" w:rsidP="003D5374">
      <w:pPr>
        <w:spacing w:after="0" w:line="240" w:lineRule="auto"/>
        <w:jc w:val="both"/>
        <w:rPr>
          <w:rFonts w:ascii="Arial" w:hAnsi="Arial" w:cs="Arial"/>
          <w:noProof/>
          <w:lang w:val="sr-Latn-CS"/>
        </w:rPr>
      </w:pPr>
      <w:r w:rsidRPr="00E56DC2">
        <w:rPr>
          <w:rFonts w:ascii="Arial" w:hAnsi="Arial" w:cs="Arial"/>
          <w:noProof/>
        </w:rPr>
        <w:t>Koncesionar</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du</w:t>
      </w:r>
      <w:r w:rsidRPr="00D671DB">
        <w:rPr>
          <w:rFonts w:ascii="Arial" w:hAnsi="Arial" w:cs="Arial"/>
          <w:noProof/>
          <w:lang w:val="sr-Latn-CS"/>
        </w:rPr>
        <w:t>ž</w:t>
      </w:r>
      <w:r w:rsidRPr="00E56DC2">
        <w:rPr>
          <w:rFonts w:ascii="Arial" w:hAnsi="Arial" w:cs="Arial"/>
          <w:noProof/>
        </w:rPr>
        <w:t>an</w:t>
      </w:r>
      <w:r w:rsidRPr="00D671DB">
        <w:rPr>
          <w:rFonts w:ascii="Arial" w:hAnsi="Arial" w:cs="Arial"/>
          <w:noProof/>
          <w:lang w:val="sr-Latn-CS"/>
        </w:rPr>
        <w:t xml:space="preserve"> </w:t>
      </w:r>
      <w:r w:rsidRPr="00E56DC2">
        <w:rPr>
          <w:rFonts w:ascii="Arial" w:hAnsi="Arial" w:cs="Arial"/>
          <w:noProof/>
        </w:rPr>
        <w:t>da</w:t>
      </w:r>
      <w:r w:rsidRPr="00D671DB">
        <w:rPr>
          <w:rFonts w:ascii="Arial" w:hAnsi="Arial" w:cs="Arial"/>
          <w:noProof/>
          <w:lang w:val="sr-Latn-CS"/>
        </w:rPr>
        <w:t xml:space="preserve"> </w:t>
      </w:r>
      <w:r w:rsidRPr="00E56DC2">
        <w:rPr>
          <w:rFonts w:ascii="Arial" w:hAnsi="Arial" w:cs="Arial"/>
          <w:noProof/>
        </w:rPr>
        <w:t>kroz</w:t>
      </w:r>
      <w:r w:rsidRPr="00D671DB">
        <w:rPr>
          <w:rFonts w:ascii="Arial" w:hAnsi="Arial" w:cs="Arial"/>
          <w:noProof/>
          <w:lang w:val="sr-Latn-CS"/>
        </w:rPr>
        <w:t xml:space="preserve"> </w:t>
      </w:r>
      <w:r w:rsidRPr="00E56DC2">
        <w:rPr>
          <w:rFonts w:ascii="Arial" w:hAnsi="Arial" w:cs="Arial"/>
          <w:noProof/>
        </w:rPr>
        <w:t>izradu</w:t>
      </w:r>
      <w:r w:rsidRPr="00D671DB">
        <w:rPr>
          <w:rFonts w:ascii="Arial" w:hAnsi="Arial" w:cs="Arial"/>
          <w:noProof/>
          <w:lang w:val="sr-Latn-CS"/>
        </w:rPr>
        <w:t xml:space="preserve"> </w:t>
      </w:r>
      <w:r w:rsidRPr="00E56DC2">
        <w:rPr>
          <w:rFonts w:ascii="Arial" w:hAnsi="Arial" w:cs="Arial"/>
          <w:noProof/>
        </w:rPr>
        <w:t>tehni</w:t>
      </w:r>
      <w:r w:rsidRPr="00D671DB">
        <w:rPr>
          <w:rFonts w:ascii="Arial" w:hAnsi="Arial" w:cs="Arial"/>
          <w:noProof/>
          <w:lang w:val="sr-Latn-CS"/>
        </w:rPr>
        <w:t>č</w:t>
      </w:r>
      <w:r w:rsidRPr="00E56DC2">
        <w:rPr>
          <w:rFonts w:ascii="Arial" w:hAnsi="Arial" w:cs="Arial"/>
          <w:noProof/>
        </w:rPr>
        <w:t>ke</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projektne</w:t>
      </w:r>
      <w:r w:rsidRPr="00D671DB">
        <w:rPr>
          <w:rFonts w:ascii="Arial" w:hAnsi="Arial" w:cs="Arial"/>
          <w:noProof/>
          <w:lang w:val="sr-Latn-CS"/>
        </w:rPr>
        <w:t xml:space="preserve"> </w:t>
      </w:r>
      <w:r w:rsidRPr="00E56DC2">
        <w:rPr>
          <w:rFonts w:ascii="Arial" w:hAnsi="Arial" w:cs="Arial"/>
          <w:noProof/>
        </w:rPr>
        <w:t>dokumentacije</w:t>
      </w:r>
      <w:r w:rsidRPr="00D671DB">
        <w:rPr>
          <w:rFonts w:ascii="Arial" w:hAnsi="Arial" w:cs="Arial"/>
          <w:noProof/>
          <w:lang w:val="sr-Latn-CS"/>
        </w:rPr>
        <w:t xml:space="preserve"> </w:t>
      </w:r>
      <w:r w:rsidRPr="00E56DC2">
        <w:rPr>
          <w:rFonts w:ascii="Arial" w:hAnsi="Arial" w:cs="Arial"/>
          <w:noProof/>
        </w:rPr>
        <w:t>predvidi</w:t>
      </w:r>
      <w:r w:rsidRPr="00D671DB">
        <w:rPr>
          <w:rFonts w:ascii="Arial" w:hAnsi="Arial" w:cs="Arial"/>
          <w:noProof/>
          <w:lang w:val="sr-Latn-CS"/>
        </w:rPr>
        <w:t xml:space="preserve"> </w:t>
      </w:r>
      <w:r w:rsidRPr="00E56DC2">
        <w:rPr>
          <w:rFonts w:ascii="Arial" w:hAnsi="Arial" w:cs="Arial"/>
          <w:noProof/>
        </w:rPr>
        <w:t>sprovo</w:t>
      </w:r>
      <w:r w:rsidRPr="00D671DB">
        <w:rPr>
          <w:rFonts w:ascii="Arial" w:hAnsi="Arial" w:cs="Arial"/>
          <w:noProof/>
          <w:lang w:val="sr-Latn-CS"/>
        </w:rPr>
        <w:t>đ</w:t>
      </w:r>
      <w:r w:rsidRPr="00E56DC2">
        <w:rPr>
          <w:rFonts w:ascii="Arial" w:hAnsi="Arial" w:cs="Arial"/>
          <w:noProof/>
        </w:rPr>
        <w:t>enje</w:t>
      </w:r>
      <w:r w:rsidRPr="00D671DB">
        <w:rPr>
          <w:rFonts w:ascii="Arial" w:hAnsi="Arial" w:cs="Arial"/>
          <w:noProof/>
          <w:lang w:val="sr-Latn-CS"/>
        </w:rPr>
        <w:t xml:space="preserve"> </w:t>
      </w:r>
      <w:r w:rsidRPr="00E56DC2">
        <w:rPr>
          <w:rFonts w:ascii="Arial" w:hAnsi="Arial" w:cs="Arial"/>
          <w:noProof/>
        </w:rPr>
        <w:t>mjera</w:t>
      </w:r>
      <w:r w:rsidRPr="00D671DB">
        <w:rPr>
          <w:rFonts w:ascii="Arial" w:hAnsi="Arial" w:cs="Arial"/>
          <w:noProof/>
          <w:lang w:val="sr-Latn-CS"/>
        </w:rPr>
        <w:t xml:space="preserve"> </w:t>
      </w:r>
      <w:r w:rsidRPr="00E56DC2">
        <w:rPr>
          <w:rFonts w:ascii="Arial" w:hAnsi="Arial" w:cs="Arial"/>
          <w:noProof/>
        </w:rPr>
        <w:t>za</w:t>
      </w:r>
      <w:r w:rsidRPr="00D671DB">
        <w:rPr>
          <w:rFonts w:ascii="Arial" w:hAnsi="Arial" w:cs="Arial"/>
          <w:noProof/>
          <w:lang w:val="sr-Latn-CS"/>
        </w:rPr>
        <w:t xml:space="preserve"> </w:t>
      </w:r>
      <w:r w:rsidRPr="00E56DC2">
        <w:rPr>
          <w:rFonts w:ascii="Arial" w:hAnsi="Arial" w:cs="Arial"/>
          <w:noProof/>
        </w:rPr>
        <w:t>pobolj</w:t>
      </w:r>
      <w:r w:rsidRPr="00D671DB">
        <w:rPr>
          <w:rFonts w:ascii="Arial" w:hAnsi="Arial" w:cs="Arial"/>
          <w:noProof/>
          <w:lang w:val="sr-Latn-CS"/>
        </w:rPr>
        <w:t>š</w:t>
      </w:r>
      <w:r w:rsidRPr="00E56DC2">
        <w:rPr>
          <w:rFonts w:ascii="Arial" w:hAnsi="Arial" w:cs="Arial"/>
          <w:noProof/>
        </w:rPr>
        <w:t>anje</w:t>
      </w:r>
      <w:r w:rsidRPr="00D671DB">
        <w:rPr>
          <w:rFonts w:ascii="Arial" w:hAnsi="Arial" w:cs="Arial"/>
          <w:noProof/>
          <w:lang w:val="sr-Latn-CS"/>
        </w:rPr>
        <w:t xml:space="preserve"> </w:t>
      </w:r>
      <w:r w:rsidRPr="00E56DC2">
        <w:rPr>
          <w:rFonts w:ascii="Arial" w:hAnsi="Arial" w:cs="Arial"/>
          <w:noProof/>
        </w:rPr>
        <w:t>energetske</w:t>
      </w:r>
      <w:r w:rsidRPr="00D671DB">
        <w:rPr>
          <w:rFonts w:ascii="Arial" w:hAnsi="Arial" w:cs="Arial"/>
          <w:noProof/>
          <w:lang w:val="sr-Latn-CS"/>
        </w:rPr>
        <w:t xml:space="preserve"> </w:t>
      </w:r>
      <w:r w:rsidRPr="00E56DC2">
        <w:rPr>
          <w:rFonts w:ascii="Arial" w:hAnsi="Arial" w:cs="Arial"/>
          <w:noProof/>
        </w:rPr>
        <w:t>efikasnosti</w:t>
      </w:r>
      <w:r w:rsidRPr="00D671DB">
        <w:rPr>
          <w:rFonts w:ascii="Arial" w:hAnsi="Arial" w:cs="Arial"/>
          <w:noProof/>
          <w:lang w:val="sr-Latn-CS"/>
        </w:rPr>
        <w:t xml:space="preserve">, </w:t>
      </w:r>
      <w:r w:rsidRPr="00E56DC2">
        <w:rPr>
          <w:rFonts w:ascii="Arial" w:hAnsi="Arial" w:cs="Arial"/>
          <w:noProof/>
        </w:rPr>
        <w:t>odnosno</w:t>
      </w:r>
      <w:r w:rsidRPr="00D671DB">
        <w:rPr>
          <w:rFonts w:ascii="Arial" w:hAnsi="Arial" w:cs="Arial"/>
          <w:noProof/>
          <w:lang w:val="sr-Latn-CS"/>
        </w:rPr>
        <w:t xml:space="preserve">, </w:t>
      </w:r>
      <w:r w:rsidRPr="00E56DC2">
        <w:rPr>
          <w:rFonts w:ascii="Arial" w:hAnsi="Arial" w:cs="Arial"/>
          <w:noProof/>
        </w:rPr>
        <w:t>ostvarivanje</w:t>
      </w:r>
      <w:r w:rsidRPr="00D671DB">
        <w:rPr>
          <w:rFonts w:ascii="Arial" w:hAnsi="Arial" w:cs="Arial"/>
          <w:noProof/>
          <w:lang w:val="sr-Latn-CS"/>
        </w:rPr>
        <w:t xml:space="preserve"> </w:t>
      </w:r>
      <w:r w:rsidRPr="00E56DC2">
        <w:rPr>
          <w:rFonts w:ascii="Arial" w:hAnsi="Arial" w:cs="Arial"/>
          <w:noProof/>
        </w:rPr>
        <w:t>u</w:t>
      </w:r>
      <w:r w:rsidRPr="00D671DB">
        <w:rPr>
          <w:rFonts w:ascii="Arial" w:hAnsi="Arial" w:cs="Arial"/>
          <w:noProof/>
          <w:lang w:val="sr-Latn-CS"/>
        </w:rPr>
        <w:t>š</w:t>
      </w:r>
      <w:r w:rsidRPr="00E56DC2">
        <w:rPr>
          <w:rFonts w:ascii="Arial" w:hAnsi="Arial" w:cs="Arial"/>
          <w:noProof/>
        </w:rPr>
        <w:t>tede</w:t>
      </w:r>
      <w:r w:rsidRPr="00D671DB">
        <w:rPr>
          <w:rFonts w:ascii="Arial" w:hAnsi="Arial" w:cs="Arial"/>
          <w:noProof/>
          <w:lang w:val="sr-Latn-CS"/>
        </w:rPr>
        <w:t xml:space="preserve"> </w:t>
      </w:r>
      <w:r w:rsidRPr="00E56DC2">
        <w:rPr>
          <w:rFonts w:ascii="Arial" w:hAnsi="Arial" w:cs="Arial"/>
          <w:noProof/>
        </w:rPr>
        <w:lastRenderedPageBreak/>
        <w:t>energije</w:t>
      </w:r>
      <w:r w:rsidRPr="00D671DB">
        <w:rPr>
          <w:rFonts w:ascii="Arial" w:hAnsi="Arial" w:cs="Arial"/>
          <w:noProof/>
          <w:lang w:val="sr-Latn-CS"/>
        </w:rPr>
        <w:t xml:space="preserve"> </w:t>
      </w:r>
      <w:r w:rsidRPr="00E56DC2">
        <w:rPr>
          <w:rFonts w:ascii="Arial" w:hAnsi="Arial" w:cs="Arial"/>
          <w:noProof/>
        </w:rPr>
        <w:t>i</w:t>
      </w:r>
      <w:r w:rsidRPr="00D671DB">
        <w:rPr>
          <w:rFonts w:ascii="Arial" w:hAnsi="Arial" w:cs="Arial"/>
          <w:noProof/>
          <w:lang w:val="sr-Latn-CS"/>
        </w:rPr>
        <w:t xml:space="preserve"> </w:t>
      </w:r>
      <w:r w:rsidRPr="00E56DC2">
        <w:rPr>
          <w:rFonts w:ascii="Arial" w:hAnsi="Arial" w:cs="Arial"/>
          <w:noProof/>
        </w:rPr>
        <w:t>njeno</w:t>
      </w:r>
      <w:r w:rsidRPr="00D671DB">
        <w:rPr>
          <w:rFonts w:ascii="Arial" w:hAnsi="Arial" w:cs="Arial"/>
          <w:noProof/>
          <w:lang w:val="sr-Latn-CS"/>
        </w:rPr>
        <w:t xml:space="preserve"> </w:t>
      </w:r>
      <w:r w:rsidRPr="00E56DC2">
        <w:rPr>
          <w:rFonts w:ascii="Arial" w:hAnsi="Arial" w:cs="Arial"/>
          <w:noProof/>
        </w:rPr>
        <w:t>racionalno</w:t>
      </w:r>
      <w:r w:rsidRPr="00D671DB">
        <w:rPr>
          <w:rFonts w:ascii="Arial" w:hAnsi="Arial" w:cs="Arial"/>
          <w:noProof/>
          <w:lang w:val="sr-Latn-CS"/>
        </w:rPr>
        <w:t xml:space="preserve"> </w:t>
      </w:r>
      <w:r w:rsidRPr="00E56DC2">
        <w:rPr>
          <w:rFonts w:ascii="Arial" w:hAnsi="Arial" w:cs="Arial"/>
          <w:noProof/>
        </w:rPr>
        <w:t>kori</w:t>
      </w:r>
      <w:r w:rsidRPr="00D671DB">
        <w:rPr>
          <w:rFonts w:ascii="Arial" w:hAnsi="Arial" w:cs="Arial"/>
          <w:noProof/>
          <w:lang w:val="sr-Latn-CS"/>
        </w:rPr>
        <w:t>šć</w:t>
      </w:r>
      <w:r w:rsidRPr="00E56DC2">
        <w:rPr>
          <w:rFonts w:ascii="Arial" w:hAnsi="Arial" w:cs="Arial"/>
          <w:noProof/>
        </w:rPr>
        <w:t>enje</w:t>
      </w:r>
      <w:r w:rsidRPr="00D671DB">
        <w:rPr>
          <w:rFonts w:ascii="Arial" w:hAnsi="Arial" w:cs="Arial"/>
          <w:noProof/>
          <w:lang w:val="sr-Latn-CS"/>
        </w:rPr>
        <w:t xml:space="preserve"> </w:t>
      </w:r>
      <w:r w:rsidRPr="00E56DC2">
        <w:rPr>
          <w:rFonts w:ascii="Arial" w:hAnsi="Arial" w:cs="Arial"/>
          <w:noProof/>
        </w:rPr>
        <w:t>primjenom</w:t>
      </w:r>
      <w:r w:rsidRPr="00D671DB">
        <w:rPr>
          <w:rFonts w:ascii="Arial" w:hAnsi="Arial" w:cs="Arial"/>
          <w:noProof/>
          <w:lang w:val="sr-Latn-CS"/>
        </w:rPr>
        <w:t xml:space="preserve"> </w:t>
      </w:r>
      <w:r w:rsidRPr="00E56DC2">
        <w:rPr>
          <w:rFonts w:ascii="Arial" w:hAnsi="Arial" w:cs="Arial"/>
          <w:noProof/>
        </w:rPr>
        <w:t>provjerenih</w:t>
      </w:r>
      <w:r w:rsidRPr="00D671DB">
        <w:rPr>
          <w:rFonts w:ascii="Arial" w:hAnsi="Arial" w:cs="Arial"/>
          <w:noProof/>
          <w:lang w:val="sr-Latn-CS"/>
        </w:rPr>
        <w:t xml:space="preserve"> </w:t>
      </w:r>
      <w:r w:rsidRPr="00E56DC2">
        <w:rPr>
          <w:rFonts w:ascii="Arial" w:hAnsi="Arial" w:cs="Arial"/>
          <w:noProof/>
        </w:rPr>
        <w:t>savremenih</w:t>
      </w:r>
      <w:r w:rsidRPr="00D671DB">
        <w:rPr>
          <w:rFonts w:ascii="Arial" w:hAnsi="Arial" w:cs="Arial"/>
          <w:noProof/>
          <w:lang w:val="sr-Latn-CS"/>
        </w:rPr>
        <w:t xml:space="preserve"> </w:t>
      </w:r>
      <w:r w:rsidRPr="00E56DC2">
        <w:rPr>
          <w:rFonts w:ascii="Arial" w:hAnsi="Arial" w:cs="Arial"/>
          <w:noProof/>
        </w:rPr>
        <w:t>tehnologija</w:t>
      </w:r>
      <w:r w:rsidRPr="00D671DB">
        <w:rPr>
          <w:rFonts w:ascii="Arial" w:hAnsi="Arial" w:cs="Arial"/>
          <w:noProof/>
          <w:lang w:val="sr-Latn-CS"/>
        </w:rPr>
        <w:t>, č</w:t>
      </w:r>
      <w:r w:rsidRPr="00E56DC2">
        <w:rPr>
          <w:rFonts w:ascii="Arial" w:hAnsi="Arial" w:cs="Arial"/>
          <w:noProof/>
        </w:rPr>
        <w:t>ije</w:t>
      </w:r>
      <w:r w:rsidRPr="00D671DB">
        <w:rPr>
          <w:rFonts w:ascii="Arial" w:hAnsi="Arial" w:cs="Arial"/>
          <w:noProof/>
          <w:lang w:val="sr-Latn-CS"/>
        </w:rPr>
        <w:t xml:space="preserve"> </w:t>
      </w:r>
      <w:r w:rsidRPr="00E56DC2">
        <w:rPr>
          <w:rFonts w:ascii="Arial" w:hAnsi="Arial" w:cs="Arial"/>
          <w:noProof/>
        </w:rPr>
        <w:t>je</w:t>
      </w:r>
      <w:r w:rsidRPr="00D671DB">
        <w:rPr>
          <w:rFonts w:ascii="Arial" w:hAnsi="Arial" w:cs="Arial"/>
          <w:noProof/>
          <w:lang w:val="sr-Latn-CS"/>
        </w:rPr>
        <w:t xml:space="preserve"> </w:t>
      </w:r>
      <w:r w:rsidRPr="00E56DC2">
        <w:rPr>
          <w:rFonts w:ascii="Arial" w:hAnsi="Arial" w:cs="Arial"/>
          <w:noProof/>
        </w:rPr>
        <w:t>kori</w:t>
      </w:r>
      <w:r w:rsidRPr="00D671DB">
        <w:rPr>
          <w:rFonts w:ascii="Arial" w:hAnsi="Arial" w:cs="Arial"/>
          <w:noProof/>
          <w:lang w:val="sr-Latn-CS"/>
        </w:rPr>
        <w:t>šć</w:t>
      </w:r>
      <w:r w:rsidRPr="00E56DC2">
        <w:rPr>
          <w:rFonts w:ascii="Arial" w:hAnsi="Arial" w:cs="Arial"/>
          <w:noProof/>
        </w:rPr>
        <w:t>enje</w:t>
      </w:r>
      <w:r w:rsidRPr="00D671DB">
        <w:rPr>
          <w:rFonts w:ascii="Arial" w:hAnsi="Arial" w:cs="Arial"/>
          <w:noProof/>
          <w:lang w:val="sr-Latn-CS"/>
        </w:rPr>
        <w:t xml:space="preserve"> </w:t>
      </w:r>
      <w:r w:rsidRPr="00E56DC2">
        <w:rPr>
          <w:rFonts w:ascii="Arial" w:hAnsi="Arial" w:cs="Arial"/>
          <w:noProof/>
        </w:rPr>
        <w:t>ekonomski</w:t>
      </w:r>
      <w:r w:rsidRPr="00D671DB">
        <w:rPr>
          <w:rFonts w:ascii="Arial" w:hAnsi="Arial" w:cs="Arial"/>
          <w:noProof/>
          <w:lang w:val="sr-Latn-CS"/>
        </w:rPr>
        <w:t xml:space="preserve"> </w:t>
      </w:r>
      <w:r w:rsidRPr="00E56DC2">
        <w:rPr>
          <w:rFonts w:ascii="Arial" w:hAnsi="Arial" w:cs="Arial"/>
          <w:noProof/>
        </w:rPr>
        <w:t>opravdano</w:t>
      </w:r>
      <w:r w:rsidRPr="00D671DB">
        <w:rPr>
          <w:rFonts w:ascii="Arial" w:hAnsi="Arial" w:cs="Arial"/>
          <w:noProof/>
          <w:lang w:val="sr-Latn-CS"/>
        </w:rPr>
        <w:t>.</w:t>
      </w:r>
    </w:p>
    <w:p w14:paraId="302CC07B" w14:textId="77777777" w:rsidR="005F431E" w:rsidRPr="00E56DC2" w:rsidRDefault="005F431E" w:rsidP="003D5374">
      <w:pPr>
        <w:spacing w:after="0" w:line="240" w:lineRule="auto"/>
        <w:jc w:val="both"/>
        <w:rPr>
          <w:rFonts w:ascii="Arial" w:hAnsi="Arial" w:cs="Arial"/>
          <w:b/>
          <w:lang w:val="sr-Latn-CS"/>
        </w:rPr>
      </w:pPr>
    </w:p>
    <w:p w14:paraId="3FE0FD22" w14:textId="77777777" w:rsidR="00DC7002" w:rsidRPr="00E56DC2" w:rsidRDefault="00DC7002" w:rsidP="003D5374">
      <w:pPr>
        <w:spacing w:after="0" w:line="240" w:lineRule="auto"/>
        <w:jc w:val="both"/>
        <w:rPr>
          <w:rFonts w:ascii="Arial" w:hAnsi="Arial" w:cs="Arial"/>
          <w:b/>
          <w:lang w:val="sr-Latn-CS"/>
        </w:rPr>
      </w:pPr>
    </w:p>
    <w:p w14:paraId="3D5D7766" w14:textId="3639DD33" w:rsidR="00744584" w:rsidRPr="00E56DC2" w:rsidRDefault="00A41658" w:rsidP="003D5374">
      <w:pPr>
        <w:pStyle w:val="Heading1"/>
        <w:numPr>
          <w:ilvl w:val="0"/>
          <w:numId w:val="0"/>
        </w:numPr>
        <w:ind w:left="270" w:hanging="270"/>
        <w:jc w:val="both"/>
        <w:rPr>
          <w:rFonts w:ascii="Arial" w:hAnsi="Arial" w:cs="Arial"/>
          <w:sz w:val="22"/>
          <w:szCs w:val="22"/>
        </w:rPr>
      </w:pPr>
      <w:bookmarkStart w:id="23" w:name="_Toc390549906"/>
      <w:bookmarkStart w:id="24"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3"/>
      <w:bookmarkEnd w:id="24"/>
    </w:p>
    <w:p w14:paraId="45BA4E02" w14:textId="77777777" w:rsidR="00744584" w:rsidRPr="00E56DC2" w:rsidRDefault="00744584" w:rsidP="003D5374">
      <w:pPr>
        <w:spacing w:after="0" w:line="240" w:lineRule="auto"/>
        <w:jc w:val="both"/>
        <w:rPr>
          <w:rFonts w:ascii="Arial" w:hAnsi="Arial" w:cs="Arial"/>
          <w:b/>
          <w:lang w:val="sr-Latn-CS"/>
        </w:rPr>
      </w:pPr>
    </w:p>
    <w:p w14:paraId="174F8748"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6105A5DA" w14:textId="77777777" w:rsidR="00744584" w:rsidRPr="00E56DC2" w:rsidRDefault="00744584" w:rsidP="003D5374">
      <w:pPr>
        <w:spacing w:after="0" w:line="240" w:lineRule="auto"/>
        <w:jc w:val="both"/>
        <w:rPr>
          <w:rFonts w:ascii="Arial" w:hAnsi="Arial" w:cs="Arial"/>
          <w:b/>
          <w:lang w:val="sr-Latn-CS"/>
        </w:rPr>
      </w:pPr>
    </w:p>
    <w:p w14:paraId="332FBF6E" w14:textId="43BA8F4D" w:rsidR="000E197C" w:rsidRPr="003D33EA"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4276E9FE" w:rsidR="000E197C" w:rsidRPr="003D5374"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A27BC4E" w14:textId="7E822DB8" w:rsidR="00744584" w:rsidRPr="003D5374"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1F19FE">
        <w:rPr>
          <w:rFonts w:ascii="Arial" w:hAnsi="Arial" w:cs="Arial"/>
          <w:lang w:val="sr-Latn-CS"/>
        </w:rPr>
        <w:t>lokalitet</w:t>
      </w:r>
      <w:r w:rsidRPr="00E56DC2">
        <w:rPr>
          <w:rFonts w:ascii="Arial" w:hAnsi="Arial" w:cs="Arial"/>
          <w:lang w:val="sr-Latn-CS"/>
        </w:rPr>
        <w:t>u;</w:t>
      </w:r>
    </w:p>
    <w:p w14:paraId="59A67776" w14:textId="01059524" w:rsidR="00BA5DA7" w:rsidRPr="003D5374"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6C2FD6F5" w:rsidR="00744584" w:rsidRPr="00D671DB" w:rsidRDefault="00BA5DA7" w:rsidP="003D5374">
      <w:pPr>
        <w:pStyle w:val="ListParagraph"/>
        <w:numPr>
          <w:ilvl w:val="0"/>
          <w:numId w:val="11"/>
        </w:numPr>
        <w:suppressAutoHyphens w:val="0"/>
        <w:spacing w:after="0" w:line="240" w:lineRule="auto"/>
        <w:jc w:val="both"/>
        <w:rPr>
          <w:rFonts w:ascii="Arial" w:hAnsi="Arial" w:cs="Arial"/>
          <w:lang w:val="pl-P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2D1E8494" w14:textId="77777777" w:rsidR="00C12E10" w:rsidRPr="00E56DC2" w:rsidRDefault="00C12E10"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02565837" w:rsidR="000B202E" w:rsidRDefault="000B202E" w:rsidP="003D5374">
      <w:pPr>
        <w:spacing w:after="0" w:line="240" w:lineRule="auto"/>
        <w:jc w:val="both"/>
        <w:rPr>
          <w:rFonts w:ascii="Arial" w:hAnsi="Arial" w:cs="Arial"/>
          <w:lang w:val="sr-Latn-CS"/>
        </w:rPr>
      </w:pPr>
    </w:p>
    <w:p w14:paraId="4582D5FA" w14:textId="77777777" w:rsidR="003D5374" w:rsidRPr="00E56DC2" w:rsidRDefault="003D5374" w:rsidP="003D5374">
      <w:pPr>
        <w:spacing w:after="0" w:line="240" w:lineRule="auto"/>
        <w:jc w:val="both"/>
        <w:rPr>
          <w:rFonts w:ascii="Arial" w:hAnsi="Arial" w:cs="Arial"/>
          <w:lang w:val="sr-Latn-CS"/>
        </w:rPr>
      </w:pPr>
    </w:p>
    <w:p w14:paraId="5639B75D" w14:textId="77777777" w:rsidR="00744584" w:rsidRPr="00E56DC2" w:rsidRDefault="00592620" w:rsidP="003D5374">
      <w:pPr>
        <w:pStyle w:val="Heading1"/>
        <w:numPr>
          <w:ilvl w:val="0"/>
          <w:numId w:val="29"/>
        </w:numPr>
        <w:ind w:left="450" w:hanging="450"/>
        <w:jc w:val="both"/>
        <w:rPr>
          <w:rFonts w:ascii="Arial" w:hAnsi="Arial" w:cs="Arial"/>
          <w:sz w:val="22"/>
          <w:szCs w:val="22"/>
        </w:rPr>
      </w:pPr>
      <w:bookmarkStart w:id="25" w:name="_Toc402262953"/>
      <w:r w:rsidRPr="00E56DC2">
        <w:rPr>
          <w:rFonts w:ascii="Arial" w:hAnsi="Arial" w:cs="Arial"/>
          <w:sz w:val="22"/>
          <w:szCs w:val="22"/>
        </w:rPr>
        <w:t>MINIMALNI – POČETNI IZNOS KONCESIONE NAKNADE</w:t>
      </w:r>
      <w:bookmarkEnd w:id="25"/>
    </w:p>
    <w:p w14:paraId="7F3C52B5" w14:textId="77777777" w:rsidR="00744584" w:rsidRPr="00E56DC2" w:rsidRDefault="00744584" w:rsidP="003D5374">
      <w:pPr>
        <w:spacing w:after="0" w:line="240" w:lineRule="auto"/>
        <w:jc w:val="both"/>
        <w:rPr>
          <w:rFonts w:ascii="Arial" w:hAnsi="Arial" w:cs="Arial"/>
          <w:lang w:val="sr-Latn-CS"/>
        </w:rPr>
      </w:pPr>
    </w:p>
    <w:p w14:paraId="483DE77C" w14:textId="77777777" w:rsidR="005F431E"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3D5374">
      <w:pPr>
        <w:spacing w:after="0" w:line="240" w:lineRule="auto"/>
        <w:jc w:val="both"/>
        <w:rPr>
          <w:rFonts w:ascii="Arial" w:hAnsi="Arial" w:cs="Arial"/>
          <w:lang w:val="sr-Latn-CS"/>
        </w:rPr>
      </w:pPr>
    </w:p>
    <w:p w14:paraId="63E83896" w14:textId="72DF5B50" w:rsidR="00E77AD9"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7DBF05F8" w14:textId="77777777" w:rsidR="003A2B32" w:rsidRPr="00E56DC2" w:rsidRDefault="003A2B32" w:rsidP="003D5374">
      <w:pPr>
        <w:spacing w:after="0" w:line="240" w:lineRule="auto"/>
        <w:jc w:val="both"/>
        <w:rPr>
          <w:rFonts w:ascii="Arial" w:hAnsi="Arial" w:cs="Arial"/>
          <w:lang w:val="sr-Latn-CS"/>
        </w:rPr>
      </w:pPr>
    </w:p>
    <w:p w14:paraId="60FEBFF2" w14:textId="75B80605" w:rsidR="005F431E" w:rsidRDefault="00744584" w:rsidP="003D5374">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2FCBE16F" w14:textId="77777777" w:rsidR="003A2B32" w:rsidRPr="00E56DC2" w:rsidRDefault="003A2B32" w:rsidP="003D5374">
      <w:pPr>
        <w:spacing w:after="0" w:line="240" w:lineRule="auto"/>
        <w:jc w:val="both"/>
        <w:rPr>
          <w:rFonts w:ascii="Arial" w:hAnsi="Arial" w:cs="Arial"/>
          <w:lang w:val="sr-Latn-CS"/>
        </w:rPr>
      </w:pPr>
    </w:p>
    <w:p w14:paraId="281687A6" w14:textId="77777777" w:rsidR="00297F2E" w:rsidRPr="00E56DC2" w:rsidRDefault="001E4D4F" w:rsidP="003D5374">
      <w:pPr>
        <w:pStyle w:val="Heading2"/>
      </w:pPr>
      <w:bookmarkStart w:id="26" w:name="_Toc402262954"/>
      <w:r w:rsidRPr="00E56DC2">
        <w:lastRenderedPageBreak/>
        <w:t xml:space="preserve">8.1 </w:t>
      </w:r>
      <w:r w:rsidR="00744584" w:rsidRPr="00E56DC2">
        <w:t>Minimalni - početni iznos koncesione naknade za eksploataciju</w:t>
      </w:r>
      <w:bookmarkEnd w:id="26"/>
    </w:p>
    <w:p w14:paraId="035EB1E4" w14:textId="77777777" w:rsidR="00933594" w:rsidRPr="00E56DC2" w:rsidRDefault="00933594" w:rsidP="003D5374">
      <w:pPr>
        <w:spacing w:after="0" w:line="240" w:lineRule="auto"/>
        <w:jc w:val="both"/>
        <w:rPr>
          <w:rFonts w:ascii="Arial" w:hAnsi="Arial" w:cs="Arial"/>
          <w:lang w:val="sr-Latn-CS"/>
        </w:rPr>
      </w:pPr>
    </w:p>
    <w:p w14:paraId="62DB2F5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3D5374">
      <w:pPr>
        <w:spacing w:after="0" w:line="240" w:lineRule="auto"/>
        <w:jc w:val="both"/>
        <w:rPr>
          <w:rFonts w:ascii="Arial" w:hAnsi="Arial" w:cs="Arial"/>
          <w:lang w:val="sr-Latn-CS"/>
        </w:rPr>
      </w:pPr>
    </w:p>
    <w:p w14:paraId="5AEE7936" w14:textId="77777777"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5778CA6A"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 xml:space="preserve">pripadnosti grupi </w:t>
      </w:r>
      <w:r w:rsidR="003A2B32">
        <w:rPr>
          <w:rFonts w:ascii="Arial" w:hAnsi="Arial" w:cs="Arial"/>
          <w:lang w:val="sr-Latn-CS"/>
        </w:rPr>
        <w:t>ležišta</w:t>
      </w:r>
      <w:r w:rsidRPr="00E56DC2">
        <w:rPr>
          <w:rFonts w:ascii="Arial" w:hAnsi="Arial" w:cs="Arial"/>
          <w:lang w:val="sr-Latn-CS"/>
        </w:rPr>
        <w:t>;</w:t>
      </w:r>
    </w:p>
    <w:p w14:paraId="4A5C794E" w14:textId="77777777"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rPr>
        <w:t>kvaliteta mineralne sirovine</w:t>
      </w:r>
    </w:p>
    <w:p w14:paraId="58A6712A" w14:textId="77777777"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3D5374">
      <w:pPr>
        <w:spacing w:after="0" w:line="240" w:lineRule="auto"/>
        <w:jc w:val="both"/>
        <w:rPr>
          <w:rFonts w:ascii="Arial" w:hAnsi="Arial" w:cs="Arial"/>
          <w:lang w:val="sr-Latn-CS"/>
        </w:rPr>
      </w:pPr>
    </w:p>
    <w:p w14:paraId="129646A8" w14:textId="77777777" w:rsidR="00744584" w:rsidRPr="00E56DC2" w:rsidRDefault="00A41658" w:rsidP="003D5374">
      <w:pPr>
        <w:pStyle w:val="Heading3"/>
        <w:spacing w:after="0" w:line="240" w:lineRule="auto"/>
        <w:jc w:val="both"/>
        <w:rPr>
          <w:rFonts w:ascii="Arial" w:hAnsi="Arial" w:cs="Arial"/>
          <w:sz w:val="22"/>
          <w:szCs w:val="22"/>
        </w:rPr>
      </w:pPr>
      <w:bookmarkStart w:id="27"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7"/>
    </w:p>
    <w:p w14:paraId="2A214990" w14:textId="77777777" w:rsidR="000E197C" w:rsidRPr="00E56DC2" w:rsidRDefault="000E197C" w:rsidP="003D5374">
      <w:pPr>
        <w:spacing w:after="0" w:line="240" w:lineRule="auto"/>
        <w:rPr>
          <w:rFonts w:ascii="Arial" w:hAnsi="Arial" w:cs="Arial"/>
          <w:lang w:val="sr-Latn-CS"/>
        </w:rPr>
      </w:pPr>
    </w:p>
    <w:p w14:paraId="430B7E30" w14:textId="157036D6" w:rsidR="00703562" w:rsidRDefault="00703562" w:rsidP="003D5374">
      <w:pPr>
        <w:spacing w:after="0" w:line="240" w:lineRule="auto"/>
        <w:jc w:val="both"/>
        <w:rPr>
          <w:rFonts w:ascii="Arial" w:hAnsi="Arial" w:cs="Arial"/>
          <w:lang w:val="sr-Latn-CS"/>
        </w:rPr>
      </w:pPr>
      <w:r w:rsidRPr="00D14F43">
        <w:rPr>
          <w:rFonts w:ascii="Arial" w:hAnsi="Arial" w:cs="Arial"/>
        </w:rPr>
        <w:t>Potencijalne</w:t>
      </w:r>
      <w:r w:rsidRPr="00D671DB">
        <w:rPr>
          <w:rFonts w:ascii="Arial" w:hAnsi="Arial" w:cs="Arial"/>
          <w:lang w:val="sr-Latn-CS"/>
        </w:rPr>
        <w:t xml:space="preserve"> (</w:t>
      </w:r>
      <w:r w:rsidRPr="00D14F43">
        <w:rPr>
          <w:rFonts w:ascii="Arial" w:hAnsi="Arial" w:cs="Arial"/>
        </w:rPr>
        <w:t>procijenjene</w:t>
      </w:r>
      <w:r w:rsidRPr="00D671DB">
        <w:rPr>
          <w:rFonts w:ascii="Arial" w:hAnsi="Arial" w:cs="Arial"/>
          <w:lang w:val="sr-Latn-CS"/>
        </w:rPr>
        <w:t xml:space="preserve">) </w:t>
      </w:r>
      <w:r w:rsidRPr="00D14F43">
        <w:rPr>
          <w:rFonts w:ascii="Arial" w:hAnsi="Arial" w:cs="Arial"/>
        </w:rPr>
        <w:t>geolo</w:t>
      </w:r>
      <w:r w:rsidRPr="00D671DB">
        <w:rPr>
          <w:rFonts w:ascii="Arial" w:hAnsi="Arial" w:cs="Arial"/>
          <w:lang w:val="sr-Latn-CS"/>
        </w:rPr>
        <w:t>š</w:t>
      </w:r>
      <w:r w:rsidRPr="00D14F43">
        <w:rPr>
          <w:rFonts w:ascii="Arial" w:hAnsi="Arial" w:cs="Arial"/>
        </w:rPr>
        <w:t>ke</w:t>
      </w:r>
      <w:r w:rsidRPr="00D671DB">
        <w:rPr>
          <w:rFonts w:ascii="Arial" w:hAnsi="Arial" w:cs="Arial"/>
          <w:lang w:val="sr-Latn-CS"/>
        </w:rPr>
        <w:t xml:space="preserve"> </w:t>
      </w:r>
      <w:r w:rsidRPr="00D14F43">
        <w:rPr>
          <w:rFonts w:ascii="Arial" w:hAnsi="Arial" w:cs="Arial"/>
        </w:rPr>
        <w:t>rezerve</w:t>
      </w:r>
      <w:r w:rsidRPr="00D671DB">
        <w:rPr>
          <w:rFonts w:ascii="Arial" w:hAnsi="Arial" w:cs="Arial"/>
          <w:lang w:val="sr-Latn-CS"/>
        </w:rPr>
        <w:t xml:space="preserve"> </w:t>
      </w:r>
      <w:r w:rsidRPr="00D14F43">
        <w:rPr>
          <w:rFonts w:ascii="Arial" w:hAnsi="Arial" w:cs="Arial"/>
        </w:rPr>
        <w:t>tehni</w:t>
      </w:r>
      <w:r w:rsidRPr="00D671DB">
        <w:rPr>
          <w:rFonts w:ascii="Arial" w:hAnsi="Arial" w:cs="Arial"/>
          <w:lang w:val="sr-Latn-CS"/>
        </w:rPr>
        <w:t>č</w:t>
      </w:r>
      <w:r w:rsidRPr="00D14F43">
        <w:rPr>
          <w:rFonts w:ascii="Arial" w:hAnsi="Arial" w:cs="Arial"/>
        </w:rPr>
        <w:t>ko</w:t>
      </w:r>
      <w:r w:rsidRPr="00D671DB">
        <w:rPr>
          <w:rFonts w:ascii="Arial" w:hAnsi="Arial" w:cs="Arial"/>
          <w:lang w:val="sr-Latn-CS"/>
        </w:rPr>
        <w:t>-</w:t>
      </w:r>
      <w:r w:rsidRPr="00D14F43">
        <w:rPr>
          <w:rFonts w:ascii="Arial" w:hAnsi="Arial" w:cs="Arial"/>
        </w:rPr>
        <w:t>gra</w:t>
      </w:r>
      <w:r w:rsidRPr="00D671DB">
        <w:rPr>
          <w:rFonts w:ascii="Arial" w:hAnsi="Arial" w:cs="Arial"/>
          <w:lang w:val="sr-Latn-CS"/>
        </w:rPr>
        <w:t>đ</w:t>
      </w:r>
      <w:r w:rsidRPr="00D14F43">
        <w:rPr>
          <w:rFonts w:ascii="Arial" w:hAnsi="Arial" w:cs="Arial"/>
        </w:rPr>
        <w:t>evinskog</w:t>
      </w:r>
      <w:r w:rsidRPr="00D671DB">
        <w:rPr>
          <w:rFonts w:ascii="Arial" w:hAnsi="Arial" w:cs="Arial"/>
          <w:lang w:val="sr-Latn-CS"/>
        </w:rPr>
        <w:t xml:space="preserve"> </w:t>
      </w:r>
      <w:r w:rsidRPr="00D14F43">
        <w:rPr>
          <w:rFonts w:ascii="Arial" w:hAnsi="Arial" w:cs="Arial"/>
        </w:rPr>
        <w:t>kamena</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 xml:space="preserve"> </w:t>
      </w:r>
      <w:r w:rsidRPr="00D14F43">
        <w:rPr>
          <w:rFonts w:ascii="Arial" w:hAnsi="Arial" w:cs="Arial"/>
        </w:rPr>
        <w:t>lokalitetu</w:t>
      </w:r>
      <w:r w:rsidRPr="00D671DB">
        <w:rPr>
          <w:rFonts w:ascii="Arial" w:hAnsi="Arial" w:cs="Arial"/>
          <w:lang w:val="sr-Latn-CS"/>
        </w:rPr>
        <w:t xml:space="preserve"> </w:t>
      </w:r>
      <w:r w:rsidRPr="00D14F43">
        <w:rPr>
          <w:rFonts w:ascii="Arial" w:hAnsi="Arial" w:cs="Arial"/>
          <w:lang w:val="sr-Latn-CS"/>
        </w:rPr>
        <w:t>„</w:t>
      </w:r>
      <w:r>
        <w:rPr>
          <w:rFonts w:ascii="Arial" w:hAnsi="Arial" w:cs="Arial"/>
          <w:lang w:val="sr-Latn-CS"/>
        </w:rPr>
        <w:t>Milošev krš</w:t>
      </w:r>
      <w:r w:rsidRPr="00D14F43">
        <w:rPr>
          <w:rFonts w:ascii="Arial" w:hAnsi="Arial" w:cs="Arial"/>
          <w:lang w:val="sr-Latn-CS"/>
        </w:rPr>
        <w:t xml:space="preserve">”, </w:t>
      </w:r>
      <w:r w:rsidRPr="00D14F43">
        <w:rPr>
          <w:rFonts w:ascii="Arial" w:hAnsi="Arial" w:cs="Arial"/>
        </w:rPr>
        <w:t>iznose</w:t>
      </w:r>
      <w:r w:rsidRPr="00D671DB">
        <w:rPr>
          <w:rFonts w:ascii="Arial" w:hAnsi="Arial" w:cs="Arial"/>
          <w:lang w:val="sr-Latn-CS"/>
        </w:rPr>
        <w:t xml:space="preserve"> 1 500.000 </w:t>
      </w:r>
      <w:r w:rsidRPr="00D14F43">
        <w:rPr>
          <w:rFonts w:ascii="Arial" w:hAnsi="Arial" w:cs="Arial"/>
        </w:rPr>
        <w:t>m</w:t>
      </w:r>
      <w:r w:rsidRPr="00D671DB">
        <w:rPr>
          <w:rFonts w:ascii="Arial" w:hAnsi="Arial" w:cs="Arial"/>
          <w:vertAlign w:val="superscript"/>
          <w:lang w:val="sr-Latn-CS"/>
        </w:rPr>
        <w:t>3</w:t>
      </w:r>
      <w:r w:rsidRPr="00D671DB">
        <w:rPr>
          <w:rFonts w:ascii="Arial" w:hAnsi="Arial" w:cs="Arial"/>
          <w:lang w:val="sr-Latn-CS"/>
        </w:rPr>
        <w:t xml:space="preserve"> č.</w:t>
      </w:r>
      <w:r w:rsidRPr="00D14F43">
        <w:rPr>
          <w:rFonts w:ascii="Arial" w:hAnsi="Arial" w:cs="Arial"/>
        </w:rPr>
        <w:t>s</w:t>
      </w:r>
      <w:r w:rsidRPr="00D671DB">
        <w:rPr>
          <w:rFonts w:ascii="Arial" w:hAnsi="Arial" w:cs="Arial"/>
          <w:lang w:val="sr-Latn-CS"/>
        </w:rPr>
        <w:t>.</w:t>
      </w:r>
      <w:r w:rsidRPr="00D14F43">
        <w:rPr>
          <w:rFonts w:ascii="Arial" w:hAnsi="Arial" w:cs="Arial"/>
        </w:rPr>
        <w:t>m</w:t>
      </w:r>
      <w:r w:rsidRPr="00D671DB">
        <w:rPr>
          <w:rFonts w:ascii="Arial" w:hAnsi="Arial" w:cs="Arial"/>
          <w:lang w:val="sr-Latn-CS"/>
        </w:rPr>
        <w:t>.</w:t>
      </w:r>
    </w:p>
    <w:p w14:paraId="0CF4646C" w14:textId="77777777" w:rsidR="003E162F" w:rsidRPr="00D671DB" w:rsidRDefault="003E162F" w:rsidP="003D5374">
      <w:pPr>
        <w:spacing w:after="0" w:line="240" w:lineRule="auto"/>
        <w:jc w:val="both"/>
        <w:rPr>
          <w:rFonts w:ascii="Arial" w:hAnsi="Arial" w:cs="Arial"/>
          <w:lang w:val="sr-Latn-CS"/>
        </w:rPr>
      </w:pPr>
    </w:p>
    <w:p w14:paraId="2AF4E150" w14:textId="77777777" w:rsidR="00703562" w:rsidRPr="00B20E38" w:rsidRDefault="00703562" w:rsidP="003D5374">
      <w:pPr>
        <w:spacing w:after="0" w:line="240" w:lineRule="auto"/>
        <w:jc w:val="both"/>
        <w:rPr>
          <w:rFonts w:ascii="Arial" w:hAnsi="Arial" w:cs="Arial"/>
          <w:b/>
          <w:lang w:val="sr-Latn-CS"/>
        </w:rPr>
      </w:pPr>
      <w:r w:rsidRPr="00D14F43">
        <w:rPr>
          <w:rFonts w:ascii="Arial" w:hAnsi="Arial" w:cs="Arial"/>
          <w:b/>
        </w:rPr>
        <w:t>Prema</w:t>
      </w:r>
      <w:r w:rsidRPr="00B20E38">
        <w:rPr>
          <w:rFonts w:ascii="Arial" w:hAnsi="Arial" w:cs="Arial"/>
          <w:b/>
          <w:lang w:val="sr-Latn-CS"/>
        </w:rPr>
        <w:t xml:space="preserve"> </w:t>
      </w:r>
      <w:r w:rsidRPr="00D14F43">
        <w:rPr>
          <w:rFonts w:ascii="Arial" w:hAnsi="Arial" w:cs="Arial"/>
          <w:b/>
        </w:rPr>
        <w:t>minimalnom</w:t>
      </w:r>
      <w:r w:rsidRPr="00B20E38">
        <w:rPr>
          <w:rFonts w:ascii="Arial" w:hAnsi="Arial" w:cs="Arial"/>
          <w:b/>
          <w:lang w:val="sr-Latn-CS"/>
        </w:rPr>
        <w:t xml:space="preserve"> </w:t>
      </w:r>
      <w:r w:rsidRPr="00D14F43">
        <w:rPr>
          <w:rFonts w:ascii="Arial" w:hAnsi="Arial" w:cs="Arial"/>
          <w:b/>
        </w:rPr>
        <w:t>godi</w:t>
      </w:r>
      <w:r w:rsidRPr="00B20E38">
        <w:rPr>
          <w:rFonts w:ascii="Arial" w:hAnsi="Arial" w:cs="Arial"/>
          <w:b/>
          <w:lang w:val="sr-Latn-CS"/>
        </w:rPr>
        <w:t>š</w:t>
      </w:r>
      <w:r w:rsidRPr="00D14F43">
        <w:rPr>
          <w:rFonts w:ascii="Arial" w:hAnsi="Arial" w:cs="Arial"/>
          <w:b/>
        </w:rPr>
        <w:t>njem</w:t>
      </w:r>
      <w:r w:rsidRPr="00B20E38">
        <w:rPr>
          <w:rFonts w:ascii="Arial" w:hAnsi="Arial" w:cs="Arial"/>
          <w:b/>
          <w:lang w:val="sr-Latn-CS"/>
        </w:rPr>
        <w:t xml:space="preserve"> </w:t>
      </w:r>
      <w:r w:rsidRPr="00D14F43">
        <w:rPr>
          <w:rFonts w:ascii="Arial" w:hAnsi="Arial" w:cs="Arial"/>
          <w:b/>
        </w:rPr>
        <w:t>kapacitetu</w:t>
      </w:r>
      <w:r w:rsidRPr="00B20E38">
        <w:rPr>
          <w:rFonts w:ascii="Arial" w:hAnsi="Arial" w:cs="Arial"/>
          <w:b/>
          <w:lang w:val="sr-Latn-CS"/>
        </w:rPr>
        <w:t xml:space="preserve"> </w:t>
      </w:r>
      <w:r w:rsidRPr="00D14F43">
        <w:rPr>
          <w:rFonts w:ascii="Arial" w:hAnsi="Arial" w:cs="Arial"/>
          <w:b/>
        </w:rPr>
        <w:t>od</w:t>
      </w:r>
      <w:r w:rsidRPr="00B20E38">
        <w:rPr>
          <w:rFonts w:ascii="Arial" w:hAnsi="Arial" w:cs="Arial"/>
          <w:lang w:val="sr-Latn-CS"/>
        </w:rPr>
        <w:t xml:space="preserve"> </w:t>
      </w:r>
      <w:r w:rsidRPr="00B20E38">
        <w:rPr>
          <w:rFonts w:ascii="Arial" w:hAnsi="Arial" w:cs="Arial"/>
          <w:b/>
          <w:lang w:val="sr-Latn-CS"/>
        </w:rPr>
        <w:t xml:space="preserve">20.000 </w:t>
      </w:r>
      <w:r w:rsidRPr="00D14F43">
        <w:rPr>
          <w:rFonts w:ascii="Arial" w:hAnsi="Arial" w:cs="Arial"/>
          <w:b/>
        </w:rPr>
        <w:t>m</w:t>
      </w:r>
      <w:r w:rsidRPr="00B20E38">
        <w:rPr>
          <w:rFonts w:ascii="Arial" w:hAnsi="Arial" w:cs="Arial"/>
          <w:b/>
          <w:vertAlign w:val="superscript"/>
          <w:lang w:val="sr-Latn-CS"/>
        </w:rPr>
        <w:t xml:space="preserve">3 </w:t>
      </w:r>
      <w:r w:rsidRPr="00B20E38">
        <w:rPr>
          <w:rFonts w:ascii="Arial" w:hAnsi="Arial" w:cs="Arial"/>
          <w:b/>
          <w:lang w:val="sr-Latn-CS"/>
        </w:rPr>
        <w:t>č.</w:t>
      </w:r>
      <w:r w:rsidRPr="00D14F43">
        <w:rPr>
          <w:rFonts w:ascii="Arial" w:hAnsi="Arial" w:cs="Arial"/>
          <w:b/>
        </w:rPr>
        <w:t>s</w:t>
      </w:r>
      <w:r w:rsidRPr="00B20E38">
        <w:rPr>
          <w:rFonts w:ascii="Arial" w:hAnsi="Arial" w:cs="Arial"/>
          <w:b/>
          <w:lang w:val="sr-Latn-CS"/>
        </w:rPr>
        <w:t>.</w:t>
      </w:r>
      <w:r w:rsidRPr="00D14F43">
        <w:rPr>
          <w:rFonts w:ascii="Arial" w:hAnsi="Arial" w:cs="Arial"/>
          <w:b/>
        </w:rPr>
        <w:t>m</w:t>
      </w:r>
      <w:r w:rsidRPr="00B20E38">
        <w:rPr>
          <w:rFonts w:ascii="Arial" w:hAnsi="Arial" w:cs="Arial"/>
          <w:lang w:val="sr-Latn-CS"/>
        </w:rPr>
        <w:t xml:space="preserve">. </w:t>
      </w:r>
      <w:r w:rsidRPr="00D14F43">
        <w:rPr>
          <w:rFonts w:ascii="Arial" w:hAnsi="Arial" w:cs="Arial"/>
        </w:rPr>
        <w:t>tehni</w:t>
      </w:r>
      <w:r w:rsidRPr="00B20E38">
        <w:rPr>
          <w:rFonts w:ascii="Arial" w:hAnsi="Arial" w:cs="Arial"/>
          <w:lang w:val="sr-Latn-CS"/>
        </w:rPr>
        <w:t>č</w:t>
      </w:r>
      <w:r w:rsidRPr="00D14F43">
        <w:rPr>
          <w:rFonts w:ascii="Arial" w:hAnsi="Arial" w:cs="Arial"/>
        </w:rPr>
        <w:t>ko</w:t>
      </w:r>
      <w:r w:rsidRPr="00B20E38">
        <w:rPr>
          <w:rFonts w:ascii="Arial" w:hAnsi="Arial" w:cs="Arial"/>
          <w:lang w:val="sr-Latn-CS"/>
        </w:rPr>
        <w:t>-</w:t>
      </w:r>
      <w:r w:rsidRPr="00D14F43">
        <w:rPr>
          <w:rFonts w:ascii="Arial" w:hAnsi="Arial" w:cs="Arial"/>
        </w:rPr>
        <w:t>gra</w:t>
      </w:r>
      <w:r w:rsidRPr="00B20E38">
        <w:rPr>
          <w:rFonts w:ascii="Arial" w:hAnsi="Arial" w:cs="Arial"/>
          <w:lang w:val="sr-Latn-CS"/>
        </w:rPr>
        <w:t>đ</w:t>
      </w:r>
      <w:r w:rsidRPr="00D14F43">
        <w:rPr>
          <w:rFonts w:ascii="Arial" w:hAnsi="Arial" w:cs="Arial"/>
        </w:rPr>
        <w:t>evinskog</w:t>
      </w:r>
      <w:r w:rsidRPr="00B20E38">
        <w:rPr>
          <w:rFonts w:ascii="Arial" w:hAnsi="Arial" w:cs="Arial"/>
          <w:lang w:val="sr-Latn-CS"/>
        </w:rPr>
        <w:t xml:space="preserve"> </w:t>
      </w:r>
      <w:r w:rsidRPr="00D14F43">
        <w:rPr>
          <w:rFonts w:ascii="Arial" w:hAnsi="Arial" w:cs="Arial"/>
        </w:rPr>
        <w:t>kamena</w:t>
      </w:r>
      <w:r w:rsidRPr="00B20E38">
        <w:rPr>
          <w:rFonts w:ascii="Arial" w:hAnsi="Arial" w:cs="Arial"/>
          <w:lang w:val="sr-Latn-CS"/>
        </w:rPr>
        <w:t xml:space="preserve">, </w:t>
      </w:r>
      <w:r w:rsidRPr="00D14F43">
        <w:rPr>
          <w:rFonts w:ascii="Arial" w:hAnsi="Arial" w:cs="Arial"/>
          <w:b/>
        </w:rPr>
        <w:t>za</w:t>
      </w:r>
      <w:r w:rsidRPr="00B20E38">
        <w:rPr>
          <w:rFonts w:ascii="Arial" w:hAnsi="Arial" w:cs="Arial"/>
          <w:b/>
          <w:lang w:val="sr-Latn-CS"/>
        </w:rPr>
        <w:t xml:space="preserve"> </w:t>
      </w:r>
      <w:r w:rsidRPr="00D14F43">
        <w:rPr>
          <w:rFonts w:ascii="Arial" w:hAnsi="Arial" w:cs="Arial"/>
          <w:b/>
        </w:rPr>
        <w:t>period</w:t>
      </w:r>
      <w:r w:rsidRPr="00B20E38">
        <w:rPr>
          <w:rFonts w:ascii="Arial" w:hAnsi="Arial" w:cs="Arial"/>
          <w:b/>
          <w:lang w:val="sr-Latn-CS"/>
        </w:rPr>
        <w:t xml:space="preserve"> </w:t>
      </w:r>
      <w:r w:rsidRPr="00D14F43">
        <w:rPr>
          <w:rFonts w:ascii="Arial" w:hAnsi="Arial" w:cs="Arial"/>
          <w:b/>
        </w:rPr>
        <w:t>od</w:t>
      </w:r>
      <w:r w:rsidRPr="00B20E38">
        <w:rPr>
          <w:rFonts w:ascii="Arial" w:hAnsi="Arial" w:cs="Arial"/>
          <w:b/>
          <w:lang w:val="sr-Latn-CS"/>
        </w:rPr>
        <w:t xml:space="preserve"> 28 </w:t>
      </w:r>
      <w:r w:rsidRPr="00D14F43">
        <w:rPr>
          <w:rFonts w:ascii="Arial" w:hAnsi="Arial" w:cs="Arial"/>
          <w:b/>
        </w:rPr>
        <w:t>godina</w:t>
      </w:r>
      <w:r w:rsidRPr="00B20E38">
        <w:rPr>
          <w:rFonts w:ascii="Arial" w:hAnsi="Arial" w:cs="Arial"/>
          <w:lang w:val="sr-Latn-CS"/>
        </w:rPr>
        <w:t xml:space="preserve"> (</w:t>
      </w:r>
      <w:r w:rsidRPr="00D14F43">
        <w:rPr>
          <w:rFonts w:ascii="Arial" w:hAnsi="Arial" w:cs="Arial"/>
        </w:rPr>
        <w:t>period</w:t>
      </w:r>
      <w:r w:rsidRPr="00B20E38">
        <w:rPr>
          <w:rFonts w:ascii="Arial" w:hAnsi="Arial" w:cs="Arial"/>
          <w:lang w:val="sr-Latn-CS"/>
        </w:rPr>
        <w:t xml:space="preserve"> </w:t>
      </w:r>
      <w:r w:rsidRPr="00D14F43">
        <w:rPr>
          <w:rFonts w:ascii="Arial" w:hAnsi="Arial" w:cs="Arial"/>
        </w:rPr>
        <w:t>koncesije</w:t>
      </w:r>
      <w:r w:rsidRPr="00B20E38">
        <w:rPr>
          <w:rFonts w:ascii="Arial" w:hAnsi="Arial" w:cs="Arial"/>
          <w:lang w:val="sr-Latn-CS"/>
        </w:rPr>
        <w:t xml:space="preserve"> </w:t>
      </w:r>
      <w:r w:rsidRPr="00D14F43">
        <w:rPr>
          <w:rFonts w:ascii="Arial" w:hAnsi="Arial" w:cs="Arial"/>
        </w:rPr>
        <w:t>za</w:t>
      </w:r>
      <w:r w:rsidRPr="00B20E38">
        <w:rPr>
          <w:rFonts w:ascii="Arial" w:hAnsi="Arial" w:cs="Arial"/>
          <w:lang w:val="sr-Latn-CS"/>
        </w:rPr>
        <w:t xml:space="preserve"> </w:t>
      </w:r>
      <w:r w:rsidRPr="00D14F43">
        <w:rPr>
          <w:rFonts w:ascii="Arial" w:hAnsi="Arial" w:cs="Arial"/>
        </w:rPr>
        <w:t>eksploataciju</w:t>
      </w:r>
      <w:r w:rsidRPr="00B20E38">
        <w:rPr>
          <w:rFonts w:ascii="Arial" w:hAnsi="Arial" w:cs="Arial"/>
          <w:lang w:val="sr-Latn-CS"/>
        </w:rPr>
        <w:t xml:space="preserve">) </w:t>
      </w:r>
      <w:r w:rsidRPr="00D14F43">
        <w:rPr>
          <w:rFonts w:ascii="Arial" w:hAnsi="Arial" w:cs="Arial"/>
          <w:b/>
        </w:rPr>
        <w:t>otkopalo</w:t>
      </w:r>
      <w:r w:rsidRPr="00B20E38">
        <w:rPr>
          <w:rFonts w:ascii="Arial" w:hAnsi="Arial" w:cs="Arial"/>
          <w:b/>
          <w:lang w:val="sr-Latn-CS"/>
        </w:rPr>
        <w:t xml:space="preserve"> </w:t>
      </w:r>
      <w:r w:rsidRPr="00D14F43">
        <w:rPr>
          <w:rFonts w:ascii="Arial" w:hAnsi="Arial" w:cs="Arial"/>
          <w:b/>
        </w:rPr>
        <w:t>bi</w:t>
      </w:r>
      <w:r w:rsidRPr="00B20E38">
        <w:rPr>
          <w:rFonts w:ascii="Arial" w:hAnsi="Arial" w:cs="Arial"/>
          <w:b/>
          <w:lang w:val="sr-Latn-CS"/>
        </w:rPr>
        <w:t xml:space="preserve"> </w:t>
      </w:r>
      <w:r w:rsidRPr="00D14F43">
        <w:rPr>
          <w:rFonts w:ascii="Arial" w:hAnsi="Arial" w:cs="Arial"/>
          <w:b/>
        </w:rPr>
        <w:t>se</w:t>
      </w:r>
      <w:r w:rsidRPr="00B20E38">
        <w:rPr>
          <w:rFonts w:ascii="Arial" w:hAnsi="Arial" w:cs="Arial"/>
          <w:b/>
          <w:lang w:val="sr-Latn-CS"/>
        </w:rPr>
        <w:t xml:space="preserve"> 560.000 </w:t>
      </w:r>
      <w:r w:rsidRPr="00D14F43">
        <w:rPr>
          <w:rFonts w:ascii="Arial" w:hAnsi="Arial" w:cs="Arial"/>
          <w:b/>
        </w:rPr>
        <w:t>m</w:t>
      </w:r>
      <w:r w:rsidRPr="00B20E38">
        <w:rPr>
          <w:rFonts w:ascii="Arial" w:hAnsi="Arial" w:cs="Arial"/>
          <w:b/>
          <w:vertAlign w:val="superscript"/>
          <w:lang w:val="sr-Latn-CS"/>
        </w:rPr>
        <w:t>3</w:t>
      </w:r>
      <w:r w:rsidRPr="00B20E38">
        <w:rPr>
          <w:rFonts w:ascii="Arial" w:hAnsi="Arial" w:cs="Arial"/>
          <w:lang w:val="sr-Latn-CS"/>
        </w:rPr>
        <w:t xml:space="preserve"> </w:t>
      </w:r>
      <w:r w:rsidRPr="00B20E38">
        <w:rPr>
          <w:rFonts w:ascii="Arial" w:hAnsi="Arial" w:cs="Arial"/>
          <w:b/>
          <w:lang w:val="sr-Latn-CS"/>
        </w:rPr>
        <w:t>č.</w:t>
      </w:r>
      <w:r w:rsidRPr="00D14F43">
        <w:rPr>
          <w:rFonts w:ascii="Arial" w:hAnsi="Arial" w:cs="Arial"/>
          <w:b/>
        </w:rPr>
        <w:t>s</w:t>
      </w:r>
      <w:r w:rsidRPr="00B20E38">
        <w:rPr>
          <w:rFonts w:ascii="Arial" w:hAnsi="Arial" w:cs="Arial"/>
          <w:b/>
          <w:lang w:val="sr-Latn-CS"/>
        </w:rPr>
        <w:t>.</w:t>
      </w:r>
      <w:r w:rsidRPr="00D14F43">
        <w:rPr>
          <w:rFonts w:ascii="Arial" w:hAnsi="Arial" w:cs="Arial"/>
          <w:b/>
        </w:rPr>
        <w:t>m</w:t>
      </w:r>
      <w:r w:rsidRPr="00B20E38">
        <w:rPr>
          <w:rFonts w:ascii="Arial" w:hAnsi="Arial" w:cs="Arial"/>
          <w:lang w:val="sr-Latn-CS"/>
        </w:rPr>
        <w:t xml:space="preserve"> </w:t>
      </w:r>
      <w:r w:rsidRPr="00D14F43">
        <w:rPr>
          <w:rFonts w:ascii="Arial" w:hAnsi="Arial" w:cs="Arial"/>
        </w:rPr>
        <w:t>tehni</w:t>
      </w:r>
      <w:r w:rsidRPr="00B20E38">
        <w:rPr>
          <w:rFonts w:ascii="Arial" w:hAnsi="Arial" w:cs="Arial"/>
          <w:lang w:val="sr-Latn-CS"/>
        </w:rPr>
        <w:t>č</w:t>
      </w:r>
      <w:r w:rsidRPr="00D14F43">
        <w:rPr>
          <w:rFonts w:ascii="Arial" w:hAnsi="Arial" w:cs="Arial"/>
        </w:rPr>
        <w:t>ko</w:t>
      </w:r>
      <w:r w:rsidRPr="00B20E38">
        <w:rPr>
          <w:rFonts w:ascii="Arial" w:hAnsi="Arial" w:cs="Arial"/>
          <w:lang w:val="sr-Latn-CS"/>
        </w:rPr>
        <w:t>-</w:t>
      </w:r>
      <w:r w:rsidRPr="00D14F43">
        <w:rPr>
          <w:rFonts w:ascii="Arial" w:hAnsi="Arial" w:cs="Arial"/>
        </w:rPr>
        <w:t>gra</w:t>
      </w:r>
      <w:r w:rsidRPr="00B20E38">
        <w:rPr>
          <w:rFonts w:ascii="Arial" w:hAnsi="Arial" w:cs="Arial"/>
          <w:lang w:val="sr-Latn-CS"/>
        </w:rPr>
        <w:t>đ</w:t>
      </w:r>
      <w:r w:rsidRPr="00D14F43">
        <w:rPr>
          <w:rFonts w:ascii="Arial" w:hAnsi="Arial" w:cs="Arial"/>
        </w:rPr>
        <w:t>evinskog</w:t>
      </w:r>
      <w:r w:rsidRPr="00B20E38">
        <w:rPr>
          <w:rFonts w:ascii="Arial" w:hAnsi="Arial" w:cs="Arial"/>
          <w:lang w:val="sr-Latn-CS"/>
        </w:rPr>
        <w:t xml:space="preserve"> </w:t>
      </w:r>
      <w:r w:rsidRPr="00D14F43">
        <w:rPr>
          <w:rFonts w:ascii="Arial" w:hAnsi="Arial" w:cs="Arial"/>
        </w:rPr>
        <w:t>kamena</w:t>
      </w:r>
      <w:r w:rsidRPr="00B20E38">
        <w:rPr>
          <w:rFonts w:ascii="Arial" w:hAnsi="Arial" w:cs="Arial"/>
          <w:lang w:val="sr-Latn-CS"/>
        </w:rPr>
        <w:t xml:space="preserve">. </w:t>
      </w:r>
      <w:r w:rsidRPr="00D14F43">
        <w:rPr>
          <w:rFonts w:ascii="Arial" w:hAnsi="Arial" w:cs="Arial"/>
          <w:b/>
        </w:rPr>
        <w:t>Od</w:t>
      </w:r>
      <w:r w:rsidRPr="00B20E38">
        <w:rPr>
          <w:rFonts w:ascii="Arial" w:hAnsi="Arial" w:cs="Arial"/>
          <w:b/>
          <w:lang w:val="sr-Latn-CS"/>
        </w:rPr>
        <w:t xml:space="preserve"> 20.000 </w:t>
      </w:r>
      <w:r w:rsidRPr="00D14F43">
        <w:rPr>
          <w:rFonts w:ascii="Arial" w:hAnsi="Arial" w:cs="Arial"/>
          <w:b/>
        </w:rPr>
        <w:t>m</w:t>
      </w:r>
      <w:r w:rsidRPr="00B20E38">
        <w:rPr>
          <w:rFonts w:ascii="Arial" w:hAnsi="Arial" w:cs="Arial"/>
          <w:b/>
          <w:vertAlign w:val="superscript"/>
          <w:lang w:val="sr-Latn-CS"/>
        </w:rPr>
        <w:t xml:space="preserve">3 </w:t>
      </w:r>
      <w:r w:rsidRPr="00B20E38">
        <w:rPr>
          <w:rFonts w:ascii="Arial" w:hAnsi="Arial" w:cs="Arial"/>
          <w:b/>
          <w:lang w:val="sr-Latn-CS"/>
        </w:rPr>
        <w:t>č.</w:t>
      </w:r>
      <w:r w:rsidRPr="00D14F43">
        <w:rPr>
          <w:rFonts w:ascii="Arial" w:hAnsi="Arial" w:cs="Arial"/>
          <w:b/>
        </w:rPr>
        <w:t>s</w:t>
      </w:r>
      <w:r w:rsidRPr="00B20E38">
        <w:rPr>
          <w:rFonts w:ascii="Arial" w:hAnsi="Arial" w:cs="Arial"/>
          <w:b/>
          <w:lang w:val="sr-Latn-CS"/>
        </w:rPr>
        <w:t>.</w:t>
      </w:r>
      <w:r w:rsidRPr="00D14F43">
        <w:rPr>
          <w:rFonts w:ascii="Arial" w:hAnsi="Arial" w:cs="Arial"/>
          <w:b/>
        </w:rPr>
        <w:t>m</w:t>
      </w:r>
      <w:r w:rsidRPr="00B20E38">
        <w:rPr>
          <w:rFonts w:ascii="Arial" w:hAnsi="Arial" w:cs="Arial"/>
          <w:b/>
          <w:lang w:val="sr-Latn-CS"/>
        </w:rPr>
        <w:t xml:space="preserve">. </w:t>
      </w:r>
      <w:r w:rsidRPr="00D14F43">
        <w:rPr>
          <w:rFonts w:ascii="Arial" w:hAnsi="Arial" w:cs="Arial"/>
          <w:b/>
        </w:rPr>
        <w:t>na</w:t>
      </w:r>
      <w:r w:rsidRPr="00B20E38">
        <w:rPr>
          <w:rFonts w:ascii="Arial" w:hAnsi="Arial" w:cs="Arial"/>
          <w:b/>
          <w:lang w:val="sr-Latn-CS"/>
        </w:rPr>
        <w:t xml:space="preserve"> </w:t>
      </w:r>
      <w:r w:rsidRPr="00D14F43">
        <w:rPr>
          <w:rFonts w:ascii="Arial" w:hAnsi="Arial" w:cs="Arial"/>
          <w:b/>
        </w:rPr>
        <w:t>godi</w:t>
      </w:r>
      <w:r w:rsidRPr="00B20E38">
        <w:rPr>
          <w:rFonts w:ascii="Arial" w:hAnsi="Arial" w:cs="Arial"/>
          <w:b/>
          <w:lang w:val="sr-Latn-CS"/>
        </w:rPr>
        <w:t>š</w:t>
      </w:r>
      <w:r w:rsidRPr="00D14F43">
        <w:rPr>
          <w:rFonts w:ascii="Arial" w:hAnsi="Arial" w:cs="Arial"/>
          <w:b/>
        </w:rPr>
        <w:t>njem</w:t>
      </w:r>
      <w:r w:rsidRPr="00B20E38">
        <w:rPr>
          <w:rFonts w:ascii="Arial" w:hAnsi="Arial" w:cs="Arial"/>
          <w:b/>
          <w:lang w:val="sr-Latn-CS"/>
        </w:rPr>
        <w:t xml:space="preserve"> </w:t>
      </w:r>
      <w:r w:rsidRPr="00D14F43">
        <w:rPr>
          <w:rFonts w:ascii="Arial" w:hAnsi="Arial" w:cs="Arial"/>
          <w:b/>
        </w:rPr>
        <w:t>nivou</w:t>
      </w:r>
      <w:r w:rsidRPr="00B20E38">
        <w:rPr>
          <w:rFonts w:ascii="Arial" w:hAnsi="Arial" w:cs="Arial"/>
          <w:b/>
          <w:lang w:val="sr-Latn-CS"/>
        </w:rPr>
        <w:t xml:space="preserve"> </w:t>
      </w:r>
      <w:r w:rsidRPr="00D14F43">
        <w:rPr>
          <w:rFonts w:ascii="Arial" w:hAnsi="Arial" w:cs="Arial"/>
          <w:b/>
        </w:rPr>
        <w:t>u</w:t>
      </w:r>
      <w:r w:rsidRPr="00B20E38">
        <w:rPr>
          <w:rFonts w:ascii="Arial" w:hAnsi="Arial" w:cs="Arial"/>
          <w:b/>
          <w:lang w:val="sr-Latn-CS"/>
        </w:rPr>
        <w:t xml:space="preserve"> </w:t>
      </w:r>
      <w:r w:rsidRPr="00D14F43">
        <w:rPr>
          <w:rFonts w:ascii="Arial" w:hAnsi="Arial" w:cs="Arial"/>
          <w:b/>
        </w:rPr>
        <w:t>procesu</w:t>
      </w:r>
      <w:r w:rsidRPr="00B20E38">
        <w:rPr>
          <w:rFonts w:ascii="Arial" w:hAnsi="Arial" w:cs="Arial"/>
          <w:b/>
          <w:lang w:val="sr-Latn-CS"/>
        </w:rPr>
        <w:t xml:space="preserve"> </w:t>
      </w:r>
      <w:r w:rsidRPr="00D14F43">
        <w:rPr>
          <w:rFonts w:ascii="Arial" w:hAnsi="Arial" w:cs="Arial"/>
          <w:b/>
        </w:rPr>
        <w:t>dalje</w:t>
      </w:r>
      <w:r w:rsidRPr="00B20E38">
        <w:rPr>
          <w:rFonts w:ascii="Arial" w:hAnsi="Arial" w:cs="Arial"/>
          <w:b/>
          <w:lang w:val="sr-Latn-CS"/>
        </w:rPr>
        <w:t xml:space="preserve"> </w:t>
      </w:r>
      <w:r w:rsidRPr="00D14F43">
        <w:rPr>
          <w:rFonts w:ascii="Arial" w:hAnsi="Arial" w:cs="Arial"/>
          <w:b/>
        </w:rPr>
        <w:t>obrade</w:t>
      </w:r>
      <w:r w:rsidRPr="00B20E38">
        <w:rPr>
          <w:rFonts w:ascii="Arial" w:hAnsi="Arial" w:cs="Arial"/>
          <w:b/>
          <w:lang w:val="sr-Latn-CS"/>
        </w:rPr>
        <w:t xml:space="preserve"> </w:t>
      </w:r>
      <w:r w:rsidRPr="00D14F43">
        <w:rPr>
          <w:rFonts w:ascii="Arial" w:hAnsi="Arial" w:cs="Arial"/>
          <w:b/>
        </w:rPr>
        <w:t>sirovine</w:t>
      </w:r>
      <w:r w:rsidRPr="00B20E38">
        <w:rPr>
          <w:rFonts w:ascii="Arial" w:hAnsi="Arial" w:cs="Arial"/>
          <w:b/>
          <w:lang w:val="sr-Latn-CS"/>
        </w:rPr>
        <w:t xml:space="preserve"> </w:t>
      </w:r>
      <w:r w:rsidRPr="00D14F43">
        <w:rPr>
          <w:rFonts w:ascii="Arial" w:hAnsi="Arial" w:cs="Arial"/>
          <w:b/>
        </w:rPr>
        <w:t>dobilo</w:t>
      </w:r>
      <w:r w:rsidRPr="00B20E38">
        <w:rPr>
          <w:rFonts w:ascii="Arial" w:hAnsi="Arial" w:cs="Arial"/>
          <w:b/>
          <w:lang w:val="sr-Latn-CS"/>
        </w:rPr>
        <w:t xml:space="preserve"> </w:t>
      </w:r>
      <w:r w:rsidRPr="00D14F43">
        <w:rPr>
          <w:rFonts w:ascii="Arial" w:hAnsi="Arial" w:cs="Arial"/>
          <w:b/>
        </w:rPr>
        <w:t>bi</w:t>
      </w:r>
      <w:r w:rsidRPr="00B20E38">
        <w:rPr>
          <w:rFonts w:ascii="Arial" w:hAnsi="Arial" w:cs="Arial"/>
          <w:b/>
          <w:lang w:val="sr-Latn-CS"/>
        </w:rPr>
        <w:t xml:space="preserve"> </w:t>
      </w:r>
      <w:r w:rsidRPr="00D14F43">
        <w:rPr>
          <w:rFonts w:ascii="Arial" w:hAnsi="Arial" w:cs="Arial"/>
          <w:b/>
        </w:rPr>
        <w:t>se</w:t>
      </w:r>
      <w:r w:rsidRPr="00B20E38">
        <w:rPr>
          <w:rFonts w:ascii="Arial" w:hAnsi="Arial" w:cs="Arial"/>
          <w:b/>
          <w:lang w:val="sr-Latn-CS"/>
        </w:rPr>
        <w:t xml:space="preserve"> 30.000 </w:t>
      </w:r>
      <w:r w:rsidRPr="00D14F43">
        <w:rPr>
          <w:rFonts w:ascii="Arial" w:hAnsi="Arial" w:cs="Arial"/>
          <w:b/>
        </w:rPr>
        <w:t>m</w:t>
      </w:r>
      <w:r w:rsidRPr="00B20E38">
        <w:rPr>
          <w:rFonts w:ascii="Arial" w:hAnsi="Arial" w:cs="Arial"/>
          <w:b/>
          <w:vertAlign w:val="superscript"/>
          <w:lang w:val="sr-Latn-CS"/>
        </w:rPr>
        <w:t>3</w:t>
      </w:r>
      <w:r w:rsidRPr="00B20E38">
        <w:rPr>
          <w:rFonts w:ascii="Arial" w:hAnsi="Arial" w:cs="Arial"/>
          <w:lang w:val="sr-Latn-CS"/>
        </w:rPr>
        <w:t xml:space="preserve"> </w:t>
      </w:r>
      <w:r w:rsidRPr="00D14F43">
        <w:rPr>
          <w:rFonts w:ascii="Arial" w:hAnsi="Arial" w:cs="Arial"/>
          <w:b/>
        </w:rPr>
        <w:t>agregata</w:t>
      </w:r>
      <w:r w:rsidRPr="00B20E38">
        <w:rPr>
          <w:rFonts w:ascii="Arial" w:hAnsi="Arial" w:cs="Arial"/>
          <w:b/>
          <w:lang w:val="sr-Latn-CS"/>
        </w:rPr>
        <w:t xml:space="preserve"> </w:t>
      </w:r>
      <w:r w:rsidRPr="00D14F43">
        <w:rPr>
          <w:rFonts w:ascii="Arial" w:hAnsi="Arial" w:cs="Arial"/>
          <w:b/>
        </w:rPr>
        <w:t>razli</w:t>
      </w:r>
      <w:r w:rsidRPr="00B20E38">
        <w:rPr>
          <w:rFonts w:ascii="Arial" w:hAnsi="Arial" w:cs="Arial"/>
          <w:b/>
          <w:lang w:val="sr-Latn-CS"/>
        </w:rPr>
        <w:t>č</w:t>
      </w:r>
      <w:r w:rsidRPr="00D14F43">
        <w:rPr>
          <w:rFonts w:ascii="Arial" w:hAnsi="Arial" w:cs="Arial"/>
          <w:b/>
        </w:rPr>
        <w:t>itih</w:t>
      </w:r>
      <w:r w:rsidRPr="00B20E38">
        <w:rPr>
          <w:rFonts w:ascii="Arial" w:hAnsi="Arial" w:cs="Arial"/>
          <w:b/>
          <w:lang w:val="sr-Latn-CS"/>
        </w:rPr>
        <w:t xml:space="preserve"> </w:t>
      </w:r>
      <w:r w:rsidRPr="00D14F43">
        <w:rPr>
          <w:rFonts w:ascii="Arial" w:hAnsi="Arial" w:cs="Arial"/>
          <w:b/>
        </w:rPr>
        <w:t>frakcija</w:t>
      </w:r>
      <w:r w:rsidRPr="00B20E38">
        <w:rPr>
          <w:rFonts w:ascii="Arial" w:hAnsi="Arial" w:cs="Arial"/>
          <w:b/>
          <w:lang w:val="sr-Latn-CS"/>
        </w:rPr>
        <w:t xml:space="preserve"> (</w:t>
      </w:r>
      <w:r w:rsidRPr="00D14F43">
        <w:rPr>
          <w:rFonts w:ascii="Arial" w:hAnsi="Arial" w:cs="Arial"/>
          <w:b/>
        </w:rPr>
        <w:t>k</w:t>
      </w:r>
      <w:r w:rsidRPr="00D14F43">
        <w:rPr>
          <w:rFonts w:ascii="Arial" w:hAnsi="Arial" w:cs="Arial"/>
          <w:b/>
          <w:vertAlign w:val="subscript"/>
        </w:rPr>
        <w:t>r</w:t>
      </w:r>
      <w:r w:rsidRPr="00B20E38">
        <w:rPr>
          <w:rFonts w:ascii="Arial" w:hAnsi="Arial" w:cs="Arial"/>
          <w:b/>
          <w:lang w:val="sr-Latn-CS"/>
        </w:rPr>
        <w:t>,=1,5)</w:t>
      </w:r>
      <w:r w:rsidRPr="00B20E38">
        <w:rPr>
          <w:rFonts w:ascii="Arial" w:hAnsi="Arial" w:cs="Arial"/>
          <w:lang w:val="sr-Latn-CS"/>
        </w:rPr>
        <w:t xml:space="preserve"> </w:t>
      </w:r>
      <w:r w:rsidRPr="00B20E38">
        <w:rPr>
          <w:rFonts w:ascii="Arial" w:hAnsi="Arial" w:cs="Arial"/>
          <w:b/>
          <w:lang w:val="sr-Latn-CS"/>
        </w:rPr>
        <w:t>š</w:t>
      </w:r>
      <w:r w:rsidRPr="00D14F43">
        <w:rPr>
          <w:rFonts w:ascii="Arial" w:hAnsi="Arial" w:cs="Arial"/>
          <w:b/>
        </w:rPr>
        <w:t>to</w:t>
      </w:r>
      <w:r w:rsidRPr="00B20E38">
        <w:rPr>
          <w:rFonts w:ascii="Arial" w:hAnsi="Arial" w:cs="Arial"/>
          <w:b/>
          <w:lang w:val="sr-Latn-CS"/>
        </w:rPr>
        <w:t xml:space="preserve"> </w:t>
      </w:r>
      <w:r w:rsidRPr="00D14F43">
        <w:rPr>
          <w:rFonts w:ascii="Arial" w:hAnsi="Arial" w:cs="Arial"/>
          <w:b/>
        </w:rPr>
        <w:t>bi</w:t>
      </w:r>
      <w:r w:rsidRPr="00B20E38">
        <w:rPr>
          <w:rFonts w:ascii="Arial" w:hAnsi="Arial" w:cs="Arial"/>
          <w:b/>
          <w:lang w:val="sr-Latn-CS"/>
        </w:rPr>
        <w:t xml:space="preserve"> </w:t>
      </w:r>
      <w:r w:rsidRPr="00D14F43">
        <w:rPr>
          <w:rFonts w:ascii="Arial" w:hAnsi="Arial" w:cs="Arial"/>
          <w:b/>
        </w:rPr>
        <w:t>za</w:t>
      </w:r>
      <w:r w:rsidRPr="00B20E38">
        <w:rPr>
          <w:rFonts w:ascii="Arial" w:hAnsi="Arial" w:cs="Arial"/>
          <w:b/>
          <w:lang w:val="sr-Latn-CS"/>
        </w:rPr>
        <w:t xml:space="preserve"> </w:t>
      </w:r>
      <w:r w:rsidRPr="00D14F43">
        <w:rPr>
          <w:rFonts w:ascii="Arial" w:hAnsi="Arial" w:cs="Arial"/>
          <w:b/>
        </w:rPr>
        <w:t>period</w:t>
      </w:r>
      <w:r w:rsidRPr="00B20E38">
        <w:rPr>
          <w:rFonts w:ascii="Arial" w:hAnsi="Arial" w:cs="Arial"/>
          <w:b/>
          <w:lang w:val="sr-Latn-CS"/>
        </w:rPr>
        <w:t xml:space="preserve"> </w:t>
      </w:r>
      <w:r w:rsidRPr="00D14F43">
        <w:rPr>
          <w:rFonts w:ascii="Arial" w:hAnsi="Arial" w:cs="Arial"/>
          <w:b/>
        </w:rPr>
        <w:t>od</w:t>
      </w:r>
      <w:r w:rsidRPr="00B20E38">
        <w:rPr>
          <w:rFonts w:ascii="Arial" w:hAnsi="Arial" w:cs="Arial"/>
          <w:b/>
          <w:lang w:val="sr-Latn-CS"/>
        </w:rPr>
        <w:t xml:space="preserve"> 28 </w:t>
      </w:r>
      <w:r w:rsidRPr="00D14F43">
        <w:rPr>
          <w:rFonts w:ascii="Arial" w:hAnsi="Arial" w:cs="Arial"/>
          <w:b/>
        </w:rPr>
        <w:t>godina</w:t>
      </w:r>
      <w:r w:rsidRPr="00B20E38">
        <w:rPr>
          <w:rFonts w:ascii="Arial" w:hAnsi="Arial" w:cs="Arial"/>
          <w:b/>
          <w:lang w:val="sr-Latn-CS"/>
        </w:rPr>
        <w:t xml:space="preserve"> </w:t>
      </w:r>
      <w:r w:rsidRPr="00D14F43">
        <w:rPr>
          <w:rFonts w:ascii="Arial" w:hAnsi="Arial" w:cs="Arial"/>
          <w:b/>
        </w:rPr>
        <w:t>iznosilo</w:t>
      </w:r>
      <w:r w:rsidRPr="00B20E38">
        <w:rPr>
          <w:rFonts w:ascii="Arial" w:hAnsi="Arial" w:cs="Arial"/>
          <w:lang w:val="sr-Latn-CS"/>
        </w:rPr>
        <w:t xml:space="preserve"> </w:t>
      </w:r>
      <w:r w:rsidRPr="00B20E38">
        <w:rPr>
          <w:rFonts w:ascii="Arial" w:hAnsi="Arial" w:cs="Arial"/>
          <w:b/>
          <w:lang w:val="sr-Latn-CS"/>
        </w:rPr>
        <w:t xml:space="preserve">840.000 </w:t>
      </w:r>
      <w:r w:rsidRPr="00D14F43">
        <w:rPr>
          <w:rFonts w:ascii="Arial" w:hAnsi="Arial" w:cs="Arial"/>
          <w:b/>
        </w:rPr>
        <w:t>m</w:t>
      </w:r>
      <w:r w:rsidRPr="00B20E38">
        <w:rPr>
          <w:rFonts w:ascii="Arial" w:hAnsi="Arial" w:cs="Arial"/>
          <w:b/>
          <w:vertAlign w:val="superscript"/>
          <w:lang w:val="sr-Latn-CS"/>
        </w:rPr>
        <w:t>3</w:t>
      </w:r>
      <w:r w:rsidRPr="00B20E38">
        <w:rPr>
          <w:rFonts w:ascii="Arial" w:hAnsi="Arial" w:cs="Arial"/>
          <w:lang w:val="sr-Latn-CS"/>
        </w:rPr>
        <w:t xml:space="preserve"> </w:t>
      </w:r>
      <w:r w:rsidRPr="00D14F43">
        <w:rPr>
          <w:rFonts w:ascii="Arial" w:hAnsi="Arial" w:cs="Arial"/>
          <w:b/>
        </w:rPr>
        <w:t>tr</w:t>
      </w:r>
      <w:r w:rsidRPr="00B20E38">
        <w:rPr>
          <w:rFonts w:ascii="Arial" w:hAnsi="Arial" w:cs="Arial"/>
          <w:b/>
          <w:lang w:val="sr-Latn-CS"/>
        </w:rPr>
        <w:t>ž</w:t>
      </w:r>
      <w:r w:rsidRPr="00D14F43">
        <w:rPr>
          <w:rFonts w:ascii="Arial" w:hAnsi="Arial" w:cs="Arial"/>
          <w:b/>
        </w:rPr>
        <w:t>i</w:t>
      </w:r>
      <w:r w:rsidRPr="00B20E38">
        <w:rPr>
          <w:rFonts w:ascii="Arial" w:hAnsi="Arial" w:cs="Arial"/>
          <w:b/>
          <w:lang w:val="sr-Latn-CS"/>
        </w:rPr>
        <w:t>š</w:t>
      </w:r>
      <w:r w:rsidRPr="00D14F43">
        <w:rPr>
          <w:rFonts w:ascii="Arial" w:hAnsi="Arial" w:cs="Arial"/>
          <w:b/>
        </w:rPr>
        <w:t>nog</w:t>
      </w:r>
      <w:r w:rsidRPr="00B20E38">
        <w:rPr>
          <w:rFonts w:ascii="Arial" w:hAnsi="Arial" w:cs="Arial"/>
          <w:b/>
          <w:lang w:val="sr-Latn-CS"/>
        </w:rPr>
        <w:t xml:space="preserve"> </w:t>
      </w:r>
      <w:r w:rsidRPr="00D14F43">
        <w:rPr>
          <w:rFonts w:ascii="Arial" w:hAnsi="Arial" w:cs="Arial"/>
          <w:b/>
        </w:rPr>
        <w:t>proizvoda</w:t>
      </w:r>
      <w:r w:rsidRPr="00B20E38">
        <w:rPr>
          <w:rFonts w:ascii="Arial" w:hAnsi="Arial" w:cs="Arial"/>
          <w:b/>
          <w:lang w:val="sr-Latn-CS"/>
        </w:rPr>
        <w:t>.</w:t>
      </w:r>
    </w:p>
    <w:p w14:paraId="3E309A9A" w14:textId="77777777" w:rsidR="00313B20" w:rsidRPr="00E56DC2" w:rsidRDefault="00313B20" w:rsidP="003D5374">
      <w:pPr>
        <w:spacing w:after="0" w:line="240" w:lineRule="auto"/>
        <w:jc w:val="both"/>
        <w:rPr>
          <w:rFonts w:ascii="Arial" w:hAnsi="Arial" w:cs="Arial"/>
          <w:b/>
          <w:lang w:val="sr-Latn-CS"/>
        </w:rPr>
      </w:pPr>
    </w:p>
    <w:p w14:paraId="07D7DB89" w14:textId="3883424A" w:rsidR="000E197C" w:rsidRPr="00E56DC2" w:rsidRDefault="00A41658" w:rsidP="003D5374">
      <w:pPr>
        <w:pStyle w:val="Heading3"/>
        <w:spacing w:after="0" w:line="240" w:lineRule="auto"/>
        <w:ind w:left="0" w:firstLine="0"/>
        <w:jc w:val="both"/>
        <w:rPr>
          <w:rFonts w:ascii="Arial" w:hAnsi="Arial" w:cs="Arial"/>
          <w:sz w:val="22"/>
          <w:szCs w:val="22"/>
        </w:rPr>
      </w:pPr>
      <w:bookmarkStart w:id="28" w:name="_Toc402262956"/>
      <w:r w:rsidRPr="00E56DC2">
        <w:rPr>
          <w:rFonts w:ascii="Arial" w:hAnsi="Arial" w:cs="Arial"/>
          <w:sz w:val="22"/>
          <w:szCs w:val="22"/>
        </w:rPr>
        <w:t xml:space="preserve">8.1.2 </w:t>
      </w:r>
      <w:r w:rsidR="00744584" w:rsidRPr="00E56DC2">
        <w:rPr>
          <w:rFonts w:ascii="Arial" w:hAnsi="Arial" w:cs="Arial"/>
          <w:sz w:val="22"/>
          <w:szCs w:val="22"/>
        </w:rPr>
        <w:t xml:space="preserve">Pripadnost grupi </w:t>
      </w:r>
      <w:r w:rsidR="00BC1B3C">
        <w:rPr>
          <w:rFonts w:ascii="Arial" w:hAnsi="Arial" w:cs="Arial"/>
          <w:sz w:val="22"/>
          <w:szCs w:val="22"/>
        </w:rPr>
        <w:t>l</w:t>
      </w:r>
      <w:bookmarkEnd w:id="28"/>
      <w:r w:rsidR="006E4790">
        <w:rPr>
          <w:rFonts w:ascii="Arial" w:hAnsi="Arial" w:cs="Arial"/>
          <w:sz w:val="22"/>
          <w:szCs w:val="22"/>
        </w:rPr>
        <w:t>ežišta</w:t>
      </w:r>
    </w:p>
    <w:p w14:paraId="7F0DC8BE" w14:textId="77777777" w:rsidR="000E197C" w:rsidRPr="00E56DC2" w:rsidRDefault="000E197C" w:rsidP="003D5374">
      <w:pPr>
        <w:spacing w:after="0" w:line="240" w:lineRule="auto"/>
        <w:rPr>
          <w:rFonts w:ascii="Arial" w:hAnsi="Arial" w:cs="Arial"/>
          <w:lang w:val="sr-Latn-CS"/>
        </w:rPr>
      </w:pPr>
    </w:p>
    <w:p w14:paraId="4EDB2725" w14:textId="52F4FA4A" w:rsidR="00744584" w:rsidRPr="00E56DC2" w:rsidRDefault="001F19FE" w:rsidP="003D5374">
      <w:pPr>
        <w:spacing w:after="0" w:line="240" w:lineRule="auto"/>
        <w:jc w:val="both"/>
        <w:rPr>
          <w:rFonts w:ascii="Arial" w:hAnsi="Arial" w:cs="Arial"/>
          <w:lang w:val="sr-Latn-CS"/>
        </w:rPr>
      </w:pPr>
      <w:r>
        <w:rPr>
          <w:rFonts w:ascii="Arial" w:hAnsi="Arial" w:cs="Arial"/>
          <w:lang w:val="sr-Latn-CS"/>
        </w:rPr>
        <w:t>Lokalitet</w:t>
      </w:r>
      <w:r w:rsidR="00744584"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007E365E" w:rsidRPr="00E56DC2">
        <w:rPr>
          <w:rFonts w:ascii="Arial" w:hAnsi="Arial" w:cs="Arial"/>
          <w:lang w:val="sr-Latn-CS"/>
        </w:rPr>
        <w:t>,</w:t>
      </w:r>
      <w:r w:rsidR="00484F44" w:rsidRPr="00E56DC2">
        <w:rPr>
          <w:rFonts w:ascii="Arial" w:hAnsi="Arial" w:cs="Arial"/>
          <w:lang w:val="sr-Latn-CS"/>
        </w:rPr>
        <w:t xml:space="preserve"> </w:t>
      </w:r>
      <w:r w:rsidR="00744584" w:rsidRPr="00E56DC2">
        <w:rPr>
          <w:rFonts w:ascii="Arial" w:hAnsi="Arial" w:cs="Arial"/>
          <w:lang w:val="sr-Latn-CS"/>
        </w:rPr>
        <w:t xml:space="preserve">prema navedenoj Uredbi, a na osnovu postojećih karakteristika i očekivanih uslova za eksploataciju, svrstana je u treću grupu geogenih </w:t>
      </w:r>
      <w:r w:rsidR="00BC1B3C">
        <w:rPr>
          <w:rFonts w:ascii="Arial" w:hAnsi="Arial" w:cs="Arial"/>
          <w:lang w:val="sr-Latn-CS"/>
        </w:rPr>
        <w:t>lokaliteta</w:t>
      </w:r>
      <w:r w:rsidR="00744584" w:rsidRPr="00E56DC2">
        <w:rPr>
          <w:rFonts w:ascii="Arial" w:hAnsi="Arial" w:cs="Arial"/>
          <w:lang w:val="sr-Latn-CS"/>
        </w:rPr>
        <w:t xml:space="preserve"> (G</w:t>
      </w:r>
      <w:r w:rsidR="00744584" w:rsidRPr="00E56DC2">
        <w:rPr>
          <w:rFonts w:ascii="Arial" w:hAnsi="Arial" w:cs="Arial"/>
          <w:vertAlign w:val="subscript"/>
          <w:lang w:val="sr-Latn-CS"/>
        </w:rPr>
        <w:t>3</w:t>
      </w:r>
      <w:r w:rsidR="00744584" w:rsidRPr="00E56DC2">
        <w:rPr>
          <w:rFonts w:ascii="Arial" w:hAnsi="Arial" w:cs="Arial"/>
          <w:lang w:val="sr-Latn-CS"/>
        </w:rPr>
        <w:t>).</w:t>
      </w:r>
    </w:p>
    <w:p w14:paraId="3EB7C162" w14:textId="77777777" w:rsidR="00FD18AA" w:rsidRPr="00E56DC2" w:rsidRDefault="00FD18AA" w:rsidP="003D5374">
      <w:pPr>
        <w:spacing w:after="0" w:line="240" w:lineRule="auto"/>
        <w:jc w:val="both"/>
        <w:rPr>
          <w:rFonts w:ascii="Arial" w:hAnsi="Arial" w:cs="Arial"/>
          <w:lang w:val="sr-Latn-CS"/>
        </w:rPr>
      </w:pPr>
    </w:p>
    <w:p w14:paraId="487995AD" w14:textId="2987ED20"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741FD4">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3D5374">
      <w:pPr>
        <w:spacing w:after="0" w:line="240" w:lineRule="auto"/>
        <w:jc w:val="both"/>
        <w:rPr>
          <w:rFonts w:ascii="Arial" w:hAnsi="Arial" w:cs="Arial"/>
          <w:lang w:val="sr-Latn-CS"/>
        </w:rPr>
      </w:pPr>
    </w:p>
    <w:p w14:paraId="39914867" w14:textId="15936832" w:rsidR="00D3633A" w:rsidRDefault="00A41658" w:rsidP="003D5374">
      <w:pPr>
        <w:pStyle w:val="Heading3"/>
        <w:tabs>
          <w:tab w:val="left" w:pos="3915"/>
        </w:tabs>
        <w:spacing w:after="0" w:line="240" w:lineRule="auto"/>
        <w:jc w:val="both"/>
        <w:rPr>
          <w:rFonts w:ascii="Arial" w:hAnsi="Arial" w:cs="Arial"/>
          <w:sz w:val="22"/>
          <w:szCs w:val="22"/>
        </w:rPr>
      </w:pPr>
      <w:bookmarkStart w:id="29"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9"/>
    </w:p>
    <w:p w14:paraId="7F48487F" w14:textId="77777777" w:rsidR="00D3633A" w:rsidRPr="00D3633A" w:rsidRDefault="00D3633A" w:rsidP="003D5374">
      <w:pPr>
        <w:spacing w:after="0" w:line="240" w:lineRule="auto"/>
        <w:rPr>
          <w:lang w:val="sr-Latn-CS"/>
        </w:rPr>
      </w:pPr>
    </w:p>
    <w:p w14:paraId="08617CB7" w14:textId="224BCECC" w:rsidR="006A4F29" w:rsidRPr="00D671DB" w:rsidRDefault="006A4F29" w:rsidP="003D5374">
      <w:pPr>
        <w:spacing w:after="0" w:line="240" w:lineRule="auto"/>
        <w:jc w:val="both"/>
        <w:rPr>
          <w:rFonts w:ascii="Arial" w:hAnsi="Arial" w:cs="Arial"/>
          <w:lang w:val="sr-Latn-CS"/>
        </w:rPr>
      </w:pPr>
      <w:r>
        <w:rPr>
          <w:rFonts w:ascii="Arial" w:hAnsi="Arial" w:cs="Arial"/>
        </w:rPr>
        <w:t>U</w:t>
      </w:r>
      <w:r w:rsidRPr="00D671DB">
        <w:rPr>
          <w:rFonts w:ascii="Arial" w:hAnsi="Arial" w:cs="Arial"/>
          <w:lang w:val="sr-Latn-CS"/>
        </w:rPr>
        <w:t xml:space="preserve"> </w:t>
      </w:r>
      <w:r>
        <w:rPr>
          <w:rFonts w:ascii="Arial" w:hAnsi="Arial" w:cs="Arial"/>
        </w:rPr>
        <w:t>toku</w:t>
      </w:r>
      <w:r w:rsidRPr="00D671DB">
        <w:rPr>
          <w:rFonts w:ascii="Arial" w:hAnsi="Arial" w:cs="Arial"/>
          <w:lang w:val="sr-Latn-CS"/>
        </w:rPr>
        <w:t xml:space="preserve"> </w:t>
      </w:r>
      <w:r>
        <w:rPr>
          <w:rFonts w:ascii="Arial" w:hAnsi="Arial" w:cs="Arial"/>
        </w:rPr>
        <w:t>terenskih</w:t>
      </w:r>
      <w:r w:rsidRPr="00D671DB">
        <w:rPr>
          <w:rFonts w:ascii="Arial" w:hAnsi="Arial" w:cs="Arial"/>
          <w:lang w:val="sr-Latn-CS"/>
        </w:rPr>
        <w:t xml:space="preserve"> </w:t>
      </w:r>
      <w:r>
        <w:rPr>
          <w:rFonts w:ascii="Arial" w:hAnsi="Arial" w:cs="Arial"/>
        </w:rPr>
        <w:t>aktivnosti</w:t>
      </w:r>
      <w:r w:rsidRPr="00D671DB">
        <w:rPr>
          <w:rFonts w:ascii="Arial" w:hAnsi="Arial" w:cs="Arial"/>
          <w:lang w:val="sr-Latn-CS"/>
        </w:rPr>
        <w:t xml:space="preserve"> </w:t>
      </w:r>
      <w:r>
        <w:rPr>
          <w:rFonts w:ascii="Arial" w:hAnsi="Arial" w:cs="Arial"/>
        </w:rPr>
        <w:t>u</w:t>
      </w:r>
      <w:r w:rsidRPr="00D671DB">
        <w:rPr>
          <w:rFonts w:ascii="Arial" w:hAnsi="Arial" w:cs="Arial"/>
          <w:lang w:val="sr-Latn-CS"/>
        </w:rPr>
        <w:t xml:space="preserve"> </w:t>
      </w:r>
      <w:r>
        <w:rPr>
          <w:rFonts w:ascii="Arial" w:hAnsi="Arial" w:cs="Arial"/>
        </w:rPr>
        <w:t>toku</w:t>
      </w:r>
      <w:r w:rsidRPr="00D671DB">
        <w:rPr>
          <w:rFonts w:ascii="Arial" w:hAnsi="Arial" w:cs="Arial"/>
          <w:lang w:val="sr-Latn-CS"/>
        </w:rPr>
        <w:t xml:space="preserve"> 2019. </w:t>
      </w:r>
      <w:r>
        <w:rPr>
          <w:rFonts w:ascii="Arial" w:hAnsi="Arial" w:cs="Arial"/>
        </w:rPr>
        <w:t>godine</w:t>
      </w:r>
      <w:r w:rsidRPr="00D671DB">
        <w:rPr>
          <w:rFonts w:ascii="Arial" w:hAnsi="Arial" w:cs="Arial"/>
          <w:lang w:val="sr-Latn-CS"/>
        </w:rPr>
        <w:t xml:space="preserve">, </w:t>
      </w:r>
      <w:r>
        <w:rPr>
          <w:rFonts w:ascii="Arial" w:hAnsi="Arial" w:cs="Arial"/>
        </w:rPr>
        <w:t>u</w:t>
      </w:r>
      <w:r w:rsidRPr="00D671DB">
        <w:rPr>
          <w:rFonts w:ascii="Arial" w:hAnsi="Arial" w:cs="Arial"/>
          <w:lang w:val="sr-Latn-CS"/>
        </w:rPr>
        <w:t xml:space="preserve"> </w:t>
      </w:r>
      <w:r>
        <w:rPr>
          <w:rFonts w:ascii="Arial" w:hAnsi="Arial" w:cs="Arial"/>
        </w:rPr>
        <w:t>okviru</w:t>
      </w:r>
      <w:r w:rsidRPr="00D671DB">
        <w:rPr>
          <w:rFonts w:ascii="Arial" w:hAnsi="Arial" w:cs="Arial"/>
          <w:lang w:val="sr-Latn-CS"/>
        </w:rPr>
        <w:t xml:space="preserve"> </w:t>
      </w:r>
      <w:r>
        <w:rPr>
          <w:rFonts w:ascii="Arial" w:hAnsi="Arial" w:cs="Arial"/>
        </w:rPr>
        <w:t>projekata</w:t>
      </w:r>
      <w:r w:rsidRPr="00D671DB">
        <w:rPr>
          <w:rFonts w:ascii="Arial" w:hAnsi="Arial" w:cs="Arial"/>
          <w:lang w:val="sr-Latn-CS"/>
        </w:rPr>
        <w:t xml:space="preserve"> “</w:t>
      </w:r>
      <w:r w:rsidRPr="00A26CE1">
        <w:rPr>
          <w:rFonts w:ascii="Arial" w:hAnsi="Arial" w:cs="Arial"/>
        </w:rPr>
        <w:t>Prikupljanje</w:t>
      </w:r>
      <w:r w:rsidRPr="00D671DB">
        <w:rPr>
          <w:rFonts w:ascii="Arial" w:hAnsi="Arial" w:cs="Arial"/>
          <w:lang w:val="sr-Latn-CS"/>
        </w:rPr>
        <w:t xml:space="preserve"> </w:t>
      </w:r>
      <w:r w:rsidRPr="00A26CE1">
        <w:rPr>
          <w:rFonts w:ascii="Arial" w:hAnsi="Arial" w:cs="Arial"/>
        </w:rPr>
        <w:t>i</w:t>
      </w:r>
      <w:r w:rsidRPr="00D671DB">
        <w:rPr>
          <w:rFonts w:ascii="Arial" w:hAnsi="Arial" w:cs="Arial"/>
          <w:lang w:val="sr-Latn-CS"/>
        </w:rPr>
        <w:t xml:space="preserve"> </w:t>
      </w:r>
      <w:r w:rsidRPr="00A26CE1">
        <w:rPr>
          <w:rFonts w:ascii="Arial" w:hAnsi="Arial" w:cs="Arial"/>
        </w:rPr>
        <w:t>analiza</w:t>
      </w:r>
      <w:r w:rsidRPr="00D671DB">
        <w:rPr>
          <w:rFonts w:ascii="Arial" w:hAnsi="Arial" w:cs="Arial"/>
          <w:lang w:val="sr-Latn-CS"/>
        </w:rPr>
        <w:t xml:space="preserve"> </w:t>
      </w:r>
      <w:r w:rsidRPr="00A26CE1">
        <w:rPr>
          <w:rFonts w:ascii="Arial" w:hAnsi="Arial" w:cs="Arial"/>
        </w:rPr>
        <w:t>podataka</w:t>
      </w:r>
      <w:r w:rsidRPr="00D671DB">
        <w:rPr>
          <w:rFonts w:ascii="Arial" w:hAnsi="Arial" w:cs="Arial"/>
          <w:lang w:val="sr-Latn-CS"/>
        </w:rPr>
        <w:t xml:space="preserve">, </w:t>
      </w:r>
      <w:r w:rsidRPr="00A26CE1">
        <w:rPr>
          <w:rFonts w:ascii="Arial" w:hAnsi="Arial" w:cs="Arial"/>
        </w:rPr>
        <w:t>izrada</w:t>
      </w:r>
      <w:r w:rsidRPr="00D671DB">
        <w:rPr>
          <w:rFonts w:ascii="Arial" w:hAnsi="Arial" w:cs="Arial"/>
          <w:lang w:val="sr-Latn-CS"/>
        </w:rPr>
        <w:t xml:space="preserve"> </w:t>
      </w:r>
      <w:r w:rsidRPr="00A26CE1">
        <w:rPr>
          <w:rFonts w:ascii="Arial" w:hAnsi="Arial" w:cs="Arial"/>
        </w:rPr>
        <w:t>informacione</w:t>
      </w:r>
      <w:r w:rsidRPr="00D671DB">
        <w:rPr>
          <w:rFonts w:ascii="Arial" w:hAnsi="Arial" w:cs="Arial"/>
          <w:lang w:val="sr-Latn-CS"/>
        </w:rPr>
        <w:t xml:space="preserve"> </w:t>
      </w:r>
      <w:r w:rsidRPr="00A26CE1">
        <w:rPr>
          <w:rFonts w:ascii="Arial" w:hAnsi="Arial" w:cs="Arial"/>
        </w:rPr>
        <w:t>baze</w:t>
      </w:r>
      <w:r w:rsidRPr="00D671DB">
        <w:rPr>
          <w:rFonts w:ascii="Arial" w:hAnsi="Arial" w:cs="Arial"/>
          <w:lang w:val="sr-Latn-CS"/>
        </w:rPr>
        <w:t xml:space="preserve"> </w:t>
      </w:r>
      <w:r w:rsidRPr="00A26CE1">
        <w:rPr>
          <w:rFonts w:ascii="Arial" w:hAnsi="Arial" w:cs="Arial"/>
        </w:rPr>
        <w:t>i</w:t>
      </w:r>
      <w:r w:rsidRPr="00D671DB">
        <w:rPr>
          <w:rFonts w:ascii="Arial" w:hAnsi="Arial" w:cs="Arial"/>
          <w:lang w:val="sr-Latn-CS"/>
        </w:rPr>
        <w:t xml:space="preserve"> </w:t>
      </w:r>
      <w:r w:rsidRPr="00A26CE1">
        <w:rPr>
          <w:rFonts w:ascii="Arial" w:hAnsi="Arial" w:cs="Arial"/>
        </w:rPr>
        <w:t>ocjena</w:t>
      </w:r>
      <w:r w:rsidRPr="00D671DB">
        <w:rPr>
          <w:rFonts w:ascii="Arial" w:hAnsi="Arial" w:cs="Arial"/>
          <w:lang w:val="sr-Latn-CS"/>
        </w:rPr>
        <w:t xml:space="preserve"> </w:t>
      </w:r>
      <w:r w:rsidRPr="00A26CE1">
        <w:rPr>
          <w:rFonts w:ascii="Arial" w:hAnsi="Arial" w:cs="Arial"/>
        </w:rPr>
        <w:t>potencijalnosti</w:t>
      </w:r>
      <w:r w:rsidRPr="00D671DB">
        <w:rPr>
          <w:rFonts w:ascii="Arial" w:hAnsi="Arial" w:cs="Arial"/>
          <w:lang w:val="sr-Latn-CS"/>
        </w:rPr>
        <w:t xml:space="preserve"> </w:t>
      </w:r>
      <w:r w:rsidRPr="00A26CE1">
        <w:rPr>
          <w:rFonts w:ascii="Arial" w:hAnsi="Arial" w:cs="Arial"/>
        </w:rPr>
        <w:t>kao</w:t>
      </w:r>
      <w:r w:rsidRPr="00D671DB">
        <w:rPr>
          <w:rFonts w:ascii="Arial" w:hAnsi="Arial" w:cs="Arial"/>
          <w:lang w:val="sr-Latn-CS"/>
        </w:rPr>
        <w:t xml:space="preserve"> </w:t>
      </w:r>
      <w:r w:rsidRPr="00A26CE1">
        <w:rPr>
          <w:rFonts w:ascii="Arial" w:hAnsi="Arial" w:cs="Arial"/>
        </w:rPr>
        <w:t>osnove</w:t>
      </w:r>
      <w:r w:rsidRPr="00D671DB">
        <w:rPr>
          <w:rFonts w:ascii="Arial" w:hAnsi="Arial" w:cs="Arial"/>
          <w:lang w:val="sr-Latn-CS"/>
        </w:rPr>
        <w:t xml:space="preserve"> </w:t>
      </w:r>
      <w:r w:rsidRPr="00A26CE1">
        <w:rPr>
          <w:rFonts w:ascii="Arial" w:hAnsi="Arial" w:cs="Arial"/>
        </w:rPr>
        <w:t>za</w:t>
      </w:r>
      <w:r w:rsidRPr="00D671DB">
        <w:rPr>
          <w:rFonts w:ascii="Arial" w:hAnsi="Arial" w:cs="Arial"/>
          <w:lang w:val="sr-Latn-CS"/>
        </w:rPr>
        <w:t xml:space="preserve"> </w:t>
      </w:r>
      <w:r w:rsidRPr="00A26CE1">
        <w:rPr>
          <w:rFonts w:ascii="Arial" w:hAnsi="Arial" w:cs="Arial"/>
        </w:rPr>
        <w:t>planiranje</w:t>
      </w:r>
      <w:r w:rsidRPr="00D671DB">
        <w:rPr>
          <w:rFonts w:ascii="Arial" w:hAnsi="Arial" w:cs="Arial"/>
          <w:lang w:val="sr-Latn-CS"/>
        </w:rPr>
        <w:t xml:space="preserve"> </w:t>
      </w:r>
      <w:r w:rsidRPr="00A26CE1">
        <w:rPr>
          <w:rFonts w:ascii="Arial" w:hAnsi="Arial" w:cs="Arial"/>
        </w:rPr>
        <w:t>proizvodnje</w:t>
      </w:r>
      <w:r w:rsidRPr="00D671DB">
        <w:rPr>
          <w:rFonts w:ascii="Arial" w:hAnsi="Arial" w:cs="Arial"/>
          <w:lang w:val="sr-Latn-CS"/>
        </w:rPr>
        <w:t xml:space="preserve"> </w:t>
      </w:r>
      <w:r w:rsidRPr="00A26CE1">
        <w:rPr>
          <w:rFonts w:ascii="Arial" w:hAnsi="Arial" w:cs="Arial"/>
        </w:rPr>
        <w:t>i</w:t>
      </w:r>
      <w:r w:rsidRPr="00D671DB">
        <w:rPr>
          <w:rFonts w:ascii="Arial" w:hAnsi="Arial" w:cs="Arial"/>
          <w:lang w:val="sr-Latn-CS"/>
        </w:rPr>
        <w:t xml:space="preserve"> </w:t>
      </w:r>
      <w:r w:rsidRPr="00A26CE1">
        <w:rPr>
          <w:rFonts w:ascii="Arial" w:hAnsi="Arial" w:cs="Arial"/>
        </w:rPr>
        <w:t>snabdijevanje</w:t>
      </w:r>
      <w:r w:rsidRPr="00D671DB">
        <w:rPr>
          <w:rFonts w:ascii="Arial" w:hAnsi="Arial" w:cs="Arial"/>
          <w:lang w:val="sr-Latn-CS"/>
        </w:rPr>
        <w:t xml:space="preserve"> </w:t>
      </w:r>
      <w:r w:rsidRPr="00A26CE1">
        <w:rPr>
          <w:rFonts w:ascii="Arial" w:hAnsi="Arial" w:cs="Arial"/>
        </w:rPr>
        <w:t>primarnim</w:t>
      </w:r>
      <w:r w:rsidRPr="00D671DB">
        <w:rPr>
          <w:rFonts w:ascii="Arial" w:hAnsi="Arial" w:cs="Arial"/>
          <w:lang w:val="sr-Latn-CS"/>
        </w:rPr>
        <w:t xml:space="preserve"> </w:t>
      </w:r>
      <w:r>
        <w:rPr>
          <w:rFonts w:ascii="Arial" w:hAnsi="Arial" w:cs="Arial"/>
        </w:rPr>
        <w:t>kamenim</w:t>
      </w:r>
      <w:r w:rsidRPr="00D671DB">
        <w:rPr>
          <w:rFonts w:ascii="Arial" w:hAnsi="Arial" w:cs="Arial"/>
          <w:lang w:val="sr-Latn-CS"/>
        </w:rPr>
        <w:t xml:space="preserve"> </w:t>
      </w:r>
      <w:r>
        <w:rPr>
          <w:rFonts w:ascii="Arial" w:hAnsi="Arial" w:cs="Arial"/>
        </w:rPr>
        <w:t>agregatima</w:t>
      </w:r>
      <w:r w:rsidRPr="00D671DB">
        <w:rPr>
          <w:rFonts w:ascii="Arial" w:hAnsi="Arial" w:cs="Arial"/>
          <w:lang w:val="sr-Latn-CS"/>
        </w:rPr>
        <w:t xml:space="preserve"> </w:t>
      </w:r>
      <w:r>
        <w:rPr>
          <w:rFonts w:ascii="Arial" w:hAnsi="Arial" w:cs="Arial"/>
        </w:rPr>
        <w:t>u</w:t>
      </w:r>
      <w:r w:rsidRPr="00D671DB">
        <w:rPr>
          <w:rFonts w:ascii="Arial" w:hAnsi="Arial" w:cs="Arial"/>
          <w:lang w:val="sr-Latn-CS"/>
        </w:rPr>
        <w:t xml:space="preserve"> </w:t>
      </w:r>
      <w:r>
        <w:rPr>
          <w:rFonts w:ascii="Arial" w:hAnsi="Arial" w:cs="Arial"/>
        </w:rPr>
        <w:t>Crnoj</w:t>
      </w:r>
      <w:r w:rsidRPr="00D671DB">
        <w:rPr>
          <w:rFonts w:ascii="Arial" w:hAnsi="Arial" w:cs="Arial"/>
          <w:lang w:val="sr-Latn-CS"/>
        </w:rPr>
        <w:t xml:space="preserve"> </w:t>
      </w:r>
      <w:r>
        <w:rPr>
          <w:rFonts w:ascii="Arial" w:hAnsi="Arial" w:cs="Arial"/>
        </w:rPr>
        <w:t>Gori</w:t>
      </w:r>
      <w:r w:rsidRPr="00D671DB">
        <w:rPr>
          <w:rFonts w:ascii="Arial" w:hAnsi="Arial" w:cs="Arial"/>
          <w:lang w:val="sr-Latn-CS"/>
        </w:rPr>
        <w:t xml:space="preserve">” </w:t>
      </w:r>
      <w:r>
        <w:rPr>
          <w:rFonts w:ascii="Arial" w:hAnsi="Arial" w:cs="Arial"/>
        </w:rPr>
        <w:t>ova</w:t>
      </w:r>
      <w:r w:rsidRPr="00D671DB">
        <w:rPr>
          <w:rFonts w:ascii="Arial" w:hAnsi="Arial" w:cs="Arial"/>
          <w:lang w:val="sr-Latn-CS"/>
        </w:rPr>
        <w:t xml:space="preserve"> </w:t>
      </w:r>
      <w:r>
        <w:rPr>
          <w:rFonts w:ascii="Arial" w:hAnsi="Arial" w:cs="Arial"/>
        </w:rPr>
        <w:t>lokacija</w:t>
      </w:r>
      <w:r w:rsidRPr="00D671DB">
        <w:rPr>
          <w:rFonts w:ascii="Arial" w:hAnsi="Arial" w:cs="Arial"/>
          <w:lang w:val="sr-Latn-CS"/>
        </w:rPr>
        <w:t xml:space="preserve"> </w:t>
      </w:r>
      <w:r>
        <w:rPr>
          <w:rFonts w:ascii="Arial" w:hAnsi="Arial" w:cs="Arial"/>
        </w:rPr>
        <w:t>je</w:t>
      </w:r>
      <w:r w:rsidRPr="00D671DB">
        <w:rPr>
          <w:rFonts w:ascii="Arial" w:hAnsi="Arial" w:cs="Arial"/>
          <w:lang w:val="sr-Latn-CS"/>
        </w:rPr>
        <w:t xml:space="preserve"> </w:t>
      </w:r>
      <w:r>
        <w:rPr>
          <w:rFonts w:ascii="Arial" w:hAnsi="Arial" w:cs="Arial"/>
        </w:rPr>
        <w:t>izdvojena</w:t>
      </w:r>
      <w:r w:rsidRPr="00D671DB">
        <w:rPr>
          <w:rFonts w:ascii="Arial" w:hAnsi="Arial" w:cs="Arial"/>
          <w:lang w:val="sr-Latn-CS"/>
        </w:rPr>
        <w:t xml:space="preserve"> </w:t>
      </w:r>
      <w:r>
        <w:rPr>
          <w:rFonts w:ascii="Arial" w:hAnsi="Arial" w:cs="Arial"/>
        </w:rPr>
        <w:t>kao</w:t>
      </w:r>
      <w:r w:rsidRPr="00D671DB">
        <w:rPr>
          <w:rFonts w:ascii="Arial" w:hAnsi="Arial" w:cs="Arial"/>
          <w:lang w:val="sr-Latn-CS"/>
        </w:rPr>
        <w:t xml:space="preserve"> </w:t>
      </w:r>
      <w:r>
        <w:rPr>
          <w:rFonts w:ascii="Arial" w:hAnsi="Arial" w:cs="Arial"/>
        </w:rPr>
        <w:t>perspektivna</w:t>
      </w:r>
      <w:r w:rsidRPr="00D671DB">
        <w:rPr>
          <w:rFonts w:ascii="Arial" w:hAnsi="Arial" w:cs="Arial"/>
          <w:lang w:val="sr-Latn-CS"/>
        </w:rPr>
        <w:t xml:space="preserve">, </w:t>
      </w:r>
      <w:r>
        <w:rPr>
          <w:rFonts w:ascii="Arial" w:hAnsi="Arial" w:cs="Arial"/>
        </w:rPr>
        <w:t>sa</w:t>
      </w:r>
      <w:r w:rsidRPr="00D671DB">
        <w:rPr>
          <w:rFonts w:ascii="Arial" w:hAnsi="Arial" w:cs="Arial"/>
          <w:lang w:val="sr-Latn-CS"/>
        </w:rPr>
        <w:t xml:space="preserve"> </w:t>
      </w:r>
      <w:r>
        <w:rPr>
          <w:rFonts w:ascii="Arial" w:hAnsi="Arial" w:cs="Arial"/>
        </w:rPr>
        <w:t>aspekta</w:t>
      </w:r>
      <w:r w:rsidRPr="00D671DB">
        <w:rPr>
          <w:rFonts w:ascii="Arial" w:hAnsi="Arial" w:cs="Arial"/>
          <w:lang w:val="sr-Latn-CS"/>
        </w:rPr>
        <w:t xml:space="preserve"> </w:t>
      </w:r>
      <w:r>
        <w:rPr>
          <w:rFonts w:ascii="Arial" w:hAnsi="Arial" w:cs="Arial"/>
        </w:rPr>
        <w:t>kori</w:t>
      </w:r>
      <w:r w:rsidRPr="00D671DB">
        <w:rPr>
          <w:rFonts w:ascii="Arial" w:hAnsi="Arial" w:cs="Arial"/>
          <w:lang w:val="sr-Latn-CS"/>
        </w:rPr>
        <w:t>šć</w:t>
      </w:r>
      <w:r>
        <w:rPr>
          <w:rFonts w:ascii="Arial" w:hAnsi="Arial" w:cs="Arial"/>
        </w:rPr>
        <w:t>enja</w:t>
      </w:r>
      <w:r w:rsidRPr="00D671DB">
        <w:rPr>
          <w:rFonts w:ascii="Arial" w:hAnsi="Arial" w:cs="Arial"/>
          <w:lang w:val="sr-Latn-CS"/>
        </w:rPr>
        <w:t xml:space="preserve"> </w:t>
      </w:r>
      <w:r>
        <w:rPr>
          <w:rFonts w:ascii="Arial" w:hAnsi="Arial" w:cs="Arial"/>
        </w:rPr>
        <w:t>tehni</w:t>
      </w:r>
      <w:r w:rsidRPr="00D671DB">
        <w:rPr>
          <w:rFonts w:ascii="Arial" w:hAnsi="Arial" w:cs="Arial"/>
          <w:lang w:val="sr-Latn-CS"/>
        </w:rPr>
        <w:t>č</w:t>
      </w:r>
      <w:r>
        <w:rPr>
          <w:rFonts w:ascii="Arial" w:hAnsi="Arial" w:cs="Arial"/>
        </w:rPr>
        <w:t>ko</w:t>
      </w:r>
      <w:r w:rsidRPr="00D671DB">
        <w:rPr>
          <w:rFonts w:ascii="Arial" w:hAnsi="Arial" w:cs="Arial"/>
          <w:lang w:val="sr-Latn-CS"/>
        </w:rPr>
        <w:t>-</w:t>
      </w:r>
      <w:r>
        <w:rPr>
          <w:rFonts w:ascii="Arial" w:hAnsi="Arial" w:cs="Arial"/>
        </w:rPr>
        <w:t>gra</w:t>
      </w:r>
      <w:r w:rsidRPr="00D671DB">
        <w:rPr>
          <w:rFonts w:ascii="Arial" w:hAnsi="Arial" w:cs="Arial"/>
          <w:lang w:val="sr-Latn-CS"/>
        </w:rPr>
        <w:t>đ</w:t>
      </w:r>
      <w:r>
        <w:rPr>
          <w:rFonts w:ascii="Arial" w:hAnsi="Arial" w:cs="Arial"/>
        </w:rPr>
        <w:t>evinskog</w:t>
      </w:r>
      <w:r w:rsidRPr="00D671DB">
        <w:rPr>
          <w:rFonts w:ascii="Arial" w:hAnsi="Arial" w:cs="Arial"/>
          <w:lang w:val="sr-Latn-CS"/>
        </w:rPr>
        <w:t xml:space="preserve"> </w:t>
      </w:r>
      <w:r>
        <w:rPr>
          <w:rFonts w:ascii="Arial" w:hAnsi="Arial" w:cs="Arial"/>
        </w:rPr>
        <w:t>kamena</w:t>
      </w:r>
      <w:r w:rsidRPr="00D671DB">
        <w:rPr>
          <w:rFonts w:ascii="Arial" w:hAnsi="Arial" w:cs="Arial"/>
          <w:lang w:val="sr-Latn-CS"/>
        </w:rPr>
        <w:t xml:space="preserve">. </w:t>
      </w:r>
      <w:r>
        <w:rPr>
          <w:rFonts w:ascii="Arial" w:hAnsi="Arial" w:cs="Arial"/>
        </w:rPr>
        <w:t>Za</w:t>
      </w:r>
      <w:r w:rsidRPr="00D671DB">
        <w:rPr>
          <w:rFonts w:ascii="Arial" w:hAnsi="Arial" w:cs="Arial"/>
          <w:lang w:val="sr-Latn-CS"/>
        </w:rPr>
        <w:t xml:space="preserve"> </w:t>
      </w:r>
      <w:r>
        <w:rPr>
          <w:rFonts w:ascii="Arial" w:hAnsi="Arial" w:cs="Arial"/>
        </w:rPr>
        <w:t>ispitivanje</w:t>
      </w:r>
      <w:r w:rsidRPr="00D671DB">
        <w:rPr>
          <w:rFonts w:ascii="Arial" w:hAnsi="Arial" w:cs="Arial"/>
          <w:lang w:val="sr-Latn-CS"/>
        </w:rPr>
        <w:t xml:space="preserve"> </w:t>
      </w:r>
      <w:r>
        <w:rPr>
          <w:rFonts w:ascii="Arial" w:hAnsi="Arial" w:cs="Arial"/>
        </w:rPr>
        <w:t>fizi</w:t>
      </w:r>
      <w:r w:rsidRPr="00D671DB">
        <w:rPr>
          <w:rFonts w:ascii="Arial" w:hAnsi="Arial" w:cs="Arial"/>
          <w:lang w:val="sr-Latn-CS"/>
        </w:rPr>
        <w:t>č</w:t>
      </w:r>
      <w:r>
        <w:rPr>
          <w:rFonts w:ascii="Arial" w:hAnsi="Arial" w:cs="Arial"/>
        </w:rPr>
        <w:t>ko</w:t>
      </w:r>
      <w:r w:rsidRPr="00D671DB">
        <w:rPr>
          <w:rFonts w:ascii="Arial" w:hAnsi="Arial" w:cs="Arial"/>
          <w:lang w:val="sr-Latn-CS"/>
        </w:rPr>
        <w:t>-</w:t>
      </w:r>
      <w:r>
        <w:rPr>
          <w:rFonts w:ascii="Arial" w:hAnsi="Arial" w:cs="Arial"/>
        </w:rPr>
        <w:t>mehani</w:t>
      </w:r>
      <w:r w:rsidRPr="00D671DB">
        <w:rPr>
          <w:rFonts w:ascii="Arial" w:hAnsi="Arial" w:cs="Arial"/>
          <w:lang w:val="sr-Latn-CS"/>
        </w:rPr>
        <w:t>č</w:t>
      </w:r>
      <w:r>
        <w:rPr>
          <w:rFonts w:ascii="Arial" w:hAnsi="Arial" w:cs="Arial"/>
        </w:rPr>
        <w:t>kih</w:t>
      </w:r>
      <w:r w:rsidRPr="00D671DB">
        <w:rPr>
          <w:rFonts w:ascii="Arial" w:hAnsi="Arial" w:cs="Arial"/>
          <w:lang w:val="sr-Latn-CS"/>
        </w:rPr>
        <w:t xml:space="preserve"> </w:t>
      </w:r>
      <w:r>
        <w:rPr>
          <w:rFonts w:ascii="Arial" w:hAnsi="Arial" w:cs="Arial"/>
        </w:rPr>
        <w:t>karakteristika</w:t>
      </w:r>
      <w:r w:rsidRPr="00D671DB">
        <w:rPr>
          <w:rFonts w:ascii="Arial" w:hAnsi="Arial" w:cs="Arial"/>
          <w:lang w:val="sr-Latn-CS"/>
        </w:rPr>
        <w:t xml:space="preserve"> </w:t>
      </w:r>
      <w:r>
        <w:rPr>
          <w:rFonts w:ascii="Arial" w:hAnsi="Arial" w:cs="Arial"/>
        </w:rPr>
        <w:t>kamena</w:t>
      </w:r>
      <w:r w:rsidRPr="00D671DB">
        <w:rPr>
          <w:rFonts w:ascii="Arial" w:hAnsi="Arial" w:cs="Arial"/>
          <w:lang w:val="sr-Latn-CS"/>
        </w:rPr>
        <w:t xml:space="preserve"> </w:t>
      </w:r>
      <w:r>
        <w:rPr>
          <w:rFonts w:ascii="Arial" w:hAnsi="Arial" w:cs="Arial"/>
        </w:rPr>
        <w:t>sa</w:t>
      </w:r>
      <w:r w:rsidRPr="00D671DB">
        <w:rPr>
          <w:rFonts w:ascii="Arial" w:hAnsi="Arial" w:cs="Arial"/>
          <w:lang w:val="sr-Latn-CS"/>
        </w:rPr>
        <w:t xml:space="preserve"> </w:t>
      </w:r>
      <w:r>
        <w:rPr>
          <w:rFonts w:ascii="Arial" w:hAnsi="Arial" w:cs="Arial"/>
        </w:rPr>
        <w:t>ove</w:t>
      </w:r>
      <w:r w:rsidRPr="00D671DB">
        <w:rPr>
          <w:rFonts w:ascii="Arial" w:hAnsi="Arial" w:cs="Arial"/>
          <w:lang w:val="sr-Latn-CS"/>
        </w:rPr>
        <w:t xml:space="preserve"> </w:t>
      </w:r>
      <w:r>
        <w:rPr>
          <w:rFonts w:ascii="Arial" w:hAnsi="Arial" w:cs="Arial"/>
        </w:rPr>
        <w:t>lokacije</w:t>
      </w:r>
      <w:r w:rsidRPr="00D671DB">
        <w:rPr>
          <w:rFonts w:ascii="Arial" w:hAnsi="Arial" w:cs="Arial"/>
          <w:lang w:val="sr-Latn-CS"/>
        </w:rPr>
        <w:t xml:space="preserve"> </w:t>
      </w:r>
      <w:r>
        <w:rPr>
          <w:rFonts w:ascii="Arial" w:hAnsi="Arial" w:cs="Arial"/>
        </w:rPr>
        <w:t>uzeta</w:t>
      </w:r>
      <w:r w:rsidRPr="00D671DB">
        <w:rPr>
          <w:rFonts w:ascii="Arial" w:hAnsi="Arial" w:cs="Arial"/>
          <w:lang w:val="sr-Latn-CS"/>
        </w:rPr>
        <w:t xml:space="preserve"> </w:t>
      </w:r>
      <w:r>
        <w:rPr>
          <w:rFonts w:ascii="Arial" w:hAnsi="Arial" w:cs="Arial"/>
        </w:rPr>
        <w:t>je</w:t>
      </w:r>
      <w:r w:rsidRPr="00D671DB">
        <w:rPr>
          <w:rFonts w:ascii="Arial" w:hAnsi="Arial" w:cs="Arial"/>
          <w:lang w:val="sr-Latn-CS"/>
        </w:rPr>
        <w:t xml:space="preserve"> </w:t>
      </w:r>
      <w:r>
        <w:rPr>
          <w:rFonts w:ascii="Arial" w:hAnsi="Arial" w:cs="Arial"/>
        </w:rPr>
        <w:t>jedna</w:t>
      </w:r>
      <w:r w:rsidRPr="00D671DB">
        <w:rPr>
          <w:rFonts w:ascii="Arial" w:hAnsi="Arial" w:cs="Arial"/>
          <w:lang w:val="sr-Latn-CS"/>
        </w:rPr>
        <w:t xml:space="preserve"> </w:t>
      </w:r>
      <w:r>
        <w:rPr>
          <w:rFonts w:ascii="Arial" w:hAnsi="Arial" w:cs="Arial"/>
        </w:rPr>
        <w:t>proba</w:t>
      </w:r>
      <w:r w:rsidRPr="00D671DB">
        <w:rPr>
          <w:rFonts w:ascii="Arial" w:hAnsi="Arial" w:cs="Arial"/>
          <w:lang w:val="sr-Latn-CS"/>
        </w:rPr>
        <w:t xml:space="preserve"> </w:t>
      </w:r>
      <w:r>
        <w:rPr>
          <w:rFonts w:ascii="Arial" w:hAnsi="Arial" w:cs="Arial"/>
        </w:rPr>
        <w:t>za</w:t>
      </w:r>
      <w:r w:rsidRPr="00D671DB">
        <w:rPr>
          <w:rFonts w:ascii="Arial" w:hAnsi="Arial" w:cs="Arial"/>
          <w:lang w:val="sr-Latn-CS"/>
        </w:rPr>
        <w:t xml:space="preserve"> </w:t>
      </w:r>
      <w:r>
        <w:rPr>
          <w:rFonts w:ascii="Arial" w:hAnsi="Arial" w:cs="Arial"/>
        </w:rPr>
        <w:t>kompletna</w:t>
      </w:r>
      <w:r w:rsidRPr="00D671DB">
        <w:rPr>
          <w:rFonts w:ascii="Arial" w:hAnsi="Arial" w:cs="Arial"/>
          <w:lang w:val="sr-Latn-CS"/>
        </w:rPr>
        <w:t xml:space="preserve"> </w:t>
      </w:r>
      <w:r>
        <w:rPr>
          <w:rFonts w:ascii="Arial" w:hAnsi="Arial" w:cs="Arial"/>
        </w:rPr>
        <w:t>ispitivanja</w:t>
      </w:r>
      <w:r w:rsidRPr="00D671DB">
        <w:rPr>
          <w:rFonts w:ascii="Arial" w:hAnsi="Arial" w:cs="Arial"/>
          <w:lang w:val="sr-Latn-CS"/>
        </w:rPr>
        <w:t xml:space="preserve"> </w:t>
      </w:r>
      <w:r>
        <w:rPr>
          <w:rFonts w:ascii="Arial" w:hAnsi="Arial" w:cs="Arial"/>
        </w:rPr>
        <w:t>fizi</w:t>
      </w:r>
      <w:r w:rsidRPr="00D671DB">
        <w:rPr>
          <w:rFonts w:ascii="Arial" w:hAnsi="Arial" w:cs="Arial"/>
          <w:lang w:val="sr-Latn-CS"/>
        </w:rPr>
        <w:t>č</w:t>
      </w:r>
      <w:r>
        <w:rPr>
          <w:rFonts w:ascii="Arial" w:hAnsi="Arial" w:cs="Arial"/>
        </w:rPr>
        <w:t>ko</w:t>
      </w:r>
      <w:r w:rsidRPr="00D671DB">
        <w:rPr>
          <w:rFonts w:ascii="Arial" w:hAnsi="Arial" w:cs="Arial"/>
          <w:lang w:val="sr-Latn-CS"/>
        </w:rPr>
        <w:t>-</w:t>
      </w:r>
      <w:r>
        <w:rPr>
          <w:rFonts w:ascii="Arial" w:hAnsi="Arial" w:cs="Arial"/>
        </w:rPr>
        <w:t>mehani</w:t>
      </w:r>
      <w:r w:rsidRPr="00D671DB">
        <w:rPr>
          <w:rFonts w:ascii="Arial" w:hAnsi="Arial" w:cs="Arial"/>
          <w:lang w:val="sr-Latn-CS"/>
        </w:rPr>
        <w:t>č</w:t>
      </w:r>
      <w:r>
        <w:rPr>
          <w:rFonts w:ascii="Arial" w:hAnsi="Arial" w:cs="Arial"/>
        </w:rPr>
        <w:t>kih</w:t>
      </w:r>
      <w:r w:rsidRPr="00D671DB">
        <w:rPr>
          <w:rFonts w:ascii="Arial" w:hAnsi="Arial" w:cs="Arial"/>
          <w:lang w:val="sr-Latn-CS"/>
        </w:rPr>
        <w:t xml:space="preserve"> </w:t>
      </w:r>
      <w:r>
        <w:rPr>
          <w:rFonts w:ascii="Arial" w:hAnsi="Arial" w:cs="Arial"/>
        </w:rPr>
        <w:t>karakteristika</w:t>
      </w:r>
      <w:r w:rsidRPr="00D671DB">
        <w:rPr>
          <w:rFonts w:ascii="Arial" w:hAnsi="Arial" w:cs="Arial"/>
          <w:lang w:val="sr-Latn-CS"/>
        </w:rPr>
        <w:t>.</w:t>
      </w:r>
    </w:p>
    <w:p w14:paraId="51493788" w14:textId="77777777" w:rsidR="003D5374" w:rsidRPr="00A312A0" w:rsidRDefault="003D5374" w:rsidP="003D5374">
      <w:pPr>
        <w:spacing w:after="0" w:line="240" w:lineRule="auto"/>
        <w:jc w:val="both"/>
        <w:rPr>
          <w:rFonts w:ascii="Arial" w:hAnsi="Arial" w:cs="Arial"/>
          <w:i/>
          <w:lang w:val="sr-Latn-CS"/>
        </w:rPr>
      </w:pPr>
    </w:p>
    <w:p w14:paraId="1EFA1FE5" w14:textId="77777777" w:rsidR="006A4F29" w:rsidRDefault="006A4F29" w:rsidP="003D5374">
      <w:pPr>
        <w:spacing w:after="0" w:line="240" w:lineRule="auto"/>
        <w:jc w:val="both"/>
        <w:rPr>
          <w:rFonts w:ascii="Arial" w:hAnsi="Arial" w:cs="Arial"/>
          <w:lang w:val="sr-Latn-CS"/>
        </w:rPr>
      </w:pPr>
      <w:r w:rsidRPr="00A312A0">
        <w:rPr>
          <w:rFonts w:ascii="Arial" w:hAnsi="Arial" w:cs="Arial"/>
          <w:lang w:val="sr-Latn-CS"/>
        </w:rPr>
        <w:t xml:space="preserve">Na osnovu </w:t>
      </w:r>
      <w:r>
        <w:rPr>
          <w:rFonts w:ascii="Arial" w:hAnsi="Arial" w:cs="Arial"/>
          <w:lang w:val="sr-Latn-CS"/>
        </w:rPr>
        <w:t xml:space="preserve">rezultata laboratorijskih ispitivanja (proba sa oznakom Mk-3/19 za </w:t>
      </w:r>
      <w:r w:rsidRPr="00D750FE">
        <w:rPr>
          <w:rFonts w:ascii="Arial" w:hAnsi="Arial" w:cs="Arial"/>
          <w:lang w:val="sr-Latn-CS"/>
        </w:rPr>
        <w:t>kompletnu analizu</w:t>
      </w:r>
      <w:r>
        <w:rPr>
          <w:rFonts w:ascii="Arial" w:hAnsi="Arial" w:cs="Arial"/>
          <w:lang w:val="sr-Latn-CS"/>
        </w:rPr>
        <w:t xml:space="preserve"> kamena) kao i na osnovu analogije sa sličnim ležištima, </w:t>
      </w:r>
      <w:r w:rsidRPr="00A312A0">
        <w:rPr>
          <w:rFonts w:ascii="Arial" w:hAnsi="Arial" w:cs="Arial"/>
          <w:lang w:val="sr-Latn-CS"/>
        </w:rPr>
        <w:t xml:space="preserve">možemo pretpostaviti da će sirovina sa ovog lokaliteta ispuniti uslove za primjenu kao </w:t>
      </w:r>
      <w:r>
        <w:rPr>
          <w:rFonts w:ascii="Arial" w:hAnsi="Arial" w:cs="Arial"/>
          <w:lang w:val="sr-Latn-CS"/>
        </w:rPr>
        <w:t>tehničko</w:t>
      </w:r>
      <w:r w:rsidRPr="00A312A0">
        <w:rPr>
          <w:rFonts w:ascii="Arial" w:hAnsi="Arial" w:cs="Arial"/>
          <w:lang w:val="sr-Latn-CS"/>
        </w:rPr>
        <w:t xml:space="preserve">-građevinski kamen. </w:t>
      </w:r>
      <w:r>
        <w:rPr>
          <w:rFonts w:ascii="Arial" w:hAnsi="Arial" w:cs="Arial"/>
          <w:lang w:val="sr-Latn-CS"/>
        </w:rPr>
        <w:t>Konačno mišljenje o upotrebljivosti i kvalitetu</w:t>
      </w:r>
      <w:r w:rsidRPr="00A312A0">
        <w:rPr>
          <w:rFonts w:ascii="Arial" w:hAnsi="Arial" w:cs="Arial"/>
          <w:lang w:val="sr-Latn-CS"/>
        </w:rPr>
        <w:t xml:space="preserve"> dobiti kroz </w:t>
      </w:r>
      <w:r>
        <w:rPr>
          <w:rFonts w:ascii="Arial" w:hAnsi="Arial" w:cs="Arial"/>
          <w:lang w:val="sr-Latn-CS"/>
        </w:rPr>
        <w:t xml:space="preserve">detaljna geološka istraživanja u okviru kojih će se vršiti </w:t>
      </w:r>
      <w:r w:rsidRPr="00A312A0">
        <w:rPr>
          <w:rFonts w:ascii="Arial" w:hAnsi="Arial" w:cs="Arial"/>
          <w:lang w:val="sr-Latn-CS"/>
        </w:rPr>
        <w:t>ispitivanje kvaliteta</w:t>
      </w:r>
      <w:r>
        <w:rPr>
          <w:rFonts w:ascii="Arial" w:hAnsi="Arial" w:cs="Arial"/>
          <w:lang w:val="sr-Latn-CS"/>
        </w:rPr>
        <w:t>,</w:t>
      </w:r>
      <w:r w:rsidRPr="00A312A0">
        <w:rPr>
          <w:rFonts w:ascii="Arial" w:hAnsi="Arial" w:cs="Arial"/>
          <w:lang w:val="sr-Latn-CS"/>
        </w:rPr>
        <w:t xml:space="preserve"> u skladu sa važećim standardima</w:t>
      </w:r>
      <w:r>
        <w:rPr>
          <w:rFonts w:ascii="Arial" w:hAnsi="Arial" w:cs="Arial"/>
          <w:lang w:val="sr-Latn-CS"/>
        </w:rPr>
        <w:t>.</w:t>
      </w:r>
    </w:p>
    <w:p w14:paraId="4480CB7B" w14:textId="00E44AEE" w:rsidR="00741FD4" w:rsidRPr="00D671DB" w:rsidRDefault="00741FD4" w:rsidP="003D5374">
      <w:pPr>
        <w:spacing w:after="0" w:line="240" w:lineRule="auto"/>
        <w:jc w:val="both"/>
        <w:rPr>
          <w:rFonts w:ascii="Arial" w:hAnsi="Arial" w:cs="Arial"/>
          <w:lang w:val="sr-Latn-CS"/>
        </w:rPr>
      </w:pPr>
      <w:bookmarkStart w:id="30" w:name="_Toc402262958"/>
      <w:r w:rsidRPr="00D14F43">
        <w:rPr>
          <w:rFonts w:ascii="Arial" w:hAnsi="Arial" w:cs="Arial"/>
        </w:rPr>
        <w:t>Da</w:t>
      </w:r>
      <w:r w:rsidRPr="00D671DB">
        <w:rPr>
          <w:rFonts w:ascii="Arial" w:hAnsi="Arial" w:cs="Arial"/>
          <w:lang w:val="sr-Latn-CS"/>
        </w:rPr>
        <w:t xml:space="preserve"> </w:t>
      </w:r>
      <w:r w:rsidRPr="00D14F43">
        <w:rPr>
          <w:rFonts w:ascii="Arial" w:hAnsi="Arial" w:cs="Arial"/>
        </w:rPr>
        <w:t>bi</w:t>
      </w:r>
      <w:r w:rsidRPr="00D671DB">
        <w:rPr>
          <w:rFonts w:ascii="Arial" w:hAnsi="Arial" w:cs="Arial"/>
          <w:lang w:val="sr-Latn-CS"/>
        </w:rPr>
        <w:t xml:space="preserve"> </w:t>
      </w:r>
      <w:r w:rsidRPr="00D14F43">
        <w:rPr>
          <w:rFonts w:ascii="Arial" w:hAnsi="Arial" w:cs="Arial"/>
        </w:rPr>
        <w:t>se</w:t>
      </w:r>
      <w:r w:rsidRPr="00D671DB">
        <w:rPr>
          <w:rFonts w:ascii="Arial" w:hAnsi="Arial" w:cs="Arial"/>
          <w:lang w:val="sr-Latn-CS"/>
        </w:rPr>
        <w:t xml:space="preserve"> </w:t>
      </w:r>
      <w:r w:rsidRPr="00D14F43">
        <w:rPr>
          <w:rFonts w:ascii="Arial" w:hAnsi="Arial" w:cs="Arial"/>
        </w:rPr>
        <w:t>dostigao</w:t>
      </w:r>
      <w:r w:rsidRPr="00D671DB">
        <w:rPr>
          <w:rFonts w:ascii="Arial" w:hAnsi="Arial" w:cs="Arial"/>
          <w:lang w:val="sr-Latn-CS"/>
        </w:rPr>
        <w:t xml:space="preserve"> </w:t>
      </w:r>
      <w:r w:rsidRPr="00D14F43">
        <w:rPr>
          <w:rFonts w:ascii="Arial" w:hAnsi="Arial" w:cs="Arial"/>
        </w:rPr>
        <w:t>optimalni</w:t>
      </w:r>
      <w:r w:rsidRPr="00D671DB">
        <w:rPr>
          <w:rFonts w:ascii="Arial" w:hAnsi="Arial" w:cs="Arial"/>
          <w:lang w:val="sr-Latn-CS"/>
        </w:rPr>
        <w:t xml:space="preserve"> </w:t>
      </w:r>
      <w:r w:rsidRPr="00D14F43">
        <w:rPr>
          <w:rFonts w:ascii="Arial" w:hAnsi="Arial" w:cs="Arial"/>
        </w:rPr>
        <w:t>stepen</w:t>
      </w:r>
      <w:r w:rsidRPr="00D671DB">
        <w:rPr>
          <w:rFonts w:ascii="Arial" w:hAnsi="Arial" w:cs="Arial"/>
          <w:lang w:val="sr-Latn-CS"/>
        </w:rPr>
        <w:t xml:space="preserve"> </w:t>
      </w:r>
      <w:r w:rsidRPr="00D14F43">
        <w:rPr>
          <w:rFonts w:ascii="Arial" w:hAnsi="Arial" w:cs="Arial"/>
        </w:rPr>
        <w:t>poznavanja</w:t>
      </w:r>
      <w:r w:rsidRPr="00D671DB">
        <w:rPr>
          <w:rFonts w:ascii="Arial" w:hAnsi="Arial" w:cs="Arial"/>
          <w:lang w:val="sr-Latn-CS"/>
        </w:rPr>
        <w:t xml:space="preserve"> </w:t>
      </w:r>
      <w:r w:rsidRPr="00D14F43">
        <w:rPr>
          <w:rFonts w:ascii="Arial" w:hAnsi="Arial" w:cs="Arial"/>
        </w:rPr>
        <w:t>le</w:t>
      </w:r>
      <w:r w:rsidRPr="00D671DB">
        <w:rPr>
          <w:rFonts w:ascii="Arial" w:hAnsi="Arial" w:cs="Arial"/>
          <w:lang w:val="sr-Latn-CS"/>
        </w:rPr>
        <w:t>ž</w:t>
      </w:r>
      <w:r w:rsidRPr="00D14F43">
        <w:rPr>
          <w:rFonts w:ascii="Arial" w:hAnsi="Arial" w:cs="Arial"/>
        </w:rPr>
        <w:t>i</w:t>
      </w:r>
      <w:r w:rsidRPr="00D671DB">
        <w:rPr>
          <w:rFonts w:ascii="Arial" w:hAnsi="Arial" w:cs="Arial"/>
          <w:lang w:val="sr-Latn-CS"/>
        </w:rPr>
        <w:t>š</w:t>
      </w:r>
      <w:r w:rsidRPr="00D14F43">
        <w:rPr>
          <w:rFonts w:ascii="Arial" w:hAnsi="Arial" w:cs="Arial"/>
        </w:rPr>
        <w:t>ta</w:t>
      </w:r>
      <w:r w:rsidRPr="00D671DB">
        <w:rPr>
          <w:rFonts w:ascii="Arial" w:hAnsi="Arial" w:cs="Arial"/>
          <w:lang w:val="sr-Latn-CS"/>
        </w:rPr>
        <w:t xml:space="preserve"> </w:t>
      </w:r>
      <w:r w:rsidRPr="00D14F43">
        <w:rPr>
          <w:rFonts w:ascii="Arial" w:hAnsi="Arial" w:cs="Arial"/>
        </w:rPr>
        <w:t>u</w:t>
      </w:r>
      <w:r w:rsidRPr="00D671DB">
        <w:rPr>
          <w:rFonts w:ascii="Arial" w:hAnsi="Arial" w:cs="Arial"/>
          <w:lang w:val="sr-Latn-CS"/>
        </w:rPr>
        <w:t xml:space="preserve"> </w:t>
      </w:r>
      <w:r w:rsidRPr="00D14F43">
        <w:rPr>
          <w:rFonts w:ascii="Arial" w:hAnsi="Arial" w:cs="Arial"/>
        </w:rPr>
        <w:t>smislu</w:t>
      </w:r>
      <w:r w:rsidRPr="00D671DB">
        <w:rPr>
          <w:rFonts w:ascii="Arial" w:hAnsi="Arial" w:cs="Arial"/>
          <w:lang w:val="sr-Latn-CS"/>
        </w:rPr>
        <w:t xml:space="preserve"> </w:t>
      </w:r>
      <w:r w:rsidRPr="00D14F43">
        <w:rPr>
          <w:rFonts w:ascii="Arial" w:hAnsi="Arial" w:cs="Arial"/>
        </w:rPr>
        <w:t>rezervi</w:t>
      </w:r>
      <w:r w:rsidRPr="00D671DB">
        <w:rPr>
          <w:rFonts w:ascii="Arial" w:hAnsi="Arial" w:cs="Arial"/>
          <w:lang w:val="sr-Latn-CS"/>
        </w:rPr>
        <w:t xml:space="preserve"> </w:t>
      </w:r>
      <w:r w:rsidRPr="00D14F43">
        <w:rPr>
          <w:rFonts w:ascii="Arial" w:hAnsi="Arial" w:cs="Arial"/>
        </w:rPr>
        <w:t>i</w:t>
      </w:r>
      <w:r w:rsidRPr="00D671DB">
        <w:rPr>
          <w:rFonts w:ascii="Arial" w:hAnsi="Arial" w:cs="Arial"/>
          <w:lang w:val="sr-Latn-CS"/>
        </w:rPr>
        <w:t xml:space="preserve"> </w:t>
      </w:r>
      <w:r w:rsidRPr="00D14F43">
        <w:rPr>
          <w:rFonts w:ascii="Arial" w:hAnsi="Arial" w:cs="Arial"/>
        </w:rPr>
        <w:t>kvaliteta</w:t>
      </w:r>
      <w:r w:rsidRPr="00D671DB">
        <w:rPr>
          <w:rFonts w:ascii="Arial" w:hAnsi="Arial" w:cs="Arial"/>
          <w:lang w:val="sr-Latn-CS"/>
        </w:rPr>
        <w:t xml:space="preserve">, </w:t>
      </w:r>
      <w:r w:rsidRPr="00D14F43">
        <w:rPr>
          <w:rFonts w:ascii="Arial" w:hAnsi="Arial" w:cs="Arial"/>
        </w:rPr>
        <w:t>le</w:t>
      </w:r>
      <w:r w:rsidRPr="00D671DB">
        <w:rPr>
          <w:rFonts w:ascii="Arial" w:hAnsi="Arial" w:cs="Arial"/>
          <w:lang w:val="sr-Latn-CS"/>
        </w:rPr>
        <w:t>ž</w:t>
      </w:r>
      <w:r w:rsidRPr="00D14F43">
        <w:rPr>
          <w:rFonts w:ascii="Arial" w:hAnsi="Arial" w:cs="Arial"/>
        </w:rPr>
        <w:t>i</w:t>
      </w:r>
      <w:r w:rsidRPr="00D671DB">
        <w:rPr>
          <w:rFonts w:ascii="Arial" w:hAnsi="Arial" w:cs="Arial"/>
          <w:lang w:val="sr-Latn-CS"/>
        </w:rPr>
        <w:t>š</w:t>
      </w:r>
      <w:r w:rsidRPr="00D14F43">
        <w:rPr>
          <w:rFonts w:ascii="Arial" w:hAnsi="Arial" w:cs="Arial"/>
        </w:rPr>
        <w:t>nih</w:t>
      </w:r>
      <w:r w:rsidRPr="00D671DB">
        <w:rPr>
          <w:rFonts w:ascii="Arial" w:hAnsi="Arial" w:cs="Arial"/>
          <w:lang w:val="sr-Latn-CS"/>
        </w:rPr>
        <w:t xml:space="preserve"> </w:t>
      </w:r>
      <w:r w:rsidRPr="00D14F43">
        <w:rPr>
          <w:rFonts w:ascii="Arial" w:hAnsi="Arial" w:cs="Arial"/>
        </w:rPr>
        <w:t>uslova</w:t>
      </w:r>
      <w:r w:rsidRPr="00D671DB">
        <w:rPr>
          <w:rFonts w:ascii="Arial" w:hAnsi="Arial" w:cs="Arial"/>
          <w:lang w:val="sr-Latn-CS"/>
        </w:rPr>
        <w:t xml:space="preserve"> </w:t>
      </w:r>
      <w:r w:rsidRPr="00D14F43">
        <w:rPr>
          <w:rFonts w:ascii="Arial" w:hAnsi="Arial" w:cs="Arial"/>
        </w:rPr>
        <w:t>i</w:t>
      </w:r>
      <w:r w:rsidRPr="00D671DB">
        <w:rPr>
          <w:rFonts w:ascii="Arial" w:hAnsi="Arial" w:cs="Arial"/>
          <w:lang w:val="sr-Latn-CS"/>
        </w:rPr>
        <w:t xml:space="preserve"> </w:t>
      </w:r>
      <w:r w:rsidRPr="00D14F43">
        <w:rPr>
          <w:rFonts w:ascii="Arial" w:hAnsi="Arial" w:cs="Arial"/>
        </w:rPr>
        <w:t>u</w:t>
      </w:r>
      <w:r w:rsidRPr="00D671DB">
        <w:rPr>
          <w:rFonts w:ascii="Arial" w:hAnsi="Arial" w:cs="Arial"/>
          <w:lang w:val="sr-Latn-CS"/>
        </w:rPr>
        <w:t xml:space="preserve"> </w:t>
      </w:r>
      <w:r w:rsidRPr="00D14F43">
        <w:rPr>
          <w:rFonts w:ascii="Arial" w:hAnsi="Arial" w:cs="Arial"/>
        </w:rPr>
        <w:t>vezi</w:t>
      </w:r>
      <w:r w:rsidRPr="00D671DB">
        <w:rPr>
          <w:rFonts w:ascii="Arial" w:hAnsi="Arial" w:cs="Arial"/>
          <w:lang w:val="sr-Latn-CS"/>
        </w:rPr>
        <w:t xml:space="preserve"> </w:t>
      </w:r>
      <w:r w:rsidRPr="00D14F43">
        <w:rPr>
          <w:rFonts w:ascii="Arial" w:hAnsi="Arial" w:cs="Arial"/>
        </w:rPr>
        <w:t>sa</w:t>
      </w:r>
      <w:r w:rsidRPr="00D671DB">
        <w:rPr>
          <w:rFonts w:ascii="Arial" w:hAnsi="Arial" w:cs="Arial"/>
          <w:lang w:val="sr-Latn-CS"/>
        </w:rPr>
        <w:t xml:space="preserve"> </w:t>
      </w:r>
      <w:r w:rsidRPr="00D14F43">
        <w:rPr>
          <w:rFonts w:ascii="Arial" w:hAnsi="Arial" w:cs="Arial"/>
        </w:rPr>
        <w:t>tim</w:t>
      </w:r>
      <w:r w:rsidRPr="00D671DB">
        <w:rPr>
          <w:rFonts w:ascii="Arial" w:hAnsi="Arial" w:cs="Arial"/>
          <w:lang w:val="sr-Latn-CS"/>
        </w:rPr>
        <w:t xml:space="preserve"> </w:t>
      </w:r>
      <w:r w:rsidRPr="00D14F43">
        <w:rPr>
          <w:rFonts w:ascii="Arial" w:hAnsi="Arial" w:cs="Arial"/>
        </w:rPr>
        <w:t>mogu</w:t>
      </w:r>
      <w:r w:rsidRPr="00D671DB">
        <w:rPr>
          <w:rFonts w:ascii="Arial" w:hAnsi="Arial" w:cs="Arial"/>
          <w:lang w:val="sr-Latn-CS"/>
        </w:rPr>
        <w:t>ć</w:t>
      </w:r>
      <w:r w:rsidRPr="00D14F43">
        <w:rPr>
          <w:rFonts w:ascii="Arial" w:hAnsi="Arial" w:cs="Arial"/>
        </w:rPr>
        <w:t>nosti</w:t>
      </w:r>
      <w:r w:rsidRPr="00D671DB">
        <w:rPr>
          <w:rFonts w:ascii="Arial" w:hAnsi="Arial" w:cs="Arial"/>
          <w:lang w:val="sr-Latn-CS"/>
        </w:rPr>
        <w:t xml:space="preserve"> </w:t>
      </w:r>
      <w:r w:rsidRPr="00D14F43">
        <w:rPr>
          <w:rFonts w:ascii="Arial" w:hAnsi="Arial" w:cs="Arial"/>
        </w:rPr>
        <w:t>primjene</w:t>
      </w:r>
      <w:r w:rsidRPr="00D671DB">
        <w:rPr>
          <w:rFonts w:ascii="Arial" w:hAnsi="Arial" w:cs="Arial"/>
          <w:lang w:val="sr-Latn-CS"/>
        </w:rPr>
        <w:t xml:space="preserve"> </w:t>
      </w:r>
      <w:r w:rsidRPr="00D14F43">
        <w:rPr>
          <w:rFonts w:ascii="Arial" w:hAnsi="Arial" w:cs="Arial"/>
        </w:rPr>
        <w:t>i</w:t>
      </w:r>
      <w:r w:rsidRPr="00D671DB">
        <w:rPr>
          <w:rFonts w:ascii="Arial" w:hAnsi="Arial" w:cs="Arial"/>
          <w:lang w:val="sr-Latn-CS"/>
        </w:rPr>
        <w:t xml:space="preserve"> </w:t>
      </w:r>
      <w:r w:rsidRPr="00D14F43">
        <w:rPr>
          <w:rFonts w:ascii="Arial" w:hAnsi="Arial" w:cs="Arial"/>
        </w:rPr>
        <w:t>plasmana</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 xml:space="preserve"> </w:t>
      </w:r>
      <w:r w:rsidRPr="00D14F43">
        <w:rPr>
          <w:rFonts w:ascii="Arial" w:hAnsi="Arial" w:cs="Arial"/>
        </w:rPr>
        <w:t>tr</w:t>
      </w:r>
      <w:r w:rsidRPr="00D671DB">
        <w:rPr>
          <w:rFonts w:ascii="Arial" w:hAnsi="Arial" w:cs="Arial"/>
          <w:lang w:val="sr-Latn-CS"/>
        </w:rPr>
        <w:t>ž</w:t>
      </w:r>
      <w:r w:rsidRPr="00D14F43">
        <w:rPr>
          <w:rFonts w:ascii="Arial" w:hAnsi="Arial" w:cs="Arial"/>
        </w:rPr>
        <w:t>i</w:t>
      </w:r>
      <w:r w:rsidRPr="00D671DB">
        <w:rPr>
          <w:rFonts w:ascii="Arial" w:hAnsi="Arial" w:cs="Arial"/>
          <w:lang w:val="sr-Latn-CS"/>
        </w:rPr>
        <w:t>š</w:t>
      </w:r>
      <w:r w:rsidRPr="00D14F43">
        <w:rPr>
          <w:rFonts w:ascii="Arial" w:hAnsi="Arial" w:cs="Arial"/>
        </w:rPr>
        <w:t>tu</w:t>
      </w:r>
      <w:r w:rsidRPr="00D671DB">
        <w:rPr>
          <w:rFonts w:ascii="Arial" w:hAnsi="Arial" w:cs="Arial"/>
          <w:lang w:val="sr-Latn-CS"/>
        </w:rPr>
        <w:t xml:space="preserve">, </w:t>
      </w:r>
      <w:r w:rsidRPr="00D14F43">
        <w:rPr>
          <w:rFonts w:ascii="Arial" w:hAnsi="Arial" w:cs="Arial"/>
        </w:rPr>
        <w:t>potrebno</w:t>
      </w:r>
      <w:r w:rsidRPr="00D671DB">
        <w:rPr>
          <w:rFonts w:ascii="Arial" w:hAnsi="Arial" w:cs="Arial"/>
          <w:lang w:val="sr-Latn-CS"/>
        </w:rPr>
        <w:t xml:space="preserve"> </w:t>
      </w:r>
      <w:r w:rsidRPr="00D14F43">
        <w:rPr>
          <w:rFonts w:ascii="Arial" w:hAnsi="Arial" w:cs="Arial"/>
        </w:rPr>
        <w:t>je</w:t>
      </w:r>
      <w:r w:rsidRPr="00D671DB">
        <w:rPr>
          <w:rFonts w:ascii="Arial" w:hAnsi="Arial" w:cs="Arial"/>
          <w:lang w:val="sr-Latn-CS"/>
        </w:rPr>
        <w:t xml:space="preserve"> </w:t>
      </w:r>
      <w:r w:rsidRPr="00D14F43">
        <w:rPr>
          <w:rFonts w:ascii="Arial" w:hAnsi="Arial" w:cs="Arial"/>
        </w:rPr>
        <w:t>izvr</w:t>
      </w:r>
      <w:r w:rsidRPr="00D671DB">
        <w:rPr>
          <w:rFonts w:ascii="Arial" w:hAnsi="Arial" w:cs="Arial"/>
          <w:lang w:val="sr-Latn-CS"/>
        </w:rPr>
        <w:t>š</w:t>
      </w:r>
      <w:r w:rsidRPr="00D14F43">
        <w:rPr>
          <w:rFonts w:ascii="Arial" w:hAnsi="Arial" w:cs="Arial"/>
        </w:rPr>
        <w:t>iti</w:t>
      </w:r>
      <w:r w:rsidRPr="00D671DB">
        <w:rPr>
          <w:rFonts w:ascii="Arial" w:hAnsi="Arial" w:cs="Arial"/>
          <w:lang w:val="sr-Latn-CS"/>
        </w:rPr>
        <w:t xml:space="preserve"> </w:t>
      </w:r>
      <w:r w:rsidRPr="00D14F43">
        <w:rPr>
          <w:rFonts w:ascii="Arial" w:hAnsi="Arial" w:cs="Arial"/>
        </w:rPr>
        <w:t>detaljna</w:t>
      </w:r>
      <w:r w:rsidRPr="00D671DB">
        <w:rPr>
          <w:rFonts w:ascii="Arial" w:hAnsi="Arial" w:cs="Arial"/>
          <w:lang w:val="sr-Latn-CS"/>
        </w:rPr>
        <w:t xml:space="preserve"> </w:t>
      </w:r>
      <w:r w:rsidRPr="00D14F43">
        <w:rPr>
          <w:rFonts w:ascii="Arial" w:hAnsi="Arial" w:cs="Arial"/>
        </w:rPr>
        <w:t>geolo</w:t>
      </w:r>
      <w:r w:rsidRPr="00D671DB">
        <w:rPr>
          <w:rFonts w:ascii="Arial" w:hAnsi="Arial" w:cs="Arial"/>
          <w:lang w:val="sr-Latn-CS"/>
        </w:rPr>
        <w:t>š</w:t>
      </w:r>
      <w:r w:rsidRPr="00D14F43">
        <w:rPr>
          <w:rFonts w:ascii="Arial" w:hAnsi="Arial" w:cs="Arial"/>
        </w:rPr>
        <w:t>ka</w:t>
      </w:r>
      <w:r w:rsidRPr="00D671DB">
        <w:rPr>
          <w:rFonts w:ascii="Arial" w:hAnsi="Arial" w:cs="Arial"/>
          <w:lang w:val="sr-Latn-CS"/>
        </w:rPr>
        <w:t xml:space="preserve"> </w:t>
      </w:r>
      <w:r w:rsidRPr="00D14F43">
        <w:rPr>
          <w:rFonts w:ascii="Arial" w:hAnsi="Arial" w:cs="Arial"/>
        </w:rPr>
        <w:t>istra</w:t>
      </w:r>
      <w:r w:rsidRPr="00D671DB">
        <w:rPr>
          <w:rFonts w:ascii="Arial" w:hAnsi="Arial" w:cs="Arial"/>
          <w:lang w:val="sr-Latn-CS"/>
        </w:rPr>
        <w:t>ž</w:t>
      </w:r>
      <w:r w:rsidRPr="00D14F43">
        <w:rPr>
          <w:rFonts w:ascii="Arial" w:hAnsi="Arial" w:cs="Arial"/>
        </w:rPr>
        <w:t>ivanja</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 xml:space="preserve"> </w:t>
      </w:r>
      <w:r w:rsidRPr="00D14F43">
        <w:rPr>
          <w:rFonts w:ascii="Arial" w:hAnsi="Arial" w:cs="Arial"/>
        </w:rPr>
        <w:t>na</w:t>
      </w:r>
      <w:r w:rsidRPr="00D671DB">
        <w:rPr>
          <w:rFonts w:ascii="Arial" w:hAnsi="Arial" w:cs="Arial"/>
          <w:lang w:val="sr-Latn-CS"/>
        </w:rPr>
        <w:t>č</w:t>
      </w:r>
      <w:r w:rsidRPr="00D14F43">
        <w:rPr>
          <w:rFonts w:ascii="Arial" w:hAnsi="Arial" w:cs="Arial"/>
        </w:rPr>
        <w:t>in</w:t>
      </w:r>
      <w:r w:rsidRPr="00D671DB">
        <w:rPr>
          <w:rFonts w:ascii="Arial" w:hAnsi="Arial" w:cs="Arial"/>
          <w:lang w:val="sr-Latn-CS"/>
        </w:rPr>
        <w:t xml:space="preserve"> </w:t>
      </w:r>
      <w:r w:rsidRPr="00D14F43">
        <w:rPr>
          <w:rFonts w:ascii="Arial" w:hAnsi="Arial" w:cs="Arial"/>
        </w:rPr>
        <w:t>i</w:t>
      </w:r>
      <w:r w:rsidRPr="00D671DB">
        <w:rPr>
          <w:rFonts w:ascii="Arial" w:hAnsi="Arial" w:cs="Arial"/>
          <w:lang w:val="sr-Latn-CS"/>
        </w:rPr>
        <w:t xml:space="preserve"> </w:t>
      </w:r>
      <w:r w:rsidRPr="00D14F43">
        <w:rPr>
          <w:rFonts w:ascii="Arial" w:hAnsi="Arial" w:cs="Arial"/>
        </w:rPr>
        <w:t>u</w:t>
      </w:r>
      <w:r w:rsidRPr="00D671DB">
        <w:rPr>
          <w:rFonts w:ascii="Arial" w:hAnsi="Arial" w:cs="Arial"/>
          <w:lang w:val="sr-Latn-CS"/>
        </w:rPr>
        <w:t xml:space="preserve"> </w:t>
      </w:r>
      <w:r w:rsidRPr="00D14F43">
        <w:rPr>
          <w:rFonts w:ascii="Arial" w:hAnsi="Arial" w:cs="Arial"/>
        </w:rPr>
        <w:t>obimu</w:t>
      </w:r>
      <w:r w:rsidRPr="00D671DB">
        <w:rPr>
          <w:rFonts w:ascii="Arial" w:hAnsi="Arial" w:cs="Arial"/>
          <w:lang w:val="sr-Latn-CS"/>
        </w:rPr>
        <w:t xml:space="preserve"> </w:t>
      </w:r>
      <w:r w:rsidRPr="00D14F43">
        <w:rPr>
          <w:rFonts w:ascii="Arial" w:hAnsi="Arial" w:cs="Arial"/>
        </w:rPr>
        <w:t>koji</w:t>
      </w:r>
      <w:r w:rsidRPr="00D671DB">
        <w:rPr>
          <w:rFonts w:ascii="Arial" w:hAnsi="Arial" w:cs="Arial"/>
          <w:lang w:val="sr-Latn-CS"/>
        </w:rPr>
        <w:t xml:space="preserve"> ć</w:t>
      </w:r>
      <w:r w:rsidRPr="00D14F43">
        <w:rPr>
          <w:rFonts w:ascii="Arial" w:hAnsi="Arial" w:cs="Arial"/>
        </w:rPr>
        <w:t>e</w:t>
      </w:r>
      <w:r w:rsidRPr="00D671DB">
        <w:rPr>
          <w:rFonts w:ascii="Arial" w:hAnsi="Arial" w:cs="Arial"/>
          <w:lang w:val="sr-Latn-CS"/>
        </w:rPr>
        <w:t xml:space="preserve"> </w:t>
      </w:r>
      <w:r w:rsidRPr="00D14F43">
        <w:rPr>
          <w:rFonts w:ascii="Arial" w:hAnsi="Arial" w:cs="Arial"/>
        </w:rPr>
        <w:t>se</w:t>
      </w:r>
      <w:r w:rsidRPr="00D671DB">
        <w:rPr>
          <w:rFonts w:ascii="Arial" w:hAnsi="Arial" w:cs="Arial"/>
          <w:lang w:val="sr-Latn-CS"/>
        </w:rPr>
        <w:t xml:space="preserve"> </w:t>
      </w:r>
      <w:r w:rsidRPr="00D14F43">
        <w:rPr>
          <w:rFonts w:ascii="Arial" w:hAnsi="Arial" w:cs="Arial"/>
        </w:rPr>
        <w:t>definisati</w:t>
      </w:r>
      <w:r w:rsidRPr="00D671DB">
        <w:rPr>
          <w:rFonts w:ascii="Arial" w:hAnsi="Arial" w:cs="Arial"/>
          <w:lang w:val="sr-Latn-CS"/>
        </w:rPr>
        <w:t xml:space="preserve"> </w:t>
      </w:r>
      <w:r w:rsidRPr="00D14F43">
        <w:rPr>
          <w:rFonts w:ascii="Arial" w:hAnsi="Arial" w:cs="Arial"/>
        </w:rPr>
        <w:t>Projektom</w:t>
      </w:r>
      <w:r w:rsidRPr="00D671DB">
        <w:rPr>
          <w:rFonts w:ascii="Arial" w:hAnsi="Arial" w:cs="Arial"/>
          <w:lang w:val="sr-Latn-CS"/>
        </w:rPr>
        <w:t xml:space="preserve"> </w:t>
      </w:r>
      <w:r w:rsidRPr="00D14F43">
        <w:rPr>
          <w:rFonts w:ascii="Arial" w:hAnsi="Arial" w:cs="Arial"/>
        </w:rPr>
        <w:t>detaljnih</w:t>
      </w:r>
      <w:r w:rsidRPr="00D671DB">
        <w:rPr>
          <w:rFonts w:ascii="Arial" w:hAnsi="Arial" w:cs="Arial"/>
          <w:lang w:val="sr-Latn-CS"/>
        </w:rPr>
        <w:t xml:space="preserve"> </w:t>
      </w:r>
      <w:r w:rsidRPr="00D14F43">
        <w:rPr>
          <w:rFonts w:ascii="Arial" w:hAnsi="Arial" w:cs="Arial"/>
        </w:rPr>
        <w:t>geolo</w:t>
      </w:r>
      <w:r w:rsidRPr="00D671DB">
        <w:rPr>
          <w:rFonts w:ascii="Arial" w:hAnsi="Arial" w:cs="Arial"/>
          <w:lang w:val="sr-Latn-CS"/>
        </w:rPr>
        <w:t>š</w:t>
      </w:r>
      <w:r w:rsidRPr="00D14F43">
        <w:rPr>
          <w:rFonts w:ascii="Arial" w:hAnsi="Arial" w:cs="Arial"/>
        </w:rPr>
        <w:t>kih</w:t>
      </w:r>
      <w:r w:rsidRPr="00D671DB">
        <w:rPr>
          <w:rFonts w:ascii="Arial" w:hAnsi="Arial" w:cs="Arial"/>
          <w:lang w:val="sr-Latn-CS"/>
        </w:rPr>
        <w:t xml:space="preserve"> </w:t>
      </w:r>
      <w:r w:rsidRPr="00D14F43">
        <w:rPr>
          <w:rFonts w:ascii="Arial" w:hAnsi="Arial" w:cs="Arial"/>
        </w:rPr>
        <w:t>istra</w:t>
      </w:r>
      <w:r w:rsidRPr="00D671DB">
        <w:rPr>
          <w:rFonts w:ascii="Arial" w:hAnsi="Arial" w:cs="Arial"/>
          <w:lang w:val="sr-Latn-CS"/>
        </w:rPr>
        <w:t>ž</w:t>
      </w:r>
      <w:r w:rsidRPr="00D14F43">
        <w:rPr>
          <w:rFonts w:ascii="Arial" w:hAnsi="Arial" w:cs="Arial"/>
        </w:rPr>
        <w:t>ivanja</w:t>
      </w:r>
      <w:r w:rsidRPr="00D671DB">
        <w:rPr>
          <w:rFonts w:ascii="Arial" w:hAnsi="Arial" w:cs="Arial"/>
          <w:lang w:val="sr-Latn-CS"/>
        </w:rPr>
        <w:t>.</w:t>
      </w:r>
    </w:p>
    <w:p w14:paraId="511B3CDD" w14:textId="77777777" w:rsidR="003D5374" w:rsidRPr="00D671DB" w:rsidRDefault="003D5374" w:rsidP="003D5374">
      <w:pPr>
        <w:spacing w:after="0" w:line="240" w:lineRule="auto"/>
        <w:jc w:val="both"/>
        <w:rPr>
          <w:rFonts w:ascii="Arial" w:hAnsi="Arial" w:cs="Arial"/>
          <w:lang w:val="sr-Latn-CS"/>
        </w:rPr>
      </w:pPr>
    </w:p>
    <w:p w14:paraId="1C0B13D0" w14:textId="1CFAD12A" w:rsidR="00741FD4" w:rsidRPr="00B20E38" w:rsidRDefault="00741FD4" w:rsidP="003D5374">
      <w:pPr>
        <w:spacing w:after="0" w:line="240" w:lineRule="auto"/>
        <w:jc w:val="both"/>
        <w:rPr>
          <w:rFonts w:ascii="Arial" w:hAnsi="Arial" w:cs="Arial"/>
          <w:lang w:val="sr-Latn-CS"/>
        </w:rPr>
      </w:pPr>
      <w:r w:rsidRPr="00D14F43">
        <w:rPr>
          <w:rFonts w:ascii="Arial" w:hAnsi="Arial" w:cs="Arial"/>
        </w:rPr>
        <w:t>Izradom</w:t>
      </w:r>
      <w:r w:rsidRPr="00B20E38">
        <w:rPr>
          <w:rFonts w:ascii="Arial" w:hAnsi="Arial" w:cs="Arial"/>
          <w:lang w:val="sr-Latn-CS"/>
        </w:rPr>
        <w:t xml:space="preserve"> </w:t>
      </w:r>
      <w:r w:rsidRPr="00D14F43">
        <w:rPr>
          <w:rFonts w:ascii="Arial" w:hAnsi="Arial" w:cs="Arial"/>
        </w:rPr>
        <w:t>Elaborata</w:t>
      </w:r>
      <w:r w:rsidRPr="00B20E38">
        <w:rPr>
          <w:rFonts w:ascii="Arial" w:hAnsi="Arial" w:cs="Arial"/>
          <w:lang w:val="sr-Latn-CS"/>
        </w:rPr>
        <w:t xml:space="preserve"> </w:t>
      </w:r>
      <w:r w:rsidRPr="00D14F43">
        <w:rPr>
          <w:rFonts w:ascii="Arial" w:hAnsi="Arial" w:cs="Arial"/>
        </w:rPr>
        <w:t>o</w:t>
      </w:r>
      <w:r w:rsidRPr="00B20E38">
        <w:rPr>
          <w:rFonts w:ascii="Arial" w:hAnsi="Arial" w:cs="Arial"/>
          <w:lang w:val="sr-Latn-CS"/>
        </w:rPr>
        <w:t xml:space="preserve"> </w:t>
      </w:r>
      <w:r w:rsidRPr="00D14F43">
        <w:rPr>
          <w:rFonts w:ascii="Arial" w:hAnsi="Arial" w:cs="Arial"/>
        </w:rPr>
        <w:t>klasifikaciji</w:t>
      </w:r>
      <w:r w:rsidRPr="00B20E38">
        <w:rPr>
          <w:rFonts w:ascii="Arial" w:hAnsi="Arial" w:cs="Arial"/>
          <w:lang w:val="sr-Latn-CS"/>
        </w:rPr>
        <w:t xml:space="preserve">, </w:t>
      </w:r>
      <w:r w:rsidRPr="00D14F43">
        <w:rPr>
          <w:rFonts w:ascii="Arial" w:hAnsi="Arial" w:cs="Arial"/>
        </w:rPr>
        <w:t>kategorizaciji</w:t>
      </w:r>
      <w:r w:rsidRPr="00B20E38">
        <w:rPr>
          <w:rFonts w:ascii="Arial" w:hAnsi="Arial" w:cs="Arial"/>
          <w:lang w:val="sr-Latn-CS"/>
        </w:rPr>
        <w:t xml:space="preserve"> </w:t>
      </w:r>
      <w:r w:rsidRPr="00D14F43">
        <w:rPr>
          <w:rFonts w:ascii="Arial" w:hAnsi="Arial" w:cs="Arial"/>
        </w:rPr>
        <w:t>i</w:t>
      </w:r>
      <w:r w:rsidRPr="00B20E38">
        <w:rPr>
          <w:rFonts w:ascii="Arial" w:hAnsi="Arial" w:cs="Arial"/>
          <w:lang w:val="sr-Latn-CS"/>
        </w:rPr>
        <w:t xml:space="preserve"> </w:t>
      </w:r>
      <w:r w:rsidRPr="00D14F43">
        <w:rPr>
          <w:rFonts w:ascii="Arial" w:hAnsi="Arial" w:cs="Arial"/>
        </w:rPr>
        <w:t>prora</w:t>
      </w:r>
      <w:r w:rsidRPr="00B20E38">
        <w:rPr>
          <w:rFonts w:ascii="Arial" w:hAnsi="Arial" w:cs="Arial"/>
          <w:lang w:val="sr-Latn-CS"/>
        </w:rPr>
        <w:t>č</w:t>
      </w:r>
      <w:r w:rsidRPr="00D14F43">
        <w:rPr>
          <w:rFonts w:ascii="Arial" w:hAnsi="Arial" w:cs="Arial"/>
        </w:rPr>
        <w:t>unu</w:t>
      </w:r>
      <w:r w:rsidRPr="00B20E38">
        <w:rPr>
          <w:rFonts w:ascii="Arial" w:hAnsi="Arial" w:cs="Arial"/>
          <w:lang w:val="sr-Latn-CS"/>
        </w:rPr>
        <w:t xml:space="preserve"> </w:t>
      </w:r>
      <w:r w:rsidRPr="00D14F43">
        <w:rPr>
          <w:rFonts w:ascii="Arial" w:hAnsi="Arial" w:cs="Arial"/>
        </w:rPr>
        <w:t>rezervi</w:t>
      </w:r>
      <w:r w:rsidRPr="00B20E38">
        <w:rPr>
          <w:rFonts w:ascii="Arial" w:hAnsi="Arial" w:cs="Arial"/>
          <w:lang w:val="sr-Latn-CS"/>
        </w:rPr>
        <w:t xml:space="preserve"> </w:t>
      </w:r>
      <w:r w:rsidRPr="00D14F43">
        <w:rPr>
          <w:rFonts w:ascii="Arial" w:hAnsi="Arial" w:cs="Arial"/>
        </w:rPr>
        <w:t>tehni</w:t>
      </w:r>
      <w:r w:rsidRPr="00B20E38">
        <w:rPr>
          <w:rFonts w:ascii="Arial" w:hAnsi="Arial" w:cs="Arial"/>
          <w:lang w:val="sr-Latn-CS"/>
        </w:rPr>
        <w:t>č</w:t>
      </w:r>
      <w:r w:rsidRPr="00D14F43">
        <w:rPr>
          <w:rFonts w:ascii="Arial" w:hAnsi="Arial" w:cs="Arial"/>
        </w:rPr>
        <w:t>ko</w:t>
      </w:r>
      <w:r w:rsidRPr="00B20E38">
        <w:rPr>
          <w:rFonts w:ascii="Arial" w:hAnsi="Arial" w:cs="Arial"/>
          <w:lang w:val="sr-Latn-CS"/>
        </w:rPr>
        <w:t>-</w:t>
      </w:r>
      <w:r w:rsidRPr="00D14F43">
        <w:rPr>
          <w:rFonts w:ascii="Arial" w:hAnsi="Arial" w:cs="Arial"/>
        </w:rPr>
        <w:t>gra</w:t>
      </w:r>
      <w:r w:rsidRPr="00B20E38">
        <w:rPr>
          <w:rFonts w:ascii="Arial" w:hAnsi="Arial" w:cs="Arial"/>
          <w:lang w:val="sr-Latn-CS"/>
        </w:rPr>
        <w:t>đ</w:t>
      </w:r>
      <w:r w:rsidRPr="00D14F43">
        <w:rPr>
          <w:rFonts w:ascii="Arial" w:hAnsi="Arial" w:cs="Arial"/>
        </w:rPr>
        <w:t>evinskog</w:t>
      </w:r>
      <w:r w:rsidRPr="00B20E38">
        <w:rPr>
          <w:rFonts w:ascii="Arial" w:hAnsi="Arial" w:cs="Arial"/>
          <w:lang w:val="sr-Latn-CS"/>
        </w:rPr>
        <w:t xml:space="preserve"> </w:t>
      </w:r>
      <w:r w:rsidRPr="00D14F43">
        <w:rPr>
          <w:rFonts w:ascii="Arial" w:hAnsi="Arial" w:cs="Arial"/>
        </w:rPr>
        <w:t>kamena</w:t>
      </w:r>
      <w:r w:rsidRPr="00B20E38">
        <w:rPr>
          <w:rFonts w:ascii="Arial" w:hAnsi="Arial" w:cs="Arial"/>
          <w:lang w:val="sr-Latn-CS"/>
        </w:rPr>
        <w:t xml:space="preserve"> </w:t>
      </w:r>
      <w:r w:rsidRPr="00D14F43">
        <w:rPr>
          <w:rFonts w:ascii="Arial" w:hAnsi="Arial" w:cs="Arial"/>
        </w:rPr>
        <w:t>na</w:t>
      </w:r>
      <w:r w:rsidRPr="00B20E38">
        <w:rPr>
          <w:rFonts w:ascii="Arial" w:hAnsi="Arial" w:cs="Arial"/>
          <w:lang w:val="sr-Latn-CS"/>
        </w:rPr>
        <w:t xml:space="preserve"> </w:t>
      </w:r>
      <w:r w:rsidRPr="00D14F43">
        <w:rPr>
          <w:rFonts w:ascii="Arial" w:hAnsi="Arial" w:cs="Arial"/>
        </w:rPr>
        <w:t>le</w:t>
      </w:r>
      <w:r w:rsidRPr="00B20E38">
        <w:rPr>
          <w:rFonts w:ascii="Arial" w:hAnsi="Arial" w:cs="Arial"/>
          <w:lang w:val="sr-Latn-CS"/>
        </w:rPr>
        <w:t>ž</w:t>
      </w:r>
      <w:r w:rsidRPr="00D14F43">
        <w:rPr>
          <w:rFonts w:ascii="Arial" w:hAnsi="Arial" w:cs="Arial"/>
        </w:rPr>
        <w:t>i</w:t>
      </w:r>
      <w:r w:rsidRPr="00B20E38">
        <w:rPr>
          <w:rFonts w:ascii="Arial" w:hAnsi="Arial" w:cs="Arial"/>
          <w:lang w:val="sr-Latn-CS"/>
        </w:rPr>
        <w:t>š</w:t>
      </w:r>
      <w:r w:rsidRPr="00D14F43">
        <w:rPr>
          <w:rFonts w:ascii="Arial" w:hAnsi="Arial" w:cs="Arial"/>
        </w:rPr>
        <w:t>tu</w:t>
      </w:r>
      <w:r w:rsidRPr="00B20E38">
        <w:rPr>
          <w:rFonts w:ascii="Arial" w:hAnsi="Arial" w:cs="Arial"/>
          <w:lang w:val="sr-Latn-CS"/>
        </w:rPr>
        <w:t xml:space="preserve"> „</w:t>
      </w:r>
      <w:r>
        <w:rPr>
          <w:rFonts w:ascii="Arial" w:hAnsi="Arial" w:cs="Arial"/>
        </w:rPr>
        <w:t>Milo</w:t>
      </w:r>
      <w:r w:rsidRPr="00B20E38">
        <w:rPr>
          <w:rFonts w:ascii="Arial" w:hAnsi="Arial" w:cs="Arial"/>
          <w:lang w:val="sr-Latn-CS"/>
        </w:rPr>
        <w:t>š</w:t>
      </w:r>
      <w:r>
        <w:rPr>
          <w:rFonts w:ascii="Arial" w:hAnsi="Arial" w:cs="Arial"/>
        </w:rPr>
        <w:t>ev</w:t>
      </w:r>
      <w:r w:rsidRPr="00B20E38">
        <w:rPr>
          <w:rFonts w:ascii="Arial" w:hAnsi="Arial" w:cs="Arial"/>
          <w:lang w:val="sr-Latn-CS"/>
        </w:rPr>
        <w:t xml:space="preserve"> </w:t>
      </w:r>
      <w:r>
        <w:rPr>
          <w:rFonts w:ascii="Arial" w:hAnsi="Arial" w:cs="Arial"/>
        </w:rPr>
        <w:t>kr</w:t>
      </w:r>
      <w:r w:rsidRPr="00B20E38">
        <w:rPr>
          <w:rFonts w:ascii="Arial" w:hAnsi="Arial" w:cs="Arial"/>
          <w:lang w:val="sr-Latn-CS"/>
        </w:rPr>
        <w:t xml:space="preserve">š“, </w:t>
      </w:r>
      <w:r w:rsidRPr="00D14F43">
        <w:rPr>
          <w:rFonts w:ascii="Arial" w:hAnsi="Arial" w:cs="Arial"/>
        </w:rPr>
        <w:t>nakon</w:t>
      </w:r>
      <w:r w:rsidRPr="00B20E38">
        <w:rPr>
          <w:rFonts w:ascii="Arial" w:hAnsi="Arial" w:cs="Arial"/>
          <w:lang w:val="sr-Latn-CS"/>
        </w:rPr>
        <w:t xml:space="preserve"> </w:t>
      </w:r>
      <w:r w:rsidRPr="00D14F43">
        <w:rPr>
          <w:rFonts w:ascii="Arial" w:hAnsi="Arial" w:cs="Arial"/>
        </w:rPr>
        <w:t>sprovedenih</w:t>
      </w:r>
      <w:r w:rsidRPr="00B20E38">
        <w:rPr>
          <w:rFonts w:ascii="Arial" w:hAnsi="Arial" w:cs="Arial"/>
          <w:lang w:val="sr-Latn-CS"/>
        </w:rPr>
        <w:t xml:space="preserve"> </w:t>
      </w:r>
      <w:r w:rsidRPr="00D14F43">
        <w:rPr>
          <w:rFonts w:ascii="Arial" w:hAnsi="Arial" w:cs="Arial"/>
        </w:rPr>
        <w:t>detaljnih</w:t>
      </w:r>
      <w:r w:rsidRPr="00B20E38">
        <w:rPr>
          <w:rFonts w:ascii="Arial" w:hAnsi="Arial" w:cs="Arial"/>
          <w:lang w:val="sr-Latn-CS"/>
        </w:rPr>
        <w:t xml:space="preserve"> </w:t>
      </w:r>
      <w:r w:rsidRPr="00D14F43">
        <w:rPr>
          <w:rFonts w:ascii="Arial" w:hAnsi="Arial" w:cs="Arial"/>
        </w:rPr>
        <w:t>geolo</w:t>
      </w:r>
      <w:r w:rsidRPr="00B20E38">
        <w:rPr>
          <w:rFonts w:ascii="Arial" w:hAnsi="Arial" w:cs="Arial"/>
          <w:lang w:val="sr-Latn-CS"/>
        </w:rPr>
        <w:t>š</w:t>
      </w:r>
      <w:r w:rsidRPr="00D14F43">
        <w:rPr>
          <w:rFonts w:ascii="Arial" w:hAnsi="Arial" w:cs="Arial"/>
        </w:rPr>
        <w:t>kih</w:t>
      </w:r>
      <w:r w:rsidRPr="00B20E38">
        <w:rPr>
          <w:rFonts w:ascii="Arial" w:hAnsi="Arial" w:cs="Arial"/>
          <w:lang w:val="sr-Latn-CS"/>
        </w:rPr>
        <w:t xml:space="preserve"> </w:t>
      </w:r>
      <w:r w:rsidRPr="00D14F43">
        <w:rPr>
          <w:rFonts w:ascii="Arial" w:hAnsi="Arial" w:cs="Arial"/>
        </w:rPr>
        <w:t>istra</w:t>
      </w:r>
      <w:r w:rsidRPr="00B20E38">
        <w:rPr>
          <w:rFonts w:ascii="Arial" w:hAnsi="Arial" w:cs="Arial"/>
          <w:lang w:val="sr-Latn-CS"/>
        </w:rPr>
        <w:t>ž</w:t>
      </w:r>
      <w:r w:rsidRPr="00D14F43">
        <w:rPr>
          <w:rFonts w:ascii="Arial" w:hAnsi="Arial" w:cs="Arial"/>
        </w:rPr>
        <w:t>ivanja</w:t>
      </w:r>
      <w:r w:rsidRPr="00B20E38">
        <w:rPr>
          <w:rFonts w:ascii="Arial" w:hAnsi="Arial" w:cs="Arial"/>
          <w:lang w:val="sr-Latn-CS"/>
        </w:rPr>
        <w:t xml:space="preserve">, </w:t>
      </w:r>
      <w:r w:rsidRPr="00D14F43">
        <w:rPr>
          <w:rFonts w:ascii="Arial" w:hAnsi="Arial" w:cs="Arial"/>
        </w:rPr>
        <w:t>dobi</w:t>
      </w:r>
      <w:r w:rsidRPr="00B20E38">
        <w:rPr>
          <w:rFonts w:ascii="Arial" w:hAnsi="Arial" w:cs="Arial"/>
          <w:lang w:val="sr-Latn-CS"/>
        </w:rPr>
        <w:t>ć</w:t>
      </w:r>
      <w:r w:rsidRPr="00D14F43">
        <w:rPr>
          <w:rFonts w:ascii="Arial" w:hAnsi="Arial" w:cs="Arial"/>
        </w:rPr>
        <w:t>e</w:t>
      </w:r>
      <w:r w:rsidRPr="00B20E38">
        <w:rPr>
          <w:rFonts w:ascii="Arial" w:hAnsi="Arial" w:cs="Arial"/>
          <w:lang w:val="sr-Latn-CS"/>
        </w:rPr>
        <w:t xml:space="preserve"> </w:t>
      </w:r>
      <w:r w:rsidRPr="00D14F43">
        <w:rPr>
          <w:rFonts w:ascii="Arial" w:hAnsi="Arial" w:cs="Arial"/>
        </w:rPr>
        <w:t>se</w:t>
      </w:r>
      <w:r w:rsidRPr="00B20E38">
        <w:rPr>
          <w:rFonts w:ascii="Arial" w:hAnsi="Arial" w:cs="Arial"/>
          <w:lang w:val="sr-Latn-CS"/>
        </w:rPr>
        <w:t xml:space="preserve"> </w:t>
      </w:r>
      <w:r w:rsidRPr="00D14F43">
        <w:rPr>
          <w:rFonts w:ascii="Arial" w:hAnsi="Arial" w:cs="Arial"/>
        </w:rPr>
        <w:t>podaci</w:t>
      </w:r>
      <w:r w:rsidRPr="00B20E38">
        <w:rPr>
          <w:rFonts w:ascii="Arial" w:hAnsi="Arial" w:cs="Arial"/>
          <w:lang w:val="sr-Latn-CS"/>
        </w:rPr>
        <w:t xml:space="preserve"> </w:t>
      </w:r>
      <w:r w:rsidRPr="00D14F43">
        <w:rPr>
          <w:rFonts w:ascii="Arial" w:hAnsi="Arial" w:cs="Arial"/>
        </w:rPr>
        <w:t>o</w:t>
      </w:r>
      <w:r w:rsidRPr="00B20E38">
        <w:rPr>
          <w:rFonts w:ascii="Arial" w:hAnsi="Arial" w:cs="Arial"/>
          <w:lang w:val="sr-Latn-CS"/>
        </w:rPr>
        <w:t xml:space="preserve"> </w:t>
      </w:r>
      <w:r w:rsidRPr="00D14F43">
        <w:rPr>
          <w:rFonts w:ascii="Arial" w:hAnsi="Arial" w:cs="Arial"/>
        </w:rPr>
        <w:t>rezervama</w:t>
      </w:r>
      <w:r w:rsidRPr="00B20E38">
        <w:rPr>
          <w:rFonts w:ascii="Arial" w:hAnsi="Arial" w:cs="Arial"/>
          <w:lang w:val="sr-Latn-CS"/>
        </w:rPr>
        <w:t xml:space="preserve"> </w:t>
      </w:r>
      <w:r w:rsidRPr="00D14F43">
        <w:rPr>
          <w:rFonts w:ascii="Arial" w:hAnsi="Arial" w:cs="Arial"/>
        </w:rPr>
        <w:t>i</w:t>
      </w:r>
      <w:r w:rsidRPr="00B20E38">
        <w:rPr>
          <w:rFonts w:ascii="Arial" w:hAnsi="Arial" w:cs="Arial"/>
          <w:lang w:val="sr-Latn-CS"/>
        </w:rPr>
        <w:t xml:space="preserve"> </w:t>
      </w:r>
      <w:r w:rsidRPr="00D14F43">
        <w:rPr>
          <w:rFonts w:ascii="Arial" w:hAnsi="Arial" w:cs="Arial"/>
        </w:rPr>
        <w:t>kvalitetu</w:t>
      </w:r>
      <w:r w:rsidRPr="00B20E38">
        <w:rPr>
          <w:rFonts w:ascii="Arial" w:hAnsi="Arial" w:cs="Arial"/>
          <w:lang w:val="sr-Latn-CS"/>
        </w:rPr>
        <w:t xml:space="preserve"> </w:t>
      </w:r>
      <w:r w:rsidRPr="00D14F43">
        <w:rPr>
          <w:rFonts w:ascii="Arial" w:hAnsi="Arial" w:cs="Arial"/>
        </w:rPr>
        <w:t>predmetne</w:t>
      </w:r>
      <w:r w:rsidRPr="00B20E38">
        <w:rPr>
          <w:rFonts w:ascii="Arial" w:hAnsi="Arial" w:cs="Arial"/>
          <w:lang w:val="sr-Latn-CS"/>
        </w:rPr>
        <w:t xml:space="preserve"> </w:t>
      </w:r>
      <w:r w:rsidRPr="00D14F43">
        <w:rPr>
          <w:rFonts w:ascii="Arial" w:hAnsi="Arial" w:cs="Arial"/>
        </w:rPr>
        <w:t>mineralne</w:t>
      </w:r>
      <w:r w:rsidRPr="00B20E38">
        <w:rPr>
          <w:rFonts w:ascii="Arial" w:hAnsi="Arial" w:cs="Arial"/>
          <w:lang w:val="sr-Latn-CS"/>
        </w:rPr>
        <w:t xml:space="preserve"> </w:t>
      </w:r>
      <w:r w:rsidRPr="00D14F43">
        <w:rPr>
          <w:rFonts w:ascii="Arial" w:hAnsi="Arial" w:cs="Arial"/>
        </w:rPr>
        <w:t>sirovine</w:t>
      </w:r>
      <w:r w:rsidRPr="00B20E38">
        <w:rPr>
          <w:rFonts w:ascii="Arial" w:hAnsi="Arial" w:cs="Arial"/>
          <w:lang w:val="sr-Latn-CS"/>
        </w:rPr>
        <w:t>.</w:t>
      </w:r>
    </w:p>
    <w:p w14:paraId="5D370642" w14:textId="77777777" w:rsidR="003D5374" w:rsidRPr="00B20E38" w:rsidRDefault="003D5374" w:rsidP="003D5374">
      <w:pPr>
        <w:spacing w:after="0" w:line="240" w:lineRule="auto"/>
        <w:jc w:val="both"/>
        <w:rPr>
          <w:rFonts w:ascii="Arial" w:hAnsi="Arial" w:cs="Arial"/>
          <w:lang w:val="sr-Latn-CS"/>
        </w:rPr>
      </w:pPr>
    </w:p>
    <w:p w14:paraId="7003DC24" w14:textId="77777777" w:rsidR="00741FD4" w:rsidRPr="00B20E38" w:rsidRDefault="00741FD4" w:rsidP="003D5374">
      <w:pPr>
        <w:spacing w:after="0" w:line="240" w:lineRule="auto"/>
        <w:jc w:val="both"/>
        <w:rPr>
          <w:rFonts w:ascii="Arial" w:hAnsi="Arial" w:cs="Arial"/>
          <w:lang w:val="sr-Latn-CS"/>
        </w:rPr>
      </w:pPr>
      <w:r w:rsidRPr="00D14F43">
        <w:rPr>
          <w:rFonts w:ascii="Arial" w:hAnsi="Arial" w:cs="Arial"/>
        </w:rPr>
        <w:lastRenderedPageBreak/>
        <w:t>Na</w:t>
      </w:r>
      <w:r w:rsidRPr="00B20E38">
        <w:rPr>
          <w:rFonts w:ascii="Arial" w:hAnsi="Arial" w:cs="Arial"/>
          <w:lang w:val="sr-Latn-CS"/>
        </w:rPr>
        <w:t xml:space="preserve"> </w:t>
      </w:r>
      <w:r w:rsidRPr="00D14F43">
        <w:rPr>
          <w:rFonts w:ascii="Arial" w:hAnsi="Arial" w:cs="Arial"/>
        </w:rPr>
        <w:t>predmetnom</w:t>
      </w:r>
      <w:r w:rsidRPr="00B20E38">
        <w:rPr>
          <w:rFonts w:ascii="Arial" w:hAnsi="Arial" w:cs="Arial"/>
          <w:lang w:val="sr-Latn-CS"/>
        </w:rPr>
        <w:t xml:space="preserve"> </w:t>
      </w:r>
      <w:r w:rsidRPr="00D14F43">
        <w:rPr>
          <w:rFonts w:ascii="Arial" w:hAnsi="Arial" w:cs="Arial"/>
        </w:rPr>
        <w:t>lokalitetu</w:t>
      </w:r>
      <w:r w:rsidRPr="00B20E38">
        <w:rPr>
          <w:rFonts w:ascii="Arial" w:hAnsi="Arial" w:cs="Arial"/>
          <w:lang w:val="sr-Latn-CS"/>
        </w:rPr>
        <w:t xml:space="preserve"> </w:t>
      </w:r>
      <w:r w:rsidRPr="00D14F43">
        <w:rPr>
          <w:rFonts w:ascii="Arial" w:hAnsi="Arial" w:cs="Arial"/>
        </w:rPr>
        <w:t>nisu</w:t>
      </w:r>
      <w:r w:rsidRPr="00B20E38">
        <w:rPr>
          <w:rFonts w:ascii="Arial" w:hAnsi="Arial" w:cs="Arial"/>
          <w:lang w:val="sr-Latn-CS"/>
        </w:rPr>
        <w:t xml:space="preserve"> </w:t>
      </w:r>
      <w:r w:rsidRPr="00D14F43">
        <w:rPr>
          <w:rFonts w:ascii="Arial" w:hAnsi="Arial" w:cs="Arial"/>
        </w:rPr>
        <w:t>vr</w:t>
      </w:r>
      <w:r w:rsidRPr="00B20E38">
        <w:rPr>
          <w:rFonts w:ascii="Arial" w:hAnsi="Arial" w:cs="Arial"/>
          <w:lang w:val="sr-Latn-CS"/>
        </w:rPr>
        <w:t>š</w:t>
      </w:r>
      <w:r w:rsidRPr="00D14F43">
        <w:rPr>
          <w:rFonts w:ascii="Arial" w:hAnsi="Arial" w:cs="Arial"/>
        </w:rPr>
        <w:t>ena</w:t>
      </w:r>
      <w:r w:rsidRPr="00B20E38">
        <w:rPr>
          <w:rFonts w:ascii="Arial" w:hAnsi="Arial" w:cs="Arial"/>
          <w:lang w:val="sr-Latn-CS"/>
        </w:rPr>
        <w:t xml:space="preserve"> </w:t>
      </w:r>
      <w:r w:rsidRPr="00D14F43">
        <w:rPr>
          <w:rFonts w:ascii="Arial" w:hAnsi="Arial" w:cs="Arial"/>
        </w:rPr>
        <w:t>detaljna</w:t>
      </w:r>
      <w:r w:rsidRPr="00B20E38">
        <w:rPr>
          <w:rFonts w:ascii="Arial" w:hAnsi="Arial" w:cs="Arial"/>
          <w:lang w:val="sr-Latn-CS"/>
        </w:rPr>
        <w:t xml:space="preserve"> </w:t>
      </w:r>
      <w:r w:rsidRPr="00D14F43">
        <w:rPr>
          <w:rFonts w:ascii="Arial" w:hAnsi="Arial" w:cs="Arial"/>
        </w:rPr>
        <w:t>geolo</w:t>
      </w:r>
      <w:r w:rsidRPr="00B20E38">
        <w:rPr>
          <w:rFonts w:ascii="Arial" w:hAnsi="Arial" w:cs="Arial"/>
          <w:lang w:val="sr-Latn-CS"/>
        </w:rPr>
        <w:t>š</w:t>
      </w:r>
      <w:r w:rsidRPr="00D14F43">
        <w:rPr>
          <w:rFonts w:ascii="Arial" w:hAnsi="Arial" w:cs="Arial"/>
        </w:rPr>
        <w:t>ka</w:t>
      </w:r>
      <w:r w:rsidRPr="00B20E38">
        <w:rPr>
          <w:rFonts w:ascii="Arial" w:hAnsi="Arial" w:cs="Arial"/>
          <w:lang w:val="sr-Latn-CS"/>
        </w:rPr>
        <w:t xml:space="preserve"> </w:t>
      </w:r>
      <w:r w:rsidRPr="00D14F43">
        <w:rPr>
          <w:rFonts w:ascii="Arial" w:hAnsi="Arial" w:cs="Arial"/>
        </w:rPr>
        <w:t>istra</w:t>
      </w:r>
      <w:r w:rsidRPr="00B20E38">
        <w:rPr>
          <w:rFonts w:ascii="Arial" w:hAnsi="Arial" w:cs="Arial"/>
          <w:lang w:val="sr-Latn-CS"/>
        </w:rPr>
        <w:t>ž</w:t>
      </w:r>
      <w:r w:rsidRPr="00D14F43">
        <w:rPr>
          <w:rFonts w:ascii="Arial" w:hAnsi="Arial" w:cs="Arial"/>
        </w:rPr>
        <w:t>ivanja</w:t>
      </w:r>
      <w:r w:rsidRPr="00B20E38">
        <w:rPr>
          <w:rFonts w:ascii="Arial" w:hAnsi="Arial" w:cs="Arial"/>
          <w:lang w:val="sr-Latn-CS"/>
        </w:rPr>
        <w:t xml:space="preserve"> </w:t>
      </w:r>
      <w:r w:rsidRPr="00D14F43">
        <w:rPr>
          <w:rFonts w:ascii="Arial" w:hAnsi="Arial" w:cs="Arial"/>
        </w:rPr>
        <w:t>ali</w:t>
      </w:r>
      <w:r w:rsidRPr="00B20E38">
        <w:rPr>
          <w:rFonts w:ascii="Arial" w:hAnsi="Arial" w:cs="Arial"/>
          <w:lang w:val="sr-Latn-CS"/>
        </w:rPr>
        <w:t xml:space="preserve"> </w:t>
      </w:r>
      <w:r w:rsidRPr="00D14F43">
        <w:rPr>
          <w:rFonts w:ascii="Arial" w:hAnsi="Arial" w:cs="Arial"/>
        </w:rPr>
        <w:t>na</w:t>
      </w:r>
      <w:r w:rsidRPr="00B20E38">
        <w:rPr>
          <w:rFonts w:ascii="Arial" w:hAnsi="Arial" w:cs="Arial"/>
          <w:lang w:val="sr-Latn-CS"/>
        </w:rPr>
        <w:t xml:space="preserve"> </w:t>
      </w:r>
      <w:r w:rsidRPr="00D14F43">
        <w:rPr>
          <w:rFonts w:ascii="Arial" w:hAnsi="Arial" w:cs="Arial"/>
        </w:rPr>
        <w:t>osnovu</w:t>
      </w:r>
      <w:r w:rsidRPr="00B20E38">
        <w:rPr>
          <w:rFonts w:ascii="Arial" w:hAnsi="Arial" w:cs="Arial"/>
          <w:lang w:val="sr-Latn-CS"/>
        </w:rPr>
        <w:t xml:space="preserve"> </w:t>
      </w:r>
      <w:r w:rsidRPr="00D14F43">
        <w:rPr>
          <w:rFonts w:ascii="Arial" w:hAnsi="Arial" w:cs="Arial"/>
        </w:rPr>
        <w:t>analogije</w:t>
      </w:r>
      <w:r w:rsidRPr="00B20E38">
        <w:rPr>
          <w:rFonts w:ascii="Arial" w:hAnsi="Arial" w:cs="Arial"/>
          <w:lang w:val="sr-Latn-CS"/>
        </w:rPr>
        <w:t xml:space="preserve"> </w:t>
      </w:r>
      <w:r w:rsidRPr="00D14F43">
        <w:rPr>
          <w:rFonts w:ascii="Arial" w:hAnsi="Arial" w:cs="Arial"/>
        </w:rPr>
        <w:t>sa</w:t>
      </w:r>
      <w:r w:rsidRPr="00B20E38">
        <w:rPr>
          <w:rFonts w:ascii="Arial" w:hAnsi="Arial" w:cs="Arial"/>
          <w:lang w:val="sr-Latn-CS"/>
        </w:rPr>
        <w:t xml:space="preserve"> </w:t>
      </w:r>
      <w:r w:rsidRPr="00D14F43">
        <w:rPr>
          <w:rFonts w:ascii="Arial" w:hAnsi="Arial" w:cs="Arial"/>
        </w:rPr>
        <w:t>sli</w:t>
      </w:r>
      <w:r w:rsidRPr="00B20E38">
        <w:rPr>
          <w:rFonts w:ascii="Arial" w:hAnsi="Arial" w:cs="Arial"/>
          <w:lang w:val="sr-Latn-CS"/>
        </w:rPr>
        <w:t>č</w:t>
      </w:r>
      <w:r w:rsidRPr="00D14F43">
        <w:rPr>
          <w:rFonts w:ascii="Arial" w:hAnsi="Arial" w:cs="Arial"/>
        </w:rPr>
        <w:t>nim</w:t>
      </w:r>
      <w:r w:rsidRPr="00B20E38">
        <w:rPr>
          <w:rFonts w:ascii="Arial" w:hAnsi="Arial" w:cs="Arial"/>
          <w:lang w:val="sr-Latn-CS"/>
        </w:rPr>
        <w:t xml:space="preserve"> </w:t>
      </w:r>
      <w:r w:rsidRPr="00D14F43">
        <w:rPr>
          <w:rFonts w:ascii="Arial" w:hAnsi="Arial" w:cs="Arial"/>
        </w:rPr>
        <w:t>le</w:t>
      </w:r>
      <w:r w:rsidRPr="00B20E38">
        <w:rPr>
          <w:rFonts w:ascii="Arial" w:hAnsi="Arial" w:cs="Arial"/>
          <w:lang w:val="sr-Latn-CS"/>
        </w:rPr>
        <w:t>ž</w:t>
      </w:r>
      <w:r w:rsidRPr="00D14F43">
        <w:rPr>
          <w:rFonts w:ascii="Arial" w:hAnsi="Arial" w:cs="Arial"/>
        </w:rPr>
        <w:t>i</w:t>
      </w:r>
      <w:r w:rsidRPr="00B20E38">
        <w:rPr>
          <w:rFonts w:ascii="Arial" w:hAnsi="Arial" w:cs="Arial"/>
          <w:lang w:val="sr-Latn-CS"/>
        </w:rPr>
        <w:t>š</w:t>
      </w:r>
      <w:r w:rsidRPr="00D14F43">
        <w:rPr>
          <w:rFonts w:ascii="Arial" w:hAnsi="Arial" w:cs="Arial"/>
        </w:rPr>
        <w:t>tima</w:t>
      </w:r>
      <w:r w:rsidRPr="00B20E38">
        <w:rPr>
          <w:rFonts w:ascii="Arial" w:hAnsi="Arial" w:cs="Arial"/>
          <w:lang w:val="sr-Latn-CS"/>
        </w:rPr>
        <w:t xml:space="preserve"> </w:t>
      </w:r>
      <w:r w:rsidRPr="00D14F43">
        <w:rPr>
          <w:rFonts w:ascii="Arial" w:hAnsi="Arial" w:cs="Arial"/>
        </w:rPr>
        <w:t>tehni</w:t>
      </w:r>
      <w:r w:rsidRPr="00B20E38">
        <w:rPr>
          <w:rFonts w:ascii="Arial" w:hAnsi="Arial" w:cs="Arial"/>
          <w:lang w:val="sr-Latn-CS"/>
        </w:rPr>
        <w:t>č</w:t>
      </w:r>
      <w:r w:rsidRPr="00D14F43">
        <w:rPr>
          <w:rFonts w:ascii="Arial" w:hAnsi="Arial" w:cs="Arial"/>
        </w:rPr>
        <w:t>ko</w:t>
      </w:r>
      <w:r w:rsidRPr="00B20E38">
        <w:rPr>
          <w:rFonts w:ascii="Arial" w:hAnsi="Arial" w:cs="Arial"/>
          <w:lang w:val="sr-Latn-CS"/>
        </w:rPr>
        <w:t>-</w:t>
      </w:r>
      <w:r w:rsidRPr="00D14F43">
        <w:rPr>
          <w:rFonts w:ascii="Arial" w:hAnsi="Arial" w:cs="Arial"/>
        </w:rPr>
        <w:t>gra</w:t>
      </w:r>
      <w:r w:rsidRPr="00B20E38">
        <w:rPr>
          <w:rFonts w:ascii="Arial" w:hAnsi="Arial" w:cs="Arial"/>
          <w:lang w:val="sr-Latn-CS"/>
        </w:rPr>
        <w:t>đ</w:t>
      </w:r>
      <w:r w:rsidRPr="00D14F43">
        <w:rPr>
          <w:rFonts w:ascii="Arial" w:hAnsi="Arial" w:cs="Arial"/>
        </w:rPr>
        <w:t>evinskog</w:t>
      </w:r>
      <w:r w:rsidRPr="00B20E38">
        <w:rPr>
          <w:rFonts w:ascii="Arial" w:hAnsi="Arial" w:cs="Arial"/>
          <w:lang w:val="sr-Latn-CS"/>
        </w:rPr>
        <w:t xml:space="preserve"> </w:t>
      </w:r>
      <w:r w:rsidRPr="00D14F43">
        <w:rPr>
          <w:rFonts w:ascii="Arial" w:hAnsi="Arial" w:cs="Arial"/>
        </w:rPr>
        <w:t>kamena</w:t>
      </w:r>
      <w:r w:rsidRPr="00B20E38">
        <w:rPr>
          <w:rFonts w:ascii="Arial" w:hAnsi="Arial" w:cs="Arial"/>
          <w:lang w:val="sr-Latn-CS"/>
        </w:rPr>
        <w:t xml:space="preserve">, </w:t>
      </w:r>
      <w:r w:rsidRPr="00D14F43">
        <w:rPr>
          <w:rFonts w:ascii="Arial" w:hAnsi="Arial" w:cs="Arial"/>
        </w:rPr>
        <w:t>kao</w:t>
      </w:r>
      <w:r w:rsidRPr="00B20E38">
        <w:rPr>
          <w:rFonts w:ascii="Arial" w:hAnsi="Arial" w:cs="Arial"/>
          <w:lang w:val="sr-Latn-CS"/>
        </w:rPr>
        <w:t xml:space="preserve"> </w:t>
      </w:r>
      <w:r w:rsidRPr="00D14F43">
        <w:rPr>
          <w:rFonts w:ascii="Arial" w:hAnsi="Arial" w:cs="Arial"/>
        </w:rPr>
        <w:t>i</w:t>
      </w:r>
      <w:r w:rsidRPr="00B20E38">
        <w:rPr>
          <w:rFonts w:ascii="Arial" w:hAnsi="Arial" w:cs="Arial"/>
          <w:lang w:val="sr-Latn-CS"/>
        </w:rPr>
        <w:t xml:space="preserve"> </w:t>
      </w:r>
      <w:r w:rsidRPr="00D14F43">
        <w:rPr>
          <w:rFonts w:ascii="Arial" w:hAnsi="Arial" w:cs="Arial"/>
        </w:rPr>
        <w:t>na</w:t>
      </w:r>
      <w:r w:rsidRPr="00B20E38">
        <w:rPr>
          <w:rFonts w:ascii="Arial" w:hAnsi="Arial" w:cs="Arial"/>
          <w:lang w:val="sr-Latn-CS"/>
        </w:rPr>
        <w:t xml:space="preserve"> </w:t>
      </w:r>
      <w:r w:rsidRPr="00D14F43">
        <w:rPr>
          <w:rFonts w:ascii="Arial" w:hAnsi="Arial" w:cs="Arial"/>
        </w:rPr>
        <w:t>osnovu</w:t>
      </w:r>
      <w:r w:rsidRPr="00B20E38">
        <w:rPr>
          <w:rFonts w:ascii="Arial" w:hAnsi="Arial" w:cs="Arial"/>
          <w:lang w:val="sr-Latn-CS"/>
        </w:rPr>
        <w:t xml:space="preserve"> </w:t>
      </w:r>
      <w:r w:rsidRPr="00D14F43">
        <w:rPr>
          <w:rFonts w:ascii="Arial" w:hAnsi="Arial" w:cs="Arial"/>
        </w:rPr>
        <w:t>prikazanih</w:t>
      </w:r>
      <w:r w:rsidRPr="00B20E38">
        <w:rPr>
          <w:rFonts w:ascii="Arial" w:hAnsi="Arial" w:cs="Arial"/>
          <w:lang w:val="sr-Latn-CS"/>
        </w:rPr>
        <w:t xml:space="preserve"> </w:t>
      </w:r>
      <w:r w:rsidRPr="00D14F43">
        <w:rPr>
          <w:rFonts w:ascii="Arial" w:hAnsi="Arial" w:cs="Arial"/>
        </w:rPr>
        <w:t>rezultata</w:t>
      </w:r>
      <w:r w:rsidRPr="00B20E38">
        <w:rPr>
          <w:rFonts w:ascii="Arial" w:hAnsi="Arial" w:cs="Arial"/>
          <w:lang w:val="sr-Latn-CS"/>
        </w:rPr>
        <w:t xml:space="preserve"> </w:t>
      </w:r>
      <w:r w:rsidRPr="00D14F43">
        <w:rPr>
          <w:rFonts w:ascii="Arial" w:hAnsi="Arial" w:cs="Arial"/>
        </w:rPr>
        <w:t>laboratorijskih</w:t>
      </w:r>
      <w:r w:rsidRPr="00B20E38">
        <w:rPr>
          <w:rFonts w:ascii="Arial" w:hAnsi="Arial" w:cs="Arial"/>
          <w:lang w:val="sr-Latn-CS"/>
        </w:rPr>
        <w:t xml:space="preserve"> </w:t>
      </w:r>
      <w:r w:rsidRPr="00D14F43">
        <w:rPr>
          <w:rFonts w:ascii="Arial" w:hAnsi="Arial" w:cs="Arial"/>
        </w:rPr>
        <w:t>ispitivanja</w:t>
      </w:r>
      <w:r w:rsidRPr="00B20E38">
        <w:rPr>
          <w:rFonts w:ascii="Arial" w:hAnsi="Arial" w:cs="Arial"/>
          <w:lang w:val="sr-Latn-CS"/>
        </w:rPr>
        <w:t xml:space="preserve"> (</w:t>
      </w:r>
      <w:r w:rsidRPr="00D14F43">
        <w:rPr>
          <w:rFonts w:ascii="Arial" w:hAnsi="Arial" w:cs="Arial"/>
        </w:rPr>
        <w:t>analize</w:t>
      </w:r>
      <w:r w:rsidRPr="00B20E38">
        <w:rPr>
          <w:rFonts w:ascii="Arial" w:hAnsi="Arial" w:cs="Arial"/>
          <w:lang w:val="sr-Latn-CS"/>
        </w:rPr>
        <w:t xml:space="preserve"> </w:t>
      </w:r>
      <w:r w:rsidRPr="00D14F43">
        <w:rPr>
          <w:rFonts w:ascii="Arial" w:hAnsi="Arial" w:cs="Arial"/>
        </w:rPr>
        <w:t>fizi</w:t>
      </w:r>
      <w:r w:rsidRPr="00B20E38">
        <w:rPr>
          <w:rFonts w:ascii="Arial" w:hAnsi="Arial" w:cs="Arial"/>
          <w:lang w:val="sr-Latn-CS"/>
        </w:rPr>
        <w:t>č</w:t>
      </w:r>
      <w:r w:rsidRPr="00D14F43">
        <w:rPr>
          <w:rFonts w:ascii="Arial" w:hAnsi="Arial" w:cs="Arial"/>
        </w:rPr>
        <w:t>ko</w:t>
      </w:r>
      <w:r w:rsidRPr="00B20E38">
        <w:rPr>
          <w:rFonts w:ascii="Arial" w:hAnsi="Arial" w:cs="Arial"/>
          <w:lang w:val="sr-Latn-CS"/>
        </w:rPr>
        <w:t>-</w:t>
      </w:r>
      <w:r w:rsidRPr="00D14F43">
        <w:rPr>
          <w:rFonts w:ascii="Arial" w:hAnsi="Arial" w:cs="Arial"/>
        </w:rPr>
        <w:t>mehani</w:t>
      </w:r>
      <w:r w:rsidRPr="00B20E38">
        <w:rPr>
          <w:rFonts w:ascii="Arial" w:hAnsi="Arial" w:cs="Arial"/>
          <w:lang w:val="sr-Latn-CS"/>
        </w:rPr>
        <w:t>č</w:t>
      </w:r>
      <w:r w:rsidRPr="00D14F43">
        <w:rPr>
          <w:rFonts w:ascii="Arial" w:hAnsi="Arial" w:cs="Arial"/>
        </w:rPr>
        <w:t>kih</w:t>
      </w:r>
      <w:r w:rsidRPr="00B20E38">
        <w:rPr>
          <w:rFonts w:ascii="Arial" w:hAnsi="Arial" w:cs="Arial"/>
          <w:lang w:val="sr-Latn-CS"/>
        </w:rPr>
        <w:t xml:space="preserve"> </w:t>
      </w:r>
      <w:r w:rsidRPr="00D14F43">
        <w:rPr>
          <w:rFonts w:ascii="Arial" w:hAnsi="Arial" w:cs="Arial"/>
        </w:rPr>
        <w:t>svojstava</w:t>
      </w:r>
      <w:r w:rsidRPr="00B20E38">
        <w:rPr>
          <w:rFonts w:ascii="Arial" w:hAnsi="Arial" w:cs="Arial"/>
          <w:lang w:val="sr-Latn-CS"/>
        </w:rPr>
        <w:t xml:space="preserve"> </w:t>
      </w:r>
      <w:r w:rsidRPr="00D14F43">
        <w:rPr>
          <w:rFonts w:ascii="Arial" w:hAnsi="Arial" w:cs="Arial"/>
        </w:rPr>
        <w:t>kamena</w:t>
      </w:r>
      <w:r w:rsidRPr="00B20E38">
        <w:rPr>
          <w:rFonts w:ascii="Arial" w:hAnsi="Arial" w:cs="Arial"/>
          <w:lang w:val="sr-Latn-CS"/>
        </w:rPr>
        <w:t xml:space="preserve">, </w:t>
      </w:r>
      <w:r w:rsidRPr="00D14F43">
        <w:rPr>
          <w:rFonts w:ascii="Arial" w:hAnsi="Arial" w:cs="Arial"/>
        </w:rPr>
        <w:t>sedimentolo</w:t>
      </w:r>
      <w:r w:rsidRPr="00B20E38">
        <w:rPr>
          <w:rFonts w:ascii="Arial" w:hAnsi="Arial" w:cs="Arial"/>
          <w:lang w:val="sr-Latn-CS"/>
        </w:rPr>
        <w:t>š</w:t>
      </w:r>
      <w:r w:rsidRPr="00D14F43">
        <w:rPr>
          <w:rFonts w:ascii="Arial" w:hAnsi="Arial" w:cs="Arial"/>
        </w:rPr>
        <w:t>ka</w:t>
      </w:r>
      <w:r w:rsidRPr="00B20E38">
        <w:rPr>
          <w:rFonts w:ascii="Arial" w:hAnsi="Arial" w:cs="Arial"/>
          <w:lang w:val="sr-Latn-CS"/>
        </w:rPr>
        <w:t xml:space="preserve">, </w:t>
      </w:r>
      <w:r w:rsidRPr="00D14F43">
        <w:rPr>
          <w:rFonts w:ascii="Arial" w:hAnsi="Arial" w:cs="Arial"/>
        </w:rPr>
        <w:t>paleontol</w:t>
      </w:r>
      <w:r w:rsidRPr="00B20E38">
        <w:rPr>
          <w:rFonts w:ascii="Arial" w:hAnsi="Arial" w:cs="Arial"/>
          <w:lang w:val="sr-Latn-CS"/>
        </w:rPr>
        <w:t>š</w:t>
      </w:r>
      <w:r w:rsidRPr="00D14F43">
        <w:rPr>
          <w:rFonts w:ascii="Arial" w:hAnsi="Arial" w:cs="Arial"/>
        </w:rPr>
        <w:t>ka</w:t>
      </w:r>
      <w:r w:rsidRPr="00B20E38">
        <w:rPr>
          <w:rFonts w:ascii="Arial" w:hAnsi="Arial" w:cs="Arial"/>
          <w:lang w:val="sr-Latn-CS"/>
        </w:rPr>
        <w:t xml:space="preserve"> </w:t>
      </w:r>
      <w:r w:rsidRPr="00D14F43">
        <w:rPr>
          <w:rFonts w:ascii="Arial" w:hAnsi="Arial" w:cs="Arial"/>
        </w:rPr>
        <w:t>i</w:t>
      </w:r>
      <w:r w:rsidRPr="00B20E38">
        <w:rPr>
          <w:rFonts w:ascii="Arial" w:hAnsi="Arial" w:cs="Arial"/>
          <w:lang w:val="sr-Latn-CS"/>
        </w:rPr>
        <w:t xml:space="preserve"> </w:t>
      </w:r>
      <w:r w:rsidRPr="00D14F43">
        <w:rPr>
          <w:rFonts w:ascii="Arial" w:hAnsi="Arial" w:cs="Arial"/>
        </w:rPr>
        <w:t>hemiska</w:t>
      </w:r>
      <w:r w:rsidRPr="00B20E38">
        <w:rPr>
          <w:rFonts w:ascii="Arial" w:hAnsi="Arial" w:cs="Arial"/>
          <w:lang w:val="sr-Latn-CS"/>
        </w:rPr>
        <w:t xml:space="preserve"> </w:t>
      </w:r>
      <w:r w:rsidRPr="00D14F43">
        <w:rPr>
          <w:rFonts w:ascii="Arial" w:hAnsi="Arial" w:cs="Arial"/>
        </w:rPr>
        <w:t>ispitivanja</w:t>
      </w:r>
      <w:r w:rsidRPr="00B20E38">
        <w:rPr>
          <w:rFonts w:ascii="Arial" w:hAnsi="Arial" w:cs="Arial"/>
          <w:lang w:val="sr-Latn-CS"/>
        </w:rPr>
        <w:t xml:space="preserve">) </w:t>
      </w:r>
      <w:r w:rsidRPr="00D14F43">
        <w:rPr>
          <w:rFonts w:ascii="Arial" w:hAnsi="Arial" w:cs="Arial"/>
        </w:rPr>
        <w:t>ura</w:t>
      </w:r>
      <w:r w:rsidRPr="00B20E38">
        <w:rPr>
          <w:rFonts w:ascii="Arial" w:hAnsi="Arial" w:cs="Arial"/>
          <w:lang w:val="sr-Latn-CS"/>
        </w:rPr>
        <w:t>đ</w:t>
      </w:r>
      <w:r w:rsidRPr="00D14F43">
        <w:rPr>
          <w:rFonts w:ascii="Arial" w:hAnsi="Arial" w:cs="Arial"/>
        </w:rPr>
        <w:t>enih</w:t>
      </w:r>
      <w:r w:rsidRPr="00B20E38">
        <w:rPr>
          <w:rFonts w:ascii="Arial" w:hAnsi="Arial" w:cs="Arial"/>
          <w:lang w:val="sr-Latn-CS"/>
        </w:rPr>
        <w:t xml:space="preserve"> </w:t>
      </w:r>
      <w:r w:rsidRPr="00D14F43">
        <w:rPr>
          <w:rFonts w:ascii="Arial" w:hAnsi="Arial" w:cs="Arial"/>
        </w:rPr>
        <w:t>za</w:t>
      </w:r>
      <w:r w:rsidRPr="00B20E38">
        <w:rPr>
          <w:rFonts w:ascii="Arial" w:hAnsi="Arial" w:cs="Arial"/>
          <w:lang w:val="sr-Latn-CS"/>
        </w:rPr>
        <w:t xml:space="preserve"> </w:t>
      </w:r>
      <w:r w:rsidRPr="00D14F43">
        <w:rPr>
          <w:rFonts w:ascii="Arial" w:hAnsi="Arial" w:cs="Arial"/>
        </w:rPr>
        <w:t>potrebe</w:t>
      </w:r>
      <w:r w:rsidRPr="00B20E38">
        <w:rPr>
          <w:rFonts w:ascii="Arial" w:hAnsi="Arial" w:cs="Arial"/>
          <w:lang w:val="sr-Latn-CS"/>
        </w:rPr>
        <w:t xml:space="preserve"> </w:t>
      </w:r>
      <w:r w:rsidRPr="00D14F43">
        <w:rPr>
          <w:rFonts w:ascii="Arial" w:hAnsi="Arial" w:cs="Arial"/>
        </w:rPr>
        <w:t>izrade</w:t>
      </w:r>
      <w:r w:rsidRPr="00B20E38">
        <w:rPr>
          <w:rFonts w:ascii="Arial" w:hAnsi="Arial" w:cs="Arial"/>
          <w:lang w:val="sr-Latn-CS"/>
        </w:rPr>
        <w:t xml:space="preserve"> </w:t>
      </w:r>
      <w:r w:rsidRPr="00D14F43">
        <w:rPr>
          <w:rFonts w:ascii="Arial" w:hAnsi="Arial" w:cs="Arial"/>
        </w:rPr>
        <w:t>Izvje</w:t>
      </w:r>
      <w:r w:rsidRPr="00B20E38">
        <w:rPr>
          <w:rFonts w:ascii="Arial" w:hAnsi="Arial" w:cs="Arial"/>
          <w:lang w:val="sr-Latn-CS"/>
        </w:rPr>
        <w:t>š</w:t>
      </w:r>
      <w:r w:rsidRPr="00D14F43">
        <w:rPr>
          <w:rFonts w:ascii="Arial" w:hAnsi="Arial" w:cs="Arial"/>
        </w:rPr>
        <w:t>taja</w:t>
      </w:r>
      <w:r w:rsidRPr="00B20E38">
        <w:rPr>
          <w:rFonts w:ascii="Arial" w:hAnsi="Arial" w:cs="Arial"/>
          <w:lang w:val="sr-Latn-CS"/>
        </w:rPr>
        <w:t xml:space="preserve"> </w:t>
      </w:r>
      <w:r w:rsidRPr="00D14F43">
        <w:rPr>
          <w:rFonts w:ascii="Arial" w:hAnsi="Arial" w:cs="Arial"/>
        </w:rPr>
        <w:t>o</w:t>
      </w:r>
      <w:r w:rsidRPr="00B20E38">
        <w:rPr>
          <w:rFonts w:ascii="Arial" w:hAnsi="Arial" w:cs="Arial"/>
          <w:lang w:val="sr-Latn-CS"/>
        </w:rPr>
        <w:t xml:space="preserve"> </w:t>
      </w:r>
      <w:r w:rsidRPr="00D14F43">
        <w:rPr>
          <w:rFonts w:ascii="Arial" w:hAnsi="Arial" w:cs="Arial"/>
        </w:rPr>
        <w:t>prospekciji</w:t>
      </w:r>
      <w:r w:rsidRPr="00B20E38">
        <w:rPr>
          <w:rFonts w:ascii="Arial" w:hAnsi="Arial" w:cs="Arial"/>
          <w:lang w:val="sr-Latn-CS"/>
        </w:rPr>
        <w:t xml:space="preserve"> </w:t>
      </w:r>
      <w:r w:rsidRPr="00D14F43">
        <w:rPr>
          <w:rFonts w:ascii="Arial" w:hAnsi="Arial" w:cs="Arial"/>
        </w:rPr>
        <w:t>mo</w:t>
      </w:r>
      <w:r w:rsidRPr="00B20E38">
        <w:rPr>
          <w:rFonts w:ascii="Arial" w:hAnsi="Arial" w:cs="Arial"/>
          <w:lang w:val="sr-Latn-CS"/>
        </w:rPr>
        <w:t>ž</w:t>
      </w:r>
      <w:r w:rsidRPr="00D14F43">
        <w:rPr>
          <w:rFonts w:ascii="Arial" w:hAnsi="Arial" w:cs="Arial"/>
        </w:rPr>
        <w:t>e</w:t>
      </w:r>
      <w:r w:rsidRPr="00B20E38">
        <w:rPr>
          <w:rFonts w:ascii="Arial" w:hAnsi="Arial" w:cs="Arial"/>
          <w:lang w:val="sr-Latn-CS"/>
        </w:rPr>
        <w:t xml:space="preserve"> </w:t>
      </w:r>
      <w:r w:rsidRPr="00D14F43">
        <w:rPr>
          <w:rFonts w:ascii="Arial" w:hAnsi="Arial" w:cs="Arial"/>
        </w:rPr>
        <w:t>se</w:t>
      </w:r>
      <w:r w:rsidRPr="00B20E38">
        <w:rPr>
          <w:rFonts w:ascii="Arial" w:hAnsi="Arial" w:cs="Arial"/>
          <w:lang w:val="sr-Latn-CS"/>
        </w:rPr>
        <w:t xml:space="preserve"> </w:t>
      </w:r>
      <w:r w:rsidRPr="00D14F43">
        <w:rPr>
          <w:rFonts w:ascii="Arial" w:hAnsi="Arial" w:cs="Arial"/>
        </w:rPr>
        <w:t>zaklju</w:t>
      </w:r>
      <w:r w:rsidRPr="00B20E38">
        <w:rPr>
          <w:rFonts w:ascii="Arial" w:hAnsi="Arial" w:cs="Arial"/>
          <w:lang w:val="sr-Latn-CS"/>
        </w:rPr>
        <w:t>č</w:t>
      </w:r>
      <w:r w:rsidRPr="00D14F43">
        <w:rPr>
          <w:rFonts w:ascii="Arial" w:hAnsi="Arial" w:cs="Arial"/>
        </w:rPr>
        <w:t>iti</w:t>
      </w:r>
      <w:r w:rsidRPr="00B20E38">
        <w:rPr>
          <w:rFonts w:ascii="Arial" w:hAnsi="Arial" w:cs="Arial"/>
          <w:lang w:val="sr-Latn-CS"/>
        </w:rPr>
        <w:t xml:space="preserve"> </w:t>
      </w:r>
      <w:r w:rsidRPr="00D14F43">
        <w:rPr>
          <w:rFonts w:ascii="Arial" w:hAnsi="Arial" w:cs="Arial"/>
        </w:rPr>
        <w:t>da</w:t>
      </w:r>
      <w:r w:rsidRPr="00B20E38">
        <w:rPr>
          <w:rFonts w:ascii="Arial" w:hAnsi="Arial" w:cs="Arial"/>
          <w:lang w:val="sr-Latn-CS"/>
        </w:rPr>
        <w:t xml:space="preserve"> </w:t>
      </w:r>
      <w:r w:rsidRPr="00D14F43">
        <w:rPr>
          <w:rFonts w:ascii="Arial" w:hAnsi="Arial" w:cs="Arial"/>
        </w:rPr>
        <w:t>se</w:t>
      </w:r>
      <w:r w:rsidRPr="00B20E38">
        <w:rPr>
          <w:rFonts w:ascii="Arial" w:hAnsi="Arial" w:cs="Arial"/>
          <w:lang w:val="sr-Latn-CS"/>
        </w:rPr>
        <w:t xml:space="preserve"> </w:t>
      </w:r>
      <w:r w:rsidRPr="00D14F43">
        <w:rPr>
          <w:rFonts w:ascii="Arial" w:hAnsi="Arial" w:cs="Arial"/>
        </w:rPr>
        <w:t>ispitivana</w:t>
      </w:r>
      <w:r w:rsidRPr="00B20E38">
        <w:rPr>
          <w:rFonts w:ascii="Arial" w:hAnsi="Arial" w:cs="Arial"/>
          <w:lang w:val="sr-Latn-CS"/>
        </w:rPr>
        <w:t xml:space="preserve"> </w:t>
      </w:r>
      <w:r w:rsidRPr="00D14F43">
        <w:rPr>
          <w:rFonts w:ascii="Arial" w:hAnsi="Arial" w:cs="Arial"/>
        </w:rPr>
        <w:t>stijenska</w:t>
      </w:r>
      <w:r w:rsidRPr="00B20E38">
        <w:rPr>
          <w:rFonts w:ascii="Arial" w:hAnsi="Arial" w:cs="Arial"/>
          <w:lang w:val="sr-Latn-CS"/>
        </w:rPr>
        <w:t xml:space="preserve"> </w:t>
      </w:r>
      <w:r w:rsidRPr="00D14F43">
        <w:rPr>
          <w:rFonts w:ascii="Arial" w:hAnsi="Arial" w:cs="Arial"/>
        </w:rPr>
        <w:t>masa</w:t>
      </w:r>
      <w:r w:rsidRPr="00B20E38">
        <w:rPr>
          <w:rFonts w:ascii="Arial" w:hAnsi="Arial" w:cs="Arial"/>
          <w:lang w:val="sr-Latn-CS"/>
        </w:rPr>
        <w:t xml:space="preserve"> </w:t>
      </w:r>
      <w:r w:rsidRPr="00D14F43">
        <w:rPr>
          <w:rFonts w:ascii="Arial" w:hAnsi="Arial" w:cs="Arial"/>
        </w:rPr>
        <w:t>mo</w:t>
      </w:r>
      <w:r w:rsidRPr="00B20E38">
        <w:rPr>
          <w:rFonts w:ascii="Arial" w:hAnsi="Arial" w:cs="Arial"/>
          <w:lang w:val="sr-Latn-CS"/>
        </w:rPr>
        <w:t>ž</w:t>
      </w:r>
      <w:r w:rsidRPr="00D14F43">
        <w:rPr>
          <w:rFonts w:ascii="Arial" w:hAnsi="Arial" w:cs="Arial"/>
        </w:rPr>
        <w:t>e</w:t>
      </w:r>
      <w:r w:rsidRPr="00B20E38">
        <w:rPr>
          <w:rFonts w:ascii="Arial" w:hAnsi="Arial" w:cs="Arial"/>
          <w:lang w:val="sr-Latn-CS"/>
        </w:rPr>
        <w:t xml:space="preserve"> </w:t>
      </w:r>
      <w:r w:rsidRPr="00D14F43">
        <w:rPr>
          <w:rFonts w:ascii="Arial" w:hAnsi="Arial" w:cs="Arial"/>
        </w:rPr>
        <w:t>upotrebiti</w:t>
      </w:r>
      <w:r w:rsidRPr="00B20E38">
        <w:rPr>
          <w:rFonts w:ascii="Arial" w:hAnsi="Arial" w:cs="Arial"/>
          <w:lang w:val="sr-Latn-CS"/>
        </w:rPr>
        <w:t xml:space="preserve"> </w:t>
      </w:r>
      <w:r w:rsidRPr="00D14F43">
        <w:rPr>
          <w:rFonts w:ascii="Arial" w:hAnsi="Arial" w:cs="Arial"/>
        </w:rPr>
        <w:t>kao</w:t>
      </w:r>
      <w:r w:rsidRPr="00B20E38">
        <w:rPr>
          <w:rFonts w:ascii="Arial" w:hAnsi="Arial" w:cs="Arial"/>
          <w:lang w:val="sr-Latn-CS"/>
        </w:rPr>
        <w:t xml:space="preserve"> </w:t>
      </w:r>
      <w:r w:rsidRPr="00D14F43">
        <w:rPr>
          <w:rFonts w:ascii="Arial" w:hAnsi="Arial" w:cs="Arial"/>
        </w:rPr>
        <w:t>tehni</w:t>
      </w:r>
      <w:r w:rsidRPr="00B20E38">
        <w:rPr>
          <w:rFonts w:ascii="Arial" w:hAnsi="Arial" w:cs="Arial"/>
          <w:lang w:val="sr-Latn-CS"/>
        </w:rPr>
        <w:t>č</w:t>
      </w:r>
      <w:r w:rsidRPr="00D14F43">
        <w:rPr>
          <w:rFonts w:ascii="Arial" w:hAnsi="Arial" w:cs="Arial"/>
        </w:rPr>
        <w:t>ki</w:t>
      </w:r>
      <w:r w:rsidRPr="00B20E38">
        <w:rPr>
          <w:rFonts w:ascii="Arial" w:hAnsi="Arial" w:cs="Arial"/>
          <w:lang w:val="sr-Latn-CS"/>
        </w:rPr>
        <w:t xml:space="preserve"> </w:t>
      </w:r>
      <w:r w:rsidRPr="00D14F43">
        <w:rPr>
          <w:rFonts w:ascii="Arial" w:hAnsi="Arial" w:cs="Arial"/>
        </w:rPr>
        <w:t>gra</w:t>
      </w:r>
      <w:r w:rsidRPr="00B20E38">
        <w:rPr>
          <w:rFonts w:ascii="Arial" w:hAnsi="Arial" w:cs="Arial"/>
          <w:lang w:val="sr-Latn-CS"/>
        </w:rPr>
        <w:t>đ</w:t>
      </w:r>
      <w:r w:rsidRPr="00D14F43">
        <w:rPr>
          <w:rFonts w:ascii="Arial" w:hAnsi="Arial" w:cs="Arial"/>
        </w:rPr>
        <w:t>evinski</w:t>
      </w:r>
      <w:r w:rsidRPr="00B20E38">
        <w:rPr>
          <w:rFonts w:ascii="Arial" w:hAnsi="Arial" w:cs="Arial"/>
          <w:lang w:val="sr-Latn-CS"/>
        </w:rPr>
        <w:t xml:space="preserve"> </w:t>
      </w:r>
      <w:r w:rsidRPr="00D14F43">
        <w:rPr>
          <w:rFonts w:ascii="Arial" w:hAnsi="Arial" w:cs="Arial"/>
        </w:rPr>
        <w:t>kamen</w:t>
      </w:r>
      <w:r w:rsidRPr="00B20E38">
        <w:rPr>
          <w:rFonts w:ascii="Arial" w:hAnsi="Arial" w:cs="Arial"/>
          <w:lang w:val="sr-Latn-CS"/>
        </w:rPr>
        <w:t xml:space="preserve"> </w:t>
      </w:r>
      <w:r w:rsidRPr="00D14F43">
        <w:rPr>
          <w:rFonts w:ascii="Arial" w:hAnsi="Arial" w:cs="Arial"/>
        </w:rPr>
        <w:t>u</w:t>
      </w:r>
      <w:r w:rsidRPr="00B20E38">
        <w:rPr>
          <w:rFonts w:ascii="Arial" w:hAnsi="Arial" w:cs="Arial"/>
          <w:lang w:val="sr-Latn-CS"/>
        </w:rPr>
        <w:t xml:space="preserve"> </w:t>
      </w:r>
      <w:r w:rsidRPr="00D14F43">
        <w:rPr>
          <w:rFonts w:ascii="Arial" w:hAnsi="Arial" w:cs="Arial"/>
        </w:rPr>
        <w:t>saglasnosti</w:t>
      </w:r>
      <w:r w:rsidRPr="00B20E38">
        <w:rPr>
          <w:rFonts w:ascii="Arial" w:hAnsi="Arial" w:cs="Arial"/>
          <w:lang w:val="sr-Latn-CS"/>
        </w:rPr>
        <w:t xml:space="preserve"> </w:t>
      </w:r>
      <w:r w:rsidRPr="00D14F43">
        <w:rPr>
          <w:rFonts w:ascii="Arial" w:hAnsi="Arial" w:cs="Arial"/>
        </w:rPr>
        <w:t>sa</w:t>
      </w:r>
      <w:r w:rsidRPr="00B20E38">
        <w:rPr>
          <w:rFonts w:ascii="Arial" w:hAnsi="Arial" w:cs="Arial"/>
          <w:lang w:val="sr-Latn-CS"/>
        </w:rPr>
        <w:t xml:space="preserve"> </w:t>
      </w:r>
      <w:r w:rsidRPr="00D14F43">
        <w:rPr>
          <w:rFonts w:ascii="Arial" w:hAnsi="Arial" w:cs="Arial"/>
        </w:rPr>
        <w:t>tehni</w:t>
      </w:r>
      <w:r w:rsidRPr="00B20E38">
        <w:rPr>
          <w:rFonts w:ascii="Arial" w:hAnsi="Arial" w:cs="Arial"/>
          <w:lang w:val="sr-Latn-CS"/>
        </w:rPr>
        <w:t>č</w:t>
      </w:r>
      <w:r w:rsidRPr="00D14F43">
        <w:rPr>
          <w:rFonts w:ascii="Arial" w:hAnsi="Arial" w:cs="Arial"/>
        </w:rPr>
        <w:t>kim</w:t>
      </w:r>
      <w:r w:rsidRPr="00B20E38">
        <w:rPr>
          <w:rFonts w:ascii="Arial" w:hAnsi="Arial" w:cs="Arial"/>
          <w:lang w:val="sr-Latn-CS"/>
        </w:rPr>
        <w:t xml:space="preserve"> </w:t>
      </w:r>
      <w:r w:rsidRPr="00D14F43">
        <w:rPr>
          <w:rFonts w:ascii="Arial" w:hAnsi="Arial" w:cs="Arial"/>
        </w:rPr>
        <w:t>uslovima</w:t>
      </w:r>
      <w:r w:rsidRPr="00B20E38">
        <w:rPr>
          <w:rFonts w:ascii="Arial" w:hAnsi="Arial" w:cs="Arial"/>
          <w:lang w:val="sr-Latn-CS"/>
        </w:rPr>
        <w:t xml:space="preserve"> </w:t>
      </w:r>
      <w:r w:rsidRPr="00D14F43">
        <w:rPr>
          <w:rFonts w:ascii="Arial" w:hAnsi="Arial" w:cs="Arial"/>
        </w:rPr>
        <w:t>propisanih</w:t>
      </w:r>
      <w:r w:rsidRPr="00B20E38">
        <w:rPr>
          <w:rFonts w:ascii="Arial" w:hAnsi="Arial" w:cs="Arial"/>
          <w:lang w:val="sr-Latn-CS"/>
        </w:rPr>
        <w:t xml:space="preserve"> </w:t>
      </w:r>
      <w:r w:rsidRPr="00D14F43">
        <w:rPr>
          <w:rFonts w:ascii="Arial" w:hAnsi="Arial" w:cs="Arial"/>
        </w:rPr>
        <w:t>standarda</w:t>
      </w:r>
      <w:r w:rsidRPr="00B20E38">
        <w:rPr>
          <w:rFonts w:ascii="Arial" w:hAnsi="Arial" w:cs="Arial"/>
          <w:lang w:val="sr-Latn-CS"/>
        </w:rPr>
        <w:t>.</w:t>
      </w:r>
    </w:p>
    <w:p w14:paraId="44B773C5" w14:textId="77777777" w:rsidR="00F74290" w:rsidRPr="00B20E38" w:rsidRDefault="00F74290" w:rsidP="003D5374">
      <w:pPr>
        <w:spacing w:after="0" w:line="240" w:lineRule="auto"/>
        <w:jc w:val="both"/>
        <w:rPr>
          <w:rFonts w:ascii="Arial" w:hAnsi="Arial" w:cs="Arial"/>
          <w:lang w:val="sr-Latn-CS"/>
        </w:rPr>
      </w:pPr>
    </w:p>
    <w:p w14:paraId="4474DA29" w14:textId="77777777" w:rsidR="00744584" w:rsidRPr="00E56DC2" w:rsidRDefault="00A41658" w:rsidP="003D5374">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30"/>
    </w:p>
    <w:p w14:paraId="51E230E2" w14:textId="77777777" w:rsidR="00386BAD" w:rsidRPr="00E56DC2" w:rsidRDefault="00386BAD" w:rsidP="003D5374">
      <w:pPr>
        <w:spacing w:after="0" w:line="240" w:lineRule="auto"/>
        <w:jc w:val="both"/>
        <w:rPr>
          <w:rFonts w:ascii="Arial" w:hAnsi="Arial" w:cs="Arial"/>
          <w:lang w:val="sr-Latn-CS"/>
        </w:rPr>
      </w:pPr>
    </w:p>
    <w:p w14:paraId="36B272A8" w14:textId="77777777" w:rsidR="00313B20" w:rsidRPr="00E56DC2" w:rsidRDefault="00313B20" w:rsidP="003D5374">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E56DC2">
        <w:rPr>
          <w:rFonts w:ascii="Arial" w:hAnsi="Arial" w:cs="Arial"/>
          <w:b/>
          <w:lang w:val="sr-Latn-CS"/>
        </w:rPr>
        <w:t>14,64 €/m</w:t>
      </w:r>
      <w:r w:rsidRPr="00E56DC2">
        <w:rPr>
          <w:rFonts w:ascii="Arial" w:hAnsi="Arial" w:cs="Arial"/>
          <w:b/>
          <w:vertAlign w:val="superscript"/>
          <w:lang w:val="sr-Latn-CS"/>
        </w:rPr>
        <w:t>3</w:t>
      </w:r>
      <w:r w:rsidRPr="00E56DC2">
        <w:rPr>
          <w:rFonts w:ascii="Arial" w:hAnsi="Arial" w:cs="Arial"/>
          <w:lang w:val="sr-Latn-CS"/>
        </w:rPr>
        <w:t xml:space="preserve">. </w:t>
      </w:r>
    </w:p>
    <w:p w14:paraId="32AC31D8" w14:textId="28D68E6C" w:rsidR="003D5374" w:rsidRPr="00E56DC2" w:rsidRDefault="003D5374" w:rsidP="003D5374">
      <w:pPr>
        <w:spacing w:after="0" w:line="240" w:lineRule="auto"/>
        <w:jc w:val="both"/>
        <w:rPr>
          <w:rFonts w:ascii="Arial" w:hAnsi="Arial" w:cs="Arial"/>
          <w:lang w:val="sr-Latn-CS"/>
        </w:rPr>
      </w:pPr>
    </w:p>
    <w:p w14:paraId="59000583" w14:textId="26908CFF" w:rsidR="00313B20" w:rsidRPr="00E56DC2" w:rsidRDefault="00313B20" w:rsidP="003D5374">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6A4F29">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14:paraId="70E0641B" w14:textId="77777777" w:rsidR="00313B20" w:rsidRPr="00E56DC2" w:rsidRDefault="00313B20" w:rsidP="003D5374">
      <w:pPr>
        <w:spacing w:after="0" w:line="240" w:lineRule="auto"/>
        <w:jc w:val="both"/>
        <w:rPr>
          <w:rFonts w:ascii="Arial" w:hAnsi="Arial" w:cs="Arial"/>
          <w:b/>
          <w:lang w:val="sr-Latn-CS"/>
        </w:rPr>
      </w:pPr>
    </w:p>
    <w:p w14:paraId="595A7AD7" w14:textId="0108D6F9" w:rsidR="00313B20" w:rsidRDefault="006A4F29" w:rsidP="003D5374">
      <w:pPr>
        <w:spacing w:after="0" w:line="240" w:lineRule="auto"/>
        <w:jc w:val="both"/>
        <w:rPr>
          <w:rFonts w:ascii="Arial" w:hAnsi="Arial" w:cs="Arial"/>
          <w:b/>
          <w:lang w:val="sr-Latn-CS"/>
        </w:rPr>
      </w:pPr>
      <w:bookmarkStart w:id="31" w:name="_Toc402262959"/>
      <w:r w:rsidRPr="00D14F43">
        <w:rPr>
          <w:rFonts w:ascii="Arial" w:hAnsi="Arial" w:cs="Arial"/>
          <w:b/>
          <w:lang w:val="sr-Latn-CS"/>
        </w:rPr>
        <w:t>VP= 560 000 m</w:t>
      </w:r>
      <w:r w:rsidRPr="00D14F43">
        <w:rPr>
          <w:rFonts w:ascii="Arial" w:hAnsi="Arial" w:cs="Arial"/>
          <w:b/>
          <w:vertAlign w:val="superscript"/>
          <w:lang w:val="sr-Latn-CS"/>
        </w:rPr>
        <w:t>3</w:t>
      </w:r>
      <w:r w:rsidRPr="00D14F43">
        <w:rPr>
          <w:rFonts w:ascii="Arial" w:hAnsi="Arial" w:cs="Arial"/>
          <w:b/>
          <w:lang w:val="sr-Latn-CS"/>
        </w:rPr>
        <w:t xml:space="preserve"> č.s.m. x 1,5 x 14,64 €/m</w:t>
      </w:r>
      <w:r w:rsidRPr="00D14F43">
        <w:rPr>
          <w:rFonts w:ascii="Arial" w:hAnsi="Arial" w:cs="Arial"/>
          <w:b/>
          <w:vertAlign w:val="superscript"/>
          <w:lang w:val="sr-Latn-CS"/>
        </w:rPr>
        <w:t>3</w:t>
      </w:r>
      <w:r w:rsidRPr="00D14F43">
        <w:rPr>
          <w:rFonts w:ascii="Arial" w:hAnsi="Arial" w:cs="Arial"/>
          <w:b/>
          <w:lang w:val="sr-Latn-CS"/>
        </w:rPr>
        <w:t xml:space="preserve"> = 12 297 600 € ili 439.200 €/godišnje</w:t>
      </w:r>
    </w:p>
    <w:p w14:paraId="4B2BD08B" w14:textId="77777777" w:rsidR="006A4F29" w:rsidRPr="00E56DC2" w:rsidRDefault="006A4F29" w:rsidP="003D5374">
      <w:pPr>
        <w:spacing w:after="0" w:line="240" w:lineRule="auto"/>
        <w:jc w:val="both"/>
        <w:rPr>
          <w:rFonts w:ascii="Arial" w:hAnsi="Arial" w:cs="Arial"/>
          <w:b/>
          <w:lang w:val="sr-Latn-CS"/>
        </w:rPr>
      </w:pPr>
    </w:p>
    <w:p w14:paraId="7F2769A3" w14:textId="77777777" w:rsidR="00313B20" w:rsidRPr="00E56DC2" w:rsidRDefault="00313B20" w:rsidP="003D5374">
      <w:pPr>
        <w:spacing w:after="0" w:line="240" w:lineRule="auto"/>
        <w:jc w:val="both"/>
        <w:rPr>
          <w:rFonts w:ascii="Arial" w:hAnsi="Arial" w:cs="Arial"/>
          <w:b/>
          <w:bCs/>
          <w:iCs/>
          <w:lang w:val="sr-Latn-CS" w:eastAsia="x-none"/>
        </w:rPr>
      </w:pPr>
      <w:r w:rsidRPr="00E56DC2">
        <w:rPr>
          <w:rFonts w:ascii="Arial" w:hAnsi="Arial" w:cs="Arial"/>
          <w:b/>
          <w:bCs/>
          <w:iCs/>
          <w:lang w:val="sr-Latn-CS" w:eastAsia="x-none"/>
        </w:rPr>
        <w:t>8.2 Obračun minimalne koncesione naknade</w:t>
      </w:r>
      <w:bookmarkEnd w:id="31"/>
    </w:p>
    <w:p w14:paraId="260C82C2" w14:textId="77777777" w:rsidR="00313B20" w:rsidRPr="00E56DC2" w:rsidRDefault="00313B20" w:rsidP="003D5374">
      <w:pPr>
        <w:spacing w:after="0" w:line="240" w:lineRule="auto"/>
        <w:jc w:val="both"/>
        <w:rPr>
          <w:rFonts w:ascii="Arial" w:hAnsi="Arial" w:cs="Arial"/>
          <w:lang w:val="sr-Latn-CS"/>
        </w:rPr>
      </w:pPr>
    </w:p>
    <w:p w14:paraId="4C1C2970"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6F6E7DEF" w14:textId="77777777" w:rsidR="000B17E1" w:rsidRPr="00D14F43" w:rsidRDefault="000B17E1" w:rsidP="003D5374">
      <w:pPr>
        <w:spacing w:after="0" w:line="240" w:lineRule="auto"/>
        <w:jc w:val="both"/>
        <w:rPr>
          <w:rFonts w:ascii="Arial" w:hAnsi="Arial" w:cs="Arial"/>
          <w:b/>
          <w:lang w:val="sr-Latn-CS"/>
        </w:rPr>
      </w:pPr>
    </w:p>
    <w:p w14:paraId="7CE22844"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MDN= VP x G</w:t>
      </w:r>
    </w:p>
    <w:p w14:paraId="0B2FAF05" w14:textId="77777777" w:rsidR="000B17E1" w:rsidRPr="00D14F43" w:rsidRDefault="000B17E1" w:rsidP="003D5374">
      <w:pPr>
        <w:spacing w:after="0" w:line="240" w:lineRule="auto"/>
        <w:jc w:val="both"/>
        <w:rPr>
          <w:rFonts w:ascii="Arial" w:hAnsi="Arial" w:cs="Arial"/>
          <w:lang w:val="sr-Latn-CS"/>
        </w:rPr>
      </w:pPr>
    </w:p>
    <w:p w14:paraId="3F59FF19"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gdje su</w:t>
      </w:r>
    </w:p>
    <w:p w14:paraId="7A9C4954"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Pr="00D14F43">
        <w:rPr>
          <w:rFonts w:ascii="Arial" w:hAnsi="Arial" w:cs="Arial"/>
          <w:b/>
          <w:lang w:val="sr-Latn-CS"/>
        </w:rPr>
        <w:t xml:space="preserve">12 297 600 </w:t>
      </w:r>
      <w:r w:rsidRPr="00D14F43">
        <w:rPr>
          <w:rFonts w:ascii="Arial" w:hAnsi="Arial" w:cs="Arial"/>
          <w:lang w:val="sr-Latn-CS"/>
        </w:rPr>
        <w:t xml:space="preserve">€ (za </w:t>
      </w:r>
      <w:r w:rsidRPr="00D14F43">
        <w:rPr>
          <w:rFonts w:ascii="Arial" w:eastAsia="Times New Roman" w:hAnsi="Arial" w:cs="Arial"/>
          <w:lang w:val="sr-Latn-CS"/>
        </w:rPr>
        <w:t>28 godina</w:t>
      </w:r>
      <w:r w:rsidRPr="00D14F43">
        <w:rPr>
          <w:rFonts w:ascii="Arial" w:hAnsi="Arial" w:cs="Arial"/>
          <w:lang w:val="sr-Latn-CS"/>
        </w:rPr>
        <w:t>)</w:t>
      </w:r>
    </w:p>
    <w:p w14:paraId="58B62741"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 xml:space="preserve">VP - vrijednost godišnje proizvodnje = </w:t>
      </w:r>
      <w:r w:rsidRPr="00D14F43">
        <w:rPr>
          <w:rFonts w:ascii="Arial" w:hAnsi="Arial" w:cs="Arial"/>
          <w:b/>
          <w:lang w:val="sr-Latn-CS"/>
        </w:rPr>
        <w:t xml:space="preserve">439.200 </w:t>
      </w:r>
      <w:r w:rsidRPr="00D14F43">
        <w:rPr>
          <w:rFonts w:ascii="Arial" w:hAnsi="Arial" w:cs="Arial"/>
          <w:lang w:val="sr-Latn-CS"/>
        </w:rPr>
        <w:t>€</w:t>
      </w:r>
    </w:p>
    <w:p w14:paraId="5F0CDFAC" w14:textId="2B974C24" w:rsidR="000B17E1" w:rsidRPr="00D14F43"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0B17E1" w:rsidRPr="00D14F43">
        <w:rPr>
          <w:rFonts w:ascii="Arial" w:hAnsi="Arial" w:cs="Arial"/>
          <w:lang w:val="sr-Latn-CS"/>
        </w:rPr>
        <w:t xml:space="preserve">G - </w:t>
      </w:r>
      <w:r>
        <w:rPr>
          <w:rFonts w:ascii="Arial" w:hAnsi="Arial" w:cs="Arial"/>
          <w:lang w:val="sr-Latn-CS"/>
        </w:rPr>
        <w:t xml:space="preserve"> </w:t>
      </w:r>
      <w:r w:rsidR="000B17E1" w:rsidRPr="00D14F43">
        <w:rPr>
          <w:rFonts w:ascii="Arial" w:hAnsi="Arial" w:cs="Arial"/>
          <w:lang w:val="sr-Latn-CS"/>
        </w:rPr>
        <w:t>minimalni procentni iznos (7%)</w:t>
      </w:r>
    </w:p>
    <w:p w14:paraId="0BEDBB61" w14:textId="77777777" w:rsidR="000B17E1" w:rsidRPr="00D14F43" w:rsidRDefault="000B17E1" w:rsidP="003D5374">
      <w:pPr>
        <w:spacing w:after="0" w:line="240" w:lineRule="auto"/>
        <w:jc w:val="both"/>
        <w:rPr>
          <w:rFonts w:ascii="Arial" w:hAnsi="Arial" w:cs="Arial"/>
          <w:b/>
          <w:lang w:val="sr-Latn-CS"/>
        </w:rPr>
      </w:pPr>
    </w:p>
    <w:p w14:paraId="3A3A2F50"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MDN = 12 297 600 € x 0,07 = 860 832 €</w:t>
      </w:r>
      <w:r w:rsidRPr="00D14F43">
        <w:rPr>
          <w:rFonts w:ascii="Arial" w:hAnsi="Arial" w:cs="Arial"/>
          <w:lang w:val="sr-Latn-CS"/>
        </w:rPr>
        <w:t xml:space="preserve"> (ukupno za </w:t>
      </w:r>
      <w:r w:rsidRPr="00D14F43">
        <w:rPr>
          <w:rFonts w:ascii="Arial" w:eastAsia="Times New Roman" w:hAnsi="Arial" w:cs="Arial"/>
          <w:lang w:val="sr-Latn-CS"/>
        </w:rPr>
        <w:t>28 godina</w:t>
      </w:r>
      <w:r w:rsidRPr="00D14F43">
        <w:rPr>
          <w:rFonts w:ascii="Arial" w:hAnsi="Arial" w:cs="Arial"/>
          <w:lang w:val="sr-Latn-CS"/>
        </w:rPr>
        <w:t>)</w:t>
      </w:r>
    </w:p>
    <w:p w14:paraId="6535D6F1"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MDN = 439.200 € x 0,07= 30 744 €/godišnje</w:t>
      </w:r>
    </w:p>
    <w:p w14:paraId="5D83D54F" w14:textId="77777777" w:rsidR="000B17E1" w:rsidRPr="00D14F43" w:rsidRDefault="000B17E1" w:rsidP="003D5374">
      <w:pPr>
        <w:spacing w:after="0" w:line="240" w:lineRule="auto"/>
        <w:jc w:val="both"/>
        <w:rPr>
          <w:rFonts w:ascii="Arial" w:hAnsi="Arial" w:cs="Arial"/>
          <w:lang w:val="sr-Latn-CS"/>
        </w:rPr>
      </w:pPr>
    </w:p>
    <w:p w14:paraId="259B17E9"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49F101D0" w14:textId="77777777" w:rsidR="000B17E1" w:rsidRPr="00D14F43" w:rsidRDefault="000B17E1" w:rsidP="003D5374">
      <w:pPr>
        <w:spacing w:after="0" w:line="240" w:lineRule="auto"/>
        <w:jc w:val="both"/>
        <w:rPr>
          <w:rFonts w:ascii="Arial" w:hAnsi="Arial" w:cs="Arial"/>
          <w:lang w:val="sr-Latn-CS"/>
        </w:rPr>
      </w:pPr>
    </w:p>
    <w:p w14:paraId="3DDF5CEF"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3CFD0488" w14:textId="77777777" w:rsidR="000B17E1" w:rsidRPr="00D14F43" w:rsidRDefault="000B17E1" w:rsidP="003D5374">
      <w:pPr>
        <w:spacing w:after="0" w:line="240" w:lineRule="auto"/>
        <w:jc w:val="both"/>
        <w:rPr>
          <w:rFonts w:ascii="Arial" w:hAnsi="Arial" w:cs="Arial"/>
          <w:lang w:val="sr-Latn-CS"/>
        </w:rPr>
      </w:pPr>
    </w:p>
    <w:p w14:paraId="51A3A8BA"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Pr="00D14F43">
        <w:rPr>
          <w:rFonts w:ascii="Arial" w:eastAsia="Times New Roman" w:hAnsi="Arial" w:cs="Arial"/>
          <w:lang w:val="sr-Latn-CS"/>
        </w:rPr>
        <w:t xml:space="preserve">28 godina </w:t>
      </w:r>
      <w:r w:rsidRPr="00D14F43">
        <w:rPr>
          <w:rFonts w:ascii="Arial" w:hAnsi="Arial" w:cs="Arial"/>
          <w:b/>
          <w:lang w:val="sr-Latn-CS"/>
        </w:rPr>
        <w:t>SDN = 860 832 €</w:t>
      </w:r>
    </w:p>
    <w:p w14:paraId="0E8CC0D0"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 SDN (godišnje) = 30 744 €</w:t>
      </w:r>
    </w:p>
    <w:p w14:paraId="48CDABDA" w14:textId="77777777" w:rsidR="000B17E1" w:rsidRPr="00D14F43" w:rsidRDefault="000B17E1" w:rsidP="003D5374">
      <w:pPr>
        <w:spacing w:after="0" w:line="240" w:lineRule="auto"/>
        <w:jc w:val="both"/>
        <w:rPr>
          <w:rFonts w:ascii="Arial" w:hAnsi="Arial" w:cs="Arial"/>
          <w:b/>
          <w:lang w:val="sr-Latn-CS"/>
        </w:rPr>
      </w:pPr>
    </w:p>
    <w:p w14:paraId="15469E31"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Stalni dio koncesione naknade koji se utvrđuje Ugovorom o koncesiji, i može, u zavisnosti od ponuda, biti veći od obračunatog minimalnog iznosa.</w:t>
      </w:r>
    </w:p>
    <w:p w14:paraId="512F8907" w14:textId="77777777" w:rsidR="000B17E1" w:rsidRPr="00D14F43" w:rsidRDefault="000B17E1" w:rsidP="003D5374">
      <w:pPr>
        <w:spacing w:after="0" w:line="240" w:lineRule="auto"/>
        <w:jc w:val="both"/>
        <w:rPr>
          <w:rFonts w:ascii="Arial" w:hAnsi="Arial" w:cs="Arial"/>
          <w:lang w:val="sr-Latn-CS"/>
        </w:rPr>
      </w:pPr>
    </w:p>
    <w:p w14:paraId="27A8B978"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0EE007F7" w14:textId="77777777" w:rsidR="000B17E1" w:rsidRPr="00D14F43" w:rsidRDefault="000B17E1" w:rsidP="003D5374">
      <w:pPr>
        <w:spacing w:after="0" w:line="240" w:lineRule="auto"/>
        <w:jc w:val="both"/>
        <w:rPr>
          <w:rFonts w:ascii="Arial" w:hAnsi="Arial" w:cs="Arial"/>
          <w:lang w:val="sr-Latn-CS"/>
        </w:rPr>
      </w:pPr>
    </w:p>
    <w:p w14:paraId="439E3A44"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 decembra tekuće godine.</w:t>
      </w:r>
    </w:p>
    <w:p w14:paraId="68269D4F" w14:textId="34197524" w:rsidR="006B086F" w:rsidRDefault="006B086F" w:rsidP="003D5374">
      <w:pPr>
        <w:spacing w:after="0" w:line="240" w:lineRule="auto"/>
        <w:jc w:val="both"/>
        <w:rPr>
          <w:rFonts w:ascii="Arial" w:hAnsi="Arial" w:cs="Arial"/>
          <w:b/>
          <w:lang w:val="sr-Latn-CS"/>
        </w:rPr>
      </w:pPr>
    </w:p>
    <w:p w14:paraId="4FAFB726" w14:textId="77777777" w:rsidR="00C4360C" w:rsidRPr="00E56DC2" w:rsidRDefault="00C4360C" w:rsidP="003D5374">
      <w:pPr>
        <w:spacing w:after="0" w:line="240" w:lineRule="auto"/>
        <w:jc w:val="both"/>
        <w:rPr>
          <w:rFonts w:ascii="Arial" w:hAnsi="Arial" w:cs="Arial"/>
          <w:b/>
          <w:lang w:val="sr-Latn-CS"/>
        </w:rPr>
      </w:pPr>
    </w:p>
    <w:p w14:paraId="676FEF73" w14:textId="77777777" w:rsidR="00744584" w:rsidRPr="00E56DC2" w:rsidRDefault="001E4D4F" w:rsidP="003D5374">
      <w:pPr>
        <w:pStyle w:val="Heading2"/>
      </w:pPr>
      <w:bookmarkStart w:id="32" w:name="_Toc402262960"/>
      <w:r w:rsidRPr="00E56DC2">
        <w:lastRenderedPageBreak/>
        <w:t xml:space="preserve">8.3 </w:t>
      </w:r>
      <w:r w:rsidR="00744584" w:rsidRPr="00E56DC2">
        <w:t>Promjenjivi dio koncesione naknade (PDN)</w:t>
      </w:r>
      <w:bookmarkEnd w:id="32"/>
    </w:p>
    <w:p w14:paraId="4C42046A" w14:textId="77777777" w:rsidR="00744584" w:rsidRPr="00E56DC2" w:rsidRDefault="00744584" w:rsidP="003D5374">
      <w:pPr>
        <w:spacing w:after="0" w:line="240" w:lineRule="auto"/>
        <w:jc w:val="both"/>
        <w:rPr>
          <w:rFonts w:ascii="Arial" w:hAnsi="Arial" w:cs="Arial"/>
          <w:lang w:val="sr-Latn-CS"/>
        </w:rPr>
      </w:pPr>
    </w:p>
    <w:p w14:paraId="1BB03718"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3D5374">
      <w:pPr>
        <w:spacing w:after="0" w:line="240" w:lineRule="auto"/>
        <w:jc w:val="both"/>
        <w:rPr>
          <w:rFonts w:ascii="Arial" w:hAnsi="Arial" w:cs="Arial"/>
          <w:b/>
          <w:lang w:val="sr-Latn-CS"/>
        </w:rPr>
      </w:pPr>
    </w:p>
    <w:p w14:paraId="3B0471EA" w14:textId="77777777" w:rsidR="00744584" w:rsidRPr="00E56DC2" w:rsidRDefault="00744584" w:rsidP="003D5374">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3D5374">
      <w:pPr>
        <w:spacing w:after="0" w:line="240" w:lineRule="auto"/>
        <w:jc w:val="both"/>
        <w:rPr>
          <w:rFonts w:ascii="Arial" w:hAnsi="Arial" w:cs="Arial"/>
          <w:lang w:val="sr-Latn-CS"/>
        </w:rPr>
      </w:pPr>
    </w:p>
    <w:p w14:paraId="02CB4D92" w14:textId="1300F9FF" w:rsidR="00744584" w:rsidRDefault="00744584" w:rsidP="003D5374">
      <w:pPr>
        <w:spacing w:after="0" w:line="240" w:lineRule="auto"/>
        <w:jc w:val="both"/>
        <w:rPr>
          <w:rFonts w:ascii="Arial" w:hAnsi="Arial" w:cs="Arial"/>
          <w:lang w:val="sr-Latn-CS"/>
        </w:rPr>
      </w:pPr>
      <w:r w:rsidRPr="00E56DC2">
        <w:rPr>
          <w:rFonts w:ascii="Arial" w:hAnsi="Arial" w:cs="Arial"/>
          <w:lang w:val="sr-Latn-CS"/>
        </w:rPr>
        <w:t>gdje su:</w:t>
      </w:r>
    </w:p>
    <w:p w14:paraId="27836CE7" w14:textId="77777777" w:rsidR="003D5374" w:rsidRPr="00E56DC2" w:rsidRDefault="003D5374" w:rsidP="003D5374">
      <w:pPr>
        <w:spacing w:after="0" w:line="240" w:lineRule="auto"/>
        <w:jc w:val="both"/>
        <w:rPr>
          <w:rFonts w:ascii="Arial" w:hAnsi="Arial" w:cs="Arial"/>
          <w:lang w:val="sr-Latn-CS"/>
        </w:rPr>
      </w:pPr>
    </w:p>
    <w:p w14:paraId="72ED37CE" w14:textId="77777777" w:rsidR="003D5374"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VP - godišnja vrijednost proizvodnje obračunata na osnovu ostvarene godišnje proizvodnje </w:t>
      </w:r>
    </w:p>
    <w:p w14:paraId="4C6B98FA" w14:textId="0557E6D7" w:rsidR="00744584" w:rsidRPr="00E56DC2"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mineralne sirovine i prosječne godišnje prodajne cijene priozvoda</w:t>
      </w:r>
    </w:p>
    <w:p w14:paraId="56D89ED7" w14:textId="6B133718"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G - </w:t>
      </w:r>
      <w:r w:rsidR="003D5374">
        <w:rPr>
          <w:rFonts w:ascii="Arial" w:hAnsi="Arial" w:cs="Arial"/>
          <w:lang w:val="sr-Latn-CS"/>
        </w:rPr>
        <w:t xml:space="preserve">  </w:t>
      </w:r>
      <w:r w:rsidRPr="00E56DC2">
        <w:rPr>
          <w:rFonts w:ascii="Arial" w:hAnsi="Arial" w:cs="Arial"/>
          <w:lang w:val="sr-Latn-CS"/>
        </w:rPr>
        <w:t xml:space="preserve">ugovoreni procentualni iznos za pripadnost grupi </w:t>
      </w:r>
      <w:r w:rsidR="00BC1B3C">
        <w:rPr>
          <w:rFonts w:ascii="Arial" w:hAnsi="Arial" w:cs="Arial"/>
          <w:lang w:val="sr-Latn-CS"/>
        </w:rPr>
        <w:t>lokaliteta</w:t>
      </w:r>
      <w:r w:rsidRPr="00E56DC2">
        <w:rPr>
          <w:rFonts w:ascii="Arial" w:hAnsi="Arial" w:cs="Arial"/>
          <w:lang w:val="sr-Latn-CS"/>
        </w:rPr>
        <w:t xml:space="preserve"> (</w:t>
      </w:r>
      <w:r w:rsidR="00B33171" w:rsidRPr="00E56DC2">
        <w:rPr>
          <w:rFonts w:ascii="Arial" w:hAnsi="Arial" w:cs="Arial"/>
          <w:lang w:val="sr-Latn-CS"/>
        </w:rPr>
        <w:t>ne</w:t>
      </w:r>
      <w:r w:rsidRPr="00E56DC2">
        <w:rPr>
          <w:rFonts w:ascii="Arial" w:hAnsi="Arial" w:cs="Arial"/>
          <w:lang w:val="sr-Latn-CS"/>
        </w:rPr>
        <w:t xml:space="preserve"> manji od 7 %)</w:t>
      </w:r>
    </w:p>
    <w:p w14:paraId="54760E54" w14:textId="52DFB442" w:rsidR="003D5374"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K - </w:t>
      </w:r>
      <w:r w:rsidR="003D5374">
        <w:rPr>
          <w:rFonts w:ascii="Arial" w:hAnsi="Arial" w:cs="Arial"/>
          <w:lang w:val="sr-Latn-CS"/>
        </w:rPr>
        <w:t xml:space="preserve">  </w:t>
      </w:r>
      <w:r w:rsidRPr="00E56DC2">
        <w:rPr>
          <w:rFonts w:ascii="Arial" w:hAnsi="Arial" w:cs="Arial"/>
          <w:lang w:val="sr-Latn-CS"/>
        </w:rPr>
        <w:t>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 xml:space="preserve">nati iznos se </w:t>
      </w:r>
    </w:p>
    <w:p w14:paraId="4F527DCA" w14:textId="5B357BDE" w:rsidR="00744584" w:rsidRPr="00E56DC2"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484F44" w:rsidRPr="00E56DC2">
        <w:rPr>
          <w:rFonts w:ascii="Arial" w:hAnsi="Arial" w:cs="Arial"/>
          <w:lang w:val="sr-Latn-CS"/>
        </w:rPr>
        <w:t>uvećava od 0 do 3</w:t>
      </w:r>
      <w:r w:rsidR="008C574F" w:rsidRPr="00E56DC2">
        <w:rPr>
          <w:rFonts w:ascii="Arial" w:hAnsi="Arial" w:cs="Arial"/>
          <w:lang w:val="sr-Latn-CS"/>
        </w:rPr>
        <w:t>%, čl. 21 Uredbe).</w:t>
      </w:r>
    </w:p>
    <w:p w14:paraId="2AB08680" w14:textId="77777777" w:rsidR="008C574F" w:rsidRPr="00E56DC2" w:rsidRDefault="008C574F" w:rsidP="003D5374">
      <w:pPr>
        <w:spacing w:after="0" w:line="240" w:lineRule="auto"/>
        <w:jc w:val="both"/>
        <w:rPr>
          <w:rFonts w:ascii="Arial" w:hAnsi="Arial" w:cs="Arial"/>
          <w:lang w:val="sr-Latn-CS"/>
        </w:rPr>
      </w:pPr>
    </w:p>
    <w:p w14:paraId="5124A75A" w14:textId="77777777" w:rsidR="00744584" w:rsidRPr="00E56DC2" w:rsidRDefault="00A10F5E" w:rsidP="003D5374">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3D5374">
      <w:pPr>
        <w:spacing w:after="0" w:line="240" w:lineRule="auto"/>
        <w:jc w:val="both"/>
        <w:rPr>
          <w:rFonts w:ascii="Arial" w:hAnsi="Arial" w:cs="Arial"/>
          <w:lang w:val="sr-Latn-CS"/>
        </w:rPr>
      </w:pPr>
    </w:p>
    <w:p w14:paraId="3D2C380D"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3D5374">
      <w:pPr>
        <w:spacing w:after="0" w:line="240" w:lineRule="auto"/>
        <w:jc w:val="both"/>
        <w:rPr>
          <w:rFonts w:ascii="Arial" w:hAnsi="Arial" w:cs="Arial"/>
          <w:lang w:val="sr-Latn-CS"/>
        </w:rPr>
      </w:pPr>
    </w:p>
    <w:p w14:paraId="1561EAEE" w14:textId="77777777" w:rsidR="00744584" w:rsidRPr="00E56DC2" w:rsidRDefault="00744584" w:rsidP="003D5374">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501EAFED" w14:textId="77777777" w:rsidR="003D5374" w:rsidRDefault="00744584" w:rsidP="003D5374">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r w:rsidR="003D5374">
        <w:rPr>
          <w:rFonts w:ascii="Arial" w:hAnsi="Arial" w:cs="Arial"/>
          <w:lang w:val="sr-Latn-CS"/>
        </w:rPr>
        <w:t xml:space="preserve">  </w:t>
      </w:r>
    </w:p>
    <w:p w14:paraId="687E6242" w14:textId="7D51D702" w:rsidR="00744584" w:rsidRPr="003D5374"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744584" w:rsidRPr="003D5374">
        <w:rPr>
          <w:rFonts w:ascii="Arial" w:hAnsi="Arial" w:cs="Arial"/>
          <w:lang w:val="sr-Latn-CS"/>
        </w:rPr>
        <w:t>sirovine; i</w:t>
      </w:r>
    </w:p>
    <w:p w14:paraId="23695A47" w14:textId="77777777" w:rsidR="003D5374" w:rsidRDefault="00744584" w:rsidP="003D5374">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w:t>
      </w:r>
    </w:p>
    <w:p w14:paraId="4C78E2EC" w14:textId="773F0067" w:rsidR="00744584" w:rsidRPr="00E56DC2"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484F44" w:rsidRPr="00E56DC2">
        <w:rPr>
          <w:rFonts w:ascii="Arial" w:hAnsi="Arial" w:cs="Arial"/>
          <w:lang w:val="sr-Latn-CS"/>
        </w:rPr>
        <w:t xml:space="preserve"> </w:t>
      </w:r>
      <w:r w:rsidR="00744584" w:rsidRPr="00E56DC2">
        <w:rPr>
          <w:rFonts w:ascii="Arial" w:hAnsi="Arial" w:cs="Arial"/>
          <w:lang w:val="sr-Latn-CS"/>
        </w:rPr>
        <w:t>i stranom tržištu.</w:t>
      </w:r>
    </w:p>
    <w:p w14:paraId="54A65193" w14:textId="77777777" w:rsidR="00744584" w:rsidRPr="00E56DC2" w:rsidRDefault="00744584" w:rsidP="003D5374">
      <w:pPr>
        <w:spacing w:after="0" w:line="240" w:lineRule="auto"/>
        <w:jc w:val="both"/>
        <w:rPr>
          <w:rFonts w:ascii="Arial" w:hAnsi="Arial" w:cs="Arial"/>
          <w:lang w:val="sr-Latn-CS"/>
        </w:rPr>
      </w:pPr>
    </w:p>
    <w:p w14:paraId="0B944614" w14:textId="77777777" w:rsidR="004102A3"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26872E41" w:rsidR="00205A29" w:rsidRPr="00E56DC2" w:rsidRDefault="004102A3" w:rsidP="003D5374">
      <w:pPr>
        <w:spacing w:after="0" w:line="240" w:lineRule="auto"/>
        <w:jc w:val="both"/>
        <w:rPr>
          <w:rFonts w:ascii="Arial" w:hAnsi="Arial" w:cs="Arial"/>
          <w:lang w:val="sr-Latn-CS"/>
        </w:rPr>
      </w:pPr>
      <w:r w:rsidRPr="00E56DC2">
        <w:rPr>
          <w:rFonts w:ascii="Arial" w:hAnsi="Arial" w:cs="Arial"/>
          <w:lang w:val="sr-Latn-CS"/>
        </w:rPr>
        <w:t xml:space="preserve"> </w:t>
      </w:r>
    </w:p>
    <w:p w14:paraId="0D50AB7A" w14:textId="77777777" w:rsidR="00744584" w:rsidRPr="00E56DC2" w:rsidRDefault="00592620" w:rsidP="003D5374">
      <w:pPr>
        <w:pStyle w:val="Heading1"/>
        <w:numPr>
          <w:ilvl w:val="0"/>
          <w:numId w:val="29"/>
        </w:numPr>
        <w:ind w:left="450" w:hanging="450"/>
        <w:jc w:val="both"/>
        <w:rPr>
          <w:rFonts w:ascii="Arial" w:hAnsi="Arial" w:cs="Arial"/>
          <w:sz w:val="22"/>
          <w:szCs w:val="22"/>
        </w:rPr>
      </w:pPr>
      <w:bookmarkStart w:id="33" w:name="_Toc390549915"/>
      <w:bookmarkStart w:id="34" w:name="_Toc402262961"/>
      <w:r w:rsidRPr="00E56DC2">
        <w:rPr>
          <w:rFonts w:ascii="Arial" w:hAnsi="Arial" w:cs="Arial"/>
          <w:sz w:val="22"/>
          <w:szCs w:val="22"/>
        </w:rPr>
        <w:t>KRITERIJUMI ZA IZBOR NAJPOVOLJNIJE PONUDE</w:t>
      </w:r>
      <w:bookmarkEnd w:id="33"/>
      <w:bookmarkEnd w:id="34"/>
    </w:p>
    <w:p w14:paraId="6ACF0CB5" w14:textId="77777777" w:rsidR="00744584" w:rsidRPr="00E56DC2" w:rsidRDefault="00744584" w:rsidP="003D5374">
      <w:pPr>
        <w:spacing w:after="0" w:line="240" w:lineRule="auto"/>
        <w:jc w:val="both"/>
        <w:rPr>
          <w:rFonts w:ascii="Arial" w:hAnsi="Arial" w:cs="Arial"/>
          <w:lang w:val="sr-Latn-CS"/>
        </w:rPr>
      </w:pPr>
    </w:p>
    <w:p w14:paraId="24276E19" w14:textId="77777777" w:rsidR="009E4344" w:rsidRPr="00D671DB" w:rsidRDefault="009E4344" w:rsidP="003D5374">
      <w:pPr>
        <w:spacing w:after="0" w:line="240" w:lineRule="auto"/>
        <w:jc w:val="both"/>
        <w:rPr>
          <w:rFonts w:ascii="Arial" w:hAnsi="Arial" w:cs="Arial"/>
          <w:noProof/>
          <w:lang w:val="pt-BR"/>
        </w:rPr>
      </w:pPr>
      <w:bookmarkStart w:id="35" w:name="_Toc390549916"/>
      <w:bookmarkStart w:id="36" w:name="_Toc402262962"/>
      <w:r w:rsidRPr="00D671DB">
        <w:rPr>
          <w:rFonts w:ascii="Arial" w:hAnsi="Arial" w:cs="Arial"/>
          <w:noProof/>
          <w:lang w:val="pt-BR"/>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E56DC2" w:rsidRPr="00E56DC2" w14:paraId="05D392A7" w14:textId="77777777" w:rsidTr="00E920EB">
        <w:trPr>
          <w:trHeight w:val="285"/>
        </w:trPr>
        <w:tc>
          <w:tcPr>
            <w:tcW w:w="656" w:type="dxa"/>
          </w:tcPr>
          <w:p w14:paraId="618F6D86"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3D5374">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D671DB" w:rsidRDefault="00AF62D9" w:rsidP="003D5374">
            <w:pPr>
              <w:spacing w:after="0" w:line="240" w:lineRule="auto"/>
              <w:jc w:val="center"/>
              <w:rPr>
                <w:rFonts w:ascii="Arial" w:eastAsia="Times New Roman" w:hAnsi="Arial" w:cs="Arial"/>
                <w:noProof/>
                <w:lang w:val="pt-BR"/>
              </w:rPr>
            </w:pPr>
            <w:r w:rsidRPr="00D671DB">
              <w:rPr>
                <w:rFonts w:ascii="Arial" w:eastAsia="Times New Roman" w:hAnsi="Arial" w:cs="Arial"/>
                <w:noProof/>
                <w:lang w:val="pt-BR"/>
              </w:rPr>
              <w:t>Ponuđeni procentualni iznos za obračun koncesione naknade</w:t>
            </w:r>
          </w:p>
        </w:tc>
        <w:tc>
          <w:tcPr>
            <w:tcW w:w="1637" w:type="dxa"/>
          </w:tcPr>
          <w:p w14:paraId="23811C99"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kern w:val="0"/>
              </w:rPr>
              <w:t>Finansijski aspekt-prosječni bruto prihod u posljednje tri godine</w:t>
            </w:r>
          </w:p>
        </w:tc>
        <w:tc>
          <w:tcPr>
            <w:tcW w:w="1637" w:type="dxa"/>
          </w:tcPr>
          <w:p w14:paraId="75D8BBC4"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kern w:val="0"/>
              </w:rPr>
              <w:t>Finansijski aspekt-prosječni profit u posljednje tri godine</w:t>
            </w:r>
          </w:p>
        </w:tc>
        <w:tc>
          <w:tcPr>
            <w:tcW w:w="1637" w:type="dxa"/>
          </w:tcPr>
          <w:p w14:paraId="47BC53D6"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D671DB" w:rsidRDefault="00AF62D9" w:rsidP="003D5374">
            <w:pPr>
              <w:spacing w:after="0" w:line="240" w:lineRule="auto"/>
              <w:jc w:val="center"/>
              <w:rPr>
                <w:rFonts w:ascii="Arial" w:eastAsia="Times New Roman" w:hAnsi="Arial" w:cs="Arial"/>
                <w:noProof/>
                <w:lang w:val="pt-BR"/>
              </w:rPr>
            </w:pPr>
            <w:r w:rsidRPr="00D671DB">
              <w:rPr>
                <w:rFonts w:ascii="Arial" w:eastAsia="Times New Roman" w:hAnsi="Arial" w:cs="Arial"/>
                <w:noProof/>
                <w:lang w:val="pt-BR"/>
              </w:rPr>
              <w:t>Kvalitet poslovnog plana i efekti na zapošljavanje i ekonomski razvoj</w:t>
            </w:r>
          </w:p>
        </w:tc>
        <w:tc>
          <w:tcPr>
            <w:tcW w:w="1637" w:type="dxa"/>
          </w:tcPr>
          <w:p w14:paraId="4D006102"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Pr="00E56DC2" w:rsidRDefault="00AF62D9" w:rsidP="003D5374">
      <w:pPr>
        <w:spacing w:after="0" w:line="240" w:lineRule="auto"/>
        <w:rPr>
          <w:lang w:val="sr-Latn-CS"/>
        </w:rPr>
      </w:pPr>
    </w:p>
    <w:p w14:paraId="605834DB" w14:textId="77777777" w:rsidR="00744584" w:rsidRPr="00E56DC2" w:rsidRDefault="00744584" w:rsidP="003D5374">
      <w:pPr>
        <w:pStyle w:val="Heading2"/>
        <w:numPr>
          <w:ilvl w:val="1"/>
          <w:numId w:val="24"/>
        </w:numPr>
      </w:pPr>
      <w:r w:rsidRPr="00E56DC2">
        <w:t>Ponuđeni procentualni iznos za obračun koncesione naknade</w:t>
      </w:r>
      <w:bookmarkEnd w:id="35"/>
      <w:bookmarkEnd w:id="36"/>
    </w:p>
    <w:p w14:paraId="32F0B05E" w14:textId="77777777" w:rsidR="00744584" w:rsidRPr="00E56DC2" w:rsidRDefault="00744584" w:rsidP="003D5374">
      <w:pPr>
        <w:spacing w:after="0" w:line="240" w:lineRule="auto"/>
        <w:jc w:val="both"/>
        <w:rPr>
          <w:rFonts w:ascii="Arial" w:hAnsi="Arial" w:cs="Arial"/>
          <w:lang w:val="sr-Latn-CS"/>
        </w:rPr>
      </w:pPr>
    </w:p>
    <w:p w14:paraId="56AAD4D2" w14:textId="050354BE"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w:t>
      </w:r>
      <w:r w:rsidR="00BC1B3C">
        <w:rPr>
          <w:rFonts w:ascii="Arial" w:hAnsi="Arial" w:cs="Arial"/>
          <w:lang w:val="sr-Latn-CS"/>
        </w:rPr>
        <w:t>lokaliteta</w:t>
      </w:r>
      <w:r w:rsidRPr="00E56DC2">
        <w:rPr>
          <w:rFonts w:ascii="Arial" w:hAnsi="Arial" w:cs="Arial"/>
          <w:lang w:val="sr-Latn-CS"/>
        </w:rPr>
        <w:t xml:space="preserve">, definisano </w:t>
      </w:r>
      <w:r w:rsidR="007C11EE" w:rsidRPr="00E56DC2">
        <w:rPr>
          <w:rFonts w:ascii="Arial" w:hAnsi="Arial" w:cs="Arial"/>
          <w:lang w:val="sr-Latn-CS"/>
        </w:rPr>
        <w:t xml:space="preserve">je </w:t>
      </w:r>
      <w:r w:rsidRPr="00E56DC2">
        <w:rPr>
          <w:rFonts w:ascii="Arial" w:hAnsi="Arial" w:cs="Arial"/>
          <w:lang w:val="sr-Latn-CS"/>
        </w:rPr>
        <w:t xml:space="preserve">da se </w:t>
      </w:r>
      <w:r w:rsidR="001F19FE">
        <w:rPr>
          <w:rFonts w:ascii="Arial" w:hAnsi="Arial" w:cs="Arial"/>
          <w:lang w:val="sr-Latn-CS"/>
        </w:rPr>
        <w:t>lokalitet</w:t>
      </w:r>
      <w:r w:rsidRPr="00E56DC2">
        <w:rPr>
          <w:rFonts w:ascii="Arial" w:hAnsi="Arial" w:cs="Arial"/>
          <w:lang w:val="sr-Latn-CS"/>
        </w:rPr>
        <w:t xml:space="preserv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BC1B3C">
        <w:rPr>
          <w:rFonts w:ascii="Arial" w:hAnsi="Arial" w:cs="Arial"/>
          <w:lang w:val="sr-Latn-CS"/>
        </w:rPr>
        <w:t>“Milošev krš”</w:t>
      </w:r>
      <w:r w:rsidR="007E365E" w:rsidRPr="00E56DC2">
        <w:rPr>
          <w:rFonts w:ascii="Arial" w:hAnsi="Arial" w:cs="Arial"/>
          <w:lang w:val="sr-Latn-CS"/>
        </w:rPr>
        <w:t xml:space="preserve">, </w:t>
      </w:r>
      <w:r w:rsidRPr="00E56DC2">
        <w:rPr>
          <w:rFonts w:ascii="Arial" w:hAnsi="Arial" w:cs="Arial"/>
          <w:lang w:val="sr-Latn-CS"/>
        </w:rPr>
        <w:t xml:space="preserve">na osnovu postojećih karakteristika i očekivanih uslova za eksploataciju, svrstava u treću grupu geogenih </w:t>
      </w:r>
      <w:r w:rsidR="00BC1B3C">
        <w:rPr>
          <w:rFonts w:ascii="Arial" w:hAnsi="Arial" w:cs="Arial"/>
          <w:lang w:val="sr-Latn-CS"/>
        </w:rPr>
        <w:t>lokaliteta</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14:paraId="72B371D9" w14:textId="77777777" w:rsidR="007E4CAB" w:rsidRPr="00E56DC2" w:rsidRDefault="007E4CAB" w:rsidP="003D5374">
      <w:pPr>
        <w:spacing w:after="0" w:line="240" w:lineRule="auto"/>
        <w:jc w:val="both"/>
        <w:rPr>
          <w:rFonts w:ascii="Arial" w:hAnsi="Arial" w:cs="Arial"/>
          <w:lang w:val="sr-Latn-CS"/>
        </w:rPr>
      </w:pPr>
    </w:p>
    <w:p w14:paraId="692391CF" w14:textId="4F760F01" w:rsidR="0052524F" w:rsidRPr="00E56DC2" w:rsidRDefault="0052524F" w:rsidP="003D5374">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2D6F71" w:rsidRPr="00E56DC2">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3D5374">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3D5374">
      <w:pPr>
        <w:spacing w:after="0" w:line="240" w:lineRule="auto"/>
        <w:jc w:val="both"/>
        <w:rPr>
          <w:rFonts w:ascii="Arial" w:hAnsi="Arial" w:cs="Arial"/>
          <w:lang w:val="sr-Latn-CS"/>
        </w:rPr>
      </w:pPr>
    </w:p>
    <w:p w14:paraId="7C769D44" w14:textId="0082F570" w:rsidR="0052524F" w:rsidRDefault="0052524F" w:rsidP="003D5374">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14:paraId="3B0E86AF" w14:textId="77777777" w:rsidR="00F76383" w:rsidRPr="00E56DC2" w:rsidRDefault="00F76383" w:rsidP="003D5374">
      <w:pPr>
        <w:spacing w:after="0" w:line="240" w:lineRule="auto"/>
        <w:jc w:val="both"/>
        <w:rPr>
          <w:rFonts w:ascii="Arial" w:hAnsi="Arial" w:cs="Arial"/>
          <w:lang w:val="sr-Latn-CS"/>
        </w:rPr>
      </w:pPr>
    </w:p>
    <w:p w14:paraId="6D7C2D2A" w14:textId="77777777" w:rsidR="0052524F" w:rsidRPr="00D671DB" w:rsidRDefault="0052524F" w:rsidP="003D5374">
      <w:pPr>
        <w:spacing w:after="0" w:line="240" w:lineRule="auto"/>
        <w:jc w:val="both"/>
        <w:rPr>
          <w:rFonts w:ascii="Arial" w:hAnsi="Arial" w:cs="Arial"/>
          <w:noProof/>
          <w:lang w:val="pt-BR"/>
        </w:rPr>
      </w:pPr>
      <w:r w:rsidRPr="00D671DB">
        <w:rPr>
          <w:rFonts w:ascii="Arial" w:hAnsi="Arial" w:cs="Arial"/>
          <w:noProof/>
          <w:lang w:val="pt-BR"/>
        </w:rPr>
        <w:lastRenderedPageBreak/>
        <w:t>Ovaj kriterijum se izračunava na sljedeći način:</w:t>
      </w:r>
    </w:p>
    <w:p w14:paraId="4FDDA103" w14:textId="77777777" w:rsidR="00744584" w:rsidRPr="00E56DC2" w:rsidRDefault="00744584" w:rsidP="003D5374">
      <w:pPr>
        <w:spacing w:after="0" w:line="240" w:lineRule="auto"/>
        <w:jc w:val="both"/>
        <w:rPr>
          <w:rFonts w:ascii="Arial" w:hAnsi="Arial" w:cs="Arial"/>
          <w:lang w:val="sr-Latn-CS"/>
        </w:rPr>
      </w:pPr>
    </w:p>
    <w:p w14:paraId="14EB5375" w14:textId="77777777" w:rsidR="003067C8" w:rsidRPr="00E56DC2" w:rsidRDefault="003067C8" w:rsidP="003D5374">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3D5374">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D671DB" w:rsidRDefault="003067C8" w:rsidP="003D5374">
      <w:pPr>
        <w:spacing w:after="0" w:line="240" w:lineRule="auto"/>
        <w:jc w:val="both"/>
        <w:rPr>
          <w:rFonts w:ascii="Arial" w:eastAsia="Times New Roman" w:hAnsi="Arial" w:cs="Arial"/>
          <w:noProof/>
          <w:lang w:val="pt-BR"/>
        </w:rPr>
      </w:pPr>
      <w:r w:rsidRPr="00D671DB">
        <w:rPr>
          <w:rFonts w:ascii="Arial" w:eastAsia="Times New Roman" w:hAnsi="Arial" w:cs="Arial"/>
          <w:b/>
          <w:noProof/>
          <w:lang w:val="pt-BR"/>
        </w:rPr>
        <w:t>P</w:t>
      </w:r>
      <w:r w:rsidRPr="00D671DB">
        <w:rPr>
          <w:rFonts w:ascii="Arial" w:eastAsia="Times New Roman" w:hAnsi="Arial" w:cs="Arial"/>
          <w:noProof/>
          <w:lang w:val="pt-BR"/>
        </w:rPr>
        <w:t xml:space="preserve"> % - označava % ponuđača</w:t>
      </w:r>
    </w:p>
    <w:p w14:paraId="347EA6B1" w14:textId="77777777" w:rsidR="003067C8" w:rsidRPr="00D671DB" w:rsidRDefault="003067C8" w:rsidP="003D5374">
      <w:pPr>
        <w:spacing w:after="0" w:line="240" w:lineRule="auto"/>
        <w:jc w:val="both"/>
        <w:rPr>
          <w:rFonts w:ascii="Arial" w:eastAsia="Times New Roman" w:hAnsi="Arial" w:cs="Arial"/>
          <w:noProof/>
          <w:lang w:val="pt-BR"/>
        </w:rPr>
      </w:pPr>
      <w:r w:rsidRPr="00D671DB">
        <w:rPr>
          <w:rFonts w:ascii="Arial" w:eastAsia="Times New Roman" w:hAnsi="Arial" w:cs="Arial"/>
          <w:b/>
          <w:noProof/>
          <w:lang w:val="pt-BR"/>
        </w:rPr>
        <w:t>MP</w:t>
      </w:r>
      <w:r w:rsidRPr="00D671DB">
        <w:rPr>
          <w:rFonts w:ascii="Arial" w:eastAsia="Times New Roman" w:hAnsi="Arial" w:cs="Arial"/>
          <w:noProof/>
          <w:lang w:val="pt-BR"/>
        </w:rPr>
        <w:t xml:space="preserve"> % - označava maksimalno ponuđeni % na tenderu</w:t>
      </w:r>
    </w:p>
    <w:p w14:paraId="79CD945C" w14:textId="77777777" w:rsidR="003067C8" w:rsidRPr="00E56DC2" w:rsidRDefault="003067C8" w:rsidP="003D5374">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3D5374">
      <w:pPr>
        <w:spacing w:after="0" w:line="240" w:lineRule="auto"/>
        <w:jc w:val="both"/>
        <w:rPr>
          <w:rFonts w:ascii="Arial" w:hAnsi="Arial" w:cs="Arial"/>
          <w:lang w:val="sr-Latn-CS"/>
        </w:rPr>
      </w:pPr>
    </w:p>
    <w:p w14:paraId="48AF968F" w14:textId="77777777" w:rsidR="00744584" w:rsidRPr="00E56DC2" w:rsidRDefault="00744584" w:rsidP="003D5374">
      <w:pPr>
        <w:pStyle w:val="Heading2"/>
        <w:numPr>
          <w:ilvl w:val="1"/>
          <w:numId w:val="24"/>
        </w:numPr>
      </w:pPr>
      <w:bookmarkStart w:id="37" w:name="_Toc390549917"/>
      <w:bookmarkStart w:id="38" w:name="_Toc402262963"/>
      <w:r w:rsidRPr="00E56DC2">
        <w:t xml:space="preserve">Ponuđeni obim </w:t>
      </w:r>
      <w:r w:rsidR="00E52914" w:rsidRPr="00E56DC2">
        <w:t xml:space="preserve">godišnje </w:t>
      </w:r>
      <w:r w:rsidRPr="00E56DC2">
        <w:t>rudarske proizvodnje</w:t>
      </w:r>
      <w:bookmarkEnd w:id="37"/>
      <w:bookmarkEnd w:id="38"/>
    </w:p>
    <w:p w14:paraId="132FC544" w14:textId="77777777" w:rsidR="00744584" w:rsidRPr="00E56DC2" w:rsidRDefault="00744584" w:rsidP="003D5374">
      <w:pPr>
        <w:spacing w:after="0" w:line="240" w:lineRule="auto"/>
        <w:jc w:val="both"/>
        <w:rPr>
          <w:rFonts w:ascii="Arial" w:hAnsi="Arial" w:cs="Arial"/>
          <w:lang w:val="sr-Latn-CS"/>
        </w:rPr>
      </w:pPr>
    </w:p>
    <w:p w14:paraId="7B3A59B9" w14:textId="4191D07E" w:rsidR="00F74290" w:rsidRPr="00D671DB" w:rsidRDefault="00744584" w:rsidP="003D5374">
      <w:pPr>
        <w:spacing w:after="0" w:line="240" w:lineRule="auto"/>
        <w:jc w:val="both"/>
        <w:rPr>
          <w:rFonts w:ascii="Arial" w:hAnsi="Arial" w:cs="Arial"/>
          <w:lang w:val="sr-Latn-CS"/>
        </w:rPr>
      </w:pPr>
      <w:r w:rsidRPr="00B64B92">
        <w:rPr>
          <w:rFonts w:ascii="Arial" w:hAnsi="Arial" w:cs="Arial"/>
          <w:bCs/>
          <w:lang w:val="sr-Latn-CS"/>
        </w:rPr>
        <w:t xml:space="preserve">Tačkom </w:t>
      </w:r>
      <w:r w:rsidR="004C0E0B" w:rsidRPr="00B64B92">
        <w:rPr>
          <w:rFonts w:ascii="Arial" w:hAnsi="Arial" w:cs="Arial"/>
          <w:bCs/>
          <w:lang w:val="sr-Latn-CS"/>
        </w:rPr>
        <w:t>8</w:t>
      </w:r>
      <w:r w:rsidRPr="00B64B92">
        <w:rPr>
          <w:rFonts w:ascii="Arial" w:hAnsi="Arial" w:cs="Arial"/>
          <w:bCs/>
          <w:lang w:val="sr-Latn-CS"/>
        </w:rPr>
        <w:t xml:space="preserve">.1.1. Koncesionog akta - </w:t>
      </w:r>
      <w:r w:rsidR="00486798" w:rsidRPr="00B64B92">
        <w:rPr>
          <w:rFonts w:ascii="Arial" w:hAnsi="Arial" w:cs="Arial"/>
          <w:bCs/>
          <w:lang w:val="sr-Latn-CS"/>
        </w:rPr>
        <w:t>R</w:t>
      </w:r>
      <w:r w:rsidR="00486798" w:rsidRPr="00B64B92">
        <w:rPr>
          <w:rFonts w:ascii="Arial" w:hAnsi="Arial" w:cs="Arial"/>
          <w:lang w:val="sv-SE"/>
        </w:rPr>
        <w:t>ezerve mineralne sirovine</w:t>
      </w:r>
      <w:r w:rsidR="00486798" w:rsidRPr="00E56DC2">
        <w:rPr>
          <w:rFonts w:ascii="Arial" w:hAnsi="Arial" w:cs="Arial"/>
          <w:lang w:val="sv-SE"/>
        </w:rPr>
        <w:t xml:space="preserve">, </w:t>
      </w:r>
      <w:r w:rsidR="00486798" w:rsidRPr="00E56DC2">
        <w:rPr>
          <w:rFonts w:ascii="Arial" w:hAnsi="Arial" w:cs="Arial"/>
        </w:rPr>
        <w:t>definisano</w:t>
      </w:r>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F74290">
        <w:rPr>
          <w:rFonts w:ascii="Arial" w:hAnsi="Arial" w:cs="Arial"/>
        </w:rPr>
        <w:t>p</w:t>
      </w:r>
      <w:r w:rsidR="00F74290" w:rsidRPr="00D14F43">
        <w:rPr>
          <w:rFonts w:ascii="Arial" w:hAnsi="Arial" w:cs="Arial"/>
        </w:rPr>
        <w:t>otencijalne</w:t>
      </w:r>
      <w:r w:rsidR="00F74290" w:rsidRPr="00D671DB">
        <w:rPr>
          <w:rFonts w:ascii="Arial" w:hAnsi="Arial" w:cs="Arial"/>
          <w:lang w:val="sr-Latn-CS"/>
        </w:rPr>
        <w:t xml:space="preserve"> (</w:t>
      </w:r>
      <w:r w:rsidR="00F74290" w:rsidRPr="00D14F43">
        <w:rPr>
          <w:rFonts w:ascii="Arial" w:hAnsi="Arial" w:cs="Arial"/>
        </w:rPr>
        <w:t>procijenjene</w:t>
      </w:r>
      <w:r w:rsidR="00F74290" w:rsidRPr="00D671DB">
        <w:rPr>
          <w:rFonts w:ascii="Arial" w:hAnsi="Arial" w:cs="Arial"/>
          <w:lang w:val="sr-Latn-CS"/>
        </w:rPr>
        <w:t xml:space="preserve">) </w:t>
      </w:r>
      <w:r w:rsidR="00F74290" w:rsidRPr="00D14F43">
        <w:rPr>
          <w:rFonts w:ascii="Arial" w:hAnsi="Arial" w:cs="Arial"/>
        </w:rPr>
        <w:t>geolo</w:t>
      </w:r>
      <w:r w:rsidR="00F74290" w:rsidRPr="00D671DB">
        <w:rPr>
          <w:rFonts w:ascii="Arial" w:hAnsi="Arial" w:cs="Arial"/>
          <w:lang w:val="sr-Latn-CS"/>
        </w:rPr>
        <w:t>š</w:t>
      </w:r>
      <w:r w:rsidR="00F74290" w:rsidRPr="00D14F43">
        <w:rPr>
          <w:rFonts w:ascii="Arial" w:hAnsi="Arial" w:cs="Arial"/>
        </w:rPr>
        <w:t>ke</w:t>
      </w:r>
      <w:r w:rsidR="00F74290" w:rsidRPr="00D671DB">
        <w:rPr>
          <w:rFonts w:ascii="Arial" w:hAnsi="Arial" w:cs="Arial"/>
          <w:lang w:val="sr-Latn-CS"/>
        </w:rPr>
        <w:t xml:space="preserve"> </w:t>
      </w:r>
      <w:r w:rsidR="00F74290" w:rsidRPr="00D14F43">
        <w:rPr>
          <w:rFonts w:ascii="Arial" w:hAnsi="Arial" w:cs="Arial"/>
        </w:rPr>
        <w:t>rezerve</w:t>
      </w:r>
      <w:r w:rsidR="00F74290" w:rsidRPr="00D671DB">
        <w:rPr>
          <w:rFonts w:ascii="Arial" w:hAnsi="Arial" w:cs="Arial"/>
          <w:lang w:val="sr-Latn-CS"/>
        </w:rPr>
        <w:t xml:space="preserve"> </w:t>
      </w:r>
      <w:r w:rsidR="00F74290" w:rsidRPr="00D14F43">
        <w:rPr>
          <w:rFonts w:ascii="Arial" w:hAnsi="Arial" w:cs="Arial"/>
        </w:rPr>
        <w:t>tehni</w:t>
      </w:r>
      <w:r w:rsidR="00F74290" w:rsidRPr="00D671DB">
        <w:rPr>
          <w:rFonts w:ascii="Arial" w:hAnsi="Arial" w:cs="Arial"/>
          <w:lang w:val="sr-Latn-CS"/>
        </w:rPr>
        <w:t>č</w:t>
      </w:r>
      <w:r w:rsidR="00F74290" w:rsidRPr="00D14F43">
        <w:rPr>
          <w:rFonts w:ascii="Arial" w:hAnsi="Arial" w:cs="Arial"/>
        </w:rPr>
        <w:t>ko</w:t>
      </w:r>
      <w:r w:rsidR="00F74290" w:rsidRPr="00D671DB">
        <w:rPr>
          <w:rFonts w:ascii="Arial" w:hAnsi="Arial" w:cs="Arial"/>
          <w:lang w:val="sr-Latn-CS"/>
        </w:rPr>
        <w:t>-</w:t>
      </w:r>
      <w:r w:rsidR="00F74290" w:rsidRPr="00D14F43">
        <w:rPr>
          <w:rFonts w:ascii="Arial" w:hAnsi="Arial" w:cs="Arial"/>
        </w:rPr>
        <w:t>gra</w:t>
      </w:r>
      <w:r w:rsidR="00F74290" w:rsidRPr="00D671DB">
        <w:rPr>
          <w:rFonts w:ascii="Arial" w:hAnsi="Arial" w:cs="Arial"/>
          <w:lang w:val="sr-Latn-CS"/>
        </w:rPr>
        <w:t>đ</w:t>
      </w:r>
      <w:r w:rsidR="00F74290" w:rsidRPr="00D14F43">
        <w:rPr>
          <w:rFonts w:ascii="Arial" w:hAnsi="Arial" w:cs="Arial"/>
        </w:rPr>
        <w:t>evinskog</w:t>
      </w:r>
      <w:r w:rsidR="00F74290" w:rsidRPr="00D671DB">
        <w:rPr>
          <w:rFonts w:ascii="Arial" w:hAnsi="Arial" w:cs="Arial"/>
          <w:lang w:val="sr-Latn-CS"/>
        </w:rPr>
        <w:t xml:space="preserve"> </w:t>
      </w:r>
      <w:r w:rsidR="00F74290" w:rsidRPr="00D14F43">
        <w:rPr>
          <w:rFonts w:ascii="Arial" w:hAnsi="Arial" w:cs="Arial"/>
        </w:rPr>
        <w:t>kamena</w:t>
      </w:r>
      <w:r w:rsidR="00F74290" w:rsidRPr="00D671DB">
        <w:rPr>
          <w:rFonts w:ascii="Arial" w:hAnsi="Arial" w:cs="Arial"/>
          <w:lang w:val="sr-Latn-CS"/>
        </w:rPr>
        <w:t xml:space="preserve"> </w:t>
      </w:r>
      <w:r w:rsidR="00F74290" w:rsidRPr="00D14F43">
        <w:rPr>
          <w:rFonts w:ascii="Arial" w:hAnsi="Arial" w:cs="Arial"/>
        </w:rPr>
        <w:t>na</w:t>
      </w:r>
      <w:r w:rsidR="00F74290" w:rsidRPr="00D671DB">
        <w:rPr>
          <w:rFonts w:ascii="Arial" w:hAnsi="Arial" w:cs="Arial"/>
          <w:lang w:val="sr-Latn-CS"/>
        </w:rPr>
        <w:t xml:space="preserve"> </w:t>
      </w:r>
      <w:r w:rsidR="00F74290" w:rsidRPr="00D14F43">
        <w:rPr>
          <w:rFonts w:ascii="Arial" w:hAnsi="Arial" w:cs="Arial"/>
        </w:rPr>
        <w:t>lokalitetu</w:t>
      </w:r>
      <w:r w:rsidR="00F74290" w:rsidRPr="00D671DB">
        <w:rPr>
          <w:rFonts w:ascii="Arial" w:hAnsi="Arial" w:cs="Arial"/>
          <w:lang w:val="sr-Latn-CS"/>
        </w:rPr>
        <w:t xml:space="preserve"> </w:t>
      </w:r>
      <w:r w:rsidR="00F74290" w:rsidRPr="00D14F43">
        <w:rPr>
          <w:rFonts w:ascii="Arial" w:hAnsi="Arial" w:cs="Arial"/>
          <w:lang w:val="sr-Latn-CS"/>
        </w:rPr>
        <w:t>„</w:t>
      </w:r>
      <w:r w:rsidR="00F74290">
        <w:rPr>
          <w:rFonts w:ascii="Arial" w:hAnsi="Arial" w:cs="Arial"/>
          <w:lang w:val="sr-Latn-CS"/>
        </w:rPr>
        <w:t>Milošev krš</w:t>
      </w:r>
      <w:r w:rsidR="00F74290" w:rsidRPr="00D14F43">
        <w:rPr>
          <w:rFonts w:ascii="Arial" w:hAnsi="Arial" w:cs="Arial"/>
          <w:lang w:val="sr-Latn-CS"/>
        </w:rPr>
        <w:t xml:space="preserve">”, </w:t>
      </w:r>
      <w:r w:rsidR="00F74290" w:rsidRPr="00D14F43">
        <w:rPr>
          <w:rFonts w:ascii="Arial" w:hAnsi="Arial" w:cs="Arial"/>
        </w:rPr>
        <w:t>iznose</w:t>
      </w:r>
      <w:r w:rsidR="00F74290" w:rsidRPr="00D671DB">
        <w:rPr>
          <w:rFonts w:ascii="Arial" w:hAnsi="Arial" w:cs="Arial"/>
          <w:lang w:val="sr-Latn-CS"/>
        </w:rPr>
        <w:t xml:space="preserve"> 1 500.000 </w:t>
      </w:r>
      <w:r w:rsidR="00F74290" w:rsidRPr="00D14F43">
        <w:rPr>
          <w:rFonts w:ascii="Arial" w:hAnsi="Arial" w:cs="Arial"/>
        </w:rPr>
        <w:t>m</w:t>
      </w:r>
      <w:r w:rsidR="00F74290" w:rsidRPr="00D671DB">
        <w:rPr>
          <w:rFonts w:ascii="Arial" w:hAnsi="Arial" w:cs="Arial"/>
          <w:vertAlign w:val="superscript"/>
          <w:lang w:val="sr-Latn-CS"/>
        </w:rPr>
        <w:t>3</w:t>
      </w:r>
      <w:r w:rsidR="00F74290" w:rsidRPr="00D671DB">
        <w:rPr>
          <w:rFonts w:ascii="Arial" w:hAnsi="Arial" w:cs="Arial"/>
          <w:lang w:val="sr-Latn-CS"/>
        </w:rPr>
        <w:t xml:space="preserve"> č.</w:t>
      </w:r>
      <w:r w:rsidR="00F74290" w:rsidRPr="00D14F43">
        <w:rPr>
          <w:rFonts w:ascii="Arial" w:hAnsi="Arial" w:cs="Arial"/>
        </w:rPr>
        <w:t>s</w:t>
      </w:r>
      <w:r w:rsidR="00F74290" w:rsidRPr="00D671DB">
        <w:rPr>
          <w:rFonts w:ascii="Arial" w:hAnsi="Arial" w:cs="Arial"/>
          <w:lang w:val="sr-Latn-CS"/>
        </w:rPr>
        <w:t>.</w:t>
      </w:r>
      <w:r w:rsidR="00F74290" w:rsidRPr="00D14F43">
        <w:rPr>
          <w:rFonts w:ascii="Arial" w:hAnsi="Arial" w:cs="Arial"/>
        </w:rPr>
        <w:t>m</w:t>
      </w:r>
      <w:r w:rsidR="00F74290" w:rsidRPr="00D671DB">
        <w:rPr>
          <w:rFonts w:ascii="Arial" w:hAnsi="Arial" w:cs="Arial"/>
          <w:lang w:val="sr-Latn-CS"/>
        </w:rPr>
        <w:t>.</w:t>
      </w:r>
    </w:p>
    <w:p w14:paraId="5C3C1483" w14:textId="65E41D06" w:rsidR="00136AEA" w:rsidRPr="00D671DB" w:rsidRDefault="00136AEA" w:rsidP="003D5374">
      <w:pPr>
        <w:spacing w:after="0" w:line="240" w:lineRule="auto"/>
        <w:jc w:val="both"/>
        <w:rPr>
          <w:rFonts w:ascii="Arial" w:hAnsi="Arial" w:cs="Arial"/>
          <w:lang w:val="sr-Latn-CS"/>
        </w:rPr>
      </w:pPr>
    </w:p>
    <w:p w14:paraId="606D5CF2" w14:textId="1BCBB578" w:rsidR="00313B20" w:rsidRPr="00B20E38" w:rsidRDefault="00313B20" w:rsidP="003D5374">
      <w:pPr>
        <w:spacing w:after="0" w:line="240" w:lineRule="auto"/>
        <w:jc w:val="both"/>
        <w:rPr>
          <w:rFonts w:ascii="Arial" w:hAnsi="Arial" w:cs="Arial"/>
          <w:b/>
          <w:lang w:val="sr-Latn-CS"/>
        </w:rPr>
      </w:pPr>
      <w:r w:rsidRPr="00E56DC2">
        <w:rPr>
          <w:rFonts w:ascii="Arial" w:hAnsi="Arial" w:cs="Arial"/>
          <w:b/>
        </w:rPr>
        <w:t>Prema</w:t>
      </w:r>
      <w:r w:rsidRPr="00B20E38">
        <w:rPr>
          <w:rFonts w:ascii="Arial" w:hAnsi="Arial" w:cs="Arial"/>
          <w:b/>
          <w:lang w:val="sr-Latn-CS"/>
        </w:rPr>
        <w:t xml:space="preserve"> </w:t>
      </w:r>
      <w:r w:rsidRPr="00E56DC2">
        <w:rPr>
          <w:rFonts w:ascii="Arial" w:hAnsi="Arial" w:cs="Arial"/>
          <w:b/>
        </w:rPr>
        <w:t>minimalnom</w:t>
      </w:r>
      <w:r w:rsidRPr="00B20E38">
        <w:rPr>
          <w:rFonts w:ascii="Arial" w:hAnsi="Arial" w:cs="Arial"/>
          <w:b/>
          <w:lang w:val="sr-Latn-CS"/>
        </w:rPr>
        <w:t xml:space="preserve"> </w:t>
      </w:r>
      <w:r w:rsidRPr="00E56DC2">
        <w:rPr>
          <w:rFonts w:ascii="Arial" w:hAnsi="Arial" w:cs="Arial"/>
          <w:b/>
        </w:rPr>
        <w:t>godi</w:t>
      </w:r>
      <w:r w:rsidRPr="00B20E38">
        <w:rPr>
          <w:rFonts w:ascii="Arial" w:hAnsi="Arial" w:cs="Arial"/>
          <w:b/>
          <w:lang w:val="sr-Latn-CS"/>
        </w:rPr>
        <w:t>š</w:t>
      </w:r>
      <w:r w:rsidRPr="00E56DC2">
        <w:rPr>
          <w:rFonts w:ascii="Arial" w:hAnsi="Arial" w:cs="Arial"/>
          <w:b/>
        </w:rPr>
        <w:t>njem</w:t>
      </w:r>
      <w:r w:rsidRPr="00B20E38">
        <w:rPr>
          <w:rFonts w:ascii="Arial" w:hAnsi="Arial" w:cs="Arial"/>
          <w:b/>
          <w:lang w:val="sr-Latn-CS"/>
        </w:rPr>
        <w:t xml:space="preserve"> </w:t>
      </w:r>
      <w:r w:rsidRPr="00E56DC2">
        <w:rPr>
          <w:rFonts w:ascii="Arial" w:hAnsi="Arial" w:cs="Arial"/>
          <w:b/>
        </w:rPr>
        <w:t>kapacitetu</w:t>
      </w:r>
      <w:r w:rsidRPr="00B20E38">
        <w:rPr>
          <w:rFonts w:ascii="Arial" w:hAnsi="Arial" w:cs="Arial"/>
          <w:b/>
          <w:lang w:val="sr-Latn-CS"/>
        </w:rPr>
        <w:t xml:space="preserve"> </w:t>
      </w:r>
      <w:r w:rsidRPr="00E56DC2">
        <w:rPr>
          <w:rFonts w:ascii="Arial" w:hAnsi="Arial" w:cs="Arial"/>
          <w:b/>
        </w:rPr>
        <w:t>od</w:t>
      </w:r>
      <w:r w:rsidRPr="00B20E38">
        <w:rPr>
          <w:rFonts w:ascii="Arial" w:hAnsi="Arial" w:cs="Arial"/>
          <w:lang w:val="sr-Latn-CS"/>
        </w:rPr>
        <w:t xml:space="preserve"> </w:t>
      </w:r>
      <w:r w:rsidRPr="00B20E38">
        <w:rPr>
          <w:rFonts w:ascii="Arial" w:hAnsi="Arial" w:cs="Arial"/>
          <w:b/>
          <w:lang w:val="sr-Latn-CS"/>
        </w:rPr>
        <w:t xml:space="preserve">20.000 </w:t>
      </w:r>
      <w:r w:rsidRPr="00E56DC2">
        <w:rPr>
          <w:rFonts w:ascii="Arial" w:hAnsi="Arial" w:cs="Arial"/>
          <w:b/>
        </w:rPr>
        <w:t>m</w:t>
      </w:r>
      <w:r w:rsidRPr="00B20E38">
        <w:rPr>
          <w:rFonts w:ascii="Arial" w:hAnsi="Arial" w:cs="Arial"/>
          <w:b/>
          <w:vertAlign w:val="superscript"/>
          <w:lang w:val="sr-Latn-CS"/>
        </w:rPr>
        <w:t xml:space="preserve">3 </w:t>
      </w:r>
      <w:r w:rsidRPr="00B20E38">
        <w:rPr>
          <w:rFonts w:ascii="Arial" w:hAnsi="Arial" w:cs="Arial"/>
          <w:b/>
          <w:lang w:val="sr-Latn-CS"/>
        </w:rPr>
        <w:t>č.</w:t>
      </w:r>
      <w:r w:rsidRPr="00E56DC2">
        <w:rPr>
          <w:rFonts w:ascii="Arial" w:hAnsi="Arial" w:cs="Arial"/>
          <w:b/>
        </w:rPr>
        <w:t>s</w:t>
      </w:r>
      <w:r w:rsidRPr="00B20E38">
        <w:rPr>
          <w:rFonts w:ascii="Arial" w:hAnsi="Arial" w:cs="Arial"/>
          <w:b/>
          <w:lang w:val="sr-Latn-CS"/>
        </w:rPr>
        <w:t>.</w:t>
      </w:r>
      <w:r w:rsidRPr="00E56DC2">
        <w:rPr>
          <w:rFonts w:ascii="Arial" w:hAnsi="Arial" w:cs="Arial"/>
          <w:b/>
        </w:rPr>
        <w:t>m</w:t>
      </w:r>
      <w:r w:rsidRPr="00B20E38">
        <w:rPr>
          <w:rFonts w:ascii="Arial" w:hAnsi="Arial" w:cs="Arial"/>
          <w:lang w:val="sr-Latn-CS"/>
        </w:rPr>
        <w:t xml:space="preserve">. </w:t>
      </w:r>
      <w:r w:rsidRPr="00E56DC2">
        <w:rPr>
          <w:rFonts w:ascii="Arial" w:hAnsi="Arial" w:cs="Arial"/>
        </w:rPr>
        <w:t>tehni</w:t>
      </w:r>
      <w:r w:rsidRPr="00B20E38">
        <w:rPr>
          <w:rFonts w:ascii="Arial" w:hAnsi="Arial" w:cs="Arial"/>
          <w:lang w:val="sr-Latn-CS"/>
        </w:rPr>
        <w:t>č</w:t>
      </w:r>
      <w:r w:rsidRPr="00E56DC2">
        <w:rPr>
          <w:rFonts w:ascii="Arial" w:hAnsi="Arial" w:cs="Arial"/>
        </w:rPr>
        <w:t>ko</w:t>
      </w:r>
      <w:r w:rsidRPr="00B20E38">
        <w:rPr>
          <w:rFonts w:ascii="Arial" w:hAnsi="Arial" w:cs="Arial"/>
          <w:lang w:val="sr-Latn-CS"/>
        </w:rPr>
        <w:t>-</w:t>
      </w:r>
      <w:r w:rsidRPr="00E56DC2">
        <w:rPr>
          <w:rFonts w:ascii="Arial" w:hAnsi="Arial" w:cs="Arial"/>
        </w:rPr>
        <w:t>gra</w:t>
      </w:r>
      <w:r w:rsidRPr="00B20E38">
        <w:rPr>
          <w:rFonts w:ascii="Arial" w:hAnsi="Arial" w:cs="Arial"/>
          <w:lang w:val="sr-Latn-CS"/>
        </w:rPr>
        <w:t>đ</w:t>
      </w:r>
      <w:r w:rsidRPr="00E56DC2">
        <w:rPr>
          <w:rFonts w:ascii="Arial" w:hAnsi="Arial" w:cs="Arial"/>
        </w:rPr>
        <w:t>evinskog</w:t>
      </w:r>
      <w:r w:rsidRPr="00B20E38">
        <w:rPr>
          <w:rFonts w:ascii="Arial" w:hAnsi="Arial" w:cs="Arial"/>
          <w:lang w:val="sr-Latn-CS"/>
        </w:rPr>
        <w:t xml:space="preserve"> </w:t>
      </w:r>
      <w:r w:rsidRPr="00E56DC2">
        <w:rPr>
          <w:rFonts w:ascii="Arial" w:hAnsi="Arial" w:cs="Arial"/>
        </w:rPr>
        <w:t>kamena</w:t>
      </w:r>
      <w:r w:rsidRPr="00B20E38">
        <w:rPr>
          <w:rFonts w:ascii="Arial" w:hAnsi="Arial" w:cs="Arial"/>
          <w:lang w:val="sr-Latn-CS"/>
        </w:rPr>
        <w:t xml:space="preserve">, </w:t>
      </w:r>
      <w:r w:rsidRPr="00E56DC2">
        <w:rPr>
          <w:rFonts w:ascii="Arial" w:hAnsi="Arial" w:cs="Arial"/>
          <w:b/>
        </w:rPr>
        <w:t>za</w:t>
      </w:r>
      <w:r w:rsidRPr="00B20E38">
        <w:rPr>
          <w:rFonts w:ascii="Arial" w:hAnsi="Arial" w:cs="Arial"/>
          <w:b/>
          <w:lang w:val="sr-Latn-CS"/>
        </w:rPr>
        <w:t xml:space="preserve"> </w:t>
      </w:r>
      <w:r w:rsidRPr="00E56DC2">
        <w:rPr>
          <w:rFonts w:ascii="Arial" w:hAnsi="Arial" w:cs="Arial"/>
          <w:b/>
        </w:rPr>
        <w:t>period</w:t>
      </w:r>
      <w:r w:rsidRPr="00B20E38">
        <w:rPr>
          <w:rFonts w:ascii="Arial" w:hAnsi="Arial" w:cs="Arial"/>
          <w:b/>
          <w:lang w:val="sr-Latn-CS"/>
        </w:rPr>
        <w:t xml:space="preserve"> </w:t>
      </w:r>
      <w:r w:rsidRPr="00E56DC2">
        <w:rPr>
          <w:rFonts w:ascii="Arial" w:hAnsi="Arial" w:cs="Arial"/>
          <w:b/>
        </w:rPr>
        <w:t>od</w:t>
      </w:r>
      <w:r w:rsidR="000B17E1" w:rsidRPr="00B20E38">
        <w:rPr>
          <w:rFonts w:ascii="Arial" w:hAnsi="Arial" w:cs="Arial"/>
          <w:b/>
          <w:lang w:val="sr-Latn-CS"/>
        </w:rPr>
        <w:t xml:space="preserve"> 28</w:t>
      </w:r>
      <w:r w:rsidRPr="00B20E38">
        <w:rPr>
          <w:rFonts w:ascii="Arial" w:hAnsi="Arial" w:cs="Arial"/>
          <w:b/>
          <w:lang w:val="sr-Latn-CS"/>
        </w:rPr>
        <w:t xml:space="preserve"> </w:t>
      </w:r>
      <w:r w:rsidRPr="00E56DC2">
        <w:rPr>
          <w:rFonts w:ascii="Arial" w:hAnsi="Arial" w:cs="Arial"/>
          <w:b/>
        </w:rPr>
        <w:t>godina</w:t>
      </w:r>
      <w:r w:rsidRPr="00B20E38">
        <w:rPr>
          <w:rFonts w:ascii="Arial" w:hAnsi="Arial" w:cs="Arial"/>
          <w:lang w:val="sr-Latn-CS"/>
        </w:rPr>
        <w:t xml:space="preserve"> (</w:t>
      </w:r>
      <w:r w:rsidRPr="00E56DC2">
        <w:rPr>
          <w:rFonts w:ascii="Arial" w:hAnsi="Arial" w:cs="Arial"/>
        </w:rPr>
        <w:t>period</w:t>
      </w:r>
      <w:r w:rsidRPr="00B20E38">
        <w:rPr>
          <w:rFonts w:ascii="Arial" w:hAnsi="Arial" w:cs="Arial"/>
          <w:lang w:val="sr-Latn-CS"/>
        </w:rPr>
        <w:t xml:space="preserve"> </w:t>
      </w:r>
      <w:r w:rsidRPr="00E56DC2">
        <w:rPr>
          <w:rFonts w:ascii="Arial" w:hAnsi="Arial" w:cs="Arial"/>
        </w:rPr>
        <w:t>koncesije</w:t>
      </w:r>
      <w:r w:rsidRPr="00B20E38">
        <w:rPr>
          <w:rFonts w:ascii="Arial" w:hAnsi="Arial" w:cs="Arial"/>
          <w:lang w:val="sr-Latn-CS"/>
        </w:rPr>
        <w:t xml:space="preserve"> </w:t>
      </w:r>
      <w:r w:rsidRPr="00E56DC2">
        <w:rPr>
          <w:rFonts w:ascii="Arial" w:hAnsi="Arial" w:cs="Arial"/>
        </w:rPr>
        <w:t>za</w:t>
      </w:r>
      <w:r w:rsidRPr="00B20E38">
        <w:rPr>
          <w:rFonts w:ascii="Arial" w:hAnsi="Arial" w:cs="Arial"/>
          <w:lang w:val="sr-Latn-CS"/>
        </w:rPr>
        <w:t xml:space="preserve"> </w:t>
      </w:r>
      <w:r w:rsidRPr="00E56DC2">
        <w:rPr>
          <w:rFonts w:ascii="Arial" w:hAnsi="Arial" w:cs="Arial"/>
        </w:rPr>
        <w:t>eksploataciju</w:t>
      </w:r>
      <w:r w:rsidRPr="00B20E38">
        <w:rPr>
          <w:rFonts w:ascii="Arial" w:hAnsi="Arial" w:cs="Arial"/>
          <w:lang w:val="sr-Latn-CS"/>
        </w:rPr>
        <w:t xml:space="preserve">) </w:t>
      </w:r>
      <w:r w:rsidRPr="00E56DC2">
        <w:rPr>
          <w:rFonts w:ascii="Arial" w:hAnsi="Arial" w:cs="Arial"/>
          <w:b/>
        </w:rPr>
        <w:t>otkopalo</w:t>
      </w:r>
      <w:r w:rsidRPr="00B20E38">
        <w:rPr>
          <w:rFonts w:ascii="Arial" w:hAnsi="Arial" w:cs="Arial"/>
          <w:b/>
          <w:lang w:val="sr-Latn-CS"/>
        </w:rPr>
        <w:t xml:space="preserve"> </w:t>
      </w:r>
      <w:r w:rsidRPr="00E56DC2">
        <w:rPr>
          <w:rFonts w:ascii="Arial" w:hAnsi="Arial" w:cs="Arial"/>
          <w:b/>
        </w:rPr>
        <w:t>bi</w:t>
      </w:r>
      <w:r w:rsidRPr="00B20E38">
        <w:rPr>
          <w:rFonts w:ascii="Arial" w:hAnsi="Arial" w:cs="Arial"/>
          <w:b/>
          <w:lang w:val="sr-Latn-CS"/>
        </w:rPr>
        <w:t xml:space="preserve"> </w:t>
      </w:r>
      <w:r w:rsidRPr="00E56DC2">
        <w:rPr>
          <w:rFonts w:ascii="Arial" w:hAnsi="Arial" w:cs="Arial"/>
          <w:b/>
        </w:rPr>
        <w:t>se</w:t>
      </w:r>
      <w:r w:rsidRPr="00B20E38">
        <w:rPr>
          <w:rFonts w:ascii="Arial" w:hAnsi="Arial" w:cs="Arial"/>
          <w:b/>
          <w:lang w:val="sr-Latn-CS"/>
        </w:rPr>
        <w:t xml:space="preserve"> </w:t>
      </w:r>
      <w:r w:rsidR="000B17E1" w:rsidRPr="00B20E38">
        <w:rPr>
          <w:rFonts w:ascii="Arial" w:hAnsi="Arial" w:cs="Arial"/>
          <w:b/>
          <w:lang w:val="sr-Latn-CS"/>
        </w:rPr>
        <w:t>5</w:t>
      </w:r>
      <w:r w:rsidRPr="00B20E38">
        <w:rPr>
          <w:rFonts w:ascii="Arial" w:hAnsi="Arial" w:cs="Arial"/>
          <w:b/>
          <w:lang w:val="sr-Latn-CS"/>
        </w:rPr>
        <w:t xml:space="preserve">60.000 </w:t>
      </w:r>
      <w:r w:rsidRPr="00E56DC2">
        <w:rPr>
          <w:rFonts w:ascii="Arial" w:hAnsi="Arial" w:cs="Arial"/>
          <w:b/>
        </w:rPr>
        <w:t>m</w:t>
      </w:r>
      <w:r w:rsidRPr="00B20E38">
        <w:rPr>
          <w:rFonts w:ascii="Arial" w:hAnsi="Arial" w:cs="Arial"/>
          <w:b/>
          <w:vertAlign w:val="superscript"/>
          <w:lang w:val="sr-Latn-CS"/>
        </w:rPr>
        <w:t>3</w:t>
      </w:r>
      <w:r w:rsidRPr="00B20E38">
        <w:rPr>
          <w:rFonts w:ascii="Arial" w:hAnsi="Arial" w:cs="Arial"/>
          <w:lang w:val="sr-Latn-CS"/>
        </w:rPr>
        <w:t xml:space="preserve"> </w:t>
      </w:r>
      <w:r w:rsidRPr="00B20E38">
        <w:rPr>
          <w:rFonts w:ascii="Arial" w:hAnsi="Arial" w:cs="Arial"/>
          <w:b/>
          <w:lang w:val="sr-Latn-CS"/>
        </w:rPr>
        <w:t>č.</w:t>
      </w:r>
      <w:r w:rsidRPr="00E56DC2">
        <w:rPr>
          <w:rFonts w:ascii="Arial" w:hAnsi="Arial" w:cs="Arial"/>
          <w:b/>
        </w:rPr>
        <w:t>s</w:t>
      </w:r>
      <w:r w:rsidRPr="00B20E38">
        <w:rPr>
          <w:rFonts w:ascii="Arial" w:hAnsi="Arial" w:cs="Arial"/>
          <w:b/>
          <w:lang w:val="sr-Latn-CS"/>
        </w:rPr>
        <w:t>.</w:t>
      </w:r>
      <w:r w:rsidRPr="00E56DC2">
        <w:rPr>
          <w:rFonts w:ascii="Arial" w:hAnsi="Arial" w:cs="Arial"/>
          <w:b/>
        </w:rPr>
        <w:t>m</w:t>
      </w:r>
      <w:r w:rsidRPr="00B20E38">
        <w:rPr>
          <w:rFonts w:ascii="Arial" w:hAnsi="Arial" w:cs="Arial"/>
          <w:lang w:val="sr-Latn-CS"/>
        </w:rPr>
        <w:t xml:space="preserve"> </w:t>
      </w:r>
      <w:r w:rsidRPr="00E56DC2">
        <w:rPr>
          <w:rFonts w:ascii="Arial" w:hAnsi="Arial" w:cs="Arial"/>
        </w:rPr>
        <w:t>tehni</w:t>
      </w:r>
      <w:r w:rsidRPr="00B20E38">
        <w:rPr>
          <w:rFonts w:ascii="Arial" w:hAnsi="Arial" w:cs="Arial"/>
          <w:lang w:val="sr-Latn-CS"/>
        </w:rPr>
        <w:t>č</w:t>
      </w:r>
      <w:r w:rsidRPr="00E56DC2">
        <w:rPr>
          <w:rFonts w:ascii="Arial" w:hAnsi="Arial" w:cs="Arial"/>
        </w:rPr>
        <w:t>ko</w:t>
      </w:r>
      <w:r w:rsidRPr="00B20E38">
        <w:rPr>
          <w:rFonts w:ascii="Arial" w:hAnsi="Arial" w:cs="Arial"/>
          <w:lang w:val="sr-Latn-CS"/>
        </w:rPr>
        <w:t>-</w:t>
      </w:r>
      <w:r w:rsidRPr="00E56DC2">
        <w:rPr>
          <w:rFonts w:ascii="Arial" w:hAnsi="Arial" w:cs="Arial"/>
        </w:rPr>
        <w:t>gra</w:t>
      </w:r>
      <w:r w:rsidRPr="00B20E38">
        <w:rPr>
          <w:rFonts w:ascii="Arial" w:hAnsi="Arial" w:cs="Arial"/>
          <w:lang w:val="sr-Latn-CS"/>
        </w:rPr>
        <w:t>đ</w:t>
      </w:r>
      <w:r w:rsidRPr="00E56DC2">
        <w:rPr>
          <w:rFonts w:ascii="Arial" w:hAnsi="Arial" w:cs="Arial"/>
        </w:rPr>
        <w:t>evinskog</w:t>
      </w:r>
      <w:r w:rsidRPr="00B20E38">
        <w:rPr>
          <w:rFonts w:ascii="Arial" w:hAnsi="Arial" w:cs="Arial"/>
          <w:lang w:val="sr-Latn-CS"/>
        </w:rPr>
        <w:t xml:space="preserve"> </w:t>
      </w:r>
      <w:r w:rsidRPr="00E56DC2">
        <w:rPr>
          <w:rFonts w:ascii="Arial" w:hAnsi="Arial" w:cs="Arial"/>
        </w:rPr>
        <w:t>kamena</w:t>
      </w:r>
      <w:r w:rsidRPr="00B20E38">
        <w:rPr>
          <w:rFonts w:ascii="Arial" w:hAnsi="Arial" w:cs="Arial"/>
          <w:lang w:val="sr-Latn-CS"/>
        </w:rPr>
        <w:t xml:space="preserve">. </w:t>
      </w:r>
      <w:r w:rsidRPr="00E56DC2">
        <w:rPr>
          <w:rFonts w:ascii="Arial" w:hAnsi="Arial" w:cs="Arial"/>
          <w:b/>
        </w:rPr>
        <w:t>Od</w:t>
      </w:r>
      <w:r w:rsidRPr="00B20E38">
        <w:rPr>
          <w:rFonts w:ascii="Arial" w:hAnsi="Arial" w:cs="Arial"/>
          <w:b/>
          <w:lang w:val="sr-Latn-CS"/>
        </w:rPr>
        <w:t xml:space="preserve"> 20.000 </w:t>
      </w:r>
      <w:r w:rsidRPr="00E56DC2">
        <w:rPr>
          <w:rFonts w:ascii="Arial" w:hAnsi="Arial" w:cs="Arial"/>
          <w:b/>
        </w:rPr>
        <w:t>m</w:t>
      </w:r>
      <w:r w:rsidRPr="00B20E38">
        <w:rPr>
          <w:rFonts w:ascii="Arial" w:hAnsi="Arial" w:cs="Arial"/>
          <w:b/>
          <w:vertAlign w:val="superscript"/>
          <w:lang w:val="sr-Latn-CS"/>
        </w:rPr>
        <w:t xml:space="preserve">3 </w:t>
      </w:r>
      <w:r w:rsidRPr="00B20E38">
        <w:rPr>
          <w:rFonts w:ascii="Arial" w:hAnsi="Arial" w:cs="Arial"/>
          <w:b/>
          <w:lang w:val="sr-Latn-CS"/>
        </w:rPr>
        <w:t>č.</w:t>
      </w:r>
      <w:r w:rsidRPr="00E56DC2">
        <w:rPr>
          <w:rFonts w:ascii="Arial" w:hAnsi="Arial" w:cs="Arial"/>
          <w:b/>
        </w:rPr>
        <w:t>s</w:t>
      </w:r>
      <w:r w:rsidRPr="00B20E38">
        <w:rPr>
          <w:rFonts w:ascii="Arial" w:hAnsi="Arial" w:cs="Arial"/>
          <w:b/>
          <w:lang w:val="sr-Latn-CS"/>
        </w:rPr>
        <w:t>.</w:t>
      </w:r>
      <w:r w:rsidRPr="00E56DC2">
        <w:rPr>
          <w:rFonts w:ascii="Arial" w:hAnsi="Arial" w:cs="Arial"/>
          <w:b/>
        </w:rPr>
        <w:t>m</w:t>
      </w:r>
      <w:r w:rsidRPr="00B20E38">
        <w:rPr>
          <w:rFonts w:ascii="Arial" w:hAnsi="Arial" w:cs="Arial"/>
          <w:b/>
          <w:lang w:val="sr-Latn-CS"/>
        </w:rPr>
        <w:t xml:space="preserve">. </w:t>
      </w:r>
      <w:r w:rsidRPr="00E56DC2">
        <w:rPr>
          <w:rFonts w:ascii="Arial" w:hAnsi="Arial" w:cs="Arial"/>
          <w:b/>
        </w:rPr>
        <w:t>na</w:t>
      </w:r>
      <w:r w:rsidRPr="00B20E38">
        <w:rPr>
          <w:rFonts w:ascii="Arial" w:hAnsi="Arial" w:cs="Arial"/>
          <w:b/>
          <w:lang w:val="sr-Latn-CS"/>
        </w:rPr>
        <w:t xml:space="preserve"> </w:t>
      </w:r>
      <w:r w:rsidRPr="00E56DC2">
        <w:rPr>
          <w:rFonts w:ascii="Arial" w:hAnsi="Arial" w:cs="Arial"/>
          <w:b/>
        </w:rPr>
        <w:t>godi</w:t>
      </w:r>
      <w:r w:rsidRPr="00B20E38">
        <w:rPr>
          <w:rFonts w:ascii="Arial" w:hAnsi="Arial" w:cs="Arial"/>
          <w:b/>
          <w:lang w:val="sr-Latn-CS"/>
        </w:rPr>
        <w:t>š</w:t>
      </w:r>
      <w:r w:rsidRPr="00E56DC2">
        <w:rPr>
          <w:rFonts w:ascii="Arial" w:hAnsi="Arial" w:cs="Arial"/>
          <w:b/>
        </w:rPr>
        <w:t>njem</w:t>
      </w:r>
      <w:r w:rsidRPr="00B20E38">
        <w:rPr>
          <w:rFonts w:ascii="Arial" w:hAnsi="Arial" w:cs="Arial"/>
          <w:b/>
          <w:lang w:val="sr-Latn-CS"/>
        </w:rPr>
        <w:t xml:space="preserve"> </w:t>
      </w:r>
      <w:r w:rsidRPr="00E56DC2">
        <w:rPr>
          <w:rFonts w:ascii="Arial" w:hAnsi="Arial" w:cs="Arial"/>
          <w:b/>
        </w:rPr>
        <w:t>nivou</w:t>
      </w:r>
      <w:r w:rsidRPr="00B20E38">
        <w:rPr>
          <w:rFonts w:ascii="Arial" w:hAnsi="Arial" w:cs="Arial"/>
          <w:b/>
          <w:lang w:val="sr-Latn-CS"/>
        </w:rPr>
        <w:t xml:space="preserve"> </w:t>
      </w:r>
      <w:r w:rsidRPr="00E56DC2">
        <w:rPr>
          <w:rFonts w:ascii="Arial" w:hAnsi="Arial" w:cs="Arial"/>
          <w:b/>
        </w:rPr>
        <w:t>u</w:t>
      </w:r>
      <w:r w:rsidRPr="00B20E38">
        <w:rPr>
          <w:rFonts w:ascii="Arial" w:hAnsi="Arial" w:cs="Arial"/>
          <w:b/>
          <w:lang w:val="sr-Latn-CS"/>
        </w:rPr>
        <w:t xml:space="preserve"> </w:t>
      </w:r>
      <w:r w:rsidRPr="00E56DC2">
        <w:rPr>
          <w:rFonts w:ascii="Arial" w:hAnsi="Arial" w:cs="Arial"/>
          <w:b/>
        </w:rPr>
        <w:t>procesu</w:t>
      </w:r>
      <w:r w:rsidRPr="00B20E38">
        <w:rPr>
          <w:rFonts w:ascii="Arial" w:hAnsi="Arial" w:cs="Arial"/>
          <w:b/>
          <w:lang w:val="sr-Latn-CS"/>
        </w:rPr>
        <w:t xml:space="preserve"> </w:t>
      </w:r>
      <w:r w:rsidRPr="00E56DC2">
        <w:rPr>
          <w:rFonts w:ascii="Arial" w:hAnsi="Arial" w:cs="Arial"/>
          <w:b/>
        </w:rPr>
        <w:t>dalje</w:t>
      </w:r>
      <w:r w:rsidRPr="00B20E38">
        <w:rPr>
          <w:rFonts w:ascii="Arial" w:hAnsi="Arial" w:cs="Arial"/>
          <w:b/>
          <w:lang w:val="sr-Latn-CS"/>
        </w:rPr>
        <w:t xml:space="preserve"> </w:t>
      </w:r>
      <w:r w:rsidRPr="00E56DC2">
        <w:rPr>
          <w:rFonts w:ascii="Arial" w:hAnsi="Arial" w:cs="Arial"/>
          <w:b/>
        </w:rPr>
        <w:t>obrade</w:t>
      </w:r>
      <w:r w:rsidRPr="00B20E38">
        <w:rPr>
          <w:rFonts w:ascii="Arial" w:hAnsi="Arial" w:cs="Arial"/>
          <w:b/>
          <w:lang w:val="sr-Latn-CS"/>
        </w:rPr>
        <w:t xml:space="preserve"> </w:t>
      </w:r>
      <w:r w:rsidRPr="00E56DC2">
        <w:rPr>
          <w:rFonts w:ascii="Arial" w:hAnsi="Arial" w:cs="Arial"/>
          <w:b/>
        </w:rPr>
        <w:t>sirovine</w:t>
      </w:r>
      <w:r w:rsidRPr="00B20E38">
        <w:rPr>
          <w:rFonts w:ascii="Arial" w:hAnsi="Arial" w:cs="Arial"/>
          <w:b/>
          <w:lang w:val="sr-Latn-CS"/>
        </w:rPr>
        <w:t xml:space="preserve"> </w:t>
      </w:r>
      <w:r w:rsidRPr="00E56DC2">
        <w:rPr>
          <w:rFonts w:ascii="Arial" w:hAnsi="Arial" w:cs="Arial"/>
          <w:b/>
        </w:rPr>
        <w:t>dobilo</w:t>
      </w:r>
      <w:r w:rsidRPr="00B20E38">
        <w:rPr>
          <w:rFonts w:ascii="Arial" w:hAnsi="Arial" w:cs="Arial"/>
          <w:b/>
          <w:lang w:val="sr-Latn-CS"/>
        </w:rPr>
        <w:t xml:space="preserve"> </w:t>
      </w:r>
      <w:r w:rsidRPr="00E56DC2">
        <w:rPr>
          <w:rFonts w:ascii="Arial" w:hAnsi="Arial" w:cs="Arial"/>
          <w:b/>
        </w:rPr>
        <w:t>bi</w:t>
      </w:r>
      <w:r w:rsidRPr="00B20E38">
        <w:rPr>
          <w:rFonts w:ascii="Arial" w:hAnsi="Arial" w:cs="Arial"/>
          <w:b/>
          <w:lang w:val="sr-Latn-CS"/>
        </w:rPr>
        <w:t xml:space="preserve"> </w:t>
      </w:r>
      <w:r w:rsidRPr="00E56DC2">
        <w:rPr>
          <w:rFonts w:ascii="Arial" w:hAnsi="Arial" w:cs="Arial"/>
          <w:b/>
        </w:rPr>
        <w:t>se</w:t>
      </w:r>
      <w:r w:rsidRPr="00B20E38">
        <w:rPr>
          <w:rFonts w:ascii="Arial" w:hAnsi="Arial" w:cs="Arial"/>
          <w:b/>
          <w:lang w:val="sr-Latn-CS"/>
        </w:rPr>
        <w:t xml:space="preserve"> 30.000 </w:t>
      </w:r>
      <w:r w:rsidRPr="00E56DC2">
        <w:rPr>
          <w:rFonts w:ascii="Arial" w:hAnsi="Arial" w:cs="Arial"/>
          <w:b/>
        </w:rPr>
        <w:t>m</w:t>
      </w:r>
      <w:r w:rsidRPr="00B20E38">
        <w:rPr>
          <w:rFonts w:ascii="Arial" w:hAnsi="Arial" w:cs="Arial"/>
          <w:b/>
          <w:vertAlign w:val="superscript"/>
          <w:lang w:val="sr-Latn-CS"/>
        </w:rPr>
        <w:t>3</w:t>
      </w:r>
      <w:r w:rsidRPr="00B20E38">
        <w:rPr>
          <w:rFonts w:ascii="Arial" w:hAnsi="Arial" w:cs="Arial"/>
          <w:lang w:val="sr-Latn-CS"/>
        </w:rPr>
        <w:t xml:space="preserve"> </w:t>
      </w:r>
      <w:r w:rsidRPr="00E56DC2">
        <w:rPr>
          <w:rFonts w:ascii="Arial" w:hAnsi="Arial" w:cs="Arial"/>
          <w:b/>
        </w:rPr>
        <w:t>agregata</w:t>
      </w:r>
      <w:r w:rsidRPr="00B20E38">
        <w:rPr>
          <w:rFonts w:ascii="Arial" w:hAnsi="Arial" w:cs="Arial"/>
          <w:b/>
          <w:lang w:val="sr-Latn-CS"/>
        </w:rPr>
        <w:t xml:space="preserve"> </w:t>
      </w:r>
      <w:r w:rsidRPr="00E56DC2">
        <w:rPr>
          <w:rFonts w:ascii="Arial" w:hAnsi="Arial" w:cs="Arial"/>
          <w:b/>
        </w:rPr>
        <w:t>razli</w:t>
      </w:r>
      <w:r w:rsidRPr="00B20E38">
        <w:rPr>
          <w:rFonts w:ascii="Arial" w:hAnsi="Arial" w:cs="Arial"/>
          <w:b/>
          <w:lang w:val="sr-Latn-CS"/>
        </w:rPr>
        <w:t>č</w:t>
      </w:r>
      <w:r w:rsidRPr="00E56DC2">
        <w:rPr>
          <w:rFonts w:ascii="Arial" w:hAnsi="Arial" w:cs="Arial"/>
          <w:b/>
        </w:rPr>
        <w:t>itih</w:t>
      </w:r>
      <w:r w:rsidRPr="00B20E38">
        <w:rPr>
          <w:rFonts w:ascii="Arial" w:hAnsi="Arial" w:cs="Arial"/>
          <w:b/>
          <w:lang w:val="sr-Latn-CS"/>
        </w:rPr>
        <w:t xml:space="preserve"> </w:t>
      </w:r>
      <w:r w:rsidRPr="00E56DC2">
        <w:rPr>
          <w:rFonts w:ascii="Arial" w:hAnsi="Arial" w:cs="Arial"/>
          <w:b/>
        </w:rPr>
        <w:t>frakcija</w:t>
      </w:r>
      <w:r w:rsidRPr="00B20E38">
        <w:rPr>
          <w:rFonts w:ascii="Arial" w:hAnsi="Arial" w:cs="Arial"/>
          <w:b/>
          <w:lang w:val="sr-Latn-CS"/>
        </w:rPr>
        <w:t xml:space="preserve"> (</w:t>
      </w:r>
      <w:r w:rsidRPr="00E56DC2">
        <w:rPr>
          <w:rFonts w:ascii="Arial" w:hAnsi="Arial" w:cs="Arial"/>
          <w:b/>
        </w:rPr>
        <w:t>k</w:t>
      </w:r>
      <w:r w:rsidRPr="00E56DC2">
        <w:rPr>
          <w:rFonts w:ascii="Arial" w:hAnsi="Arial" w:cs="Arial"/>
          <w:b/>
          <w:vertAlign w:val="subscript"/>
        </w:rPr>
        <w:t>r</w:t>
      </w:r>
      <w:r w:rsidRPr="00B20E38">
        <w:rPr>
          <w:rFonts w:ascii="Arial" w:hAnsi="Arial" w:cs="Arial"/>
          <w:b/>
          <w:lang w:val="sr-Latn-CS"/>
        </w:rPr>
        <w:t>,=1,5)</w:t>
      </w:r>
      <w:r w:rsidRPr="00B20E38">
        <w:rPr>
          <w:rFonts w:ascii="Arial" w:hAnsi="Arial" w:cs="Arial"/>
          <w:lang w:val="sr-Latn-CS"/>
        </w:rPr>
        <w:t xml:space="preserve"> </w:t>
      </w:r>
      <w:r w:rsidRPr="00B20E38">
        <w:rPr>
          <w:rFonts w:ascii="Arial" w:hAnsi="Arial" w:cs="Arial"/>
          <w:b/>
          <w:lang w:val="sr-Latn-CS"/>
        </w:rPr>
        <w:t>š</w:t>
      </w:r>
      <w:r w:rsidRPr="00E56DC2">
        <w:rPr>
          <w:rFonts w:ascii="Arial" w:hAnsi="Arial" w:cs="Arial"/>
          <w:b/>
        </w:rPr>
        <w:t>to</w:t>
      </w:r>
      <w:r w:rsidRPr="00B20E38">
        <w:rPr>
          <w:rFonts w:ascii="Arial" w:hAnsi="Arial" w:cs="Arial"/>
          <w:b/>
          <w:lang w:val="sr-Latn-CS"/>
        </w:rPr>
        <w:t xml:space="preserve"> </w:t>
      </w:r>
      <w:r w:rsidRPr="00E56DC2">
        <w:rPr>
          <w:rFonts w:ascii="Arial" w:hAnsi="Arial" w:cs="Arial"/>
          <w:b/>
        </w:rPr>
        <w:t>bi</w:t>
      </w:r>
      <w:r w:rsidRPr="00B20E38">
        <w:rPr>
          <w:rFonts w:ascii="Arial" w:hAnsi="Arial" w:cs="Arial"/>
          <w:b/>
          <w:lang w:val="sr-Latn-CS"/>
        </w:rPr>
        <w:t xml:space="preserve"> </w:t>
      </w:r>
      <w:r w:rsidRPr="00E56DC2">
        <w:rPr>
          <w:rFonts w:ascii="Arial" w:hAnsi="Arial" w:cs="Arial"/>
          <w:b/>
        </w:rPr>
        <w:t>za</w:t>
      </w:r>
      <w:r w:rsidRPr="00B20E38">
        <w:rPr>
          <w:rFonts w:ascii="Arial" w:hAnsi="Arial" w:cs="Arial"/>
          <w:b/>
          <w:lang w:val="sr-Latn-CS"/>
        </w:rPr>
        <w:t xml:space="preserve"> </w:t>
      </w:r>
      <w:r w:rsidRPr="00E56DC2">
        <w:rPr>
          <w:rFonts w:ascii="Arial" w:hAnsi="Arial" w:cs="Arial"/>
          <w:b/>
        </w:rPr>
        <w:t>period</w:t>
      </w:r>
      <w:r w:rsidRPr="00B20E38">
        <w:rPr>
          <w:rFonts w:ascii="Arial" w:hAnsi="Arial" w:cs="Arial"/>
          <w:b/>
          <w:lang w:val="sr-Latn-CS"/>
        </w:rPr>
        <w:t xml:space="preserve"> </w:t>
      </w:r>
      <w:r w:rsidRPr="00E56DC2">
        <w:rPr>
          <w:rFonts w:ascii="Arial" w:hAnsi="Arial" w:cs="Arial"/>
          <w:b/>
        </w:rPr>
        <w:t>od</w:t>
      </w:r>
      <w:r w:rsidRPr="00B20E38">
        <w:rPr>
          <w:rFonts w:ascii="Arial" w:hAnsi="Arial" w:cs="Arial"/>
          <w:b/>
          <w:lang w:val="sr-Latn-CS"/>
        </w:rPr>
        <w:t xml:space="preserve"> </w:t>
      </w:r>
      <w:r w:rsidR="003D5374" w:rsidRPr="00B20E38">
        <w:rPr>
          <w:rFonts w:ascii="Arial" w:hAnsi="Arial" w:cs="Arial"/>
          <w:b/>
          <w:lang w:val="sr-Latn-CS"/>
        </w:rPr>
        <w:t>2</w:t>
      </w:r>
      <w:r w:rsidRPr="00B20E38">
        <w:rPr>
          <w:rFonts w:ascii="Arial" w:hAnsi="Arial" w:cs="Arial"/>
          <w:b/>
          <w:lang w:val="sr-Latn-CS"/>
        </w:rPr>
        <w:t xml:space="preserve">8 </w:t>
      </w:r>
      <w:r w:rsidRPr="00E56DC2">
        <w:rPr>
          <w:rFonts w:ascii="Arial" w:hAnsi="Arial" w:cs="Arial"/>
          <w:b/>
        </w:rPr>
        <w:t>godina</w:t>
      </w:r>
      <w:r w:rsidRPr="00B20E38">
        <w:rPr>
          <w:rFonts w:ascii="Arial" w:hAnsi="Arial" w:cs="Arial"/>
          <w:b/>
          <w:lang w:val="sr-Latn-CS"/>
        </w:rPr>
        <w:t xml:space="preserve"> </w:t>
      </w:r>
      <w:r w:rsidRPr="00E56DC2">
        <w:rPr>
          <w:rFonts w:ascii="Arial" w:hAnsi="Arial" w:cs="Arial"/>
          <w:b/>
        </w:rPr>
        <w:t>iznosilo</w:t>
      </w:r>
      <w:r w:rsidRPr="00B20E38">
        <w:rPr>
          <w:rFonts w:ascii="Arial" w:hAnsi="Arial" w:cs="Arial"/>
          <w:lang w:val="sr-Latn-CS"/>
        </w:rPr>
        <w:t xml:space="preserve"> </w:t>
      </w:r>
      <w:r w:rsidR="000B17E1" w:rsidRPr="00B20E38">
        <w:rPr>
          <w:rFonts w:ascii="Arial" w:hAnsi="Arial" w:cs="Arial"/>
          <w:b/>
          <w:lang w:val="sr-Latn-CS"/>
        </w:rPr>
        <w:t>8</w:t>
      </w:r>
      <w:r w:rsidRPr="00B20E38">
        <w:rPr>
          <w:rFonts w:ascii="Arial" w:hAnsi="Arial" w:cs="Arial"/>
          <w:b/>
          <w:lang w:val="sr-Latn-CS"/>
        </w:rPr>
        <w:t xml:space="preserve">40.000 </w:t>
      </w:r>
      <w:r w:rsidRPr="00E56DC2">
        <w:rPr>
          <w:rFonts w:ascii="Arial" w:hAnsi="Arial" w:cs="Arial"/>
          <w:b/>
        </w:rPr>
        <w:t>m</w:t>
      </w:r>
      <w:r w:rsidRPr="00B20E38">
        <w:rPr>
          <w:rFonts w:ascii="Arial" w:hAnsi="Arial" w:cs="Arial"/>
          <w:b/>
          <w:vertAlign w:val="superscript"/>
          <w:lang w:val="sr-Latn-CS"/>
        </w:rPr>
        <w:t>3</w:t>
      </w:r>
      <w:r w:rsidRPr="00B20E38">
        <w:rPr>
          <w:rFonts w:ascii="Arial" w:hAnsi="Arial" w:cs="Arial"/>
          <w:lang w:val="sr-Latn-CS"/>
        </w:rPr>
        <w:t xml:space="preserve"> </w:t>
      </w:r>
      <w:r w:rsidRPr="00E56DC2">
        <w:rPr>
          <w:rFonts w:ascii="Arial" w:hAnsi="Arial" w:cs="Arial"/>
          <w:b/>
        </w:rPr>
        <w:t>tr</w:t>
      </w:r>
      <w:r w:rsidRPr="00B20E38">
        <w:rPr>
          <w:rFonts w:ascii="Arial" w:hAnsi="Arial" w:cs="Arial"/>
          <w:b/>
          <w:lang w:val="sr-Latn-CS"/>
        </w:rPr>
        <w:t>ž</w:t>
      </w:r>
      <w:r w:rsidRPr="00E56DC2">
        <w:rPr>
          <w:rFonts w:ascii="Arial" w:hAnsi="Arial" w:cs="Arial"/>
          <w:b/>
        </w:rPr>
        <w:t>i</w:t>
      </w:r>
      <w:r w:rsidRPr="00B20E38">
        <w:rPr>
          <w:rFonts w:ascii="Arial" w:hAnsi="Arial" w:cs="Arial"/>
          <w:b/>
          <w:lang w:val="sr-Latn-CS"/>
        </w:rPr>
        <w:t>š</w:t>
      </w:r>
      <w:r w:rsidRPr="00E56DC2">
        <w:rPr>
          <w:rFonts w:ascii="Arial" w:hAnsi="Arial" w:cs="Arial"/>
          <w:b/>
        </w:rPr>
        <w:t>nog</w:t>
      </w:r>
      <w:r w:rsidRPr="00B20E38">
        <w:rPr>
          <w:rFonts w:ascii="Arial" w:hAnsi="Arial" w:cs="Arial"/>
          <w:b/>
          <w:lang w:val="sr-Latn-CS"/>
        </w:rPr>
        <w:t xml:space="preserve"> </w:t>
      </w:r>
      <w:r w:rsidRPr="00E56DC2">
        <w:rPr>
          <w:rFonts w:ascii="Arial" w:hAnsi="Arial" w:cs="Arial"/>
          <w:b/>
        </w:rPr>
        <w:t>proizvoda</w:t>
      </w:r>
      <w:r w:rsidRPr="00B20E38">
        <w:rPr>
          <w:rFonts w:ascii="Arial" w:hAnsi="Arial" w:cs="Arial"/>
          <w:b/>
          <w:lang w:val="sr-Latn-CS"/>
        </w:rPr>
        <w:t>.</w:t>
      </w:r>
    </w:p>
    <w:p w14:paraId="4340D5B0" w14:textId="77777777" w:rsidR="00313B20" w:rsidRPr="00E56DC2" w:rsidRDefault="00313B20" w:rsidP="003D5374">
      <w:pPr>
        <w:spacing w:after="0" w:line="240" w:lineRule="auto"/>
        <w:jc w:val="both"/>
        <w:rPr>
          <w:rFonts w:ascii="Arial" w:hAnsi="Arial" w:cs="Arial"/>
          <w:lang w:val="sv-SE"/>
        </w:rPr>
      </w:pPr>
    </w:p>
    <w:p w14:paraId="6F09B720" w14:textId="3134BB0B" w:rsidR="00486798" w:rsidRPr="00E56DC2" w:rsidRDefault="00486798" w:rsidP="003D5374">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3D5374">
      <w:pPr>
        <w:spacing w:after="0" w:line="240" w:lineRule="auto"/>
        <w:jc w:val="both"/>
        <w:rPr>
          <w:rFonts w:ascii="Arial" w:hAnsi="Arial" w:cs="Arial"/>
          <w:lang w:val="pl-PL"/>
        </w:rPr>
      </w:pPr>
    </w:p>
    <w:p w14:paraId="745694AA" w14:textId="77777777" w:rsidR="009E4344" w:rsidRPr="00E56DC2" w:rsidRDefault="009E4344" w:rsidP="003D5374">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475F2196" w:rsidR="001F4603" w:rsidRDefault="001F4603" w:rsidP="003D5374">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2798656A" w14:textId="77777777" w:rsidR="003D5374" w:rsidRPr="00E56DC2" w:rsidRDefault="003D5374" w:rsidP="003D5374">
      <w:pPr>
        <w:spacing w:after="0" w:line="240" w:lineRule="auto"/>
        <w:rPr>
          <w:rFonts w:ascii="Arial" w:eastAsia="Times New Roman" w:hAnsi="Arial" w:cs="Arial"/>
          <w:b/>
          <w:bCs/>
          <w:noProof/>
          <w:lang w:val="pl-PL"/>
        </w:rPr>
      </w:pPr>
    </w:p>
    <w:p w14:paraId="5EA51277" w14:textId="77777777"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E1B5A0D" w14:textId="52D3212D" w:rsidR="009E4344" w:rsidRPr="00E56DC2" w:rsidRDefault="009E4344" w:rsidP="003D5374">
      <w:pPr>
        <w:spacing w:after="0" w:line="240" w:lineRule="auto"/>
        <w:rPr>
          <w:rFonts w:ascii="Arial" w:hAnsi="Arial" w:cs="Arial"/>
          <w:bCs/>
          <w:noProof/>
          <w:lang w:val="pl-PL"/>
        </w:rPr>
      </w:pPr>
    </w:p>
    <w:p w14:paraId="5C7CAE92" w14:textId="77777777" w:rsidR="00297F2E" w:rsidRPr="00E56DC2" w:rsidRDefault="00E52914" w:rsidP="003D5374">
      <w:pPr>
        <w:pStyle w:val="Heading2"/>
        <w:numPr>
          <w:ilvl w:val="1"/>
          <w:numId w:val="24"/>
        </w:numPr>
      </w:pPr>
      <w:bookmarkStart w:id="39" w:name="_Toc436124904"/>
      <w:r w:rsidRPr="00E56DC2">
        <w:t>Reference ponuđača</w:t>
      </w:r>
      <w:bookmarkEnd w:id="39"/>
    </w:p>
    <w:p w14:paraId="3641F620" w14:textId="77777777" w:rsidR="00933594" w:rsidRPr="00E56DC2" w:rsidRDefault="00933594" w:rsidP="003D5374">
      <w:pPr>
        <w:spacing w:after="0" w:line="240" w:lineRule="auto"/>
        <w:jc w:val="both"/>
        <w:rPr>
          <w:rFonts w:ascii="Arial" w:hAnsi="Arial" w:cs="Arial"/>
          <w:lang w:val="sr-Latn-CS"/>
        </w:rPr>
      </w:pPr>
    </w:p>
    <w:p w14:paraId="1AABA0FC" w14:textId="143E4E27" w:rsidR="001F4603" w:rsidRPr="00D671DB" w:rsidRDefault="001F4603" w:rsidP="00011594">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Ponu</w:t>
      </w:r>
      <w:r w:rsidRPr="00D671DB">
        <w:rPr>
          <w:rFonts w:ascii="Arial" w:eastAsia="Times New Roman" w:hAnsi="Arial" w:cs="Arial"/>
          <w:noProof/>
          <w:lang w:val="sr-Latn-CS"/>
        </w:rPr>
        <w:t>đ</w:t>
      </w:r>
      <w:r w:rsidRPr="00E56DC2">
        <w:rPr>
          <w:rFonts w:ascii="Arial" w:eastAsia="Times New Roman" w:hAnsi="Arial" w:cs="Arial"/>
          <w:noProof/>
        </w:rPr>
        <w:t>a</w:t>
      </w:r>
      <w:r w:rsidRPr="00D671DB">
        <w:rPr>
          <w:rFonts w:ascii="Arial" w:eastAsia="Times New Roman" w:hAnsi="Arial" w:cs="Arial"/>
          <w:noProof/>
          <w:lang w:val="sr-Latn-CS"/>
        </w:rPr>
        <w:t xml:space="preserve">č </w:t>
      </w:r>
      <w:r w:rsidRPr="00E56DC2">
        <w:rPr>
          <w:rFonts w:ascii="Arial" w:eastAsia="Times New Roman" w:hAnsi="Arial" w:cs="Arial"/>
          <w:noProof/>
        </w:rPr>
        <w:t>treba</w:t>
      </w:r>
      <w:r w:rsidRPr="00D671DB">
        <w:rPr>
          <w:rFonts w:ascii="Arial" w:eastAsia="Times New Roman" w:hAnsi="Arial" w:cs="Arial"/>
          <w:noProof/>
          <w:lang w:val="sr-Latn-CS"/>
        </w:rPr>
        <w:t xml:space="preserve"> </w:t>
      </w:r>
      <w:r w:rsidRPr="00E56DC2">
        <w:rPr>
          <w:rFonts w:ascii="Arial" w:eastAsia="Times New Roman" w:hAnsi="Arial" w:cs="Arial"/>
          <w:noProof/>
        </w:rPr>
        <w:t>da</w:t>
      </w:r>
      <w:r w:rsidRPr="00D671DB">
        <w:rPr>
          <w:rFonts w:ascii="Arial" w:eastAsia="Times New Roman" w:hAnsi="Arial" w:cs="Arial"/>
          <w:noProof/>
          <w:lang w:val="sr-Latn-CS"/>
        </w:rPr>
        <w:t xml:space="preserve"> </w:t>
      </w:r>
      <w:r w:rsidRPr="00E56DC2">
        <w:rPr>
          <w:rFonts w:ascii="Arial" w:eastAsia="Times New Roman" w:hAnsi="Arial" w:cs="Arial"/>
          <w:noProof/>
        </w:rPr>
        <w:t>doka</w:t>
      </w:r>
      <w:r w:rsidRPr="00D671DB">
        <w:rPr>
          <w:rFonts w:ascii="Arial" w:eastAsia="Times New Roman" w:hAnsi="Arial" w:cs="Arial"/>
          <w:noProof/>
          <w:lang w:val="sr-Latn-CS"/>
        </w:rPr>
        <w:t>ž</w:t>
      </w:r>
      <w:r w:rsidRPr="00E56DC2">
        <w:rPr>
          <w:rFonts w:ascii="Arial" w:eastAsia="Times New Roman" w:hAnsi="Arial" w:cs="Arial"/>
          <w:noProof/>
        </w:rPr>
        <w:t>e</w:t>
      </w:r>
      <w:r w:rsidRPr="00D671DB">
        <w:rPr>
          <w:rFonts w:ascii="Arial" w:eastAsia="Times New Roman" w:hAnsi="Arial" w:cs="Arial"/>
          <w:noProof/>
          <w:lang w:val="sr-Latn-CS"/>
        </w:rPr>
        <w:t xml:space="preserve">: </w:t>
      </w:r>
      <w:r w:rsidRPr="00E56DC2">
        <w:rPr>
          <w:rFonts w:ascii="Arial" w:eastAsia="Times New Roman" w:hAnsi="Arial" w:cs="Arial"/>
          <w:noProof/>
        </w:rPr>
        <w:t>postojanje</w:t>
      </w:r>
      <w:r w:rsidRPr="00D671DB">
        <w:rPr>
          <w:rFonts w:ascii="Arial" w:eastAsia="Times New Roman" w:hAnsi="Arial" w:cs="Arial"/>
          <w:noProof/>
          <w:lang w:val="sr-Latn-CS"/>
        </w:rPr>
        <w:t xml:space="preserve"> </w:t>
      </w:r>
      <w:r w:rsidRPr="00E56DC2">
        <w:rPr>
          <w:rFonts w:ascii="Arial" w:eastAsia="Times New Roman" w:hAnsi="Arial" w:cs="Arial"/>
          <w:noProof/>
        </w:rPr>
        <w:t>iskustva</w:t>
      </w:r>
      <w:r w:rsidRPr="00D671DB">
        <w:rPr>
          <w:rFonts w:ascii="Arial" w:eastAsia="Times New Roman" w:hAnsi="Arial" w:cs="Arial"/>
          <w:noProof/>
          <w:lang w:val="sr-Latn-CS"/>
        </w:rPr>
        <w:t xml:space="preserve"> </w:t>
      </w:r>
      <w:r w:rsidRPr="00E56DC2">
        <w:rPr>
          <w:rFonts w:ascii="Arial" w:eastAsia="Times New Roman" w:hAnsi="Arial" w:cs="Arial"/>
          <w:noProof/>
        </w:rPr>
        <w:t>u</w:t>
      </w:r>
      <w:r w:rsidRPr="00D671DB">
        <w:rPr>
          <w:rFonts w:ascii="Arial" w:eastAsia="Times New Roman" w:hAnsi="Arial" w:cs="Arial"/>
          <w:noProof/>
          <w:lang w:val="sr-Latn-CS"/>
        </w:rPr>
        <w:t xml:space="preserve"> </w:t>
      </w:r>
      <w:r w:rsidRPr="00E56DC2">
        <w:rPr>
          <w:rFonts w:ascii="Arial" w:eastAsia="Times New Roman" w:hAnsi="Arial" w:cs="Arial"/>
          <w:noProof/>
        </w:rPr>
        <w:t>koncesionoj</w:t>
      </w:r>
      <w:r w:rsidRPr="00D671DB">
        <w:rPr>
          <w:rFonts w:ascii="Arial" w:eastAsia="Times New Roman" w:hAnsi="Arial" w:cs="Arial"/>
          <w:noProof/>
          <w:lang w:val="sr-Latn-CS"/>
        </w:rPr>
        <w:t xml:space="preserve"> </w:t>
      </w:r>
      <w:r w:rsidRPr="00E56DC2">
        <w:rPr>
          <w:rFonts w:ascii="Arial" w:eastAsia="Times New Roman" w:hAnsi="Arial" w:cs="Arial"/>
          <w:noProof/>
        </w:rPr>
        <w:t>djelatnosti</w:t>
      </w:r>
      <w:r w:rsidRPr="00D671DB">
        <w:rPr>
          <w:rFonts w:ascii="Arial" w:eastAsia="Times New Roman" w:hAnsi="Arial" w:cs="Arial"/>
          <w:noProof/>
          <w:lang w:val="sr-Latn-CS"/>
        </w:rPr>
        <w:t xml:space="preserve"> </w:t>
      </w:r>
      <w:r w:rsidRPr="00E56DC2">
        <w:rPr>
          <w:rFonts w:ascii="Arial" w:eastAsia="Times New Roman" w:hAnsi="Arial" w:cs="Arial"/>
          <w:noProof/>
        </w:rPr>
        <w:t>eksploatacije</w:t>
      </w:r>
      <w:r w:rsidRPr="00D671DB">
        <w:rPr>
          <w:rFonts w:ascii="Arial" w:eastAsia="Times New Roman" w:hAnsi="Arial" w:cs="Arial"/>
          <w:noProof/>
          <w:lang w:val="sr-Latn-CS"/>
        </w:rPr>
        <w:t xml:space="preserve"> č</w:t>
      </w:r>
      <w:r w:rsidRPr="00E56DC2">
        <w:rPr>
          <w:rFonts w:ascii="Arial" w:eastAsia="Times New Roman" w:hAnsi="Arial" w:cs="Arial"/>
          <w:noProof/>
        </w:rPr>
        <w:t>vrstih</w:t>
      </w:r>
      <w:r w:rsidRPr="00D671DB">
        <w:rPr>
          <w:rFonts w:ascii="Arial" w:eastAsia="Times New Roman" w:hAnsi="Arial" w:cs="Arial"/>
          <w:noProof/>
          <w:lang w:val="sr-Latn-CS"/>
        </w:rPr>
        <w:t xml:space="preserve"> </w:t>
      </w:r>
      <w:r w:rsidRPr="00E56DC2">
        <w:rPr>
          <w:rFonts w:ascii="Arial" w:eastAsia="Times New Roman" w:hAnsi="Arial" w:cs="Arial"/>
          <w:noProof/>
        </w:rPr>
        <w:t>mineralnih</w:t>
      </w:r>
      <w:r w:rsidRPr="00D671DB">
        <w:rPr>
          <w:rFonts w:ascii="Arial" w:eastAsia="Times New Roman" w:hAnsi="Arial" w:cs="Arial"/>
          <w:noProof/>
          <w:lang w:val="sr-Latn-CS"/>
        </w:rPr>
        <w:t xml:space="preserve"> </w:t>
      </w:r>
      <w:r w:rsidRPr="00E56DC2">
        <w:rPr>
          <w:rFonts w:ascii="Arial" w:eastAsia="Times New Roman" w:hAnsi="Arial" w:cs="Arial"/>
          <w:noProof/>
        </w:rPr>
        <w:t>sirovina</w:t>
      </w:r>
      <w:r w:rsidRPr="00D671DB">
        <w:rPr>
          <w:rFonts w:ascii="Arial" w:eastAsia="Times New Roman" w:hAnsi="Arial" w:cs="Arial"/>
          <w:noProof/>
          <w:lang w:val="sr-Latn-CS"/>
        </w:rPr>
        <w:t xml:space="preserve">, </w:t>
      </w:r>
      <w:r w:rsidRPr="00E56DC2">
        <w:rPr>
          <w:rFonts w:ascii="Arial" w:eastAsia="Times New Roman" w:hAnsi="Arial" w:cs="Arial"/>
          <w:noProof/>
        </w:rPr>
        <w:t>odnosno</w:t>
      </w:r>
      <w:r w:rsidRPr="00D671DB">
        <w:rPr>
          <w:rFonts w:ascii="Arial" w:eastAsia="Times New Roman" w:hAnsi="Arial" w:cs="Arial"/>
          <w:noProof/>
          <w:lang w:val="sr-Latn-CS"/>
        </w:rPr>
        <w:t xml:space="preserve"> </w:t>
      </w:r>
      <w:r w:rsidRPr="00E56DC2">
        <w:rPr>
          <w:rFonts w:ascii="Arial" w:eastAsia="Times New Roman" w:hAnsi="Arial" w:cs="Arial"/>
          <w:noProof/>
        </w:rPr>
        <w:t>iskustvo</w:t>
      </w:r>
      <w:r w:rsidRPr="00D671DB">
        <w:rPr>
          <w:rFonts w:ascii="Arial" w:eastAsia="Times New Roman" w:hAnsi="Arial" w:cs="Arial"/>
          <w:noProof/>
          <w:lang w:val="sr-Latn-CS"/>
        </w:rPr>
        <w:t xml:space="preserve"> </w:t>
      </w:r>
      <w:r w:rsidRPr="00E56DC2">
        <w:rPr>
          <w:rFonts w:ascii="Arial" w:eastAsia="Times New Roman" w:hAnsi="Arial" w:cs="Arial"/>
          <w:noProof/>
        </w:rPr>
        <w:t>u</w:t>
      </w:r>
      <w:r w:rsidRPr="00D671DB">
        <w:rPr>
          <w:rFonts w:ascii="Arial" w:eastAsia="Times New Roman" w:hAnsi="Arial" w:cs="Arial"/>
          <w:noProof/>
          <w:lang w:val="sr-Latn-CS"/>
        </w:rPr>
        <w:t xml:space="preserve"> </w:t>
      </w:r>
      <w:r w:rsidRPr="00E56DC2">
        <w:rPr>
          <w:rFonts w:ascii="Arial" w:eastAsia="Times New Roman" w:hAnsi="Arial" w:cs="Arial"/>
          <w:noProof/>
        </w:rPr>
        <w:t>obavljanju</w:t>
      </w:r>
      <w:r w:rsidRPr="00D671DB">
        <w:rPr>
          <w:rFonts w:ascii="Arial" w:eastAsia="Times New Roman" w:hAnsi="Arial" w:cs="Arial"/>
          <w:noProof/>
          <w:lang w:val="sr-Latn-CS"/>
        </w:rPr>
        <w:t xml:space="preserve"> </w:t>
      </w:r>
      <w:r w:rsidRPr="00E56DC2">
        <w:rPr>
          <w:rFonts w:ascii="Arial" w:eastAsia="Times New Roman" w:hAnsi="Arial" w:cs="Arial"/>
          <w:noProof/>
        </w:rPr>
        <w:t>druge</w:t>
      </w:r>
      <w:r w:rsidRPr="00D671DB">
        <w:rPr>
          <w:rFonts w:ascii="Arial" w:eastAsia="Times New Roman" w:hAnsi="Arial" w:cs="Arial"/>
          <w:noProof/>
          <w:lang w:val="sr-Latn-CS"/>
        </w:rPr>
        <w:t xml:space="preserve"> </w:t>
      </w:r>
      <w:r w:rsidRPr="00E56DC2">
        <w:rPr>
          <w:rFonts w:ascii="Arial" w:eastAsia="Times New Roman" w:hAnsi="Arial" w:cs="Arial"/>
          <w:noProof/>
        </w:rPr>
        <w:t>privredne</w:t>
      </w:r>
      <w:r w:rsidRPr="00D671DB">
        <w:rPr>
          <w:rFonts w:ascii="Arial" w:eastAsia="Times New Roman" w:hAnsi="Arial" w:cs="Arial"/>
          <w:noProof/>
          <w:lang w:val="sr-Latn-CS"/>
        </w:rPr>
        <w:t xml:space="preserve"> </w:t>
      </w:r>
      <w:r w:rsidRPr="00E56DC2">
        <w:rPr>
          <w:rFonts w:ascii="Arial" w:eastAsia="Times New Roman" w:hAnsi="Arial" w:cs="Arial"/>
          <w:noProof/>
        </w:rPr>
        <w:t>djelatnosti</w:t>
      </w:r>
      <w:r w:rsidRPr="00D671DB">
        <w:rPr>
          <w:rFonts w:ascii="Arial" w:eastAsia="Times New Roman" w:hAnsi="Arial" w:cs="Arial"/>
          <w:noProof/>
          <w:lang w:val="sr-Latn-CS"/>
        </w:rPr>
        <w:t xml:space="preserve"> </w:t>
      </w:r>
      <w:r w:rsidRPr="00E56DC2">
        <w:rPr>
          <w:rFonts w:ascii="Arial" w:eastAsia="Times New Roman" w:hAnsi="Arial" w:cs="Arial"/>
          <w:noProof/>
        </w:rPr>
        <w:t>koja</w:t>
      </w:r>
      <w:r w:rsidRPr="00D671DB">
        <w:rPr>
          <w:rFonts w:ascii="Arial" w:eastAsia="Times New Roman" w:hAnsi="Arial" w:cs="Arial"/>
          <w:noProof/>
          <w:lang w:val="sr-Latn-CS"/>
        </w:rPr>
        <w:t xml:space="preserve"> </w:t>
      </w:r>
      <w:r w:rsidRPr="00E56DC2">
        <w:rPr>
          <w:rFonts w:ascii="Arial" w:eastAsia="Times New Roman" w:hAnsi="Arial" w:cs="Arial"/>
          <w:noProof/>
        </w:rPr>
        <w:t>podrazumijeva</w:t>
      </w:r>
      <w:r w:rsidRPr="00D671DB">
        <w:rPr>
          <w:rFonts w:ascii="Arial" w:eastAsia="Times New Roman" w:hAnsi="Arial" w:cs="Arial"/>
          <w:noProof/>
          <w:lang w:val="sr-Latn-CS"/>
        </w:rPr>
        <w:t xml:space="preserve"> </w:t>
      </w:r>
      <w:r w:rsidRPr="00E56DC2">
        <w:rPr>
          <w:rFonts w:ascii="Arial" w:eastAsia="Times New Roman" w:hAnsi="Arial" w:cs="Arial"/>
          <w:noProof/>
        </w:rPr>
        <w:t>srodnu</w:t>
      </w:r>
      <w:r w:rsidRPr="00D671DB">
        <w:rPr>
          <w:rFonts w:ascii="Arial" w:eastAsia="Times New Roman" w:hAnsi="Arial" w:cs="Arial"/>
          <w:noProof/>
          <w:lang w:val="sr-Latn-CS"/>
        </w:rPr>
        <w:t xml:space="preserve"> </w:t>
      </w:r>
      <w:r w:rsidRPr="00E56DC2">
        <w:rPr>
          <w:rFonts w:ascii="Arial" w:eastAsia="Times New Roman" w:hAnsi="Arial" w:cs="Arial"/>
          <w:noProof/>
        </w:rPr>
        <w:t>tehnologiju</w:t>
      </w:r>
      <w:r w:rsidRPr="00D671DB">
        <w:rPr>
          <w:rFonts w:ascii="Arial" w:eastAsia="Times New Roman" w:hAnsi="Arial" w:cs="Arial"/>
          <w:noProof/>
          <w:lang w:val="sr-Latn-CS"/>
        </w:rPr>
        <w:t xml:space="preserve"> </w:t>
      </w:r>
      <w:r w:rsidRPr="00E56DC2">
        <w:rPr>
          <w:rFonts w:ascii="Arial" w:eastAsia="Times New Roman" w:hAnsi="Arial" w:cs="Arial"/>
          <w:noProof/>
        </w:rPr>
        <w:t>rada</w:t>
      </w:r>
      <w:r w:rsidRPr="00D671DB">
        <w:rPr>
          <w:rFonts w:ascii="Arial" w:eastAsia="Times New Roman" w:hAnsi="Arial" w:cs="Arial"/>
          <w:noProof/>
          <w:lang w:val="sr-Latn-CS"/>
        </w:rPr>
        <w:t xml:space="preserve"> (</w:t>
      </w:r>
      <w:r w:rsidRPr="00E56DC2">
        <w:rPr>
          <w:rFonts w:ascii="Arial" w:eastAsia="Times New Roman" w:hAnsi="Arial" w:cs="Arial"/>
          <w:noProof/>
        </w:rPr>
        <w:t>probijanje</w:t>
      </w:r>
      <w:r w:rsidRPr="00D671DB">
        <w:rPr>
          <w:rFonts w:ascii="Arial" w:eastAsia="Times New Roman" w:hAnsi="Arial" w:cs="Arial"/>
          <w:noProof/>
          <w:lang w:val="sr-Latn-CS"/>
        </w:rPr>
        <w:t xml:space="preserve"> </w:t>
      </w:r>
      <w:r w:rsidRPr="00E56DC2">
        <w:rPr>
          <w:rFonts w:ascii="Arial" w:eastAsia="Times New Roman" w:hAnsi="Arial" w:cs="Arial"/>
          <w:noProof/>
        </w:rPr>
        <w:t>puteva</w:t>
      </w:r>
      <w:r w:rsidRPr="00D671DB">
        <w:rPr>
          <w:rFonts w:ascii="Arial" w:eastAsia="Times New Roman" w:hAnsi="Arial" w:cs="Arial"/>
          <w:noProof/>
          <w:lang w:val="sr-Latn-CS"/>
        </w:rPr>
        <w:t xml:space="preserve">, </w:t>
      </w:r>
      <w:r w:rsidRPr="00E56DC2">
        <w:rPr>
          <w:rFonts w:ascii="Arial" w:eastAsia="Times New Roman" w:hAnsi="Arial" w:cs="Arial"/>
          <w:noProof/>
        </w:rPr>
        <w:t>pro</w:t>
      </w:r>
      <w:r w:rsidRPr="00D671DB">
        <w:rPr>
          <w:rFonts w:ascii="Arial" w:eastAsia="Times New Roman" w:hAnsi="Arial" w:cs="Arial"/>
          <w:noProof/>
          <w:lang w:val="sr-Latn-CS"/>
        </w:rPr>
        <w:t>š</w:t>
      </w:r>
      <w:r w:rsidRPr="00E56DC2">
        <w:rPr>
          <w:rFonts w:ascii="Arial" w:eastAsia="Times New Roman" w:hAnsi="Arial" w:cs="Arial"/>
          <w:noProof/>
        </w:rPr>
        <w:t>irenje</w:t>
      </w:r>
      <w:r w:rsidRPr="00D671DB">
        <w:rPr>
          <w:rFonts w:ascii="Arial" w:eastAsia="Times New Roman" w:hAnsi="Arial" w:cs="Arial"/>
          <w:noProof/>
          <w:lang w:val="sr-Latn-CS"/>
        </w:rPr>
        <w:t xml:space="preserve"> </w:t>
      </w:r>
      <w:r w:rsidRPr="00E56DC2">
        <w:rPr>
          <w:rFonts w:ascii="Arial" w:eastAsia="Times New Roman" w:hAnsi="Arial" w:cs="Arial"/>
          <w:noProof/>
        </w:rPr>
        <w:t>postoje</w:t>
      </w:r>
      <w:r w:rsidRPr="00D671DB">
        <w:rPr>
          <w:rFonts w:ascii="Arial" w:eastAsia="Times New Roman" w:hAnsi="Arial" w:cs="Arial"/>
          <w:noProof/>
          <w:lang w:val="sr-Latn-CS"/>
        </w:rPr>
        <w:t>ć</w:t>
      </w:r>
      <w:r w:rsidRPr="00E56DC2">
        <w:rPr>
          <w:rFonts w:ascii="Arial" w:eastAsia="Times New Roman" w:hAnsi="Arial" w:cs="Arial"/>
          <w:noProof/>
        </w:rPr>
        <w:t>ih</w:t>
      </w:r>
      <w:r w:rsidRPr="00D671DB">
        <w:rPr>
          <w:rFonts w:ascii="Arial" w:eastAsia="Times New Roman" w:hAnsi="Arial" w:cs="Arial"/>
          <w:noProof/>
          <w:lang w:val="sr-Latn-CS"/>
        </w:rPr>
        <w:t xml:space="preserve"> </w:t>
      </w:r>
      <w:r w:rsidRPr="00E56DC2">
        <w:rPr>
          <w:rFonts w:ascii="Arial" w:eastAsia="Times New Roman" w:hAnsi="Arial" w:cs="Arial"/>
          <w:noProof/>
        </w:rPr>
        <w:t>puteva</w:t>
      </w:r>
      <w:r w:rsidRPr="00D671DB">
        <w:rPr>
          <w:rFonts w:ascii="Arial" w:eastAsia="Times New Roman" w:hAnsi="Arial" w:cs="Arial"/>
          <w:noProof/>
          <w:lang w:val="sr-Latn-CS"/>
        </w:rPr>
        <w:t xml:space="preserve">, </w:t>
      </w:r>
      <w:r w:rsidRPr="00E56DC2">
        <w:rPr>
          <w:rFonts w:ascii="Arial" w:eastAsia="Times New Roman" w:hAnsi="Arial" w:cs="Arial"/>
          <w:noProof/>
        </w:rPr>
        <w:t>probijanje</w:t>
      </w:r>
      <w:r w:rsidRPr="00D671DB">
        <w:rPr>
          <w:rFonts w:ascii="Arial" w:eastAsia="Times New Roman" w:hAnsi="Arial" w:cs="Arial"/>
          <w:noProof/>
          <w:lang w:val="sr-Latn-CS"/>
        </w:rPr>
        <w:t xml:space="preserve"> </w:t>
      </w:r>
      <w:r w:rsidRPr="00E56DC2">
        <w:rPr>
          <w:rFonts w:ascii="Arial" w:eastAsia="Times New Roman" w:hAnsi="Arial" w:cs="Arial"/>
          <w:noProof/>
        </w:rPr>
        <w:t>tunela</w:t>
      </w:r>
      <w:r w:rsidRPr="00D671DB">
        <w:rPr>
          <w:rFonts w:ascii="Arial" w:eastAsia="Times New Roman" w:hAnsi="Arial" w:cs="Arial"/>
          <w:noProof/>
          <w:lang w:val="sr-Latn-CS"/>
        </w:rPr>
        <w:t xml:space="preserve">, </w:t>
      </w:r>
      <w:r w:rsidRPr="00E56DC2">
        <w:rPr>
          <w:rFonts w:ascii="Arial" w:eastAsia="Times New Roman" w:hAnsi="Arial" w:cs="Arial"/>
          <w:noProof/>
        </w:rPr>
        <w:t>izrada</w:t>
      </w:r>
      <w:r w:rsidRPr="00D671DB">
        <w:rPr>
          <w:rFonts w:ascii="Arial" w:eastAsia="Times New Roman" w:hAnsi="Arial" w:cs="Arial"/>
          <w:noProof/>
          <w:lang w:val="sr-Latn-CS"/>
        </w:rPr>
        <w:t xml:space="preserve"> </w:t>
      </w:r>
      <w:r w:rsidRPr="00E56DC2">
        <w:rPr>
          <w:rFonts w:ascii="Arial" w:eastAsia="Times New Roman" w:hAnsi="Arial" w:cs="Arial"/>
          <w:noProof/>
        </w:rPr>
        <w:t>platoa</w:t>
      </w:r>
      <w:r w:rsidRPr="00D671DB">
        <w:rPr>
          <w:rFonts w:ascii="Arial" w:eastAsia="Times New Roman" w:hAnsi="Arial" w:cs="Arial"/>
          <w:noProof/>
          <w:lang w:val="sr-Latn-CS"/>
        </w:rPr>
        <w:t xml:space="preserve">, </w:t>
      </w:r>
      <w:r w:rsidRPr="00E56DC2">
        <w:rPr>
          <w:rFonts w:ascii="Arial" w:eastAsia="Times New Roman" w:hAnsi="Arial" w:cs="Arial"/>
          <w:noProof/>
        </w:rPr>
        <w:t>nasipa</w:t>
      </w:r>
      <w:r w:rsidRPr="00D671DB">
        <w:rPr>
          <w:rFonts w:ascii="Arial" w:eastAsia="Times New Roman" w:hAnsi="Arial" w:cs="Arial"/>
          <w:noProof/>
          <w:lang w:val="sr-Latn-CS"/>
        </w:rPr>
        <w:t xml:space="preserve">, </w:t>
      </w:r>
      <w:r w:rsidRPr="00E56DC2">
        <w:rPr>
          <w:rFonts w:ascii="Arial" w:eastAsia="Times New Roman" w:hAnsi="Arial" w:cs="Arial"/>
          <w:noProof/>
        </w:rPr>
        <w:t>usjeka</w:t>
      </w:r>
      <w:r w:rsidRPr="00D671DB">
        <w:rPr>
          <w:rFonts w:ascii="Arial" w:eastAsia="Times New Roman" w:hAnsi="Arial" w:cs="Arial"/>
          <w:noProof/>
          <w:lang w:val="sr-Latn-CS"/>
        </w:rPr>
        <w:t xml:space="preserve">, </w:t>
      </w:r>
      <w:r w:rsidRPr="00E56DC2">
        <w:rPr>
          <w:rFonts w:ascii="Arial" w:eastAsia="Times New Roman" w:hAnsi="Arial" w:cs="Arial"/>
          <w:noProof/>
        </w:rPr>
        <w:t>iskopa</w:t>
      </w:r>
      <w:r w:rsidRPr="00D671DB">
        <w:rPr>
          <w:rFonts w:ascii="Arial" w:eastAsia="Times New Roman" w:hAnsi="Arial" w:cs="Arial"/>
          <w:noProof/>
          <w:lang w:val="sr-Latn-CS"/>
        </w:rPr>
        <w:t xml:space="preserve">, </w:t>
      </w:r>
      <w:r w:rsidRPr="00E56DC2">
        <w:rPr>
          <w:rFonts w:ascii="Arial" w:eastAsia="Times New Roman" w:hAnsi="Arial" w:cs="Arial"/>
          <w:noProof/>
        </w:rPr>
        <w:t>izvo</w:t>
      </w:r>
      <w:r w:rsidRPr="00D671DB">
        <w:rPr>
          <w:rFonts w:ascii="Arial" w:eastAsia="Times New Roman" w:hAnsi="Arial" w:cs="Arial"/>
          <w:noProof/>
          <w:lang w:val="sr-Latn-CS"/>
        </w:rPr>
        <w:t>đ</w:t>
      </w:r>
      <w:r w:rsidRPr="00E56DC2">
        <w:rPr>
          <w:rFonts w:ascii="Arial" w:eastAsia="Times New Roman" w:hAnsi="Arial" w:cs="Arial"/>
          <w:noProof/>
        </w:rPr>
        <w:t>enje</w:t>
      </w:r>
      <w:r w:rsidRPr="00D671DB">
        <w:rPr>
          <w:rFonts w:ascii="Arial" w:eastAsia="Times New Roman" w:hAnsi="Arial" w:cs="Arial"/>
          <w:noProof/>
          <w:lang w:val="sr-Latn-CS"/>
        </w:rPr>
        <w:t xml:space="preserve"> </w:t>
      </w:r>
      <w:r w:rsidRPr="00E56DC2">
        <w:rPr>
          <w:rFonts w:ascii="Arial" w:eastAsia="Times New Roman" w:hAnsi="Arial" w:cs="Arial"/>
          <w:noProof/>
        </w:rPr>
        <w:t>bu</w:t>
      </w:r>
      <w:r w:rsidRPr="00D671DB">
        <w:rPr>
          <w:rFonts w:ascii="Arial" w:eastAsia="Times New Roman" w:hAnsi="Arial" w:cs="Arial"/>
          <w:noProof/>
          <w:lang w:val="sr-Latn-CS"/>
        </w:rPr>
        <w:t>š</w:t>
      </w:r>
      <w:r w:rsidRPr="00E56DC2">
        <w:rPr>
          <w:rFonts w:ascii="Arial" w:eastAsia="Times New Roman" w:hAnsi="Arial" w:cs="Arial"/>
          <w:noProof/>
        </w:rPr>
        <w:t>enja</w:t>
      </w:r>
      <w:r w:rsidRPr="00D671DB">
        <w:rPr>
          <w:rFonts w:ascii="Arial" w:eastAsia="Times New Roman" w:hAnsi="Arial" w:cs="Arial"/>
          <w:noProof/>
          <w:lang w:val="sr-Latn-CS"/>
        </w:rPr>
        <w:t xml:space="preserve"> </w:t>
      </w:r>
      <w:r w:rsidRPr="00E56DC2">
        <w:rPr>
          <w:rFonts w:ascii="Arial" w:eastAsia="Times New Roman" w:hAnsi="Arial" w:cs="Arial"/>
          <w:noProof/>
        </w:rPr>
        <w:t>i</w:t>
      </w:r>
      <w:r w:rsidRPr="00D671DB">
        <w:rPr>
          <w:rFonts w:ascii="Arial" w:eastAsia="Times New Roman" w:hAnsi="Arial" w:cs="Arial"/>
          <w:noProof/>
          <w:lang w:val="sr-Latn-CS"/>
        </w:rPr>
        <w:t xml:space="preserve"> </w:t>
      </w:r>
      <w:r w:rsidRPr="00E56DC2">
        <w:rPr>
          <w:rFonts w:ascii="Arial" w:eastAsia="Times New Roman" w:hAnsi="Arial" w:cs="Arial"/>
          <w:noProof/>
        </w:rPr>
        <w:t>miniranja</w:t>
      </w:r>
      <w:r w:rsidRPr="00D671DB">
        <w:rPr>
          <w:rFonts w:ascii="Arial" w:eastAsia="Times New Roman" w:hAnsi="Arial" w:cs="Arial"/>
          <w:noProof/>
          <w:lang w:val="sr-Latn-CS"/>
        </w:rPr>
        <w:t xml:space="preserve">), </w:t>
      </w:r>
      <w:r w:rsidRPr="00E56DC2">
        <w:rPr>
          <w:rFonts w:ascii="Arial" w:eastAsia="Times New Roman" w:hAnsi="Arial" w:cs="Arial"/>
          <w:noProof/>
        </w:rPr>
        <w:t>kao</w:t>
      </w:r>
      <w:r w:rsidRPr="00D671DB">
        <w:rPr>
          <w:rFonts w:ascii="Arial" w:eastAsia="Times New Roman" w:hAnsi="Arial" w:cs="Arial"/>
          <w:noProof/>
          <w:lang w:val="sr-Latn-CS"/>
        </w:rPr>
        <w:t xml:space="preserve"> </w:t>
      </w:r>
      <w:r w:rsidRPr="00E56DC2">
        <w:rPr>
          <w:rFonts w:ascii="Arial" w:eastAsia="Times New Roman" w:hAnsi="Arial" w:cs="Arial"/>
          <w:noProof/>
        </w:rPr>
        <w:t>i</w:t>
      </w:r>
      <w:r w:rsidRPr="00D671DB">
        <w:rPr>
          <w:rFonts w:ascii="Arial" w:eastAsia="Times New Roman" w:hAnsi="Arial" w:cs="Arial"/>
          <w:noProof/>
          <w:lang w:val="sr-Latn-CS"/>
        </w:rPr>
        <w:t xml:space="preserve"> </w:t>
      </w:r>
      <w:r w:rsidRPr="00E56DC2">
        <w:rPr>
          <w:rFonts w:ascii="Arial" w:eastAsia="Times New Roman" w:hAnsi="Arial" w:cs="Arial"/>
          <w:noProof/>
        </w:rPr>
        <w:t>po</w:t>
      </w:r>
      <w:r w:rsidRPr="00D671DB">
        <w:rPr>
          <w:rFonts w:ascii="Arial" w:eastAsia="Times New Roman" w:hAnsi="Arial" w:cs="Arial"/>
          <w:noProof/>
          <w:lang w:val="sr-Latn-CS"/>
        </w:rPr>
        <w:t>š</w:t>
      </w:r>
      <w:r w:rsidRPr="00E56DC2">
        <w:rPr>
          <w:rFonts w:ascii="Arial" w:eastAsia="Times New Roman" w:hAnsi="Arial" w:cs="Arial"/>
          <w:noProof/>
        </w:rPr>
        <w:t>tovanje</w:t>
      </w:r>
      <w:r w:rsidRPr="00D671DB">
        <w:rPr>
          <w:rFonts w:ascii="Arial" w:eastAsia="Times New Roman" w:hAnsi="Arial" w:cs="Arial"/>
          <w:noProof/>
          <w:lang w:val="sr-Latn-CS"/>
        </w:rPr>
        <w:t xml:space="preserve"> </w:t>
      </w:r>
      <w:r w:rsidRPr="00E56DC2">
        <w:rPr>
          <w:rFonts w:ascii="Arial" w:eastAsia="Times New Roman" w:hAnsi="Arial" w:cs="Arial"/>
          <w:noProof/>
        </w:rPr>
        <w:t>izvr</w:t>
      </w:r>
      <w:r w:rsidRPr="00D671DB">
        <w:rPr>
          <w:rFonts w:ascii="Arial" w:eastAsia="Times New Roman" w:hAnsi="Arial" w:cs="Arial"/>
          <w:noProof/>
          <w:lang w:val="sr-Latn-CS"/>
        </w:rPr>
        <w:t>š</w:t>
      </w:r>
      <w:r w:rsidRPr="00E56DC2">
        <w:rPr>
          <w:rFonts w:ascii="Arial" w:eastAsia="Times New Roman" w:hAnsi="Arial" w:cs="Arial"/>
          <w:noProof/>
        </w:rPr>
        <w:t>avanja</w:t>
      </w:r>
      <w:r w:rsidRPr="00D671DB">
        <w:rPr>
          <w:rFonts w:ascii="Arial" w:eastAsia="Times New Roman" w:hAnsi="Arial" w:cs="Arial"/>
          <w:noProof/>
          <w:lang w:val="sr-Latn-CS"/>
        </w:rPr>
        <w:t xml:space="preserve"> </w:t>
      </w:r>
      <w:r w:rsidRPr="00E56DC2">
        <w:rPr>
          <w:rFonts w:ascii="Arial" w:eastAsia="Times New Roman" w:hAnsi="Arial" w:cs="Arial"/>
          <w:noProof/>
        </w:rPr>
        <w:t>ugovornih</w:t>
      </w:r>
      <w:r w:rsidRPr="00D671DB">
        <w:rPr>
          <w:rFonts w:ascii="Arial" w:eastAsia="Times New Roman" w:hAnsi="Arial" w:cs="Arial"/>
          <w:noProof/>
          <w:lang w:val="sr-Latn-CS"/>
        </w:rPr>
        <w:t xml:space="preserve"> </w:t>
      </w:r>
      <w:r w:rsidRPr="00E56DC2">
        <w:rPr>
          <w:rFonts w:ascii="Arial" w:eastAsia="Times New Roman" w:hAnsi="Arial" w:cs="Arial"/>
          <w:noProof/>
        </w:rPr>
        <w:t>obaveza</w:t>
      </w:r>
      <w:r w:rsidRPr="00D671DB">
        <w:rPr>
          <w:rFonts w:ascii="Arial" w:eastAsia="Times New Roman" w:hAnsi="Arial" w:cs="Arial"/>
          <w:noProof/>
          <w:lang w:val="sr-Latn-CS"/>
        </w:rPr>
        <w:t xml:space="preserve">, </w:t>
      </w:r>
      <w:r w:rsidRPr="00E56DC2">
        <w:rPr>
          <w:rFonts w:ascii="Arial" w:eastAsia="Times New Roman" w:hAnsi="Arial" w:cs="Arial"/>
          <w:noProof/>
        </w:rPr>
        <w:t>u</w:t>
      </w:r>
      <w:r w:rsidRPr="00D671DB">
        <w:rPr>
          <w:rFonts w:ascii="Arial" w:eastAsia="Times New Roman" w:hAnsi="Arial" w:cs="Arial"/>
          <w:noProof/>
          <w:lang w:val="sr-Latn-CS"/>
        </w:rPr>
        <w:t xml:space="preserve"> </w:t>
      </w:r>
      <w:r w:rsidRPr="00E56DC2">
        <w:rPr>
          <w:rFonts w:ascii="Arial" w:eastAsia="Times New Roman" w:hAnsi="Arial" w:cs="Arial"/>
          <w:noProof/>
        </w:rPr>
        <w:t>smislu</w:t>
      </w:r>
      <w:r w:rsidRPr="00D671DB">
        <w:rPr>
          <w:rFonts w:ascii="Arial" w:eastAsia="Times New Roman" w:hAnsi="Arial" w:cs="Arial"/>
          <w:noProof/>
          <w:lang w:val="sr-Latn-CS"/>
        </w:rPr>
        <w:t xml:space="preserve"> </w:t>
      </w:r>
      <w:r w:rsidRPr="00E56DC2">
        <w:rPr>
          <w:rFonts w:ascii="Arial" w:eastAsia="Times New Roman" w:hAnsi="Arial" w:cs="Arial"/>
          <w:noProof/>
        </w:rPr>
        <w:t>dostavljanja</w:t>
      </w:r>
      <w:r w:rsidRPr="00D671DB">
        <w:rPr>
          <w:rFonts w:ascii="Arial" w:eastAsia="Times New Roman" w:hAnsi="Arial" w:cs="Arial"/>
          <w:noProof/>
          <w:lang w:val="sr-Latn-CS"/>
        </w:rPr>
        <w:t xml:space="preserve">, </w:t>
      </w:r>
      <w:r w:rsidRPr="00E56DC2">
        <w:rPr>
          <w:rFonts w:ascii="Arial" w:eastAsia="Times New Roman" w:hAnsi="Arial" w:cs="Arial"/>
          <w:noProof/>
        </w:rPr>
        <w:t>izmedju</w:t>
      </w:r>
      <w:r w:rsidRPr="00D671DB">
        <w:rPr>
          <w:rFonts w:ascii="Arial" w:eastAsia="Times New Roman" w:hAnsi="Arial" w:cs="Arial"/>
          <w:noProof/>
          <w:lang w:val="sr-Latn-CS"/>
        </w:rPr>
        <w:t xml:space="preserve"> </w:t>
      </w:r>
      <w:r w:rsidRPr="00E56DC2">
        <w:rPr>
          <w:rFonts w:ascii="Arial" w:eastAsia="Times New Roman" w:hAnsi="Arial" w:cs="Arial"/>
          <w:noProof/>
        </w:rPr>
        <w:t>ostalog</w:t>
      </w:r>
      <w:r w:rsidRPr="00D671DB">
        <w:rPr>
          <w:rFonts w:ascii="Arial" w:eastAsia="Times New Roman" w:hAnsi="Arial" w:cs="Arial"/>
          <w:noProof/>
          <w:lang w:val="sr-Latn-CS"/>
        </w:rPr>
        <w:t xml:space="preserve">, </w:t>
      </w:r>
      <w:r w:rsidRPr="00E56DC2">
        <w:rPr>
          <w:rFonts w:ascii="Arial" w:eastAsia="Times New Roman" w:hAnsi="Arial" w:cs="Arial"/>
          <w:noProof/>
        </w:rPr>
        <w:t>liste</w:t>
      </w:r>
      <w:r w:rsidRPr="00D671DB">
        <w:rPr>
          <w:rFonts w:ascii="Arial" w:eastAsia="Times New Roman" w:hAnsi="Arial" w:cs="Arial"/>
          <w:noProof/>
          <w:lang w:val="sr-Latn-CS"/>
        </w:rPr>
        <w:t xml:space="preserve"> </w:t>
      </w:r>
      <w:r w:rsidRPr="00E56DC2">
        <w:rPr>
          <w:rFonts w:ascii="Arial" w:eastAsia="Times New Roman" w:hAnsi="Arial" w:cs="Arial"/>
          <w:noProof/>
        </w:rPr>
        <w:t>izvr</w:t>
      </w:r>
      <w:r w:rsidRPr="00D671DB">
        <w:rPr>
          <w:rFonts w:ascii="Arial" w:eastAsia="Times New Roman" w:hAnsi="Arial" w:cs="Arial"/>
          <w:noProof/>
          <w:lang w:val="sr-Latn-CS"/>
        </w:rPr>
        <w:t>š</w:t>
      </w:r>
      <w:r w:rsidRPr="00E56DC2">
        <w:rPr>
          <w:rFonts w:ascii="Arial" w:eastAsia="Times New Roman" w:hAnsi="Arial" w:cs="Arial"/>
          <w:noProof/>
        </w:rPr>
        <w:t>enih</w:t>
      </w:r>
      <w:r w:rsidRPr="00D671DB">
        <w:rPr>
          <w:rFonts w:ascii="Arial" w:eastAsia="Times New Roman" w:hAnsi="Arial" w:cs="Arial"/>
          <w:noProof/>
          <w:lang w:val="sr-Latn-CS"/>
        </w:rPr>
        <w:t xml:space="preserve"> </w:t>
      </w:r>
      <w:r w:rsidRPr="00E56DC2">
        <w:rPr>
          <w:rFonts w:ascii="Arial" w:eastAsia="Times New Roman" w:hAnsi="Arial" w:cs="Arial"/>
          <w:noProof/>
        </w:rPr>
        <w:t>poslova</w:t>
      </w:r>
      <w:r w:rsidRPr="00D671DB">
        <w:rPr>
          <w:rFonts w:ascii="Arial" w:eastAsia="Times New Roman" w:hAnsi="Arial" w:cs="Arial"/>
          <w:noProof/>
          <w:lang w:val="sr-Latn-CS"/>
        </w:rPr>
        <w:t xml:space="preserve"> </w:t>
      </w:r>
      <w:r w:rsidRPr="00E56DC2">
        <w:rPr>
          <w:rFonts w:ascii="Arial" w:eastAsia="Times New Roman" w:hAnsi="Arial" w:cs="Arial"/>
          <w:noProof/>
        </w:rPr>
        <w:t>koji</w:t>
      </w:r>
      <w:r w:rsidRPr="00D671DB">
        <w:rPr>
          <w:rFonts w:ascii="Arial" w:eastAsia="Times New Roman" w:hAnsi="Arial" w:cs="Arial"/>
          <w:noProof/>
          <w:lang w:val="sr-Latn-CS"/>
        </w:rPr>
        <w:t xml:space="preserve"> </w:t>
      </w:r>
      <w:r w:rsidRPr="00E56DC2">
        <w:rPr>
          <w:rFonts w:ascii="Arial" w:eastAsia="Times New Roman" w:hAnsi="Arial" w:cs="Arial"/>
          <w:noProof/>
        </w:rPr>
        <w:t>su</w:t>
      </w:r>
      <w:r w:rsidRPr="00D671DB">
        <w:rPr>
          <w:rFonts w:ascii="Arial" w:eastAsia="Times New Roman" w:hAnsi="Arial" w:cs="Arial"/>
          <w:noProof/>
          <w:lang w:val="sr-Latn-CS"/>
        </w:rPr>
        <w:t xml:space="preserve"> </w:t>
      </w:r>
      <w:r w:rsidRPr="00E56DC2">
        <w:rPr>
          <w:rFonts w:ascii="Arial" w:eastAsia="Times New Roman" w:hAnsi="Arial" w:cs="Arial"/>
          <w:noProof/>
        </w:rPr>
        <w:t>izvedeni</w:t>
      </w:r>
      <w:r w:rsidRPr="00D671DB">
        <w:rPr>
          <w:rFonts w:ascii="Arial" w:eastAsia="Times New Roman" w:hAnsi="Arial" w:cs="Arial"/>
          <w:noProof/>
          <w:lang w:val="sr-Latn-CS"/>
        </w:rPr>
        <w:t xml:space="preserve"> </w:t>
      </w:r>
      <w:r w:rsidRPr="00E56DC2">
        <w:rPr>
          <w:rFonts w:ascii="Arial" w:eastAsia="Times New Roman" w:hAnsi="Arial" w:cs="Arial"/>
          <w:noProof/>
        </w:rPr>
        <w:t>ili</w:t>
      </w:r>
      <w:r w:rsidRPr="00D671DB">
        <w:rPr>
          <w:rFonts w:ascii="Arial" w:eastAsia="Times New Roman" w:hAnsi="Arial" w:cs="Arial"/>
          <w:noProof/>
          <w:lang w:val="sr-Latn-CS"/>
        </w:rPr>
        <w:t xml:space="preserve"> </w:t>
      </w:r>
      <w:r w:rsidRPr="00E56DC2">
        <w:rPr>
          <w:rFonts w:ascii="Arial" w:eastAsia="Times New Roman" w:hAnsi="Arial" w:cs="Arial"/>
          <w:noProof/>
        </w:rPr>
        <w:t>se</w:t>
      </w:r>
      <w:r w:rsidRPr="00D671DB">
        <w:rPr>
          <w:rFonts w:ascii="Arial" w:eastAsia="Times New Roman" w:hAnsi="Arial" w:cs="Arial"/>
          <w:noProof/>
          <w:lang w:val="sr-Latn-CS"/>
        </w:rPr>
        <w:t xml:space="preserve"> </w:t>
      </w:r>
      <w:r w:rsidRPr="00E56DC2">
        <w:rPr>
          <w:rFonts w:ascii="Arial" w:eastAsia="Times New Roman" w:hAnsi="Arial" w:cs="Arial"/>
          <w:noProof/>
        </w:rPr>
        <w:t>realizuju</w:t>
      </w:r>
      <w:r w:rsidRPr="00D671DB">
        <w:rPr>
          <w:rFonts w:ascii="Arial" w:eastAsia="Times New Roman" w:hAnsi="Arial" w:cs="Arial"/>
          <w:noProof/>
          <w:lang w:val="sr-Latn-CS"/>
        </w:rPr>
        <w:t xml:space="preserve"> </w:t>
      </w:r>
      <w:r w:rsidRPr="00E56DC2">
        <w:rPr>
          <w:rFonts w:ascii="Arial" w:eastAsia="Times New Roman" w:hAnsi="Arial" w:cs="Arial"/>
          <w:noProof/>
        </w:rPr>
        <w:t>u</w:t>
      </w:r>
      <w:r w:rsidRPr="00D671DB">
        <w:rPr>
          <w:rFonts w:ascii="Arial" w:eastAsia="Times New Roman" w:hAnsi="Arial" w:cs="Arial"/>
          <w:noProof/>
          <w:lang w:val="sr-Latn-CS"/>
        </w:rPr>
        <w:t xml:space="preserve"> </w:t>
      </w:r>
      <w:r w:rsidRPr="00E56DC2">
        <w:rPr>
          <w:rFonts w:ascii="Arial" w:eastAsia="Times New Roman" w:hAnsi="Arial" w:cs="Arial"/>
          <w:noProof/>
        </w:rPr>
        <w:t>posljednje</w:t>
      </w:r>
      <w:r w:rsidRPr="00D671DB">
        <w:rPr>
          <w:rFonts w:ascii="Arial" w:eastAsia="Times New Roman" w:hAnsi="Arial" w:cs="Arial"/>
          <w:noProof/>
          <w:lang w:val="sr-Latn-CS"/>
        </w:rPr>
        <w:t xml:space="preserve"> </w:t>
      </w:r>
      <w:r w:rsidRPr="00E56DC2">
        <w:rPr>
          <w:rFonts w:ascii="Arial" w:eastAsia="Times New Roman" w:hAnsi="Arial" w:cs="Arial"/>
          <w:noProof/>
        </w:rPr>
        <w:t>tri</w:t>
      </w:r>
      <w:r w:rsidRPr="00D671DB">
        <w:rPr>
          <w:rFonts w:ascii="Arial" w:eastAsia="Times New Roman" w:hAnsi="Arial" w:cs="Arial"/>
          <w:noProof/>
          <w:lang w:val="sr-Latn-CS"/>
        </w:rPr>
        <w:t xml:space="preserve"> </w:t>
      </w:r>
      <w:r w:rsidRPr="00E56DC2">
        <w:rPr>
          <w:rFonts w:ascii="Arial" w:eastAsia="Times New Roman" w:hAnsi="Arial" w:cs="Arial"/>
          <w:noProof/>
        </w:rPr>
        <w:t>godine</w:t>
      </w:r>
      <w:r w:rsidRPr="00D671DB">
        <w:rPr>
          <w:rFonts w:ascii="Arial" w:eastAsia="Times New Roman" w:hAnsi="Arial" w:cs="Arial"/>
          <w:noProof/>
          <w:lang w:val="sr-Latn-CS"/>
        </w:rPr>
        <w:t xml:space="preserve">, </w:t>
      </w:r>
      <w:r w:rsidRPr="00E56DC2">
        <w:rPr>
          <w:rFonts w:ascii="Arial" w:eastAsia="Times New Roman" w:hAnsi="Arial" w:cs="Arial"/>
          <w:noProof/>
        </w:rPr>
        <w:t>sa</w:t>
      </w:r>
      <w:r w:rsidRPr="00D671DB">
        <w:rPr>
          <w:rFonts w:ascii="Arial" w:eastAsia="Times New Roman" w:hAnsi="Arial" w:cs="Arial"/>
          <w:noProof/>
          <w:lang w:val="sr-Latn-CS"/>
        </w:rPr>
        <w:t xml:space="preserve"> </w:t>
      </w:r>
      <w:r w:rsidRPr="00E56DC2">
        <w:rPr>
          <w:rFonts w:ascii="Arial" w:eastAsia="Times New Roman" w:hAnsi="Arial" w:cs="Arial"/>
          <w:noProof/>
        </w:rPr>
        <w:t>rokovima</w:t>
      </w:r>
      <w:r w:rsidRPr="00D671DB">
        <w:rPr>
          <w:rFonts w:ascii="Arial" w:eastAsia="Times New Roman" w:hAnsi="Arial" w:cs="Arial"/>
          <w:noProof/>
          <w:lang w:val="sr-Latn-CS"/>
        </w:rPr>
        <w:t xml:space="preserve"> </w:t>
      </w:r>
      <w:r w:rsidRPr="00E56DC2">
        <w:rPr>
          <w:rFonts w:ascii="Arial" w:eastAsia="Times New Roman" w:hAnsi="Arial" w:cs="Arial"/>
          <w:noProof/>
        </w:rPr>
        <w:t>izvo</w:t>
      </w:r>
      <w:r w:rsidRPr="00D671DB">
        <w:rPr>
          <w:rFonts w:ascii="Arial" w:eastAsia="Times New Roman" w:hAnsi="Arial" w:cs="Arial"/>
          <w:noProof/>
          <w:lang w:val="sr-Latn-CS"/>
        </w:rPr>
        <w:t>đ</w:t>
      </w:r>
      <w:r w:rsidRPr="00E56DC2">
        <w:rPr>
          <w:rFonts w:ascii="Arial" w:eastAsia="Times New Roman" w:hAnsi="Arial" w:cs="Arial"/>
          <w:noProof/>
        </w:rPr>
        <w:t>enja</w:t>
      </w:r>
      <w:r w:rsidRPr="00D671DB">
        <w:rPr>
          <w:rFonts w:ascii="Arial" w:eastAsia="Times New Roman" w:hAnsi="Arial" w:cs="Arial"/>
          <w:noProof/>
          <w:lang w:val="sr-Latn-CS"/>
        </w:rPr>
        <w:t xml:space="preserve"> </w:t>
      </w:r>
      <w:r w:rsidRPr="00E56DC2">
        <w:rPr>
          <w:rFonts w:ascii="Arial" w:eastAsia="Times New Roman" w:hAnsi="Arial" w:cs="Arial"/>
          <w:noProof/>
        </w:rPr>
        <w:t>radova</w:t>
      </w:r>
      <w:r w:rsidRPr="00D671DB">
        <w:rPr>
          <w:rFonts w:ascii="Arial" w:eastAsia="Times New Roman" w:hAnsi="Arial" w:cs="Arial"/>
          <w:noProof/>
          <w:lang w:val="sr-Latn-CS"/>
        </w:rPr>
        <w:t xml:space="preserve">, </w:t>
      </w:r>
      <w:r w:rsidRPr="00E56DC2">
        <w:rPr>
          <w:rFonts w:ascii="Arial" w:eastAsia="Times New Roman" w:hAnsi="Arial" w:cs="Arial"/>
          <w:noProof/>
        </w:rPr>
        <w:t>uklju</w:t>
      </w:r>
      <w:r w:rsidRPr="00D671DB">
        <w:rPr>
          <w:rFonts w:ascii="Arial" w:eastAsia="Times New Roman" w:hAnsi="Arial" w:cs="Arial"/>
          <w:noProof/>
          <w:lang w:val="sr-Latn-CS"/>
        </w:rPr>
        <w:t>č</w:t>
      </w:r>
      <w:r w:rsidRPr="00E56DC2">
        <w:rPr>
          <w:rFonts w:ascii="Arial" w:eastAsia="Times New Roman" w:hAnsi="Arial" w:cs="Arial"/>
          <w:noProof/>
        </w:rPr>
        <w:t>uju</w:t>
      </w:r>
      <w:r w:rsidRPr="00D671DB">
        <w:rPr>
          <w:rFonts w:ascii="Arial" w:eastAsia="Times New Roman" w:hAnsi="Arial" w:cs="Arial"/>
          <w:noProof/>
          <w:lang w:val="sr-Latn-CS"/>
        </w:rPr>
        <w:t>ć</w:t>
      </w:r>
      <w:r w:rsidRPr="00E56DC2">
        <w:rPr>
          <w:rFonts w:ascii="Arial" w:eastAsia="Times New Roman" w:hAnsi="Arial" w:cs="Arial"/>
          <w:noProof/>
        </w:rPr>
        <w:t>i</w:t>
      </w:r>
      <w:r w:rsidRPr="00D671DB">
        <w:rPr>
          <w:rFonts w:ascii="Arial" w:eastAsia="Times New Roman" w:hAnsi="Arial" w:cs="Arial"/>
          <w:noProof/>
          <w:lang w:val="sr-Latn-CS"/>
        </w:rPr>
        <w:t xml:space="preserve"> </w:t>
      </w:r>
      <w:r w:rsidRPr="00E56DC2">
        <w:rPr>
          <w:rFonts w:ascii="Arial" w:eastAsia="Times New Roman" w:hAnsi="Arial" w:cs="Arial"/>
          <w:noProof/>
        </w:rPr>
        <w:t>vrijednost</w:t>
      </w:r>
      <w:r w:rsidRPr="00D671DB">
        <w:rPr>
          <w:rFonts w:ascii="Arial" w:eastAsia="Times New Roman" w:hAnsi="Arial" w:cs="Arial"/>
          <w:noProof/>
          <w:lang w:val="sr-Latn-CS"/>
        </w:rPr>
        <w:t xml:space="preserve">, </w:t>
      </w:r>
      <w:r w:rsidRPr="00E56DC2">
        <w:rPr>
          <w:rFonts w:ascii="Arial" w:eastAsia="Times New Roman" w:hAnsi="Arial" w:cs="Arial"/>
          <w:noProof/>
        </w:rPr>
        <w:t>vrijeme</w:t>
      </w:r>
      <w:r w:rsidRPr="00D671DB">
        <w:rPr>
          <w:rFonts w:ascii="Arial" w:eastAsia="Times New Roman" w:hAnsi="Arial" w:cs="Arial"/>
          <w:noProof/>
          <w:lang w:val="sr-Latn-CS"/>
        </w:rPr>
        <w:t xml:space="preserve"> </w:t>
      </w:r>
      <w:r w:rsidRPr="00E56DC2">
        <w:rPr>
          <w:rFonts w:ascii="Arial" w:eastAsia="Times New Roman" w:hAnsi="Arial" w:cs="Arial"/>
          <w:noProof/>
        </w:rPr>
        <w:t>i</w:t>
      </w:r>
      <w:r w:rsidRPr="00D671DB">
        <w:rPr>
          <w:rFonts w:ascii="Arial" w:eastAsia="Times New Roman" w:hAnsi="Arial" w:cs="Arial"/>
          <w:noProof/>
          <w:lang w:val="sr-Latn-CS"/>
        </w:rPr>
        <w:t xml:space="preserve"> </w:t>
      </w:r>
      <w:r w:rsidRPr="00E56DC2">
        <w:rPr>
          <w:rFonts w:ascii="Arial" w:eastAsia="Times New Roman" w:hAnsi="Arial" w:cs="Arial"/>
          <w:noProof/>
        </w:rPr>
        <w:t>lokaciju</w:t>
      </w:r>
      <w:r w:rsidRPr="00D671DB">
        <w:rPr>
          <w:rFonts w:ascii="Arial" w:eastAsia="Times New Roman" w:hAnsi="Arial" w:cs="Arial"/>
          <w:noProof/>
          <w:lang w:val="sr-Latn-CS"/>
        </w:rPr>
        <w:t xml:space="preserve"> </w:t>
      </w:r>
      <w:r w:rsidRPr="00E56DC2">
        <w:rPr>
          <w:rFonts w:ascii="Arial" w:eastAsia="Times New Roman" w:hAnsi="Arial" w:cs="Arial"/>
          <w:noProof/>
        </w:rPr>
        <w:t>izvo</w:t>
      </w:r>
      <w:r w:rsidRPr="00D671DB">
        <w:rPr>
          <w:rFonts w:ascii="Arial" w:eastAsia="Times New Roman" w:hAnsi="Arial" w:cs="Arial"/>
          <w:noProof/>
          <w:lang w:val="sr-Latn-CS"/>
        </w:rPr>
        <w:t>đ</w:t>
      </w:r>
      <w:r w:rsidRPr="00E56DC2">
        <w:rPr>
          <w:rFonts w:ascii="Arial" w:eastAsia="Times New Roman" w:hAnsi="Arial" w:cs="Arial"/>
          <w:noProof/>
        </w:rPr>
        <w:t>enja</w:t>
      </w:r>
      <w:r w:rsidRPr="00D671DB">
        <w:rPr>
          <w:rFonts w:ascii="Arial" w:eastAsia="Times New Roman" w:hAnsi="Arial" w:cs="Arial"/>
          <w:noProof/>
          <w:lang w:val="sr-Latn-CS"/>
        </w:rPr>
        <w:t xml:space="preserve">, </w:t>
      </w:r>
      <w:r w:rsidRPr="00E56DC2">
        <w:rPr>
          <w:rFonts w:ascii="Arial" w:eastAsia="Times New Roman" w:hAnsi="Arial" w:cs="Arial"/>
          <w:noProof/>
        </w:rPr>
        <w:t>uz</w:t>
      </w:r>
      <w:r w:rsidRPr="00D671DB">
        <w:rPr>
          <w:rFonts w:ascii="Arial" w:eastAsia="Times New Roman" w:hAnsi="Arial" w:cs="Arial"/>
          <w:noProof/>
          <w:lang w:val="sr-Latn-CS"/>
        </w:rPr>
        <w:t xml:space="preserve"> </w:t>
      </w:r>
      <w:r w:rsidRPr="00E56DC2">
        <w:rPr>
          <w:rFonts w:ascii="Arial" w:eastAsia="Times New Roman" w:hAnsi="Arial" w:cs="Arial"/>
          <w:noProof/>
        </w:rPr>
        <w:t>dostavljanje</w:t>
      </w:r>
      <w:r w:rsidRPr="00D671DB">
        <w:rPr>
          <w:rFonts w:ascii="Arial" w:eastAsia="Times New Roman" w:hAnsi="Arial" w:cs="Arial"/>
          <w:noProof/>
          <w:lang w:val="sr-Latn-CS"/>
        </w:rPr>
        <w:t xml:space="preserve"> </w:t>
      </w:r>
      <w:r w:rsidRPr="00E56DC2">
        <w:rPr>
          <w:rFonts w:ascii="Arial" w:eastAsia="Times New Roman" w:hAnsi="Arial" w:cs="Arial"/>
          <w:noProof/>
        </w:rPr>
        <w:t>potvrde</w:t>
      </w:r>
      <w:r w:rsidRPr="00D671DB">
        <w:rPr>
          <w:rFonts w:ascii="Arial" w:eastAsia="Times New Roman" w:hAnsi="Arial" w:cs="Arial"/>
          <w:noProof/>
          <w:lang w:val="sr-Latn-CS"/>
        </w:rPr>
        <w:t xml:space="preserve"> </w:t>
      </w:r>
      <w:r w:rsidRPr="00E56DC2">
        <w:rPr>
          <w:rFonts w:ascii="Arial" w:eastAsia="Times New Roman" w:hAnsi="Arial" w:cs="Arial"/>
          <w:noProof/>
        </w:rPr>
        <w:t>o</w:t>
      </w:r>
      <w:r w:rsidRPr="00D671DB">
        <w:rPr>
          <w:rFonts w:ascii="Arial" w:eastAsia="Times New Roman" w:hAnsi="Arial" w:cs="Arial"/>
          <w:noProof/>
          <w:lang w:val="sr-Latn-CS"/>
        </w:rPr>
        <w:t xml:space="preserve"> </w:t>
      </w:r>
      <w:r w:rsidRPr="00E56DC2">
        <w:rPr>
          <w:rFonts w:ascii="Arial" w:eastAsia="Times New Roman" w:hAnsi="Arial" w:cs="Arial"/>
          <w:noProof/>
        </w:rPr>
        <w:t>izvr</w:t>
      </w:r>
      <w:r w:rsidRPr="00D671DB">
        <w:rPr>
          <w:rFonts w:ascii="Arial" w:eastAsia="Times New Roman" w:hAnsi="Arial" w:cs="Arial"/>
          <w:noProof/>
          <w:lang w:val="sr-Latn-CS"/>
        </w:rPr>
        <w:t>š</w:t>
      </w:r>
      <w:r w:rsidRPr="00E56DC2">
        <w:rPr>
          <w:rFonts w:ascii="Arial" w:eastAsia="Times New Roman" w:hAnsi="Arial" w:cs="Arial"/>
          <w:noProof/>
        </w:rPr>
        <w:t>enim</w:t>
      </w:r>
      <w:r w:rsidRPr="00D671DB">
        <w:rPr>
          <w:rFonts w:ascii="Arial" w:eastAsia="Times New Roman" w:hAnsi="Arial" w:cs="Arial"/>
          <w:noProof/>
          <w:lang w:val="sr-Latn-CS"/>
        </w:rPr>
        <w:t xml:space="preserve"> </w:t>
      </w:r>
      <w:r w:rsidRPr="00E56DC2">
        <w:rPr>
          <w:rFonts w:ascii="Arial" w:eastAsia="Times New Roman" w:hAnsi="Arial" w:cs="Arial"/>
          <w:noProof/>
        </w:rPr>
        <w:t>poslovima</w:t>
      </w:r>
      <w:r w:rsidRPr="00D671DB">
        <w:rPr>
          <w:rFonts w:ascii="Arial" w:eastAsia="Times New Roman" w:hAnsi="Arial" w:cs="Arial"/>
          <w:noProof/>
          <w:lang w:val="sr-Latn-CS"/>
        </w:rPr>
        <w:t xml:space="preserve"> </w:t>
      </w:r>
      <w:r w:rsidRPr="00E56DC2">
        <w:rPr>
          <w:rFonts w:ascii="Arial" w:eastAsia="Times New Roman" w:hAnsi="Arial" w:cs="Arial"/>
          <w:noProof/>
        </w:rPr>
        <w:t>i</w:t>
      </w:r>
      <w:r w:rsidRPr="00D671DB">
        <w:rPr>
          <w:rFonts w:ascii="Arial" w:eastAsia="Times New Roman" w:hAnsi="Arial" w:cs="Arial"/>
          <w:noProof/>
          <w:lang w:val="sr-Latn-CS"/>
        </w:rPr>
        <w:t xml:space="preserve"> </w:t>
      </w:r>
      <w:r w:rsidRPr="00E56DC2">
        <w:rPr>
          <w:rFonts w:ascii="Arial" w:eastAsia="Times New Roman" w:hAnsi="Arial" w:cs="Arial"/>
          <w:noProof/>
        </w:rPr>
        <w:t>na</w:t>
      </w:r>
      <w:r w:rsidRPr="00D671DB">
        <w:rPr>
          <w:rFonts w:ascii="Arial" w:eastAsia="Times New Roman" w:hAnsi="Arial" w:cs="Arial"/>
          <w:noProof/>
          <w:lang w:val="sr-Latn-CS"/>
        </w:rPr>
        <w:t>č</w:t>
      </w:r>
      <w:r w:rsidRPr="00E56DC2">
        <w:rPr>
          <w:rFonts w:ascii="Arial" w:eastAsia="Times New Roman" w:hAnsi="Arial" w:cs="Arial"/>
          <w:noProof/>
        </w:rPr>
        <w:t>inu</w:t>
      </w:r>
      <w:r w:rsidRPr="00D671DB">
        <w:rPr>
          <w:rFonts w:ascii="Arial" w:eastAsia="Times New Roman" w:hAnsi="Arial" w:cs="Arial"/>
          <w:noProof/>
          <w:lang w:val="sr-Latn-CS"/>
        </w:rPr>
        <w:t xml:space="preserve"> </w:t>
      </w:r>
      <w:r w:rsidRPr="00E56DC2">
        <w:rPr>
          <w:rFonts w:ascii="Arial" w:eastAsia="Times New Roman" w:hAnsi="Arial" w:cs="Arial"/>
          <w:noProof/>
        </w:rPr>
        <w:t>na</w:t>
      </w:r>
      <w:r w:rsidRPr="00D671DB">
        <w:rPr>
          <w:rFonts w:ascii="Arial" w:eastAsia="Times New Roman" w:hAnsi="Arial" w:cs="Arial"/>
          <w:noProof/>
          <w:lang w:val="sr-Latn-CS"/>
        </w:rPr>
        <w:t xml:space="preserve"> </w:t>
      </w:r>
      <w:r w:rsidRPr="00E56DC2">
        <w:rPr>
          <w:rFonts w:ascii="Arial" w:eastAsia="Times New Roman" w:hAnsi="Arial" w:cs="Arial"/>
          <w:noProof/>
        </w:rPr>
        <w:t>koji</w:t>
      </w:r>
      <w:r w:rsidRPr="00D671DB">
        <w:rPr>
          <w:rFonts w:ascii="Arial" w:eastAsia="Times New Roman" w:hAnsi="Arial" w:cs="Arial"/>
          <w:noProof/>
          <w:lang w:val="sr-Latn-CS"/>
        </w:rPr>
        <w:t xml:space="preserve"> </w:t>
      </w:r>
      <w:r w:rsidRPr="00E56DC2">
        <w:rPr>
          <w:rFonts w:ascii="Arial" w:eastAsia="Times New Roman" w:hAnsi="Arial" w:cs="Arial"/>
          <w:noProof/>
        </w:rPr>
        <w:t>su</w:t>
      </w:r>
      <w:r w:rsidRPr="00D671DB">
        <w:rPr>
          <w:rFonts w:ascii="Arial" w:eastAsia="Times New Roman" w:hAnsi="Arial" w:cs="Arial"/>
          <w:noProof/>
          <w:lang w:val="sr-Latn-CS"/>
        </w:rPr>
        <w:t xml:space="preserve"> </w:t>
      </w:r>
      <w:r w:rsidRPr="00E56DC2">
        <w:rPr>
          <w:rFonts w:ascii="Arial" w:eastAsia="Times New Roman" w:hAnsi="Arial" w:cs="Arial"/>
          <w:noProof/>
        </w:rPr>
        <w:t>isti</w:t>
      </w:r>
      <w:r w:rsidRPr="00D671DB">
        <w:rPr>
          <w:rFonts w:ascii="Arial" w:eastAsia="Times New Roman" w:hAnsi="Arial" w:cs="Arial"/>
          <w:noProof/>
          <w:lang w:val="sr-Latn-CS"/>
        </w:rPr>
        <w:t xml:space="preserve"> </w:t>
      </w:r>
      <w:r w:rsidRPr="00E56DC2">
        <w:rPr>
          <w:rFonts w:ascii="Arial" w:eastAsia="Times New Roman" w:hAnsi="Arial" w:cs="Arial"/>
          <w:noProof/>
        </w:rPr>
        <w:t>obavljeni</w:t>
      </w:r>
      <w:r w:rsidRPr="00D671DB">
        <w:rPr>
          <w:rFonts w:ascii="Arial" w:eastAsia="Times New Roman" w:hAnsi="Arial" w:cs="Arial"/>
          <w:noProof/>
          <w:lang w:val="sr-Latn-CS"/>
        </w:rPr>
        <w:t xml:space="preserve"> </w:t>
      </w:r>
      <w:r w:rsidRPr="00E56DC2">
        <w:rPr>
          <w:rFonts w:ascii="Arial" w:eastAsia="Times New Roman" w:hAnsi="Arial" w:cs="Arial"/>
          <w:noProof/>
        </w:rPr>
        <w:t>od</w:t>
      </w:r>
      <w:r w:rsidRPr="00D671DB">
        <w:rPr>
          <w:rFonts w:ascii="Arial" w:eastAsia="Times New Roman" w:hAnsi="Arial" w:cs="Arial"/>
          <w:noProof/>
          <w:lang w:val="sr-Latn-CS"/>
        </w:rPr>
        <w:t xml:space="preserve"> </w:t>
      </w:r>
      <w:r w:rsidRPr="00E56DC2">
        <w:rPr>
          <w:rFonts w:ascii="Arial" w:eastAsia="Times New Roman" w:hAnsi="Arial" w:cs="Arial"/>
          <w:noProof/>
        </w:rPr>
        <w:t>strane</w:t>
      </w:r>
      <w:r w:rsidRPr="00D671DB">
        <w:rPr>
          <w:rFonts w:ascii="Arial" w:eastAsia="Times New Roman" w:hAnsi="Arial" w:cs="Arial"/>
          <w:noProof/>
          <w:lang w:val="sr-Latn-CS"/>
        </w:rPr>
        <w:t xml:space="preserve"> </w:t>
      </w:r>
      <w:r w:rsidRPr="00E56DC2">
        <w:rPr>
          <w:rFonts w:ascii="Arial" w:eastAsia="Times New Roman" w:hAnsi="Arial" w:cs="Arial"/>
          <w:noProof/>
        </w:rPr>
        <w:t>poslovnih</w:t>
      </w:r>
      <w:r w:rsidRPr="00D671DB">
        <w:rPr>
          <w:rFonts w:ascii="Arial" w:eastAsia="Times New Roman" w:hAnsi="Arial" w:cs="Arial"/>
          <w:noProof/>
          <w:lang w:val="sr-Latn-CS"/>
        </w:rPr>
        <w:t xml:space="preserve"> </w:t>
      </w:r>
      <w:r w:rsidRPr="00E56DC2">
        <w:rPr>
          <w:rFonts w:ascii="Arial" w:eastAsia="Times New Roman" w:hAnsi="Arial" w:cs="Arial"/>
          <w:noProof/>
        </w:rPr>
        <w:t>partnera</w:t>
      </w:r>
      <w:r w:rsidRPr="00D671DB">
        <w:rPr>
          <w:rFonts w:ascii="Arial" w:eastAsia="Times New Roman" w:hAnsi="Arial" w:cs="Arial"/>
          <w:noProof/>
          <w:lang w:val="sr-Latn-CS"/>
        </w:rPr>
        <w:t xml:space="preserve"> </w:t>
      </w:r>
      <w:r w:rsidRPr="00E56DC2">
        <w:rPr>
          <w:rFonts w:ascii="Arial" w:eastAsia="Times New Roman" w:hAnsi="Arial" w:cs="Arial"/>
          <w:noProof/>
        </w:rPr>
        <w:t>ponu</w:t>
      </w:r>
      <w:r w:rsidRPr="00D671DB">
        <w:rPr>
          <w:rFonts w:ascii="Arial" w:eastAsia="Times New Roman" w:hAnsi="Arial" w:cs="Arial"/>
          <w:noProof/>
          <w:lang w:val="sr-Latn-CS"/>
        </w:rPr>
        <w:t>đ</w:t>
      </w:r>
      <w:r w:rsidRPr="00E56DC2">
        <w:rPr>
          <w:rFonts w:ascii="Arial" w:eastAsia="Times New Roman" w:hAnsi="Arial" w:cs="Arial"/>
          <w:noProof/>
        </w:rPr>
        <w:t>a</w:t>
      </w:r>
      <w:r w:rsidRPr="00D671DB">
        <w:rPr>
          <w:rFonts w:ascii="Arial" w:eastAsia="Times New Roman" w:hAnsi="Arial" w:cs="Arial"/>
          <w:noProof/>
          <w:lang w:val="sr-Latn-CS"/>
        </w:rPr>
        <w:t>č</w:t>
      </w:r>
      <w:r w:rsidRPr="00E56DC2">
        <w:rPr>
          <w:rFonts w:ascii="Arial" w:eastAsia="Times New Roman" w:hAnsi="Arial" w:cs="Arial"/>
          <w:noProof/>
        </w:rPr>
        <w:t>a</w:t>
      </w:r>
      <w:r w:rsidRPr="00D671DB">
        <w:rPr>
          <w:rFonts w:ascii="Arial" w:eastAsia="Times New Roman" w:hAnsi="Arial" w:cs="Arial"/>
          <w:noProof/>
          <w:lang w:val="sr-Latn-CS"/>
        </w:rPr>
        <w:t>.</w:t>
      </w:r>
    </w:p>
    <w:p w14:paraId="454BA2DC" w14:textId="77777777" w:rsidR="001F4603" w:rsidRPr="00D671DB" w:rsidRDefault="001F4603" w:rsidP="00011594">
      <w:pPr>
        <w:spacing w:after="0" w:line="240" w:lineRule="auto"/>
        <w:contextualSpacing/>
        <w:jc w:val="both"/>
        <w:rPr>
          <w:rFonts w:ascii="Arial" w:eastAsia="Times New Roman" w:hAnsi="Arial" w:cs="Arial"/>
          <w:noProof/>
          <w:kern w:val="0"/>
          <w:lang w:val="sr-Latn-CS"/>
        </w:rPr>
      </w:pPr>
    </w:p>
    <w:p w14:paraId="01B3BE6C" w14:textId="77777777" w:rsidR="001F4603" w:rsidRPr="00D671DB" w:rsidRDefault="001F4603" w:rsidP="00011594">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U</w:t>
      </w:r>
      <w:r w:rsidRPr="00D671DB">
        <w:rPr>
          <w:rFonts w:ascii="Arial" w:eastAsia="Times New Roman" w:hAnsi="Arial" w:cs="Arial"/>
          <w:noProof/>
          <w:lang w:val="sr-Latn-CS"/>
        </w:rPr>
        <w:t xml:space="preserve"> </w:t>
      </w:r>
      <w:r w:rsidRPr="00E56DC2">
        <w:rPr>
          <w:rFonts w:ascii="Arial" w:eastAsia="Times New Roman" w:hAnsi="Arial" w:cs="Arial"/>
          <w:noProof/>
        </w:rPr>
        <w:t>proceduru</w:t>
      </w:r>
      <w:r w:rsidRPr="00D671DB">
        <w:rPr>
          <w:rFonts w:ascii="Arial" w:eastAsia="Times New Roman" w:hAnsi="Arial" w:cs="Arial"/>
          <w:noProof/>
          <w:lang w:val="sr-Latn-CS"/>
        </w:rPr>
        <w:t xml:space="preserve"> </w:t>
      </w:r>
      <w:r w:rsidRPr="00E56DC2">
        <w:rPr>
          <w:rFonts w:ascii="Arial" w:eastAsia="Times New Roman" w:hAnsi="Arial" w:cs="Arial"/>
          <w:noProof/>
        </w:rPr>
        <w:t>bodovanja</w:t>
      </w:r>
      <w:r w:rsidRPr="00D671DB">
        <w:rPr>
          <w:rFonts w:ascii="Arial" w:eastAsia="Times New Roman" w:hAnsi="Arial" w:cs="Arial"/>
          <w:noProof/>
          <w:lang w:val="sr-Latn-CS"/>
        </w:rPr>
        <w:t xml:space="preserve"> </w:t>
      </w:r>
      <w:r w:rsidRPr="00E56DC2">
        <w:rPr>
          <w:rFonts w:ascii="Arial" w:eastAsia="Times New Roman" w:hAnsi="Arial" w:cs="Arial"/>
          <w:noProof/>
        </w:rPr>
        <w:t>ulaze</w:t>
      </w:r>
      <w:r w:rsidRPr="00D671DB">
        <w:rPr>
          <w:rFonts w:ascii="Arial" w:eastAsia="Times New Roman" w:hAnsi="Arial" w:cs="Arial"/>
          <w:noProof/>
          <w:lang w:val="sr-Latn-CS"/>
        </w:rPr>
        <w:t xml:space="preserve"> </w:t>
      </w:r>
      <w:r w:rsidRPr="00E56DC2">
        <w:rPr>
          <w:rFonts w:ascii="Arial" w:eastAsia="Times New Roman" w:hAnsi="Arial" w:cs="Arial"/>
          <w:noProof/>
        </w:rPr>
        <w:t>reference</w:t>
      </w:r>
      <w:r w:rsidRPr="00D671DB">
        <w:rPr>
          <w:rFonts w:ascii="Arial" w:eastAsia="Times New Roman" w:hAnsi="Arial" w:cs="Arial"/>
          <w:noProof/>
          <w:lang w:val="sr-Latn-CS"/>
        </w:rPr>
        <w:t xml:space="preserve"> </w:t>
      </w:r>
      <w:r w:rsidRPr="00E56DC2">
        <w:rPr>
          <w:rFonts w:ascii="Arial" w:eastAsia="Times New Roman" w:hAnsi="Arial" w:cs="Arial"/>
          <w:noProof/>
        </w:rPr>
        <w:t>potvr</w:t>
      </w:r>
      <w:r w:rsidRPr="00D671DB">
        <w:rPr>
          <w:rFonts w:ascii="Arial" w:eastAsia="Times New Roman" w:hAnsi="Arial" w:cs="Arial"/>
          <w:noProof/>
          <w:lang w:val="sr-Latn-CS"/>
        </w:rPr>
        <w:t>đ</w:t>
      </w:r>
      <w:r w:rsidRPr="00E56DC2">
        <w:rPr>
          <w:rFonts w:ascii="Arial" w:eastAsia="Times New Roman" w:hAnsi="Arial" w:cs="Arial"/>
          <w:noProof/>
        </w:rPr>
        <w:t>ene</w:t>
      </w:r>
      <w:r w:rsidRPr="00D671DB">
        <w:rPr>
          <w:rFonts w:ascii="Arial" w:eastAsia="Times New Roman" w:hAnsi="Arial" w:cs="Arial"/>
          <w:noProof/>
          <w:lang w:val="sr-Latn-CS"/>
        </w:rPr>
        <w:t xml:space="preserve"> </w:t>
      </w:r>
      <w:r w:rsidRPr="00E56DC2">
        <w:rPr>
          <w:rFonts w:ascii="Arial" w:eastAsia="Times New Roman" w:hAnsi="Arial" w:cs="Arial"/>
          <w:noProof/>
        </w:rPr>
        <w:t>od</w:t>
      </w:r>
      <w:r w:rsidRPr="00D671DB">
        <w:rPr>
          <w:rFonts w:ascii="Arial" w:eastAsia="Times New Roman" w:hAnsi="Arial" w:cs="Arial"/>
          <w:noProof/>
          <w:lang w:val="sr-Latn-CS"/>
        </w:rPr>
        <w:t xml:space="preserve"> </w:t>
      </w:r>
      <w:r w:rsidRPr="00E56DC2">
        <w:rPr>
          <w:rFonts w:ascii="Arial" w:eastAsia="Times New Roman" w:hAnsi="Arial" w:cs="Arial"/>
          <w:noProof/>
        </w:rPr>
        <w:t>strane</w:t>
      </w:r>
      <w:r w:rsidRPr="00D671DB">
        <w:rPr>
          <w:rFonts w:ascii="Arial" w:eastAsia="Times New Roman" w:hAnsi="Arial" w:cs="Arial"/>
          <w:noProof/>
          <w:lang w:val="sr-Latn-CS"/>
        </w:rPr>
        <w:t xml:space="preserve"> </w:t>
      </w:r>
      <w:r w:rsidRPr="00E56DC2">
        <w:rPr>
          <w:rFonts w:ascii="Arial" w:eastAsia="Times New Roman" w:hAnsi="Arial" w:cs="Arial"/>
          <w:noProof/>
        </w:rPr>
        <w:t>Tenderske</w:t>
      </w:r>
      <w:r w:rsidRPr="00D671DB">
        <w:rPr>
          <w:rFonts w:ascii="Arial" w:eastAsia="Times New Roman" w:hAnsi="Arial" w:cs="Arial"/>
          <w:noProof/>
          <w:lang w:val="sr-Latn-CS"/>
        </w:rPr>
        <w:t xml:space="preserve"> </w:t>
      </w:r>
      <w:r w:rsidRPr="00E56DC2">
        <w:rPr>
          <w:rFonts w:ascii="Arial" w:eastAsia="Times New Roman" w:hAnsi="Arial" w:cs="Arial"/>
          <w:noProof/>
        </w:rPr>
        <w:t>komisije</w:t>
      </w:r>
      <w:r w:rsidRPr="00D671DB">
        <w:rPr>
          <w:rFonts w:ascii="Arial" w:eastAsia="Times New Roman" w:hAnsi="Arial" w:cs="Arial"/>
          <w:noProof/>
          <w:lang w:val="sr-Latn-CS"/>
        </w:rPr>
        <w:t>.</w:t>
      </w:r>
    </w:p>
    <w:p w14:paraId="679CE94F" w14:textId="77777777" w:rsidR="001F4603" w:rsidRPr="00D671DB" w:rsidRDefault="001F4603" w:rsidP="00011594">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Ponu</w:t>
      </w:r>
      <w:r w:rsidRPr="00D671DB">
        <w:rPr>
          <w:rFonts w:ascii="Arial" w:eastAsia="Times New Roman" w:hAnsi="Arial" w:cs="Arial"/>
          <w:noProof/>
          <w:lang w:val="sr-Latn-CS"/>
        </w:rPr>
        <w:t>đ</w:t>
      </w:r>
      <w:r w:rsidRPr="00E56DC2">
        <w:rPr>
          <w:rFonts w:ascii="Arial" w:eastAsia="Times New Roman" w:hAnsi="Arial" w:cs="Arial"/>
          <w:noProof/>
        </w:rPr>
        <w:t>a</w:t>
      </w:r>
      <w:r w:rsidRPr="00D671DB">
        <w:rPr>
          <w:rFonts w:ascii="Arial" w:eastAsia="Times New Roman" w:hAnsi="Arial" w:cs="Arial"/>
          <w:noProof/>
          <w:lang w:val="sr-Latn-CS"/>
        </w:rPr>
        <w:t xml:space="preserve">č </w:t>
      </w:r>
      <w:r w:rsidRPr="00E56DC2">
        <w:rPr>
          <w:rFonts w:ascii="Arial" w:eastAsia="Times New Roman" w:hAnsi="Arial" w:cs="Arial"/>
          <w:noProof/>
        </w:rPr>
        <w:t>koji</w:t>
      </w:r>
      <w:r w:rsidRPr="00D671DB">
        <w:rPr>
          <w:rFonts w:ascii="Arial" w:eastAsia="Times New Roman" w:hAnsi="Arial" w:cs="Arial"/>
          <w:noProof/>
          <w:lang w:val="sr-Latn-CS"/>
        </w:rPr>
        <w:t xml:space="preserve"> </w:t>
      </w:r>
      <w:r w:rsidRPr="00E56DC2">
        <w:rPr>
          <w:rFonts w:ascii="Arial" w:eastAsia="Times New Roman" w:hAnsi="Arial" w:cs="Arial"/>
          <w:noProof/>
        </w:rPr>
        <w:t>ne</w:t>
      </w:r>
      <w:r w:rsidRPr="00D671DB">
        <w:rPr>
          <w:rFonts w:ascii="Arial" w:eastAsia="Times New Roman" w:hAnsi="Arial" w:cs="Arial"/>
          <w:noProof/>
          <w:lang w:val="sr-Latn-CS"/>
        </w:rPr>
        <w:t xml:space="preserve"> </w:t>
      </w:r>
      <w:r w:rsidRPr="00E56DC2">
        <w:rPr>
          <w:rFonts w:ascii="Arial" w:eastAsia="Times New Roman" w:hAnsi="Arial" w:cs="Arial"/>
          <w:noProof/>
        </w:rPr>
        <w:t>doka</w:t>
      </w:r>
      <w:r w:rsidRPr="00D671DB">
        <w:rPr>
          <w:rFonts w:ascii="Arial" w:eastAsia="Times New Roman" w:hAnsi="Arial" w:cs="Arial"/>
          <w:noProof/>
          <w:lang w:val="sr-Latn-CS"/>
        </w:rPr>
        <w:t>ž</w:t>
      </w:r>
      <w:r w:rsidRPr="00E56DC2">
        <w:rPr>
          <w:rFonts w:ascii="Arial" w:eastAsia="Times New Roman" w:hAnsi="Arial" w:cs="Arial"/>
          <w:noProof/>
        </w:rPr>
        <w:t>e</w:t>
      </w:r>
      <w:r w:rsidRPr="00D671DB">
        <w:rPr>
          <w:rFonts w:ascii="Arial" w:eastAsia="Times New Roman" w:hAnsi="Arial" w:cs="Arial"/>
          <w:noProof/>
          <w:lang w:val="sr-Latn-CS"/>
        </w:rPr>
        <w:t xml:space="preserve"> </w:t>
      </w:r>
      <w:r w:rsidRPr="00E56DC2">
        <w:rPr>
          <w:rFonts w:ascii="Arial" w:eastAsia="Times New Roman" w:hAnsi="Arial" w:cs="Arial"/>
          <w:noProof/>
        </w:rPr>
        <w:t>ili</w:t>
      </w:r>
      <w:r w:rsidRPr="00D671DB">
        <w:rPr>
          <w:rFonts w:ascii="Arial" w:eastAsia="Times New Roman" w:hAnsi="Arial" w:cs="Arial"/>
          <w:noProof/>
          <w:lang w:val="sr-Latn-CS"/>
        </w:rPr>
        <w:t xml:space="preserve"> </w:t>
      </w:r>
      <w:r w:rsidRPr="00E56DC2">
        <w:rPr>
          <w:rFonts w:ascii="Arial" w:eastAsia="Times New Roman" w:hAnsi="Arial" w:cs="Arial"/>
          <w:noProof/>
        </w:rPr>
        <w:t>ne</w:t>
      </w:r>
      <w:r w:rsidRPr="00D671DB">
        <w:rPr>
          <w:rFonts w:ascii="Arial" w:eastAsia="Times New Roman" w:hAnsi="Arial" w:cs="Arial"/>
          <w:noProof/>
          <w:lang w:val="sr-Latn-CS"/>
        </w:rPr>
        <w:t xml:space="preserve"> </w:t>
      </w:r>
      <w:r w:rsidRPr="00E56DC2">
        <w:rPr>
          <w:rFonts w:ascii="Arial" w:eastAsia="Times New Roman" w:hAnsi="Arial" w:cs="Arial"/>
          <w:noProof/>
        </w:rPr>
        <w:t>dostavi</w:t>
      </w:r>
      <w:r w:rsidRPr="00D671DB">
        <w:rPr>
          <w:rFonts w:ascii="Arial" w:eastAsia="Times New Roman" w:hAnsi="Arial" w:cs="Arial"/>
          <w:noProof/>
          <w:lang w:val="sr-Latn-CS"/>
        </w:rPr>
        <w:t xml:space="preserve"> </w:t>
      </w:r>
      <w:r w:rsidRPr="00E56DC2">
        <w:rPr>
          <w:rFonts w:ascii="Arial" w:eastAsia="Times New Roman" w:hAnsi="Arial" w:cs="Arial"/>
          <w:noProof/>
        </w:rPr>
        <w:t>reference</w:t>
      </w:r>
      <w:r w:rsidRPr="00D671DB">
        <w:rPr>
          <w:rFonts w:ascii="Arial" w:eastAsia="Times New Roman" w:hAnsi="Arial" w:cs="Arial"/>
          <w:noProof/>
          <w:lang w:val="sr-Latn-CS"/>
        </w:rPr>
        <w:t xml:space="preserve"> </w:t>
      </w:r>
      <w:r w:rsidRPr="00E56DC2">
        <w:rPr>
          <w:rFonts w:ascii="Arial" w:eastAsia="Times New Roman" w:hAnsi="Arial" w:cs="Arial"/>
          <w:noProof/>
        </w:rPr>
        <w:t>dobija</w:t>
      </w:r>
      <w:r w:rsidRPr="00D671DB">
        <w:rPr>
          <w:rFonts w:ascii="Arial" w:eastAsia="Times New Roman" w:hAnsi="Arial" w:cs="Arial"/>
          <w:noProof/>
          <w:lang w:val="sr-Latn-CS"/>
        </w:rPr>
        <w:t xml:space="preserve"> 0 </w:t>
      </w:r>
      <w:r w:rsidRPr="00E56DC2">
        <w:rPr>
          <w:rFonts w:ascii="Arial" w:eastAsia="Times New Roman" w:hAnsi="Arial" w:cs="Arial"/>
          <w:noProof/>
        </w:rPr>
        <w:t>bodova</w:t>
      </w:r>
      <w:r w:rsidRPr="00D671DB">
        <w:rPr>
          <w:rFonts w:ascii="Arial" w:eastAsia="Times New Roman" w:hAnsi="Arial" w:cs="Arial"/>
          <w:noProof/>
          <w:lang w:val="sr-Latn-CS"/>
        </w:rPr>
        <w:t>.</w:t>
      </w:r>
    </w:p>
    <w:p w14:paraId="09AF5EC3" w14:textId="77777777" w:rsidR="001F4603" w:rsidRPr="00D671DB" w:rsidRDefault="001F4603" w:rsidP="00011594">
      <w:pPr>
        <w:spacing w:after="0" w:line="240" w:lineRule="auto"/>
        <w:contextualSpacing/>
        <w:jc w:val="both"/>
        <w:rPr>
          <w:rFonts w:ascii="Arial" w:eastAsia="Times New Roman" w:hAnsi="Arial" w:cs="Arial"/>
          <w:noProof/>
          <w:lang w:val="sr-Latn-CS"/>
        </w:rPr>
      </w:pPr>
    </w:p>
    <w:p w14:paraId="27D307E7" w14:textId="77777777" w:rsidR="001F4603" w:rsidRPr="00D671DB" w:rsidRDefault="001F4603" w:rsidP="00011594">
      <w:pPr>
        <w:spacing w:after="0" w:line="240" w:lineRule="auto"/>
        <w:jc w:val="both"/>
        <w:rPr>
          <w:rFonts w:ascii="Arial" w:eastAsia="Times New Roman" w:hAnsi="Arial" w:cs="Arial"/>
          <w:b/>
          <w:noProof/>
          <w:lang w:val="pt-BR"/>
        </w:rPr>
      </w:pPr>
      <w:r w:rsidRPr="00D671DB">
        <w:rPr>
          <w:rFonts w:ascii="Arial" w:eastAsia="Times New Roman" w:hAnsi="Arial" w:cs="Arial"/>
          <w:b/>
          <w:noProof/>
          <w:lang w:val="pt-BR"/>
        </w:rPr>
        <w:t>Kriterijum: BPR / NBPR x 15,</w:t>
      </w:r>
    </w:p>
    <w:p w14:paraId="65E2F112" w14:textId="77777777" w:rsidR="001F4603" w:rsidRPr="00D671DB" w:rsidRDefault="001F4603" w:rsidP="00011594">
      <w:pPr>
        <w:spacing w:after="0" w:line="240" w:lineRule="auto"/>
        <w:jc w:val="both"/>
        <w:rPr>
          <w:rFonts w:ascii="Arial" w:eastAsia="Times New Roman" w:hAnsi="Arial" w:cs="Arial"/>
          <w:b/>
          <w:noProof/>
          <w:lang w:val="pt-BR"/>
        </w:rPr>
      </w:pPr>
      <w:r w:rsidRPr="00D671DB">
        <w:rPr>
          <w:rFonts w:ascii="Arial" w:eastAsia="Times New Roman" w:hAnsi="Arial" w:cs="Arial"/>
          <w:b/>
          <w:noProof/>
          <w:lang w:val="pt-BR"/>
        </w:rPr>
        <w:t>gdje:</w:t>
      </w:r>
    </w:p>
    <w:p w14:paraId="4E473CAB" w14:textId="77777777" w:rsidR="001F4603" w:rsidRPr="00D671DB" w:rsidRDefault="001F4603" w:rsidP="00011594">
      <w:pPr>
        <w:spacing w:after="0" w:line="240" w:lineRule="auto"/>
        <w:jc w:val="both"/>
        <w:rPr>
          <w:rFonts w:ascii="Arial" w:eastAsia="Times New Roman" w:hAnsi="Arial" w:cs="Arial"/>
          <w:b/>
          <w:noProof/>
          <w:lang w:val="pt-BR"/>
        </w:rPr>
      </w:pPr>
    </w:p>
    <w:p w14:paraId="1DEF5300" w14:textId="77777777" w:rsidR="001F4603" w:rsidRPr="00D671DB" w:rsidRDefault="001F4603" w:rsidP="00011594">
      <w:pPr>
        <w:spacing w:after="0" w:line="240" w:lineRule="auto"/>
        <w:jc w:val="both"/>
        <w:rPr>
          <w:rFonts w:ascii="Arial" w:eastAsia="Times New Roman" w:hAnsi="Arial" w:cs="Arial"/>
          <w:noProof/>
          <w:lang w:val="pt-BR"/>
        </w:rPr>
      </w:pPr>
      <w:r w:rsidRPr="00D671DB">
        <w:rPr>
          <w:rFonts w:ascii="Arial" w:eastAsia="Times New Roman" w:hAnsi="Arial" w:cs="Arial"/>
          <w:b/>
          <w:noProof/>
          <w:lang w:val="pt-BR"/>
        </w:rPr>
        <w:t>BPR</w:t>
      </w:r>
      <w:r w:rsidRPr="00D671DB">
        <w:rPr>
          <w:rFonts w:ascii="Arial" w:eastAsia="Times New Roman" w:hAnsi="Arial" w:cs="Arial"/>
          <w:noProof/>
          <w:lang w:val="pt-BR"/>
        </w:rPr>
        <w:t>- označava broj potvrđenih referenci</w:t>
      </w:r>
    </w:p>
    <w:p w14:paraId="014FE98A" w14:textId="77777777" w:rsidR="001F4603" w:rsidRPr="00D671DB" w:rsidRDefault="001F4603" w:rsidP="00011594">
      <w:pPr>
        <w:spacing w:after="0" w:line="240" w:lineRule="auto"/>
        <w:jc w:val="both"/>
        <w:rPr>
          <w:rFonts w:ascii="Arial" w:eastAsia="Times New Roman" w:hAnsi="Arial" w:cs="Arial"/>
          <w:noProof/>
          <w:lang w:val="pt-BR"/>
        </w:rPr>
      </w:pPr>
      <w:r w:rsidRPr="00D671DB">
        <w:rPr>
          <w:rFonts w:ascii="Arial" w:eastAsia="Times New Roman" w:hAnsi="Arial" w:cs="Arial"/>
          <w:b/>
          <w:noProof/>
          <w:lang w:val="pt-BR"/>
        </w:rPr>
        <w:t>NBPR</w:t>
      </w:r>
      <w:r w:rsidRPr="00D671DB">
        <w:rPr>
          <w:rFonts w:ascii="Arial" w:eastAsia="Times New Roman" w:hAnsi="Arial" w:cs="Arial"/>
          <w:noProof/>
          <w:lang w:val="pt-BR"/>
        </w:rPr>
        <w:t>- označava najveći broj potvrđenih referenci</w:t>
      </w:r>
    </w:p>
    <w:p w14:paraId="71BF11FF" w14:textId="04EA351A" w:rsidR="001F4603" w:rsidRDefault="001F4603" w:rsidP="00011594">
      <w:pPr>
        <w:spacing w:after="0" w:line="240" w:lineRule="auto"/>
        <w:jc w:val="both"/>
        <w:rPr>
          <w:rFonts w:ascii="Arial" w:eastAsia="Times New Roman" w:hAnsi="Arial" w:cs="Arial"/>
          <w:noProof/>
          <w:lang w:val="pt-BR"/>
        </w:rPr>
      </w:pPr>
      <w:r w:rsidRPr="00D671DB">
        <w:rPr>
          <w:rFonts w:ascii="Arial" w:eastAsia="Times New Roman" w:hAnsi="Arial" w:cs="Arial"/>
          <w:b/>
          <w:noProof/>
          <w:lang w:val="pt-BR"/>
        </w:rPr>
        <w:t>15</w:t>
      </w:r>
      <w:r w:rsidRPr="00D671DB">
        <w:rPr>
          <w:rFonts w:ascii="Arial" w:eastAsia="Times New Roman" w:hAnsi="Arial" w:cs="Arial"/>
          <w:noProof/>
          <w:lang w:val="pt-BR"/>
        </w:rPr>
        <w:t>- označava broj bodova za ovaj kriterijum</w:t>
      </w:r>
    </w:p>
    <w:p w14:paraId="2803E709" w14:textId="77777777" w:rsidR="00011594" w:rsidRPr="00D671DB" w:rsidRDefault="00011594" w:rsidP="00011594">
      <w:pPr>
        <w:spacing w:after="0" w:line="240" w:lineRule="auto"/>
        <w:jc w:val="both"/>
        <w:rPr>
          <w:rFonts w:ascii="Arial" w:eastAsia="Times New Roman" w:hAnsi="Arial" w:cs="Arial"/>
          <w:noProof/>
          <w:lang w:val="pt-BR"/>
        </w:rPr>
      </w:pPr>
    </w:p>
    <w:p w14:paraId="4A224CB0" w14:textId="77777777" w:rsidR="001F4603" w:rsidRPr="00D671DB" w:rsidRDefault="001F4603" w:rsidP="00011594">
      <w:pPr>
        <w:spacing w:after="0" w:line="240" w:lineRule="auto"/>
        <w:jc w:val="both"/>
        <w:rPr>
          <w:rFonts w:ascii="Arial" w:eastAsia="Times New Roman" w:hAnsi="Arial" w:cs="Arial"/>
          <w:noProof/>
          <w:lang w:val="pt-BR"/>
        </w:rPr>
      </w:pPr>
      <w:r w:rsidRPr="00D671DB">
        <w:rPr>
          <w:rFonts w:ascii="Arial" w:eastAsia="Times New Roman" w:hAnsi="Arial" w:cs="Arial"/>
          <w:noProof/>
          <w:lang w:val="pt-BR"/>
        </w:rPr>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3D5374">
      <w:pPr>
        <w:spacing w:after="0" w:line="240" w:lineRule="auto"/>
        <w:jc w:val="both"/>
        <w:rPr>
          <w:rFonts w:ascii="Arial" w:hAnsi="Arial" w:cs="Arial"/>
          <w:lang w:val="sr-Latn-CS"/>
        </w:rPr>
      </w:pPr>
    </w:p>
    <w:p w14:paraId="2B317CC2" w14:textId="150AD79B" w:rsidR="00933594" w:rsidRPr="00E56DC2" w:rsidRDefault="00960D58" w:rsidP="003D5374">
      <w:pPr>
        <w:pStyle w:val="Heading2"/>
        <w:numPr>
          <w:ilvl w:val="1"/>
          <w:numId w:val="24"/>
        </w:numPr>
      </w:pPr>
      <w:bookmarkStart w:id="40" w:name="_Toc436124906"/>
      <w:r w:rsidRPr="00E56DC2">
        <w:t>Finansijski aspekt – Prosječni bruto prihod ponuđača u posljednje tri godi</w:t>
      </w:r>
      <w:bookmarkEnd w:id="40"/>
      <w:r w:rsidR="006924A6" w:rsidRPr="00E56DC2">
        <w:t>ne</w:t>
      </w:r>
    </w:p>
    <w:p w14:paraId="0E1BF7D2" w14:textId="77777777" w:rsidR="007554B4" w:rsidRPr="00D671DB" w:rsidRDefault="007554B4" w:rsidP="003D5374">
      <w:pPr>
        <w:spacing w:after="0" w:line="240" w:lineRule="auto"/>
        <w:jc w:val="both"/>
        <w:rPr>
          <w:rFonts w:ascii="Arial" w:eastAsia="Times New Roman" w:hAnsi="Arial" w:cs="Arial"/>
          <w:noProof/>
          <w:lang w:val="pt-BR"/>
        </w:rPr>
      </w:pPr>
      <w:r w:rsidRPr="00D671DB">
        <w:rPr>
          <w:rFonts w:ascii="Arial" w:eastAsia="Times New Roman" w:hAnsi="Arial" w:cs="Arial"/>
          <w:noProof/>
          <w:lang w:val="pt-BR"/>
        </w:rPr>
        <w:t>Ovaj kriterijum se izračunava na sljedeći način:</w:t>
      </w:r>
    </w:p>
    <w:p w14:paraId="61FEF84C" w14:textId="77777777" w:rsidR="007554B4" w:rsidRPr="00D671DB" w:rsidRDefault="007554B4" w:rsidP="003D5374">
      <w:pPr>
        <w:spacing w:after="0" w:line="240" w:lineRule="auto"/>
        <w:jc w:val="both"/>
        <w:rPr>
          <w:rFonts w:ascii="Arial" w:eastAsia="Times New Roman" w:hAnsi="Arial" w:cs="Arial"/>
          <w:noProof/>
          <w:lang w:val="pt-BR"/>
        </w:rPr>
      </w:pPr>
    </w:p>
    <w:p w14:paraId="0D88609E" w14:textId="77777777" w:rsidR="007554B4" w:rsidRPr="00D671DB" w:rsidRDefault="007554B4" w:rsidP="003D5374">
      <w:pPr>
        <w:spacing w:after="0" w:line="240" w:lineRule="auto"/>
        <w:jc w:val="both"/>
        <w:rPr>
          <w:rFonts w:ascii="Arial" w:eastAsia="Times New Roman" w:hAnsi="Arial" w:cs="Arial"/>
          <w:b/>
          <w:noProof/>
          <w:lang w:val="pt-BR"/>
        </w:rPr>
      </w:pPr>
      <w:r w:rsidRPr="00D671DB">
        <w:rPr>
          <w:rFonts w:ascii="Arial" w:eastAsia="Times New Roman" w:hAnsi="Arial" w:cs="Arial"/>
          <w:b/>
          <w:noProof/>
          <w:lang w:val="pt-BR"/>
        </w:rPr>
        <w:t>Kriterijum: PBP / MBP x 10,</w:t>
      </w:r>
    </w:p>
    <w:p w14:paraId="43EF3B2E" w14:textId="77777777" w:rsidR="007554B4" w:rsidRPr="00D671DB" w:rsidRDefault="007554B4" w:rsidP="003D5374">
      <w:pPr>
        <w:spacing w:after="0" w:line="240" w:lineRule="auto"/>
        <w:jc w:val="both"/>
        <w:rPr>
          <w:rFonts w:ascii="Arial" w:eastAsia="Times New Roman" w:hAnsi="Arial" w:cs="Arial"/>
          <w:noProof/>
          <w:lang w:val="pt-BR"/>
        </w:rPr>
      </w:pPr>
    </w:p>
    <w:p w14:paraId="4BBE2CE0" w14:textId="77777777" w:rsidR="007554B4" w:rsidRPr="00D671DB" w:rsidRDefault="007554B4" w:rsidP="003D5374">
      <w:pPr>
        <w:spacing w:after="0" w:line="240" w:lineRule="auto"/>
        <w:jc w:val="both"/>
        <w:rPr>
          <w:rFonts w:ascii="Arial" w:eastAsia="Times New Roman" w:hAnsi="Arial" w:cs="Arial"/>
          <w:noProof/>
          <w:lang w:val="pt-BR"/>
        </w:rPr>
      </w:pPr>
      <w:r w:rsidRPr="00D671DB">
        <w:rPr>
          <w:rFonts w:ascii="Arial" w:eastAsia="Times New Roman" w:hAnsi="Arial" w:cs="Arial"/>
          <w:noProof/>
          <w:lang w:val="pt-BR"/>
        </w:rPr>
        <w:t>gdje:</w:t>
      </w:r>
    </w:p>
    <w:p w14:paraId="59CC6D0F" w14:textId="77777777" w:rsidR="007554B4" w:rsidRPr="00D671DB" w:rsidRDefault="007554B4" w:rsidP="003D5374">
      <w:pPr>
        <w:spacing w:after="0" w:line="240" w:lineRule="auto"/>
        <w:jc w:val="both"/>
        <w:rPr>
          <w:rFonts w:ascii="Arial" w:eastAsia="Times New Roman" w:hAnsi="Arial" w:cs="Arial"/>
          <w:noProof/>
          <w:lang w:val="pt-BR"/>
        </w:rPr>
      </w:pPr>
    </w:p>
    <w:p w14:paraId="1280B091" w14:textId="77777777" w:rsidR="007554B4" w:rsidRPr="00D671DB" w:rsidRDefault="007554B4" w:rsidP="003D5374">
      <w:pPr>
        <w:spacing w:after="0" w:line="240" w:lineRule="auto"/>
        <w:jc w:val="both"/>
        <w:rPr>
          <w:rFonts w:ascii="Arial" w:eastAsia="Times New Roman" w:hAnsi="Arial" w:cs="Arial"/>
          <w:noProof/>
          <w:lang w:val="pt-BR"/>
        </w:rPr>
      </w:pPr>
      <w:r w:rsidRPr="00D671DB">
        <w:rPr>
          <w:rFonts w:ascii="Arial" w:eastAsia="Times New Roman" w:hAnsi="Arial" w:cs="Arial"/>
          <w:b/>
          <w:noProof/>
          <w:lang w:val="pt-BR"/>
        </w:rPr>
        <w:t xml:space="preserve">PBP – </w:t>
      </w:r>
      <w:r w:rsidRPr="00D671DB">
        <w:rPr>
          <w:rFonts w:ascii="Arial" w:eastAsia="Times New Roman" w:hAnsi="Arial" w:cs="Arial"/>
          <w:noProof/>
          <w:lang w:val="pt-BR"/>
        </w:rPr>
        <w:t>označava prosječni bruto prihod ponuđača za posljednje tri godine</w:t>
      </w:r>
    </w:p>
    <w:p w14:paraId="6E027587" w14:textId="77777777" w:rsidR="007554B4" w:rsidRPr="00E56DC2" w:rsidRDefault="007554B4" w:rsidP="003D537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3D537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3D5374">
      <w:pPr>
        <w:spacing w:after="0" w:line="240" w:lineRule="auto"/>
        <w:jc w:val="both"/>
        <w:rPr>
          <w:rFonts w:ascii="Arial" w:eastAsia="Times New Roman" w:hAnsi="Arial" w:cs="Arial"/>
          <w:noProof/>
          <w:lang w:val="pl-PL"/>
        </w:rPr>
      </w:pPr>
    </w:p>
    <w:p w14:paraId="48F40971" w14:textId="5BFE1585" w:rsidR="007554B4" w:rsidRPr="00D671DB" w:rsidRDefault="007554B4" w:rsidP="003D5374">
      <w:pPr>
        <w:spacing w:after="0" w:line="240" w:lineRule="auto"/>
        <w:jc w:val="both"/>
        <w:rPr>
          <w:rFonts w:ascii="Arial" w:eastAsia="Times New Roman" w:hAnsi="Arial" w:cs="Arial"/>
          <w:noProof/>
          <w:lang w:val="pl-PL"/>
        </w:rPr>
      </w:pPr>
      <w:r w:rsidRPr="00D671DB">
        <w:rPr>
          <w:rFonts w:ascii="Arial" w:eastAsia="Times New Roman" w:hAnsi="Arial" w:cs="Arial"/>
          <w:noProof/>
          <w:lang w:val="pl-PL"/>
        </w:rPr>
        <w:t>Za ponuđače koji su registrovani u periodu kraćem od posl</w:t>
      </w:r>
      <w:r w:rsidR="001A4B90" w:rsidRPr="00D671DB">
        <w:rPr>
          <w:rFonts w:ascii="Arial" w:eastAsia="Times New Roman" w:hAnsi="Arial" w:cs="Arial"/>
          <w:noProof/>
          <w:lang w:val="pl-PL"/>
        </w:rPr>
        <w:t>j</w:t>
      </w:r>
      <w:r w:rsidRPr="00D671DB">
        <w:rPr>
          <w:rFonts w:ascii="Arial" w:eastAsia="Times New Roman" w:hAnsi="Arial" w:cs="Arial"/>
          <w:noProof/>
          <w:lang w:val="pl-PL"/>
        </w:rPr>
        <w:t>ednje tri godine, prosjek se određuje po broju godina poslovanja</w:t>
      </w:r>
      <w:r w:rsidR="001A4B90" w:rsidRPr="00D671DB">
        <w:rPr>
          <w:rFonts w:ascii="Arial" w:eastAsia="Times New Roman" w:hAnsi="Arial" w:cs="Arial"/>
          <w:noProof/>
          <w:lang w:val="pl-PL"/>
        </w:rPr>
        <w:t>,</w:t>
      </w:r>
      <w:r w:rsidRPr="00D671DB">
        <w:rPr>
          <w:rFonts w:ascii="Arial" w:eastAsia="Times New Roman" w:hAnsi="Arial" w:cs="Arial"/>
          <w:noProof/>
          <w:lang w:val="pl-PL"/>
        </w:rPr>
        <w:t xml:space="preserve"> s tim da je jedna godina poslovanja obavezni minimum.</w:t>
      </w:r>
    </w:p>
    <w:p w14:paraId="48D0087B" w14:textId="19C19E01" w:rsidR="003D5374" w:rsidRPr="00D671DB" w:rsidRDefault="003D5374" w:rsidP="003D5374">
      <w:pPr>
        <w:spacing w:after="0" w:line="240" w:lineRule="auto"/>
        <w:jc w:val="both"/>
        <w:rPr>
          <w:rFonts w:ascii="Arial" w:eastAsia="Times New Roman" w:hAnsi="Arial" w:cs="Arial"/>
          <w:noProof/>
          <w:lang w:val="pl-PL"/>
        </w:rPr>
      </w:pPr>
    </w:p>
    <w:p w14:paraId="2E534CA9" w14:textId="77777777" w:rsidR="007554B4" w:rsidRPr="00E56DC2" w:rsidRDefault="007554B4" w:rsidP="003D5374">
      <w:pPr>
        <w:pStyle w:val="Heading2"/>
      </w:pPr>
      <w:r w:rsidRPr="00E56DC2">
        <w:t>9.5. Finansijski aspekt – Prosječni profit ponuđača u posljednje tri godine</w:t>
      </w:r>
    </w:p>
    <w:p w14:paraId="4CB0CCAE" w14:textId="77777777" w:rsidR="007554B4" w:rsidRPr="00E56DC2" w:rsidRDefault="007554B4" w:rsidP="003D5374">
      <w:pPr>
        <w:spacing w:after="0" w:line="240" w:lineRule="auto"/>
        <w:rPr>
          <w:rFonts w:ascii="Arial" w:hAnsi="Arial" w:cs="Arial"/>
          <w:lang w:val="sr-Latn-CS"/>
        </w:rPr>
      </w:pPr>
    </w:p>
    <w:p w14:paraId="35A90E85" w14:textId="77777777" w:rsidR="007554B4" w:rsidRPr="00D671DB" w:rsidRDefault="007554B4" w:rsidP="003D5374">
      <w:pPr>
        <w:spacing w:after="0" w:line="240" w:lineRule="auto"/>
        <w:jc w:val="both"/>
        <w:rPr>
          <w:rFonts w:ascii="Arial" w:hAnsi="Arial" w:cs="Arial"/>
          <w:noProof/>
          <w:lang w:val="pt-BR"/>
        </w:rPr>
      </w:pPr>
      <w:r w:rsidRPr="00D671DB">
        <w:rPr>
          <w:rFonts w:ascii="Arial" w:hAnsi="Arial" w:cs="Arial"/>
          <w:noProof/>
          <w:lang w:val="pt-BR"/>
        </w:rPr>
        <w:t>Ovaj kriterijum se izračunava na sljedeći način:</w:t>
      </w:r>
    </w:p>
    <w:p w14:paraId="319EDFF4" w14:textId="77777777" w:rsidR="007554B4" w:rsidRPr="00D671DB" w:rsidRDefault="007554B4" w:rsidP="003D5374">
      <w:pPr>
        <w:spacing w:after="0" w:line="240" w:lineRule="auto"/>
        <w:jc w:val="both"/>
        <w:rPr>
          <w:rFonts w:ascii="Arial" w:hAnsi="Arial" w:cs="Arial"/>
          <w:noProof/>
          <w:lang w:val="pt-BR"/>
        </w:rPr>
      </w:pPr>
    </w:p>
    <w:p w14:paraId="3702731A" w14:textId="77777777" w:rsidR="007554B4" w:rsidRPr="00D671DB" w:rsidRDefault="007554B4" w:rsidP="003D5374">
      <w:pPr>
        <w:spacing w:after="0" w:line="240" w:lineRule="auto"/>
        <w:jc w:val="both"/>
        <w:rPr>
          <w:rFonts w:ascii="Arial" w:hAnsi="Arial" w:cs="Arial"/>
          <w:b/>
          <w:noProof/>
          <w:lang w:val="pt-BR"/>
        </w:rPr>
      </w:pPr>
      <w:r w:rsidRPr="00D671DB">
        <w:rPr>
          <w:rFonts w:ascii="Arial" w:hAnsi="Arial" w:cs="Arial"/>
          <w:b/>
          <w:noProof/>
          <w:lang w:val="pt-BR"/>
        </w:rPr>
        <w:t>Kriterijum: PBP / MBP x 10,</w:t>
      </w:r>
    </w:p>
    <w:p w14:paraId="74066FA7" w14:textId="77777777" w:rsidR="007554B4" w:rsidRPr="00D671DB" w:rsidRDefault="007554B4" w:rsidP="003D5374">
      <w:pPr>
        <w:spacing w:after="0" w:line="240" w:lineRule="auto"/>
        <w:jc w:val="both"/>
        <w:rPr>
          <w:rFonts w:ascii="Arial" w:hAnsi="Arial" w:cs="Arial"/>
          <w:noProof/>
          <w:lang w:val="pt-BR"/>
        </w:rPr>
      </w:pPr>
    </w:p>
    <w:p w14:paraId="35F65740" w14:textId="77777777" w:rsidR="007554B4" w:rsidRPr="00D671DB" w:rsidRDefault="007554B4" w:rsidP="003D5374">
      <w:pPr>
        <w:spacing w:after="0" w:line="240" w:lineRule="auto"/>
        <w:jc w:val="both"/>
        <w:rPr>
          <w:rFonts w:ascii="Arial" w:hAnsi="Arial" w:cs="Arial"/>
          <w:noProof/>
          <w:lang w:val="pt-BR"/>
        </w:rPr>
      </w:pPr>
      <w:r w:rsidRPr="00D671DB">
        <w:rPr>
          <w:rFonts w:ascii="Arial" w:hAnsi="Arial" w:cs="Arial"/>
          <w:noProof/>
          <w:lang w:val="pt-BR"/>
        </w:rPr>
        <w:t>gdje:</w:t>
      </w:r>
    </w:p>
    <w:p w14:paraId="467DF636" w14:textId="77777777" w:rsidR="007554B4" w:rsidRPr="00D671DB" w:rsidRDefault="007554B4" w:rsidP="003D5374">
      <w:pPr>
        <w:spacing w:after="0" w:line="240" w:lineRule="auto"/>
        <w:jc w:val="both"/>
        <w:rPr>
          <w:rFonts w:ascii="Arial" w:hAnsi="Arial" w:cs="Arial"/>
          <w:noProof/>
          <w:lang w:val="pt-BR"/>
        </w:rPr>
      </w:pPr>
    </w:p>
    <w:p w14:paraId="695B45CA" w14:textId="77777777" w:rsidR="007554B4" w:rsidRPr="00D671DB" w:rsidRDefault="007554B4" w:rsidP="003D5374">
      <w:pPr>
        <w:spacing w:after="0" w:line="240" w:lineRule="auto"/>
        <w:jc w:val="both"/>
        <w:rPr>
          <w:rFonts w:ascii="Arial" w:hAnsi="Arial" w:cs="Arial"/>
          <w:noProof/>
          <w:lang w:val="pt-BR"/>
        </w:rPr>
      </w:pPr>
      <w:r w:rsidRPr="00D671DB">
        <w:rPr>
          <w:rFonts w:ascii="Arial" w:hAnsi="Arial" w:cs="Arial"/>
          <w:b/>
          <w:noProof/>
          <w:lang w:val="pt-BR"/>
        </w:rPr>
        <w:t xml:space="preserve">PBP – </w:t>
      </w:r>
      <w:r w:rsidRPr="00D671DB">
        <w:rPr>
          <w:rFonts w:ascii="Arial" w:hAnsi="Arial" w:cs="Arial"/>
          <w:noProof/>
          <w:lang w:val="pt-BR"/>
        </w:rPr>
        <w:t>označava prosječni profit ponuđača za posljednje tri godine</w:t>
      </w:r>
    </w:p>
    <w:p w14:paraId="6D913DDB"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D671DB" w:rsidRDefault="007554B4" w:rsidP="003D5374">
      <w:pPr>
        <w:spacing w:after="0" w:line="240" w:lineRule="auto"/>
        <w:jc w:val="both"/>
        <w:rPr>
          <w:rFonts w:ascii="Arial" w:hAnsi="Arial" w:cs="Arial"/>
          <w:noProof/>
          <w:lang w:val="pl-PL"/>
        </w:rPr>
      </w:pPr>
      <w:r w:rsidRPr="00D671DB">
        <w:rPr>
          <w:rFonts w:ascii="Arial" w:hAnsi="Arial" w:cs="Arial"/>
          <w:noProof/>
          <w:lang w:val="pl-PL"/>
        </w:rPr>
        <w:t>Za ponuđače koji su registrovani u periodu kraćem od posl</w:t>
      </w:r>
      <w:r w:rsidR="00842CFD" w:rsidRPr="00D671DB">
        <w:rPr>
          <w:rFonts w:ascii="Arial" w:hAnsi="Arial" w:cs="Arial"/>
          <w:noProof/>
          <w:lang w:val="pl-PL"/>
        </w:rPr>
        <w:t>j</w:t>
      </w:r>
      <w:r w:rsidRPr="00D671DB">
        <w:rPr>
          <w:rFonts w:ascii="Arial" w:hAnsi="Arial" w:cs="Arial"/>
          <w:noProof/>
          <w:lang w:val="pl-PL"/>
        </w:rPr>
        <w:t>ednje tri godine, prosjek se određuje po broju godina poslovanja</w:t>
      </w:r>
      <w:r w:rsidR="001A4B90" w:rsidRPr="00D671DB">
        <w:rPr>
          <w:rFonts w:ascii="Arial" w:hAnsi="Arial" w:cs="Arial"/>
          <w:noProof/>
          <w:lang w:val="pl-PL"/>
        </w:rPr>
        <w:t>,</w:t>
      </w:r>
      <w:r w:rsidRPr="00D671DB">
        <w:rPr>
          <w:rFonts w:ascii="Arial" w:hAnsi="Arial" w:cs="Arial"/>
          <w:noProof/>
          <w:lang w:val="pl-PL"/>
        </w:rPr>
        <w:t xml:space="preserve"> s tim da je jedna godina poslovanja obavezni minimum.</w:t>
      </w:r>
    </w:p>
    <w:p w14:paraId="7E4FE669" w14:textId="53D8FA20" w:rsidR="007554B4" w:rsidRPr="00D671DB" w:rsidRDefault="007554B4" w:rsidP="003D5374">
      <w:pPr>
        <w:spacing w:after="0" w:line="240" w:lineRule="auto"/>
        <w:jc w:val="both"/>
        <w:rPr>
          <w:rFonts w:ascii="Arial" w:eastAsia="Times New Roman" w:hAnsi="Arial" w:cs="Arial"/>
          <w:noProof/>
          <w:lang w:val="pl-PL"/>
        </w:rPr>
      </w:pPr>
    </w:p>
    <w:p w14:paraId="218C9AA0" w14:textId="77777777" w:rsidR="007554B4" w:rsidRPr="00E56DC2" w:rsidRDefault="007554B4" w:rsidP="003D5374">
      <w:pPr>
        <w:pStyle w:val="Heading2"/>
      </w:pPr>
      <w:r w:rsidRPr="00E56DC2">
        <w:t>9.6. Kvalitet poslovnog plana i efekti na zapošljavanje i ekonomski razvoj</w:t>
      </w:r>
    </w:p>
    <w:p w14:paraId="2A14A97E" w14:textId="77777777" w:rsidR="007554B4" w:rsidRPr="00E56DC2" w:rsidRDefault="007554B4" w:rsidP="003D5374">
      <w:pPr>
        <w:spacing w:after="0" w:line="240" w:lineRule="auto"/>
        <w:jc w:val="both"/>
        <w:rPr>
          <w:rFonts w:ascii="Arial" w:hAnsi="Arial" w:cs="Arial"/>
          <w:lang w:val="sr-Latn-CS"/>
        </w:rPr>
      </w:pPr>
    </w:p>
    <w:p w14:paraId="75B7178B"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3D5374">
      <w:pPr>
        <w:spacing w:after="0" w:line="240" w:lineRule="auto"/>
        <w:jc w:val="both"/>
        <w:rPr>
          <w:rFonts w:ascii="Arial" w:hAnsi="Arial" w:cs="Arial"/>
          <w:noProof/>
          <w:lang w:val="pl-PL"/>
        </w:rPr>
      </w:pPr>
    </w:p>
    <w:p w14:paraId="3C8C0473"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E56DC2" w:rsidRDefault="007554B4" w:rsidP="003D5374">
      <w:pPr>
        <w:spacing w:after="0" w:line="240" w:lineRule="auto"/>
        <w:jc w:val="both"/>
        <w:rPr>
          <w:rFonts w:ascii="Arial" w:hAnsi="Arial" w:cs="Arial"/>
          <w:noProof/>
          <w:lang w:val="pl-PL"/>
        </w:rPr>
      </w:pPr>
    </w:p>
    <w:p w14:paraId="4F55B81D" w14:textId="77777777" w:rsidR="007554B4" w:rsidRDefault="007554B4" w:rsidP="003D537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869C85E" w14:textId="7A67C600" w:rsidR="00475021" w:rsidRDefault="00475021" w:rsidP="003D5374">
      <w:pPr>
        <w:spacing w:after="0" w:line="240" w:lineRule="auto"/>
        <w:jc w:val="both"/>
        <w:rPr>
          <w:rFonts w:ascii="Arial" w:hAnsi="Arial" w:cs="Arial"/>
          <w:lang w:val="sr-Latn-CS"/>
        </w:rPr>
      </w:pPr>
    </w:p>
    <w:p w14:paraId="7A23DCBE" w14:textId="4AE76D96" w:rsidR="004B1D03" w:rsidRDefault="004B1D03" w:rsidP="003D5374">
      <w:pPr>
        <w:spacing w:after="0" w:line="240" w:lineRule="auto"/>
        <w:jc w:val="both"/>
        <w:rPr>
          <w:rFonts w:ascii="Arial" w:hAnsi="Arial" w:cs="Arial"/>
          <w:lang w:val="sr-Latn-CS"/>
        </w:rPr>
      </w:pPr>
    </w:p>
    <w:p w14:paraId="2B640024" w14:textId="4C92D040" w:rsidR="004B1D03" w:rsidRDefault="004B1D03" w:rsidP="003D5374">
      <w:pPr>
        <w:spacing w:after="0" w:line="240" w:lineRule="auto"/>
        <w:jc w:val="both"/>
        <w:rPr>
          <w:rFonts w:ascii="Arial" w:hAnsi="Arial" w:cs="Arial"/>
          <w:lang w:val="sr-Latn-CS"/>
        </w:rPr>
      </w:pPr>
    </w:p>
    <w:p w14:paraId="374C091B" w14:textId="77777777" w:rsidR="004B1D03" w:rsidRPr="00E56DC2" w:rsidRDefault="004B1D03" w:rsidP="003D5374">
      <w:pPr>
        <w:spacing w:after="0" w:line="240" w:lineRule="auto"/>
        <w:jc w:val="both"/>
        <w:rPr>
          <w:rFonts w:ascii="Arial" w:hAnsi="Arial" w:cs="Arial"/>
          <w:lang w:val="sr-Latn-CS"/>
        </w:rPr>
      </w:pPr>
    </w:p>
    <w:p w14:paraId="52473ABA" w14:textId="2C0E2BF4" w:rsidR="00D1122B" w:rsidRPr="00E56DC2" w:rsidRDefault="003D5374" w:rsidP="003D5374">
      <w:pPr>
        <w:pStyle w:val="Heading1"/>
        <w:numPr>
          <w:ilvl w:val="0"/>
          <w:numId w:val="24"/>
        </w:numPr>
        <w:jc w:val="both"/>
        <w:rPr>
          <w:rFonts w:ascii="Arial" w:hAnsi="Arial" w:cs="Arial"/>
          <w:sz w:val="22"/>
          <w:szCs w:val="22"/>
        </w:rPr>
      </w:pPr>
      <w:bookmarkStart w:id="41" w:name="_Toc435529031"/>
      <w:bookmarkStart w:id="42" w:name="_Toc390549920"/>
      <w:bookmarkStart w:id="43" w:name="_Toc401959450"/>
      <w:bookmarkStart w:id="44" w:name="_Toc401959543"/>
      <w:bookmarkStart w:id="45" w:name="_Toc436124909"/>
      <w:r>
        <w:rPr>
          <w:rFonts w:ascii="Arial" w:hAnsi="Arial" w:cs="Arial"/>
          <w:sz w:val="22"/>
          <w:szCs w:val="22"/>
        </w:rPr>
        <w:lastRenderedPageBreak/>
        <w:t>S</w:t>
      </w:r>
      <w:r w:rsidR="00592620" w:rsidRPr="00E56DC2">
        <w:rPr>
          <w:rFonts w:ascii="Arial" w:hAnsi="Arial" w:cs="Arial"/>
          <w:sz w:val="22"/>
          <w:szCs w:val="22"/>
        </w:rPr>
        <w:t>PISAK POTREBNE TEHNIČKE DOKUMENTACIJE SA USLOVIMA ZA NJENU IZRADU,</w:t>
      </w:r>
      <w:r w:rsidR="00DC0967" w:rsidRPr="00E56DC2">
        <w:rPr>
          <w:rFonts w:ascii="Arial" w:hAnsi="Arial" w:cs="Arial"/>
          <w:sz w:val="22"/>
          <w:szCs w:val="22"/>
        </w:rPr>
        <w:t xml:space="preserve"> </w:t>
      </w:r>
      <w:r w:rsidR="00592620"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00592620" w:rsidRPr="00E56DC2">
        <w:rPr>
          <w:rFonts w:ascii="Arial" w:hAnsi="Arial" w:cs="Arial"/>
          <w:sz w:val="22"/>
          <w:szCs w:val="22"/>
        </w:rPr>
        <w:t>DJELATNOSTI</w:t>
      </w:r>
      <w:bookmarkStart w:id="46" w:name="_Toc390549921"/>
      <w:bookmarkEnd w:id="41"/>
      <w:bookmarkEnd w:id="42"/>
      <w:bookmarkEnd w:id="43"/>
      <w:bookmarkEnd w:id="44"/>
      <w:bookmarkEnd w:id="45"/>
    </w:p>
    <w:p w14:paraId="11A4DB13" w14:textId="77777777" w:rsidR="00D1122B" w:rsidRPr="00E56DC2" w:rsidRDefault="00D1122B" w:rsidP="003D5374">
      <w:pPr>
        <w:spacing w:after="0" w:line="240" w:lineRule="auto"/>
        <w:rPr>
          <w:rFonts w:ascii="Arial" w:hAnsi="Arial" w:cs="Arial"/>
          <w:lang w:val="sr-Latn-CS"/>
        </w:rPr>
      </w:pPr>
    </w:p>
    <w:p w14:paraId="7C7511C9" w14:textId="77777777" w:rsidR="00E52914" w:rsidRPr="00E56DC2" w:rsidRDefault="00E52914" w:rsidP="003D5374">
      <w:pPr>
        <w:pStyle w:val="Heading2"/>
        <w:numPr>
          <w:ilvl w:val="1"/>
          <w:numId w:val="24"/>
        </w:numPr>
      </w:pPr>
      <w:bookmarkStart w:id="47" w:name="_Toc401959451"/>
      <w:bookmarkStart w:id="48" w:name="_Toc401959544"/>
      <w:bookmarkStart w:id="49" w:name="_Toc435529032"/>
      <w:bookmarkStart w:id="50" w:name="_Toc436124910"/>
      <w:r w:rsidRPr="00E56DC2">
        <w:t>Geološka istraživanja</w:t>
      </w:r>
      <w:bookmarkEnd w:id="46"/>
      <w:bookmarkEnd w:id="47"/>
      <w:bookmarkEnd w:id="48"/>
      <w:bookmarkEnd w:id="49"/>
      <w:bookmarkEnd w:id="50"/>
    </w:p>
    <w:p w14:paraId="32383A77" w14:textId="77777777" w:rsidR="00297F2E" w:rsidRPr="00E56DC2" w:rsidRDefault="00297F2E" w:rsidP="003D5374">
      <w:pPr>
        <w:spacing w:after="0" w:line="240" w:lineRule="auto"/>
        <w:jc w:val="both"/>
        <w:rPr>
          <w:rFonts w:ascii="Arial" w:hAnsi="Arial" w:cs="Arial"/>
          <w:lang w:val="sr-Latn-CS"/>
        </w:rPr>
      </w:pPr>
    </w:p>
    <w:p w14:paraId="3227B72E"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1" w:name="_Toc390549922"/>
      <w:r w:rsidRPr="00E56DC2">
        <w:rPr>
          <w:rFonts w:ascii="Arial" w:hAnsi="Arial" w:cs="Arial"/>
          <w:lang w:val="sr-Latn-CS"/>
        </w:rPr>
        <w:t>.</w:t>
      </w:r>
    </w:p>
    <w:p w14:paraId="38AB3248" w14:textId="77777777" w:rsidR="0084036A" w:rsidRPr="00E56DC2" w:rsidRDefault="0084036A" w:rsidP="003D5374">
      <w:pPr>
        <w:spacing w:after="0" w:line="240" w:lineRule="auto"/>
        <w:jc w:val="both"/>
        <w:rPr>
          <w:rFonts w:ascii="Arial" w:hAnsi="Arial" w:cs="Arial"/>
          <w:lang w:val="sr-Latn-CS"/>
        </w:rPr>
      </w:pPr>
    </w:p>
    <w:p w14:paraId="1AB4D471"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3D5374">
      <w:pPr>
        <w:spacing w:after="0" w:line="240" w:lineRule="auto"/>
        <w:jc w:val="both"/>
        <w:rPr>
          <w:rFonts w:ascii="Arial" w:hAnsi="Arial" w:cs="Arial"/>
          <w:lang w:val="sr-Latn-CS"/>
        </w:rPr>
      </w:pPr>
    </w:p>
    <w:p w14:paraId="01C81FB1" w14:textId="77777777" w:rsidR="00E52914" w:rsidRPr="00E56DC2" w:rsidRDefault="00E52914" w:rsidP="003D5374">
      <w:pPr>
        <w:pStyle w:val="Heading2"/>
        <w:numPr>
          <w:ilvl w:val="1"/>
          <w:numId w:val="24"/>
        </w:numPr>
      </w:pPr>
      <w:bookmarkStart w:id="52" w:name="_Toc401959452"/>
      <w:bookmarkStart w:id="53" w:name="_Toc401959545"/>
      <w:r w:rsidRPr="00E56DC2">
        <w:t>Eksploatacija mineralne sirovin</w:t>
      </w:r>
      <w:bookmarkEnd w:id="51"/>
      <w:r w:rsidRPr="00E56DC2">
        <w:t>e</w:t>
      </w:r>
      <w:bookmarkEnd w:id="52"/>
      <w:bookmarkEnd w:id="53"/>
    </w:p>
    <w:p w14:paraId="75746B04" w14:textId="77777777" w:rsidR="00E52914" w:rsidRPr="00E56DC2" w:rsidRDefault="00E52914" w:rsidP="003D5374">
      <w:pPr>
        <w:spacing w:after="0" w:line="240" w:lineRule="auto"/>
        <w:jc w:val="both"/>
        <w:rPr>
          <w:rFonts w:ascii="Arial" w:hAnsi="Arial" w:cs="Arial"/>
        </w:rPr>
      </w:pPr>
    </w:p>
    <w:p w14:paraId="0E3A6E9F" w14:textId="77777777" w:rsidR="00E52914" w:rsidRPr="00E56DC2" w:rsidRDefault="00E52914" w:rsidP="003D5374">
      <w:pPr>
        <w:pStyle w:val="Heading3"/>
        <w:numPr>
          <w:ilvl w:val="2"/>
          <w:numId w:val="24"/>
        </w:numPr>
        <w:spacing w:after="0" w:line="240" w:lineRule="auto"/>
        <w:ind w:left="0" w:firstLine="0"/>
        <w:jc w:val="both"/>
        <w:rPr>
          <w:rFonts w:ascii="Arial" w:hAnsi="Arial" w:cs="Arial"/>
          <w:sz w:val="22"/>
          <w:szCs w:val="22"/>
        </w:rPr>
      </w:pPr>
      <w:bookmarkStart w:id="54" w:name="_Toc390549923"/>
      <w:bookmarkStart w:id="55" w:name="_Toc401959453"/>
      <w:bookmarkStart w:id="56" w:name="_Toc401959546"/>
      <w:bookmarkStart w:id="57" w:name="_Toc435529033"/>
      <w:bookmarkStart w:id="58" w:name="_Toc436124911"/>
      <w:r w:rsidRPr="00E56DC2">
        <w:rPr>
          <w:rFonts w:ascii="Arial" w:hAnsi="Arial" w:cs="Arial"/>
          <w:sz w:val="22"/>
          <w:szCs w:val="22"/>
        </w:rPr>
        <w:t>Odobrenje za eksploataciju mineralne sirovine na eksploatacionom polju</w:t>
      </w:r>
      <w:bookmarkStart w:id="59" w:name="_Toc435529034"/>
      <w:bookmarkEnd w:id="54"/>
      <w:bookmarkEnd w:id="55"/>
      <w:bookmarkEnd w:id="56"/>
      <w:bookmarkEnd w:id="57"/>
      <w:bookmarkEnd w:id="58"/>
      <w:bookmarkEnd w:id="59"/>
    </w:p>
    <w:p w14:paraId="72B27F08" w14:textId="77777777" w:rsidR="0084036A" w:rsidRPr="00E56DC2" w:rsidRDefault="0084036A" w:rsidP="003D5374">
      <w:pPr>
        <w:spacing w:after="0" w:line="240" w:lineRule="auto"/>
        <w:jc w:val="both"/>
        <w:rPr>
          <w:rFonts w:ascii="Arial" w:hAnsi="Arial" w:cs="Arial"/>
          <w:lang w:val="sr-Latn-CS"/>
        </w:rPr>
      </w:pPr>
    </w:p>
    <w:p w14:paraId="44C05BBA" w14:textId="77777777" w:rsidR="00E52914" w:rsidRPr="00E56DC2" w:rsidRDefault="00E52914" w:rsidP="003D5374">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14:paraId="69F59A66"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4E054E7A"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w:t>
      </w:r>
      <w:r w:rsidR="00BC1B3C">
        <w:rPr>
          <w:rFonts w:ascii="Arial" w:hAnsi="Arial" w:cs="Arial"/>
          <w:lang w:val="sr-Latn-CS"/>
        </w:rPr>
        <w:t>lokaliteta</w:t>
      </w:r>
      <w:r w:rsidRPr="00E56DC2">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60" w:name="_Toc390549924"/>
      <w:bookmarkStart w:id="61" w:name="_Toc401959454"/>
      <w:bookmarkStart w:id="62" w:name="_Toc401959547"/>
      <w:bookmarkStart w:id="63" w:name="_Toc435529035"/>
      <w:bookmarkStart w:id="64" w:name="_Toc436124912"/>
    </w:p>
    <w:p w14:paraId="297BB39A" w14:textId="77777777" w:rsidR="00FE7737" w:rsidRPr="00E56DC2" w:rsidRDefault="00FE7737" w:rsidP="003D5374">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D671DB" w:rsidRDefault="00E52914" w:rsidP="003D5374">
      <w:pPr>
        <w:pStyle w:val="Heading4"/>
        <w:numPr>
          <w:ilvl w:val="2"/>
          <w:numId w:val="24"/>
        </w:numPr>
        <w:spacing w:line="240" w:lineRule="auto"/>
        <w:ind w:left="0" w:firstLine="0"/>
        <w:jc w:val="both"/>
        <w:rPr>
          <w:rFonts w:ascii="Arial" w:hAnsi="Arial" w:cs="Arial"/>
          <w:b/>
          <w:sz w:val="22"/>
          <w:szCs w:val="22"/>
          <w:lang w:val="pt-BR"/>
        </w:rPr>
      </w:pPr>
      <w:r w:rsidRPr="00D671DB">
        <w:rPr>
          <w:rFonts w:ascii="Arial" w:hAnsi="Arial" w:cs="Arial"/>
          <w:b/>
          <w:sz w:val="22"/>
          <w:szCs w:val="22"/>
          <w:lang w:val="pt-BR"/>
        </w:rPr>
        <w:t>Odobrenje za izvođenje radova po rudarskom projektu</w:t>
      </w:r>
      <w:bookmarkEnd w:id="60"/>
      <w:bookmarkEnd w:id="61"/>
      <w:bookmarkEnd w:id="62"/>
      <w:bookmarkEnd w:id="63"/>
      <w:bookmarkEnd w:id="64"/>
    </w:p>
    <w:p w14:paraId="3B11E9B5" w14:textId="77777777" w:rsidR="00E52914" w:rsidRPr="00E56DC2" w:rsidRDefault="00E52914" w:rsidP="003D5374">
      <w:pPr>
        <w:spacing w:after="0" w:line="240" w:lineRule="auto"/>
        <w:jc w:val="both"/>
        <w:rPr>
          <w:rFonts w:ascii="Arial" w:hAnsi="Arial" w:cs="Arial"/>
          <w:lang w:val="sr-Latn-CS"/>
        </w:rPr>
      </w:pPr>
    </w:p>
    <w:p w14:paraId="393F98F0"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3D5374">
      <w:pPr>
        <w:spacing w:after="0" w:line="240" w:lineRule="auto"/>
        <w:jc w:val="both"/>
        <w:rPr>
          <w:rFonts w:ascii="Arial" w:hAnsi="Arial" w:cs="Arial"/>
          <w:lang w:val="sr-Latn-CS"/>
        </w:rPr>
      </w:pPr>
    </w:p>
    <w:p w14:paraId="06809F8A"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3D5374">
      <w:pPr>
        <w:spacing w:after="0" w:line="240" w:lineRule="auto"/>
        <w:jc w:val="both"/>
        <w:rPr>
          <w:rFonts w:ascii="Arial" w:hAnsi="Arial" w:cs="Arial"/>
          <w:lang w:val="sr-Latn-CS"/>
        </w:rPr>
      </w:pPr>
    </w:p>
    <w:p w14:paraId="1EFE4455" w14:textId="36B90A74" w:rsidR="00E52914" w:rsidRDefault="00E52914" w:rsidP="003D5374">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lastRenderedPageBreak/>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73D2E3AC" w14:textId="77777777" w:rsidR="003D5374" w:rsidRPr="00E56DC2" w:rsidRDefault="003D5374" w:rsidP="003D5374">
      <w:pPr>
        <w:tabs>
          <w:tab w:val="left" w:pos="1980"/>
        </w:tabs>
        <w:suppressAutoHyphens w:val="0"/>
        <w:spacing w:after="0" w:line="240" w:lineRule="auto"/>
        <w:jc w:val="both"/>
        <w:rPr>
          <w:rFonts w:ascii="Arial" w:hAnsi="Arial" w:cs="Arial"/>
          <w:lang w:val="sr-Latn-CS"/>
        </w:rPr>
      </w:pPr>
    </w:p>
    <w:p w14:paraId="1B90409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3D5374">
      <w:pPr>
        <w:spacing w:after="0" w:line="240" w:lineRule="auto"/>
        <w:jc w:val="both"/>
        <w:rPr>
          <w:rFonts w:ascii="Arial" w:hAnsi="Arial" w:cs="Arial"/>
          <w:lang w:val="sr-Latn-CS"/>
        </w:rPr>
      </w:pPr>
    </w:p>
    <w:p w14:paraId="5AEAA88D"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3D5374">
      <w:pPr>
        <w:spacing w:after="0" w:line="240" w:lineRule="auto"/>
        <w:jc w:val="both"/>
        <w:rPr>
          <w:rFonts w:ascii="Arial" w:hAnsi="Arial" w:cs="Arial"/>
          <w:lang w:val="sr-Latn-CS"/>
        </w:rPr>
      </w:pPr>
    </w:p>
    <w:p w14:paraId="7A5F6970" w14:textId="77777777" w:rsidR="00E52914" w:rsidRPr="00E56DC2" w:rsidRDefault="00E52914" w:rsidP="003D5374">
      <w:pPr>
        <w:pStyle w:val="Heading3"/>
        <w:numPr>
          <w:ilvl w:val="2"/>
          <w:numId w:val="24"/>
        </w:numPr>
        <w:spacing w:after="0" w:line="240" w:lineRule="auto"/>
        <w:ind w:left="0" w:firstLine="0"/>
        <w:jc w:val="both"/>
        <w:rPr>
          <w:rFonts w:ascii="Arial" w:hAnsi="Arial" w:cs="Arial"/>
          <w:sz w:val="22"/>
          <w:szCs w:val="22"/>
        </w:rPr>
      </w:pPr>
      <w:bookmarkStart w:id="65" w:name="_Toc390549925"/>
      <w:bookmarkStart w:id="66" w:name="_Toc401959455"/>
      <w:bookmarkStart w:id="67" w:name="_Toc401959548"/>
      <w:bookmarkStart w:id="68" w:name="_Toc435529036"/>
      <w:bookmarkStart w:id="69" w:name="_Toc436124913"/>
      <w:r w:rsidRPr="00E56DC2">
        <w:rPr>
          <w:rFonts w:ascii="Arial" w:hAnsi="Arial" w:cs="Arial"/>
          <w:sz w:val="22"/>
          <w:szCs w:val="22"/>
        </w:rPr>
        <w:t>Odobrenje za upotrebu rudarskih objekata</w:t>
      </w:r>
      <w:bookmarkEnd w:id="65"/>
      <w:bookmarkEnd w:id="66"/>
      <w:bookmarkEnd w:id="67"/>
      <w:bookmarkEnd w:id="68"/>
      <w:bookmarkEnd w:id="69"/>
    </w:p>
    <w:p w14:paraId="395CE63F" w14:textId="77777777" w:rsidR="0084036A" w:rsidRPr="00E56DC2" w:rsidRDefault="0084036A" w:rsidP="003D5374">
      <w:pPr>
        <w:spacing w:after="0" w:line="240" w:lineRule="auto"/>
        <w:jc w:val="both"/>
        <w:rPr>
          <w:rFonts w:ascii="Arial" w:hAnsi="Arial" w:cs="Arial"/>
          <w:lang w:val="sr-Latn-CS"/>
        </w:rPr>
      </w:pPr>
    </w:p>
    <w:p w14:paraId="3BF9E2C4"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56DC2" w:rsidRDefault="0084036A" w:rsidP="003D5374">
      <w:pPr>
        <w:spacing w:after="0" w:line="240" w:lineRule="auto"/>
        <w:jc w:val="both"/>
        <w:rPr>
          <w:rFonts w:ascii="Arial" w:hAnsi="Arial" w:cs="Arial"/>
          <w:lang w:val="sr-Latn-CS"/>
        </w:rPr>
      </w:pPr>
    </w:p>
    <w:p w14:paraId="6FA27642"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3D5374">
      <w:pPr>
        <w:spacing w:after="0" w:line="240" w:lineRule="auto"/>
        <w:jc w:val="both"/>
        <w:rPr>
          <w:rFonts w:ascii="Arial" w:hAnsi="Arial" w:cs="Arial"/>
          <w:lang w:val="sr-Latn-CS"/>
        </w:rPr>
      </w:pPr>
    </w:p>
    <w:p w14:paraId="79F4AFF0"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3D5374">
      <w:pPr>
        <w:spacing w:after="0" w:line="240" w:lineRule="auto"/>
        <w:jc w:val="both"/>
        <w:rPr>
          <w:rFonts w:ascii="Arial" w:hAnsi="Arial" w:cs="Arial"/>
          <w:lang w:val="sr-Latn-CS"/>
        </w:rPr>
      </w:pPr>
    </w:p>
    <w:p w14:paraId="3661A15A"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C752E06" w:rsidR="00FE7737" w:rsidRDefault="00FE7737" w:rsidP="003D5374">
      <w:pPr>
        <w:spacing w:after="0" w:line="240" w:lineRule="auto"/>
        <w:jc w:val="both"/>
        <w:rPr>
          <w:rFonts w:ascii="Arial" w:hAnsi="Arial" w:cs="Arial"/>
          <w:lang w:val="sr-Latn-CS"/>
        </w:rPr>
      </w:pPr>
    </w:p>
    <w:p w14:paraId="367395CA" w14:textId="77777777" w:rsidR="003D5374" w:rsidRPr="00E56DC2" w:rsidRDefault="003D5374" w:rsidP="003D5374">
      <w:pPr>
        <w:spacing w:after="0" w:line="240" w:lineRule="auto"/>
        <w:jc w:val="both"/>
        <w:rPr>
          <w:rFonts w:ascii="Arial" w:hAnsi="Arial" w:cs="Arial"/>
          <w:lang w:val="sr-Latn-CS"/>
        </w:rPr>
      </w:pPr>
    </w:p>
    <w:p w14:paraId="246A42AB" w14:textId="77777777" w:rsidR="00E52914" w:rsidRPr="00E56DC2" w:rsidRDefault="006C4D9F" w:rsidP="003D5374">
      <w:pPr>
        <w:pStyle w:val="Heading2"/>
        <w:numPr>
          <w:ilvl w:val="0"/>
          <w:numId w:val="24"/>
        </w:numPr>
      </w:pPr>
      <w:bookmarkStart w:id="70" w:name="_Toc390549926"/>
      <w:bookmarkStart w:id="71" w:name="_Toc401959456"/>
      <w:bookmarkStart w:id="72" w:name="_Toc401959549"/>
      <w:bookmarkStart w:id="73" w:name="_Toc435529037"/>
      <w:bookmarkStart w:id="74" w:name="_Toc436124914"/>
      <w:r w:rsidRPr="00E56DC2">
        <w:t>HRONOLOGIJA IZRADE TEHNIČKE DOKUMENTACIJE I PRIBAVLJANJE ODOBRENJA I SAGLASNOSTI ZA IZVOĐENJE RUDARSKIH RADOVA</w:t>
      </w:r>
      <w:bookmarkEnd w:id="70"/>
      <w:bookmarkEnd w:id="71"/>
      <w:bookmarkEnd w:id="72"/>
      <w:bookmarkEnd w:id="73"/>
      <w:bookmarkEnd w:id="74"/>
    </w:p>
    <w:p w14:paraId="1B8C6FC4" w14:textId="77777777" w:rsidR="00FD2BCF" w:rsidRPr="00E56DC2" w:rsidRDefault="00FD2BCF" w:rsidP="003D5374">
      <w:pPr>
        <w:spacing w:after="0" w:line="240" w:lineRule="auto"/>
        <w:jc w:val="both"/>
        <w:rPr>
          <w:rFonts w:ascii="Arial" w:hAnsi="Arial" w:cs="Arial"/>
          <w:lang w:val="sr-Latn-CS"/>
        </w:rPr>
      </w:pPr>
    </w:p>
    <w:p w14:paraId="75A87D47" w14:textId="77777777" w:rsidR="00E52914" w:rsidRPr="00E56DC2" w:rsidRDefault="00484F44" w:rsidP="003D5374">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3D2DFFAF" w:rsidR="0052524F" w:rsidRPr="00E56DC2" w:rsidRDefault="00484F44" w:rsidP="003D537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14:paraId="7D94241F" w14:textId="77777777" w:rsidR="00E52914" w:rsidRPr="00E56DC2" w:rsidRDefault="00484F44" w:rsidP="003D537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3D5374">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62A7BEE0" w14:textId="77777777" w:rsidR="00E52914" w:rsidRPr="00E56DC2" w:rsidRDefault="00484F44" w:rsidP="003D537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585282D2" w14:textId="77777777" w:rsidR="00592620" w:rsidRPr="00E56DC2" w:rsidRDefault="00592620" w:rsidP="003D5374">
      <w:pPr>
        <w:tabs>
          <w:tab w:val="left" w:pos="1980"/>
        </w:tabs>
        <w:suppressAutoHyphens w:val="0"/>
        <w:spacing w:after="0" w:line="240" w:lineRule="auto"/>
        <w:jc w:val="both"/>
        <w:rPr>
          <w:rFonts w:ascii="Arial" w:hAnsi="Arial" w:cs="Arial"/>
          <w:lang w:val="sr-Latn-CS"/>
        </w:rPr>
      </w:pPr>
    </w:p>
    <w:p w14:paraId="0D1493F1" w14:textId="77777777" w:rsidR="00205A29" w:rsidRPr="00E56DC2" w:rsidRDefault="00205A29" w:rsidP="003D5374">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3D5374">
      <w:pPr>
        <w:pStyle w:val="Heading1"/>
        <w:numPr>
          <w:ilvl w:val="0"/>
          <w:numId w:val="24"/>
        </w:numPr>
        <w:jc w:val="both"/>
        <w:rPr>
          <w:rFonts w:ascii="Arial" w:hAnsi="Arial" w:cs="Arial"/>
          <w:sz w:val="22"/>
          <w:szCs w:val="22"/>
        </w:rPr>
      </w:pPr>
      <w:bookmarkStart w:id="75" w:name="_Toc390549927"/>
      <w:bookmarkStart w:id="76" w:name="_Toc401959457"/>
      <w:bookmarkStart w:id="77" w:name="_Toc401959550"/>
      <w:bookmarkStart w:id="78" w:name="_Toc435529038"/>
      <w:bookmarkStart w:id="79" w:name="_Toc436124915"/>
      <w:r w:rsidRPr="00E56DC2">
        <w:rPr>
          <w:rFonts w:ascii="Arial" w:hAnsi="Arial" w:cs="Arial"/>
          <w:sz w:val="22"/>
          <w:szCs w:val="22"/>
        </w:rPr>
        <w:lastRenderedPageBreak/>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3D5374">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5"/>
      <w:bookmarkEnd w:id="76"/>
      <w:bookmarkEnd w:id="77"/>
      <w:bookmarkEnd w:id="78"/>
      <w:bookmarkEnd w:id="79"/>
    </w:p>
    <w:p w14:paraId="6BD05280" w14:textId="77777777" w:rsidR="00FD2BCF" w:rsidRPr="00E56DC2" w:rsidRDefault="00FD2BCF" w:rsidP="003D5374">
      <w:pPr>
        <w:spacing w:after="0" w:line="240" w:lineRule="auto"/>
        <w:jc w:val="both"/>
        <w:rPr>
          <w:rFonts w:ascii="Arial" w:hAnsi="Arial" w:cs="Arial"/>
          <w:lang w:val="sr-Latn-CS"/>
        </w:rPr>
      </w:pPr>
    </w:p>
    <w:p w14:paraId="31F9F841" w14:textId="77777777" w:rsidR="0084036A" w:rsidRPr="00E56DC2" w:rsidRDefault="00E52914"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3D5374">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80" w:name="_Toc390549928"/>
      <w:bookmarkStart w:id="81" w:name="_Toc401959458"/>
      <w:bookmarkStart w:id="82" w:name="_Toc401959551"/>
      <w:bookmarkStart w:id="83" w:name="_Toc435529039"/>
      <w:bookmarkStart w:id="84" w:name="_Toc436124916"/>
    </w:p>
    <w:p w14:paraId="32BC53CE" w14:textId="77777777" w:rsidR="00BF61C2" w:rsidRPr="00E56DC2" w:rsidRDefault="00BF61C2" w:rsidP="003D5374">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3D5374">
      <w:pPr>
        <w:pStyle w:val="Heading2"/>
      </w:pPr>
      <w:r w:rsidRPr="00E56DC2">
        <w:t>12.</w:t>
      </w:r>
      <w:r w:rsidR="005278F9" w:rsidRPr="00E56DC2">
        <w:t xml:space="preserve">1 </w:t>
      </w:r>
      <w:r w:rsidR="00E52914" w:rsidRPr="00E56DC2">
        <w:t>Dokumentacija koja se prilaže uz ponudu</w:t>
      </w:r>
      <w:bookmarkEnd w:id="80"/>
      <w:bookmarkEnd w:id="81"/>
      <w:bookmarkEnd w:id="82"/>
      <w:bookmarkEnd w:id="83"/>
      <w:bookmarkEnd w:id="84"/>
    </w:p>
    <w:p w14:paraId="418E57C4" w14:textId="77777777" w:rsidR="00FD2BCF" w:rsidRPr="00E56DC2" w:rsidRDefault="00FD2BCF" w:rsidP="003D5374">
      <w:pPr>
        <w:spacing w:after="0" w:line="240" w:lineRule="auto"/>
        <w:jc w:val="both"/>
        <w:rPr>
          <w:rFonts w:ascii="Arial" w:hAnsi="Arial" w:cs="Arial"/>
          <w:lang w:val="sr-Latn-CS"/>
        </w:rPr>
      </w:pPr>
    </w:p>
    <w:p w14:paraId="0CC9BFAA" w14:textId="0B4638BC" w:rsidR="0052524F" w:rsidRPr="00D671DB" w:rsidRDefault="0052524F" w:rsidP="003D5374">
      <w:pPr>
        <w:spacing w:after="0" w:line="240" w:lineRule="auto"/>
        <w:jc w:val="both"/>
        <w:rPr>
          <w:rFonts w:ascii="Arial" w:hAnsi="Arial" w:cs="Arial"/>
          <w:noProof/>
          <w:lang w:val="pt-BR"/>
        </w:rPr>
      </w:pPr>
      <w:r w:rsidRPr="00D671DB">
        <w:rPr>
          <w:rFonts w:ascii="Arial" w:hAnsi="Arial" w:cs="Arial"/>
          <w:noProof/>
          <w:lang w:val="pt-BR"/>
        </w:rPr>
        <w:t xml:space="preserve">Shodno članu 23 Zakona o koncesijama </w:t>
      </w:r>
      <w:r w:rsidRPr="00D671DB">
        <w:rPr>
          <w:rFonts w:ascii="Arial" w:eastAsia="Calibri" w:hAnsi="Arial" w:cs="Arial"/>
          <w:kern w:val="0"/>
          <w:lang w:val="pt-BR"/>
        </w:rPr>
        <w:t>nepodobni da učestvuju na javnom nadmetanju za davanje koncesija su ponuđači</w:t>
      </w:r>
      <w:r w:rsidRPr="00D671DB">
        <w:rPr>
          <w:rFonts w:ascii="Arial" w:hAnsi="Arial" w:cs="Arial"/>
          <w:noProof/>
          <w:lang w:val="pt-BR"/>
        </w:rPr>
        <w:t>:</w:t>
      </w:r>
    </w:p>
    <w:p w14:paraId="1FFB2950" w14:textId="77777777" w:rsidR="003D5374" w:rsidRPr="00D671DB" w:rsidRDefault="003D5374" w:rsidP="003D5374">
      <w:pPr>
        <w:spacing w:after="0" w:line="240" w:lineRule="auto"/>
        <w:jc w:val="both"/>
        <w:rPr>
          <w:rFonts w:ascii="Arial" w:hAnsi="Arial" w:cs="Arial"/>
          <w:noProof/>
          <w:lang w:val="pt-BR"/>
        </w:rPr>
      </w:pPr>
    </w:p>
    <w:p w14:paraId="32CA9ED8" w14:textId="77777777"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nad kojima je pokrenut postupak stečaja u skladu sa zakonom kojim se uređuje stečaj;</w:t>
      </w:r>
    </w:p>
    <w:p w14:paraId="223CA641" w14:textId="77777777"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koji imaju neizmirene obaveze po osnovu plaćanja svih poreza i doprinosa u skladu sa propisima država u kojima imaju sjedišta</w:t>
      </w:r>
      <w:r w:rsidRPr="00E56DC2">
        <w:rPr>
          <w:rFonts w:ascii="Arial" w:eastAsia="Calibri" w:hAnsi="Arial" w:cs="Arial"/>
          <w:kern w:val="0"/>
          <w:lang w:val="sr-Latn-ME"/>
        </w:rPr>
        <w:t>;</w:t>
      </w:r>
    </w:p>
    <w:p w14:paraId="49660450" w14:textId="77777777"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sa kojima je zbog neispunjavanja obaveza raskinut ugovor o koncesiji zaključen u skladu sa ovim zakonom;</w:t>
      </w:r>
    </w:p>
    <w:p w14:paraId="69C040A2" w14:textId="77777777"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koji imaju obaveze po osnovu kazni izrečenih u krivičnom i prekršajnom postupku;</w:t>
      </w:r>
    </w:p>
    <w:p w14:paraId="0F7C8350" w14:textId="77777777"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čiji podaci o poslovanju, svojini, finansijskim i fiskalnim evidencijama iz države u kojoj imaju sjedište, odnosno prebivalište, nijesu dostupni nadležnim organima Crne Gore;</w:t>
      </w:r>
    </w:p>
    <w:p w14:paraId="36C63C3A" w14:textId="7D518B55" w:rsidR="0052524F" w:rsidRPr="00D671DB" w:rsidRDefault="0052524F" w:rsidP="003D5374">
      <w:pPr>
        <w:pStyle w:val="ListParagraph"/>
        <w:numPr>
          <w:ilvl w:val="0"/>
          <w:numId w:val="26"/>
        </w:numPr>
        <w:spacing w:after="0" w:line="240" w:lineRule="auto"/>
        <w:jc w:val="both"/>
        <w:rPr>
          <w:rFonts w:ascii="Arial" w:hAnsi="Arial" w:cs="Arial"/>
          <w:noProof/>
          <w:lang w:val="pt-BR"/>
        </w:rPr>
      </w:pPr>
      <w:r w:rsidRPr="00D671DB">
        <w:rPr>
          <w:rFonts w:ascii="Arial" w:eastAsia="Calibri" w:hAnsi="Arial" w:cs="Arial"/>
          <w:kern w:val="0"/>
          <w:lang w:val="pt-BR"/>
        </w:rPr>
        <w:t>čije je odgovorno lice odnosno njegov zakonski zastupnik pravosnažno osuđivan za krivično djelo iz tačke 2 ovog stava.</w:t>
      </w:r>
    </w:p>
    <w:p w14:paraId="3C5B2E98" w14:textId="77777777" w:rsidR="003D5374" w:rsidRPr="00D671DB" w:rsidRDefault="003D5374" w:rsidP="003D5374">
      <w:pPr>
        <w:pStyle w:val="ListParagraph"/>
        <w:spacing w:after="0" w:line="240" w:lineRule="auto"/>
        <w:jc w:val="both"/>
        <w:rPr>
          <w:rFonts w:ascii="Arial" w:hAnsi="Arial" w:cs="Arial"/>
          <w:noProof/>
          <w:lang w:val="pt-BR"/>
        </w:rPr>
      </w:pPr>
    </w:p>
    <w:p w14:paraId="6E013E55" w14:textId="6F05C5B2" w:rsidR="0052524F" w:rsidRPr="00D671DB" w:rsidRDefault="0052524F" w:rsidP="003D5374">
      <w:pPr>
        <w:suppressAutoHyphens w:val="0"/>
        <w:autoSpaceDE w:val="0"/>
        <w:autoSpaceDN w:val="0"/>
        <w:adjustRightInd w:val="0"/>
        <w:spacing w:after="0" w:line="240" w:lineRule="auto"/>
        <w:jc w:val="both"/>
        <w:rPr>
          <w:rFonts w:ascii="Arial" w:eastAsia="Calibri" w:hAnsi="Arial" w:cs="Arial"/>
          <w:kern w:val="0"/>
          <w:lang w:val="pt-BR"/>
        </w:rPr>
      </w:pPr>
      <w:r w:rsidRPr="00D671DB">
        <w:rPr>
          <w:rFonts w:ascii="Arial" w:eastAsia="Calibri" w:hAnsi="Arial" w:cs="Arial"/>
          <w:kern w:val="0"/>
          <w:lang w:val="pt-BR"/>
        </w:rPr>
        <w:t xml:space="preserve">Izuzetno </w:t>
      </w:r>
      <w:r w:rsidR="00F06D7A" w:rsidRPr="00D671DB">
        <w:rPr>
          <w:rFonts w:ascii="Arial" w:eastAsia="Calibri" w:hAnsi="Arial" w:cs="Arial"/>
          <w:kern w:val="0"/>
          <w:lang w:val="pt-BR"/>
        </w:rPr>
        <w:t xml:space="preserve">od </w:t>
      </w:r>
      <w:r w:rsidRPr="00D671DB">
        <w:rPr>
          <w:rFonts w:ascii="Arial" w:eastAsia="Calibri" w:hAnsi="Arial" w:cs="Arial"/>
          <w:kern w:val="0"/>
          <w:lang w:val="pt-BR"/>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40C124BC" w14:textId="11175AA8" w:rsidR="0052524F" w:rsidRPr="00D671DB" w:rsidRDefault="0052524F" w:rsidP="003D5374">
      <w:pPr>
        <w:spacing w:after="0" w:line="240" w:lineRule="auto"/>
        <w:jc w:val="both"/>
        <w:rPr>
          <w:rFonts w:ascii="Arial" w:hAnsi="Arial" w:cs="Arial"/>
          <w:noProof/>
          <w:lang w:val="pt-BR"/>
        </w:rPr>
      </w:pPr>
      <w:r w:rsidRPr="00D671DB">
        <w:rPr>
          <w:rFonts w:ascii="Arial" w:hAnsi="Arial" w:cs="Arial"/>
          <w:noProof/>
          <w:lang w:val="pt-BR"/>
        </w:rPr>
        <w:t>S tim u vezi, u cilju dokazivanja da je ponuđač podoban da učestvuje u postupku javnog nadmetanja, neophodno je dostaviti sljedeću dokumentaciju:</w:t>
      </w:r>
    </w:p>
    <w:p w14:paraId="47FDA5EA" w14:textId="77777777" w:rsidR="003D5374" w:rsidRPr="00D671DB" w:rsidRDefault="003D5374" w:rsidP="003D5374">
      <w:pPr>
        <w:spacing w:after="0" w:line="240" w:lineRule="auto"/>
        <w:jc w:val="both"/>
        <w:rPr>
          <w:rFonts w:ascii="Arial" w:hAnsi="Arial" w:cs="Arial"/>
          <w:noProof/>
          <w:lang w:val="pt-BR"/>
        </w:rPr>
      </w:pPr>
    </w:p>
    <w:p w14:paraId="4CAB22D4" w14:textId="77777777" w:rsidR="0052524F" w:rsidRPr="00D671DB" w:rsidRDefault="0052524F" w:rsidP="003D5374">
      <w:pPr>
        <w:pStyle w:val="ListParagraph"/>
        <w:numPr>
          <w:ilvl w:val="0"/>
          <w:numId w:val="27"/>
        </w:numPr>
        <w:spacing w:after="0" w:line="240" w:lineRule="auto"/>
        <w:jc w:val="both"/>
        <w:rPr>
          <w:rFonts w:ascii="Arial" w:hAnsi="Arial" w:cs="Arial"/>
          <w:noProof/>
          <w:lang w:val="pt-BR"/>
        </w:rPr>
      </w:pPr>
      <w:r w:rsidRPr="00D671DB">
        <w:rPr>
          <w:rFonts w:ascii="Arial" w:eastAsia="Times New Roman" w:hAnsi="Arial" w:cs="Arial"/>
          <w:noProof/>
          <w:lang w:val="pt-BR"/>
        </w:rPr>
        <w:t xml:space="preserve">Izvod iz sudskog, ili drugog odgovarajućeg registra države u kojoj ponuđač ima sjedište- </w:t>
      </w:r>
      <w:r w:rsidRPr="00D671DB">
        <w:rPr>
          <w:rFonts w:ascii="Arial" w:eastAsia="Times New Roman" w:hAnsi="Arial" w:cs="Arial"/>
          <w:noProof/>
          <w:u w:val="single"/>
          <w:lang w:val="pt-BR"/>
        </w:rPr>
        <w:t>dokaz izdaje CRPS</w:t>
      </w:r>
      <w:r w:rsidRPr="00D671DB">
        <w:rPr>
          <w:rFonts w:ascii="Arial" w:eastAsia="Times New Roman" w:hAnsi="Arial" w:cs="Arial"/>
          <w:noProof/>
          <w:lang w:val="pt-BR"/>
        </w:rPr>
        <w:t>;</w:t>
      </w:r>
    </w:p>
    <w:p w14:paraId="5C63F362" w14:textId="77777777" w:rsidR="0052524F" w:rsidRPr="00D671DB"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u w:val="single"/>
          <w:lang w:val="pt-BR"/>
        </w:rPr>
      </w:pPr>
      <w:r w:rsidRPr="00D671DB">
        <w:rPr>
          <w:rFonts w:ascii="Arial" w:eastAsia="Times New Roman" w:hAnsi="Arial" w:cs="Arial"/>
          <w:noProof/>
          <w:lang w:val="pt-BR"/>
        </w:rPr>
        <w:t xml:space="preserve">dokaz da protiv ponuđača nije pokrenut postupak stečaja - </w:t>
      </w:r>
      <w:r w:rsidRPr="00D671DB">
        <w:rPr>
          <w:rFonts w:ascii="Arial" w:eastAsia="Times New Roman" w:hAnsi="Arial" w:cs="Arial"/>
          <w:noProof/>
          <w:u w:val="single"/>
          <w:lang w:val="pt-BR"/>
        </w:rPr>
        <w:t>dokaz/potvrdu izdaje Privredni sud;</w:t>
      </w:r>
    </w:p>
    <w:p w14:paraId="017CE4AD" w14:textId="63723E98" w:rsidR="0052524F" w:rsidRPr="00D671DB"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lang w:val="pt-BR"/>
        </w:rPr>
      </w:pPr>
      <w:r w:rsidRPr="00D671DB">
        <w:rPr>
          <w:rFonts w:ascii="Arial" w:eastAsia="Times New Roman" w:hAnsi="Arial" w:cs="Arial"/>
          <w:noProof/>
          <w:lang w:val="pt-BR"/>
        </w:rPr>
        <w:t>dokaz da ponuđač</w:t>
      </w:r>
      <w:r w:rsidR="00431253" w:rsidRPr="00D671DB">
        <w:rPr>
          <w:rFonts w:ascii="Arial" w:eastAsia="Times New Roman" w:hAnsi="Arial" w:cs="Arial"/>
          <w:noProof/>
          <w:lang w:val="pt-BR"/>
        </w:rPr>
        <w:t xml:space="preserve">, kao </w:t>
      </w:r>
      <w:r w:rsidR="006C1A88" w:rsidRPr="00D671DB">
        <w:rPr>
          <w:rFonts w:ascii="Arial" w:eastAsia="Times New Roman" w:hAnsi="Arial" w:cs="Arial"/>
          <w:noProof/>
          <w:lang w:val="pt-BR"/>
        </w:rPr>
        <w:t>i</w:t>
      </w:r>
      <w:r w:rsidR="00431253" w:rsidRPr="00D671DB">
        <w:rPr>
          <w:rFonts w:ascii="Arial" w:eastAsia="Times New Roman" w:hAnsi="Arial" w:cs="Arial"/>
          <w:noProof/>
          <w:lang w:val="pt-BR"/>
        </w:rPr>
        <w:t xml:space="preserve"> odgovorno lice ponuđača, odnosno izvršni direktor I ovlašćeni za</w:t>
      </w:r>
      <w:r w:rsidR="006A46BC" w:rsidRPr="00D671DB">
        <w:rPr>
          <w:rFonts w:ascii="Arial" w:eastAsia="Times New Roman" w:hAnsi="Arial" w:cs="Arial"/>
          <w:noProof/>
          <w:lang w:val="pt-BR"/>
        </w:rPr>
        <w:t>st</w:t>
      </w:r>
      <w:r w:rsidR="00431253" w:rsidRPr="00D671DB">
        <w:rPr>
          <w:rFonts w:ascii="Arial" w:eastAsia="Times New Roman" w:hAnsi="Arial" w:cs="Arial"/>
          <w:noProof/>
          <w:lang w:val="pt-BR"/>
        </w:rPr>
        <w:t>u</w:t>
      </w:r>
      <w:r w:rsidR="006A46BC" w:rsidRPr="00D671DB">
        <w:rPr>
          <w:rFonts w:ascii="Arial" w:eastAsia="Times New Roman" w:hAnsi="Arial" w:cs="Arial"/>
          <w:noProof/>
          <w:lang w:val="pt-BR"/>
        </w:rPr>
        <w:t>p</w:t>
      </w:r>
      <w:r w:rsidR="00431253" w:rsidRPr="00D671DB">
        <w:rPr>
          <w:rFonts w:ascii="Arial" w:eastAsia="Times New Roman" w:hAnsi="Arial" w:cs="Arial"/>
          <w:noProof/>
          <w:lang w:val="pt-BR"/>
        </w:rPr>
        <w:t>nik</w:t>
      </w:r>
      <w:r w:rsidR="000A73E9" w:rsidRPr="00D671DB">
        <w:rPr>
          <w:rFonts w:ascii="Arial" w:eastAsia="Times New Roman" w:hAnsi="Arial" w:cs="Arial"/>
          <w:noProof/>
          <w:lang w:val="pt-BR"/>
        </w:rPr>
        <w:t xml:space="preserve"> ni</w:t>
      </w:r>
      <w:r w:rsidR="0092216B" w:rsidRPr="00D671DB">
        <w:rPr>
          <w:rFonts w:ascii="Arial" w:eastAsia="Times New Roman" w:hAnsi="Arial" w:cs="Arial"/>
          <w:noProof/>
          <w:lang w:val="pt-BR"/>
        </w:rPr>
        <w:t>su</w:t>
      </w:r>
      <w:r w:rsidRPr="00D671DB">
        <w:rPr>
          <w:rFonts w:ascii="Arial" w:eastAsia="Times New Roman" w:hAnsi="Arial" w:cs="Arial"/>
          <w:noProof/>
          <w:lang w:val="pt-BR"/>
        </w:rPr>
        <w:t xml:space="preserve"> pravosnažno osuđ</w:t>
      </w:r>
      <w:r w:rsidR="00863CE9" w:rsidRPr="00D671DB">
        <w:rPr>
          <w:rFonts w:ascii="Arial" w:eastAsia="Times New Roman" w:hAnsi="Arial" w:cs="Arial"/>
          <w:noProof/>
          <w:lang w:val="pt-BR"/>
        </w:rPr>
        <w:t>ivan</w:t>
      </w:r>
      <w:r w:rsidR="0092216B" w:rsidRPr="00D671DB">
        <w:rPr>
          <w:rFonts w:ascii="Arial" w:eastAsia="Times New Roman" w:hAnsi="Arial" w:cs="Arial"/>
          <w:noProof/>
          <w:lang w:val="pt-BR"/>
        </w:rPr>
        <w:t>i</w:t>
      </w:r>
      <w:r w:rsidRPr="00D671DB">
        <w:rPr>
          <w:rFonts w:ascii="Arial" w:eastAsia="Times New Roman" w:hAnsi="Arial" w:cs="Arial"/>
          <w:noProof/>
          <w:lang w:val="pt-BR"/>
        </w:rPr>
        <w:t xml:space="preserve"> za krivično djelo </w:t>
      </w:r>
      <w:r w:rsidRPr="00D671DB">
        <w:rPr>
          <w:rFonts w:ascii="Arial" w:eastAsia="Calibri" w:hAnsi="Arial" w:cs="Arial"/>
          <w:kern w:val="0"/>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D671DB">
        <w:rPr>
          <w:rFonts w:ascii="Arial" w:eastAsia="Times New Roman" w:hAnsi="Arial" w:cs="Arial"/>
          <w:noProof/>
          <w:lang w:val="pt-BR"/>
        </w:rPr>
        <w:t xml:space="preserve">– </w:t>
      </w:r>
      <w:r w:rsidRPr="00D671DB">
        <w:rPr>
          <w:rFonts w:ascii="Arial" w:eastAsia="Times New Roman" w:hAnsi="Arial" w:cs="Arial"/>
          <w:noProof/>
          <w:u w:val="single"/>
          <w:lang w:val="pt-BR"/>
        </w:rPr>
        <w:t>dokaz/potvrdu izdaje Ministarstvo pravde, ljudskih i manjinskih prava</w:t>
      </w:r>
      <w:r w:rsidRPr="00D671DB">
        <w:rPr>
          <w:rFonts w:ascii="Arial" w:eastAsia="Times New Roman" w:hAnsi="Arial" w:cs="Arial"/>
          <w:noProof/>
          <w:lang w:val="pt-BR"/>
        </w:rPr>
        <w:t xml:space="preserve">, a za fizička lica </w:t>
      </w:r>
      <w:r w:rsidRPr="00D671DB">
        <w:rPr>
          <w:rFonts w:ascii="Arial" w:eastAsia="Times New Roman" w:hAnsi="Arial" w:cs="Arial"/>
          <w:noProof/>
          <w:u w:val="single"/>
          <w:lang w:val="pt-BR"/>
        </w:rPr>
        <w:t>dokaz/potvrdu izdaje</w:t>
      </w:r>
      <w:r w:rsidRPr="00D671DB">
        <w:rPr>
          <w:rFonts w:ascii="Arial" w:eastAsia="Times New Roman" w:hAnsi="Arial" w:cs="Arial"/>
          <w:noProof/>
          <w:lang w:val="pt-BR"/>
        </w:rPr>
        <w:t xml:space="preserve"> </w:t>
      </w:r>
      <w:r w:rsidRPr="00D671DB">
        <w:rPr>
          <w:rFonts w:ascii="Arial" w:eastAsia="Times New Roman" w:hAnsi="Arial" w:cs="Arial"/>
          <w:noProof/>
          <w:u w:val="single"/>
          <w:lang w:val="pt-BR"/>
        </w:rPr>
        <w:t>nadležni Osnovni sud</w:t>
      </w:r>
      <w:r w:rsidRPr="00D671DB">
        <w:rPr>
          <w:rFonts w:ascii="Arial" w:eastAsia="Times New Roman" w:hAnsi="Arial" w:cs="Arial"/>
          <w:noProof/>
          <w:lang w:val="pt-BR"/>
        </w:rPr>
        <w:t>;</w:t>
      </w:r>
    </w:p>
    <w:p w14:paraId="2F5D6DCE" w14:textId="6CC75705" w:rsidR="0052524F" w:rsidRPr="00D671DB"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u w:val="single"/>
          <w:lang w:val="pt-BR"/>
        </w:rPr>
      </w:pPr>
      <w:r w:rsidRPr="00D671DB">
        <w:rPr>
          <w:rFonts w:ascii="Arial" w:eastAsia="Times New Roman" w:hAnsi="Arial" w:cs="Arial"/>
          <w:noProof/>
          <w:lang w:val="pt-BR"/>
        </w:rPr>
        <w:t xml:space="preserve">dokaz da je ponuđač izmirio obaveze po osnovu svih </w:t>
      </w:r>
      <w:r w:rsidRPr="00D671DB">
        <w:rPr>
          <w:rFonts w:ascii="Arial" w:eastAsia="Calibri" w:hAnsi="Arial" w:cs="Arial"/>
          <w:kern w:val="0"/>
          <w:lang w:val="pt-BR"/>
        </w:rPr>
        <w:t>poreza i doprinosa u skladu sa propisima država u kojima imaju sjedišta</w:t>
      </w:r>
      <w:r w:rsidRPr="00D671DB">
        <w:rPr>
          <w:rFonts w:ascii="Arial" w:eastAsia="Times New Roman" w:hAnsi="Arial" w:cs="Arial"/>
          <w:noProof/>
          <w:lang w:val="pt-BR"/>
        </w:rPr>
        <w:t xml:space="preserve">– </w:t>
      </w:r>
      <w:r w:rsidRPr="00D671DB">
        <w:rPr>
          <w:rFonts w:ascii="Arial" w:eastAsia="Times New Roman" w:hAnsi="Arial" w:cs="Arial"/>
          <w:noProof/>
          <w:u w:val="single"/>
          <w:lang w:val="pt-BR"/>
        </w:rPr>
        <w:t>dokaz/e izdaje/u poreski organ/i uprave na državnom i lokalnom nivou;</w:t>
      </w:r>
    </w:p>
    <w:p w14:paraId="2E4A5114" w14:textId="77777777" w:rsidR="0052524F" w:rsidRPr="00D671DB"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u w:val="single"/>
          <w:lang w:val="pt-BR"/>
        </w:rPr>
      </w:pPr>
      <w:r w:rsidRPr="00D671DB">
        <w:rPr>
          <w:rFonts w:ascii="Arial" w:eastAsia="Times New Roman" w:hAnsi="Arial" w:cs="Arial"/>
          <w:noProof/>
          <w:lang w:val="pt-BR"/>
        </w:rPr>
        <w:lastRenderedPageBreak/>
        <w:t xml:space="preserve">dokaz da ponuđač nema raskinut ugovor o koncesiji zbog neispunjenja obaveza – </w:t>
      </w:r>
      <w:r w:rsidRPr="00D671DB">
        <w:rPr>
          <w:rFonts w:ascii="Arial" w:eastAsia="Times New Roman" w:hAnsi="Arial" w:cs="Arial"/>
          <w:noProof/>
          <w:u w:val="single"/>
          <w:lang w:val="pt-BR"/>
        </w:rPr>
        <w:t>dokaz izdaje Komisija za koncesije;</w:t>
      </w:r>
    </w:p>
    <w:p w14:paraId="7415380E" w14:textId="68D2D567" w:rsidR="0052524F" w:rsidRPr="00D671DB"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lang w:val="pt-BR"/>
        </w:rPr>
      </w:pPr>
      <w:r w:rsidRPr="00D671DB">
        <w:rPr>
          <w:rFonts w:ascii="Arial" w:eastAsia="Times New Roman" w:hAnsi="Arial" w:cs="Arial"/>
          <w:noProof/>
          <w:lang w:val="pt-BR"/>
        </w:rPr>
        <w:t xml:space="preserve">dokaz da ponuđač nema neizmirenih obaveza po osnovu kazni izrečenih u krivičnom ili prekršajnom postupku - </w:t>
      </w:r>
      <w:r w:rsidRPr="00D671DB">
        <w:rPr>
          <w:rFonts w:ascii="Arial" w:eastAsia="Times New Roman" w:hAnsi="Arial" w:cs="Arial"/>
          <w:noProof/>
          <w:u w:val="single"/>
          <w:lang w:val="pt-BR"/>
        </w:rPr>
        <w:t xml:space="preserve">dokaz/potvrdu izdaje Ministarstvo pravde,ljudskih </w:t>
      </w:r>
      <w:r w:rsidR="00C015C1" w:rsidRPr="00D671DB">
        <w:rPr>
          <w:rFonts w:ascii="Arial" w:eastAsia="Times New Roman" w:hAnsi="Arial" w:cs="Arial"/>
          <w:noProof/>
          <w:u w:val="single"/>
          <w:lang w:val="pt-BR"/>
        </w:rPr>
        <w:t>i</w:t>
      </w:r>
      <w:r w:rsidRPr="00D671DB">
        <w:rPr>
          <w:rFonts w:ascii="Arial" w:eastAsia="Times New Roman" w:hAnsi="Arial" w:cs="Arial"/>
          <w:noProof/>
          <w:u w:val="single"/>
          <w:lang w:val="pt-BR"/>
        </w:rPr>
        <w:t xml:space="preserve"> manjinskih prava .</w:t>
      </w:r>
    </w:p>
    <w:p w14:paraId="7B51B09F" w14:textId="77777777" w:rsidR="003D5374" w:rsidRPr="00D671DB" w:rsidRDefault="003D5374" w:rsidP="003D5374">
      <w:pPr>
        <w:pStyle w:val="ListParagraph"/>
        <w:numPr>
          <w:ilvl w:val="0"/>
          <w:numId w:val="6"/>
        </w:numPr>
        <w:suppressAutoHyphens w:val="0"/>
        <w:spacing w:after="0" w:line="240" w:lineRule="auto"/>
        <w:contextualSpacing w:val="0"/>
        <w:jc w:val="both"/>
        <w:rPr>
          <w:rFonts w:ascii="Arial" w:eastAsia="Times New Roman" w:hAnsi="Arial" w:cs="Arial"/>
          <w:noProof/>
          <w:lang w:val="pt-BR"/>
        </w:rPr>
      </w:pPr>
    </w:p>
    <w:p w14:paraId="6D1453BA" w14:textId="1088A000" w:rsidR="0052524F" w:rsidRPr="00D671DB" w:rsidRDefault="0052524F" w:rsidP="003D5374">
      <w:pPr>
        <w:spacing w:after="0" w:line="240" w:lineRule="auto"/>
        <w:jc w:val="both"/>
        <w:rPr>
          <w:rFonts w:ascii="Arial" w:hAnsi="Arial" w:cs="Arial"/>
          <w:noProof/>
          <w:lang w:val="pt-BR"/>
        </w:rPr>
      </w:pPr>
      <w:r w:rsidRPr="00D671DB">
        <w:rPr>
          <w:rFonts w:ascii="Arial" w:hAnsi="Arial" w:cs="Arial"/>
          <w:noProof/>
          <w:lang w:val="pt-BR"/>
        </w:rPr>
        <w:t xml:space="preserve">Navedeni dokazi ne smiju biti stariji od 60 (šezdeset) dana od dana </w:t>
      </w:r>
      <w:r w:rsidR="00764F7D" w:rsidRPr="00D671DB">
        <w:rPr>
          <w:rFonts w:ascii="Arial" w:hAnsi="Arial" w:cs="Arial"/>
          <w:noProof/>
          <w:lang w:val="pt-BR"/>
        </w:rPr>
        <w:t>otvaranja</w:t>
      </w:r>
      <w:r w:rsidR="00A57F6E" w:rsidRPr="00D671DB">
        <w:rPr>
          <w:rFonts w:ascii="Arial" w:hAnsi="Arial" w:cs="Arial"/>
          <w:noProof/>
          <w:lang w:val="pt-BR"/>
        </w:rPr>
        <w:t xml:space="preserve"> dostavljenih </w:t>
      </w:r>
      <w:r w:rsidR="00764F7D" w:rsidRPr="00D671DB">
        <w:rPr>
          <w:rFonts w:ascii="Arial" w:hAnsi="Arial" w:cs="Arial"/>
          <w:noProof/>
          <w:lang w:val="pt-BR"/>
        </w:rPr>
        <w:t xml:space="preserve"> ponuda</w:t>
      </w:r>
      <w:r w:rsidRPr="00D671DB">
        <w:rPr>
          <w:rFonts w:ascii="Arial" w:hAnsi="Arial" w:cs="Arial"/>
          <w:noProof/>
          <w:lang w:val="pt-BR"/>
        </w:rPr>
        <w:t>.</w:t>
      </w:r>
    </w:p>
    <w:p w14:paraId="646EC8D6" w14:textId="77777777" w:rsidR="003D5374" w:rsidRPr="00D671DB" w:rsidRDefault="003D5374" w:rsidP="003D5374">
      <w:pPr>
        <w:spacing w:after="0" w:line="240" w:lineRule="auto"/>
        <w:jc w:val="both"/>
        <w:rPr>
          <w:rFonts w:ascii="Arial" w:hAnsi="Arial" w:cs="Arial"/>
          <w:noProof/>
          <w:lang w:val="pt-BR"/>
        </w:rPr>
      </w:pPr>
    </w:p>
    <w:p w14:paraId="3FDCF8B0" w14:textId="07F1CCA9" w:rsidR="0052524F" w:rsidRDefault="0052524F" w:rsidP="003D5374">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2451D79" w14:textId="77777777" w:rsidR="003D5374" w:rsidRPr="00E56DC2" w:rsidRDefault="003D5374" w:rsidP="003D5374">
      <w:pPr>
        <w:spacing w:after="0" w:line="240" w:lineRule="auto"/>
        <w:jc w:val="both"/>
        <w:rPr>
          <w:rFonts w:ascii="Arial" w:hAnsi="Arial" w:cs="Arial"/>
          <w:lang w:val="sr-Latn-CS"/>
        </w:rPr>
      </w:pPr>
    </w:p>
    <w:p w14:paraId="1B3D43FE" w14:textId="091B935C" w:rsidR="0052524F" w:rsidRDefault="0052524F" w:rsidP="003D5374">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01F0ED31" w14:textId="77777777" w:rsidR="003D5374" w:rsidRPr="00E56DC2" w:rsidRDefault="003D5374" w:rsidP="003D5374">
      <w:pPr>
        <w:pStyle w:val="Default"/>
        <w:jc w:val="both"/>
        <w:rPr>
          <w:rFonts w:ascii="Arial" w:hAnsi="Arial" w:cs="Arial"/>
          <w:color w:val="auto"/>
          <w:sz w:val="22"/>
          <w:szCs w:val="22"/>
          <w:lang w:val="sr-Latn-CS"/>
        </w:rPr>
      </w:pPr>
    </w:p>
    <w:p w14:paraId="186628C3"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2FF0B774" w14:textId="77777777" w:rsidR="0052524F" w:rsidRPr="00E56DC2" w:rsidRDefault="0052524F"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3D5374">
      <w:pPr>
        <w:pStyle w:val="Default"/>
        <w:jc w:val="both"/>
        <w:rPr>
          <w:rFonts w:ascii="Arial" w:hAnsi="Arial" w:cs="Arial"/>
          <w:color w:val="auto"/>
          <w:sz w:val="22"/>
          <w:szCs w:val="22"/>
          <w:lang w:val="sr-Latn-CS"/>
        </w:rPr>
      </w:pPr>
    </w:p>
    <w:p w14:paraId="517001E1" w14:textId="77777777" w:rsidR="0052524F" w:rsidRPr="00E56DC2" w:rsidRDefault="0052524F" w:rsidP="003D5374">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3D5374">
      <w:pPr>
        <w:spacing w:after="0" w:line="240" w:lineRule="auto"/>
        <w:jc w:val="both"/>
        <w:rPr>
          <w:rFonts w:ascii="Arial" w:hAnsi="Arial" w:cs="Arial"/>
          <w:noProof/>
        </w:rPr>
      </w:pPr>
    </w:p>
    <w:p w14:paraId="456F735E" w14:textId="77777777" w:rsidR="0052524F" w:rsidRPr="00D671DB" w:rsidRDefault="0052524F" w:rsidP="003D5374">
      <w:pPr>
        <w:pStyle w:val="Default"/>
        <w:widowControl w:val="0"/>
        <w:numPr>
          <w:ilvl w:val="0"/>
          <w:numId w:val="14"/>
        </w:numPr>
        <w:jc w:val="both"/>
        <w:rPr>
          <w:rFonts w:ascii="Arial" w:eastAsia="Times New Roman" w:hAnsi="Arial" w:cs="Arial"/>
          <w:noProof/>
          <w:color w:val="auto"/>
          <w:sz w:val="22"/>
          <w:szCs w:val="22"/>
          <w:lang w:val="pt-BR"/>
        </w:rPr>
      </w:pPr>
      <w:r w:rsidRPr="00D671DB">
        <w:rPr>
          <w:rFonts w:ascii="Arial" w:eastAsia="Times New Roman" w:hAnsi="Arial" w:cs="Arial"/>
          <w:noProof/>
          <w:color w:val="auto"/>
          <w:sz w:val="22"/>
          <w:szCs w:val="22"/>
          <w:lang w:val="pt-BR"/>
        </w:rPr>
        <w:t>Bankarsku garanciju ponude u skladu sa Uputstvom za podnošenje ponuda i</w:t>
      </w:r>
    </w:p>
    <w:p w14:paraId="5FA9C153" w14:textId="77777777" w:rsidR="0052524F" w:rsidRPr="00D671DB" w:rsidRDefault="0052524F" w:rsidP="003D5374">
      <w:pPr>
        <w:pStyle w:val="Default"/>
        <w:widowControl w:val="0"/>
        <w:numPr>
          <w:ilvl w:val="0"/>
          <w:numId w:val="14"/>
        </w:numPr>
        <w:jc w:val="both"/>
        <w:rPr>
          <w:rFonts w:ascii="Arial" w:eastAsia="Times New Roman" w:hAnsi="Arial" w:cs="Arial"/>
          <w:noProof/>
          <w:color w:val="auto"/>
          <w:sz w:val="22"/>
          <w:szCs w:val="22"/>
          <w:lang w:val="pt-BR"/>
        </w:rPr>
      </w:pPr>
      <w:r w:rsidRPr="00D671DB">
        <w:rPr>
          <w:rFonts w:ascii="Arial" w:eastAsia="Times New Roman" w:hAnsi="Arial" w:cs="Arial"/>
          <w:noProof/>
          <w:color w:val="auto"/>
          <w:sz w:val="22"/>
          <w:szCs w:val="22"/>
          <w:lang w:val="pt-BR"/>
        </w:rPr>
        <w:t>Popunjeni Obrazac iz Uputstva za podnošenje ponuda.</w:t>
      </w:r>
    </w:p>
    <w:p w14:paraId="0E6A87BD" w14:textId="77777777" w:rsidR="0052524F" w:rsidRPr="00E56DC2" w:rsidRDefault="0052524F" w:rsidP="003D5374">
      <w:pPr>
        <w:pStyle w:val="Default"/>
        <w:jc w:val="both"/>
        <w:rPr>
          <w:rFonts w:ascii="Arial" w:hAnsi="Arial" w:cs="Arial"/>
          <w:color w:val="auto"/>
          <w:sz w:val="22"/>
          <w:szCs w:val="22"/>
          <w:lang w:val="sr-Latn-CS"/>
        </w:rPr>
      </w:pPr>
    </w:p>
    <w:p w14:paraId="27E6176F" w14:textId="77777777" w:rsidR="0052524F" w:rsidRPr="00E56DC2" w:rsidRDefault="0052524F" w:rsidP="003D5374">
      <w:pPr>
        <w:pStyle w:val="Heading2"/>
      </w:pPr>
      <w:r w:rsidRPr="00E56DC2">
        <w:t>12.2 Javni oglas</w:t>
      </w:r>
    </w:p>
    <w:p w14:paraId="411DB286" w14:textId="77777777" w:rsidR="0052524F" w:rsidRPr="00E56DC2" w:rsidRDefault="0052524F" w:rsidP="003D5374">
      <w:pPr>
        <w:spacing w:after="0" w:line="240" w:lineRule="auto"/>
        <w:rPr>
          <w:rFonts w:ascii="Arial" w:hAnsi="Arial" w:cs="Arial"/>
          <w:lang w:val="sr-Latn-CS" w:eastAsia="x-none"/>
        </w:rPr>
      </w:pPr>
    </w:p>
    <w:p w14:paraId="2B56972C" w14:textId="2D093DC5" w:rsidR="0052524F" w:rsidRDefault="0052524F"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56936B1B" w14:textId="77777777" w:rsidR="003D5374" w:rsidRPr="00E56DC2" w:rsidRDefault="003D5374" w:rsidP="003D5374">
      <w:pPr>
        <w:spacing w:after="0" w:line="240" w:lineRule="auto"/>
        <w:jc w:val="both"/>
        <w:rPr>
          <w:rFonts w:ascii="Arial" w:eastAsia="Times New Roman" w:hAnsi="Arial" w:cs="Arial"/>
          <w:lang w:val="sr-Latn-CS"/>
        </w:rPr>
      </w:pPr>
    </w:p>
    <w:p w14:paraId="33F23A51" w14:textId="7080E204" w:rsidR="0052524F" w:rsidRDefault="0052524F"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1B6BB349" w14:textId="77777777" w:rsidR="003D5374" w:rsidRPr="00E56DC2" w:rsidRDefault="003D5374" w:rsidP="003D5374">
      <w:pPr>
        <w:spacing w:after="0" w:line="240" w:lineRule="auto"/>
        <w:jc w:val="both"/>
        <w:rPr>
          <w:rFonts w:ascii="Arial" w:eastAsia="Times New Roman" w:hAnsi="Arial" w:cs="Arial"/>
          <w:lang w:val="sr-Latn-CS"/>
        </w:rPr>
      </w:pPr>
    </w:p>
    <w:p w14:paraId="6EB40C44"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lastRenderedPageBreak/>
        <w:t>ime lica zaduženog za davanje relevantnih informacija u postupku Javnog oglasa;</w:t>
      </w:r>
    </w:p>
    <w:p w14:paraId="2A886CFA" w14:textId="77777777" w:rsidR="0052524F" w:rsidRPr="00E56DC2" w:rsidRDefault="0052524F" w:rsidP="003D5374">
      <w:pPr>
        <w:numPr>
          <w:ilvl w:val="0"/>
          <w:numId w:val="16"/>
        </w:numPr>
        <w:suppressAutoHyphens w:val="0"/>
        <w:spacing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3D5374">
      <w:pPr>
        <w:suppressAutoHyphens w:val="0"/>
        <w:spacing w:after="0" w:line="240" w:lineRule="auto"/>
        <w:ind w:left="720"/>
        <w:jc w:val="both"/>
        <w:rPr>
          <w:rFonts w:ascii="Arial" w:hAnsi="Arial" w:cs="Arial"/>
          <w:lang w:val="sr-Latn-CS"/>
        </w:rPr>
      </w:pPr>
    </w:p>
    <w:p w14:paraId="23517626" w14:textId="77777777" w:rsidR="0052524F" w:rsidRPr="00E56DC2" w:rsidRDefault="0052524F"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5" w:name="_Toc390549930"/>
    </w:p>
    <w:p w14:paraId="072E5664" w14:textId="77777777" w:rsidR="0052524F" w:rsidRPr="00E56DC2" w:rsidRDefault="0052524F" w:rsidP="003D5374">
      <w:pPr>
        <w:spacing w:after="0" w:line="240" w:lineRule="auto"/>
        <w:jc w:val="both"/>
        <w:rPr>
          <w:rFonts w:ascii="Arial" w:eastAsia="Times New Roman" w:hAnsi="Arial" w:cs="Arial"/>
          <w:lang w:val="sr-Latn-CS"/>
        </w:rPr>
      </w:pPr>
    </w:p>
    <w:p w14:paraId="17B4F1DA" w14:textId="77777777" w:rsidR="0052524F" w:rsidRPr="00E56DC2" w:rsidRDefault="0052524F" w:rsidP="003D5374">
      <w:pPr>
        <w:pStyle w:val="Heading2"/>
      </w:pPr>
      <w:bookmarkStart w:id="86" w:name="_Toc401959460"/>
      <w:bookmarkStart w:id="87" w:name="_Toc401959553"/>
      <w:bookmarkStart w:id="88" w:name="_Toc435529041"/>
      <w:bookmarkStart w:id="89" w:name="_Toc436124918"/>
      <w:r w:rsidRPr="00E56DC2">
        <w:t>12.3 Ugovor o koncesiji</w:t>
      </w:r>
      <w:bookmarkEnd w:id="85"/>
      <w:bookmarkEnd w:id="86"/>
      <w:bookmarkEnd w:id="87"/>
      <w:bookmarkEnd w:id="88"/>
      <w:bookmarkEnd w:id="89"/>
    </w:p>
    <w:p w14:paraId="13AF0287" w14:textId="77777777" w:rsidR="0052524F" w:rsidRPr="00E56DC2" w:rsidRDefault="0052524F" w:rsidP="003D5374">
      <w:pPr>
        <w:spacing w:after="0" w:line="240" w:lineRule="auto"/>
        <w:rPr>
          <w:rFonts w:ascii="Arial" w:hAnsi="Arial" w:cs="Arial"/>
          <w:lang w:val="sr-Latn-CS" w:eastAsia="x-none"/>
        </w:rPr>
      </w:pPr>
    </w:p>
    <w:p w14:paraId="3C00AFB6" w14:textId="77777777" w:rsidR="0052524F" w:rsidRPr="00E56DC2" w:rsidRDefault="0052524F" w:rsidP="003D5374">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3D5374">
      <w:pPr>
        <w:spacing w:after="0" w:line="240" w:lineRule="auto"/>
        <w:jc w:val="both"/>
        <w:rPr>
          <w:rFonts w:ascii="Arial" w:hAnsi="Arial" w:cs="Arial"/>
          <w:lang w:val="sr-Latn-CS"/>
        </w:rPr>
      </w:pPr>
    </w:p>
    <w:p w14:paraId="0C055212" w14:textId="432A40A6" w:rsidR="003D5374" w:rsidRPr="003D5374" w:rsidRDefault="0052524F" w:rsidP="003D5374">
      <w:pPr>
        <w:pStyle w:val="Heading2"/>
      </w:pPr>
      <w:bookmarkStart w:id="90" w:name="_Toc390549931"/>
      <w:bookmarkStart w:id="91" w:name="_Toc401959461"/>
      <w:bookmarkStart w:id="92" w:name="_Toc401959554"/>
      <w:bookmarkStart w:id="93" w:name="_Toc435529042"/>
      <w:bookmarkStart w:id="94" w:name="_Toc436124919"/>
      <w:r w:rsidRPr="00E56DC2">
        <w:t>12.4 Uputstvo za podnošenje ponuda</w:t>
      </w:r>
      <w:bookmarkEnd w:id="90"/>
      <w:bookmarkEnd w:id="91"/>
      <w:bookmarkEnd w:id="92"/>
      <w:bookmarkEnd w:id="93"/>
      <w:bookmarkEnd w:id="94"/>
    </w:p>
    <w:p w14:paraId="3F7307BE" w14:textId="77777777" w:rsidR="003D5374" w:rsidRDefault="003D5374" w:rsidP="003D5374">
      <w:pPr>
        <w:spacing w:after="0" w:line="240" w:lineRule="auto"/>
        <w:jc w:val="both"/>
        <w:rPr>
          <w:rFonts w:ascii="Arial" w:eastAsia="Times New Roman" w:hAnsi="Arial" w:cs="Arial"/>
          <w:lang w:val="sr-Latn-CS"/>
        </w:rPr>
      </w:pPr>
    </w:p>
    <w:p w14:paraId="641581AA" w14:textId="46FEFE6A" w:rsidR="0052524F" w:rsidRPr="00E56DC2" w:rsidRDefault="0052524F" w:rsidP="003D5374">
      <w:pPr>
        <w:spacing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11A1FD54" w14:textId="79797E56" w:rsidR="003D5374" w:rsidRDefault="003D5374" w:rsidP="003D5374">
      <w:pPr>
        <w:spacing w:after="0" w:line="240" w:lineRule="auto"/>
        <w:jc w:val="both"/>
        <w:rPr>
          <w:rFonts w:ascii="Arial" w:hAnsi="Arial" w:cs="Arial"/>
          <w:lang w:val="sr-Latn-CS"/>
        </w:rPr>
      </w:pPr>
    </w:p>
    <w:p w14:paraId="44F09CDB" w14:textId="77777777" w:rsidR="00C03EAF" w:rsidRPr="00E56DC2" w:rsidRDefault="00C03EAF" w:rsidP="003D5374">
      <w:pPr>
        <w:spacing w:after="0" w:line="240" w:lineRule="auto"/>
        <w:jc w:val="both"/>
        <w:rPr>
          <w:rFonts w:ascii="Arial" w:hAnsi="Arial" w:cs="Arial"/>
          <w:lang w:val="sr-Latn-CS"/>
        </w:rPr>
      </w:pPr>
    </w:p>
    <w:p w14:paraId="5D058F7F" w14:textId="395EE0E4" w:rsidR="003D5374" w:rsidRDefault="0052524F" w:rsidP="003D5374">
      <w:pPr>
        <w:pStyle w:val="Heading1"/>
        <w:numPr>
          <w:ilvl w:val="0"/>
          <w:numId w:val="24"/>
        </w:numPr>
        <w:jc w:val="both"/>
        <w:rPr>
          <w:rFonts w:ascii="Arial" w:hAnsi="Arial" w:cs="Arial"/>
          <w:sz w:val="22"/>
          <w:szCs w:val="22"/>
        </w:rPr>
      </w:pPr>
      <w:bookmarkStart w:id="95" w:name="_Toc390549932"/>
      <w:bookmarkStart w:id="96" w:name="_Toc401959462"/>
      <w:bookmarkStart w:id="97" w:name="_Toc401959555"/>
      <w:bookmarkStart w:id="98" w:name="_Toc435529043"/>
      <w:bookmarkStart w:id="99" w:name="_Toc436124920"/>
      <w:r w:rsidRPr="00E56DC2">
        <w:rPr>
          <w:rFonts w:ascii="Arial" w:hAnsi="Arial" w:cs="Arial"/>
          <w:sz w:val="22"/>
          <w:szCs w:val="22"/>
        </w:rPr>
        <w:t xml:space="preserve">SPISAK PROPISA KOJI SE PRIMJENJUJE U POSTUPKU DAVANJA KONCESIJE I </w:t>
      </w:r>
      <w:r w:rsidR="003D5374">
        <w:rPr>
          <w:rFonts w:ascii="Arial" w:hAnsi="Arial" w:cs="Arial"/>
          <w:sz w:val="22"/>
          <w:szCs w:val="22"/>
        </w:rPr>
        <w:t xml:space="preserve"> </w:t>
      </w:r>
    </w:p>
    <w:p w14:paraId="5D31F756" w14:textId="51FE4693" w:rsidR="0052524F" w:rsidRPr="00E56DC2" w:rsidRDefault="0052524F" w:rsidP="003D5374">
      <w:pPr>
        <w:pStyle w:val="Heading1"/>
        <w:numPr>
          <w:ilvl w:val="0"/>
          <w:numId w:val="0"/>
        </w:numPr>
        <w:ind w:left="360"/>
        <w:jc w:val="both"/>
        <w:rPr>
          <w:rFonts w:ascii="Arial" w:hAnsi="Arial" w:cs="Arial"/>
          <w:sz w:val="22"/>
          <w:szCs w:val="22"/>
        </w:rPr>
      </w:pPr>
      <w:r w:rsidRPr="00E56DC2">
        <w:rPr>
          <w:rFonts w:ascii="Arial" w:hAnsi="Arial" w:cs="Arial"/>
          <w:sz w:val="22"/>
          <w:szCs w:val="22"/>
        </w:rPr>
        <w:t>U VRŠENJU KONCESIONE DJELATNOSTI</w:t>
      </w:r>
      <w:bookmarkEnd w:id="95"/>
      <w:bookmarkEnd w:id="96"/>
      <w:bookmarkEnd w:id="97"/>
      <w:bookmarkEnd w:id="98"/>
      <w:bookmarkEnd w:id="99"/>
    </w:p>
    <w:p w14:paraId="60EA8A36" w14:textId="77777777" w:rsidR="0052524F" w:rsidRPr="00D671DB" w:rsidRDefault="0052524F" w:rsidP="003D5374">
      <w:pPr>
        <w:spacing w:after="0" w:line="240" w:lineRule="auto"/>
        <w:jc w:val="both"/>
        <w:rPr>
          <w:rFonts w:ascii="Arial" w:eastAsia="Times New Roman" w:hAnsi="Arial" w:cs="Arial"/>
          <w:noProof/>
          <w:lang w:val="pt-BR"/>
        </w:rPr>
      </w:pPr>
    </w:p>
    <w:p w14:paraId="20C53002" w14:textId="77777777" w:rsidR="0052524F" w:rsidRPr="00D671DB" w:rsidRDefault="0052524F" w:rsidP="003D5374">
      <w:pPr>
        <w:spacing w:after="0" w:line="240" w:lineRule="auto"/>
        <w:jc w:val="both"/>
        <w:rPr>
          <w:rFonts w:ascii="Arial" w:eastAsia="Times New Roman" w:hAnsi="Arial" w:cs="Arial"/>
          <w:noProof/>
          <w:lang w:val="pt-BR"/>
        </w:rPr>
      </w:pPr>
      <w:r w:rsidRPr="00D671DB">
        <w:rPr>
          <w:rFonts w:ascii="Arial" w:hAnsi="Arial" w:cs="Arial"/>
          <w:noProof/>
          <w:lang w:val="pt-BR"/>
        </w:rPr>
        <w:t>P</w:t>
      </w:r>
      <w:r w:rsidRPr="00D671DB">
        <w:rPr>
          <w:rFonts w:ascii="Arial" w:eastAsia="Times New Roman" w:hAnsi="Arial" w:cs="Arial"/>
          <w:noProof/>
          <w:lang w:val="pt-BR"/>
        </w:rPr>
        <w:t>ropisi koji se primijenjuju u postupku</w:t>
      </w:r>
      <w:r w:rsidRPr="00D671DB">
        <w:rPr>
          <w:rFonts w:ascii="Arial" w:hAnsi="Arial" w:cs="Arial"/>
          <w:noProof/>
          <w:lang w:val="pt-BR"/>
        </w:rPr>
        <w:t xml:space="preserve"> davanja koncesije i</w:t>
      </w:r>
      <w:r w:rsidRPr="00D671DB">
        <w:rPr>
          <w:rFonts w:ascii="Arial" w:eastAsia="Times New Roman" w:hAnsi="Arial" w:cs="Arial"/>
          <w:noProof/>
          <w:lang w:val="pt-BR"/>
        </w:rPr>
        <w:t xml:space="preserve"> vršenja koncesione djelatnosti: </w:t>
      </w:r>
    </w:p>
    <w:p w14:paraId="47CF6FE7" w14:textId="77777777" w:rsidR="0052524F" w:rsidRPr="00D671DB" w:rsidRDefault="0052524F" w:rsidP="003D5374">
      <w:pPr>
        <w:spacing w:after="0" w:line="240" w:lineRule="auto"/>
        <w:jc w:val="both"/>
        <w:rPr>
          <w:rFonts w:ascii="Arial" w:eastAsia="Times New Roman" w:hAnsi="Arial" w:cs="Arial"/>
          <w:noProof/>
          <w:lang w:val="pt-BR"/>
        </w:rPr>
      </w:pPr>
    </w:p>
    <w:p w14:paraId="7C04CD14" w14:textId="77777777" w:rsidR="0052524F" w:rsidRPr="00D671DB" w:rsidRDefault="0052524F" w:rsidP="003D5374">
      <w:pPr>
        <w:pStyle w:val="ListParagraph"/>
        <w:numPr>
          <w:ilvl w:val="0"/>
          <w:numId w:val="17"/>
        </w:numPr>
        <w:spacing w:after="0" w:line="240" w:lineRule="auto"/>
        <w:jc w:val="both"/>
        <w:rPr>
          <w:rFonts w:ascii="Arial" w:hAnsi="Arial" w:cs="Arial"/>
          <w:noProof/>
          <w:lang w:val="pt-BR"/>
        </w:rPr>
      </w:pPr>
      <w:r w:rsidRPr="00D671DB">
        <w:rPr>
          <w:rFonts w:ascii="Arial" w:hAnsi="Arial" w:cs="Arial"/>
          <w:noProof/>
          <w:lang w:val="pt-BR"/>
        </w:rPr>
        <w:t>Zakon o koncesijama (“Sl. list CG”, br. 8/09 i 73/19);</w:t>
      </w:r>
    </w:p>
    <w:p w14:paraId="5F3C6223" w14:textId="77777777" w:rsidR="0052524F" w:rsidRPr="00D671DB" w:rsidRDefault="0052524F" w:rsidP="003D5374">
      <w:pPr>
        <w:pStyle w:val="ListParagraph"/>
        <w:numPr>
          <w:ilvl w:val="0"/>
          <w:numId w:val="17"/>
        </w:numPr>
        <w:spacing w:after="0" w:line="240" w:lineRule="auto"/>
        <w:jc w:val="both"/>
        <w:rPr>
          <w:rFonts w:ascii="Arial" w:hAnsi="Arial" w:cs="Arial"/>
          <w:noProof/>
          <w:lang w:val="pt-BR"/>
        </w:rPr>
      </w:pPr>
      <w:r w:rsidRPr="00D671DB">
        <w:rPr>
          <w:rFonts w:ascii="Arial" w:hAnsi="Arial" w:cs="Arial"/>
          <w:noProof/>
          <w:lang w:val="pt-BR"/>
        </w:rPr>
        <w:t xml:space="preserve">Uredba o bližem načinu sprovođenja postupka javnog nadmetanja u otvorenom i dvostepenom postupku davanja koncesije </w:t>
      </w:r>
      <w:r w:rsidRPr="00D671DB">
        <w:rPr>
          <w:rFonts w:ascii="Arial" w:eastAsia="Times New Roman" w:hAnsi="Arial" w:cs="Arial"/>
          <w:noProof/>
          <w:lang w:val="pt-BR"/>
        </w:rPr>
        <w:t>(“Sl. list CG”, br. 8/09);</w:t>
      </w:r>
    </w:p>
    <w:p w14:paraId="2A8DCBE2"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D671DB" w:rsidRDefault="0052524F" w:rsidP="003D5374">
      <w:pPr>
        <w:pStyle w:val="ListParagraph"/>
        <w:numPr>
          <w:ilvl w:val="0"/>
          <w:numId w:val="17"/>
        </w:numPr>
        <w:spacing w:after="0" w:line="240" w:lineRule="auto"/>
        <w:jc w:val="both"/>
        <w:rPr>
          <w:rFonts w:ascii="Arial" w:eastAsia="Times New Roman" w:hAnsi="Arial" w:cs="Arial"/>
          <w:noProof/>
          <w:lang w:val="pt-BR"/>
        </w:rPr>
      </w:pPr>
      <w:r w:rsidRPr="00D671DB">
        <w:rPr>
          <w:rFonts w:ascii="Arial" w:hAnsi="Arial" w:cs="Arial"/>
          <w:noProof/>
          <w:lang w:val="pt-BR"/>
        </w:rPr>
        <w:t>Zakon o zaštiti i zdravlju na radu  („Sl. list CG“, br. 34/14 i 44/18);</w:t>
      </w:r>
    </w:p>
    <w:p w14:paraId="0C3C8CEA" w14:textId="77777777" w:rsidR="0052524F" w:rsidRPr="00D671DB" w:rsidRDefault="0052524F" w:rsidP="003D5374">
      <w:pPr>
        <w:pStyle w:val="ListParagraph"/>
        <w:numPr>
          <w:ilvl w:val="0"/>
          <w:numId w:val="17"/>
        </w:numPr>
        <w:spacing w:after="0" w:line="240" w:lineRule="auto"/>
        <w:jc w:val="both"/>
        <w:rPr>
          <w:rFonts w:ascii="Arial" w:eastAsia="Times New Roman" w:hAnsi="Arial" w:cs="Arial"/>
          <w:noProof/>
          <w:lang w:val="pt-BR"/>
        </w:rPr>
      </w:pPr>
      <w:r w:rsidRPr="00D671DB">
        <w:rPr>
          <w:rFonts w:ascii="Arial" w:hAnsi="Arial" w:cs="Arial"/>
          <w:noProof/>
          <w:lang w:val="pt-BR"/>
        </w:rPr>
        <w:t>Zakon o planiranju prostora i izgradnji objekata (“Sl. list CG”, br. 64/17, 44/18, 63/18, 11/19 i 82/20);</w:t>
      </w:r>
    </w:p>
    <w:p w14:paraId="09F69180" w14:textId="77777777" w:rsidR="0052524F" w:rsidRPr="00D671DB" w:rsidRDefault="0052524F" w:rsidP="003D5374">
      <w:pPr>
        <w:pStyle w:val="ListParagraph"/>
        <w:numPr>
          <w:ilvl w:val="0"/>
          <w:numId w:val="17"/>
        </w:numPr>
        <w:spacing w:after="0" w:line="240" w:lineRule="auto"/>
        <w:jc w:val="both"/>
        <w:rPr>
          <w:rFonts w:ascii="Arial" w:hAnsi="Arial" w:cs="Arial"/>
          <w:noProof/>
          <w:lang w:val="pt-BR"/>
        </w:rPr>
      </w:pPr>
      <w:r w:rsidRPr="00D671DB">
        <w:rPr>
          <w:rFonts w:ascii="Arial" w:hAnsi="Arial" w:cs="Arial"/>
          <w:noProof/>
          <w:lang w:val="pt-BR"/>
        </w:rPr>
        <w:t>Zakon o procjeni uticaja na životnu sredinu („Sl. list RCG“, br. 75/18);</w:t>
      </w:r>
    </w:p>
    <w:p w14:paraId="5338A095" w14:textId="77777777" w:rsidR="0052524F" w:rsidRPr="00D671DB" w:rsidRDefault="0052524F" w:rsidP="003D5374">
      <w:pPr>
        <w:pStyle w:val="ListParagraph"/>
        <w:numPr>
          <w:ilvl w:val="0"/>
          <w:numId w:val="17"/>
        </w:numPr>
        <w:spacing w:after="0" w:line="240" w:lineRule="auto"/>
        <w:jc w:val="both"/>
        <w:rPr>
          <w:rFonts w:ascii="Arial" w:hAnsi="Arial" w:cs="Arial"/>
          <w:noProof/>
          <w:lang w:val="pt-BR"/>
        </w:rPr>
      </w:pPr>
      <w:r w:rsidRPr="00D671DB">
        <w:rPr>
          <w:rFonts w:ascii="Arial" w:hAnsi="Arial" w:cs="Arial"/>
          <w:noProof/>
          <w:lang w:val="pt-BR"/>
        </w:rPr>
        <w:t>Zakon o zaštiti prirode („Sl. list CG“, br. 54/16 i 18/19);</w:t>
      </w:r>
    </w:p>
    <w:p w14:paraId="3E75601A"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Uredba o kriterijumima i načinu obračuna iznosa minimalne koncesione naknade za ustupanje prava na istraživanje i eksploataciju mineralnih sirovina („Sl. list CG“, br. 37/11 i 40/16);</w:t>
      </w:r>
    </w:p>
    <w:p w14:paraId="0F835578"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Uredba o visini sredstava za sanaciju i rekultivaciju prostora na kojem se izvode rudarski radovi, način obračunavanja, plaćanja i korišćenja tih sredstava („Sl. list CG“, br. 51/11);</w:t>
      </w:r>
    </w:p>
    <w:p w14:paraId="3C7282F5"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Pravlnik o klasifikaciji, kategorizaciji i proračunu rezervi čvrstih mineralnih sirovina i vođenju evidencije o njima („Sl. list SFRJ“, br. 53/79);</w:t>
      </w:r>
    </w:p>
    <w:p w14:paraId="1016CAD9"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Pravilnik o rudarskim mjerenjima („Sl. list RCG“, br. 26/94);</w:t>
      </w:r>
    </w:p>
    <w:p w14:paraId="55709224"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Pravilnik o izradi projekata geoloških istraživanja („Sl. list SRCG“, br. 9/85 i 16/85);</w:t>
      </w:r>
    </w:p>
    <w:p w14:paraId="5AA34877"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Pravilnik o sadržini rudarskih projekata („Sl. list CG“, br. 74/09);</w:t>
      </w:r>
    </w:p>
    <w:p w14:paraId="451FF1D2" w14:textId="77777777" w:rsidR="0052524F" w:rsidRPr="00BA6C79"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Pravilnik o sadržaju zahtjeva i dokumentaciji za izdavanje dozvole za preradu i/ili zbrinjavanje otpada iz rudarstva ("Službeni list Crne Gore", br. 78/16)</w:t>
      </w:r>
    </w:p>
    <w:p w14:paraId="758CD10A" w14:textId="6AEB75BE" w:rsidR="0052524F" w:rsidRDefault="0052524F" w:rsidP="003D5374">
      <w:pPr>
        <w:pStyle w:val="ListParagraph"/>
        <w:numPr>
          <w:ilvl w:val="0"/>
          <w:numId w:val="17"/>
        </w:numPr>
        <w:spacing w:after="0" w:line="240" w:lineRule="auto"/>
        <w:jc w:val="both"/>
        <w:rPr>
          <w:rFonts w:ascii="Arial" w:hAnsi="Arial" w:cs="Arial"/>
          <w:noProof/>
          <w:lang w:val="pt-BR"/>
        </w:rPr>
      </w:pPr>
      <w:r w:rsidRPr="00BA6C79">
        <w:rPr>
          <w:rFonts w:ascii="Arial" w:hAnsi="Arial" w:cs="Arial"/>
          <w:noProof/>
          <w:lang w:val="pt-BR"/>
        </w:rPr>
        <w:t xml:space="preserve">Pravilnik o tehničkim normativima za površinsku eksploataciju </w:t>
      </w:r>
      <w:r w:rsidR="00BC1B3C" w:rsidRPr="00BA6C79">
        <w:rPr>
          <w:rFonts w:ascii="Arial" w:hAnsi="Arial" w:cs="Arial"/>
          <w:noProof/>
          <w:lang w:val="pt-BR"/>
        </w:rPr>
        <w:t>lokaliteta</w:t>
      </w:r>
      <w:r w:rsidRPr="00BA6C79">
        <w:rPr>
          <w:rFonts w:ascii="Arial" w:hAnsi="Arial" w:cs="Arial"/>
          <w:noProof/>
          <w:lang w:val="pt-BR"/>
        </w:rPr>
        <w:t xml:space="preserve"> mineralnih sirovina („Sl. list SFRJ“, br. 62/87);</w:t>
      </w:r>
    </w:p>
    <w:p w14:paraId="6610EC36" w14:textId="5E17256D" w:rsidR="00177A3D" w:rsidRPr="00177A3D" w:rsidRDefault="00177A3D" w:rsidP="00177A3D">
      <w:pPr>
        <w:numPr>
          <w:ilvl w:val="0"/>
          <w:numId w:val="17"/>
        </w:numPr>
        <w:spacing w:after="0" w:line="240" w:lineRule="auto"/>
        <w:jc w:val="both"/>
        <w:rPr>
          <w:rFonts w:ascii="Arial" w:hAnsi="Arial" w:cs="Arial"/>
          <w:noProof/>
          <w:lang w:val="pt-BR"/>
        </w:rPr>
      </w:pPr>
      <w:r>
        <w:rPr>
          <w:rFonts w:ascii="Arial" w:hAnsi="Arial" w:cs="Arial"/>
          <w:noProof/>
          <w:lang w:val="pt-BR"/>
        </w:rPr>
        <w:lastRenderedPageBreak/>
        <w:t>Uredba o načinu utvrđivanja naknade za korišćenje nepokretnosti u državnoj imovini („Sl. list CG“, br. 132/2</w:t>
      </w:r>
      <w:r w:rsidRPr="00A13DE8">
        <w:rPr>
          <w:rFonts w:ascii="Arial" w:hAnsi="Arial" w:cs="Arial"/>
          <w:noProof/>
          <w:lang w:val="pt-BR"/>
        </w:rPr>
        <w:t>1</w:t>
      </w:r>
      <w:r>
        <w:rPr>
          <w:rFonts w:ascii="Arial" w:hAnsi="Arial" w:cs="Arial"/>
          <w:noProof/>
          <w:lang w:val="pt-BR"/>
        </w:rPr>
        <w:t>).</w:t>
      </w:r>
    </w:p>
    <w:p w14:paraId="7E9C0D8A" w14:textId="1F17A1C8" w:rsidR="002A75F1" w:rsidRPr="00BA6C79" w:rsidRDefault="0052524F" w:rsidP="003D5374">
      <w:pPr>
        <w:pStyle w:val="ListParagraph"/>
        <w:numPr>
          <w:ilvl w:val="0"/>
          <w:numId w:val="17"/>
        </w:numPr>
        <w:spacing w:after="0" w:line="240" w:lineRule="auto"/>
        <w:jc w:val="both"/>
        <w:rPr>
          <w:rFonts w:ascii="Arial" w:hAnsi="Arial" w:cs="Arial"/>
          <w:lang w:val="pt-BR"/>
        </w:rPr>
      </w:pPr>
      <w:r w:rsidRPr="00BA6C79">
        <w:rPr>
          <w:rFonts w:ascii="Arial" w:hAnsi="Arial" w:cs="Arial"/>
          <w:noProof/>
          <w:lang w:val="pt-BR"/>
        </w:rPr>
        <w:t>Uputstvo o izradi godišnjeg tehničkog izvještaja i godišnjeg finansijskog izvještaja o poslovanju koncesionara koji imaju pravo na eksploataciju mineralnih sirovin</w:t>
      </w:r>
      <w:r w:rsidR="002A75F1" w:rsidRPr="00BA6C79">
        <w:rPr>
          <w:rFonts w:ascii="Arial" w:hAnsi="Arial" w:cs="Arial"/>
          <w:noProof/>
          <w:lang w:val="pt-BR"/>
        </w:rPr>
        <w:t>a („Sl. list RCG“, br. 10/95) i</w:t>
      </w:r>
    </w:p>
    <w:p w14:paraId="4514577D"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386D38DE" w14:textId="1EF0D1F3" w:rsidR="0052524F" w:rsidRDefault="0052524F" w:rsidP="003D5374">
      <w:pPr>
        <w:spacing w:after="0" w:line="240" w:lineRule="auto"/>
        <w:jc w:val="both"/>
        <w:rPr>
          <w:rFonts w:ascii="Arial" w:eastAsia="Times New Roman" w:hAnsi="Arial" w:cs="Arial"/>
          <w:lang w:val="sr-Latn-CS"/>
        </w:rPr>
      </w:pPr>
    </w:p>
    <w:p w14:paraId="17B32488" w14:textId="28D5EDEA" w:rsidR="00C03EAF" w:rsidRDefault="00C03EAF" w:rsidP="003D5374">
      <w:pPr>
        <w:spacing w:after="0" w:line="240" w:lineRule="auto"/>
        <w:jc w:val="both"/>
        <w:rPr>
          <w:rFonts w:ascii="Arial" w:eastAsia="Times New Roman" w:hAnsi="Arial" w:cs="Arial"/>
          <w:lang w:val="sr-Latn-CS"/>
        </w:rPr>
      </w:pPr>
    </w:p>
    <w:p w14:paraId="3214E62D" w14:textId="77777777" w:rsidR="00C03EAF" w:rsidRPr="00E56DC2" w:rsidRDefault="00C03EAF" w:rsidP="003D5374">
      <w:pPr>
        <w:spacing w:after="0" w:line="240" w:lineRule="auto"/>
        <w:jc w:val="both"/>
        <w:rPr>
          <w:rFonts w:ascii="Arial" w:eastAsia="Times New Roman" w:hAnsi="Arial" w:cs="Arial"/>
          <w:lang w:val="sr-Latn-CS"/>
        </w:rPr>
      </w:pPr>
    </w:p>
    <w:p w14:paraId="512B6A0C" w14:textId="77777777" w:rsidR="0052524F" w:rsidRPr="00E56DC2" w:rsidRDefault="0052524F" w:rsidP="003D5374">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3D5374">
      <w:pPr>
        <w:suppressAutoHyphens w:val="0"/>
        <w:spacing w:after="0" w:line="240" w:lineRule="auto"/>
        <w:jc w:val="both"/>
        <w:rPr>
          <w:rFonts w:ascii="Arial" w:eastAsia="Times New Roman" w:hAnsi="Arial" w:cs="Arial"/>
          <w:lang w:val="sr-Latn-CS"/>
        </w:rPr>
      </w:pPr>
    </w:p>
    <w:p w14:paraId="7E09342A" w14:textId="77777777" w:rsidR="0052524F" w:rsidRPr="00E56DC2" w:rsidRDefault="0052524F" w:rsidP="003D5374">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51A2C27C"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42233262" w14:textId="516204ED" w:rsidR="0052524F" w:rsidRPr="00E56DC2" w:rsidRDefault="0052524F" w:rsidP="003D5374">
      <w:pPr>
        <w:tabs>
          <w:tab w:val="left" w:pos="3411"/>
        </w:tabs>
        <w:suppressAutoHyphens w:val="0"/>
        <w:spacing w:after="0" w:line="240" w:lineRule="auto"/>
        <w:rPr>
          <w:rFonts w:ascii="Arial" w:eastAsia="Times New Roman" w:hAnsi="Arial" w:cs="Arial"/>
          <w:lang w:val="sr-Latn-CS"/>
        </w:rPr>
      </w:pPr>
      <w:r w:rsidRPr="00E56DC2">
        <w:rPr>
          <w:rFonts w:ascii="Arial" w:eastAsia="Times New Roman" w:hAnsi="Arial" w:cs="Arial"/>
          <w:lang w:val="sr-Latn-CS"/>
        </w:rPr>
        <w:tab/>
      </w:r>
    </w:p>
    <w:p w14:paraId="5B50AEA5"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b/>
          <w:bCs/>
          <w:lang w:val="sr-Latn-CS"/>
        </w:rPr>
        <w:t>P R I L O Z I</w:t>
      </w:r>
    </w:p>
    <w:p w14:paraId="4148D000" w14:textId="77777777" w:rsidR="0052524F" w:rsidRPr="00E56DC2" w:rsidRDefault="0052524F" w:rsidP="003D5374">
      <w:pPr>
        <w:spacing w:after="0" w:line="240" w:lineRule="auto"/>
        <w:jc w:val="both"/>
        <w:rPr>
          <w:rFonts w:ascii="Arial" w:hAnsi="Arial" w:cs="Arial"/>
          <w:b/>
          <w:bCs/>
          <w:lang w:val="sr-Latn-CS"/>
        </w:rPr>
      </w:pPr>
    </w:p>
    <w:p w14:paraId="21606499"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BA6C79" w:rsidRDefault="002E3783" w:rsidP="003D5374">
      <w:pPr>
        <w:pStyle w:val="ListParagraph"/>
        <w:numPr>
          <w:ilvl w:val="0"/>
          <w:numId w:val="2"/>
        </w:numPr>
        <w:suppressAutoHyphens w:val="0"/>
        <w:spacing w:after="0" w:line="240" w:lineRule="auto"/>
        <w:ind w:left="0" w:firstLine="0"/>
        <w:contextualSpacing w:val="0"/>
        <w:jc w:val="both"/>
        <w:rPr>
          <w:rFonts w:ascii="Arial" w:hAnsi="Arial" w:cs="Arial"/>
          <w:noProof/>
          <w:lang w:val="sr-Latn-CS"/>
        </w:rPr>
      </w:pPr>
      <w:r w:rsidRPr="00E56DC2">
        <w:rPr>
          <w:rFonts w:ascii="Arial" w:hAnsi="Arial" w:cs="Arial"/>
          <w:noProof/>
        </w:rPr>
        <w:t>Prilog</w:t>
      </w:r>
      <w:r w:rsidRPr="00BA6C79">
        <w:rPr>
          <w:rFonts w:ascii="Arial" w:hAnsi="Arial" w:cs="Arial"/>
          <w:noProof/>
          <w:lang w:val="sr-Latn-CS"/>
        </w:rPr>
        <w:t xml:space="preserve"> 1 – </w:t>
      </w:r>
      <w:r w:rsidRPr="00E56DC2">
        <w:rPr>
          <w:rFonts w:ascii="Arial" w:hAnsi="Arial" w:cs="Arial"/>
          <w:noProof/>
        </w:rPr>
        <w:t>obrazac</w:t>
      </w:r>
      <w:r w:rsidRPr="00BA6C79">
        <w:rPr>
          <w:rFonts w:ascii="Arial" w:hAnsi="Arial" w:cs="Arial"/>
          <w:noProof/>
          <w:lang w:val="sr-Latn-CS"/>
        </w:rPr>
        <w:t xml:space="preserve"> </w:t>
      </w:r>
      <w:r w:rsidRPr="00E56DC2">
        <w:rPr>
          <w:rFonts w:ascii="Arial" w:hAnsi="Arial" w:cs="Arial"/>
          <w:noProof/>
        </w:rPr>
        <w:t>bankarske</w:t>
      </w:r>
      <w:r w:rsidRPr="00BA6C79">
        <w:rPr>
          <w:rFonts w:ascii="Arial" w:hAnsi="Arial" w:cs="Arial"/>
          <w:noProof/>
          <w:lang w:val="sr-Latn-CS"/>
        </w:rPr>
        <w:t xml:space="preserve"> </w:t>
      </w:r>
      <w:r w:rsidRPr="00E56DC2">
        <w:rPr>
          <w:rFonts w:ascii="Arial" w:hAnsi="Arial" w:cs="Arial"/>
          <w:noProof/>
        </w:rPr>
        <w:t>garancije</w:t>
      </w:r>
      <w:r w:rsidRPr="00BA6C79">
        <w:rPr>
          <w:rFonts w:ascii="Arial" w:hAnsi="Arial" w:cs="Arial"/>
          <w:noProof/>
          <w:lang w:val="sr-Latn-CS"/>
        </w:rPr>
        <w:t xml:space="preserve"> </w:t>
      </w:r>
      <w:r w:rsidRPr="00E56DC2">
        <w:rPr>
          <w:rFonts w:ascii="Arial" w:hAnsi="Arial" w:cs="Arial"/>
          <w:noProof/>
        </w:rPr>
        <w:t>za</w:t>
      </w:r>
      <w:r w:rsidRPr="00BA6C79">
        <w:rPr>
          <w:rFonts w:ascii="Arial" w:hAnsi="Arial" w:cs="Arial"/>
          <w:noProof/>
          <w:lang w:val="sr-Latn-CS"/>
        </w:rPr>
        <w:t xml:space="preserve"> </w:t>
      </w:r>
      <w:r w:rsidRPr="00E56DC2">
        <w:rPr>
          <w:rFonts w:ascii="Arial" w:hAnsi="Arial" w:cs="Arial"/>
          <w:noProof/>
        </w:rPr>
        <w:t>fazu</w:t>
      </w:r>
      <w:r w:rsidRPr="00BA6C79">
        <w:rPr>
          <w:rFonts w:ascii="Arial" w:hAnsi="Arial" w:cs="Arial"/>
          <w:noProof/>
          <w:lang w:val="sr-Latn-CS"/>
        </w:rPr>
        <w:t xml:space="preserve"> </w:t>
      </w:r>
      <w:r w:rsidRPr="00E56DC2">
        <w:rPr>
          <w:rFonts w:ascii="Arial" w:hAnsi="Arial" w:cs="Arial"/>
          <w:noProof/>
        </w:rPr>
        <w:t>detaljnih</w:t>
      </w:r>
      <w:r w:rsidRPr="00BA6C79">
        <w:rPr>
          <w:rFonts w:ascii="Arial" w:hAnsi="Arial" w:cs="Arial"/>
          <w:noProof/>
          <w:lang w:val="sr-Latn-CS"/>
        </w:rPr>
        <w:t xml:space="preserve"> </w:t>
      </w:r>
      <w:r w:rsidRPr="00E56DC2">
        <w:rPr>
          <w:rFonts w:ascii="Arial" w:hAnsi="Arial" w:cs="Arial"/>
          <w:noProof/>
        </w:rPr>
        <w:t>geolo</w:t>
      </w:r>
      <w:r w:rsidRPr="00BA6C79">
        <w:rPr>
          <w:rFonts w:ascii="Arial" w:hAnsi="Arial" w:cs="Arial"/>
          <w:noProof/>
          <w:lang w:val="sr-Latn-CS"/>
        </w:rPr>
        <w:t>š</w:t>
      </w:r>
      <w:r w:rsidRPr="00E56DC2">
        <w:rPr>
          <w:rFonts w:ascii="Arial" w:hAnsi="Arial" w:cs="Arial"/>
          <w:noProof/>
        </w:rPr>
        <w:t>kih</w:t>
      </w:r>
      <w:r w:rsidRPr="00BA6C79">
        <w:rPr>
          <w:rFonts w:ascii="Arial" w:hAnsi="Arial" w:cs="Arial"/>
          <w:noProof/>
          <w:lang w:val="sr-Latn-CS"/>
        </w:rPr>
        <w:t xml:space="preserve"> </w:t>
      </w:r>
      <w:r w:rsidRPr="00E56DC2">
        <w:rPr>
          <w:rFonts w:ascii="Arial" w:hAnsi="Arial" w:cs="Arial"/>
          <w:noProof/>
        </w:rPr>
        <w:t>istra</w:t>
      </w:r>
      <w:r w:rsidRPr="00BA6C79">
        <w:rPr>
          <w:rFonts w:ascii="Arial" w:hAnsi="Arial" w:cs="Arial"/>
          <w:noProof/>
          <w:lang w:val="sr-Latn-CS"/>
        </w:rPr>
        <w:t>ž</w:t>
      </w:r>
      <w:r w:rsidRPr="00E56DC2">
        <w:rPr>
          <w:rFonts w:ascii="Arial" w:hAnsi="Arial" w:cs="Arial"/>
          <w:noProof/>
        </w:rPr>
        <w:t>ivanja</w:t>
      </w:r>
    </w:p>
    <w:p w14:paraId="1BEB96D4" w14:textId="77777777" w:rsidR="002E3783" w:rsidRPr="00BA6C79" w:rsidRDefault="002E3783" w:rsidP="003D5374">
      <w:pPr>
        <w:pStyle w:val="ListParagraph"/>
        <w:numPr>
          <w:ilvl w:val="0"/>
          <w:numId w:val="2"/>
        </w:numPr>
        <w:suppressAutoHyphens w:val="0"/>
        <w:spacing w:after="0" w:line="240" w:lineRule="auto"/>
        <w:ind w:left="0" w:firstLine="0"/>
        <w:contextualSpacing w:val="0"/>
        <w:jc w:val="both"/>
        <w:rPr>
          <w:rFonts w:ascii="Arial" w:hAnsi="Arial" w:cs="Arial"/>
          <w:noProof/>
          <w:lang w:val="sr-Latn-CS"/>
        </w:rPr>
      </w:pPr>
      <w:r w:rsidRPr="00E56DC2">
        <w:rPr>
          <w:rFonts w:ascii="Arial" w:hAnsi="Arial" w:cs="Arial"/>
          <w:noProof/>
        </w:rPr>
        <w:t>Prilog</w:t>
      </w:r>
      <w:r w:rsidRPr="00BA6C79">
        <w:rPr>
          <w:rFonts w:ascii="Arial" w:hAnsi="Arial" w:cs="Arial"/>
          <w:noProof/>
          <w:lang w:val="sr-Latn-CS"/>
        </w:rPr>
        <w:t xml:space="preserve"> 2 – </w:t>
      </w:r>
      <w:r w:rsidRPr="00E56DC2">
        <w:rPr>
          <w:rFonts w:ascii="Arial" w:hAnsi="Arial" w:cs="Arial"/>
          <w:noProof/>
        </w:rPr>
        <w:t>obrazac</w:t>
      </w:r>
      <w:r w:rsidRPr="00BA6C79">
        <w:rPr>
          <w:rFonts w:ascii="Arial" w:hAnsi="Arial" w:cs="Arial"/>
          <w:noProof/>
          <w:lang w:val="sr-Latn-CS"/>
        </w:rPr>
        <w:t xml:space="preserve"> </w:t>
      </w:r>
      <w:r w:rsidRPr="00E56DC2">
        <w:rPr>
          <w:rFonts w:ascii="Arial" w:hAnsi="Arial" w:cs="Arial"/>
          <w:noProof/>
        </w:rPr>
        <w:t>bankarske</w:t>
      </w:r>
      <w:r w:rsidRPr="00BA6C79">
        <w:rPr>
          <w:rFonts w:ascii="Arial" w:hAnsi="Arial" w:cs="Arial"/>
          <w:noProof/>
          <w:lang w:val="sr-Latn-CS"/>
        </w:rPr>
        <w:t xml:space="preserve"> </w:t>
      </w:r>
      <w:r w:rsidRPr="00E56DC2">
        <w:rPr>
          <w:rFonts w:ascii="Arial" w:hAnsi="Arial" w:cs="Arial"/>
          <w:noProof/>
        </w:rPr>
        <w:t>garancije</w:t>
      </w:r>
      <w:r w:rsidRPr="00BA6C79">
        <w:rPr>
          <w:rFonts w:ascii="Arial" w:hAnsi="Arial" w:cs="Arial"/>
          <w:noProof/>
          <w:lang w:val="sr-Latn-CS"/>
        </w:rPr>
        <w:t xml:space="preserve"> </w:t>
      </w:r>
      <w:r w:rsidRPr="00E56DC2">
        <w:rPr>
          <w:rFonts w:ascii="Arial" w:hAnsi="Arial" w:cs="Arial"/>
          <w:noProof/>
        </w:rPr>
        <w:t>za</w:t>
      </w:r>
      <w:r w:rsidRPr="00BA6C79">
        <w:rPr>
          <w:rFonts w:ascii="Arial" w:hAnsi="Arial" w:cs="Arial"/>
          <w:noProof/>
          <w:lang w:val="sr-Latn-CS"/>
        </w:rPr>
        <w:t xml:space="preserve"> </w:t>
      </w:r>
      <w:r w:rsidRPr="00E56DC2">
        <w:rPr>
          <w:rFonts w:ascii="Arial" w:hAnsi="Arial" w:cs="Arial"/>
          <w:noProof/>
        </w:rPr>
        <w:t>ispunjavanje</w:t>
      </w:r>
      <w:r w:rsidRPr="00BA6C79">
        <w:rPr>
          <w:rFonts w:ascii="Arial" w:hAnsi="Arial" w:cs="Arial"/>
          <w:noProof/>
          <w:lang w:val="sr-Latn-CS"/>
        </w:rPr>
        <w:t xml:space="preserve"> </w:t>
      </w:r>
      <w:r w:rsidRPr="00E56DC2">
        <w:rPr>
          <w:rFonts w:ascii="Arial" w:hAnsi="Arial" w:cs="Arial"/>
          <w:noProof/>
        </w:rPr>
        <w:t>ugovornih</w:t>
      </w:r>
      <w:r w:rsidRPr="00BA6C79">
        <w:rPr>
          <w:rFonts w:ascii="Arial" w:hAnsi="Arial" w:cs="Arial"/>
          <w:noProof/>
          <w:lang w:val="sr-Latn-CS"/>
        </w:rPr>
        <w:t xml:space="preserve"> </w:t>
      </w:r>
      <w:r w:rsidRPr="00E56DC2">
        <w:rPr>
          <w:rFonts w:ascii="Arial" w:hAnsi="Arial" w:cs="Arial"/>
          <w:noProof/>
        </w:rPr>
        <w:t>obaveza</w:t>
      </w:r>
    </w:p>
    <w:p w14:paraId="38060BD9" w14:textId="77777777" w:rsidR="002E3783" w:rsidRPr="00BA6C79" w:rsidRDefault="002E3783" w:rsidP="003D5374">
      <w:pPr>
        <w:pStyle w:val="ListParagraph"/>
        <w:numPr>
          <w:ilvl w:val="0"/>
          <w:numId w:val="2"/>
        </w:numPr>
        <w:suppressAutoHyphens w:val="0"/>
        <w:spacing w:after="0" w:line="240" w:lineRule="auto"/>
        <w:ind w:left="0" w:firstLine="0"/>
        <w:contextualSpacing w:val="0"/>
        <w:jc w:val="both"/>
        <w:rPr>
          <w:rFonts w:ascii="Arial" w:hAnsi="Arial" w:cs="Arial"/>
          <w:noProof/>
          <w:lang w:val="pt-BR"/>
        </w:rPr>
      </w:pPr>
      <w:r w:rsidRPr="00BA6C79">
        <w:rPr>
          <w:rFonts w:ascii="Arial" w:hAnsi="Arial" w:cs="Arial"/>
          <w:noProof/>
          <w:lang w:val="pt-BR"/>
        </w:rPr>
        <w:t>Prilog 3 – obrazac bankarske garancije za rekultivaciju</w:t>
      </w:r>
    </w:p>
    <w:p w14:paraId="782D32AF" w14:textId="77777777" w:rsidR="003D5374" w:rsidRPr="003D5374"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Pr="00E56DC2">
        <w:rPr>
          <w:rFonts w:ascii="Arial" w:hAnsi="Arial" w:cs="Arial"/>
          <w:lang w:val="sr-Latn-CS"/>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 xml:space="preserve">tama graničnih tačaka </w:t>
      </w:r>
      <w:r w:rsidR="000B17E1">
        <w:rPr>
          <w:rFonts w:ascii="Arial" w:hAnsi="Arial" w:cs="Arial"/>
          <w:lang w:val="pl-PL"/>
        </w:rPr>
        <w:t>perspektivnog prostora</w:t>
      </w:r>
      <w:r w:rsidRPr="00E56DC2">
        <w:rPr>
          <w:rFonts w:ascii="Arial" w:hAnsi="Arial" w:cs="Arial"/>
          <w:lang w:val="pl-PL"/>
        </w:rPr>
        <w:t xml:space="preserve"> </w:t>
      </w:r>
    </w:p>
    <w:p w14:paraId="3916569B" w14:textId="22E64D38" w:rsidR="0052524F" w:rsidRPr="00E56DC2" w:rsidRDefault="00BC1B3C" w:rsidP="003D5374">
      <w:pPr>
        <w:pStyle w:val="ListParagraph"/>
        <w:suppressAutoHyphens w:val="0"/>
        <w:spacing w:after="0" w:line="240" w:lineRule="auto"/>
        <w:ind w:left="0" w:firstLine="720"/>
        <w:contextualSpacing w:val="0"/>
        <w:jc w:val="both"/>
        <w:rPr>
          <w:rFonts w:ascii="Arial" w:hAnsi="Arial" w:cs="Arial"/>
          <w:lang w:val="sr-Latn-CS"/>
        </w:rPr>
      </w:pPr>
      <w:r>
        <w:rPr>
          <w:rFonts w:ascii="Arial" w:hAnsi="Arial" w:cs="Arial"/>
          <w:lang w:val="sr-Latn-CS"/>
        </w:rPr>
        <w:t>“Milošev krš”</w:t>
      </w:r>
      <w:r w:rsidR="0052524F" w:rsidRPr="00E56DC2">
        <w:rPr>
          <w:rFonts w:ascii="Arial" w:hAnsi="Arial" w:cs="Arial"/>
          <w:lang w:val="sr-Latn-CS"/>
        </w:rPr>
        <w:t xml:space="preserve">. </w:t>
      </w:r>
    </w:p>
    <w:p w14:paraId="29055466" w14:textId="77777777" w:rsidR="0052524F" w:rsidRPr="00E56DC2" w:rsidRDefault="0052524F" w:rsidP="003D5374">
      <w:pPr>
        <w:spacing w:after="0" w:line="240" w:lineRule="auto"/>
        <w:jc w:val="both"/>
        <w:rPr>
          <w:rFonts w:ascii="Arial" w:hAnsi="Arial" w:cs="Arial"/>
        </w:rPr>
      </w:pPr>
    </w:p>
    <w:p w14:paraId="4C838999"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3D5374">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3D5374">
      <w:pPr>
        <w:suppressAutoHyphens w:val="0"/>
        <w:spacing w:after="0" w:line="240" w:lineRule="auto"/>
        <w:jc w:val="both"/>
        <w:rPr>
          <w:rFonts w:ascii="Arial" w:hAnsi="Arial" w:cs="Arial"/>
          <w:lang w:val="sr-Latn-CS"/>
        </w:rPr>
      </w:pPr>
    </w:p>
    <w:p w14:paraId="259AEEC7" w14:textId="77777777" w:rsidR="0052524F" w:rsidRPr="00E56DC2" w:rsidRDefault="0052524F" w:rsidP="003D5374">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77777777" w:rsidR="00854F54" w:rsidRPr="00E56DC2" w:rsidRDefault="00854F54" w:rsidP="003D5374">
      <w:pPr>
        <w:spacing w:after="0" w:line="240" w:lineRule="auto"/>
        <w:rPr>
          <w:rFonts w:ascii="Arial" w:hAnsi="Arial" w:cs="Arial"/>
          <w:lang w:val="sr-Latn-CS"/>
        </w:rPr>
      </w:pPr>
    </w:p>
    <w:sectPr w:rsidR="00854F54" w:rsidRPr="00E56DC2" w:rsidSect="00F3094A">
      <w:footerReference w:type="default" r:id="rId9"/>
      <w:pgSz w:w="11907" w:h="16839" w:code="9"/>
      <w:pgMar w:top="1152" w:right="1440" w:bottom="1620" w:left="1440" w:header="504" w:footer="56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895C6" w14:textId="77777777" w:rsidR="005077DE" w:rsidRDefault="005077DE" w:rsidP="004B525C">
      <w:pPr>
        <w:spacing w:after="0" w:line="240" w:lineRule="auto"/>
      </w:pPr>
      <w:r>
        <w:separator/>
      </w:r>
    </w:p>
  </w:endnote>
  <w:endnote w:type="continuationSeparator" w:id="0">
    <w:p w14:paraId="5DB4F1F8" w14:textId="77777777" w:rsidR="005077DE" w:rsidRDefault="005077DE"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523"/>
      <w:gridCol w:w="8720"/>
    </w:tblGrid>
    <w:tr w:rsidR="003473C4" w:rsidRPr="007B667D" w14:paraId="5269DD14" w14:textId="77777777" w:rsidTr="00436C34">
      <w:tc>
        <w:tcPr>
          <w:tcW w:w="540" w:type="dxa"/>
        </w:tcPr>
        <w:p w14:paraId="3ECAAF85" w14:textId="5CE44816" w:rsidR="003473C4" w:rsidRPr="002A27F9" w:rsidRDefault="003473C4">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CA1F83" w:rsidRPr="00CA1F83">
            <w:rPr>
              <w:rFonts w:ascii="Cambria" w:hAnsi="Cambria" w:cs="Calibri"/>
              <w:b/>
              <w:noProof/>
              <w:color w:val="4F81BD"/>
              <w:sz w:val="16"/>
              <w:szCs w:val="16"/>
            </w:rPr>
            <w:t>1</w:t>
          </w:r>
          <w:r w:rsidRPr="002A27F9">
            <w:rPr>
              <w:rFonts w:ascii="Cambria" w:hAnsi="Cambria" w:cs="Calibri"/>
              <w:b/>
              <w:noProof/>
              <w:color w:val="4F81BD"/>
              <w:sz w:val="16"/>
              <w:szCs w:val="16"/>
            </w:rPr>
            <w:fldChar w:fldCharType="end"/>
          </w:r>
        </w:p>
      </w:tc>
      <w:tc>
        <w:tcPr>
          <w:tcW w:w="9325" w:type="dxa"/>
        </w:tcPr>
        <w:p w14:paraId="00BC49DA" w14:textId="2BF03296" w:rsidR="003473C4" w:rsidRPr="003D5374" w:rsidRDefault="003473C4" w:rsidP="00BC1B3C">
          <w:pPr>
            <w:pStyle w:val="Footer"/>
            <w:rPr>
              <w:rFonts w:ascii="Cambria" w:hAnsi="Cambria" w:cs="Calibri"/>
              <w:sz w:val="15"/>
              <w:szCs w:val="15"/>
              <w:lang w:val="pl-PL"/>
            </w:rPr>
          </w:pPr>
          <w:r w:rsidRPr="003D5374">
            <w:rPr>
              <w:rFonts w:ascii="Cambria" w:hAnsi="Cambria" w:cs="Calibri"/>
              <w:sz w:val="15"/>
              <w:szCs w:val="15"/>
              <w:lang w:val="pl-PL"/>
            </w:rPr>
            <w:t>Koncesioni akt o nemetalič</w:t>
          </w:r>
          <w:r w:rsidRPr="003D5374">
            <w:rPr>
              <w:rFonts w:ascii="Cambria" w:hAnsi="Cambria" w:cs="Calibri"/>
              <w:sz w:val="15"/>
              <w:szCs w:val="15"/>
            </w:rPr>
            <w:t>noj</w:t>
          </w:r>
          <w:r w:rsidRPr="003D5374">
            <w:rPr>
              <w:rFonts w:ascii="Cambria" w:hAnsi="Cambria" w:cs="Calibri"/>
              <w:sz w:val="15"/>
              <w:szCs w:val="15"/>
              <w:lang w:val="pl-PL"/>
            </w:rPr>
            <w:t xml:space="preserve"> mineralnoj sirovini tehničko-građevinskog kamena lokaliteta ”Milošev krš”, Prijestonica Cetinje</w:t>
          </w:r>
        </w:p>
      </w:tc>
    </w:tr>
  </w:tbl>
  <w:p w14:paraId="42531A8A" w14:textId="77777777" w:rsidR="003473C4" w:rsidRDefault="003473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2A6B7" w14:textId="77777777" w:rsidR="005077DE" w:rsidRDefault="005077DE" w:rsidP="004B525C">
      <w:pPr>
        <w:spacing w:after="0" w:line="240" w:lineRule="auto"/>
      </w:pPr>
      <w:r>
        <w:separator/>
      </w:r>
    </w:p>
  </w:footnote>
  <w:footnote w:type="continuationSeparator" w:id="0">
    <w:p w14:paraId="7726482E" w14:textId="77777777" w:rsidR="005077DE" w:rsidRDefault="005077DE"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4"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A1B73F7"/>
    <w:multiLevelType w:val="hybridMultilevel"/>
    <w:tmpl w:val="7BBC4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55"/>
  </w:num>
  <w:num w:numId="4">
    <w:abstractNumId w:val="24"/>
  </w:num>
  <w:num w:numId="5">
    <w:abstractNumId w:val="33"/>
  </w:num>
  <w:num w:numId="6">
    <w:abstractNumId w:val="25"/>
  </w:num>
  <w:num w:numId="7">
    <w:abstractNumId w:val="38"/>
  </w:num>
  <w:num w:numId="8">
    <w:abstractNumId w:val="53"/>
  </w:num>
  <w:num w:numId="9">
    <w:abstractNumId w:val="39"/>
  </w:num>
  <w:num w:numId="10">
    <w:abstractNumId w:val="31"/>
  </w:num>
  <w:num w:numId="11">
    <w:abstractNumId w:val="26"/>
  </w:num>
  <w:num w:numId="12">
    <w:abstractNumId w:val="21"/>
  </w:num>
  <w:num w:numId="13">
    <w:abstractNumId w:val="23"/>
  </w:num>
  <w:num w:numId="14">
    <w:abstractNumId w:val="36"/>
  </w:num>
  <w:num w:numId="15">
    <w:abstractNumId w:val="29"/>
  </w:num>
  <w:num w:numId="16">
    <w:abstractNumId w:val="48"/>
  </w:num>
  <w:num w:numId="17">
    <w:abstractNumId w:val="20"/>
  </w:num>
  <w:num w:numId="18">
    <w:abstractNumId w:val="35"/>
  </w:num>
  <w:num w:numId="19">
    <w:abstractNumId w:val="51"/>
  </w:num>
  <w:num w:numId="20">
    <w:abstractNumId w:val="22"/>
  </w:num>
  <w:num w:numId="21">
    <w:abstractNumId w:val="49"/>
  </w:num>
  <w:num w:numId="22">
    <w:abstractNumId w:val="52"/>
  </w:num>
  <w:num w:numId="23">
    <w:abstractNumId w:val="45"/>
  </w:num>
  <w:num w:numId="24">
    <w:abstractNumId w:val="30"/>
  </w:num>
  <w:num w:numId="25">
    <w:abstractNumId w:val="32"/>
  </w:num>
  <w:num w:numId="26">
    <w:abstractNumId w:val="40"/>
  </w:num>
  <w:num w:numId="27">
    <w:abstractNumId w:val="42"/>
  </w:num>
  <w:num w:numId="28">
    <w:abstractNumId w:val="56"/>
  </w:num>
  <w:num w:numId="29">
    <w:abstractNumId w:val="44"/>
  </w:num>
  <w:num w:numId="30">
    <w:abstractNumId w:val="41"/>
  </w:num>
  <w:num w:numId="31">
    <w:abstractNumId w:val="46"/>
  </w:num>
  <w:num w:numId="32">
    <w:abstractNumId w:val="43"/>
  </w:num>
  <w:num w:numId="33">
    <w:abstractNumId w:val="54"/>
  </w:num>
  <w:num w:numId="34">
    <w:abstractNumId w:val="50"/>
  </w:num>
  <w:num w:numId="35">
    <w:abstractNumId w:val="28"/>
  </w:num>
  <w:num w:numId="36">
    <w:abstractNumId w:val="19"/>
  </w:num>
  <w:num w:numId="37">
    <w:abstractNumId w:val="37"/>
  </w:num>
  <w:num w:numId="38">
    <w:abstractNumId w:val="27"/>
  </w:num>
  <w:num w:numId="39">
    <w:abstractNumId w:val="4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84"/>
    <w:rsid w:val="00004B4A"/>
    <w:rsid w:val="00005F27"/>
    <w:rsid w:val="0000727F"/>
    <w:rsid w:val="00007356"/>
    <w:rsid w:val="00011594"/>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3F20"/>
    <w:rsid w:val="00085A77"/>
    <w:rsid w:val="00094233"/>
    <w:rsid w:val="000956DB"/>
    <w:rsid w:val="00096227"/>
    <w:rsid w:val="0009760C"/>
    <w:rsid w:val="000A3A34"/>
    <w:rsid w:val="000A46CA"/>
    <w:rsid w:val="000A4AEC"/>
    <w:rsid w:val="000A6444"/>
    <w:rsid w:val="000A73E9"/>
    <w:rsid w:val="000A7B93"/>
    <w:rsid w:val="000B17E1"/>
    <w:rsid w:val="000B202E"/>
    <w:rsid w:val="000B2F82"/>
    <w:rsid w:val="000B3096"/>
    <w:rsid w:val="000B353B"/>
    <w:rsid w:val="000B42C7"/>
    <w:rsid w:val="000C4724"/>
    <w:rsid w:val="000C4C22"/>
    <w:rsid w:val="000D1A8A"/>
    <w:rsid w:val="000D2054"/>
    <w:rsid w:val="000D22AD"/>
    <w:rsid w:val="000D4512"/>
    <w:rsid w:val="000E0CEA"/>
    <w:rsid w:val="000E197C"/>
    <w:rsid w:val="000E1A1D"/>
    <w:rsid w:val="000E1F1D"/>
    <w:rsid w:val="000E2590"/>
    <w:rsid w:val="000E39C7"/>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316D"/>
    <w:rsid w:val="00133AE7"/>
    <w:rsid w:val="00133F38"/>
    <w:rsid w:val="00134D6A"/>
    <w:rsid w:val="00136AEA"/>
    <w:rsid w:val="001376E9"/>
    <w:rsid w:val="001434D4"/>
    <w:rsid w:val="0014416D"/>
    <w:rsid w:val="00146A5A"/>
    <w:rsid w:val="00150E08"/>
    <w:rsid w:val="00151EB4"/>
    <w:rsid w:val="00151EE0"/>
    <w:rsid w:val="00153622"/>
    <w:rsid w:val="00154D07"/>
    <w:rsid w:val="00155CA3"/>
    <w:rsid w:val="001578F4"/>
    <w:rsid w:val="00160099"/>
    <w:rsid w:val="00165F0C"/>
    <w:rsid w:val="00167701"/>
    <w:rsid w:val="0017076C"/>
    <w:rsid w:val="00170C57"/>
    <w:rsid w:val="001716FB"/>
    <w:rsid w:val="00173FE2"/>
    <w:rsid w:val="001746A3"/>
    <w:rsid w:val="00175925"/>
    <w:rsid w:val="00177A3D"/>
    <w:rsid w:val="00185AD1"/>
    <w:rsid w:val="00187C79"/>
    <w:rsid w:val="00193915"/>
    <w:rsid w:val="0019514F"/>
    <w:rsid w:val="00197550"/>
    <w:rsid w:val="00197D09"/>
    <w:rsid w:val="001A0011"/>
    <w:rsid w:val="001A204D"/>
    <w:rsid w:val="001A335B"/>
    <w:rsid w:val="001A3449"/>
    <w:rsid w:val="001A3C67"/>
    <w:rsid w:val="001A4753"/>
    <w:rsid w:val="001A4B90"/>
    <w:rsid w:val="001B3770"/>
    <w:rsid w:val="001B54E3"/>
    <w:rsid w:val="001B697C"/>
    <w:rsid w:val="001B7041"/>
    <w:rsid w:val="001B70C6"/>
    <w:rsid w:val="001C4B40"/>
    <w:rsid w:val="001C4FAF"/>
    <w:rsid w:val="001C61D2"/>
    <w:rsid w:val="001C6534"/>
    <w:rsid w:val="001C71CD"/>
    <w:rsid w:val="001D5F57"/>
    <w:rsid w:val="001D6C2E"/>
    <w:rsid w:val="001E0CCA"/>
    <w:rsid w:val="001E1CB4"/>
    <w:rsid w:val="001E49DB"/>
    <w:rsid w:val="001E4CB5"/>
    <w:rsid w:val="001E4D4F"/>
    <w:rsid w:val="001E5209"/>
    <w:rsid w:val="001F19FE"/>
    <w:rsid w:val="001F4603"/>
    <w:rsid w:val="002019F1"/>
    <w:rsid w:val="002028C1"/>
    <w:rsid w:val="00205A29"/>
    <w:rsid w:val="0021175D"/>
    <w:rsid w:val="00211CEE"/>
    <w:rsid w:val="00214A92"/>
    <w:rsid w:val="00214BA3"/>
    <w:rsid w:val="00214CB0"/>
    <w:rsid w:val="002170F4"/>
    <w:rsid w:val="00217462"/>
    <w:rsid w:val="00217E90"/>
    <w:rsid w:val="0022437E"/>
    <w:rsid w:val="00224ADD"/>
    <w:rsid w:val="002305FB"/>
    <w:rsid w:val="00230A7A"/>
    <w:rsid w:val="002313C7"/>
    <w:rsid w:val="0023421A"/>
    <w:rsid w:val="00236A09"/>
    <w:rsid w:val="00236CDB"/>
    <w:rsid w:val="0024252D"/>
    <w:rsid w:val="00244E1B"/>
    <w:rsid w:val="002456D9"/>
    <w:rsid w:val="00245953"/>
    <w:rsid w:val="00251A33"/>
    <w:rsid w:val="00252C3C"/>
    <w:rsid w:val="00254131"/>
    <w:rsid w:val="002558EF"/>
    <w:rsid w:val="00255ABC"/>
    <w:rsid w:val="00272BC7"/>
    <w:rsid w:val="00272CCD"/>
    <w:rsid w:val="00276888"/>
    <w:rsid w:val="002769EE"/>
    <w:rsid w:val="0028180A"/>
    <w:rsid w:val="002921A0"/>
    <w:rsid w:val="002957A7"/>
    <w:rsid w:val="00297F2E"/>
    <w:rsid w:val="002A27F9"/>
    <w:rsid w:val="002A433B"/>
    <w:rsid w:val="002A55CC"/>
    <w:rsid w:val="002A75F1"/>
    <w:rsid w:val="002B0C60"/>
    <w:rsid w:val="002B2F8E"/>
    <w:rsid w:val="002B33FA"/>
    <w:rsid w:val="002B4633"/>
    <w:rsid w:val="002B6E92"/>
    <w:rsid w:val="002C10EA"/>
    <w:rsid w:val="002C2D24"/>
    <w:rsid w:val="002C63AC"/>
    <w:rsid w:val="002C679D"/>
    <w:rsid w:val="002C709B"/>
    <w:rsid w:val="002D08E2"/>
    <w:rsid w:val="002D205C"/>
    <w:rsid w:val="002D2601"/>
    <w:rsid w:val="002D5468"/>
    <w:rsid w:val="002D6F71"/>
    <w:rsid w:val="002E137E"/>
    <w:rsid w:val="002E354B"/>
    <w:rsid w:val="002E3783"/>
    <w:rsid w:val="002E447B"/>
    <w:rsid w:val="002E7A10"/>
    <w:rsid w:val="002F03E6"/>
    <w:rsid w:val="002F04D7"/>
    <w:rsid w:val="002F1902"/>
    <w:rsid w:val="00300335"/>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B10"/>
    <w:rsid w:val="00336C95"/>
    <w:rsid w:val="00341DC2"/>
    <w:rsid w:val="00342E4C"/>
    <w:rsid w:val="00346014"/>
    <w:rsid w:val="00346D88"/>
    <w:rsid w:val="003473C4"/>
    <w:rsid w:val="003477BE"/>
    <w:rsid w:val="003537A4"/>
    <w:rsid w:val="0035541E"/>
    <w:rsid w:val="00356F6D"/>
    <w:rsid w:val="00362691"/>
    <w:rsid w:val="00367FF2"/>
    <w:rsid w:val="00380CD9"/>
    <w:rsid w:val="003814AF"/>
    <w:rsid w:val="003836E6"/>
    <w:rsid w:val="003852A0"/>
    <w:rsid w:val="00386BAD"/>
    <w:rsid w:val="00387D73"/>
    <w:rsid w:val="00397EDE"/>
    <w:rsid w:val="003A2B32"/>
    <w:rsid w:val="003A35CA"/>
    <w:rsid w:val="003A48E7"/>
    <w:rsid w:val="003A552D"/>
    <w:rsid w:val="003A5A2F"/>
    <w:rsid w:val="003A6909"/>
    <w:rsid w:val="003B180A"/>
    <w:rsid w:val="003B7A63"/>
    <w:rsid w:val="003B7BF4"/>
    <w:rsid w:val="003C0AA3"/>
    <w:rsid w:val="003C0E3D"/>
    <w:rsid w:val="003C3CE5"/>
    <w:rsid w:val="003C5489"/>
    <w:rsid w:val="003D33EA"/>
    <w:rsid w:val="003D45B8"/>
    <w:rsid w:val="003D5374"/>
    <w:rsid w:val="003D5F48"/>
    <w:rsid w:val="003E0093"/>
    <w:rsid w:val="003E0979"/>
    <w:rsid w:val="003E1049"/>
    <w:rsid w:val="003E162F"/>
    <w:rsid w:val="003E218E"/>
    <w:rsid w:val="003E66AD"/>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1661"/>
    <w:rsid w:val="0046668E"/>
    <w:rsid w:val="0046768C"/>
    <w:rsid w:val="004726C5"/>
    <w:rsid w:val="00473255"/>
    <w:rsid w:val="00473770"/>
    <w:rsid w:val="00474719"/>
    <w:rsid w:val="00475021"/>
    <w:rsid w:val="0048423A"/>
    <w:rsid w:val="00484F44"/>
    <w:rsid w:val="00486798"/>
    <w:rsid w:val="00487870"/>
    <w:rsid w:val="004927AD"/>
    <w:rsid w:val="0049438F"/>
    <w:rsid w:val="004959EE"/>
    <w:rsid w:val="004A0630"/>
    <w:rsid w:val="004A25AE"/>
    <w:rsid w:val="004B1D03"/>
    <w:rsid w:val="004B525C"/>
    <w:rsid w:val="004B558D"/>
    <w:rsid w:val="004B5FCB"/>
    <w:rsid w:val="004C0E0B"/>
    <w:rsid w:val="004C2FC5"/>
    <w:rsid w:val="004C478A"/>
    <w:rsid w:val="004C7585"/>
    <w:rsid w:val="004C772D"/>
    <w:rsid w:val="004D4549"/>
    <w:rsid w:val="004D63DD"/>
    <w:rsid w:val="004E2364"/>
    <w:rsid w:val="004E2AB4"/>
    <w:rsid w:val="004E7EEB"/>
    <w:rsid w:val="004F1C0B"/>
    <w:rsid w:val="004F3CB4"/>
    <w:rsid w:val="004F7D71"/>
    <w:rsid w:val="00500036"/>
    <w:rsid w:val="00501BA9"/>
    <w:rsid w:val="00501EBE"/>
    <w:rsid w:val="00502310"/>
    <w:rsid w:val="0050239F"/>
    <w:rsid w:val="005077DE"/>
    <w:rsid w:val="00510F3C"/>
    <w:rsid w:val="00511C22"/>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00B8"/>
    <w:rsid w:val="00565647"/>
    <w:rsid w:val="005657FD"/>
    <w:rsid w:val="005677F9"/>
    <w:rsid w:val="005713C2"/>
    <w:rsid w:val="00571C7A"/>
    <w:rsid w:val="00574A91"/>
    <w:rsid w:val="00574BC1"/>
    <w:rsid w:val="00574E4E"/>
    <w:rsid w:val="005751DD"/>
    <w:rsid w:val="00577044"/>
    <w:rsid w:val="005778F9"/>
    <w:rsid w:val="00581343"/>
    <w:rsid w:val="00581E78"/>
    <w:rsid w:val="005836E1"/>
    <w:rsid w:val="00584C5E"/>
    <w:rsid w:val="005852D3"/>
    <w:rsid w:val="005859BF"/>
    <w:rsid w:val="005867BE"/>
    <w:rsid w:val="005871A6"/>
    <w:rsid w:val="00592620"/>
    <w:rsid w:val="005A07D7"/>
    <w:rsid w:val="005A0D63"/>
    <w:rsid w:val="005B1EA0"/>
    <w:rsid w:val="005B7235"/>
    <w:rsid w:val="005B7A6F"/>
    <w:rsid w:val="005B7DED"/>
    <w:rsid w:val="005C07FC"/>
    <w:rsid w:val="005C2B41"/>
    <w:rsid w:val="005C628B"/>
    <w:rsid w:val="005C7176"/>
    <w:rsid w:val="005C75D4"/>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5F787C"/>
    <w:rsid w:val="006015B2"/>
    <w:rsid w:val="00604855"/>
    <w:rsid w:val="006145AB"/>
    <w:rsid w:val="00614EFB"/>
    <w:rsid w:val="00620199"/>
    <w:rsid w:val="00621927"/>
    <w:rsid w:val="006227DA"/>
    <w:rsid w:val="006245BE"/>
    <w:rsid w:val="006265CD"/>
    <w:rsid w:val="00631ED1"/>
    <w:rsid w:val="00633FE6"/>
    <w:rsid w:val="00637F52"/>
    <w:rsid w:val="006418C5"/>
    <w:rsid w:val="00647A0E"/>
    <w:rsid w:val="00647BE3"/>
    <w:rsid w:val="006601C4"/>
    <w:rsid w:val="006604BD"/>
    <w:rsid w:val="00660C5E"/>
    <w:rsid w:val="00661636"/>
    <w:rsid w:val="0066233A"/>
    <w:rsid w:val="006631CA"/>
    <w:rsid w:val="00674726"/>
    <w:rsid w:val="00675C49"/>
    <w:rsid w:val="00677477"/>
    <w:rsid w:val="006777DB"/>
    <w:rsid w:val="006810E6"/>
    <w:rsid w:val="00682755"/>
    <w:rsid w:val="0068432A"/>
    <w:rsid w:val="006845D5"/>
    <w:rsid w:val="00684EB5"/>
    <w:rsid w:val="00684F40"/>
    <w:rsid w:val="00690291"/>
    <w:rsid w:val="00690632"/>
    <w:rsid w:val="006924A6"/>
    <w:rsid w:val="00694919"/>
    <w:rsid w:val="00694B3B"/>
    <w:rsid w:val="00695119"/>
    <w:rsid w:val="006958D4"/>
    <w:rsid w:val="00697149"/>
    <w:rsid w:val="006A0319"/>
    <w:rsid w:val="006A46BC"/>
    <w:rsid w:val="006A4F29"/>
    <w:rsid w:val="006B086F"/>
    <w:rsid w:val="006B1066"/>
    <w:rsid w:val="006B1948"/>
    <w:rsid w:val="006B1F16"/>
    <w:rsid w:val="006B340D"/>
    <w:rsid w:val="006B765D"/>
    <w:rsid w:val="006B7A9A"/>
    <w:rsid w:val="006C1A88"/>
    <w:rsid w:val="006C3020"/>
    <w:rsid w:val="006C3F4A"/>
    <w:rsid w:val="006C4D9F"/>
    <w:rsid w:val="006C6408"/>
    <w:rsid w:val="006C7B7A"/>
    <w:rsid w:val="006D48EC"/>
    <w:rsid w:val="006D67EC"/>
    <w:rsid w:val="006E0A6D"/>
    <w:rsid w:val="006E260E"/>
    <w:rsid w:val="006E37D0"/>
    <w:rsid w:val="006E3D40"/>
    <w:rsid w:val="006E4790"/>
    <w:rsid w:val="006E6319"/>
    <w:rsid w:val="006E7FA0"/>
    <w:rsid w:val="006F1032"/>
    <w:rsid w:val="006F21E5"/>
    <w:rsid w:val="006F251C"/>
    <w:rsid w:val="006F6ABD"/>
    <w:rsid w:val="00703562"/>
    <w:rsid w:val="007069A9"/>
    <w:rsid w:val="00712601"/>
    <w:rsid w:val="0071289F"/>
    <w:rsid w:val="00714FCC"/>
    <w:rsid w:val="00716028"/>
    <w:rsid w:val="00716225"/>
    <w:rsid w:val="007266C9"/>
    <w:rsid w:val="00733AAB"/>
    <w:rsid w:val="007340EE"/>
    <w:rsid w:val="007342C9"/>
    <w:rsid w:val="0073660B"/>
    <w:rsid w:val="00740D94"/>
    <w:rsid w:val="00741FD4"/>
    <w:rsid w:val="0074291B"/>
    <w:rsid w:val="0074391C"/>
    <w:rsid w:val="00744584"/>
    <w:rsid w:val="007503EC"/>
    <w:rsid w:val="00752568"/>
    <w:rsid w:val="00754CD0"/>
    <w:rsid w:val="007554B4"/>
    <w:rsid w:val="007642A0"/>
    <w:rsid w:val="00764F7D"/>
    <w:rsid w:val="00767329"/>
    <w:rsid w:val="00767F37"/>
    <w:rsid w:val="00771A4B"/>
    <w:rsid w:val="00772A8B"/>
    <w:rsid w:val="00774073"/>
    <w:rsid w:val="00774A5C"/>
    <w:rsid w:val="00782889"/>
    <w:rsid w:val="0078640C"/>
    <w:rsid w:val="0078687B"/>
    <w:rsid w:val="00786A92"/>
    <w:rsid w:val="007877FD"/>
    <w:rsid w:val="00795CCE"/>
    <w:rsid w:val="007A0970"/>
    <w:rsid w:val="007A0AA4"/>
    <w:rsid w:val="007A2D97"/>
    <w:rsid w:val="007A6494"/>
    <w:rsid w:val="007B2ACD"/>
    <w:rsid w:val="007B667D"/>
    <w:rsid w:val="007C11EE"/>
    <w:rsid w:val="007C3216"/>
    <w:rsid w:val="007C47EF"/>
    <w:rsid w:val="007C6913"/>
    <w:rsid w:val="007C7B48"/>
    <w:rsid w:val="007D06C9"/>
    <w:rsid w:val="007D363A"/>
    <w:rsid w:val="007D5270"/>
    <w:rsid w:val="007E365E"/>
    <w:rsid w:val="007E4CAB"/>
    <w:rsid w:val="007E55D5"/>
    <w:rsid w:val="007E6AF6"/>
    <w:rsid w:val="007E6D9B"/>
    <w:rsid w:val="007E7F40"/>
    <w:rsid w:val="007F3CA8"/>
    <w:rsid w:val="007F4E46"/>
    <w:rsid w:val="007F7580"/>
    <w:rsid w:val="00801BA0"/>
    <w:rsid w:val="008065D0"/>
    <w:rsid w:val="00810064"/>
    <w:rsid w:val="00810E97"/>
    <w:rsid w:val="008142C1"/>
    <w:rsid w:val="00820A1A"/>
    <w:rsid w:val="008224E6"/>
    <w:rsid w:val="008227F5"/>
    <w:rsid w:val="00823143"/>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751F8"/>
    <w:rsid w:val="008804EC"/>
    <w:rsid w:val="00884AD9"/>
    <w:rsid w:val="00885CFC"/>
    <w:rsid w:val="00886976"/>
    <w:rsid w:val="00890ABA"/>
    <w:rsid w:val="00891043"/>
    <w:rsid w:val="008916D9"/>
    <w:rsid w:val="00891961"/>
    <w:rsid w:val="00894876"/>
    <w:rsid w:val="00896CBD"/>
    <w:rsid w:val="00896F3A"/>
    <w:rsid w:val="008A017B"/>
    <w:rsid w:val="008A1458"/>
    <w:rsid w:val="008A27DF"/>
    <w:rsid w:val="008A464B"/>
    <w:rsid w:val="008A5352"/>
    <w:rsid w:val="008A6ED6"/>
    <w:rsid w:val="008B02F5"/>
    <w:rsid w:val="008B57F1"/>
    <w:rsid w:val="008B6077"/>
    <w:rsid w:val="008B6DB0"/>
    <w:rsid w:val="008B7718"/>
    <w:rsid w:val="008B7C9F"/>
    <w:rsid w:val="008C034F"/>
    <w:rsid w:val="008C03EC"/>
    <w:rsid w:val="008C040F"/>
    <w:rsid w:val="008C085B"/>
    <w:rsid w:val="008C2694"/>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1CB5"/>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9BB"/>
    <w:rsid w:val="00954E6C"/>
    <w:rsid w:val="00957841"/>
    <w:rsid w:val="00960D58"/>
    <w:rsid w:val="0096187B"/>
    <w:rsid w:val="00963323"/>
    <w:rsid w:val="00963967"/>
    <w:rsid w:val="0097368A"/>
    <w:rsid w:val="00980C0D"/>
    <w:rsid w:val="00982786"/>
    <w:rsid w:val="00985192"/>
    <w:rsid w:val="0098674A"/>
    <w:rsid w:val="00987569"/>
    <w:rsid w:val="00992949"/>
    <w:rsid w:val="009930D4"/>
    <w:rsid w:val="009930FA"/>
    <w:rsid w:val="009938DF"/>
    <w:rsid w:val="009950EF"/>
    <w:rsid w:val="00995D8E"/>
    <w:rsid w:val="00996544"/>
    <w:rsid w:val="00997A02"/>
    <w:rsid w:val="009A1F16"/>
    <w:rsid w:val="009B0DAF"/>
    <w:rsid w:val="009B54E5"/>
    <w:rsid w:val="009C21E3"/>
    <w:rsid w:val="009C46E6"/>
    <w:rsid w:val="009C6BC1"/>
    <w:rsid w:val="009D2731"/>
    <w:rsid w:val="009D4FD3"/>
    <w:rsid w:val="009D5951"/>
    <w:rsid w:val="009E09F5"/>
    <w:rsid w:val="009E4344"/>
    <w:rsid w:val="009E6167"/>
    <w:rsid w:val="009F11D3"/>
    <w:rsid w:val="009F5BFE"/>
    <w:rsid w:val="009F6291"/>
    <w:rsid w:val="00A01E7D"/>
    <w:rsid w:val="00A04177"/>
    <w:rsid w:val="00A0672D"/>
    <w:rsid w:val="00A10F5E"/>
    <w:rsid w:val="00A12484"/>
    <w:rsid w:val="00A16483"/>
    <w:rsid w:val="00A23B41"/>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B0622F"/>
    <w:rsid w:val="00B06C61"/>
    <w:rsid w:val="00B07444"/>
    <w:rsid w:val="00B10DC9"/>
    <w:rsid w:val="00B167B3"/>
    <w:rsid w:val="00B172C7"/>
    <w:rsid w:val="00B17AB8"/>
    <w:rsid w:val="00B20E38"/>
    <w:rsid w:val="00B211B1"/>
    <w:rsid w:val="00B2190B"/>
    <w:rsid w:val="00B21D7F"/>
    <w:rsid w:val="00B23B59"/>
    <w:rsid w:val="00B23E01"/>
    <w:rsid w:val="00B32052"/>
    <w:rsid w:val="00B32CC6"/>
    <w:rsid w:val="00B33171"/>
    <w:rsid w:val="00B33302"/>
    <w:rsid w:val="00B3689E"/>
    <w:rsid w:val="00B44EAA"/>
    <w:rsid w:val="00B52FC8"/>
    <w:rsid w:val="00B55B26"/>
    <w:rsid w:val="00B56D79"/>
    <w:rsid w:val="00B606FC"/>
    <w:rsid w:val="00B617F3"/>
    <w:rsid w:val="00B6492B"/>
    <w:rsid w:val="00B64B92"/>
    <w:rsid w:val="00B65980"/>
    <w:rsid w:val="00B70B23"/>
    <w:rsid w:val="00B745F9"/>
    <w:rsid w:val="00B75CCB"/>
    <w:rsid w:val="00B84B86"/>
    <w:rsid w:val="00B87771"/>
    <w:rsid w:val="00B87F75"/>
    <w:rsid w:val="00B965FA"/>
    <w:rsid w:val="00BA0BD8"/>
    <w:rsid w:val="00BA59FC"/>
    <w:rsid w:val="00BA5DA7"/>
    <w:rsid w:val="00BA6C79"/>
    <w:rsid w:val="00BB64BE"/>
    <w:rsid w:val="00BB7584"/>
    <w:rsid w:val="00BC1B3C"/>
    <w:rsid w:val="00BC305A"/>
    <w:rsid w:val="00BC51D4"/>
    <w:rsid w:val="00BC52A0"/>
    <w:rsid w:val="00BC5E13"/>
    <w:rsid w:val="00BC5F79"/>
    <w:rsid w:val="00BD0683"/>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3EAF"/>
    <w:rsid w:val="00C06113"/>
    <w:rsid w:val="00C10566"/>
    <w:rsid w:val="00C12E10"/>
    <w:rsid w:val="00C14410"/>
    <w:rsid w:val="00C21E4F"/>
    <w:rsid w:val="00C2223A"/>
    <w:rsid w:val="00C27543"/>
    <w:rsid w:val="00C276F5"/>
    <w:rsid w:val="00C308F6"/>
    <w:rsid w:val="00C31C3C"/>
    <w:rsid w:val="00C327B9"/>
    <w:rsid w:val="00C34AFF"/>
    <w:rsid w:val="00C4325F"/>
    <w:rsid w:val="00C4360C"/>
    <w:rsid w:val="00C4558C"/>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66B1"/>
    <w:rsid w:val="00C7797D"/>
    <w:rsid w:val="00C80399"/>
    <w:rsid w:val="00C81F7B"/>
    <w:rsid w:val="00C848BF"/>
    <w:rsid w:val="00C87E5D"/>
    <w:rsid w:val="00C87EB8"/>
    <w:rsid w:val="00C96B3F"/>
    <w:rsid w:val="00C97682"/>
    <w:rsid w:val="00CA1F83"/>
    <w:rsid w:val="00CA26CC"/>
    <w:rsid w:val="00CA3E96"/>
    <w:rsid w:val="00CA45CF"/>
    <w:rsid w:val="00CA4F16"/>
    <w:rsid w:val="00CA5F75"/>
    <w:rsid w:val="00CA7B9C"/>
    <w:rsid w:val="00CB01AB"/>
    <w:rsid w:val="00CB2232"/>
    <w:rsid w:val="00CB3C43"/>
    <w:rsid w:val="00CB4C81"/>
    <w:rsid w:val="00CB788A"/>
    <w:rsid w:val="00CC2143"/>
    <w:rsid w:val="00CC2CC5"/>
    <w:rsid w:val="00CC5963"/>
    <w:rsid w:val="00CC7A01"/>
    <w:rsid w:val="00CD2F6C"/>
    <w:rsid w:val="00CD43ED"/>
    <w:rsid w:val="00CE4541"/>
    <w:rsid w:val="00CE5CC1"/>
    <w:rsid w:val="00CF325C"/>
    <w:rsid w:val="00CF3CA0"/>
    <w:rsid w:val="00D020C5"/>
    <w:rsid w:val="00D10081"/>
    <w:rsid w:val="00D1122B"/>
    <w:rsid w:val="00D15439"/>
    <w:rsid w:val="00D16BC1"/>
    <w:rsid w:val="00D171CD"/>
    <w:rsid w:val="00D2149E"/>
    <w:rsid w:val="00D23A84"/>
    <w:rsid w:val="00D244BB"/>
    <w:rsid w:val="00D24705"/>
    <w:rsid w:val="00D251A2"/>
    <w:rsid w:val="00D3259F"/>
    <w:rsid w:val="00D35018"/>
    <w:rsid w:val="00D3577D"/>
    <w:rsid w:val="00D3633A"/>
    <w:rsid w:val="00D42276"/>
    <w:rsid w:val="00D45723"/>
    <w:rsid w:val="00D558CA"/>
    <w:rsid w:val="00D55D18"/>
    <w:rsid w:val="00D565F8"/>
    <w:rsid w:val="00D57198"/>
    <w:rsid w:val="00D65B06"/>
    <w:rsid w:val="00D671DB"/>
    <w:rsid w:val="00D71A78"/>
    <w:rsid w:val="00D74639"/>
    <w:rsid w:val="00D748AA"/>
    <w:rsid w:val="00D748F0"/>
    <w:rsid w:val="00D90439"/>
    <w:rsid w:val="00D9633D"/>
    <w:rsid w:val="00DA1198"/>
    <w:rsid w:val="00DA4130"/>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6BF1"/>
    <w:rsid w:val="00E2743B"/>
    <w:rsid w:val="00E27983"/>
    <w:rsid w:val="00E31024"/>
    <w:rsid w:val="00E344DF"/>
    <w:rsid w:val="00E34A11"/>
    <w:rsid w:val="00E36FD9"/>
    <w:rsid w:val="00E36FF8"/>
    <w:rsid w:val="00E42519"/>
    <w:rsid w:val="00E47BDE"/>
    <w:rsid w:val="00E52914"/>
    <w:rsid w:val="00E53B7A"/>
    <w:rsid w:val="00E54EB9"/>
    <w:rsid w:val="00E5571B"/>
    <w:rsid w:val="00E55B97"/>
    <w:rsid w:val="00E56DC2"/>
    <w:rsid w:val="00E6075F"/>
    <w:rsid w:val="00E627FC"/>
    <w:rsid w:val="00E64E02"/>
    <w:rsid w:val="00E67878"/>
    <w:rsid w:val="00E70D68"/>
    <w:rsid w:val="00E73F27"/>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60A0"/>
    <w:rsid w:val="00EC710A"/>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094A"/>
    <w:rsid w:val="00F36574"/>
    <w:rsid w:val="00F37252"/>
    <w:rsid w:val="00F43FD6"/>
    <w:rsid w:val="00F507CA"/>
    <w:rsid w:val="00F5613D"/>
    <w:rsid w:val="00F5673C"/>
    <w:rsid w:val="00F56CE6"/>
    <w:rsid w:val="00F64B62"/>
    <w:rsid w:val="00F64F42"/>
    <w:rsid w:val="00F736D1"/>
    <w:rsid w:val="00F74290"/>
    <w:rsid w:val="00F76383"/>
    <w:rsid w:val="00F7754B"/>
    <w:rsid w:val="00F83964"/>
    <w:rsid w:val="00F87BC7"/>
    <w:rsid w:val="00F904D0"/>
    <w:rsid w:val="00F90D2F"/>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11B"/>
    <w:rsid w:val="00FC66B2"/>
    <w:rsid w:val="00FC766D"/>
    <w:rsid w:val="00FD18AA"/>
    <w:rsid w:val="00FD2BCF"/>
    <w:rsid w:val="00FD4E02"/>
    <w:rsid w:val="00FD6E0A"/>
    <w:rsid w:val="00FE3DC9"/>
    <w:rsid w:val="00FE552D"/>
    <w:rsid w:val="00FE7737"/>
    <w:rsid w:val="00FF195A"/>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FA7E"/>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075782084">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232AD-8337-4B1E-B545-05026AB2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25</Pages>
  <Words>9401</Words>
  <Characters>53589</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179</cp:revision>
  <cp:lastPrinted>2021-08-03T05:33:00Z</cp:lastPrinted>
  <dcterms:created xsi:type="dcterms:W3CDTF">2021-10-27T06:10:00Z</dcterms:created>
  <dcterms:modified xsi:type="dcterms:W3CDTF">2022-02-16T06:37:00Z</dcterms:modified>
</cp:coreProperties>
</file>