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D6A2B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24944A92" wp14:editId="67FD8A4B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C77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55703E3" w14:textId="07C92E9D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E2284A">
        <w:rPr>
          <w:rFonts w:ascii="Garamond" w:hAnsi="Garamond"/>
          <w:b/>
          <w:sz w:val="28"/>
          <w:szCs w:val="28"/>
        </w:rPr>
        <w:t xml:space="preserve"> </w:t>
      </w:r>
    </w:p>
    <w:p w14:paraId="663CE5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9345EAF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9213883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A81EABC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516EC90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B7E27FA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1D08F97" w14:textId="1578925D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F20078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E2284A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2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792171A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12707C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57203E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20CEAB2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4947B78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F51650A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09DFE3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82D2AD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7D144D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249A2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DF5E2E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2CEFA4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FF24AC2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2D2AC8B3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D6234C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B9051AD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A9A0BFA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2CA3D2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398D80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9A3B293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8066FD1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9FC8A87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85B429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7015B999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7011D62" w14:textId="77777777" w:rsidR="006431DF" w:rsidRDefault="006431DF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</w:p>
    <w:p w14:paraId="161EB08C" w14:textId="51DA83DA" w:rsidR="00BB6A0F" w:rsidRPr="001B1CA6" w:rsidRDefault="00005D36" w:rsidP="00BC4D51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1B1CA6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310120F3" w14:textId="34C4D863" w:rsidR="00320B48" w:rsidRPr="00BB6086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BB6086">
        <w:rPr>
          <w:rFonts w:ascii="Garamond" w:hAnsi="Garamond"/>
          <w:b/>
          <w:sz w:val="24"/>
          <w:szCs w:val="24"/>
        </w:rPr>
        <w:t>Javni prihodi</w:t>
      </w:r>
      <w:r w:rsidRPr="00BB6086">
        <w:rPr>
          <w:rFonts w:ascii="Garamond" w:hAnsi="Garamond"/>
          <w:sz w:val="24"/>
          <w:szCs w:val="24"/>
        </w:rPr>
        <w:t> </w:t>
      </w:r>
      <w:r w:rsidR="00BC36DF" w:rsidRPr="00BB6086">
        <w:rPr>
          <w:rFonts w:ascii="Garamond" w:hAnsi="Garamond"/>
          <w:sz w:val="24"/>
          <w:szCs w:val="24"/>
        </w:rPr>
        <w:t xml:space="preserve">u </w:t>
      </w:r>
      <w:r w:rsidR="00E55B8F" w:rsidRPr="00BB6086">
        <w:rPr>
          <w:rFonts w:ascii="Garamond" w:hAnsi="Garamond"/>
          <w:sz w:val="24"/>
          <w:szCs w:val="24"/>
        </w:rPr>
        <w:t xml:space="preserve">periodu januar </w:t>
      </w:r>
      <w:r w:rsidR="00EF0897" w:rsidRPr="00BB6086">
        <w:rPr>
          <w:rFonts w:ascii="Garamond" w:hAnsi="Garamond"/>
          <w:sz w:val="24"/>
          <w:szCs w:val="24"/>
        </w:rPr>
        <w:t>–</w:t>
      </w:r>
      <w:r w:rsidR="00F33270" w:rsidRPr="00BB6086">
        <w:rPr>
          <w:rFonts w:ascii="Garamond" w:hAnsi="Garamond"/>
          <w:sz w:val="24"/>
          <w:szCs w:val="24"/>
        </w:rPr>
        <w:t xml:space="preserve"> </w:t>
      </w:r>
      <w:r w:rsidR="00347D33" w:rsidRPr="00BB6086">
        <w:rPr>
          <w:rFonts w:ascii="Garamond" w:hAnsi="Garamond"/>
          <w:sz w:val="24"/>
          <w:szCs w:val="24"/>
        </w:rPr>
        <w:t>mart</w:t>
      </w:r>
      <w:r w:rsidR="002A06FB" w:rsidRPr="00BB6086">
        <w:rPr>
          <w:rFonts w:ascii="Garamond" w:hAnsi="Garamond"/>
          <w:sz w:val="24"/>
          <w:szCs w:val="24"/>
        </w:rPr>
        <w:t xml:space="preserve"> 2022</w:t>
      </w:r>
      <w:r w:rsidR="00EF0897" w:rsidRPr="00BB6086">
        <w:rPr>
          <w:rFonts w:ascii="Garamond" w:hAnsi="Garamond"/>
          <w:sz w:val="24"/>
          <w:szCs w:val="24"/>
        </w:rPr>
        <w:t>. godine</w:t>
      </w:r>
      <w:r w:rsidR="00A47746" w:rsidRPr="00BB6086">
        <w:rPr>
          <w:rFonts w:ascii="Garamond" w:hAnsi="Garamond"/>
          <w:sz w:val="24"/>
          <w:szCs w:val="24"/>
        </w:rPr>
        <w:t xml:space="preserve"> iznosili su </w:t>
      </w:r>
      <w:r w:rsidR="00347D33" w:rsidRPr="00BB6086">
        <w:rPr>
          <w:rFonts w:ascii="Garamond" w:hAnsi="Garamond"/>
          <w:sz w:val="24"/>
          <w:szCs w:val="24"/>
        </w:rPr>
        <w:t xml:space="preserve">463,2 mil. € ili 8,7% procijenjenog BDP-a (5.306,4mil. €) i u odnosu na planirane </w:t>
      </w:r>
      <w:r w:rsidR="002E417B" w:rsidRPr="00BB6086">
        <w:rPr>
          <w:rFonts w:ascii="Garamond" w:hAnsi="Garamond"/>
          <w:sz w:val="24"/>
          <w:szCs w:val="24"/>
        </w:rPr>
        <w:t>veći su za 36,1 mil. € ili 8,5%</w:t>
      </w:r>
      <w:r w:rsidR="00347D33" w:rsidRPr="00BB6086">
        <w:rPr>
          <w:rFonts w:ascii="Garamond" w:hAnsi="Garamond"/>
          <w:sz w:val="24"/>
          <w:szCs w:val="24"/>
        </w:rPr>
        <w:t xml:space="preserve">. U odnosu na </w:t>
      </w:r>
      <w:r w:rsidR="002E417B" w:rsidRPr="00BB6086">
        <w:rPr>
          <w:rFonts w:ascii="Garamond" w:hAnsi="Garamond"/>
          <w:sz w:val="24"/>
          <w:szCs w:val="24"/>
        </w:rPr>
        <w:t xml:space="preserve">isti period </w:t>
      </w:r>
      <w:r w:rsidR="00347D33" w:rsidRPr="00BB6086">
        <w:rPr>
          <w:rFonts w:ascii="Garamond" w:hAnsi="Garamond"/>
          <w:sz w:val="24"/>
          <w:szCs w:val="24"/>
        </w:rPr>
        <w:t>2021. godin</w:t>
      </w:r>
      <w:r w:rsidR="002E417B" w:rsidRPr="00BB6086">
        <w:rPr>
          <w:rFonts w:ascii="Garamond" w:hAnsi="Garamond"/>
          <w:sz w:val="24"/>
          <w:szCs w:val="24"/>
        </w:rPr>
        <w:t>e</w:t>
      </w:r>
      <w:r w:rsidR="00347D33" w:rsidRPr="00BB6086">
        <w:rPr>
          <w:rFonts w:ascii="Garamond" w:hAnsi="Garamond"/>
          <w:sz w:val="24"/>
          <w:szCs w:val="24"/>
        </w:rPr>
        <w:t>, javni prihodi su</w:t>
      </w:r>
      <w:r w:rsidR="002E417B" w:rsidRPr="00BB6086">
        <w:rPr>
          <w:rFonts w:ascii="Garamond" w:hAnsi="Garamond"/>
          <w:sz w:val="24"/>
          <w:szCs w:val="24"/>
        </w:rPr>
        <w:t xml:space="preserve"> veći za 72,6 mil. € ili 18,6%.</w:t>
      </w:r>
    </w:p>
    <w:p w14:paraId="6A3CEF7C" w14:textId="4160E9A9" w:rsidR="00EF3B97" w:rsidRPr="00BB6086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BB6086">
        <w:rPr>
          <w:rFonts w:ascii="Garamond" w:hAnsi="Garamond"/>
          <w:b/>
          <w:sz w:val="24"/>
          <w:szCs w:val="24"/>
        </w:rPr>
        <w:t>Javna potrošnja</w:t>
      </w:r>
      <w:r w:rsidRPr="00BB6086">
        <w:rPr>
          <w:rFonts w:ascii="Garamond" w:hAnsi="Garamond"/>
          <w:sz w:val="24"/>
          <w:szCs w:val="24"/>
        </w:rPr>
        <w:t> </w:t>
      </w:r>
      <w:r w:rsidR="00332FE1" w:rsidRPr="00BB6086">
        <w:rPr>
          <w:rFonts w:ascii="Garamond" w:hAnsi="Garamond"/>
          <w:sz w:val="24"/>
          <w:szCs w:val="24"/>
        </w:rPr>
        <w:t xml:space="preserve">u </w:t>
      </w:r>
      <w:r w:rsidR="00046F4B" w:rsidRPr="00BB6086">
        <w:rPr>
          <w:rFonts w:ascii="Garamond" w:hAnsi="Garamond"/>
          <w:sz w:val="24"/>
          <w:szCs w:val="24"/>
        </w:rPr>
        <w:t xml:space="preserve">periodu januar – </w:t>
      </w:r>
      <w:r w:rsidR="002E417B" w:rsidRPr="00BB6086">
        <w:rPr>
          <w:rFonts w:ascii="Garamond" w:hAnsi="Garamond"/>
          <w:sz w:val="24"/>
          <w:szCs w:val="24"/>
        </w:rPr>
        <w:t>mart</w:t>
      </w:r>
      <w:r w:rsidR="00274F4B" w:rsidRPr="00BB6086">
        <w:rPr>
          <w:rFonts w:ascii="Garamond" w:hAnsi="Garamond"/>
          <w:sz w:val="24"/>
          <w:szCs w:val="24"/>
        </w:rPr>
        <w:t xml:space="preserve"> 2022</w:t>
      </w:r>
      <w:r w:rsidR="00FE4414" w:rsidRPr="00BB6086">
        <w:rPr>
          <w:rFonts w:ascii="Garamond" w:hAnsi="Garamond"/>
          <w:sz w:val="24"/>
          <w:szCs w:val="24"/>
        </w:rPr>
        <w:t>. godine</w:t>
      </w:r>
      <w:r w:rsidR="004858A4" w:rsidRPr="00BB6086">
        <w:rPr>
          <w:rFonts w:ascii="Garamond" w:hAnsi="Garamond"/>
          <w:sz w:val="24"/>
          <w:szCs w:val="24"/>
        </w:rPr>
        <w:t xml:space="preserve"> </w:t>
      </w:r>
      <w:r w:rsidR="00A47746" w:rsidRPr="00BB6086">
        <w:rPr>
          <w:rFonts w:ascii="Garamond" w:hAnsi="Garamond"/>
          <w:sz w:val="24"/>
          <w:szCs w:val="24"/>
        </w:rPr>
        <w:t xml:space="preserve">iznosila </w:t>
      </w:r>
      <w:r w:rsidR="00BB6086" w:rsidRPr="00BB6086">
        <w:rPr>
          <w:rFonts w:ascii="Garamond" w:hAnsi="Garamond"/>
          <w:sz w:val="24"/>
          <w:szCs w:val="24"/>
        </w:rPr>
        <w:t xml:space="preserve">je </w:t>
      </w:r>
      <w:r w:rsidR="00E6408D" w:rsidRPr="00BB6086">
        <w:rPr>
          <w:rFonts w:ascii="Garamond" w:hAnsi="Garamond"/>
          <w:sz w:val="24"/>
          <w:szCs w:val="24"/>
        </w:rPr>
        <w:t>499,0 mil. € ili 9,4% BDP-a, i manja je za 90,0 mil. € ili 15,3% u odnosu na planiranu, dok je u odnosu n</w:t>
      </w:r>
      <w:r w:rsidR="00BB6086" w:rsidRPr="00BB6086">
        <w:rPr>
          <w:rFonts w:ascii="Garamond" w:hAnsi="Garamond"/>
          <w:sz w:val="24"/>
          <w:szCs w:val="24"/>
        </w:rPr>
        <w:t>a prethodnu godinu manja za 0,4 mil. € ili 0,1</w:t>
      </w:r>
      <w:r w:rsidR="00E6408D" w:rsidRPr="00BB6086">
        <w:rPr>
          <w:rFonts w:ascii="Garamond" w:hAnsi="Garamond"/>
          <w:sz w:val="24"/>
          <w:szCs w:val="24"/>
        </w:rPr>
        <w:t>%</w:t>
      </w:r>
      <w:r w:rsidR="00274F4B" w:rsidRPr="00BB6086">
        <w:rPr>
          <w:rFonts w:ascii="Garamond" w:hAnsi="Garamond"/>
          <w:sz w:val="24"/>
          <w:szCs w:val="24"/>
        </w:rPr>
        <w:t>.</w:t>
      </w:r>
    </w:p>
    <w:p w14:paraId="124EEB88" w14:textId="26C90705" w:rsidR="000F7A47" w:rsidRPr="001B1CA6" w:rsidRDefault="00E71734" w:rsidP="00064F69">
      <w:pPr>
        <w:jc w:val="both"/>
        <w:rPr>
          <w:rFonts w:ascii="Garamond" w:hAnsi="Garamond"/>
          <w:sz w:val="24"/>
          <w:szCs w:val="24"/>
        </w:rPr>
      </w:pPr>
      <w:r w:rsidRPr="00BB608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Polazeći od kretanja prihoda i</w:t>
      </w:r>
      <w:r w:rsidR="00E95006" w:rsidRPr="00BB608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rashoda, u</w:t>
      </w:r>
      <w:r w:rsidR="00FC6361" w:rsidRPr="00BB608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periodu januar - </w:t>
      </w:r>
      <w:r w:rsidR="00E6408D" w:rsidRPr="00BB608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mart</w:t>
      </w:r>
      <w:r w:rsidR="00E95006" w:rsidRPr="00BB608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 xml:space="preserve"> </w:t>
      </w:r>
      <w:r w:rsidR="00274F4B" w:rsidRPr="00BB608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2022</w:t>
      </w:r>
      <w:r w:rsidR="000E6B54" w:rsidRPr="00BB608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. godine</w:t>
      </w:r>
      <w:r w:rsidRPr="00BB6086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sr-Latn-RS"/>
        </w:rPr>
        <w:t>, ostvaren je deficit javnih finansija</w:t>
      </w:r>
      <w:r w:rsidR="00274F4B" w:rsidRPr="00BB6086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 xml:space="preserve"> u iznosu od </w:t>
      </w:r>
      <w:r w:rsidR="00E6408D" w:rsidRPr="00BB6086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35,8 mil. € ili 0,7% BDP-a, što je za 126,2 mil. € ili 77,9% manje u odnosu na planirani</w:t>
      </w:r>
      <w:r w:rsidR="00274F4B" w:rsidRPr="00BB6086">
        <w:rPr>
          <w:rFonts w:ascii="Garamond" w:eastAsia="Times New Roman" w:hAnsi="Garamond" w:cs="Arial"/>
          <w:color w:val="000000"/>
          <w:sz w:val="24"/>
          <w:szCs w:val="24"/>
          <w:lang w:eastAsia="sr-Latn-RS"/>
        </w:rPr>
        <w:t>.</w:t>
      </w:r>
    </w:p>
    <w:p w14:paraId="7CAC1163" w14:textId="263E451A" w:rsidR="00EE020C" w:rsidRDefault="00E10CBA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BUDŽET CRNE GORE</w:t>
      </w:r>
    </w:p>
    <w:p w14:paraId="13E0BB74" w14:textId="77777777" w:rsidR="00333E2D" w:rsidRDefault="00AF4886" w:rsidP="00064F69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Izvorni p</w:t>
      </w:r>
      <w:r w:rsidR="0061770D" w:rsidRPr="003B73C9">
        <w:rPr>
          <w:rFonts w:ascii="Garamond" w:hAnsi="Garamond" w:cstheme="minorHAnsi"/>
          <w:b/>
          <w:sz w:val="24"/>
          <w:szCs w:val="24"/>
        </w:rPr>
        <w:t>rihodi budžeta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u periodu januar - </w:t>
      </w:r>
      <w:r w:rsidR="00E83D54">
        <w:rPr>
          <w:rFonts w:ascii="Garamond" w:hAnsi="Garamond" w:cstheme="minorHAnsi"/>
          <w:sz w:val="24"/>
          <w:szCs w:val="24"/>
        </w:rPr>
        <w:t>mart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 202</w:t>
      </w:r>
      <w:r w:rsidR="00541108">
        <w:rPr>
          <w:rFonts w:ascii="Garamond" w:hAnsi="Garamond" w:cstheme="minorHAnsi"/>
          <w:sz w:val="24"/>
          <w:szCs w:val="24"/>
        </w:rPr>
        <w:t>2</w:t>
      </w:r>
      <w:r w:rsidR="0061770D" w:rsidRPr="003B73C9">
        <w:rPr>
          <w:rFonts w:ascii="Garamond" w:hAnsi="Garamond" w:cstheme="minorHAnsi"/>
          <w:sz w:val="24"/>
          <w:szCs w:val="24"/>
        </w:rPr>
        <w:t xml:space="preserve">. godine </w:t>
      </w:r>
      <w:r w:rsidR="00687BA5">
        <w:rPr>
          <w:rFonts w:ascii="Garamond" w:hAnsi="Garamond" w:cstheme="minorHAnsi"/>
          <w:sz w:val="24"/>
          <w:szCs w:val="24"/>
        </w:rPr>
        <w:t xml:space="preserve">iznosili su </w:t>
      </w:r>
      <w:r w:rsidR="00E0196A" w:rsidRPr="00E0196A">
        <w:rPr>
          <w:rFonts w:ascii="Garamond" w:hAnsi="Garamond" w:cstheme="minorHAnsi"/>
          <w:sz w:val="24"/>
          <w:szCs w:val="24"/>
        </w:rPr>
        <w:t>416,6 mil. € ili 7,9% procijenjenog BDP-a (5.306,4 mil. €),</w:t>
      </w:r>
      <w:r w:rsidR="00715AFD">
        <w:rPr>
          <w:rFonts w:ascii="Garamond" w:hAnsi="Garamond" w:cstheme="minorHAnsi"/>
          <w:sz w:val="24"/>
          <w:szCs w:val="24"/>
        </w:rPr>
        <w:t xml:space="preserve"> što je za 50,5 mil. € ili 13,8</w:t>
      </w:r>
      <w:r w:rsidR="00E0196A" w:rsidRPr="00E0196A">
        <w:rPr>
          <w:rFonts w:ascii="Garamond" w:hAnsi="Garamond" w:cstheme="minorHAnsi"/>
          <w:sz w:val="24"/>
          <w:szCs w:val="24"/>
        </w:rPr>
        <w:t xml:space="preserve">% više u odnosu na planirane, </w:t>
      </w:r>
      <w:r w:rsidR="00333E2D">
        <w:rPr>
          <w:rFonts w:ascii="Garamond" w:hAnsi="Garamond" w:cstheme="minorHAnsi"/>
          <w:sz w:val="24"/>
          <w:szCs w:val="24"/>
        </w:rPr>
        <w:t>odnosno 68,2 mil. € ili 19,6% u odnosu na isti period prethodne godine.</w:t>
      </w:r>
    </w:p>
    <w:p w14:paraId="2E945970" w14:textId="4BC1622F" w:rsidR="00333E2D" w:rsidRDefault="00333E2D" w:rsidP="00064F69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Veća naplata prvenstveno je rezultat</w:t>
      </w:r>
      <w:r w:rsidR="00E0196A" w:rsidRPr="00E0196A">
        <w:rPr>
          <w:rFonts w:ascii="Garamond" w:hAnsi="Garamond" w:cstheme="minorHAnsi"/>
          <w:sz w:val="24"/>
          <w:szCs w:val="24"/>
        </w:rPr>
        <w:t xml:space="preserve"> veće naplate prihoda po </w:t>
      </w:r>
      <w:r w:rsidR="00291FAC">
        <w:rPr>
          <w:rFonts w:ascii="Garamond" w:hAnsi="Garamond" w:cstheme="minorHAnsi"/>
          <w:sz w:val="24"/>
          <w:szCs w:val="24"/>
        </w:rPr>
        <w:t xml:space="preserve">osnovu </w:t>
      </w:r>
      <w:r w:rsidR="00E0196A" w:rsidRPr="00E0196A">
        <w:rPr>
          <w:rFonts w:ascii="Garamond" w:hAnsi="Garamond" w:cstheme="minorHAnsi"/>
          <w:sz w:val="24"/>
          <w:szCs w:val="24"/>
        </w:rPr>
        <w:t xml:space="preserve">PDV-a, poreza na dobit pravnih lica, akciza, kao i poreza na međunarodnu trgovinu i transakcije. </w:t>
      </w:r>
    </w:p>
    <w:p w14:paraId="4113EF3F" w14:textId="5FE1EF74" w:rsidR="00541108" w:rsidRDefault="00E0196A" w:rsidP="00064F69">
      <w:pPr>
        <w:jc w:val="both"/>
        <w:rPr>
          <w:rFonts w:ascii="Garamond" w:hAnsi="Garamond" w:cstheme="minorHAnsi"/>
          <w:sz w:val="24"/>
          <w:szCs w:val="24"/>
        </w:rPr>
      </w:pPr>
      <w:r w:rsidRPr="00E0196A">
        <w:rPr>
          <w:rFonts w:ascii="Garamond" w:hAnsi="Garamond" w:cstheme="minorHAnsi"/>
          <w:sz w:val="24"/>
          <w:szCs w:val="24"/>
        </w:rPr>
        <w:t>Sa druge strane, a kao posljedica uvođenja neoporezivog dijela dohotka i ukidanja doprinosa za zdravstveno osiguranje</w:t>
      </w:r>
      <w:r w:rsidR="00715AFD">
        <w:rPr>
          <w:rFonts w:ascii="Garamond" w:hAnsi="Garamond" w:cstheme="minorHAnsi"/>
          <w:sz w:val="24"/>
          <w:szCs w:val="24"/>
        </w:rPr>
        <w:t>,</w:t>
      </w:r>
      <w:r w:rsidRPr="00E0196A">
        <w:rPr>
          <w:rFonts w:ascii="Garamond" w:hAnsi="Garamond" w:cstheme="minorHAnsi"/>
          <w:sz w:val="24"/>
          <w:szCs w:val="24"/>
        </w:rPr>
        <w:t xml:space="preserve"> kategorije poreza na dohodak fizičkih lica i doprinosa ostvarene su na </w:t>
      </w:r>
      <w:r>
        <w:rPr>
          <w:rFonts w:ascii="Garamond" w:hAnsi="Garamond" w:cstheme="minorHAnsi"/>
          <w:sz w:val="24"/>
          <w:szCs w:val="24"/>
        </w:rPr>
        <w:t>nešto nižem nivou od planiranog</w:t>
      </w:r>
      <w:r w:rsidR="00541108">
        <w:rPr>
          <w:rFonts w:ascii="Garamond" w:hAnsi="Garamond" w:cstheme="minorHAnsi"/>
          <w:sz w:val="24"/>
          <w:szCs w:val="24"/>
        </w:rPr>
        <w:t>.</w:t>
      </w:r>
    </w:p>
    <w:p w14:paraId="1F53272B" w14:textId="18A810FA" w:rsidR="00291FAC" w:rsidRPr="00291FAC" w:rsidRDefault="00291FAC" w:rsidP="00291FAC">
      <w:pPr>
        <w:jc w:val="both"/>
        <w:rPr>
          <w:rFonts w:ascii="Garamond" w:hAnsi="Garamond" w:cstheme="minorHAnsi"/>
          <w:sz w:val="24"/>
          <w:szCs w:val="24"/>
        </w:rPr>
      </w:pPr>
      <w:r w:rsidRPr="00291FAC">
        <w:rPr>
          <w:rFonts w:ascii="Garamond" w:hAnsi="Garamond" w:cstheme="minorHAnsi"/>
          <w:sz w:val="24"/>
          <w:szCs w:val="24"/>
        </w:rPr>
        <w:t>Najznačajniji rast u odnosu na planirane ostvarili su prihodi po osnovu PDV-a</w:t>
      </w:r>
      <w:r>
        <w:rPr>
          <w:rFonts w:ascii="Garamond" w:hAnsi="Garamond" w:cstheme="minorHAnsi"/>
          <w:sz w:val="24"/>
          <w:szCs w:val="24"/>
        </w:rPr>
        <w:t xml:space="preserve"> u iznosu od 32,4 mil. € ili 23,</w:t>
      </w:r>
      <w:r w:rsidRPr="00291FAC">
        <w:rPr>
          <w:rFonts w:ascii="Garamond" w:hAnsi="Garamond" w:cstheme="minorHAnsi"/>
          <w:sz w:val="24"/>
          <w:szCs w:val="24"/>
        </w:rPr>
        <w:t>3</w:t>
      </w:r>
      <w:r>
        <w:rPr>
          <w:rFonts w:ascii="Garamond" w:hAnsi="Garamond" w:cstheme="minorHAnsi"/>
          <w:sz w:val="24"/>
          <w:szCs w:val="24"/>
        </w:rPr>
        <w:t>%,  kao i u odnosu na isti peri</w:t>
      </w:r>
      <w:r w:rsidRPr="00291FAC">
        <w:rPr>
          <w:rFonts w:ascii="Garamond" w:hAnsi="Garamond" w:cstheme="minorHAnsi"/>
          <w:sz w:val="24"/>
          <w:szCs w:val="24"/>
        </w:rPr>
        <w:t>od prethodne godine u iznosu od 46,8 mil. €</w:t>
      </w:r>
      <w:r>
        <w:rPr>
          <w:rFonts w:ascii="Garamond" w:hAnsi="Garamond" w:cstheme="minorHAnsi"/>
          <w:sz w:val="24"/>
          <w:szCs w:val="24"/>
        </w:rPr>
        <w:t xml:space="preserve"> ili 37,6%</w:t>
      </w:r>
      <w:r w:rsidRPr="00291FAC">
        <w:rPr>
          <w:rFonts w:ascii="Garamond" w:hAnsi="Garamond" w:cstheme="minorHAnsi"/>
          <w:sz w:val="24"/>
          <w:szCs w:val="24"/>
        </w:rPr>
        <w:t>,  što je najvećim dijelom rezultat implementacije elektronske fiskalizacije poreskih registar kasa, odnosno poboljšanja poreske discipline. Takođe, na rast ove kategorije prihoda uticao je i rast potrošnje kao rezultat povećanja raspolo</w:t>
      </w:r>
      <w:r w:rsidRPr="00291FAC">
        <w:rPr>
          <w:rFonts w:ascii="Garamond" w:hAnsi="Garamond" w:cs="Garamond"/>
          <w:sz w:val="24"/>
          <w:szCs w:val="24"/>
        </w:rPr>
        <w:t>ž</w:t>
      </w:r>
      <w:r w:rsidR="008532E3">
        <w:rPr>
          <w:rFonts w:ascii="Garamond" w:hAnsi="Garamond" w:cstheme="minorHAnsi"/>
          <w:sz w:val="24"/>
          <w:szCs w:val="24"/>
        </w:rPr>
        <w:t>ivog dohotka.</w:t>
      </w:r>
    </w:p>
    <w:p w14:paraId="0836A3D9" w14:textId="7326BB3C" w:rsidR="00291FAC" w:rsidRDefault="00291FAC" w:rsidP="00291FAC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Prihodi od akciza ostvareni su u iznosu od 56,7 mil. € ili 1,1% BDP-a što je u odnosu na plan više za </w:t>
      </w:r>
      <w:r w:rsidRPr="00291FAC">
        <w:rPr>
          <w:rFonts w:ascii="Garamond" w:hAnsi="Garamond" w:cstheme="minorHAnsi"/>
          <w:sz w:val="24"/>
          <w:szCs w:val="24"/>
        </w:rPr>
        <w:t>8,2 mil. € ili 17%</w:t>
      </w:r>
      <w:r>
        <w:rPr>
          <w:rFonts w:ascii="Garamond" w:hAnsi="Garamond" w:cstheme="minorHAnsi"/>
          <w:sz w:val="24"/>
          <w:szCs w:val="24"/>
        </w:rPr>
        <w:t xml:space="preserve"> dok je u odnosu na uporedni period 2021. godine više za </w:t>
      </w:r>
      <w:r w:rsidRPr="00291FAC">
        <w:rPr>
          <w:rFonts w:ascii="Garamond" w:hAnsi="Garamond" w:cstheme="minorHAnsi"/>
          <w:sz w:val="24"/>
          <w:szCs w:val="24"/>
        </w:rPr>
        <w:t>14,4 mil. € ili 33,9%</w:t>
      </w:r>
      <w:r w:rsidR="00333E2D">
        <w:rPr>
          <w:rFonts w:ascii="Garamond" w:hAnsi="Garamond" w:cstheme="minorHAnsi"/>
          <w:sz w:val="24"/>
          <w:szCs w:val="24"/>
        </w:rPr>
        <w:t>, prije svega kao rezultat veće naplate akciza po osnovu duvana i duvanskih proizvoda.</w:t>
      </w:r>
    </w:p>
    <w:p w14:paraId="50FEF786" w14:textId="3301EC62" w:rsidR="004B33F3" w:rsidRDefault="00006BBB" w:rsidP="004B33F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Prihodi od poreza na dobit </w:t>
      </w:r>
      <w:r w:rsidR="00333E2D">
        <w:rPr>
          <w:rFonts w:ascii="Garamond" w:hAnsi="Garamond" w:cstheme="minorHAnsi"/>
          <w:sz w:val="24"/>
          <w:szCs w:val="24"/>
        </w:rPr>
        <w:t xml:space="preserve">pravnih lica </w:t>
      </w:r>
      <w:r>
        <w:rPr>
          <w:rFonts w:ascii="Garamond" w:hAnsi="Garamond" w:cstheme="minorHAnsi"/>
          <w:sz w:val="24"/>
          <w:szCs w:val="24"/>
        </w:rPr>
        <w:t xml:space="preserve">u posmatranom periodu naplaćeni su u iznosu od 41,2 mil. € ili 0,8% BDP-a što je za </w:t>
      </w:r>
      <w:r w:rsidRPr="00291FAC">
        <w:rPr>
          <w:rFonts w:ascii="Garamond" w:hAnsi="Garamond" w:cstheme="minorHAnsi"/>
          <w:sz w:val="24"/>
          <w:szCs w:val="24"/>
        </w:rPr>
        <w:t xml:space="preserve">9,5 mil. </w:t>
      </w:r>
      <w:r w:rsidRPr="00291FAC">
        <w:rPr>
          <w:rFonts w:ascii="Garamond" w:hAnsi="Garamond" w:cs="Garamond"/>
          <w:sz w:val="24"/>
          <w:szCs w:val="24"/>
        </w:rPr>
        <w:t>€</w:t>
      </w:r>
      <w:r w:rsidRPr="00291FAC">
        <w:rPr>
          <w:rFonts w:ascii="Garamond" w:hAnsi="Garamond" w:cstheme="minorHAnsi"/>
          <w:sz w:val="24"/>
          <w:szCs w:val="24"/>
        </w:rPr>
        <w:t xml:space="preserve"> ili 30%</w:t>
      </w:r>
      <w:r>
        <w:rPr>
          <w:rFonts w:ascii="Garamond" w:hAnsi="Garamond" w:cstheme="minorHAnsi"/>
          <w:sz w:val="24"/>
          <w:szCs w:val="24"/>
        </w:rPr>
        <w:t xml:space="preserve"> više u odnosu na planirane. Rast ove kategorije prihoda zabilježen je i u odnosu na isti period prethodne godine u iznosu od 10,4 mil. € ili 33,6%, prevashodno kao rezultat oporavka ekonomske aktivnosti pa samim tim i ostvarene dobiti privrednih subjekata u 2021. godini ali i daljeg jačanja poreske discipline.</w:t>
      </w:r>
    </w:p>
    <w:p w14:paraId="3D398114" w14:textId="15ABB7CE" w:rsidR="008532E3" w:rsidRDefault="008532E3" w:rsidP="004B33F3">
      <w:pPr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Na drugoj starni, kategorija doprinosa ostvarena je na nešto nižem nivou od planiranog i to za 1,6 mil. € ili 1,8% i to kao rezultat niže nap</w:t>
      </w:r>
      <w:r w:rsidR="00333E2D">
        <w:rPr>
          <w:rFonts w:ascii="Garamond" w:hAnsi="Garamond" w:cstheme="minorHAnsi"/>
          <w:sz w:val="24"/>
          <w:szCs w:val="24"/>
        </w:rPr>
        <w:t>late doprinosa za penzijsko i i</w:t>
      </w:r>
      <w:r>
        <w:rPr>
          <w:rFonts w:ascii="Garamond" w:hAnsi="Garamond" w:cstheme="minorHAnsi"/>
          <w:sz w:val="24"/>
          <w:szCs w:val="24"/>
        </w:rPr>
        <w:t>nvalidsko osiguranje.</w:t>
      </w:r>
    </w:p>
    <w:p w14:paraId="541B3A98" w14:textId="3CE2836B" w:rsidR="0061770D" w:rsidRPr="0061770D" w:rsidRDefault="0061770D" w:rsidP="00064F69">
      <w:pPr>
        <w:jc w:val="both"/>
        <w:rPr>
          <w:rFonts w:ascii="Garamond" w:hAnsi="Garamond" w:cstheme="minorHAnsi"/>
          <w:b/>
          <w:sz w:val="24"/>
          <w:szCs w:val="24"/>
          <w:lang w:val="sr-Latn-RS"/>
        </w:rPr>
      </w:pPr>
      <w:r w:rsidRPr="0061770D">
        <w:rPr>
          <w:rFonts w:ascii="Garamond" w:hAnsi="Garamond" w:cstheme="minorHAnsi"/>
          <w:b/>
          <w:sz w:val="24"/>
          <w:szCs w:val="24"/>
          <w:lang w:val="sr-Latn-RS"/>
        </w:rPr>
        <w:t>Izdaci budžeta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 u</w:t>
      </w:r>
      <w:r w:rsidR="00FE6E5D">
        <w:rPr>
          <w:rFonts w:ascii="Garamond" w:hAnsi="Garamond" w:cstheme="minorHAnsi"/>
          <w:sz w:val="24"/>
          <w:szCs w:val="24"/>
          <w:lang w:val="sr-Latn-RS"/>
        </w:rPr>
        <w:t xml:space="preserve"> periodu januar - </w:t>
      </w:r>
      <w:r w:rsidR="00D2768F">
        <w:rPr>
          <w:rFonts w:ascii="Garamond" w:hAnsi="Garamond" w:cstheme="minorHAnsi"/>
          <w:sz w:val="24"/>
          <w:szCs w:val="24"/>
          <w:lang w:val="sr-Latn-RS"/>
        </w:rPr>
        <w:t>mart</w:t>
      </w:r>
      <w:r w:rsidR="00FE6E5D">
        <w:rPr>
          <w:rFonts w:ascii="Garamond" w:hAnsi="Garamond" w:cstheme="minorHAnsi"/>
          <w:sz w:val="24"/>
          <w:szCs w:val="24"/>
          <w:lang w:val="sr-Latn-RS"/>
        </w:rPr>
        <w:t xml:space="preserve"> 2022</w:t>
      </w:r>
      <w:r w:rsidRPr="0061770D">
        <w:rPr>
          <w:rFonts w:ascii="Garamond" w:hAnsi="Garamond" w:cstheme="minorHAnsi"/>
          <w:sz w:val="24"/>
          <w:szCs w:val="24"/>
          <w:lang w:val="sr-Latn-RS"/>
        </w:rPr>
        <w:t xml:space="preserve">. godine </w:t>
      </w:r>
      <w:r w:rsidR="002D51A3" w:rsidRPr="002D51A3">
        <w:rPr>
          <w:rFonts w:ascii="Garamond" w:hAnsi="Garamond" w:cstheme="minorHAnsi"/>
          <w:sz w:val="24"/>
          <w:szCs w:val="24"/>
          <w:lang w:val="sr-Latn-RS"/>
        </w:rPr>
        <w:t xml:space="preserve">iznosili su </w:t>
      </w:r>
      <w:r w:rsidR="00D2768F" w:rsidRPr="00D2768F">
        <w:rPr>
          <w:rFonts w:ascii="Garamond" w:hAnsi="Garamond" w:cstheme="minorHAnsi"/>
          <w:sz w:val="24"/>
          <w:szCs w:val="24"/>
          <w:lang w:val="sr-Latn-RS"/>
        </w:rPr>
        <w:t>438,6 mil. € ili 8,3% procijenjenog BDP-a i u odnosu na planirane manji su za 64,6 mil. € ili 12,8%, dok su u odnosu na uporedni period 2021. godine manji za 10,4 mil. € ili 2,3 %</w:t>
      </w:r>
      <w:r w:rsidR="002D51A3">
        <w:rPr>
          <w:rFonts w:ascii="Garamond" w:hAnsi="Garamond" w:cstheme="minorHAnsi"/>
          <w:sz w:val="24"/>
          <w:szCs w:val="24"/>
          <w:lang w:val="sr-Latn-RS"/>
        </w:rPr>
        <w:t>.</w:t>
      </w:r>
    </w:p>
    <w:p w14:paraId="09405997" w14:textId="478BB166" w:rsidR="002D51A3" w:rsidRPr="002D51A3" w:rsidRDefault="002D51A3" w:rsidP="002D51A3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2D51A3">
        <w:rPr>
          <w:rFonts w:ascii="Garamond" w:hAnsi="Garamond" w:cstheme="minorHAnsi"/>
          <w:sz w:val="24"/>
          <w:szCs w:val="24"/>
          <w:lang w:val="sr-Latn-RS"/>
        </w:rPr>
        <w:t xml:space="preserve">U strukturi budžetskih izdataka, tekući izdaci ostvareni su na nivou od </w:t>
      </w:r>
      <w:r w:rsidR="00D2768F">
        <w:rPr>
          <w:rFonts w:ascii="Garamond" w:hAnsi="Garamond" w:cstheme="minorHAnsi"/>
          <w:sz w:val="24"/>
          <w:szCs w:val="24"/>
          <w:lang w:val="sr-Latn-RS"/>
        </w:rPr>
        <w:t>172,4</w:t>
      </w:r>
      <w:r w:rsidRPr="002D51A3">
        <w:rPr>
          <w:rFonts w:ascii="Garamond" w:hAnsi="Garamond" w:cstheme="minorHAnsi"/>
          <w:sz w:val="24"/>
          <w:szCs w:val="24"/>
          <w:lang w:val="sr-Latn-RS"/>
        </w:rPr>
        <w:t xml:space="preserve"> mil. €</w:t>
      </w:r>
      <w:r w:rsidR="00D2768F">
        <w:rPr>
          <w:rFonts w:ascii="Garamond" w:hAnsi="Garamond" w:cstheme="minorHAnsi"/>
          <w:sz w:val="24"/>
          <w:szCs w:val="24"/>
          <w:lang w:val="sr-Latn-RS"/>
        </w:rPr>
        <w:t xml:space="preserve"> ili 3,2% BDP-a</w:t>
      </w:r>
      <w:r w:rsidRPr="002D51A3">
        <w:rPr>
          <w:rFonts w:ascii="Garamond" w:hAnsi="Garamond" w:cstheme="minorHAnsi"/>
          <w:sz w:val="24"/>
          <w:szCs w:val="24"/>
          <w:lang w:val="sr-Latn-RS"/>
        </w:rPr>
        <w:t xml:space="preserve"> i manji su za </w:t>
      </w:r>
      <w:r w:rsidR="00D2768F">
        <w:rPr>
          <w:rFonts w:ascii="Garamond" w:hAnsi="Garamond" w:cstheme="minorHAnsi"/>
          <w:sz w:val="24"/>
          <w:szCs w:val="24"/>
          <w:lang w:val="sr-Latn-RS"/>
        </w:rPr>
        <w:t>17,4 mil. € ili 9,1</w:t>
      </w:r>
      <w:r w:rsidRPr="002D51A3">
        <w:rPr>
          <w:rFonts w:ascii="Garamond" w:hAnsi="Garamond" w:cstheme="minorHAnsi"/>
          <w:sz w:val="24"/>
          <w:szCs w:val="24"/>
          <w:lang w:val="sr-Latn-RS"/>
        </w:rPr>
        <w:t xml:space="preserve">% u odnosu na planirane. Kada govorimo o poređenju sa istim periodom prethodne godine, tekući izdaci </w:t>
      </w:r>
      <w:r w:rsidR="00D2768F">
        <w:rPr>
          <w:rFonts w:ascii="Garamond" w:hAnsi="Garamond" w:cstheme="minorHAnsi"/>
          <w:sz w:val="24"/>
          <w:szCs w:val="24"/>
          <w:lang w:val="sr-Latn-RS"/>
        </w:rPr>
        <w:t>ostvareni su na nižem nivou za 16,7 mil. € ili 8,8%.</w:t>
      </w:r>
    </w:p>
    <w:p w14:paraId="702BCE61" w14:textId="77777777" w:rsidR="00F74EC8" w:rsidRPr="00F74EC8" w:rsidRDefault="00F74EC8" w:rsidP="00F74EC8">
      <w:pPr>
        <w:numPr>
          <w:ilvl w:val="1"/>
          <w:numId w:val="0"/>
        </w:num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4EC8">
        <w:rPr>
          <w:rFonts w:ascii="Garamond" w:hAnsi="Garamond" w:cstheme="minorHAnsi"/>
          <w:sz w:val="24"/>
          <w:szCs w:val="24"/>
          <w:lang w:val="sr-Latn-RS"/>
        </w:rPr>
        <w:lastRenderedPageBreak/>
        <w:t>Bruto zarade i doprinosi na teret poslodavca niže su u odnosu na uporedni period prethodne godine u iznosu od 5,4 mil. € mil. € ili 4,0%.</w:t>
      </w:r>
    </w:p>
    <w:p w14:paraId="5B994165" w14:textId="1756F271" w:rsidR="00F74EC8" w:rsidRPr="00F74EC8" w:rsidRDefault="00F74EC8" w:rsidP="00F74EC8">
      <w:pPr>
        <w:numPr>
          <w:ilvl w:val="1"/>
          <w:numId w:val="0"/>
        </w:num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4EC8">
        <w:rPr>
          <w:rFonts w:ascii="Garamond" w:hAnsi="Garamond" w:cstheme="minorHAnsi"/>
          <w:sz w:val="24"/>
          <w:szCs w:val="24"/>
          <w:lang w:val="sr-Latn-RS"/>
        </w:rPr>
        <w:t>Transferi institucijama, pojedincima, nevladinom i javnom sektoru su realizovani u višem iznosu, i to za 4,7 mil. € ili 8</w:t>
      </w:r>
      <w:r w:rsidR="004D7FE2">
        <w:rPr>
          <w:rFonts w:ascii="Garamond" w:hAnsi="Garamond" w:cstheme="minorHAnsi"/>
          <w:sz w:val="24"/>
          <w:szCs w:val="24"/>
          <w:lang w:val="sr-Latn-RS"/>
        </w:rPr>
        <w:t>,</w:t>
      </w:r>
      <w:r w:rsidRPr="00F74EC8">
        <w:rPr>
          <w:rFonts w:ascii="Garamond" w:hAnsi="Garamond" w:cstheme="minorHAnsi"/>
          <w:sz w:val="24"/>
          <w:szCs w:val="24"/>
          <w:lang w:val="sr-Latn-RS"/>
        </w:rPr>
        <w:t>2% u odn</w:t>
      </w:r>
      <w:r w:rsidR="004D7FE2">
        <w:rPr>
          <w:rFonts w:ascii="Garamond" w:hAnsi="Garamond" w:cstheme="minorHAnsi"/>
          <w:sz w:val="24"/>
          <w:szCs w:val="24"/>
          <w:lang w:val="sr-Latn-RS"/>
        </w:rPr>
        <w:t>osu na isti period 2021. godine.</w:t>
      </w:r>
    </w:p>
    <w:p w14:paraId="2ABFCB2F" w14:textId="6EBC021F" w:rsidR="00F74EC8" w:rsidRPr="00F74EC8" w:rsidRDefault="00F74EC8" w:rsidP="00F74EC8">
      <w:pPr>
        <w:numPr>
          <w:ilvl w:val="1"/>
          <w:numId w:val="0"/>
        </w:num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4EC8">
        <w:rPr>
          <w:rFonts w:ascii="Garamond" w:hAnsi="Garamond" w:cstheme="minorHAnsi"/>
          <w:sz w:val="24"/>
          <w:szCs w:val="24"/>
          <w:lang w:val="sr-Latn-RS"/>
        </w:rPr>
        <w:t>Značajno odstupanje u odnosu na isti period 2021. godine zabilježeno je kod kategorije rezervi koje su manje u iznosu od 30,</w:t>
      </w:r>
      <w:r w:rsidR="004D7FE2">
        <w:rPr>
          <w:rFonts w:ascii="Garamond" w:hAnsi="Garamond" w:cstheme="minorHAnsi"/>
          <w:sz w:val="24"/>
          <w:szCs w:val="24"/>
          <w:lang w:val="sr-Latn-RS"/>
        </w:rPr>
        <w:t>9</w:t>
      </w:r>
      <w:r w:rsidRPr="00F74EC8">
        <w:rPr>
          <w:rFonts w:ascii="Garamond" w:hAnsi="Garamond" w:cstheme="minorHAnsi"/>
          <w:sz w:val="24"/>
          <w:szCs w:val="24"/>
          <w:lang w:val="sr-Latn-RS"/>
        </w:rPr>
        <w:t xml:space="preserve"> mil. €, a prvenstveno usljed činjenice da su sredstva u 2021. godini izdvojena za osnivački kapital nove nacionalne avio kompanije „To Montenegro“, ali i sprovedenih mjera pomoći privredi i građanima kroz usvojene pakete mjera podrške, pri čemu se najveći dio odnosio na subvencije zarada zaposlenih.</w:t>
      </w:r>
    </w:p>
    <w:p w14:paraId="0CAF2AB4" w14:textId="32F0C863" w:rsidR="00541108" w:rsidRPr="00F74EC8" w:rsidRDefault="00F74EC8" w:rsidP="00F74EC8">
      <w:pPr>
        <w:numPr>
          <w:ilvl w:val="1"/>
          <w:numId w:val="0"/>
        </w:num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F74EC8">
        <w:rPr>
          <w:rFonts w:ascii="Garamond" w:hAnsi="Garamond" w:cstheme="minorHAnsi"/>
          <w:sz w:val="24"/>
          <w:szCs w:val="24"/>
          <w:lang w:val="sr-Latn-RS"/>
        </w:rPr>
        <w:t xml:space="preserve">U periodu januar - mart 2022. godine dinamika kretanja budžetskih prihoda i rashoda uticala je na ostvarenje </w:t>
      </w:r>
      <w:r w:rsidRPr="00F74EC8">
        <w:rPr>
          <w:rFonts w:ascii="Garamond" w:hAnsi="Garamond" w:cstheme="minorHAnsi"/>
          <w:b/>
          <w:sz w:val="24"/>
          <w:szCs w:val="24"/>
          <w:lang w:val="sr-Latn-RS"/>
        </w:rPr>
        <w:t>deficita budžeta</w:t>
      </w:r>
      <w:r w:rsidRPr="00F74EC8">
        <w:rPr>
          <w:rFonts w:ascii="Garamond" w:hAnsi="Garamond" w:cstheme="minorHAnsi"/>
          <w:sz w:val="24"/>
          <w:szCs w:val="24"/>
          <w:lang w:val="sr-Latn-RS"/>
        </w:rPr>
        <w:t xml:space="preserve"> u iznosu od 21,9 mil. € ili 0,4% BDP-a, koji je za 115,2 mil. € ili 84% manji u odnosu na planirani</w:t>
      </w:r>
      <w:r>
        <w:rPr>
          <w:rFonts w:ascii="Garamond" w:hAnsi="Garamond" w:cstheme="minorHAnsi"/>
          <w:sz w:val="24"/>
          <w:szCs w:val="24"/>
          <w:lang w:val="sr-Latn-RS"/>
        </w:rPr>
        <w:t xml:space="preserve">. </w:t>
      </w:r>
      <w:r w:rsidR="002D51A3" w:rsidRPr="002D51A3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U odnosu na isti period 2021. godine, </w:t>
      </w:r>
      <w:r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ostvareni </w:t>
      </w:r>
      <w:r w:rsidR="002D51A3" w:rsidRPr="002D51A3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deficit je manji za </w:t>
      </w:r>
      <w:r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78,6</w:t>
      </w:r>
      <w:r w:rsidR="002D51A3" w:rsidRPr="002D51A3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 xml:space="preserve"> mil. € ili </w:t>
      </w:r>
      <w:r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78,2</w:t>
      </w:r>
      <w:r w:rsidR="002D51A3" w:rsidRPr="002D51A3">
        <w:rPr>
          <w:rFonts w:ascii="Garamond" w:eastAsia="Times New Roman" w:hAnsi="Garamond" w:cs="Arial"/>
          <w:bCs/>
          <w:color w:val="000000"/>
          <w:sz w:val="24"/>
          <w:szCs w:val="24"/>
          <w:lang w:eastAsia="sr-Latn-RS"/>
        </w:rPr>
        <w:t>%.</w:t>
      </w:r>
    </w:p>
    <w:p w14:paraId="78ED81D7" w14:textId="0FFD8A4B" w:rsidR="00B61DE7" w:rsidRDefault="00B61DE7" w:rsidP="00064F69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1B1CA6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5D0FDEAD" w14:textId="77777777" w:rsidR="005D10B4" w:rsidRPr="00BB6086" w:rsidRDefault="005D10B4" w:rsidP="005D1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BB6086">
        <w:rPr>
          <w:rFonts w:ascii="Garamond" w:hAnsi="Garamond" w:cstheme="minorHAnsi"/>
          <w:b/>
          <w:sz w:val="24"/>
          <w:szCs w:val="24"/>
          <w:lang w:val="sr-Latn-RS"/>
        </w:rPr>
        <w:t>Izvorni prihodi budžeta jedinica lokalne samouprave</w:t>
      </w:r>
      <w:r w:rsidRPr="00BB6086">
        <w:rPr>
          <w:rFonts w:ascii="Garamond" w:hAnsi="Garamond" w:cstheme="minorHAnsi"/>
          <w:sz w:val="24"/>
          <w:szCs w:val="24"/>
          <w:lang w:val="sr-Latn-RS"/>
        </w:rPr>
        <w:t xml:space="preserve"> u periodu januar - mart 2022. godine iznosili su 46,6 mil. € i odnosu na ostvarene u istom periodu 2021. </w:t>
      </w:r>
      <w:bookmarkStart w:id="0" w:name="_GoBack"/>
      <w:r w:rsidRPr="00BB6086">
        <w:rPr>
          <w:rFonts w:ascii="Garamond" w:hAnsi="Garamond" w:cstheme="minorHAnsi"/>
          <w:sz w:val="24"/>
          <w:szCs w:val="24"/>
          <w:lang w:val="sr-Latn-RS"/>
        </w:rPr>
        <w:t xml:space="preserve">veći </w:t>
      </w:r>
      <w:bookmarkEnd w:id="0"/>
      <w:r w:rsidRPr="00BB6086">
        <w:rPr>
          <w:rFonts w:ascii="Garamond" w:hAnsi="Garamond" w:cstheme="minorHAnsi"/>
          <w:sz w:val="24"/>
          <w:szCs w:val="24"/>
          <w:lang w:val="sr-Latn-RS"/>
        </w:rPr>
        <w:t>su za 4,3 mil. € ili 10,3%, dok su u odnosu na planirane manji za 14,4 mil. € ili 23,6%.</w:t>
      </w:r>
    </w:p>
    <w:p w14:paraId="44DE7587" w14:textId="3A83BF63" w:rsidR="005D10B4" w:rsidRPr="00BB6086" w:rsidRDefault="005D10B4" w:rsidP="005D10B4">
      <w:pPr>
        <w:jc w:val="both"/>
        <w:rPr>
          <w:rFonts w:ascii="Garamond" w:hAnsi="Garamond" w:cstheme="minorHAnsi"/>
          <w:sz w:val="24"/>
          <w:szCs w:val="24"/>
          <w:lang w:val="sr-Latn-RS"/>
        </w:rPr>
      </w:pPr>
      <w:r w:rsidRPr="00BB6086">
        <w:rPr>
          <w:rFonts w:ascii="Garamond" w:hAnsi="Garamond" w:cstheme="minorHAnsi"/>
          <w:b/>
          <w:sz w:val="24"/>
          <w:szCs w:val="24"/>
          <w:lang w:val="sr-Latn-RS"/>
        </w:rPr>
        <w:t>Izdaci budžeta lokalne samouprave</w:t>
      </w:r>
      <w:r w:rsidRPr="00BB6086">
        <w:rPr>
          <w:rFonts w:ascii="Garamond" w:hAnsi="Garamond" w:cstheme="minorHAnsi"/>
          <w:sz w:val="24"/>
          <w:szCs w:val="24"/>
          <w:lang w:val="sr-Latn-RS"/>
        </w:rPr>
        <w:t xml:space="preserve"> u periodu januar - mart 2022. godine iznosili su 60,5 mil. €, što je za 25,4 mil. € ili 29,6% manje u</w:t>
      </w:r>
      <w:r w:rsidR="00FA1A74">
        <w:rPr>
          <w:rFonts w:ascii="Garamond" w:hAnsi="Garamond" w:cstheme="minorHAnsi"/>
          <w:sz w:val="24"/>
          <w:szCs w:val="24"/>
          <w:lang w:val="sr-Latn-RS"/>
        </w:rPr>
        <w:t xml:space="preserve"> </w:t>
      </w:r>
      <w:r w:rsidRPr="00BB6086">
        <w:rPr>
          <w:rFonts w:ascii="Garamond" w:hAnsi="Garamond" w:cstheme="minorHAnsi"/>
          <w:sz w:val="24"/>
          <w:szCs w:val="24"/>
          <w:lang w:val="sr-Latn-RS"/>
        </w:rPr>
        <w:t xml:space="preserve">odnosu na </w:t>
      </w:r>
      <w:r w:rsidR="00FA1A74">
        <w:rPr>
          <w:rFonts w:ascii="Garamond" w:hAnsi="Garamond" w:cstheme="minorHAnsi"/>
          <w:sz w:val="24"/>
          <w:szCs w:val="24"/>
          <w:lang w:val="sr-Latn-RS"/>
        </w:rPr>
        <w:t xml:space="preserve">planirane dok su u odnosu na </w:t>
      </w:r>
      <w:r w:rsidRPr="00BB6086">
        <w:rPr>
          <w:rFonts w:ascii="Garamond" w:hAnsi="Garamond" w:cstheme="minorHAnsi"/>
          <w:sz w:val="24"/>
          <w:szCs w:val="24"/>
          <w:lang w:val="sr-Latn-RS"/>
        </w:rPr>
        <w:t xml:space="preserve">uporedni period 2021. godine izdaci veći za 10 mil. € ili 19,9%. </w:t>
      </w:r>
    </w:p>
    <w:p w14:paraId="20D600DD" w14:textId="21564491" w:rsidR="00D938E9" w:rsidRPr="005D10B4" w:rsidRDefault="005D10B4" w:rsidP="005D10B4">
      <w:pPr>
        <w:jc w:val="both"/>
      </w:pPr>
      <w:r w:rsidRPr="00BB6086">
        <w:rPr>
          <w:rFonts w:ascii="Garamond" w:hAnsi="Garamond" w:cstheme="minorHAnsi"/>
          <w:sz w:val="24"/>
          <w:szCs w:val="24"/>
          <w:lang w:val="sr-Latn-RS"/>
        </w:rPr>
        <w:t xml:space="preserve">U prvom kvartalu 2022. godine zabilježen je </w:t>
      </w:r>
      <w:r w:rsidRPr="00BB6086">
        <w:rPr>
          <w:rFonts w:ascii="Garamond" w:hAnsi="Garamond" w:cstheme="minorHAnsi"/>
          <w:b/>
          <w:sz w:val="24"/>
          <w:szCs w:val="24"/>
          <w:lang w:val="sr-Latn-RS"/>
        </w:rPr>
        <w:t>deficit lokalne samouprave</w:t>
      </w:r>
      <w:r w:rsidR="00BB6086" w:rsidRPr="00BB6086">
        <w:rPr>
          <w:rFonts w:ascii="Garamond" w:hAnsi="Garamond" w:cstheme="minorHAnsi"/>
          <w:sz w:val="24"/>
          <w:szCs w:val="24"/>
          <w:lang w:val="sr-Latn-RS"/>
        </w:rPr>
        <w:t xml:space="preserve"> u iznosu od 13,9 mil. € ili 0,3% BDP-a.</w:t>
      </w:r>
    </w:p>
    <w:p w14:paraId="66A9E376" w14:textId="77777777" w:rsidR="00D938E9" w:rsidRPr="001B1CA6" w:rsidRDefault="00D938E9" w:rsidP="00A161E8">
      <w:pPr>
        <w:numPr>
          <w:ilvl w:val="1"/>
          <w:numId w:val="0"/>
        </w:numPr>
        <w:spacing w:after="200" w:line="240" w:lineRule="auto"/>
        <w:jc w:val="both"/>
        <w:rPr>
          <w:rFonts w:ascii="Garamond" w:hAnsi="Garamond"/>
          <w:color w:val="548DD4"/>
          <w:spacing w:val="15"/>
          <w:shd w:val="clear" w:color="auto" w:fill="FFFFFF"/>
        </w:rPr>
      </w:pPr>
    </w:p>
    <w:sectPr w:rsidR="00D938E9" w:rsidRPr="001B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4066" w16cex:dateUtc="2021-02-15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BEA5A8" w16cid:durableId="23D540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F36B8" w14:textId="77777777" w:rsidR="00653DCB" w:rsidRDefault="00653DCB" w:rsidP="005539C6">
      <w:pPr>
        <w:spacing w:after="0" w:line="240" w:lineRule="auto"/>
      </w:pPr>
      <w:r>
        <w:separator/>
      </w:r>
    </w:p>
  </w:endnote>
  <w:endnote w:type="continuationSeparator" w:id="0">
    <w:p w14:paraId="0BDA8D10" w14:textId="77777777" w:rsidR="00653DCB" w:rsidRDefault="00653DCB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018C8" w14:textId="77777777" w:rsidR="00653DCB" w:rsidRDefault="00653DCB" w:rsidP="005539C6">
      <w:pPr>
        <w:spacing w:after="0" w:line="240" w:lineRule="auto"/>
      </w:pPr>
      <w:r>
        <w:separator/>
      </w:r>
    </w:p>
  </w:footnote>
  <w:footnote w:type="continuationSeparator" w:id="0">
    <w:p w14:paraId="68CA1E10" w14:textId="77777777" w:rsidR="00653DCB" w:rsidRDefault="00653DCB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71F7"/>
    <w:rsid w:val="0002025C"/>
    <w:rsid w:val="00021BC9"/>
    <w:rsid w:val="00022DD7"/>
    <w:rsid w:val="00026251"/>
    <w:rsid w:val="000268DE"/>
    <w:rsid w:val="00026E99"/>
    <w:rsid w:val="000275A7"/>
    <w:rsid w:val="00027D70"/>
    <w:rsid w:val="0003448F"/>
    <w:rsid w:val="00037238"/>
    <w:rsid w:val="00037E80"/>
    <w:rsid w:val="00041116"/>
    <w:rsid w:val="00041B04"/>
    <w:rsid w:val="00043279"/>
    <w:rsid w:val="00045942"/>
    <w:rsid w:val="00045D79"/>
    <w:rsid w:val="00046F4B"/>
    <w:rsid w:val="000501C9"/>
    <w:rsid w:val="00051E94"/>
    <w:rsid w:val="00052525"/>
    <w:rsid w:val="0006284F"/>
    <w:rsid w:val="000640E2"/>
    <w:rsid w:val="00064F69"/>
    <w:rsid w:val="00065C94"/>
    <w:rsid w:val="00071016"/>
    <w:rsid w:val="00080CAB"/>
    <w:rsid w:val="00080FB1"/>
    <w:rsid w:val="000816C7"/>
    <w:rsid w:val="00081CC3"/>
    <w:rsid w:val="00083959"/>
    <w:rsid w:val="000853CA"/>
    <w:rsid w:val="0008737F"/>
    <w:rsid w:val="000A0E42"/>
    <w:rsid w:val="000A212A"/>
    <w:rsid w:val="000B26F4"/>
    <w:rsid w:val="000B366D"/>
    <w:rsid w:val="000B7DAE"/>
    <w:rsid w:val="000C7F89"/>
    <w:rsid w:val="000D1E71"/>
    <w:rsid w:val="000D29FB"/>
    <w:rsid w:val="000D36FC"/>
    <w:rsid w:val="000D6B3D"/>
    <w:rsid w:val="000D7116"/>
    <w:rsid w:val="000E2675"/>
    <w:rsid w:val="000E2994"/>
    <w:rsid w:val="000E6B54"/>
    <w:rsid w:val="000F17E9"/>
    <w:rsid w:val="000F2621"/>
    <w:rsid w:val="000F4226"/>
    <w:rsid w:val="000F7A47"/>
    <w:rsid w:val="001007D3"/>
    <w:rsid w:val="001020A6"/>
    <w:rsid w:val="0010239F"/>
    <w:rsid w:val="00103BF2"/>
    <w:rsid w:val="00104059"/>
    <w:rsid w:val="001109BB"/>
    <w:rsid w:val="00112D0E"/>
    <w:rsid w:val="00123D81"/>
    <w:rsid w:val="00126322"/>
    <w:rsid w:val="00126EB9"/>
    <w:rsid w:val="001321BB"/>
    <w:rsid w:val="001325F1"/>
    <w:rsid w:val="00133167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388D"/>
    <w:rsid w:val="00175484"/>
    <w:rsid w:val="00184E48"/>
    <w:rsid w:val="0018700E"/>
    <w:rsid w:val="00187EC0"/>
    <w:rsid w:val="0019596A"/>
    <w:rsid w:val="00196191"/>
    <w:rsid w:val="001A167B"/>
    <w:rsid w:val="001A2304"/>
    <w:rsid w:val="001A6FDC"/>
    <w:rsid w:val="001B04B9"/>
    <w:rsid w:val="001B1CA6"/>
    <w:rsid w:val="001B28B9"/>
    <w:rsid w:val="001B5492"/>
    <w:rsid w:val="001C23C1"/>
    <w:rsid w:val="001C2909"/>
    <w:rsid w:val="001D2EBE"/>
    <w:rsid w:val="001D3C18"/>
    <w:rsid w:val="001D64ED"/>
    <w:rsid w:val="001D6984"/>
    <w:rsid w:val="001D785F"/>
    <w:rsid w:val="001E2C15"/>
    <w:rsid w:val="001E5765"/>
    <w:rsid w:val="001E742A"/>
    <w:rsid w:val="001E7E59"/>
    <w:rsid w:val="001F12C2"/>
    <w:rsid w:val="001F27EE"/>
    <w:rsid w:val="001F43C2"/>
    <w:rsid w:val="001F4BE9"/>
    <w:rsid w:val="002011D4"/>
    <w:rsid w:val="00212FB5"/>
    <w:rsid w:val="00215787"/>
    <w:rsid w:val="00215C9E"/>
    <w:rsid w:val="00217917"/>
    <w:rsid w:val="00220B0D"/>
    <w:rsid w:val="00221465"/>
    <w:rsid w:val="00221600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516E5"/>
    <w:rsid w:val="0026165E"/>
    <w:rsid w:val="00261680"/>
    <w:rsid w:val="00262E17"/>
    <w:rsid w:val="002634AE"/>
    <w:rsid w:val="00266D70"/>
    <w:rsid w:val="002675FE"/>
    <w:rsid w:val="00274588"/>
    <w:rsid w:val="00274F4B"/>
    <w:rsid w:val="0028143D"/>
    <w:rsid w:val="002818BD"/>
    <w:rsid w:val="00284477"/>
    <w:rsid w:val="00284AC8"/>
    <w:rsid w:val="002866DC"/>
    <w:rsid w:val="002872ED"/>
    <w:rsid w:val="00291FAC"/>
    <w:rsid w:val="002971C1"/>
    <w:rsid w:val="002A06FB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867"/>
    <w:rsid w:val="002D1671"/>
    <w:rsid w:val="002D51A3"/>
    <w:rsid w:val="002D679F"/>
    <w:rsid w:val="002D6EA8"/>
    <w:rsid w:val="002E417B"/>
    <w:rsid w:val="002E76D6"/>
    <w:rsid w:val="002E7A78"/>
    <w:rsid w:val="002F148D"/>
    <w:rsid w:val="002F29D6"/>
    <w:rsid w:val="002F5D08"/>
    <w:rsid w:val="0030254C"/>
    <w:rsid w:val="003039FE"/>
    <w:rsid w:val="00305A1D"/>
    <w:rsid w:val="00313D79"/>
    <w:rsid w:val="003149B8"/>
    <w:rsid w:val="00320435"/>
    <w:rsid w:val="00320B48"/>
    <w:rsid w:val="00332FE1"/>
    <w:rsid w:val="00333E2D"/>
    <w:rsid w:val="0033473B"/>
    <w:rsid w:val="00334E1B"/>
    <w:rsid w:val="00335DD6"/>
    <w:rsid w:val="00336B21"/>
    <w:rsid w:val="00347D33"/>
    <w:rsid w:val="003625AD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A0C91"/>
    <w:rsid w:val="003A1A73"/>
    <w:rsid w:val="003A2E12"/>
    <w:rsid w:val="003A303F"/>
    <w:rsid w:val="003A4339"/>
    <w:rsid w:val="003A7675"/>
    <w:rsid w:val="003B2E06"/>
    <w:rsid w:val="003B68ED"/>
    <w:rsid w:val="003B6F6D"/>
    <w:rsid w:val="003C0DC8"/>
    <w:rsid w:val="003C2C6D"/>
    <w:rsid w:val="003C4F7B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F7829"/>
    <w:rsid w:val="00401070"/>
    <w:rsid w:val="004071D9"/>
    <w:rsid w:val="0041095A"/>
    <w:rsid w:val="00412AA6"/>
    <w:rsid w:val="0042055A"/>
    <w:rsid w:val="004216F0"/>
    <w:rsid w:val="00422E10"/>
    <w:rsid w:val="00423CD3"/>
    <w:rsid w:val="00424DE2"/>
    <w:rsid w:val="0042557D"/>
    <w:rsid w:val="00425A3F"/>
    <w:rsid w:val="00426D61"/>
    <w:rsid w:val="00433531"/>
    <w:rsid w:val="00436759"/>
    <w:rsid w:val="00436C06"/>
    <w:rsid w:val="00440DEA"/>
    <w:rsid w:val="00441D18"/>
    <w:rsid w:val="00441DCD"/>
    <w:rsid w:val="0044641B"/>
    <w:rsid w:val="00452AEB"/>
    <w:rsid w:val="004543CF"/>
    <w:rsid w:val="00457629"/>
    <w:rsid w:val="00461FB1"/>
    <w:rsid w:val="00465725"/>
    <w:rsid w:val="00473324"/>
    <w:rsid w:val="00473387"/>
    <w:rsid w:val="0048100D"/>
    <w:rsid w:val="004817B1"/>
    <w:rsid w:val="00483DFD"/>
    <w:rsid w:val="0048435D"/>
    <w:rsid w:val="004858A4"/>
    <w:rsid w:val="00487145"/>
    <w:rsid w:val="00487E70"/>
    <w:rsid w:val="00491596"/>
    <w:rsid w:val="00493929"/>
    <w:rsid w:val="00495DB8"/>
    <w:rsid w:val="004A01E1"/>
    <w:rsid w:val="004A0430"/>
    <w:rsid w:val="004A1669"/>
    <w:rsid w:val="004B0889"/>
    <w:rsid w:val="004B2A3E"/>
    <w:rsid w:val="004B30A1"/>
    <w:rsid w:val="004B33F3"/>
    <w:rsid w:val="004C14B4"/>
    <w:rsid w:val="004C14E6"/>
    <w:rsid w:val="004C42E0"/>
    <w:rsid w:val="004C443A"/>
    <w:rsid w:val="004C5D7A"/>
    <w:rsid w:val="004D21F0"/>
    <w:rsid w:val="004D7152"/>
    <w:rsid w:val="004D7F4F"/>
    <w:rsid w:val="004D7FE2"/>
    <w:rsid w:val="004E0711"/>
    <w:rsid w:val="004E105A"/>
    <w:rsid w:val="004E5066"/>
    <w:rsid w:val="004E531E"/>
    <w:rsid w:val="004F1201"/>
    <w:rsid w:val="004F22F5"/>
    <w:rsid w:val="004F348C"/>
    <w:rsid w:val="00502357"/>
    <w:rsid w:val="00506B6B"/>
    <w:rsid w:val="00506CBA"/>
    <w:rsid w:val="00507C64"/>
    <w:rsid w:val="00507EDF"/>
    <w:rsid w:val="00510534"/>
    <w:rsid w:val="005123CF"/>
    <w:rsid w:val="005153A4"/>
    <w:rsid w:val="00515D97"/>
    <w:rsid w:val="00515E8A"/>
    <w:rsid w:val="00522ED8"/>
    <w:rsid w:val="00523064"/>
    <w:rsid w:val="00527A5D"/>
    <w:rsid w:val="0053153F"/>
    <w:rsid w:val="005332F8"/>
    <w:rsid w:val="00535B9F"/>
    <w:rsid w:val="00536682"/>
    <w:rsid w:val="00536966"/>
    <w:rsid w:val="00541108"/>
    <w:rsid w:val="00542B8A"/>
    <w:rsid w:val="00547997"/>
    <w:rsid w:val="005539C6"/>
    <w:rsid w:val="00555587"/>
    <w:rsid w:val="005640B2"/>
    <w:rsid w:val="00565230"/>
    <w:rsid w:val="00565367"/>
    <w:rsid w:val="00566DA0"/>
    <w:rsid w:val="00567898"/>
    <w:rsid w:val="0057312A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5C3F"/>
    <w:rsid w:val="005C3668"/>
    <w:rsid w:val="005C436D"/>
    <w:rsid w:val="005C480A"/>
    <w:rsid w:val="005C61F1"/>
    <w:rsid w:val="005D10B4"/>
    <w:rsid w:val="005D279C"/>
    <w:rsid w:val="005D45B9"/>
    <w:rsid w:val="005D66C9"/>
    <w:rsid w:val="005E2048"/>
    <w:rsid w:val="005E2CC7"/>
    <w:rsid w:val="005E390D"/>
    <w:rsid w:val="005F01DE"/>
    <w:rsid w:val="005F515F"/>
    <w:rsid w:val="005F5C2C"/>
    <w:rsid w:val="005F5E81"/>
    <w:rsid w:val="005F77D3"/>
    <w:rsid w:val="00602893"/>
    <w:rsid w:val="006131DC"/>
    <w:rsid w:val="0061402F"/>
    <w:rsid w:val="0061770D"/>
    <w:rsid w:val="00621EA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ECB"/>
    <w:rsid w:val="00653DCB"/>
    <w:rsid w:val="00656903"/>
    <w:rsid w:val="00656DE0"/>
    <w:rsid w:val="00664975"/>
    <w:rsid w:val="00664AA0"/>
    <w:rsid w:val="00665399"/>
    <w:rsid w:val="00666234"/>
    <w:rsid w:val="00674B8B"/>
    <w:rsid w:val="006805F6"/>
    <w:rsid w:val="006839DD"/>
    <w:rsid w:val="0068466F"/>
    <w:rsid w:val="00685D47"/>
    <w:rsid w:val="00687BA5"/>
    <w:rsid w:val="00696616"/>
    <w:rsid w:val="006A3110"/>
    <w:rsid w:val="006A46DC"/>
    <w:rsid w:val="006A53DE"/>
    <w:rsid w:val="006A6CDA"/>
    <w:rsid w:val="006B2462"/>
    <w:rsid w:val="006C129A"/>
    <w:rsid w:val="006C46F7"/>
    <w:rsid w:val="006D6D67"/>
    <w:rsid w:val="006E05CC"/>
    <w:rsid w:val="006E4556"/>
    <w:rsid w:val="006F0882"/>
    <w:rsid w:val="006F4A1A"/>
    <w:rsid w:val="00701AC0"/>
    <w:rsid w:val="00707183"/>
    <w:rsid w:val="007133E7"/>
    <w:rsid w:val="0071385B"/>
    <w:rsid w:val="00715A59"/>
    <w:rsid w:val="00715AFD"/>
    <w:rsid w:val="00716EF2"/>
    <w:rsid w:val="007202C0"/>
    <w:rsid w:val="00720705"/>
    <w:rsid w:val="00725614"/>
    <w:rsid w:val="00725634"/>
    <w:rsid w:val="007261E0"/>
    <w:rsid w:val="007272B2"/>
    <w:rsid w:val="007308C4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854"/>
    <w:rsid w:val="00771F2A"/>
    <w:rsid w:val="00772D9E"/>
    <w:rsid w:val="00773656"/>
    <w:rsid w:val="00781824"/>
    <w:rsid w:val="007841E8"/>
    <w:rsid w:val="007875A7"/>
    <w:rsid w:val="007967C1"/>
    <w:rsid w:val="007A5877"/>
    <w:rsid w:val="007B18F4"/>
    <w:rsid w:val="007D083D"/>
    <w:rsid w:val="007D2166"/>
    <w:rsid w:val="007D41C9"/>
    <w:rsid w:val="007D46B6"/>
    <w:rsid w:val="007D5961"/>
    <w:rsid w:val="007D6E89"/>
    <w:rsid w:val="007E1B57"/>
    <w:rsid w:val="007E773F"/>
    <w:rsid w:val="007E7CBA"/>
    <w:rsid w:val="007F098C"/>
    <w:rsid w:val="007F0EE4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4085"/>
    <w:rsid w:val="00865AC0"/>
    <w:rsid w:val="00866E5D"/>
    <w:rsid w:val="00866FB1"/>
    <w:rsid w:val="008718AA"/>
    <w:rsid w:val="0087342D"/>
    <w:rsid w:val="0088543E"/>
    <w:rsid w:val="008921A4"/>
    <w:rsid w:val="00893B55"/>
    <w:rsid w:val="00894376"/>
    <w:rsid w:val="00894CBA"/>
    <w:rsid w:val="0089708C"/>
    <w:rsid w:val="008971E6"/>
    <w:rsid w:val="008A2351"/>
    <w:rsid w:val="008A265B"/>
    <w:rsid w:val="008A5D01"/>
    <w:rsid w:val="008B1BF7"/>
    <w:rsid w:val="008B2262"/>
    <w:rsid w:val="008B4376"/>
    <w:rsid w:val="008B570B"/>
    <w:rsid w:val="008B5BDD"/>
    <w:rsid w:val="008B5D58"/>
    <w:rsid w:val="008C0C95"/>
    <w:rsid w:val="008C136D"/>
    <w:rsid w:val="008C17F1"/>
    <w:rsid w:val="008C28B7"/>
    <w:rsid w:val="008D1104"/>
    <w:rsid w:val="008D5FF6"/>
    <w:rsid w:val="008E4A63"/>
    <w:rsid w:val="008E51FD"/>
    <w:rsid w:val="008E6D20"/>
    <w:rsid w:val="008E7CCF"/>
    <w:rsid w:val="008F17D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18FB"/>
    <w:rsid w:val="0091467A"/>
    <w:rsid w:val="00915B04"/>
    <w:rsid w:val="00915CCA"/>
    <w:rsid w:val="00921044"/>
    <w:rsid w:val="00921A70"/>
    <w:rsid w:val="0092251E"/>
    <w:rsid w:val="00922E37"/>
    <w:rsid w:val="00926475"/>
    <w:rsid w:val="00932A38"/>
    <w:rsid w:val="009343B2"/>
    <w:rsid w:val="009363B3"/>
    <w:rsid w:val="009436A8"/>
    <w:rsid w:val="00943A0F"/>
    <w:rsid w:val="00944021"/>
    <w:rsid w:val="00945CB9"/>
    <w:rsid w:val="009504E9"/>
    <w:rsid w:val="00951DF6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9176B"/>
    <w:rsid w:val="00993906"/>
    <w:rsid w:val="00996298"/>
    <w:rsid w:val="009A0AEB"/>
    <w:rsid w:val="009A152C"/>
    <w:rsid w:val="009A60A2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601DA"/>
    <w:rsid w:val="00A642B0"/>
    <w:rsid w:val="00A647AB"/>
    <w:rsid w:val="00A65B7B"/>
    <w:rsid w:val="00A71BAE"/>
    <w:rsid w:val="00A72A8D"/>
    <w:rsid w:val="00A753BA"/>
    <w:rsid w:val="00A770E6"/>
    <w:rsid w:val="00A77588"/>
    <w:rsid w:val="00A77C6E"/>
    <w:rsid w:val="00A807CE"/>
    <w:rsid w:val="00A81339"/>
    <w:rsid w:val="00A85226"/>
    <w:rsid w:val="00A90F55"/>
    <w:rsid w:val="00A914D1"/>
    <w:rsid w:val="00A9258B"/>
    <w:rsid w:val="00A93523"/>
    <w:rsid w:val="00AA1E9F"/>
    <w:rsid w:val="00AA42EA"/>
    <w:rsid w:val="00AA4761"/>
    <w:rsid w:val="00AA7968"/>
    <w:rsid w:val="00AA7FEC"/>
    <w:rsid w:val="00AB613F"/>
    <w:rsid w:val="00AB7468"/>
    <w:rsid w:val="00AC21CD"/>
    <w:rsid w:val="00AC4531"/>
    <w:rsid w:val="00AC7B3D"/>
    <w:rsid w:val="00AC7D78"/>
    <w:rsid w:val="00AD0890"/>
    <w:rsid w:val="00AD0B30"/>
    <w:rsid w:val="00AD181D"/>
    <w:rsid w:val="00AD489D"/>
    <w:rsid w:val="00AD4E5B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18D2"/>
    <w:rsid w:val="00B02BFB"/>
    <w:rsid w:val="00B06EF6"/>
    <w:rsid w:val="00B1051C"/>
    <w:rsid w:val="00B12A28"/>
    <w:rsid w:val="00B13DB1"/>
    <w:rsid w:val="00B17D1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5A5B"/>
    <w:rsid w:val="00BB6086"/>
    <w:rsid w:val="00BB6A0F"/>
    <w:rsid w:val="00BC1A51"/>
    <w:rsid w:val="00BC229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EAF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81567"/>
    <w:rsid w:val="00C85AB2"/>
    <w:rsid w:val="00C86FA4"/>
    <w:rsid w:val="00C87EA8"/>
    <w:rsid w:val="00C91A86"/>
    <w:rsid w:val="00C92068"/>
    <w:rsid w:val="00CA2B1C"/>
    <w:rsid w:val="00CA4E01"/>
    <w:rsid w:val="00CA6422"/>
    <w:rsid w:val="00CB0DE8"/>
    <w:rsid w:val="00CB1212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D61F4"/>
    <w:rsid w:val="00CE09C7"/>
    <w:rsid w:val="00CE09F0"/>
    <w:rsid w:val="00CE3755"/>
    <w:rsid w:val="00CE454F"/>
    <w:rsid w:val="00CE49A3"/>
    <w:rsid w:val="00CF00C4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40F7F"/>
    <w:rsid w:val="00D42D42"/>
    <w:rsid w:val="00D46037"/>
    <w:rsid w:val="00D50388"/>
    <w:rsid w:val="00D64AEE"/>
    <w:rsid w:val="00D70034"/>
    <w:rsid w:val="00D70CFB"/>
    <w:rsid w:val="00D71503"/>
    <w:rsid w:val="00D732DC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6DCA"/>
    <w:rsid w:val="00DC10AD"/>
    <w:rsid w:val="00DC3094"/>
    <w:rsid w:val="00DC436F"/>
    <w:rsid w:val="00DC59F8"/>
    <w:rsid w:val="00DC5D7F"/>
    <w:rsid w:val="00DE5D0F"/>
    <w:rsid w:val="00DE6B95"/>
    <w:rsid w:val="00DE6CB6"/>
    <w:rsid w:val="00DF71EF"/>
    <w:rsid w:val="00DF7238"/>
    <w:rsid w:val="00DF7C56"/>
    <w:rsid w:val="00E01112"/>
    <w:rsid w:val="00E0196A"/>
    <w:rsid w:val="00E058D6"/>
    <w:rsid w:val="00E05DC4"/>
    <w:rsid w:val="00E063F9"/>
    <w:rsid w:val="00E06925"/>
    <w:rsid w:val="00E10CBA"/>
    <w:rsid w:val="00E177A3"/>
    <w:rsid w:val="00E2284A"/>
    <w:rsid w:val="00E23602"/>
    <w:rsid w:val="00E26444"/>
    <w:rsid w:val="00E27342"/>
    <w:rsid w:val="00E34A59"/>
    <w:rsid w:val="00E362BB"/>
    <w:rsid w:val="00E3730C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66D6"/>
    <w:rsid w:val="00E66BC0"/>
    <w:rsid w:val="00E71676"/>
    <w:rsid w:val="00E71734"/>
    <w:rsid w:val="00E74D2B"/>
    <w:rsid w:val="00E83D54"/>
    <w:rsid w:val="00E87AAE"/>
    <w:rsid w:val="00E95006"/>
    <w:rsid w:val="00EA557B"/>
    <w:rsid w:val="00EA5D8E"/>
    <w:rsid w:val="00EC1FAA"/>
    <w:rsid w:val="00EC3566"/>
    <w:rsid w:val="00ED2D84"/>
    <w:rsid w:val="00ED412A"/>
    <w:rsid w:val="00ED487D"/>
    <w:rsid w:val="00ED5190"/>
    <w:rsid w:val="00ED71EA"/>
    <w:rsid w:val="00EE020C"/>
    <w:rsid w:val="00EE02A8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2284"/>
    <w:rsid w:val="00F13E1D"/>
    <w:rsid w:val="00F147CC"/>
    <w:rsid w:val="00F14CE2"/>
    <w:rsid w:val="00F14CE4"/>
    <w:rsid w:val="00F20078"/>
    <w:rsid w:val="00F20123"/>
    <w:rsid w:val="00F21D2B"/>
    <w:rsid w:val="00F24E67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1631"/>
    <w:rsid w:val="00FE2D4A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F5EF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CF8C-AA83-47A8-9650-F5B62AF9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Milena Milovic</cp:lastModifiedBy>
  <cp:revision>43</cp:revision>
  <cp:lastPrinted>2022-11-17T10:50:00Z</cp:lastPrinted>
  <dcterms:created xsi:type="dcterms:W3CDTF">2022-11-17T08:43:00Z</dcterms:created>
  <dcterms:modified xsi:type="dcterms:W3CDTF">2022-11-30T09:43:00Z</dcterms:modified>
</cp:coreProperties>
</file>