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54" w:rsidRDefault="00177E34" w:rsidP="002041B9">
      <w:pPr>
        <w:pStyle w:val="Title"/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 w:rsidRPr="00177E34">
        <w:rPr>
          <w:b/>
          <w:sz w:val="24"/>
          <w:szCs w:val="24"/>
        </w:rPr>
        <w:t xml:space="preserve">IZVJEŠTAJ O DRŽAVNOM DUGU NA DAN </w:t>
      </w:r>
      <w:r w:rsidR="00F96E8E">
        <w:rPr>
          <w:b/>
          <w:sz w:val="24"/>
          <w:szCs w:val="24"/>
        </w:rPr>
        <w:t>30.06</w:t>
      </w:r>
      <w:r w:rsidRPr="00177E34">
        <w:rPr>
          <w:b/>
          <w:sz w:val="24"/>
          <w:szCs w:val="24"/>
        </w:rPr>
        <w:t>.2019. GODINE</w:t>
      </w:r>
    </w:p>
    <w:p w:rsidR="00664205" w:rsidRPr="0045320E" w:rsidRDefault="00000CF2" w:rsidP="002041B9">
      <w:pPr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  <w:proofErr w:type="spellStart"/>
      <w:r w:rsidRPr="0045320E">
        <w:rPr>
          <w:rFonts w:ascii="Cambria" w:hAnsi="Cambria"/>
          <w:sz w:val="22"/>
          <w:szCs w:val="22"/>
        </w:rPr>
        <w:t>Ukupan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proofErr w:type="spellStart"/>
      <w:r w:rsidRPr="0045320E">
        <w:rPr>
          <w:rFonts w:ascii="Cambria" w:hAnsi="Cambria"/>
          <w:sz w:val="22"/>
          <w:szCs w:val="22"/>
        </w:rPr>
        <w:t>državni</w:t>
      </w:r>
      <w:proofErr w:type="spellEnd"/>
      <w:r w:rsidRPr="0045320E">
        <w:rPr>
          <w:rFonts w:ascii="Cambria" w:hAnsi="Cambria"/>
          <w:sz w:val="22"/>
          <w:szCs w:val="22"/>
        </w:rPr>
        <w:t xml:space="preserve"> dug </w:t>
      </w:r>
      <w:r w:rsidR="00BE5FC4">
        <w:rPr>
          <w:rFonts w:ascii="Cambria" w:hAnsi="Cambria"/>
          <w:sz w:val="22"/>
          <w:szCs w:val="22"/>
        </w:rPr>
        <w:t xml:space="preserve">(bez </w:t>
      </w:r>
      <w:proofErr w:type="spellStart"/>
      <w:r w:rsidR="00BE5FC4">
        <w:rPr>
          <w:rFonts w:ascii="Cambria" w:hAnsi="Cambria"/>
          <w:sz w:val="22"/>
          <w:szCs w:val="22"/>
        </w:rPr>
        <w:t>depozit</w:t>
      </w:r>
      <w:r w:rsidR="00664205" w:rsidRPr="0045320E">
        <w:rPr>
          <w:rFonts w:ascii="Cambria" w:hAnsi="Cambria"/>
          <w:sz w:val="22"/>
          <w:szCs w:val="22"/>
        </w:rPr>
        <w:t>a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), </w:t>
      </w:r>
      <w:proofErr w:type="spellStart"/>
      <w:r w:rsidRPr="0045320E">
        <w:rPr>
          <w:rFonts w:ascii="Cambria" w:hAnsi="Cambria"/>
          <w:sz w:val="22"/>
          <w:szCs w:val="22"/>
        </w:rPr>
        <w:t>na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proofErr w:type="spellStart"/>
      <w:r w:rsidRPr="0045320E">
        <w:rPr>
          <w:rFonts w:ascii="Cambria" w:hAnsi="Cambria"/>
          <w:sz w:val="22"/>
          <w:szCs w:val="22"/>
        </w:rPr>
        <w:t>dan</w:t>
      </w:r>
      <w:proofErr w:type="spellEnd"/>
      <w:r w:rsidRPr="0045320E">
        <w:rPr>
          <w:rFonts w:ascii="Cambria" w:hAnsi="Cambria"/>
          <w:sz w:val="22"/>
          <w:szCs w:val="22"/>
        </w:rPr>
        <w:t xml:space="preserve"> </w:t>
      </w:r>
      <w:r w:rsidR="00F96E8E">
        <w:rPr>
          <w:rFonts w:ascii="Cambria" w:hAnsi="Cambria"/>
          <w:sz w:val="22"/>
          <w:szCs w:val="22"/>
        </w:rPr>
        <w:t>30.06</w:t>
      </w:r>
      <w:r w:rsidR="00664205" w:rsidRPr="0045320E">
        <w:rPr>
          <w:rFonts w:ascii="Cambria" w:hAnsi="Cambria"/>
          <w:sz w:val="22"/>
          <w:szCs w:val="22"/>
        </w:rPr>
        <w:t xml:space="preserve">.2019. </w:t>
      </w:r>
      <w:proofErr w:type="spellStart"/>
      <w:r w:rsidR="00664205" w:rsidRPr="0045320E">
        <w:rPr>
          <w:rFonts w:ascii="Cambria" w:hAnsi="Cambria"/>
          <w:sz w:val="22"/>
          <w:szCs w:val="22"/>
        </w:rPr>
        <w:t>godine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, </w:t>
      </w:r>
      <w:proofErr w:type="spellStart"/>
      <w:r w:rsidR="00664205" w:rsidRPr="0045320E">
        <w:rPr>
          <w:rFonts w:ascii="Cambria" w:hAnsi="Cambria"/>
          <w:sz w:val="22"/>
          <w:szCs w:val="22"/>
        </w:rPr>
        <w:t>iznosio</w:t>
      </w:r>
      <w:proofErr w:type="spellEnd"/>
      <w:r w:rsidR="00664205" w:rsidRPr="0045320E">
        <w:rPr>
          <w:rFonts w:ascii="Cambria" w:hAnsi="Cambria"/>
          <w:sz w:val="22"/>
          <w:szCs w:val="22"/>
        </w:rPr>
        <w:t xml:space="preserve"> je </w:t>
      </w:r>
      <w:r w:rsidR="00D735FE" w:rsidRPr="00664205">
        <w:rPr>
          <w:rFonts w:ascii="Cambria" w:eastAsia="Times New Roman" w:hAnsi="Cambria" w:cs="Times New Roman"/>
          <w:sz w:val="22"/>
          <w:szCs w:val="22"/>
          <w:lang w:eastAsia="en-GB"/>
        </w:rPr>
        <w:t>3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D735FE" w:rsidRPr="00664205">
        <w:rPr>
          <w:rFonts w:ascii="Cambria" w:eastAsia="Times New Roman" w:hAnsi="Cambria" w:cs="Times New Roman"/>
          <w:sz w:val="22"/>
          <w:szCs w:val="22"/>
          <w:lang w:eastAsia="en-GB"/>
        </w:rPr>
        <w:t>1</w:t>
      </w:r>
      <w:r w:rsidR="003A4ED8">
        <w:rPr>
          <w:rFonts w:ascii="Cambria" w:eastAsia="Times New Roman" w:hAnsi="Cambria" w:cs="Times New Roman"/>
          <w:sz w:val="22"/>
          <w:szCs w:val="22"/>
          <w:lang w:eastAsia="en-GB"/>
        </w:rPr>
        <w:t>33</w:t>
      </w:r>
      <w:r w:rsidR="001073CE">
        <w:rPr>
          <w:rFonts w:ascii="Cambria" w:eastAsia="Times New Roman" w:hAnsi="Cambria" w:cs="Times New Roman"/>
          <w:sz w:val="22"/>
          <w:szCs w:val="22"/>
          <w:lang w:eastAsia="en-GB"/>
        </w:rPr>
        <w:t>,</w:t>
      </w:r>
      <w:r w:rsidR="003A4ED8">
        <w:rPr>
          <w:rFonts w:ascii="Cambria" w:eastAsia="Times New Roman" w:hAnsi="Cambria" w:cs="Times New Roman"/>
          <w:sz w:val="22"/>
          <w:szCs w:val="22"/>
          <w:lang w:eastAsia="en-GB"/>
        </w:rPr>
        <w:t>68</w:t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478EE">
        <w:rPr>
          <w:rFonts w:ascii="Cambria" w:eastAsia="Times New Roman" w:hAnsi="Cambria" w:cs="Times New Roman"/>
          <w:sz w:val="22"/>
          <w:szCs w:val="22"/>
          <w:lang w:eastAsia="en-GB"/>
        </w:rPr>
        <w:t>63,29</w:t>
      </w:r>
      <w:r w:rsidR="00D422E7" w:rsidRPr="00D735FE">
        <w:rPr>
          <w:rFonts w:ascii="Cambria" w:eastAsia="Times New Roman" w:hAnsi="Cambria" w:cs="Times New Roman"/>
          <w:sz w:val="22"/>
          <w:szCs w:val="22"/>
          <w:lang w:eastAsia="en-GB"/>
        </w:rPr>
        <w:t>%</w:t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BDP-a</w:t>
      </w:r>
      <w:r w:rsidR="00D422E7" w:rsidRPr="0045320E">
        <w:rPr>
          <w:rStyle w:val="FootnoteReference"/>
          <w:rFonts w:ascii="Cambria" w:eastAsia="Times New Roman" w:hAnsi="Cambria" w:cs="Times New Roman"/>
          <w:sz w:val="22"/>
          <w:szCs w:val="22"/>
          <w:lang w:eastAsia="en-GB"/>
        </w:rPr>
        <w:footnoteReference w:id="1"/>
      </w:r>
      <w:r w:rsidR="00D422E7" w:rsidRPr="0045320E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Ukupan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državni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sa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depozitima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na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dan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F96E8E">
        <w:rPr>
          <w:rFonts w:ascii="Cambria" w:eastAsia="Times New Roman" w:hAnsi="Cambria" w:cs="Times New Roman"/>
          <w:sz w:val="22"/>
          <w:szCs w:val="22"/>
          <w:lang w:eastAsia="en-GB"/>
        </w:rPr>
        <w:t>30.06</w:t>
      </w:r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.2019.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godine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</w:t>
      </w:r>
      <w:proofErr w:type="spellEnd"/>
      <w:r w:rsidR="004C29AC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2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3A4ED8">
        <w:rPr>
          <w:rFonts w:ascii="Cambria" w:eastAsia="Times New Roman" w:hAnsi="Cambria" w:cs="Times New Roman"/>
          <w:sz w:val="22"/>
          <w:szCs w:val="22"/>
          <w:lang w:eastAsia="en-GB"/>
        </w:rPr>
        <w:t>949</w:t>
      </w:r>
      <w:r w:rsidR="00BE5FC4">
        <w:rPr>
          <w:rFonts w:ascii="Cambria" w:eastAsia="Times New Roman" w:hAnsi="Cambria" w:cs="Times New Roman"/>
          <w:sz w:val="22"/>
          <w:szCs w:val="22"/>
          <w:lang w:eastAsia="en-GB"/>
        </w:rPr>
        <w:t>,</w:t>
      </w:r>
      <w:r w:rsidR="001073CE" w:rsidRPr="001073CE">
        <w:rPr>
          <w:rFonts w:ascii="Cambria" w:eastAsia="Times New Roman" w:hAnsi="Cambria" w:cs="Times New Roman"/>
          <w:sz w:val="22"/>
          <w:szCs w:val="22"/>
          <w:lang w:eastAsia="en-GB"/>
        </w:rPr>
        <w:t>6</w:t>
      </w:r>
      <w:r w:rsidR="003A4ED8">
        <w:rPr>
          <w:rFonts w:ascii="Cambria" w:eastAsia="Times New Roman" w:hAnsi="Cambria" w:cs="Times New Roman"/>
          <w:sz w:val="22"/>
          <w:szCs w:val="22"/>
          <w:lang w:eastAsia="en-GB"/>
        </w:rPr>
        <w:t>5</w:t>
      </w:r>
      <w:r w:rsidR="001073CE">
        <w:rPr>
          <w:rFonts w:ascii="Cambria" w:eastAsia="Times New Roman" w:hAnsi="Cambria" w:cs="Times New Roman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478EE">
        <w:rPr>
          <w:rFonts w:ascii="Cambria" w:eastAsia="Times New Roman" w:hAnsi="Cambria" w:cs="Times New Roman"/>
          <w:sz w:val="22"/>
          <w:szCs w:val="22"/>
          <w:lang w:eastAsia="en-GB"/>
        </w:rPr>
        <w:t>59,58</w:t>
      </w:r>
      <w:r w:rsidR="00834E6E" w:rsidRPr="00D735FE">
        <w:rPr>
          <w:rFonts w:ascii="Cambria" w:eastAsia="Times New Roman" w:hAnsi="Cambria" w:cs="Times New Roman"/>
          <w:sz w:val="22"/>
          <w:szCs w:val="22"/>
          <w:lang w:eastAsia="en-GB"/>
        </w:rPr>
        <w:t>%</w:t>
      </w:r>
      <w:r w:rsidR="00834E6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. </w:t>
      </w:r>
    </w:p>
    <w:p w:rsidR="00834E6E" w:rsidRDefault="00834E6E" w:rsidP="0045320E">
      <w:pPr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Spoljni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iznosio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je </w:t>
      </w:r>
      <w:r w:rsidRPr="00664205">
        <w:rPr>
          <w:rFonts w:ascii="Cambria" w:eastAsia="Times New Roman" w:hAnsi="Cambria" w:cs="Times New Roman"/>
          <w:sz w:val="22"/>
          <w:szCs w:val="22"/>
          <w:lang w:eastAsia="en-GB"/>
        </w:rPr>
        <w:t>2</w:t>
      </w:r>
      <w:r w:rsidR="009B1862">
        <w:rPr>
          <w:rFonts w:ascii="Cambria" w:eastAsia="Times New Roman" w:hAnsi="Cambria" w:cs="Times New Roman"/>
          <w:sz w:val="22"/>
          <w:szCs w:val="22"/>
          <w:lang w:eastAsia="en-GB"/>
        </w:rPr>
        <w:t>.</w:t>
      </w:r>
      <w:r w:rsidR="003A4ED8">
        <w:rPr>
          <w:rFonts w:ascii="Cambria" w:eastAsia="Times New Roman" w:hAnsi="Cambria" w:cs="Times New Roman"/>
          <w:sz w:val="22"/>
          <w:szCs w:val="22"/>
          <w:lang w:eastAsia="en-GB"/>
        </w:rPr>
        <w:t>621,73</w:t>
      </w:r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>odnosno</w:t>
      </w:r>
      <w:proofErr w:type="spellEnd"/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478EE">
        <w:rPr>
          <w:rFonts w:ascii="Cambria" w:eastAsia="Times New Roman" w:hAnsi="Cambria" w:cs="Times New Roman"/>
          <w:sz w:val="22"/>
          <w:szCs w:val="22"/>
          <w:lang w:eastAsia="en-GB"/>
        </w:rPr>
        <w:t>52,95</w:t>
      </w:r>
      <w:r w:rsidR="00E94687">
        <w:rPr>
          <w:rFonts w:ascii="Cambria" w:eastAsia="Times New Roman" w:hAnsi="Cambria" w:cs="Times New Roman"/>
          <w:sz w:val="22"/>
          <w:szCs w:val="22"/>
          <w:lang w:eastAsia="en-GB"/>
        </w:rPr>
        <w:t>% BDP-a</w:t>
      </w:r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dok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je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unutrašnji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dug </w:t>
      </w:r>
      <w:proofErr w:type="spellStart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iznosio</w:t>
      </w:r>
      <w:proofErr w:type="spellEnd"/>
      <w:r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>511,95</w:t>
      </w:r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 xml:space="preserve">, </w:t>
      </w:r>
      <w:proofErr w:type="spellStart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odnosno</w:t>
      </w:r>
      <w:proofErr w:type="spellEnd"/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>10,</w:t>
      </w:r>
      <w:r w:rsidR="001478EE">
        <w:rPr>
          <w:rFonts w:ascii="Cambria" w:eastAsia="Times New Roman" w:hAnsi="Cambria" w:cs="Times New Roman"/>
          <w:sz w:val="22"/>
          <w:szCs w:val="22"/>
          <w:lang w:eastAsia="en-GB"/>
        </w:rPr>
        <w:t>34</w:t>
      </w:r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% B</w:t>
      </w:r>
      <w:r w:rsidR="00BC0B44">
        <w:rPr>
          <w:rFonts w:ascii="Cambria" w:eastAsia="Times New Roman" w:hAnsi="Cambria" w:cs="Times New Roman"/>
          <w:sz w:val="22"/>
          <w:szCs w:val="22"/>
          <w:lang w:eastAsia="en-GB"/>
        </w:rPr>
        <w:t>D</w:t>
      </w:r>
      <w:r w:rsidR="00FE738B">
        <w:rPr>
          <w:rFonts w:ascii="Cambria" w:eastAsia="Times New Roman" w:hAnsi="Cambria" w:cs="Times New Roman"/>
          <w:sz w:val="22"/>
          <w:szCs w:val="22"/>
          <w:lang w:eastAsia="en-GB"/>
        </w:rPr>
        <w:t>P</w:t>
      </w:r>
      <w:r w:rsidR="00BC0B44">
        <w:rPr>
          <w:rFonts w:ascii="Cambria" w:eastAsia="Times New Roman" w:hAnsi="Cambria" w:cs="Times New Roman"/>
          <w:sz w:val="22"/>
          <w:szCs w:val="22"/>
          <w:lang w:eastAsia="en-GB"/>
        </w:rPr>
        <w:t>-a</w:t>
      </w:r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.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Depoziti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na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kraju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2D2131">
        <w:rPr>
          <w:rFonts w:ascii="Cambria" w:eastAsia="Times New Roman" w:hAnsi="Cambria" w:cs="Times New Roman"/>
          <w:sz w:val="22"/>
          <w:szCs w:val="22"/>
          <w:lang w:eastAsia="en-GB"/>
        </w:rPr>
        <w:t>drugog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>kvartala</w:t>
      </w:r>
      <w:proofErr w:type="spellEnd"/>
      <w:r w:rsidR="00E148E9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2019.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godine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iznosili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su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6571F">
        <w:rPr>
          <w:rFonts w:ascii="Cambria" w:eastAsia="Times New Roman" w:hAnsi="Cambria" w:cs="Times New Roman"/>
          <w:sz w:val="22"/>
          <w:szCs w:val="22"/>
          <w:lang w:eastAsia="en-GB"/>
        </w:rPr>
        <w:t>184,03</w:t>
      </w:r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>miliona</w:t>
      </w:r>
      <w:proofErr w:type="spellEnd"/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>eura</w:t>
      </w:r>
      <w:proofErr w:type="spellEnd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proofErr w:type="spellStart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>ili</w:t>
      </w:r>
      <w:proofErr w:type="spellEnd"/>
      <w:r w:rsidR="00DC083A">
        <w:rPr>
          <w:rFonts w:ascii="Cambria" w:eastAsia="Times New Roman" w:hAnsi="Cambria" w:cs="Times New Roman"/>
          <w:sz w:val="22"/>
          <w:szCs w:val="22"/>
          <w:lang w:eastAsia="en-GB"/>
        </w:rPr>
        <w:t xml:space="preserve"> </w:t>
      </w:r>
      <w:r w:rsidR="001478EE">
        <w:rPr>
          <w:rFonts w:ascii="Cambria" w:eastAsia="Times New Roman" w:hAnsi="Cambria" w:cs="Times New Roman"/>
          <w:sz w:val="22"/>
          <w:szCs w:val="22"/>
          <w:lang w:eastAsia="en-GB"/>
        </w:rPr>
        <w:t>3,72</w:t>
      </w:r>
      <w:r w:rsidR="0045320E" w:rsidRPr="0045320E">
        <w:rPr>
          <w:rFonts w:ascii="Cambria" w:eastAsia="Times New Roman" w:hAnsi="Cambria" w:cs="Times New Roman"/>
          <w:sz w:val="22"/>
          <w:szCs w:val="22"/>
          <w:lang w:eastAsia="en-GB"/>
        </w:rPr>
        <w:t xml:space="preserve">% BDP-a. </w:t>
      </w:r>
    </w:p>
    <w:p w:rsidR="0045320E" w:rsidRPr="00361F8E" w:rsidRDefault="0045320E" w:rsidP="0045320E">
      <w:pPr>
        <w:jc w:val="both"/>
        <w:rPr>
          <w:rFonts w:ascii="Cambria" w:hAnsi="Cambria"/>
          <w:b/>
          <w:sz w:val="22"/>
          <w:szCs w:val="22"/>
        </w:rPr>
      </w:pP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Tabela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1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Stanje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duga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u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mil</w:t>
      </w:r>
      <w:r w:rsidR="00FB4E0E">
        <w:rPr>
          <w:rFonts w:ascii="Cambria" w:eastAsia="Times New Roman" w:hAnsi="Cambria" w:cs="Times New Roman"/>
          <w:b/>
          <w:sz w:val="22"/>
          <w:szCs w:val="22"/>
          <w:lang w:eastAsia="en-GB"/>
        </w:rPr>
        <w:t>ionima</w:t>
      </w:r>
      <w:proofErr w:type="spellEnd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 xml:space="preserve"> </w:t>
      </w:r>
      <w:proofErr w:type="spellStart"/>
      <w:r w:rsidRPr="00361F8E">
        <w:rPr>
          <w:rFonts w:ascii="Cambria" w:eastAsia="Times New Roman" w:hAnsi="Cambria" w:cs="Times New Roman"/>
          <w:b/>
          <w:sz w:val="22"/>
          <w:szCs w:val="22"/>
          <w:lang w:eastAsia="en-GB"/>
        </w:rPr>
        <w:t>eura</w:t>
      </w:r>
      <w:proofErr w:type="spellEnd"/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5534"/>
        <w:gridCol w:w="1848"/>
        <w:gridCol w:w="1678"/>
      </w:tblGrid>
      <w:tr w:rsidR="000546A5" w:rsidRPr="00CD00B2" w:rsidTr="00662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087087">
            <w:pPr>
              <w:spacing w:before="0"/>
              <w:jc w:val="center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Kreditor</w:t>
            </w:r>
            <w:proofErr w:type="spellEnd"/>
          </w:p>
        </w:tc>
        <w:tc>
          <w:tcPr>
            <w:tcW w:w="1020" w:type="pct"/>
            <w:hideMark/>
          </w:tcPr>
          <w:p w:rsidR="000546A5" w:rsidRPr="00CD00B2" w:rsidRDefault="000546A5" w:rsidP="00F96E8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na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dan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31.03</w:t>
            </w:r>
            <w:r w:rsidRPr="00CD00B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.2019</w:t>
            </w:r>
          </w:p>
        </w:tc>
        <w:tc>
          <w:tcPr>
            <w:tcW w:w="926" w:type="pct"/>
          </w:tcPr>
          <w:p w:rsidR="000546A5" w:rsidRPr="008D4F63" w:rsidRDefault="000546A5" w:rsidP="00F96E8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proofErr w:type="spellStart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</w:t>
            </w:r>
            <w:proofErr w:type="spellEnd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na</w:t>
            </w:r>
            <w:proofErr w:type="spellEnd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dan</w:t>
            </w:r>
            <w:proofErr w:type="spellEnd"/>
            <w:r w:rsidRPr="008D4F63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 30.06.2019</w:t>
            </w:r>
          </w:p>
        </w:tc>
      </w:tr>
      <w:tr w:rsidR="000546A5" w:rsidRPr="00CD00B2" w:rsidTr="00FD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(IBRD)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189,17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184,28</w:t>
            </w:r>
          </w:p>
        </w:tc>
      </w:tr>
      <w:tr w:rsidR="000546A5" w:rsidRPr="00CD00B2" w:rsidTr="00FD2D5C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Pariski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klub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Povjerilaca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81,02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80,73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Asocijacija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(IDA)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38,73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35,13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investiciona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(EIB)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114,77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112,07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(EBRD)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17,19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18,18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Banka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Savjeta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(CEB)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23,74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30,92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Evropska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Komisija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0,60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0,30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Njemačka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(KFW)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42,32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40,02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Mađarski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3,75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3,60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Poljski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5,54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5,19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Francuski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NATIXIS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3,82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3,45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Steiermarkische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Bank und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Sparkassen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AG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4,40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4,40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Credit Suisse Banka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126,33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114,22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Kineska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Exim Banka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571,13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582,99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Instituto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del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credito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oficial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(ICO)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Španski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2,94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2,72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Austrijski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Erste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1,94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1,94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EUROBOND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1.217,65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1.048,54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 Intesa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23,33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23,33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Sindicirani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-OTP -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Erste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Zagrebačka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banka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56,70</w:t>
            </w:r>
          </w:p>
        </w:tc>
        <w:tc>
          <w:tcPr>
            <w:tcW w:w="926" w:type="pct"/>
            <w:vAlign w:val="center"/>
          </w:tcPr>
          <w:p w:rsidR="000546A5" w:rsidRPr="008D4F63" w:rsidRDefault="008D32F6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56,70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Međunarodni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fond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poljoprivredni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razvoj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(</w:t>
            </w: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IFAD</w:t>
            </w:r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1,51</w:t>
            </w:r>
          </w:p>
        </w:tc>
        <w:tc>
          <w:tcPr>
            <w:tcW w:w="926" w:type="pct"/>
            <w:vAlign w:val="center"/>
          </w:tcPr>
          <w:p w:rsidR="000546A5" w:rsidRPr="008D4F63" w:rsidRDefault="008D32F6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1,51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Export Development Canada EDC -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Helikopteri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24,16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21,51</w:t>
            </w:r>
          </w:p>
        </w:tc>
      </w:tr>
      <w:tr w:rsidR="000546A5" w:rsidRPr="00CD00B2" w:rsidTr="006623C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Sindicirani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zajam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PBG 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250,00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250,00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spoljni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dug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2.800,74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A845E7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2.621,73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Stara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devizna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štednja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11,71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11,55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Obaveze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osnovu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obeštećenja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87,34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87,01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Krediti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kod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poslovnih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banaka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84,91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76,23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Zaostale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penzije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1,91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1,91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Državni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zapisi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72,00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72,00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Domaće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obveznice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- GB16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80,41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80,41</w:t>
            </w:r>
          </w:p>
        </w:tc>
      </w:tr>
      <w:tr w:rsidR="000546A5" w:rsidRPr="00CD00B2" w:rsidTr="006623C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lang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Domaće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obveznice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– GB24</w:t>
            </w:r>
          </w:p>
        </w:tc>
        <w:tc>
          <w:tcPr>
            <w:tcW w:w="1020" w:type="pct"/>
            <w:noWrap/>
            <w:vAlign w:val="center"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en-GB"/>
              </w:rPr>
            </w:pPr>
            <w:r>
              <w:rPr>
                <w:rFonts w:ascii="Cambria" w:eastAsia="Times New Roman" w:hAnsi="Cambria" w:cs="Times New Roman"/>
                <w:lang w:eastAsia="en-GB"/>
              </w:rPr>
              <w:t>-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92,44</w:t>
            </w:r>
          </w:p>
        </w:tc>
      </w:tr>
      <w:tr w:rsidR="000546A5" w:rsidRPr="00CD00B2" w:rsidTr="00FD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lang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Domaće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obveznice</w:t>
            </w:r>
            <w:proofErr w:type="spellEnd"/>
            <w:r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– GB26</w:t>
            </w:r>
          </w:p>
        </w:tc>
        <w:tc>
          <w:tcPr>
            <w:tcW w:w="1020" w:type="pct"/>
            <w:noWrap/>
            <w:vAlign w:val="center"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en-GB"/>
              </w:rPr>
            </w:pPr>
            <w:r>
              <w:rPr>
                <w:rFonts w:ascii="Cambria" w:eastAsia="Times New Roman" w:hAnsi="Cambria" w:cs="Times New Roman"/>
                <w:lang w:eastAsia="en-GB"/>
              </w:rPr>
              <w:t>-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50,00</w:t>
            </w:r>
          </w:p>
        </w:tc>
      </w:tr>
      <w:tr w:rsidR="000546A5" w:rsidRPr="00CD00B2" w:rsidTr="00FD2D5C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Pravna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lica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i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privredna</w:t>
            </w:r>
            <w:proofErr w:type="spellEnd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b w:val="0"/>
                <w:color w:val="auto"/>
                <w:lang w:eastAsia="en-GB"/>
              </w:rPr>
              <w:t>drustva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40,36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40,40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unutrašnji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dug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378,64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A845E7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511,95</w:t>
            </w:r>
          </w:p>
        </w:tc>
      </w:tr>
      <w:tr w:rsidR="000546A5" w:rsidRPr="00CD00B2" w:rsidTr="006623CE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3.179,38</w:t>
            </w:r>
          </w:p>
        </w:tc>
        <w:tc>
          <w:tcPr>
            <w:tcW w:w="926" w:type="pct"/>
            <w:vAlign w:val="center"/>
          </w:tcPr>
          <w:p w:rsidR="000546A5" w:rsidRPr="00A845E7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A845E7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3.133,68</w:t>
            </w:r>
          </w:p>
        </w:tc>
      </w:tr>
      <w:tr w:rsidR="000546A5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Depoziti</w:t>
            </w:r>
            <w:proofErr w:type="spellEnd"/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253,70</w:t>
            </w:r>
          </w:p>
        </w:tc>
        <w:tc>
          <w:tcPr>
            <w:tcW w:w="926" w:type="pct"/>
            <w:vAlign w:val="center"/>
          </w:tcPr>
          <w:p w:rsidR="000546A5" w:rsidRPr="008D4F63" w:rsidRDefault="000546A5" w:rsidP="006623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8D4F63">
              <w:rPr>
                <w:rFonts w:ascii="Cambria" w:eastAsia="Times New Roman" w:hAnsi="Cambria" w:cs="Times New Roman"/>
                <w:color w:val="auto"/>
                <w:lang w:eastAsia="en-GB"/>
              </w:rPr>
              <w:t>184,03</w:t>
            </w:r>
          </w:p>
        </w:tc>
      </w:tr>
      <w:tr w:rsidR="000546A5" w:rsidRPr="00CD00B2" w:rsidTr="006623C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pct"/>
            <w:noWrap/>
            <w:hideMark/>
          </w:tcPr>
          <w:p w:rsidR="000546A5" w:rsidRPr="00CD00B2" w:rsidRDefault="000546A5" w:rsidP="008D4F63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(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uključujući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)</w:t>
            </w:r>
          </w:p>
        </w:tc>
        <w:tc>
          <w:tcPr>
            <w:tcW w:w="1020" w:type="pct"/>
            <w:noWrap/>
            <w:vAlign w:val="center"/>
            <w:hideMark/>
          </w:tcPr>
          <w:p w:rsidR="000546A5" w:rsidRPr="00CD00B2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2.925,68</w:t>
            </w:r>
          </w:p>
        </w:tc>
        <w:tc>
          <w:tcPr>
            <w:tcW w:w="926" w:type="pct"/>
            <w:vAlign w:val="center"/>
          </w:tcPr>
          <w:p w:rsidR="000546A5" w:rsidRPr="00A845E7" w:rsidRDefault="000546A5" w:rsidP="006623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</w:pPr>
            <w:r w:rsidRPr="00A845E7">
              <w:rPr>
                <w:rFonts w:ascii="Cambria" w:eastAsia="Times New Roman" w:hAnsi="Cambria" w:cs="Times New Roman"/>
                <w:b/>
                <w:color w:val="auto"/>
                <w:lang w:eastAsia="en-GB"/>
              </w:rPr>
              <w:t>2.949,65</w:t>
            </w:r>
          </w:p>
        </w:tc>
      </w:tr>
    </w:tbl>
    <w:p w:rsidR="00D735FE" w:rsidRPr="00CD00B2" w:rsidRDefault="00432555" w:rsidP="00177E34">
      <w:pPr>
        <w:rPr>
          <w:b/>
          <w:sz w:val="22"/>
          <w:szCs w:val="22"/>
        </w:rPr>
      </w:pPr>
      <w:proofErr w:type="spellStart"/>
      <w:r w:rsidRPr="00CD00B2">
        <w:rPr>
          <w:b/>
          <w:sz w:val="22"/>
          <w:szCs w:val="22"/>
        </w:rPr>
        <w:lastRenderedPageBreak/>
        <w:t>Tabela</w:t>
      </w:r>
      <w:proofErr w:type="spellEnd"/>
      <w:r w:rsidRPr="00CD00B2">
        <w:rPr>
          <w:b/>
          <w:sz w:val="22"/>
          <w:szCs w:val="22"/>
        </w:rPr>
        <w:t xml:space="preserve"> 2 </w:t>
      </w:r>
      <w:proofErr w:type="spellStart"/>
      <w:r w:rsidRPr="00CD00B2">
        <w:rPr>
          <w:b/>
          <w:sz w:val="22"/>
          <w:szCs w:val="22"/>
        </w:rPr>
        <w:t>Odnos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državnog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duga</w:t>
      </w:r>
      <w:proofErr w:type="spellEnd"/>
      <w:r w:rsidRPr="00CD00B2">
        <w:rPr>
          <w:b/>
          <w:sz w:val="22"/>
          <w:szCs w:val="22"/>
        </w:rPr>
        <w:t xml:space="preserve"> </w:t>
      </w:r>
      <w:proofErr w:type="spellStart"/>
      <w:r w:rsidRPr="00CD00B2">
        <w:rPr>
          <w:b/>
          <w:sz w:val="22"/>
          <w:szCs w:val="22"/>
        </w:rPr>
        <w:t>i</w:t>
      </w:r>
      <w:proofErr w:type="spellEnd"/>
      <w:r w:rsidRPr="00CD00B2">
        <w:rPr>
          <w:b/>
          <w:sz w:val="22"/>
          <w:szCs w:val="22"/>
        </w:rPr>
        <w:t xml:space="preserve"> BDP-a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6038"/>
        <w:gridCol w:w="1511"/>
        <w:gridCol w:w="1511"/>
      </w:tblGrid>
      <w:tr w:rsidR="000546A5" w:rsidRPr="00CD00B2" w:rsidTr="00662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hideMark/>
          </w:tcPr>
          <w:p w:rsidR="000546A5" w:rsidRPr="00CD00B2" w:rsidRDefault="000546A5" w:rsidP="00D735FE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0546A5" w:rsidRPr="00CD00B2" w:rsidRDefault="000546A5" w:rsidP="00B341A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3</w:t>
            </w:r>
            <w:r w:rsidR="00B341AC">
              <w:rPr>
                <w:rFonts w:ascii="Cambria" w:eastAsia="Times New Roman" w:hAnsi="Cambria" w:cs="Times New Roman"/>
                <w:color w:val="auto"/>
                <w:lang w:eastAsia="en-GB"/>
              </w:rPr>
              <w:t>1</w:t>
            </w:r>
            <w:r>
              <w:rPr>
                <w:rFonts w:ascii="Cambria" w:eastAsia="Times New Roman" w:hAnsi="Cambria" w:cs="Times New Roman"/>
                <w:color w:val="auto"/>
                <w:lang w:eastAsia="en-GB"/>
              </w:rPr>
              <w:t>.03</w:t>
            </w: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.2019</w:t>
            </w:r>
          </w:p>
        </w:tc>
        <w:tc>
          <w:tcPr>
            <w:tcW w:w="834" w:type="pct"/>
          </w:tcPr>
          <w:p w:rsidR="000546A5" w:rsidRPr="00A845E7" w:rsidRDefault="000546A5" w:rsidP="00D735F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A845E7">
              <w:rPr>
                <w:rFonts w:ascii="Cambria" w:eastAsia="Times New Roman" w:hAnsi="Cambria" w:cs="Times New Roman"/>
                <w:color w:val="auto"/>
                <w:lang w:eastAsia="en-GB"/>
              </w:rPr>
              <w:t>30.06.2019</w:t>
            </w:r>
          </w:p>
        </w:tc>
      </w:tr>
      <w:tr w:rsidR="0073406B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noWrap/>
            <w:hideMark/>
          </w:tcPr>
          <w:p w:rsidR="0073406B" w:rsidRPr="00CD00B2" w:rsidRDefault="0073406B" w:rsidP="0073406B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/ BDP</w:t>
            </w:r>
          </w:p>
        </w:tc>
        <w:tc>
          <w:tcPr>
            <w:tcW w:w="834" w:type="pct"/>
            <w:noWrap/>
            <w:hideMark/>
          </w:tcPr>
          <w:p w:rsidR="0073406B" w:rsidRPr="0073406B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73406B">
              <w:rPr>
                <w:rFonts w:ascii="Cambria" w:eastAsia="Times New Roman" w:hAnsi="Cambria" w:cs="Times New Roman"/>
                <w:color w:val="auto"/>
                <w:lang w:eastAsia="en-GB"/>
              </w:rPr>
              <w:t>64,22%</w:t>
            </w:r>
          </w:p>
        </w:tc>
        <w:tc>
          <w:tcPr>
            <w:tcW w:w="834" w:type="pct"/>
          </w:tcPr>
          <w:p w:rsidR="0073406B" w:rsidRPr="0047250C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47250C">
              <w:rPr>
                <w:rFonts w:ascii="Cambria" w:eastAsia="Times New Roman" w:hAnsi="Cambria" w:cs="Times New Roman"/>
                <w:color w:val="auto"/>
                <w:lang w:eastAsia="en-GB"/>
              </w:rPr>
              <w:t>63.29%</w:t>
            </w:r>
          </w:p>
        </w:tc>
      </w:tr>
      <w:tr w:rsidR="0073406B" w:rsidRPr="00CD00B2" w:rsidTr="006623C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noWrap/>
            <w:hideMark/>
          </w:tcPr>
          <w:p w:rsidR="0073406B" w:rsidRPr="00CD00B2" w:rsidRDefault="0073406B" w:rsidP="0073406B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UKUPNO DRŽAVNI DUG / BDP (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uključujući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 xml:space="preserve"> </w:t>
            </w:r>
            <w:proofErr w:type="spellStart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depozite</w:t>
            </w:r>
            <w:proofErr w:type="spellEnd"/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)</w:t>
            </w:r>
          </w:p>
        </w:tc>
        <w:tc>
          <w:tcPr>
            <w:tcW w:w="834" w:type="pct"/>
            <w:noWrap/>
            <w:hideMark/>
          </w:tcPr>
          <w:p w:rsidR="0073406B" w:rsidRPr="0073406B" w:rsidRDefault="0073406B" w:rsidP="007340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73406B">
              <w:rPr>
                <w:rFonts w:ascii="Cambria" w:eastAsia="Times New Roman" w:hAnsi="Cambria" w:cs="Times New Roman"/>
                <w:color w:val="auto"/>
                <w:lang w:eastAsia="en-GB"/>
              </w:rPr>
              <w:t>59,09%</w:t>
            </w:r>
          </w:p>
        </w:tc>
        <w:tc>
          <w:tcPr>
            <w:tcW w:w="834" w:type="pct"/>
          </w:tcPr>
          <w:p w:rsidR="0073406B" w:rsidRPr="0047250C" w:rsidRDefault="0073406B" w:rsidP="007340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47250C">
              <w:rPr>
                <w:rFonts w:ascii="Cambria" w:eastAsia="Times New Roman" w:hAnsi="Cambria" w:cs="Times New Roman"/>
                <w:color w:val="auto"/>
                <w:lang w:eastAsia="en-GB"/>
              </w:rPr>
              <w:t>59.58%</w:t>
            </w:r>
          </w:p>
        </w:tc>
      </w:tr>
      <w:tr w:rsidR="0073406B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noWrap/>
            <w:hideMark/>
          </w:tcPr>
          <w:p w:rsidR="0073406B" w:rsidRPr="00CD00B2" w:rsidRDefault="0073406B" w:rsidP="0073406B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STANJE UNUTRAŠNJEG DUGA KAO % BDP</w:t>
            </w:r>
          </w:p>
        </w:tc>
        <w:tc>
          <w:tcPr>
            <w:tcW w:w="834" w:type="pct"/>
            <w:noWrap/>
            <w:hideMark/>
          </w:tcPr>
          <w:p w:rsidR="0073406B" w:rsidRPr="0073406B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73406B">
              <w:rPr>
                <w:rFonts w:ascii="Cambria" w:eastAsia="Times New Roman" w:hAnsi="Cambria" w:cs="Times New Roman"/>
                <w:color w:val="auto"/>
                <w:lang w:eastAsia="en-GB"/>
              </w:rPr>
              <w:t>7,65%</w:t>
            </w:r>
          </w:p>
        </w:tc>
        <w:tc>
          <w:tcPr>
            <w:tcW w:w="834" w:type="pct"/>
          </w:tcPr>
          <w:p w:rsidR="0073406B" w:rsidRPr="0047250C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47250C">
              <w:rPr>
                <w:rFonts w:ascii="Cambria" w:eastAsia="Times New Roman" w:hAnsi="Cambria" w:cs="Times New Roman"/>
                <w:color w:val="auto"/>
                <w:lang w:eastAsia="en-GB"/>
              </w:rPr>
              <w:t>10.34%</w:t>
            </w:r>
          </w:p>
        </w:tc>
      </w:tr>
      <w:tr w:rsidR="0073406B" w:rsidRPr="00CD00B2" w:rsidTr="006623C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noWrap/>
            <w:hideMark/>
          </w:tcPr>
          <w:p w:rsidR="0073406B" w:rsidRPr="00CD00B2" w:rsidRDefault="0073406B" w:rsidP="0073406B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STANJE SPOLJNJEG DUGA KAO % BDP</w:t>
            </w:r>
          </w:p>
        </w:tc>
        <w:tc>
          <w:tcPr>
            <w:tcW w:w="834" w:type="pct"/>
            <w:noWrap/>
            <w:hideMark/>
          </w:tcPr>
          <w:p w:rsidR="0073406B" w:rsidRPr="0073406B" w:rsidRDefault="0073406B" w:rsidP="007340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73406B">
              <w:rPr>
                <w:rFonts w:ascii="Cambria" w:eastAsia="Times New Roman" w:hAnsi="Cambria" w:cs="Times New Roman"/>
                <w:color w:val="auto"/>
                <w:lang w:eastAsia="en-GB"/>
              </w:rPr>
              <w:t>56,57%</w:t>
            </w:r>
          </w:p>
        </w:tc>
        <w:tc>
          <w:tcPr>
            <w:tcW w:w="834" w:type="pct"/>
          </w:tcPr>
          <w:p w:rsidR="0073406B" w:rsidRPr="0047250C" w:rsidRDefault="0073406B" w:rsidP="007340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47250C">
              <w:rPr>
                <w:rFonts w:ascii="Cambria" w:eastAsia="Times New Roman" w:hAnsi="Cambria" w:cs="Times New Roman"/>
                <w:color w:val="auto"/>
                <w:lang w:eastAsia="en-GB"/>
              </w:rPr>
              <w:t>52.95%</w:t>
            </w:r>
          </w:p>
        </w:tc>
      </w:tr>
      <w:tr w:rsidR="0073406B" w:rsidRPr="00CD00B2" w:rsidTr="0066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pct"/>
            <w:noWrap/>
            <w:hideMark/>
          </w:tcPr>
          <w:p w:rsidR="0073406B" w:rsidRPr="00CD00B2" w:rsidRDefault="0073406B" w:rsidP="0073406B">
            <w:pPr>
              <w:spacing w:before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CD00B2">
              <w:rPr>
                <w:rFonts w:ascii="Cambria" w:eastAsia="Times New Roman" w:hAnsi="Cambria" w:cs="Times New Roman"/>
                <w:color w:val="auto"/>
                <w:lang w:eastAsia="en-GB"/>
              </w:rPr>
              <w:t>DEPOZITI KAO % BDP</w:t>
            </w:r>
          </w:p>
        </w:tc>
        <w:tc>
          <w:tcPr>
            <w:tcW w:w="834" w:type="pct"/>
            <w:noWrap/>
            <w:hideMark/>
          </w:tcPr>
          <w:p w:rsidR="0073406B" w:rsidRPr="0073406B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73406B">
              <w:rPr>
                <w:rFonts w:ascii="Cambria" w:eastAsia="Times New Roman" w:hAnsi="Cambria" w:cs="Times New Roman"/>
                <w:color w:val="auto"/>
                <w:lang w:eastAsia="en-GB"/>
              </w:rPr>
              <w:t>5,12%</w:t>
            </w:r>
          </w:p>
        </w:tc>
        <w:tc>
          <w:tcPr>
            <w:tcW w:w="834" w:type="pct"/>
          </w:tcPr>
          <w:p w:rsidR="0073406B" w:rsidRPr="0047250C" w:rsidRDefault="0073406B" w:rsidP="007340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lang w:eastAsia="en-GB"/>
              </w:rPr>
            </w:pPr>
            <w:r w:rsidRPr="0047250C">
              <w:rPr>
                <w:rFonts w:ascii="Cambria" w:eastAsia="Times New Roman" w:hAnsi="Cambria" w:cs="Times New Roman"/>
                <w:color w:val="auto"/>
                <w:lang w:eastAsia="en-GB"/>
              </w:rPr>
              <w:t>3.72%</w:t>
            </w:r>
          </w:p>
        </w:tc>
      </w:tr>
    </w:tbl>
    <w:p w:rsidR="00D735FE" w:rsidRPr="00F661B1" w:rsidRDefault="00D735FE" w:rsidP="00177E34">
      <w:pPr>
        <w:rPr>
          <w:sz w:val="22"/>
          <w:szCs w:val="22"/>
        </w:rPr>
      </w:pPr>
    </w:p>
    <w:p w:rsidR="00AD7455" w:rsidRDefault="00F64BDF" w:rsidP="00177E34">
      <w:pPr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EF9132F" wp14:editId="3447E05F">
            <wp:extent cx="2809875" cy="26098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EEA7FE" wp14:editId="4BAF96C3">
            <wp:extent cx="2924175" cy="2608580"/>
            <wp:effectExtent l="0" t="0" r="0" b="12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095E" w:rsidRPr="002D3794" w:rsidRDefault="0061095E" w:rsidP="0061095E">
      <w:pPr>
        <w:spacing w:before="0" w:after="160" w:line="259" w:lineRule="auto"/>
        <w:jc w:val="both"/>
        <w:rPr>
          <w:rFonts w:ascii="Cambria" w:eastAsia="Calibri" w:hAnsi="Cambria" w:cs="Times New Roman"/>
          <w:sz w:val="22"/>
          <w:szCs w:val="22"/>
          <w:lang w:val="sr-Latn-RS"/>
        </w:rPr>
      </w:pPr>
      <w:r w:rsidRPr="002D3794">
        <w:rPr>
          <w:rFonts w:ascii="Cambria" w:eastAsia="Calibri" w:hAnsi="Cambria" w:cs="Times New Roman"/>
          <w:sz w:val="22"/>
          <w:szCs w:val="22"/>
          <w:lang w:val="sr-Latn-ME"/>
        </w:rPr>
        <w:t xml:space="preserve">Ministarstvo finansija je tokom aprila i maja mjeseca 2019. godine, emitovalo obveznice u iznosu od 190 </w:t>
      </w:r>
      <w:r w:rsidR="00411399">
        <w:rPr>
          <w:rFonts w:ascii="Cambria" w:eastAsia="Calibri" w:hAnsi="Cambria" w:cs="Times New Roman"/>
          <w:sz w:val="22"/>
          <w:szCs w:val="22"/>
          <w:lang w:val="sr-Latn-ME"/>
        </w:rPr>
        <w:t>miliona eura. Od ovog iznosa, 14</w:t>
      </w:r>
      <w:r w:rsidRPr="002D3794">
        <w:rPr>
          <w:rFonts w:ascii="Cambria" w:eastAsia="Calibri" w:hAnsi="Cambria" w:cs="Times New Roman"/>
          <w:sz w:val="22"/>
          <w:szCs w:val="22"/>
          <w:lang w:val="sr-Latn-ME"/>
        </w:rPr>
        <w:t>0 miliona eura emitovano je sa rokom dospijeća od 5 godina i kamatnom stopom od 3%, dok je 50 miliona eura emitovano sa rokom dospijeća od 7 godina i kamatnom stopom od 3,5%. Prema podacima Ministarstva finansija, prodato je 142,</w:t>
      </w:r>
      <w:r w:rsidR="006159E5">
        <w:rPr>
          <w:rFonts w:ascii="Cambria" w:eastAsia="Calibri" w:hAnsi="Cambria" w:cs="Times New Roman"/>
          <w:sz w:val="22"/>
          <w:szCs w:val="22"/>
          <w:lang w:val="sr-Latn-ME"/>
        </w:rPr>
        <w:t>4</w:t>
      </w:r>
      <w:r w:rsidRPr="002D3794">
        <w:rPr>
          <w:rFonts w:ascii="Cambria" w:eastAsia="Calibri" w:hAnsi="Cambria" w:cs="Times New Roman"/>
          <w:sz w:val="22"/>
          <w:szCs w:val="22"/>
          <w:lang w:val="sr-Latn-ME"/>
        </w:rPr>
        <w:t xml:space="preserve"> miliona eura, od čega 50 miliona eura obveznica sa rokom dospijeća od 7 godina, odnosno 92,</w:t>
      </w:r>
      <w:r w:rsidR="006159E5">
        <w:rPr>
          <w:rFonts w:ascii="Cambria" w:eastAsia="Calibri" w:hAnsi="Cambria" w:cs="Times New Roman"/>
          <w:sz w:val="22"/>
          <w:szCs w:val="22"/>
          <w:lang w:val="sr-Latn-ME"/>
        </w:rPr>
        <w:t>4</w:t>
      </w:r>
      <w:r w:rsidRPr="002D3794">
        <w:rPr>
          <w:rFonts w:ascii="Cambria" w:eastAsia="Calibri" w:hAnsi="Cambria" w:cs="Times New Roman"/>
          <w:sz w:val="22"/>
          <w:szCs w:val="22"/>
          <w:lang w:val="sr-Latn-ME"/>
        </w:rPr>
        <w:t xml:space="preserve"> miliona eura obveznica sa rokom dospijeća od 5 godina. </w:t>
      </w:r>
    </w:p>
    <w:p w:rsidR="00D43740" w:rsidRPr="00054B5F" w:rsidRDefault="00312051" w:rsidP="006866D4">
      <w:pPr>
        <w:jc w:val="both"/>
        <w:rPr>
          <w:rFonts w:ascii="Cambria" w:eastAsia="Calibri" w:hAnsi="Cambria" w:cs="Times New Roman"/>
          <w:sz w:val="22"/>
          <w:szCs w:val="22"/>
          <w:lang w:val="sr-Latn-ME"/>
        </w:rPr>
      </w:pPr>
      <w:r>
        <w:rPr>
          <w:rFonts w:ascii="Cambria" w:eastAsia="Calibri" w:hAnsi="Cambria" w:cs="Times New Roman"/>
          <w:sz w:val="22"/>
          <w:szCs w:val="22"/>
          <w:lang w:val="sr-Latn-ME"/>
        </w:rPr>
        <w:t>Tokom drugog</w:t>
      </w:r>
      <w:r w:rsidR="00FA3488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 kvartal</w:t>
      </w:r>
      <w:r>
        <w:rPr>
          <w:rFonts w:ascii="Cambria" w:eastAsia="Calibri" w:hAnsi="Cambria" w:cs="Times New Roman"/>
          <w:sz w:val="22"/>
          <w:szCs w:val="22"/>
          <w:lang w:val="sr-Latn-ME"/>
        </w:rPr>
        <w:t>a</w:t>
      </w:r>
      <w:r w:rsidR="00FA3488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 </w:t>
      </w:r>
      <w:r w:rsidR="003C38B1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2019. </w:t>
      </w:r>
      <w:r w:rsidR="00C01DE0" w:rsidRPr="00054B5F">
        <w:rPr>
          <w:rFonts w:ascii="Cambria" w:eastAsia="Calibri" w:hAnsi="Cambria" w:cs="Times New Roman"/>
          <w:sz w:val="22"/>
          <w:szCs w:val="22"/>
          <w:lang w:val="sr-Latn-ME"/>
        </w:rPr>
        <w:t>g</w:t>
      </w:r>
      <w:r w:rsidR="003C38B1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odine povučena su sredstva </w:t>
      </w:r>
      <w:r w:rsidR="006554D7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u iznosu od </w:t>
      </w:r>
      <w:r w:rsidR="00F25A64" w:rsidRPr="00054B5F">
        <w:rPr>
          <w:rFonts w:ascii="Cambria" w:eastAsia="Calibri" w:hAnsi="Cambria" w:cs="Times New Roman"/>
          <w:sz w:val="22"/>
          <w:szCs w:val="22"/>
          <w:lang w:val="sr-Latn-ME"/>
        </w:rPr>
        <w:t>33,92</w:t>
      </w:r>
      <w:r w:rsidR="00674F8E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 miliona eura,</w:t>
      </w:r>
      <w:r w:rsidR="00D43740" w:rsidRPr="00054B5F">
        <w:rPr>
          <w:rFonts w:ascii="Cambria" w:eastAsia="Calibri" w:hAnsi="Cambria" w:cs="Times New Roman"/>
          <w:sz w:val="22"/>
          <w:szCs w:val="22"/>
          <w:lang w:val="sr-Latn-ME"/>
        </w:rPr>
        <w:t xml:space="preserve"> za potrebe realizacije infrastrukturnih i razvojnih projekata.</w:t>
      </w:r>
    </w:p>
    <w:p w:rsidR="006866D4" w:rsidRDefault="00D43740" w:rsidP="006866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iznosa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priotitetne</w:t>
      </w:r>
      <w:proofErr w:type="spellEnd"/>
      <w:r w:rsidR="00315DB3" w:rsidRP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dionice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autoputa</w:t>
      </w:r>
      <w:proofErr w:type="spellEnd"/>
      <w:r w:rsidR="00315DB3">
        <w:rPr>
          <w:sz w:val="22"/>
          <w:szCs w:val="22"/>
        </w:rPr>
        <w:t xml:space="preserve"> Bar </w:t>
      </w:r>
      <w:proofErr w:type="spellStart"/>
      <w:r w:rsidR="00315DB3">
        <w:rPr>
          <w:sz w:val="22"/>
          <w:szCs w:val="22"/>
        </w:rPr>
        <w:t>Boljare</w:t>
      </w:r>
      <w:proofErr w:type="spellEnd"/>
      <w:r w:rsidR="00315DB3">
        <w:rPr>
          <w:sz w:val="22"/>
          <w:szCs w:val="22"/>
        </w:rPr>
        <w:t xml:space="preserve">, </w:t>
      </w:r>
      <w:proofErr w:type="spellStart"/>
      <w:r w:rsidR="00315DB3">
        <w:rPr>
          <w:sz w:val="22"/>
          <w:szCs w:val="22"/>
        </w:rPr>
        <w:t>Smokovac</w:t>
      </w:r>
      <w:proofErr w:type="spellEnd"/>
      <w:r w:rsidR="00315DB3">
        <w:rPr>
          <w:sz w:val="22"/>
          <w:szCs w:val="22"/>
        </w:rPr>
        <w:t xml:space="preserve">- </w:t>
      </w:r>
      <w:proofErr w:type="spellStart"/>
      <w:r w:rsidR="00315DB3">
        <w:rPr>
          <w:sz w:val="22"/>
          <w:szCs w:val="22"/>
        </w:rPr>
        <w:t>Mateševo</w:t>
      </w:r>
      <w:proofErr w:type="spellEnd"/>
      <w:r w:rsidR="00315DB3">
        <w:rPr>
          <w:sz w:val="22"/>
          <w:szCs w:val="22"/>
        </w:rPr>
        <w:t>,</w:t>
      </w:r>
      <w:r w:rsidR="00315DB3" w:rsidRP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iz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kredita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sa</w:t>
      </w:r>
      <w:proofErr w:type="spellEnd"/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kineskom</w:t>
      </w:r>
      <w:proofErr w:type="spellEnd"/>
      <w:r w:rsidR="00315DB3">
        <w:rPr>
          <w:sz w:val="22"/>
          <w:szCs w:val="22"/>
        </w:rPr>
        <w:t xml:space="preserve"> E</w:t>
      </w:r>
      <w:r w:rsidR="00E93BE6">
        <w:rPr>
          <w:sz w:val="22"/>
          <w:szCs w:val="22"/>
        </w:rPr>
        <w:t>XIM</w:t>
      </w:r>
      <w:r w:rsidR="00315DB3">
        <w:rPr>
          <w:sz w:val="22"/>
          <w:szCs w:val="22"/>
        </w:rPr>
        <w:t xml:space="preserve"> </w:t>
      </w:r>
      <w:proofErr w:type="spellStart"/>
      <w:r w:rsidR="00315DB3">
        <w:rPr>
          <w:sz w:val="22"/>
          <w:szCs w:val="22"/>
        </w:rPr>
        <w:t>banko</w:t>
      </w:r>
      <w:r w:rsidR="00D722D0">
        <w:rPr>
          <w:sz w:val="22"/>
          <w:szCs w:val="22"/>
        </w:rPr>
        <w:t>m</w:t>
      </w:r>
      <w:proofErr w:type="spellEnd"/>
      <w:r w:rsidR="00315DB3">
        <w:rPr>
          <w:sz w:val="22"/>
          <w:szCs w:val="22"/>
        </w:rPr>
        <w:t xml:space="preserve">, </w:t>
      </w:r>
      <w:proofErr w:type="spellStart"/>
      <w:r w:rsidR="00315DB3">
        <w:rPr>
          <w:sz w:val="22"/>
          <w:szCs w:val="22"/>
        </w:rPr>
        <w:t>pov</w:t>
      </w:r>
      <w:proofErr w:type="spellEnd"/>
      <w:r w:rsidR="00315DB3">
        <w:rPr>
          <w:sz w:val="22"/>
          <w:szCs w:val="22"/>
          <w:lang w:val="sr-Latn-RS"/>
        </w:rPr>
        <w:t xml:space="preserve">učen je iznos od </w:t>
      </w:r>
      <w:r w:rsidR="007A1740">
        <w:rPr>
          <w:sz w:val="22"/>
          <w:szCs w:val="22"/>
        </w:rPr>
        <w:t xml:space="preserve">21,79 </w:t>
      </w:r>
      <w:proofErr w:type="spellStart"/>
      <w:r w:rsidR="000C0EA9">
        <w:rPr>
          <w:sz w:val="22"/>
          <w:szCs w:val="22"/>
        </w:rPr>
        <w:t>mil</w:t>
      </w:r>
      <w:r w:rsidR="007A1740">
        <w:rPr>
          <w:sz w:val="22"/>
          <w:szCs w:val="22"/>
        </w:rPr>
        <w:t>iona</w:t>
      </w:r>
      <w:proofErr w:type="spellEnd"/>
      <w:r w:rsidR="000C0EA9">
        <w:rPr>
          <w:sz w:val="22"/>
          <w:szCs w:val="22"/>
        </w:rPr>
        <w:t xml:space="preserve"> USD </w:t>
      </w:r>
      <w:proofErr w:type="spellStart"/>
      <w:r w:rsidR="000C0EA9">
        <w:rPr>
          <w:sz w:val="22"/>
          <w:szCs w:val="22"/>
        </w:rPr>
        <w:t>tj</w:t>
      </w:r>
      <w:proofErr w:type="spellEnd"/>
      <w:r w:rsidR="000C0EA9">
        <w:rPr>
          <w:sz w:val="22"/>
          <w:szCs w:val="22"/>
        </w:rPr>
        <w:t xml:space="preserve">. </w:t>
      </w:r>
      <w:r w:rsidR="007A1740">
        <w:rPr>
          <w:sz w:val="22"/>
          <w:szCs w:val="22"/>
        </w:rPr>
        <w:t>19,14</w:t>
      </w:r>
      <w:r w:rsidR="006731AD">
        <w:rPr>
          <w:rStyle w:val="FootnoteReference"/>
          <w:sz w:val="22"/>
          <w:szCs w:val="22"/>
        </w:rPr>
        <w:footnoteReference w:id="2"/>
      </w:r>
      <w:r w:rsidR="000C0EA9">
        <w:rPr>
          <w:sz w:val="22"/>
          <w:szCs w:val="22"/>
        </w:rPr>
        <w:t xml:space="preserve"> </w:t>
      </w:r>
      <w:proofErr w:type="spellStart"/>
      <w:r w:rsidR="000C0EA9">
        <w:rPr>
          <w:sz w:val="22"/>
          <w:szCs w:val="22"/>
        </w:rPr>
        <w:t>miliona</w:t>
      </w:r>
      <w:proofErr w:type="spellEnd"/>
      <w:r w:rsidR="000C0EA9">
        <w:rPr>
          <w:sz w:val="22"/>
          <w:szCs w:val="22"/>
        </w:rPr>
        <w:t xml:space="preserve"> </w:t>
      </w:r>
      <w:proofErr w:type="spellStart"/>
      <w:r w:rsidR="000C0EA9">
        <w:rPr>
          <w:sz w:val="22"/>
          <w:szCs w:val="22"/>
        </w:rPr>
        <w:t>eura</w:t>
      </w:r>
      <w:proofErr w:type="spellEnd"/>
      <w:r w:rsidR="006866D4">
        <w:rPr>
          <w:sz w:val="22"/>
          <w:szCs w:val="22"/>
        </w:rPr>
        <w:t>.</w:t>
      </w:r>
    </w:p>
    <w:p w:rsidR="0050088D" w:rsidRDefault="006866D4" w:rsidP="004D6B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infrastrukturne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vodosnabdijevanja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energetske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efikasnosti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B1271D">
        <w:rPr>
          <w:sz w:val="22"/>
          <w:szCs w:val="22"/>
        </w:rPr>
        <w:t>socijalnog</w:t>
      </w:r>
      <w:proofErr w:type="spellEnd"/>
      <w:r w:rsidR="00B1271D">
        <w:rPr>
          <w:sz w:val="22"/>
          <w:szCs w:val="22"/>
        </w:rPr>
        <w:t xml:space="preserve"> </w:t>
      </w:r>
      <w:proofErr w:type="spellStart"/>
      <w:r w:rsidR="00B1271D">
        <w:rPr>
          <w:sz w:val="22"/>
          <w:szCs w:val="22"/>
        </w:rPr>
        <w:t>stanovanja</w:t>
      </w:r>
      <w:proofErr w:type="spellEnd"/>
      <w:r w:rsidR="00B1271D">
        <w:rPr>
          <w:sz w:val="22"/>
          <w:szCs w:val="22"/>
        </w:rPr>
        <w:t xml:space="preserve">, </w:t>
      </w:r>
      <w:proofErr w:type="spellStart"/>
      <w:r w:rsidR="00755D5C">
        <w:rPr>
          <w:sz w:val="22"/>
          <w:szCs w:val="22"/>
        </w:rPr>
        <w:t>razvoja</w:t>
      </w:r>
      <w:proofErr w:type="spellEnd"/>
      <w:r w:rsidR="00755D5C">
        <w:rPr>
          <w:sz w:val="22"/>
          <w:szCs w:val="22"/>
        </w:rPr>
        <w:t xml:space="preserve"> </w:t>
      </w:r>
      <w:proofErr w:type="spellStart"/>
      <w:r w:rsidR="00755D5C">
        <w:rPr>
          <w:sz w:val="22"/>
          <w:szCs w:val="22"/>
        </w:rPr>
        <w:t>poljoprivrede</w:t>
      </w:r>
      <w:proofErr w:type="spellEnd"/>
      <w:r w:rsidR="000A4579">
        <w:rPr>
          <w:sz w:val="22"/>
          <w:szCs w:val="22"/>
        </w:rPr>
        <w:t xml:space="preserve">, </w:t>
      </w:r>
      <w:proofErr w:type="spellStart"/>
      <w:r w:rsidR="000A4579">
        <w:rPr>
          <w:sz w:val="22"/>
          <w:szCs w:val="22"/>
        </w:rPr>
        <w:t>povučen</w:t>
      </w:r>
      <w:proofErr w:type="spellEnd"/>
      <w:r w:rsidR="000A4579">
        <w:rPr>
          <w:sz w:val="22"/>
          <w:szCs w:val="22"/>
        </w:rPr>
        <w:t xml:space="preserve"> je </w:t>
      </w:r>
      <w:proofErr w:type="spellStart"/>
      <w:r w:rsidR="000A4579">
        <w:rPr>
          <w:sz w:val="22"/>
          <w:szCs w:val="22"/>
        </w:rPr>
        <w:t>iznos</w:t>
      </w:r>
      <w:proofErr w:type="spellEnd"/>
      <w:r w:rsidR="000A4579">
        <w:rPr>
          <w:sz w:val="22"/>
          <w:szCs w:val="22"/>
        </w:rPr>
        <w:t xml:space="preserve"> od </w:t>
      </w:r>
      <w:r w:rsidR="007A1740">
        <w:rPr>
          <w:sz w:val="22"/>
          <w:szCs w:val="22"/>
        </w:rPr>
        <w:t xml:space="preserve">14,78 </w:t>
      </w:r>
      <w:proofErr w:type="spellStart"/>
      <w:r>
        <w:rPr>
          <w:sz w:val="22"/>
          <w:szCs w:val="22"/>
        </w:rPr>
        <w:t>miliona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eura</w:t>
      </w:r>
      <w:proofErr w:type="spellEnd"/>
      <w:r w:rsidR="004D6B03">
        <w:rPr>
          <w:sz w:val="22"/>
          <w:szCs w:val="22"/>
        </w:rPr>
        <w:t>.</w:t>
      </w:r>
    </w:p>
    <w:p w:rsidR="00C177BD" w:rsidRPr="00AD00D0" w:rsidRDefault="00C177BD" w:rsidP="004D6B03">
      <w:pPr>
        <w:jc w:val="both"/>
        <w:rPr>
          <w:color w:val="000000" w:themeColor="text1"/>
          <w:sz w:val="22"/>
          <w:szCs w:val="22"/>
          <w:lang w:val="sr-Latn-ME"/>
        </w:rPr>
      </w:pPr>
      <w:proofErr w:type="spellStart"/>
      <w:r w:rsidRPr="00AD00D0">
        <w:rPr>
          <w:color w:val="000000" w:themeColor="text1"/>
          <w:sz w:val="22"/>
          <w:szCs w:val="22"/>
        </w:rPr>
        <w:t>Tokom</w:t>
      </w:r>
      <w:proofErr w:type="spellEnd"/>
      <w:r w:rsidRPr="00AD00D0">
        <w:rPr>
          <w:color w:val="000000" w:themeColor="text1"/>
          <w:sz w:val="22"/>
          <w:szCs w:val="22"/>
        </w:rPr>
        <w:t xml:space="preserve"> </w:t>
      </w:r>
      <w:proofErr w:type="spellStart"/>
      <w:r w:rsidR="009131E7" w:rsidRPr="00AD00D0">
        <w:rPr>
          <w:color w:val="000000" w:themeColor="text1"/>
          <w:sz w:val="22"/>
          <w:szCs w:val="22"/>
        </w:rPr>
        <w:t>drugog</w:t>
      </w:r>
      <w:proofErr w:type="spellEnd"/>
      <w:r w:rsidRPr="00AD00D0">
        <w:rPr>
          <w:color w:val="000000" w:themeColor="text1"/>
          <w:sz w:val="22"/>
          <w:szCs w:val="22"/>
        </w:rPr>
        <w:t xml:space="preserve"> </w:t>
      </w:r>
      <w:proofErr w:type="spellStart"/>
      <w:r w:rsidRPr="00AD00D0">
        <w:rPr>
          <w:color w:val="000000" w:themeColor="text1"/>
          <w:sz w:val="22"/>
          <w:szCs w:val="22"/>
        </w:rPr>
        <w:t>kvartala</w:t>
      </w:r>
      <w:proofErr w:type="spellEnd"/>
      <w:r w:rsidRPr="00AD00D0">
        <w:rPr>
          <w:color w:val="000000" w:themeColor="text1"/>
          <w:sz w:val="22"/>
          <w:szCs w:val="22"/>
        </w:rPr>
        <w:t xml:space="preserve"> 2019. </w:t>
      </w:r>
      <w:proofErr w:type="spellStart"/>
      <w:r w:rsidR="003E3AB8" w:rsidRPr="00AD00D0">
        <w:rPr>
          <w:color w:val="000000" w:themeColor="text1"/>
          <w:sz w:val="22"/>
          <w:szCs w:val="22"/>
        </w:rPr>
        <w:t>godine</w:t>
      </w:r>
      <w:proofErr w:type="spellEnd"/>
      <w:r w:rsidRPr="00AD00D0">
        <w:rPr>
          <w:color w:val="000000" w:themeColor="text1"/>
          <w:sz w:val="22"/>
          <w:szCs w:val="22"/>
        </w:rPr>
        <w:t xml:space="preserve">, </w:t>
      </w:r>
      <w:r w:rsidR="00D07CB5" w:rsidRPr="00AD00D0">
        <w:rPr>
          <w:color w:val="000000" w:themeColor="text1"/>
          <w:sz w:val="22"/>
          <w:szCs w:val="22"/>
          <w:lang w:val="sr-Latn-ME"/>
        </w:rPr>
        <w:t>izvršena je otplata državnog duga po osnovu gl</w:t>
      </w:r>
      <w:r w:rsidR="00FC6771" w:rsidRPr="00AD00D0">
        <w:rPr>
          <w:color w:val="000000" w:themeColor="text1"/>
          <w:sz w:val="22"/>
          <w:szCs w:val="22"/>
          <w:lang w:val="sr-Latn-ME"/>
        </w:rPr>
        <w:t xml:space="preserve">avnice, u ukupnom iznosu od </w:t>
      </w:r>
      <w:r w:rsidR="0065124E" w:rsidRPr="00AD00D0">
        <w:rPr>
          <w:color w:val="000000" w:themeColor="text1"/>
          <w:sz w:val="22"/>
          <w:szCs w:val="22"/>
          <w:lang w:val="sr-Latn-ME"/>
        </w:rPr>
        <w:t>213,</w:t>
      </w:r>
      <w:r w:rsidR="00407E19">
        <w:rPr>
          <w:color w:val="000000" w:themeColor="text1"/>
          <w:sz w:val="22"/>
          <w:szCs w:val="22"/>
          <w:lang w:val="sr-Latn-ME"/>
        </w:rPr>
        <w:t>08</w:t>
      </w:r>
      <w:r w:rsidR="00D07CB5" w:rsidRPr="00AD00D0">
        <w:rPr>
          <w:color w:val="000000" w:themeColor="text1"/>
          <w:sz w:val="22"/>
          <w:szCs w:val="22"/>
          <w:lang w:val="sr-Latn-ME"/>
        </w:rPr>
        <w:t xml:space="preserve"> miliona eura, od čega se </w:t>
      </w:r>
      <w:r w:rsidR="00407E19">
        <w:rPr>
          <w:color w:val="000000" w:themeColor="text1"/>
          <w:sz w:val="22"/>
          <w:szCs w:val="22"/>
          <w:lang w:val="sr-Latn-ME"/>
        </w:rPr>
        <w:t>203</w:t>
      </w:r>
      <w:r w:rsidR="00F70FDF">
        <w:rPr>
          <w:color w:val="000000" w:themeColor="text1"/>
          <w:sz w:val="22"/>
          <w:szCs w:val="22"/>
          <w:lang w:val="sr-Latn-ME"/>
        </w:rPr>
        <w:t>,</w:t>
      </w:r>
      <w:r w:rsidR="00407E19">
        <w:rPr>
          <w:color w:val="000000" w:themeColor="text1"/>
          <w:sz w:val="22"/>
          <w:szCs w:val="22"/>
          <w:lang w:val="sr-Latn-ME"/>
        </w:rPr>
        <w:t>65</w:t>
      </w:r>
      <w:r w:rsidR="00F70FDF">
        <w:rPr>
          <w:color w:val="000000" w:themeColor="text1"/>
          <w:sz w:val="22"/>
          <w:szCs w:val="22"/>
          <w:lang w:val="sr-Latn-ME"/>
        </w:rPr>
        <w:t xml:space="preserve"> miliona eura odnosi</w:t>
      </w:r>
      <w:r w:rsidR="009131E7" w:rsidRPr="00AD00D0">
        <w:rPr>
          <w:color w:val="000000" w:themeColor="text1"/>
          <w:sz w:val="22"/>
          <w:szCs w:val="22"/>
          <w:lang w:val="sr-Latn-ME"/>
        </w:rPr>
        <w:t xml:space="preserve"> na otplat</w:t>
      </w:r>
      <w:r w:rsidR="00AD00D0" w:rsidRPr="00AD00D0">
        <w:rPr>
          <w:color w:val="000000" w:themeColor="text1"/>
          <w:sz w:val="22"/>
          <w:szCs w:val="22"/>
          <w:lang w:val="sr-Latn-ME"/>
        </w:rPr>
        <w:t>u</w:t>
      </w:r>
      <w:r w:rsidR="009131E7" w:rsidRPr="00AD00D0">
        <w:rPr>
          <w:color w:val="000000" w:themeColor="text1"/>
          <w:sz w:val="22"/>
          <w:szCs w:val="22"/>
          <w:lang w:val="sr-Latn-ME"/>
        </w:rPr>
        <w:t xml:space="preserve"> duga nerezidentima</w:t>
      </w:r>
      <w:r w:rsidR="00E76BD0" w:rsidRPr="00AD00D0">
        <w:rPr>
          <w:color w:val="000000" w:themeColor="text1"/>
          <w:sz w:val="22"/>
          <w:szCs w:val="22"/>
          <w:lang w:val="sr-Latn-ME"/>
        </w:rPr>
        <w:t xml:space="preserve">, </w:t>
      </w:r>
      <w:r w:rsidR="00F70FDF">
        <w:rPr>
          <w:color w:val="000000" w:themeColor="text1"/>
          <w:sz w:val="22"/>
          <w:szCs w:val="22"/>
          <w:lang w:val="sr-Latn-RS"/>
        </w:rPr>
        <w:t>š</w:t>
      </w:r>
      <w:r w:rsidR="00F70FDF">
        <w:rPr>
          <w:color w:val="000000" w:themeColor="text1"/>
          <w:sz w:val="22"/>
          <w:szCs w:val="22"/>
          <w:lang w:val="sr-Latn-ME"/>
        </w:rPr>
        <w:t xml:space="preserve">to uključuje i </w:t>
      </w:r>
      <w:r w:rsidR="00E76BD0" w:rsidRPr="00AD00D0">
        <w:rPr>
          <w:color w:val="000000" w:themeColor="text1"/>
          <w:sz w:val="22"/>
          <w:szCs w:val="22"/>
          <w:lang w:val="sr-Latn-RS"/>
        </w:rPr>
        <w:t xml:space="preserve">169,1 milion eura </w:t>
      </w:r>
      <w:r w:rsidR="00AE3425">
        <w:rPr>
          <w:color w:val="000000" w:themeColor="text1"/>
          <w:sz w:val="22"/>
          <w:szCs w:val="22"/>
          <w:lang w:val="sr-Latn-RS"/>
        </w:rPr>
        <w:t xml:space="preserve">za </w:t>
      </w:r>
      <w:r w:rsidR="00E76BD0" w:rsidRPr="00AD00D0">
        <w:rPr>
          <w:color w:val="000000" w:themeColor="text1"/>
          <w:sz w:val="22"/>
          <w:szCs w:val="22"/>
          <w:lang w:val="sr-Latn-RS"/>
        </w:rPr>
        <w:t>otplatu euroobveznica emitovanih u 2014. godin</w:t>
      </w:r>
      <w:r w:rsidR="00AD00D0" w:rsidRPr="00AD00D0">
        <w:rPr>
          <w:color w:val="000000" w:themeColor="text1"/>
          <w:sz w:val="22"/>
          <w:szCs w:val="22"/>
          <w:lang w:val="sr-Latn-RS"/>
        </w:rPr>
        <w:t xml:space="preserve">i, </w:t>
      </w:r>
      <w:r w:rsidR="00AD00D0" w:rsidRPr="00AD00D0">
        <w:rPr>
          <w:color w:val="000000" w:themeColor="text1"/>
          <w:sz w:val="22"/>
          <w:szCs w:val="22"/>
          <w:lang w:val="sr-Latn-ME"/>
        </w:rPr>
        <w:t>d</w:t>
      </w:r>
      <w:r w:rsidR="00AE3425">
        <w:rPr>
          <w:color w:val="000000" w:themeColor="text1"/>
          <w:sz w:val="22"/>
          <w:szCs w:val="22"/>
          <w:lang w:val="sr-Latn-ME"/>
        </w:rPr>
        <w:t xml:space="preserve">ok se </w:t>
      </w:r>
      <w:r w:rsidR="00407E19">
        <w:rPr>
          <w:color w:val="000000" w:themeColor="text1"/>
          <w:sz w:val="22"/>
          <w:szCs w:val="22"/>
          <w:lang w:val="sr-Latn-ME"/>
        </w:rPr>
        <w:t>9,43</w:t>
      </w:r>
      <w:r w:rsidR="00AE3425">
        <w:rPr>
          <w:color w:val="000000" w:themeColor="text1"/>
          <w:sz w:val="22"/>
          <w:szCs w:val="22"/>
          <w:lang w:val="sr-Latn-ME"/>
        </w:rPr>
        <w:t xml:space="preserve"> miliona eura odnosi</w:t>
      </w:r>
      <w:r w:rsidR="00AD00D0" w:rsidRPr="00AD00D0">
        <w:rPr>
          <w:color w:val="000000" w:themeColor="text1"/>
          <w:sz w:val="22"/>
          <w:szCs w:val="22"/>
          <w:lang w:val="sr-Latn-ME"/>
        </w:rPr>
        <w:t xml:space="preserve"> na otplatu duga rezidentima. </w:t>
      </w:r>
      <w:r w:rsidR="00AA3A1D" w:rsidRPr="00AD00D0">
        <w:rPr>
          <w:color w:val="000000" w:themeColor="text1"/>
          <w:sz w:val="22"/>
          <w:szCs w:val="22"/>
          <w:lang w:val="sr-Latn-ME"/>
        </w:rPr>
        <w:t>U istom periodu otplać</w:t>
      </w:r>
      <w:r w:rsidR="00C75F40" w:rsidRPr="00AD00D0">
        <w:rPr>
          <w:color w:val="000000" w:themeColor="text1"/>
          <w:sz w:val="22"/>
          <w:szCs w:val="22"/>
          <w:lang w:val="sr-Latn-ME"/>
        </w:rPr>
        <w:t xml:space="preserve">ena je i kamata u iznosu od </w:t>
      </w:r>
      <w:r w:rsidR="002F3113" w:rsidRPr="00AD00D0">
        <w:rPr>
          <w:color w:val="000000" w:themeColor="text1"/>
          <w:sz w:val="22"/>
          <w:szCs w:val="22"/>
          <w:lang w:val="sr-Latn-ME"/>
        </w:rPr>
        <w:t>34,0</w:t>
      </w:r>
      <w:r w:rsidR="00407E19">
        <w:rPr>
          <w:color w:val="000000" w:themeColor="text1"/>
          <w:sz w:val="22"/>
          <w:szCs w:val="22"/>
          <w:lang w:val="sr-Latn-ME"/>
        </w:rPr>
        <w:t>8</w:t>
      </w:r>
      <w:r w:rsidR="00C75F40" w:rsidRPr="00AD00D0">
        <w:rPr>
          <w:color w:val="000000" w:themeColor="text1"/>
          <w:sz w:val="22"/>
          <w:szCs w:val="22"/>
          <w:lang w:val="sr-Latn-ME"/>
        </w:rPr>
        <w:t xml:space="preserve"> miliona eura, od </w:t>
      </w:r>
      <w:r w:rsidR="00C75F40" w:rsidRPr="00AD00D0">
        <w:rPr>
          <w:color w:val="000000" w:themeColor="text1"/>
          <w:sz w:val="22"/>
          <w:szCs w:val="22"/>
          <w:lang w:val="sr-Latn-RS"/>
        </w:rPr>
        <w:t xml:space="preserve">čega otplata ino kamate iznosi </w:t>
      </w:r>
      <w:r w:rsidR="00884C79">
        <w:rPr>
          <w:color w:val="000000" w:themeColor="text1"/>
          <w:sz w:val="22"/>
          <w:szCs w:val="22"/>
          <w:lang w:val="sr-Latn-RS"/>
        </w:rPr>
        <w:t>33,16</w:t>
      </w:r>
      <w:r w:rsidR="00C75F40" w:rsidRPr="00AD00D0">
        <w:rPr>
          <w:color w:val="000000" w:themeColor="text1"/>
          <w:sz w:val="22"/>
          <w:szCs w:val="22"/>
          <w:lang w:val="sr-Latn-RS"/>
        </w:rPr>
        <w:t xml:space="preserve"> miliona eura, </w:t>
      </w:r>
      <w:r w:rsidR="00C75F40" w:rsidRPr="00AD00D0">
        <w:rPr>
          <w:color w:val="000000" w:themeColor="text1"/>
          <w:sz w:val="22"/>
          <w:szCs w:val="22"/>
          <w:lang w:val="sr-Latn-RS"/>
        </w:rPr>
        <w:lastRenderedPageBreak/>
        <w:t>dok otplata domaće kamate iznosi 0,</w:t>
      </w:r>
      <w:r w:rsidR="002F3113" w:rsidRPr="00AD00D0">
        <w:rPr>
          <w:color w:val="000000" w:themeColor="text1"/>
          <w:sz w:val="22"/>
          <w:szCs w:val="22"/>
          <w:lang w:val="sr-Latn-RS"/>
        </w:rPr>
        <w:t>92</w:t>
      </w:r>
      <w:r w:rsidR="00E311B2" w:rsidRPr="00AD00D0">
        <w:rPr>
          <w:color w:val="000000" w:themeColor="text1"/>
          <w:sz w:val="22"/>
          <w:szCs w:val="22"/>
          <w:lang w:val="sr-Latn-RS"/>
        </w:rPr>
        <w:t xml:space="preserve"> </w:t>
      </w:r>
      <w:r w:rsidR="00C75F40" w:rsidRPr="00AD00D0">
        <w:rPr>
          <w:color w:val="000000" w:themeColor="text1"/>
          <w:sz w:val="22"/>
          <w:szCs w:val="22"/>
          <w:lang w:val="sr-Latn-RS"/>
        </w:rPr>
        <w:t xml:space="preserve">miliona eura. </w:t>
      </w:r>
      <w:r w:rsidR="00D07CB5" w:rsidRPr="00AD00D0">
        <w:rPr>
          <w:color w:val="000000" w:themeColor="text1"/>
          <w:sz w:val="22"/>
          <w:szCs w:val="22"/>
          <w:lang w:val="sr-Latn-ME"/>
        </w:rPr>
        <w:t>Smanjenje duga po osnovu stare devizne štednje, u izvje</w:t>
      </w:r>
      <w:r w:rsidR="002E2B32" w:rsidRPr="00AD00D0">
        <w:rPr>
          <w:color w:val="000000" w:themeColor="text1"/>
          <w:sz w:val="22"/>
          <w:szCs w:val="22"/>
          <w:lang w:val="sr-Latn-ME"/>
        </w:rPr>
        <w:t>štajnom periodu, iznosilo je 0,1</w:t>
      </w:r>
      <w:r w:rsidR="009131E7" w:rsidRPr="00AD00D0">
        <w:rPr>
          <w:color w:val="000000" w:themeColor="text1"/>
          <w:sz w:val="22"/>
          <w:szCs w:val="22"/>
          <w:lang w:val="sr-Latn-ME"/>
        </w:rPr>
        <w:t>6</w:t>
      </w:r>
      <w:r w:rsidR="00D07CB5" w:rsidRPr="00AD00D0">
        <w:rPr>
          <w:color w:val="000000" w:themeColor="text1"/>
          <w:sz w:val="22"/>
          <w:szCs w:val="22"/>
          <w:lang w:val="sr-Latn-ME"/>
        </w:rPr>
        <w:t xml:space="preserve"> miliona eura.</w:t>
      </w:r>
    </w:p>
    <w:p w:rsidR="0050088D" w:rsidRDefault="0050088D" w:rsidP="008812CB">
      <w:pPr>
        <w:rPr>
          <w:sz w:val="22"/>
          <w:szCs w:val="22"/>
        </w:rPr>
      </w:pPr>
    </w:p>
    <w:p w:rsidR="00731AF3" w:rsidRDefault="00582127" w:rsidP="007223EA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8AB9078" wp14:editId="2F910954">
            <wp:extent cx="2667000" cy="27908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8637554" wp14:editId="7A2BFFED">
            <wp:extent cx="3038475" cy="282892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6BC9" w:rsidRDefault="000A6BC9" w:rsidP="000A6BC9">
      <w:pPr>
        <w:jc w:val="center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33E68C2B" wp14:editId="37AE35A9">
            <wp:extent cx="2752725" cy="24479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0A6BC9" w:rsidSect="00BA6AC2">
      <w:headerReference w:type="default" r:id="rId12"/>
      <w:footerReference w:type="defaul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61" w:rsidRDefault="006B3F61" w:rsidP="00D422E7">
      <w:pPr>
        <w:spacing w:before="0" w:after="0" w:line="240" w:lineRule="auto"/>
      </w:pPr>
      <w:r>
        <w:separator/>
      </w:r>
    </w:p>
  </w:endnote>
  <w:endnote w:type="continuationSeparator" w:id="0">
    <w:p w:rsidR="006B3F61" w:rsidRDefault="006B3F61" w:rsidP="00D422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86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50B" w:rsidRDefault="002115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B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87" w:rsidRDefault="003C7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61" w:rsidRDefault="006B3F61" w:rsidP="00D422E7">
      <w:pPr>
        <w:spacing w:before="0" w:after="0" w:line="240" w:lineRule="auto"/>
      </w:pPr>
      <w:r>
        <w:separator/>
      </w:r>
    </w:p>
  </w:footnote>
  <w:footnote w:type="continuationSeparator" w:id="0">
    <w:p w:rsidR="006B3F61" w:rsidRDefault="006B3F61" w:rsidP="00D422E7">
      <w:pPr>
        <w:spacing w:before="0" w:after="0" w:line="240" w:lineRule="auto"/>
      </w:pPr>
      <w:r>
        <w:continuationSeparator/>
      </w:r>
    </w:p>
  </w:footnote>
  <w:footnote w:id="1">
    <w:p w:rsidR="00D422E7" w:rsidRPr="00D422E7" w:rsidRDefault="00D422E7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4C29AC">
        <w:rPr>
          <w:lang w:val="sr-Latn-RS"/>
        </w:rPr>
        <w:t xml:space="preserve">Prema </w:t>
      </w:r>
      <w:r w:rsidR="00A9590F">
        <w:rPr>
          <w:lang w:val="sr-Latn-RS"/>
        </w:rPr>
        <w:t>podacima Monstata</w:t>
      </w:r>
      <w:r w:rsidR="002B6417">
        <w:rPr>
          <w:lang w:val="sr-Latn-RS"/>
        </w:rPr>
        <w:t xml:space="preserve">, BDP za 2019. godinu iznosi </w:t>
      </w:r>
      <w:r w:rsidR="00A9590F">
        <w:rPr>
          <w:lang w:val="sr-Latn-RS"/>
        </w:rPr>
        <w:t>4951</w:t>
      </w:r>
      <w:r w:rsidR="002B6417">
        <w:rPr>
          <w:lang w:val="sr-Latn-RS"/>
        </w:rPr>
        <w:t xml:space="preserve"> miliona eura</w:t>
      </w:r>
    </w:p>
  </w:footnote>
  <w:footnote w:id="2">
    <w:p w:rsidR="006731AD" w:rsidRDefault="006731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kursu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F96E8E">
        <w:t>30.06</w:t>
      </w:r>
      <w:r>
        <w:t xml:space="preserve">.2019. </w:t>
      </w:r>
      <w:proofErr w:type="spellStart"/>
      <w:r>
        <w:t>godine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C2" w:rsidRDefault="00A35446">
    <w:pPr>
      <w:pStyle w:val="Header"/>
    </w:pPr>
    <w:r w:rsidRPr="00A35446">
      <w:rPr>
        <w:caps/>
        <w:noProof/>
        <w:color w:val="23585A" w:themeColor="accent3" w:themeShade="80"/>
        <w:lang w:eastAsia="en-GB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-395605</wp:posOffset>
              </wp:positionH>
              <wp:positionV relativeFrom="topMargin">
                <wp:posOffset>323850</wp:posOffset>
              </wp:positionV>
              <wp:extent cx="6197600" cy="247650"/>
              <wp:effectExtent l="0" t="0" r="0" b="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46" w:rsidRPr="00B752F0" w:rsidRDefault="00B752F0" w:rsidP="00B752F0">
                          <w:pPr>
                            <w:spacing w:after="0" w:line="240" w:lineRule="auto"/>
                            <w:rPr>
                              <w:noProof/>
                              <w:lang w:val="sr-Latn-RS"/>
                            </w:rPr>
                          </w:pPr>
                          <w:r>
                            <w:rPr>
                              <w:noProof/>
                            </w:rPr>
                            <w:t xml:space="preserve">MINISTARSTVO FINANSIJA </w:t>
                          </w:r>
                          <w:r w:rsidR="00361F8E">
                            <w:rPr>
                              <w:noProof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</w:rPr>
                            <w:t xml:space="preserve">   IZVJE</w:t>
                          </w:r>
                          <w:r>
                            <w:rPr>
                              <w:noProof/>
                              <w:lang w:val="sr-Latn-RS"/>
                            </w:rPr>
                            <w:t>ŠTAJ</w:t>
                          </w:r>
                          <w:r w:rsidR="002D3794">
                            <w:rPr>
                              <w:noProof/>
                              <w:lang w:val="sr-Latn-RS"/>
                            </w:rPr>
                            <w:t xml:space="preserve"> O DRŽAVNOM DUGU CRNE GORE</w:t>
                          </w:r>
                          <w:r w:rsidR="002D3794">
                            <w:rPr>
                              <w:noProof/>
                              <w:lang w:val="sr-Latn-RS"/>
                            </w:rPr>
                            <w:tab/>
                            <w:t xml:space="preserve">   30</w:t>
                          </w:r>
                          <w:r>
                            <w:rPr>
                              <w:noProof/>
                              <w:lang w:val="sr-Latn-RS"/>
                            </w:rPr>
                            <w:t xml:space="preserve">. </w:t>
                          </w:r>
                          <w:r w:rsidR="002D3794">
                            <w:rPr>
                              <w:noProof/>
                              <w:lang w:val="sr-Latn-RS"/>
                            </w:rPr>
                            <w:t xml:space="preserve">JUN </w:t>
                          </w:r>
                          <w:r>
                            <w:rPr>
                              <w:noProof/>
                              <w:lang w:val="sr-Latn-RS"/>
                            </w:rPr>
                            <w:t xml:space="preserve"> 2019. GODINE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-31.15pt;margin-top:25.5pt;width:48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" o:allowincell="f" filled="f" stroked="f">
              <v:textbox inset=",0,,0">
                <w:txbxContent>
                  <w:p w:rsidR="00A35446" w:rsidRPr="00B752F0" w:rsidRDefault="00B752F0" w:rsidP="00B752F0">
                    <w:pPr>
                      <w:spacing w:after="0" w:line="240" w:lineRule="auto"/>
                      <w:rPr>
                        <w:noProof/>
                        <w:lang w:val="sr-Latn-RS"/>
                      </w:rPr>
                    </w:pPr>
                    <w:r>
                      <w:rPr>
                        <w:noProof/>
                      </w:rPr>
                      <w:t xml:space="preserve">MINISTARSTVO FINANSIJA </w:t>
                    </w:r>
                    <w:r w:rsidR="00361F8E">
                      <w:rPr>
                        <w:noProof/>
                      </w:rPr>
                      <w:t xml:space="preserve">            </w:t>
                    </w:r>
                    <w:r>
                      <w:rPr>
                        <w:noProof/>
                      </w:rPr>
                      <w:t xml:space="preserve">   IZVJE</w:t>
                    </w:r>
                    <w:r>
                      <w:rPr>
                        <w:noProof/>
                        <w:lang w:val="sr-Latn-RS"/>
                      </w:rPr>
                      <w:t>ŠTAJ</w:t>
                    </w:r>
                    <w:r w:rsidR="002D3794">
                      <w:rPr>
                        <w:noProof/>
                        <w:lang w:val="sr-Latn-RS"/>
                      </w:rPr>
                      <w:t xml:space="preserve"> O DRŽAVNOM DUGU CRNE GORE</w:t>
                    </w:r>
                    <w:r w:rsidR="002D3794">
                      <w:rPr>
                        <w:noProof/>
                        <w:lang w:val="sr-Latn-RS"/>
                      </w:rPr>
                      <w:tab/>
                      <w:t xml:space="preserve">   30</w:t>
                    </w:r>
                    <w:r>
                      <w:rPr>
                        <w:noProof/>
                        <w:lang w:val="sr-Latn-RS"/>
                      </w:rPr>
                      <w:t xml:space="preserve">. </w:t>
                    </w:r>
                    <w:r w:rsidR="002D3794">
                      <w:rPr>
                        <w:noProof/>
                        <w:lang w:val="sr-Latn-RS"/>
                      </w:rPr>
                      <w:t xml:space="preserve">JUN </w:t>
                    </w:r>
                    <w:r>
                      <w:rPr>
                        <w:noProof/>
                        <w:lang w:val="sr-Latn-RS"/>
                      </w:rPr>
                      <w:t xml:space="preserve"> 2019. GODINE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35446">
      <w:rPr>
        <w:caps/>
        <w:noProof/>
        <w:color w:val="23585A" w:themeColor="accent3" w:themeShade="80"/>
        <w:lang w:eastAsia="en-GB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35446" w:rsidRPr="00B752F0" w:rsidRDefault="00A35446">
                          <w:pPr>
                            <w:spacing w:after="0" w:line="240" w:lineRule="auto"/>
                          </w:pPr>
                          <w:r w:rsidRPr="00B752F0">
                            <w:fldChar w:fldCharType="begin"/>
                          </w:r>
                          <w:r w:rsidRPr="00B752F0">
                            <w:instrText xml:space="preserve"> PAGE   \* MERGEFORMAT </w:instrText>
                          </w:r>
                          <w:r w:rsidRPr="00B752F0">
                            <w:fldChar w:fldCharType="separate"/>
                          </w:r>
                          <w:r w:rsidR="009D3BC1">
                            <w:rPr>
                              <w:noProof/>
                            </w:rPr>
                            <w:t>2</w:t>
                          </w:r>
                          <w:r w:rsidRPr="00B752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" o:allowincell="f" fillcolor="#fdefd2 [660]" stroked="f">
              <v:textbox style="mso-fit-shape-to-text:t" inset=",0,,0">
                <w:txbxContent>
                  <w:p w:rsidR="00A35446" w:rsidRPr="00B752F0" w:rsidRDefault="00A35446">
                    <w:pPr>
                      <w:spacing w:after="0" w:line="240" w:lineRule="auto"/>
                    </w:pPr>
                    <w:r w:rsidRPr="00B752F0">
                      <w:fldChar w:fldCharType="begin"/>
                    </w:r>
                    <w:r w:rsidRPr="00B752F0">
                      <w:instrText xml:space="preserve"> PAGE   \* MERGEFORMAT </w:instrText>
                    </w:r>
                    <w:r w:rsidRPr="00B752F0">
                      <w:fldChar w:fldCharType="separate"/>
                    </w:r>
                    <w:r w:rsidR="009D3BC1">
                      <w:rPr>
                        <w:noProof/>
                      </w:rPr>
                      <w:t>2</w:t>
                    </w:r>
                    <w:r w:rsidRPr="00B752F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34"/>
    <w:rsid w:val="00000CF2"/>
    <w:rsid w:val="000546A5"/>
    <w:rsid w:val="00054B5F"/>
    <w:rsid w:val="00081FDB"/>
    <w:rsid w:val="00087087"/>
    <w:rsid w:val="00093F0C"/>
    <w:rsid w:val="000A4579"/>
    <w:rsid w:val="000A6BC9"/>
    <w:rsid w:val="000C0EA9"/>
    <w:rsid w:val="000C152D"/>
    <w:rsid w:val="000C5DE8"/>
    <w:rsid w:val="000D1AE0"/>
    <w:rsid w:val="000E26B6"/>
    <w:rsid w:val="000E69F7"/>
    <w:rsid w:val="000F29BE"/>
    <w:rsid w:val="001073CE"/>
    <w:rsid w:val="00143C19"/>
    <w:rsid w:val="001478EE"/>
    <w:rsid w:val="00152650"/>
    <w:rsid w:val="00153F3D"/>
    <w:rsid w:val="00156A90"/>
    <w:rsid w:val="00157C8A"/>
    <w:rsid w:val="001636B8"/>
    <w:rsid w:val="0016571F"/>
    <w:rsid w:val="00165C9E"/>
    <w:rsid w:val="0017258A"/>
    <w:rsid w:val="00177E34"/>
    <w:rsid w:val="00186959"/>
    <w:rsid w:val="00190687"/>
    <w:rsid w:val="001B52AA"/>
    <w:rsid w:val="001E6E5C"/>
    <w:rsid w:val="001F5474"/>
    <w:rsid w:val="002041B9"/>
    <w:rsid w:val="0021150B"/>
    <w:rsid w:val="00213441"/>
    <w:rsid w:val="0021740B"/>
    <w:rsid w:val="00231B3E"/>
    <w:rsid w:val="002362C9"/>
    <w:rsid w:val="00251340"/>
    <w:rsid w:val="002516F6"/>
    <w:rsid w:val="002577A4"/>
    <w:rsid w:val="00261512"/>
    <w:rsid w:val="00270CDC"/>
    <w:rsid w:val="00293967"/>
    <w:rsid w:val="00297198"/>
    <w:rsid w:val="002B3B23"/>
    <w:rsid w:val="002B5578"/>
    <w:rsid w:val="002B6417"/>
    <w:rsid w:val="002D2131"/>
    <w:rsid w:val="002D3794"/>
    <w:rsid w:val="002E2B32"/>
    <w:rsid w:val="002F3113"/>
    <w:rsid w:val="00312051"/>
    <w:rsid w:val="00312E63"/>
    <w:rsid w:val="003134AE"/>
    <w:rsid w:val="00315DB3"/>
    <w:rsid w:val="00321DF2"/>
    <w:rsid w:val="00331F1B"/>
    <w:rsid w:val="00340761"/>
    <w:rsid w:val="00343068"/>
    <w:rsid w:val="00350D04"/>
    <w:rsid w:val="00361F8E"/>
    <w:rsid w:val="00376E83"/>
    <w:rsid w:val="00383BA3"/>
    <w:rsid w:val="003A4ED8"/>
    <w:rsid w:val="003A64CE"/>
    <w:rsid w:val="003C38B1"/>
    <w:rsid w:val="003C7E87"/>
    <w:rsid w:val="003E3AB8"/>
    <w:rsid w:val="003E72F2"/>
    <w:rsid w:val="003F47BC"/>
    <w:rsid w:val="003F48F8"/>
    <w:rsid w:val="0040785D"/>
    <w:rsid w:val="00407E19"/>
    <w:rsid w:val="00411399"/>
    <w:rsid w:val="00432555"/>
    <w:rsid w:val="00442688"/>
    <w:rsid w:val="00450C6C"/>
    <w:rsid w:val="00452F85"/>
    <w:rsid w:val="0045320E"/>
    <w:rsid w:val="00464672"/>
    <w:rsid w:val="0046513F"/>
    <w:rsid w:val="0047250C"/>
    <w:rsid w:val="00482094"/>
    <w:rsid w:val="00483B7A"/>
    <w:rsid w:val="0048616F"/>
    <w:rsid w:val="004879DE"/>
    <w:rsid w:val="004C29AC"/>
    <w:rsid w:val="004D6B03"/>
    <w:rsid w:val="004F4BDD"/>
    <w:rsid w:val="0050088D"/>
    <w:rsid w:val="00517DF6"/>
    <w:rsid w:val="00531A3D"/>
    <w:rsid w:val="00534144"/>
    <w:rsid w:val="0054170C"/>
    <w:rsid w:val="00582127"/>
    <w:rsid w:val="005A00B3"/>
    <w:rsid w:val="006030A1"/>
    <w:rsid w:val="0061095E"/>
    <w:rsid w:val="00612554"/>
    <w:rsid w:val="006159E5"/>
    <w:rsid w:val="006233E6"/>
    <w:rsid w:val="00637C7F"/>
    <w:rsid w:val="00642BA6"/>
    <w:rsid w:val="0065124E"/>
    <w:rsid w:val="00651C2D"/>
    <w:rsid w:val="006554D7"/>
    <w:rsid w:val="006623CE"/>
    <w:rsid w:val="00664205"/>
    <w:rsid w:val="006731AD"/>
    <w:rsid w:val="00674F8E"/>
    <w:rsid w:val="00681D06"/>
    <w:rsid w:val="0068310C"/>
    <w:rsid w:val="006866D4"/>
    <w:rsid w:val="006877A5"/>
    <w:rsid w:val="00690F99"/>
    <w:rsid w:val="006A489F"/>
    <w:rsid w:val="006B3F61"/>
    <w:rsid w:val="006B3F98"/>
    <w:rsid w:val="006C354A"/>
    <w:rsid w:val="006E29EE"/>
    <w:rsid w:val="006F28C1"/>
    <w:rsid w:val="006F4473"/>
    <w:rsid w:val="007124CE"/>
    <w:rsid w:val="00720F43"/>
    <w:rsid w:val="007223EA"/>
    <w:rsid w:val="00731AF3"/>
    <w:rsid w:val="0073406B"/>
    <w:rsid w:val="00742142"/>
    <w:rsid w:val="00755D5C"/>
    <w:rsid w:val="007567BC"/>
    <w:rsid w:val="007945C1"/>
    <w:rsid w:val="007A1740"/>
    <w:rsid w:val="007B2E65"/>
    <w:rsid w:val="007C19F3"/>
    <w:rsid w:val="007E5CB8"/>
    <w:rsid w:val="00802E65"/>
    <w:rsid w:val="008065F8"/>
    <w:rsid w:val="00830CA5"/>
    <w:rsid w:val="00834E6E"/>
    <w:rsid w:val="008812CB"/>
    <w:rsid w:val="00884C79"/>
    <w:rsid w:val="00890F45"/>
    <w:rsid w:val="008979F0"/>
    <w:rsid w:val="008A73BE"/>
    <w:rsid w:val="008C440B"/>
    <w:rsid w:val="008C51FE"/>
    <w:rsid w:val="008D32F6"/>
    <w:rsid w:val="008D4F63"/>
    <w:rsid w:val="008D7BA7"/>
    <w:rsid w:val="008E24FE"/>
    <w:rsid w:val="008E687D"/>
    <w:rsid w:val="008E78B8"/>
    <w:rsid w:val="009131E7"/>
    <w:rsid w:val="0098759A"/>
    <w:rsid w:val="00994694"/>
    <w:rsid w:val="009A2F6C"/>
    <w:rsid w:val="009B1524"/>
    <w:rsid w:val="009B1862"/>
    <w:rsid w:val="009D3BC1"/>
    <w:rsid w:val="009F471A"/>
    <w:rsid w:val="009F4EC8"/>
    <w:rsid w:val="00A10A86"/>
    <w:rsid w:val="00A278C1"/>
    <w:rsid w:val="00A35446"/>
    <w:rsid w:val="00A645B3"/>
    <w:rsid w:val="00A845E7"/>
    <w:rsid w:val="00A9377D"/>
    <w:rsid w:val="00A94364"/>
    <w:rsid w:val="00A9590F"/>
    <w:rsid w:val="00AA3A1D"/>
    <w:rsid w:val="00AB4E7D"/>
    <w:rsid w:val="00AC1000"/>
    <w:rsid w:val="00AD00D0"/>
    <w:rsid w:val="00AD7455"/>
    <w:rsid w:val="00AE3425"/>
    <w:rsid w:val="00AF7306"/>
    <w:rsid w:val="00B049B7"/>
    <w:rsid w:val="00B05B28"/>
    <w:rsid w:val="00B1271D"/>
    <w:rsid w:val="00B14575"/>
    <w:rsid w:val="00B341AC"/>
    <w:rsid w:val="00B425FB"/>
    <w:rsid w:val="00B64ECB"/>
    <w:rsid w:val="00B71C58"/>
    <w:rsid w:val="00B752F0"/>
    <w:rsid w:val="00B84AB1"/>
    <w:rsid w:val="00BA4B28"/>
    <w:rsid w:val="00BA6622"/>
    <w:rsid w:val="00BA6810"/>
    <w:rsid w:val="00BA6AC2"/>
    <w:rsid w:val="00BC0019"/>
    <w:rsid w:val="00BC0B44"/>
    <w:rsid w:val="00BD2A86"/>
    <w:rsid w:val="00BE5FC4"/>
    <w:rsid w:val="00BF4B4E"/>
    <w:rsid w:val="00BF7632"/>
    <w:rsid w:val="00C01DE0"/>
    <w:rsid w:val="00C039C6"/>
    <w:rsid w:val="00C06E7D"/>
    <w:rsid w:val="00C11D20"/>
    <w:rsid w:val="00C177BD"/>
    <w:rsid w:val="00C22FE0"/>
    <w:rsid w:val="00C32AA3"/>
    <w:rsid w:val="00C34A02"/>
    <w:rsid w:val="00C5286C"/>
    <w:rsid w:val="00C75F40"/>
    <w:rsid w:val="00CB0CAF"/>
    <w:rsid w:val="00CB3D9C"/>
    <w:rsid w:val="00CC1C60"/>
    <w:rsid w:val="00CC6602"/>
    <w:rsid w:val="00CD00B2"/>
    <w:rsid w:val="00CE691D"/>
    <w:rsid w:val="00CF1F7C"/>
    <w:rsid w:val="00D07CB5"/>
    <w:rsid w:val="00D37A66"/>
    <w:rsid w:val="00D422E7"/>
    <w:rsid w:val="00D43740"/>
    <w:rsid w:val="00D50260"/>
    <w:rsid w:val="00D534C4"/>
    <w:rsid w:val="00D70BE9"/>
    <w:rsid w:val="00D722D0"/>
    <w:rsid w:val="00D735FE"/>
    <w:rsid w:val="00D86603"/>
    <w:rsid w:val="00DA27C7"/>
    <w:rsid w:val="00DB6A7A"/>
    <w:rsid w:val="00DC083A"/>
    <w:rsid w:val="00DF798A"/>
    <w:rsid w:val="00E148E9"/>
    <w:rsid w:val="00E24D29"/>
    <w:rsid w:val="00E311B2"/>
    <w:rsid w:val="00E4502E"/>
    <w:rsid w:val="00E6153E"/>
    <w:rsid w:val="00E63077"/>
    <w:rsid w:val="00E64410"/>
    <w:rsid w:val="00E64D30"/>
    <w:rsid w:val="00E76222"/>
    <w:rsid w:val="00E76BD0"/>
    <w:rsid w:val="00E82B61"/>
    <w:rsid w:val="00E92F4A"/>
    <w:rsid w:val="00E93BE6"/>
    <w:rsid w:val="00E94687"/>
    <w:rsid w:val="00EA1AEF"/>
    <w:rsid w:val="00ED368B"/>
    <w:rsid w:val="00F10532"/>
    <w:rsid w:val="00F25A64"/>
    <w:rsid w:val="00F306B1"/>
    <w:rsid w:val="00F3332B"/>
    <w:rsid w:val="00F40311"/>
    <w:rsid w:val="00F44084"/>
    <w:rsid w:val="00F64665"/>
    <w:rsid w:val="00F64BDF"/>
    <w:rsid w:val="00F661B1"/>
    <w:rsid w:val="00F70FDF"/>
    <w:rsid w:val="00F92CE7"/>
    <w:rsid w:val="00F95FDF"/>
    <w:rsid w:val="00F96E8E"/>
    <w:rsid w:val="00FA3488"/>
    <w:rsid w:val="00FA45B9"/>
    <w:rsid w:val="00FA7783"/>
    <w:rsid w:val="00FB4E0E"/>
    <w:rsid w:val="00FB60E1"/>
    <w:rsid w:val="00FC06D0"/>
    <w:rsid w:val="00FC6771"/>
    <w:rsid w:val="00FD2D5C"/>
    <w:rsid w:val="00FE32D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E64FA-2FE5-48A7-9AFB-A72058E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3D"/>
  </w:style>
  <w:style w:type="paragraph" w:styleId="Heading1">
    <w:name w:val="heading 1"/>
    <w:basedOn w:val="Normal"/>
    <w:next w:val="Normal"/>
    <w:link w:val="Heading1Char"/>
    <w:uiPriority w:val="9"/>
    <w:qFormat/>
    <w:rsid w:val="00531A3D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3D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3D"/>
    <w:pPr>
      <w:pBdr>
        <w:top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3D"/>
    <w:pPr>
      <w:pBdr>
        <w:top w:val="dotted" w:sz="6" w:space="2" w:color="F8B323" w:themeColor="accent1"/>
      </w:pBdr>
      <w:spacing w:before="200" w:after="0"/>
      <w:outlineLvl w:val="3"/>
    </w:pPr>
    <w:rPr>
      <w:caps/>
      <w:color w:val="CD8C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3D"/>
    <w:pPr>
      <w:pBdr>
        <w:bottom w:val="single" w:sz="6" w:space="1" w:color="F8B323" w:themeColor="accent1"/>
      </w:pBdr>
      <w:spacing w:before="200" w:after="0"/>
      <w:outlineLvl w:val="4"/>
    </w:pPr>
    <w:rPr>
      <w:caps/>
      <w:color w:val="CD8C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3D"/>
    <w:pPr>
      <w:pBdr>
        <w:bottom w:val="dotted" w:sz="6" w:space="1" w:color="F8B323" w:themeColor="accent1"/>
      </w:pBdr>
      <w:spacing w:before="200" w:after="0"/>
      <w:outlineLvl w:val="5"/>
    </w:pPr>
    <w:rPr>
      <w:caps/>
      <w:color w:val="CD8C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3D"/>
    <w:pPr>
      <w:spacing w:before="200" w:after="0"/>
      <w:outlineLvl w:val="6"/>
    </w:pPr>
    <w:rPr>
      <w:caps/>
      <w:color w:val="CD8C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1A3D"/>
    <w:pPr>
      <w:spacing w:before="0" w:after="0"/>
    </w:pPr>
    <w:rPr>
      <w:rFonts w:asciiTheme="majorHAnsi" w:eastAsiaTheme="majorEastAsia" w:hAnsiTheme="majorHAnsi" w:cstheme="majorBidi"/>
      <w:caps/>
      <w:color w:val="F8B32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A3D"/>
    <w:rPr>
      <w:rFonts w:asciiTheme="majorHAnsi" w:eastAsiaTheme="majorEastAsia" w:hAnsiTheme="majorHAnsi" w:cstheme="majorBidi"/>
      <w:caps/>
      <w:color w:val="F8B323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31A3D"/>
    <w:rPr>
      <w:caps/>
      <w:color w:val="FFFFFF" w:themeColor="background1"/>
      <w:spacing w:val="15"/>
      <w:sz w:val="22"/>
      <w:szCs w:val="22"/>
      <w:shd w:val="clear" w:color="auto" w:fill="F8B32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3D"/>
    <w:rPr>
      <w:caps/>
      <w:spacing w:val="15"/>
      <w:shd w:val="clear" w:color="auto" w:fill="FDEF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3D"/>
    <w:rPr>
      <w:caps/>
      <w:color w:val="885D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3D"/>
    <w:rPr>
      <w:caps/>
      <w:color w:val="CD8C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3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3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A3D"/>
    <w:rPr>
      <w:b/>
      <w:bCs/>
      <w:color w:val="CD8C0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3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1A3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1A3D"/>
    <w:rPr>
      <w:b/>
      <w:bCs/>
    </w:rPr>
  </w:style>
  <w:style w:type="character" w:styleId="Emphasis">
    <w:name w:val="Emphasis"/>
    <w:uiPriority w:val="20"/>
    <w:qFormat/>
    <w:rsid w:val="00531A3D"/>
    <w:rPr>
      <w:caps/>
      <w:color w:val="885D04" w:themeColor="accent1" w:themeShade="7F"/>
      <w:spacing w:val="5"/>
    </w:rPr>
  </w:style>
  <w:style w:type="paragraph" w:styleId="NoSpacing">
    <w:name w:val="No Spacing"/>
    <w:uiPriority w:val="1"/>
    <w:qFormat/>
    <w:rsid w:val="00531A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1A3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1A3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3D"/>
    <w:pPr>
      <w:spacing w:before="240" w:after="240" w:line="240" w:lineRule="auto"/>
      <w:ind w:left="1080" w:right="1080"/>
      <w:jc w:val="center"/>
    </w:pPr>
    <w:rPr>
      <w:color w:val="F8B32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3D"/>
    <w:rPr>
      <w:color w:val="F8B323" w:themeColor="accent1"/>
      <w:sz w:val="24"/>
      <w:szCs w:val="24"/>
    </w:rPr>
  </w:style>
  <w:style w:type="character" w:styleId="SubtleEmphasis">
    <w:name w:val="Subtle Emphasis"/>
    <w:uiPriority w:val="19"/>
    <w:qFormat/>
    <w:rsid w:val="00531A3D"/>
    <w:rPr>
      <w:i/>
      <w:iCs/>
      <w:color w:val="885D04" w:themeColor="accent1" w:themeShade="7F"/>
    </w:rPr>
  </w:style>
  <w:style w:type="character" w:styleId="IntenseEmphasis">
    <w:name w:val="Intense Emphasis"/>
    <w:uiPriority w:val="21"/>
    <w:qFormat/>
    <w:rsid w:val="00531A3D"/>
    <w:rPr>
      <w:b/>
      <w:bCs/>
      <w:caps/>
      <w:color w:val="885D04" w:themeColor="accent1" w:themeShade="7F"/>
      <w:spacing w:val="10"/>
    </w:rPr>
  </w:style>
  <w:style w:type="character" w:styleId="SubtleReference">
    <w:name w:val="Subtle Reference"/>
    <w:uiPriority w:val="31"/>
    <w:qFormat/>
    <w:rsid w:val="00531A3D"/>
    <w:rPr>
      <w:b/>
      <w:bCs/>
      <w:color w:val="F8B323" w:themeColor="accent1"/>
    </w:rPr>
  </w:style>
  <w:style w:type="character" w:styleId="IntenseReference">
    <w:name w:val="Intense Reference"/>
    <w:uiPriority w:val="32"/>
    <w:qFormat/>
    <w:rsid w:val="00531A3D"/>
    <w:rPr>
      <w:b/>
      <w:bCs/>
      <w:i/>
      <w:iCs/>
      <w:caps/>
      <w:color w:val="F8B323" w:themeColor="accent1"/>
    </w:rPr>
  </w:style>
  <w:style w:type="character" w:styleId="BookTitle">
    <w:name w:val="Book Title"/>
    <w:uiPriority w:val="33"/>
    <w:qFormat/>
    <w:rsid w:val="00531A3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A3D"/>
    <w:pPr>
      <w:outlineLvl w:val="9"/>
    </w:pPr>
  </w:style>
  <w:style w:type="table" w:styleId="ListTable4-Accent3">
    <w:name w:val="List Table 4 Accent 3"/>
    <w:basedOn w:val="TableNormal"/>
    <w:uiPriority w:val="49"/>
    <w:rsid w:val="00D422E7"/>
    <w:pPr>
      <w:spacing w:after="0" w:line="240" w:lineRule="auto"/>
    </w:p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2B5" w:themeColor="accent3"/>
          <w:left w:val="single" w:sz="4" w:space="0" w:color="46B2B5" w:themeColor="accent3"/>
          <w:bottom w:val="single" w:sz="4" w:space="0" w:color="46B2B5" w:themeColor="accent3"/>
          <w:right w:val="single" w:sz="4" w:space="0" w:color="46B2B5" w:themeColor="accent3"/>
          <w:insideH w:val="nil"/>
        </w:tcBorders>
        <w:shd w:val="clear" w:color="auto" w:fill="46B2B5" w:themeFill="accent3"/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  <w:style w:type="table" w:styleId="ListTable4-Accent1">
    <w:name w:val="List Table 4 Accent 1"/>
    <w:basedOn w:val="TableNormal"/>
    <w:uiPriority w:val="49"/>
    <w:rsid w:val="00D422E7"/>
    <w:pPr>
      <w:spacing w:after="0" w:line="240" w:lineRule="auto"/>
    </w:p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323" w:themeColor="accent1"/>
          <w:left w:val="single" w:sz="4" w:space="0" w:color="F8B323" w:themeColor="accent1"/>
          <w:bottom w:val="single" w:sz="4" w:space="0" w:color="F8B323" w:themeColor="accent1"/>
          <w:right w:val="single" w:sz="4" w:space="0" w:color="F8B323" w:themeColor="accent1"/>
          <w:insideH w:val="nil"/>
        </w:tcBorders>
        <w:shd w:val="clear" w:color="auto" w:fill="F8B323" w:themeFill="accent1"/>
      </w:tcPr>
    </w:tblStylePr>
    <w:tblStylePr w:type="lastRow">
      <w:rPr>
        <w:b/>
        <w:bCs/>
      </w:rPr>
      <w:tblPr/>
      <w:tcPr>
        <w:tcBorders>
          <w:top w:val="double" w:sz="4" w:space="0" w:color="FAD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422E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2E7"/>
  </w:style>
  <w:style w:type="character" w:styleId="FootnoteReference">
    <w:name w:val="footnote reference"/>
    <w:basedOn w:val="DefaultParagraphFont"/>
    <w:uiPriority w:val="99"/>
    <w:semiHidden/>
    <w:unhideWhenUsed/>
    <w:rsid w:val="00D422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6A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2"/>
  </w:style>
  <w:style w:type="paragraph" w:styleId="Footer">
    <w:name w:val="footer"/>
    <w:basedOn w:val="Normal"/>
    <w:link w:val="FooterChar"/>
    <w:uiPriority w:val="99"/>
    <w:unhideWhenUsed/>
    <w:rsid w:val="00BA6A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2"/>
  </w:style>
  <w:style w:type="table" w:styleId="ListTable4-Accent6">
    <w:name w:val="List Table 4 Accent 6"/>
    <w:basedOn w:val="TableNormal"/>
    <w:uiPriority w:val="49"/>
    <w:rsid w:val="00C11D20"/>
    <w:pPr>
      <w:spacing w:after="0" w:line="240" w:lineRule="auto"/>
    </w:pPr>
    <w:tblPr>
      <w:tblStyleRowBandSize w:val="1"/>
      <w:tblStyleColBandSize w:val="1"/>
      <w:tblBorders>
        <w:top w:val="single" w:sz="4" w:space="0" w:color="B69EAD" w:themeColor="accent6" w:themeTint="99"/>
        <w:left w:val="single" w:sz="4" w:space="0" w:color="B69EAD" w:themeColor="accent6" w:themeTint="99"/>
        <w:bottom w:val="single" w:sz="4" w:space="0" w:color="B69EAD" w:themeColor="accent6" w:themeTint="99"/>
        <w:right w:val="single" w:sz="4" w:space="0" w:color="B69EAD" w:themeColor="accent6" w:themeTint="99"/>
        <w:insideH w:val="single" w:sz="4" w:space="0" w:color="B69E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6276" w:themeColor="accent6"/>
          <w:left w:val="single" w:sz="4" w:space="0" w:color="826276" w:themeColor="accent6"/>
          <w:bottom w:val="single" w:sz="4" w:space="0" w:color="826276" w:themeColor="accent6"/>
          <w:right w:val="single" w:sz="4" w:space="0" w:color="826276" w:themeColor="accent6"/>
          <w:insideH w:val="nil"/>
        </w:tcBorders>
        <w:shd w:val="clear" w:color="auto" w:fill="826276" w:themeFill="accent6"/>
      </w:tcPr>
    </w:tblStylePr>
    <w:tblStylePr w:type="lastRow">
      <w:rPr>
        <w:b/>
        <w:bCs/>
      </w:rPr>
      <w:tblPr/>
      <w:tcPr>
        <w:tcBorders>
          <w:top w:val="double" w:sz="4" w:space="0" w:color="B69E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EE3" w:themeFill="accent6" w:themeFillTint="33"/>
      </w:tcPr>
    </w:tblStylePr>
    <w:tblStylePr w:type="band1Horz">
      <w:tblPr/>
      <w:tcPr>
        <w:shd w:val="clear" w:color="auto" w:fill="E6DEE3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F661B1"/>
    <w:pPr>
      <w:spacing w:after="0" w:line="240" w:lineRule="auto"/>
    </w:p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  <w:insideV w:val="single" w:sz="4" w:space="0" w:color="FAD1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323" w:themeColor="accent1"/>
          <w:left w:val="single" w:sz="4" w:space="0" w:color="F8B323" w:themeColor="accent1"/>
          <w:bottom w:val="single" w:sz="4" w:space="0" w:color="F8B323" w:themeColor="accent1"/>
          <w:right w:val="single" w:sz="4" w:space="0" w:color="F8B323" w:themeColor="accent1"/>
          <w:insideH w:val="nil"/>
          <w:insideV w:val="nil"/>
        </w:tcBorders>
        <w:shd w:val="clear" w:color="auto" w:fill="F8B323" w:themeFill="accent1"/>
      </w:tcPr>
    </w:tblStylePr>
    <w:tblStylePr w:type="lastRow">
      <w:rPr>
        <w:b/>
        <w:bCs/>
      </w:rPr>
      <w:tblPr/>
      <w:tcPr>
        <w:tcBorders>
          <w:top w:val="double" w:sz="4" w:space="0" w:color="F8B3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F66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3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3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3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323" w:themeFill="accent1"/>
      </w:tcPr>
    </w:tblStylePr>
    <w:tblStylePr w:type="band1Vert">
      <w:tblPr/>
      <w:tcPr>
        <w:shd w:val="clear" w:color="auto" w:fill="FCE0A6" w:themeFill="accent1" w:themeFillTint="66"/>
      </w:tcPr>
    </w:tblStylePr>
    <w:tblStylePr w:type="band1Horz">
      <w:tblPr/>
      <w:tcPr>
        <w:shd w:val="clear" w:color="auto" w:fill="FCE0A6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661B1"/>
    <w:pPr>
      <w:spacing w:after="0" w:line="240" w:lineRule="auto"/>
    </w:pPr>
    <w:rPr>
      <w:color w:val="CD8C06" w:themeColor="accent1" w:themeShade="BF"/>
    </w:rPr>
    <w:tblPr>
      <w:tblStyleRowBandSize w:val="1"/>
      <w:tblStyleColBandSize w:val="1"/>
      <w:tblBorders>
        <w:top w:val="single" w:sz="4" w:space="0" w:color="FAD17A" w:themeColor="accent1" w:themeTint="99"/>
        <w:left w:val="single" w:sz="4" w:space="0" w:color="FAD17A" w:themeColor="accent1" w:themeTint="99"/>
        <w:bottom w:val="single" w:sz="4" w:space="0" w:color="FAD17A" w:themeColor="accent1" w:themeTint="99"/>
        <w:right w:val="single" w:sz="4" w:space="0" w:color="FAD17A" w:themeColor="accent1" w:themeTint="99"/>
        <w:insideH w:val="single" w:sz="4" w:space="0" w:color="FAD17A" w:themeColor="accent1" w:themeTint="99"/>
        <w:insideV w:val="single" w:sz="4" w:space="0" w:color="FAD1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D1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1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1" w:themeFillTint="33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469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94"/>
    <w:rPr>
      <w:rFonts w:ascii="Segoe UI" w:hAnsi="Segoe UI" w:cs="Segoe UI"/>
      <w:sz w:val="18"/>
      <w:szCs w:val="18"/>
    </w:rPr>
  </w:style>
  <w:style w:type="table" w:styleId="GridTable6Colorful-Accent3">
    <w:name w:val="Grid Table 6 Colorful Accent 3"/>
    <w:basedOn w:val="TableNormal"/>
    <w:uiPriority w:val="51"/>
    <w:rsid w:val="008C440B"/>
    <w:pPr>
      <w:spacing w:after="0" w:line="240" w:lineRule="auto"/>
    </w:pPr>
    <w:rPr>
      <w:color w:val="348587" w:themeColor="accent3" w:themeShade="BF"/>
    </w:r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  <w:insideV w:val="single" w:sz="4" w:space="0" w:color="8ED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ED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>
                <a:solidFill>
                  <a:schemeClr val="tx1"/>
                </a:solidFill>
              </a:rPr>
              <a:t>Grafik </a:t>
            </a:r>
            <a:r>
              <a:rPr lang="en-GB" sz="1100" b="1">
                <a:solidFill>
                  <a:schemeClr val="tx1"/>
                </a:solidFill>
              </a:rPr>
              <a:t>1</a:t>
            </a:r>
            <a:r>
              <a:rPr lang="sr-Latn-RS" sz="1100" b="1">
                <a:solidFill>
                  <a:schemeClr val="tx1"/>
                </a:solidFill>
              </a:rPr>
              <a:t> Stanje državnog duga </a:t>
            </a:r>
            <a:r>
              <a:rPr lang="en-GB" sz="1100" b="1">
                <a:solidFill>
                  <a:schemeClr val="tx1"/>
                </a:solidFill>
              </a:rPr>
              <a:t>u milionima eura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0962818630722008"/>
          <c:y val="0.22282238442822386"/>
          <c:w val="0.74065429956848616"/>
          <c:h val="0.49210107860605018"/>
        </c:manualLayout>
      </c:layout>
      <c:lineChart>
        <c:grouping val="standard"/>
        <c:varyColors val="0"/>
        <c:ser>
          <c:idx val="0"/>
          <c:order val="0"/>
          <c:tx>
            <c:strRef>
              <c:f>Sheet1!$A$52</c:f>
              <c:strCache>
                <c:ptCount val="1"/>
                <c:pt idx="0">
                  <c:v>Državni dug u mil. eura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Sheet1!$B$51:$E$51</c:f>
              <c:strCache>
                <c:ptCount val="2"/>
                <c:pt idx="0">
                  <c:v>31.03.2019</c:v>
                </c:pt>
                <c:pt idx="1">
                  <c:v>30.06.2018</c:v>
                </c:pt>
              </c:strCache>
              <c:extLst/>
            </c:strRef>
          </c:cat>
          <c:val>
            <c:numRef>
              <c:f>Sheet1!$B$52:$E$52</c:f>
              <c:numCache>
                <c:formatCode>0.00</c:formatCode>
                <c:ptCount val="2"/>
                <c:pt idx="0">
                  <c:v>3179.38</c:v>
                </c:pt>
                <c:pt idx="1">
                  <c:v>3133.6836986935255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2783-475F-97A2-807B0A809939}"/>
            </c:ext>
          </c:extLst>
        </c:ser>
        <c:ser>
          <c:idx val="1"/>
          <c:order val="1"/>
          <c:tx>
            <c:strRef>
              <c:f>Sheet1!$A$53</c:f>
              <c:strCache>
                <c:ptCount val="1"/>
                <c:pt idx="0">
                  <c:v>Državni dug , uključujući depozite u mil. eura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Sheet1!$B$51:$E$51</c:f>
              <c:strCache>
                <c:ptCount val="2"/>
                <c:pt idx="0">
                  <c:v>31.03.2019</c:v>
                </c:pt>
                <c:pt idx="1">
                  <c:v>30.06.2018</c:v>
                </c:pt>
              </c:strCache>
              <c:extLst/>
            </c:strRef>
          </c:cat>
          <c:val>
            <c:numRef>
              <c:f>Sheet1!$B$53:$E$53</c:f>
              <c:numCache>
                <c:formatCode>0.00</c:formatCode>
                <c:ptCount val="2"/>
                <c:pt idx="0">
                  <c:v>2925.68</c:v>
                </c:pt>
                <c:pt idx="1">
                  <c:v>2949.6495667035256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2783-475F-97A2-807B0A809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116208"/>
        <c:axId val="346115376"/>
      </c:lineChart>
      <c:catAx>
        <c:axId val="34611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5376"/>
        <c:crosses val="autoZero"/>
        <c:auto val="1"/>
        <c:lblAlgn val="ctr"/>
        <c:lblOffset val="100"/>
        <c:noMultiLvlLbl val="0"/>
      </c:catAx>
      <c:valAx>
        <c:axId val="346115376"/>
        <c:scaling>
          <c:orientation val="minMax"/>
          <c:max val="3200"/>
          <c:min val="2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6208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597624449486188E-2"/>
          <c:y val="0.81589669904400641"/>
          <c:w val="0.9894023755505138"/>
          <c:h val="0.154906220664022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100" b="1" i="0" u="none" strike="noStrike" kern="1200" cap="all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 sz="1100" b="1" i="0" u="none" strike="noStrike" kern="1200" cap="none" spc="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rPr>
              <a:t>Grafik 2 Stanje dr</a:t>
            </a:r>
            <a:r>
              <a:rPr lang="sr-Latn-RS" sz="1100" b="1" i="0" u="none" strike="noStrike" kern="1200" cap="none" spc="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rPr>
              <a:t>žavnog duga kao % BDP-a</a:t>
            </a:r>
            <a:endParaRPr lang="en-GB" sz="1100" b="1" i="0" u="none" strike="noStrike" kern="1200" cap="none" spc="0" normalizeH="0" baseline="0">
              <a:solidFill>
                <a:schemeClr val="tx1"/>
              </a:solidFill>
              <a:latin typeface="+mn-lt"/>
              <a:ea typeface="+mn-ea"/>
              <a:cs typeface="+mn-cs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100" b="1" i="0" u="none" strike="noStrike" kern="1200" cap="all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Sheet1!$A$56</c:f>
              <c:strCache>
                <c:ptCount val="1"/>
                <c:pt idx="0">
                  <c:v>Državni dug u mil. eura kao % BDP-a</c:v>
                </c:pt>
              </c:strCache>
            </c:strRef>
          </c:tx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63,29%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24-42A6-8D96-91C46DF53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Sheet1!$B$55:$E$55</c:f>
              <c:strCache>
                <c:ptCount val="2"/>
                <c:pt idx="0">
                  <c:v>31.03.2019</c:v>
                </c:pt>
                <c:pt idx="1">
                  <c:v>30.06.2018</c:v>
                </c:pt>
              </c:strCache>
              <c:extLst/>
            </c:strRef>
          </c:cat>
          <c:val>
            <c:numRef>
              <c:f>Sheet1!$B$56:$E$56</c:f>
              <c:numCache>
                <c:formatCode>0.00%</c:formatCode>
                <c:ptCount val="2"/>
                <c:pt idx="0">
                  <c:v>0.66191576624404058</c:v>
                </c:pt>
                <c:pt idx="1">
                  <c:v>0.65240224401838842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95C-4C7D-B9F9-4D460B612C58}"/>
            </c:ext>
          </c:extLst>
        </c:ser>
        <c:ser>
          <c:idx val="1"/>
          <c:order val="1"/>
          <c:tx>
            <c:strRef>
              <c:f>Sheet1!$A$57</c:f>
              <c:strCache>
                <c:ptCount val="1"/>
                <c:pt idx="0">
                  <c:v>Državni dug, uključujući depozite u % BDP-a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59,58%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24-42A6-8D96-91C46DF53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Sheet1!$B$55:$E$55</c:f>
              <c:strCache>
                <c:ptCount val="2"/>
                <c:pt idx="0">
                  <c:v>31.03.2019</c:v>
                </c:pt>
                <c:pt idx="1">
                  <c:v>30.06.2018</c:v>
                </c:pt>
              </c:strCache>
              <c:extLst/>
            </c:strRef>
          </c:cat>
          <c:val>
            <c:numRef>
              <c:f>Sheet1!$B$57:$E$57</c:f>
              <c:numCache>
                <c:formatCode>0.00%</c:formatCode>
                <c:ptCount val="2"/>
                <c:pt idx="0">
                  <c:v>0.60909791185226825</c:v>
                </c:pt>
                <c:pt idx="1">
                  <c:v>0.61408814079976792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95C-4C7D-B9F9-4D460B612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374902496"/>
        <c:axId val="370518288"/>
      </c:barChart>
      <c:catAx>
        <c:axId val="37490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518288"/>
        <c:crosses val="autoZero"/>
        <c:auto val="1"/>
        <c:lblAlgn val="ctr"/>
        <c:lblOffset val="100"/>
        <c:noMultiLvlLbl val="0"/>
      </c:catAx>
      <c:valAx>
        <c:axId val="370518288"/>
        <c:scaling>
          <c:orientation val="minMax"/>
          <c:max val="0.70000000000000007"/>
          <c:min val="0.5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90249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sr-Latn-RS" sz="1200"/>
              <a:t>Grafik 3 Valutna struktura duga (3</a:t>
            </a:r>
            <a:r>
              <a:rPr lang="en-GB" sz="1200"/>
              <a:t>0</a:t>
            </a:r>
            <a:r>
              <a:rPr lang="sr-Latn-RS" sz="1200"/>
              <a:t>.</a:t>
            </a:r>
            <a:r>
              <a:rPr lang="en-GB" sz="1200"/>
              <a:t>06</a:t>
            </a:r>
            <a:r>
              <a:rPr lang="sr-Latn-RS" sz="1200"/>
              <a:t>.201</a:t>
            </a:r>
            <a:r>
              <a:rPr lang="en-GB" sz="1200"/>
              <a:t>9.</a:t>
            </a:r>
            <a:r>
              <a:rPr lang="en-US" sz="1200"/>
              <a:t>)</a:t>
            </a:r>
          </a:p>
        </c:rich>
      </c:tx>
      <c:layout>
        <c:manualLayout>
          <c:xMode val="edge"/>
          <c:yMode val="edge"/>
          <c:x val="0.19440532433445817"/>
          <c:y val="2.552955528446275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339220097487814"/>
          <c:y val="0.23633470112010646"/>
          <c:w val="0.55813198350206228"/>
          <c:h val="0.5502709696499205"/>
        </c:manualLayout>
      </c:layout>
      <c:pieChart>
        <c:varyColors val="1"/>
        <c:ser>
          <c:idx val="0"/>
          <c:order val="0"/>
          <c:tx>
            <c:strRef>
              <c:f>Sheet1!$M$71:$M$73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(CHF, NOK, SDR)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402-4C25-BC33-0FF3B39841D0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402-4C25-BC33-0FF3B39841D0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402-4C25-BC33-0FF3B39841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Sheet1!$M$71:$M$73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(CHF, NOK, SDR)</c:v>
                </c:pt>
              </c:strCache>
            </c:strRef>
          </c:cat>
          <c:val>
            <c:numRef>
              <c:f>Sheet1!$L$71:$L$73</c:f>
              <c:numCache>
                <c:formatCode>0.00%</c:formatCode>
                <c:ptCount val="3"/>
                <c:pt idx="0">
                  <c:v>0.79500508771151801</c:v>
                </c:pt>
                <c:pt idx="1">
                  <c:v>0.19341071655815739</c:v>
                </c:pt>
                <c:pt idx="2">
                  <c:v>1.1584195730324518E-2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02-4C25-BC33-0FF3B39841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tx1"/>
                </a:solidFill>
              </a:rPr>
              <a:t>Grafik 4 Kamatna struktura d</a:t>
            </a:r>
            <a:r>
              <a:rPr lang="sr-Latn-RS" sz="1200" b="1">
                <a:solidFill>
                  <a:schemeClr val="tx1"/>
                </a:solidFill>
              </a:rPr>
              <a:t>ržavnog duga (3</a:t>
            </a:r>
            <a:r>
              <a:rPr lang="en-GB" sz="1200" b="1">
                <a:solidFill>
                  <a:schemeClr val="tx1"/>
                </a:solidFill>
              </a:rPr>
              <a:t>0</a:t>
            </a:r>
            <a:r>
              <a:rPr lang="sr-Latn-RS" sz="1200" b="1">
                <a:solidFill>
                  <a:schemeClr val="tx1"/>
                </a:solidFill>
              </a:rPr>
              <a:t>.</a:t>
            </a:r>
            <a:r>
              <a:rPr lang="en-GB" sz="1200" b="1">
                <a:solidFill>
                  <a:schemeClr val="tx1"/>
                </a:solidFill>
              </a:rPr>
              <a:t>06</a:t>
            </a:r>
            <a:r>
              <a:rPr lang="sr-Latn-RS" sz="1200" b="1">
                <a:solidFill>
                  <a:schemeClr val="tx1"/>
                </a:solidFill>
              </a:rPr>
              <a:t>.201</a:t>
            </a:r>
            <a:r>
              <a:rPr lang="en-GB" sz="1200" b="1">
                <a:solidFill>
                  <a:schemeClr val="tx1"/>
                </a:solidFill>
              </a:rPr>
              <a:t>9</a:t>
            </a:r>
            <a:r>
              <a:rPr lang="sr-Latn-RS" sz="1200" b="1">
                <a:solidFill>
                  <a:schemeClr val="tx1"/>
                </a:solidFill>
              </a:rPr>
              <a:t>.)</a:t>
            </a:r>
            <a:endParaRPr lang="en-GB" sz="1200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758867524004641"/>
          <c:y val="0.25287732972772348"/>
          <c:w val="0.51318177704275991"/>
          <c:h val="0.5511952420088902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CA-4770-ABA5-157AD2272B3C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CA-4770-ABA5-157AD2272B3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1ED4D10-75FC-4118-A9E4-E00E5F12A6DD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8CA-4770-ABA5-157AD2272B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Sheet1!$C$68:$C$69</c:f>
              <c:strCache>
                <c:ptCount val="2"/>
                <c:pt idx="0">
                  <c:v>fiksna k.s.</c:v>
                </c:pt>
                <c:pt idx="1">
                  <c:v>varijabilna k.s.</c:v>
                </c:pt>
              </c:strCache>
            </c:strRef>
          </c:cat>
          <c:val>
            <c:numRef>
              <c:f>Sheet1!$E$68:$E$69</c:f>
              <c:numCache>
                <c:formatCode>0.00%</c:formatCode>
                <c:ptCount val="2"/>
                <c:pt idx="0">
                  <c:v>0.7490948772925361</c:v>
                </c:pt>
                <c:pt idx="1">
                  <c:v>0.25090512270746385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CA-4770-ABA5-157AD2272B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tx1"/>
                </a:solidFill>
              </a:rPr>
              <a:t>Grafik 5 Odnos spoljnjeg i domaćeg duga (30.06.2019.)</a:t>
            </a:r>
          </a:p>
        </c:rich>
      </c:tx>
      <c:layout>
        <c:manualLayout>
          <c:xMode val="edge"/>
          <c:yMode val="edge"/>
          <c:x val="0.1786666666666666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721730285444424"/>
          <c:y val="0.17774155662448807"/>
          <c:w val="0.53783723401356842"/>
          <c:h val="0.60480529427984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D2-4AD7-A53F-913BD34C72A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D2-4AD7-A53F-913BD34C72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D2-4AD7-A53F-913BD34C72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D2-4AD7-A53F-913BD34C72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Sheet1!$A$62:$A$63</c:f>
              <c:strCache>
                <c:ptCount val="2"/>
                <c:pt idx="0">
                  <c:v>Spoljni dug</c:v>
                </c:pt>
                <c:pt idx="1">
                  <c:v>Domaći dug</c:v>
                </c:pt>
              </c:strCache>
            </c:strRef>
          </c:cat>
          <c:val>
            <c:numRef>
              <c:f>Sheet1!$D$62:$D$63</c:f>
              <c:numCache>
                <c:formatCode>0.00%</c:formatCode>
                <c:ptCount val="2"/>
                <c:pt idx="0">
                  <c:v>0.83662928655708302</c:v>
                </c:pt>
                <c:pt idx="1">
                  <c:v>0.16337071344291695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D2-4AD7-A53F-913BD34C7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AEB0-5F38-42F0-8851-3F9CF5D6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finansija                  izvještaj o državnom dugu                        31.03.2019. godine</vt:lpstr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finansija                  izvještaj o državnom dugu                        31.03.2019. godine</dc:title>
  <dc:subject/>
  <dc:creator>Jelena Djurovic</dc:creator>
  <cp:keywords/>
  <dc:description/>
  <cp:lastModifiedBy>Ana Djuraskovic</cp:lastModifiedBy>
  <cp:revision>2</cp:revision>
  <cp:lastPrinted>2019-08-07T05:40:00Z</cp:lastPrinted>
  <dcterms:created xsi:type="dcterms:W3CDTF">2020-11-24T06:27:00Z</dcterms:created>
  <dcterms:modified xsi:type="dcterms:W3CDTF">2020-11-24T06:27:00Z</dcterms:modified>
</cp:coreProperties>
</file>