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64" w:rsidRPr="000B03F5" w:rsidRDefault="00893964" w:rsidP="00501421">
      <w:pPr>
        <w:jc w:val="center"/>
        <w:rPr>
          <w:b/>
          <w:sz w:val="28"/>
          <w:szCs w:val="28"/>
        </w:rPr>
      </w:pPr>
      <w:r w:rsidRPr="000B03F5">
        <w:rPr>
          <w:b/>
          <w:sz w:val="28"/>
          <w:szCs w:val="28"/>
        </w:rPr>
        <w:t>TRŽIŠTE LIZINGA U CRNOJ GORI</w:t>
      </w:r>
    </w:p>
    <w:p w:rsidR="00893964" w:rsidRPr="000B03F5" w:rsidRDefault="00893964" w:rsidP="00501421">
      <w:pPr>
        <w:jc w:val="center"/>
        <w:rPr>
          <w:b/>
          <w:sz w:val="28"/>
          <w:szCs w:val="28"/>
        </w:rPr>
      </w:pPr>
      <w:r w:rsidRPr="000B03F5">
        <w:rPr>
          <w:b/>
          <w:sz w:val="28"/>
          <w:szCs w:val="28"/>
        </w:rPr>
        <w:t>-Izvještaj za 2016. godinu-</w:t>
      </w:r>
    </w:p>
    <w:p w:rsidR="00893964" w:rsidRPr="000B03F5" w:rsidRDefault="00893964" w:rsidP="00501421">
      <w:pPr>
        <w:spacing w:after="120"/>
        <w:jc w:val="center"/>
        <w:rPr>
          <w:b/>
        </w:rPr>
      </w:pPr>
    </w:p>
    <w:p w:rsidR="00893964" w:rsidRPr="000B03F5" w:rsidRDefault="00893964" w:rsidP="00501421">
      <w:pPr>
        <w:spacing w:after="120"/>
      </w:pPr>
    </w:p>
    <w:p w:rsidR="000B03F5" w:rsidRPr="000B03F5" w:rsidRDefault="000B03F5" w:rsidP="00501421">
      <w:pPr>
        <w:pBdr>
          <w:bottom w:val="thinThickSmallGap" w:sz="24" w:space="1" w:color="auto"/>
        </w:pBdr>
        <w:spacing w:after="120"/>
        <w:ind w:left="-567"/>
        <w:jc w:val="both"/>
        <w:rPr>
          <w:b/>
        </w:rPr>
      </w:pPr>
    </w:p>
    <w:p w:rsidR="00893964" w:rsidRPr="000B03F5" w:rsidRDefault="00893964" w:rsidP="00501421">
      <w:pPr>
        <w:pBdr>
          <w:bottom w:val="thinThickSmallGap" w:sz="24" w:space="1" w:color="auto"/>
        </w:pBdr>
        <w:spacing w:after="120"/>
        <w:ind w:left="-567"/>
        <w:jc w:val="both"/>
        <w:rPr>
          <w:b/>
        </w:rPr>
      </w:pPr>
      <w:r w:rsidRPr="000B03F5">
        <w:rPr>
          <w:b/>
        </w:rPr>
        <w:t>Uvod</w:t>
      </w:r>
    </w:p>
    <w:p w:rsidR="00893964" w:rsidRPr="000B03F5" w:rsidRDefault="00893964" w:rsidP="00501421">
      <w:pPr>
        <w:spacing w:after="120"/>
        <w:ind w:left="-567"/>
        <w:jc w:val="both"/>
      </w:pPr>
      <w:r w:rsidRPr="000B03F5">
        <w:t>Trend pada poslovne aktivnosti na tržištu lizinga u Crnoj Gori u smislu smanjenja plasmana, kao i vrijednosti ugovorenih lizing poslova nastavljen je i u 2016. godini.</w:t>
      </w:r>
    </w:p>
    <w:p w:rsidR="00893964" w:rsidRPr="000B03F5" w:rsidRDefault="00893964" w:rsidP="00501421">
      <w:pPr>
        <w:spacing w:after="120"/>
        <w:ind w:left="-567"/>
        <w:jc w:val="both"/>
      </w:pPr>
      <w:r w:rsidRPr="000B03F5">
        <w:t xml:space="preserve">Na tržištu lizinga je zadržana opreznost u odobravanju novih plasmana, usljed problema nelikvidnosti privrednih subjekata na tržištu, te su pružaoci lizinga podržavali samo klijente sa dokazanim bonitetom, što je rezultiralo smanjenjem broja novih plasmana.  </w:t>
      </w:r>
    </w:p>
    <w:p w:rsidR="00893964" w:rsidRPr="000B03F5" w:rsidRDefault="00AE4406" w:rsidP="00501421">
      <w:pPr>
        <w:spacing w:after="120"/>
        <w:ind w:left="-567"/>
        <w:jc w:val="both"/>
        <w:rPr>
          <w:rFonts w:eastAsia="FranklinGothic-Book"/>
          <w:lang w:val="en-US"/>
        </w:rPr>
      </w:pPr>
      <w:proofErr w:type="spellStart"/>
      <w:r w:rsidRPr="000B03F5">
        <w:rPr>
          <w:rFonts w:eastAsia="FranklinGothic-Book"/>
          <w:lang w:val="en-US"/>
        </w:rPr>
        <w:t>Tokom</w:t>
      </w:r>
      <w:proofErr w:type="spellEnd"/>
      <w:r w:rsidRPr="000B03F5">
        <w:rPr>
          <w:rFonts w:eastAsia="FranklinGothic-Book"/>
          <w:lang w:val="en-US"/>
        </w:rPr>
        <w:t xml:space="preserve"> </w:t>
      </w:r>
      <w:proofErr w:type="spellStart"/>
      <w:r w:rsidRPr="000B03F5">
        <w:rPr>
          <w:rFonts w:eastAsia="FranklinGothic-Book"/>
          <w:lang w:val="en-US"/>
        </w:rPr>
        <w:t>prethodne</w:t>
      </w:r>
      <w:proofErr w:type="spellEnd"/>
      <w:r w:rsidRPr="000B03F5">
        <w:rPr>
          <w:rFonts w:eastAsia="FranklinGothic-Book"/>
          <w:lang w:val="en-US"/>
        </w:rPr>
        <w:t xml:space="preserve"> </w:t>
      </w:r>
      <w:proofErr w:type="spellStart"/>
      <w:r w:rsidRPr="000B03F5">
        <w:rPr>
          <w:rFonts w:eastAsia="FranklinGothic-Book"/>
          <w:lang w:val="en-US"/>
        </w:rPr>
        <w:t>godine</w:t>
      </w:r>
      <w:proofErr w:type="spellEnd"/>
      <w:r w:rsidRPr="000B03F5">
        <w:rPr>
          <w:rFonts w:eastAsia="FranklinGothic-Book"/>
          <w:lang w:val="en-US"/>
        </w:rPr>
        <w:t xml:space="preserve"> </w:t>
      </w:r>
      <w:proofErr w:type="spellStart"/>
      <w:r w:rsidRPr="000B03F5">
        <w:rPr>
          <w:rFonts w:eastAsia="FranklinGothic-Book"/>
          <w:lang w:val="en-US"/>
        </w:rPr>
        <w:t>nijesu</w:t>
      </w:r>
      <w:proofErr w:type="spellEnd"/>
      <w:r w:rsidRPr="000B03F5">
        <w:rPr>
          <w:rFonts w:eastAsia="FranklinGothic-Book"/>
          <w:lang w:val="en-US"/>
        </w:rPr>
        <w:t xml:space="preserve"> </w:t>
      </w:r>
      <w:proofErr w:type="spellStart"/>
      <w:r w:rsidRPr="000B03F5">
        <w:rPr>
          <w:rFonts w:eastAsia="FranklinGothic-Book"/>
          <w:lang w:val="en-US"/>
        </w:rPr>
        <w:t>inicirane</w:t>
      </w:r>
      <w:proofErr w:type="spellEnd"/>
      <w:r w:rsidRPr="000B03F5">
        <w:rPr>
          <w:rFonts w:eastAsia="FranklinGothic-Book"/>
          <w:lang w:val="en-US"/>
        </w:rPr>
        <w:t xml:space="preserve"> </w:t>
      </w:r>
      <w:proofErr w:type="spellStart"/>
      <w:r w:rsidRPr="000B03F5">
        <w:rPr>
          <w:rFonts w:eastAsia="FranklinGothic-Book"/>
          <w:lang w:val="en-US"/>
        </w:rPr>
        <w:t>izmjene</w:t>
      </w:r>
      <w:proofErr w:type="spellEnd"/>
      <w:r w:rsidRPr="000B03F5">
        <w:rPr>
          <w:rFonts w:eastAsia="FranklinGothic-Book"/>
          <w:lang w:val="en-US"/>
        </w:rPr>
        <w:t xml:space="preserve"> u </w:t>
      </w:r>
      <w:proofErr w:type="spellStart"/>
      <w:r w:rsidRPr="000B03F5">
        <w:rPr>
          <w:rFonts w:eastAsia="FranklinGothic-Book"/>
          <w:lang w:val="en-US"/>
        </w:rPr>
        <w:t>pogledu</w:t>
      </w:r>
      <w:proofErr w:type="spellEnd"/>
      <w:r w:rsidRPr="000B03F5">
        <w:rPr>
          <w:rFonts w:eastAsia="FranklinGothic-Book"/>
          <w:lang w:val="en-US"/>
        </w:rPr>
        <w:t xml:space="preserve"> regulative u </w:t>
      </w:r>
      <w:proofErr w:type="spellStart"/>
      <w:r w:rsidRPr="000B03F5">
        <w:rPr>
          <w:rFonts w:eastAsia="FranklinGothic-Book"/>
          <w:lang w:val="en-US"/>
        </w:rPr>
        <w:t>vezi</w:t>
      </w:r>
      <w:proofErr w:type="spellEnd"/>
      <w:r w:rsidRPr="000B03F5">
        <w:rPr>
          <w:rFonts w:eastAsia="FranklinGothic-Book"/>
          <w:lang w:val="en-US"/>
        </w:rPr>
        <w:t xml:space="preserve"> </w:t>
      </w:r>
      <w:proofErr w:type="gramStart"/>
      <w:r w:rsidRPr="000B03F5">
        <w:rPr>
          <w:rFonts w:eastAsia="FranklinGothic-Book"/>
          <w:lang w:val="en-US"/>
        </w:rPr>
        <w:t>sa</w:t>
      </w:r>
      <w:proofErr w:type="gramEnd"/>
      <w:r w:rsidRPr="000B03F5">
        <w:rPr>
          <w:rFonts w:eastAsia="FranklinGothic-Book"/>
          <w:lang w:val="en-US"/>
        </w:rPr>
        <w:t xml:space="preserve"> </w:t>
      </w:r>
      <w:proofErr w:type="spellStart"/>
      <w:r w:rsidRPr="000B03F5">
        <w:rPr>
          <w:rFonts w:eastAsia="FranklinGothic-Book"/>
          <w:lang w:val="en-US"/>
        </w:rPr>
        <w:t>tržištem</w:t>
      </w:r>
      <w:proofErr w:type="spellEnd"/>
      <w:r w:rsidRPr="000B03F5">
        <w:rPr>
          <w:rFonts w:eastAsia="FranklinGothic-Book"/>
          <w:lang w:val="en-US"/>
        </w:rPr>
        <w:t xml:space="preserve"> </w:t>
      </w:r>
      <w:proofErr w:type="spellStart"/>
      <w:r w:rsidRPr="000B03F5">
        <w:rPr>
          <w:rFonts w:eastAsia="FranklinGothic-Book"/>
          <w:lang w:val="en-US"/>
        </w:rPr>
        <w:t>lizinga</w:t>
      </w:r>
      <w:proofErr w:type="spellEnd"/>
      <w:r w:rsidRPr="000B03F5">
        <w:rPr>
          <w:rFonts w:eastAsia="FranklinGothic-Book"/>
          <w:lang w:val="en-US"/>
        </w:rPr>
        <w:t xml:space="preserve"> u </w:t>
      </w:r>
      <w:proofErr w:type="spellStart"/>
      <w:r w:rsidRPr="000B03F5">
        <w:rPr>
          <w:rFonts w:eastAsia="FranklinGothic-Book"/>
          <w:lang w:val="en-US"/>
        </w:rPr>
        <w:t>Crnoj</w:t>
      </w:r>
      <w:proofErr w:type="spellEnd"/>
      <w:r w:rsidRPr="000B03F5">
        <w:rPr>
          <w:rFonts w:eastAsia="FranklinGothic-Book"/>
          <w:lang w:val="en-US"/>
        </w:rPr>
        <w:t xml:space="preserve"> </w:t>
      </w:r>
      <w:proofErr w:type="spellStart"/>
      <w:r w:rsidRPr="000B03F5">
        <w:rPr>
          <w:rFonts w:eastAsia="FranklinGothic-Book"/>
          <w:lang w:val="en-US"/>
        </w:rPr>
        <w:t>Gori</w:t>
      </w:r>
      <w:proofErr w:type="spellEnd"/>
      <w:r w:rsidRPr="000B03F5">
        <w:rPr>
          <w:rFonts w:eastAsia="FranklinGothic-Book"/>
          <w:lang w:val="en-US"/>
        </w:rPr>
        <w:t>.</w:t>
      </w:r>
    </w:p>
    <w:p w:rsidR="00AE4406" w:rsidRPr="000B03F5" w:rsidRDefault="00AE4406" w:rsidP="00501421">
      <w:pPr>
        <w:spacing w:after="120"/>
        <w:ind w:left="-567"/>
        <w:jc w:val="both"/>
        <w:rPr>
          <w:rFonts w:eastAsia="Calibri"/>
          <w:color w:val="000000"/>
          <w:lang w:val="en-US" w:eastAsia="en-US"/>
        </w:rPr>
      </w:pPr>
    </w:p>
    <w:p w:rsidR="000B03F5" w:rsidRPr="000B03F5" w:rsidRDefault="000B03F5" w:rsidP="00501421">
      <w:pPr>
        <w:spacing w:after="120"/>
        <w:ind w:left="-567"/>
        <w:jc w:val="both"/>
        <w:rPr>
          <w:rFonts w:eastAsia="Calibri"/>
          <w:color w:val="000000"/>
          <w:lang w:val="en-US" w:eastAsia="en-US"/>
        </w:rPr>
      </w:pPr>
    </w:p>
    <w:p w:rsidR="00893964" w:rsidRPr="000B03F5" w:rsidRDefault="00893964" w:rsidP="00501421">
      <w:pPr>
        <w:pBdr>
          <w:bottom w:val="thinThickSmallGap" w:sz="24" w:space="1" w:color="auto"/>
        </w:pBdr>
        <w:spacing w:after="120"/>
        <w:ind w:left="-567"/>
        <w:jc w:val="both"/>
        <w:rPr>
          <w:rFonts w:eastAsia="Calibri"/>
          <w:b/>
          <w:color w:val="000000"/>
          <w:lang w:val="en-US" w:eastAsia="en-US"/>
        </w:rPr>
      </w:pPr>
      <w:proofErr w:type="spellStart"/>
      <w:r w:rsidRPr="000B03F5">
        <w:rPr>
          <w:rFonts w:eastAsia="Calibri"/>
          <w:b/>
          <w:color w:val="000000"/>
          <w:lang w:val="en-US" w:eastAsia="en-US"/>
        </w:rPr>
        <w:t>Učesnici</w:t>
      </w:r>
      <w:proofErr w:type="spellEnd"/>
      <w:r w:rsidRPr="000B03F5">
        <w:rPr>
          <w:rFonts w:eastAsia="Calibri"/>
          <w:b/>
          <w:color w:val="000000"/>
          <w:lang w:val="en-US" w:eastAsia="en-US"/>
        </w:rPr>
        <w:t xml:space="preserve"> </w:t>
      </w:r>
      <w:proofErr w:type="spellStart"/>
      <w:proofErr w:type="gramStart"/>
      <w:r w:rsidRPr="000B03F5">
        <w:rPr>
          <w:rFonts w:eastAsia="Calibri"/>
          <w:b/>
          <w:color w:val="000000"/>
          <w:lang w:val="en-US" w:eastAsia="en-US"/>
        </w:rPr>
        <w:t>na</w:t>
      </w:r>
      <w:proofErr w:type="spellEnd"/>
      <w:proofErr w:type="gramEnd"/>
      <w:r w:rsidRPr="000B03F5">
        <w:rPr>
          <w:rFonts w:eastAsia="Calibri"/>
          <w:b/>
          <w:color w:val="000000"/>
          <w:lang w:val="en-US" w:eastAsia="en-US"/>
        </w:rPr>
        <w:t xml:space="preserve"> </w:t>
      </w:r>
      <w:proofErr w:type="spellStart"/>
      <w:r w:rsidRPr="000B03F5">
        <w:rPr>
          <w:rFonts w:eastAsia="Calibri"/>
          <w:b/>
          <w:color w:val="000000"/>
          <w:lang w:val="en-US" w:eastAsia="en-US"/>
        </w:rPr>
        <w:t>tržištu</w:t>
      </w:r>
      <w:proofErr w:type="spellEnd"/>
    </w:p>
    <w:p w:rsidR="00893964" w:rsidRPr="000B03F5" w:rsidRDefault="00893964" w:rsidP="00501421">
      <w:pPr>
        <w:autoSpaceDE w:val="0"/>
        <w:autoSpaceDN w:val="0"/>
        <w:adjustRightInd w:val="0"/>
        <w:spacing w:after="120"/>
        <w:ind w:left="-567"/>
        <w:jc w:val="both"/>
        <w:rPr>
          <w:rFonts w:eastAsia="FranklinGothic-Book"/>
          <w:color w:val="1A1A1A"/>
          <w:lang w:val="en-US" w:eastAsia="en-US"/>
        </w:rPr>
      </w:pPr>
      <w:proofErr w:type="spellStart"/>
      <w:r w:rsidRPr="000B03F5">
        <w:rPr>
          <w:lang w:val="es-ES"/>
        </w:rPr>
        <w:t>Stanje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na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tržištu</w:t>
      </w:r>
      <w:proofErr w:type="spellEnd"/>
      <w:r w:rsidRPr="000B03F5">
        <w:rPr>
          <w:lang w:val="es-ES"/>
        </w:rPr>
        <w:t xml:space="preserve"> u </w:t>
      </w:r>
      <w:proofErr w:type="spellStart"/>
      <w:r w:rsidRPr="000B03F5">
        <w:rPr>
          <w:lang w:val="es-ES"/>
        </w:rPr>
        <w:t>pogledu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broja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pružalaca</w:t>
      </w:r>
      <w:proofErr w:type="spellEnd"/>
      <w:r w:rsidRPr="000B03F5">
        <w:rPr>
          <w:lang w:val="es-ES"/>
        </w:rPr>
        <w:t xml:space="preserve">, </w:t>
      </w:r>
      <w:proofErr w:type="spellStart"/>
      <w:r w:rsidRPr="000B03F5">
        <w:rPr>
          <w:lang w:val="es-ES"/>
        </w:rPr>
        <w:t>vrste</w:t>
      </w:r>
      <w:proofErr w:type="spellEnd"/>
      <w:r w:rsidRPr="000B03F5">
        <w:rPr>
          <w:lang w:val="es-ES"/>
        </w:rPr>
        <w:t xml:space="preserve"> i tipa </w:t>
      </w:r>
      <w:proofErr w:type="spellStart"/>
      <w:r w:rsidRPr="000B03F5">
        <w:rPr>
          <w:lang w:val="es-ES"/>
        </w:rPr>
        <w:t>usluga</w:t>
      </w:r>
      <w:proofErr w:type="spellEnd"/>
      <w:r w:rsidRPr="000B03F5">
        <w:rPr>
          <w:lang w:val="es-ES"/>
        </w:rPr>
        <w:t xml:space="preserve"> u 2016. </w:t>
      </w:r>
      <w:proofErr w:type="spellStart"/>
      <w:proofErr w:type="gramStart"/>
      <w:r w:rsidRPr="000B03F5">
        <w:rPr>
          <w:lang w:val="es-ES"/>
        </w:rPr>
        <w:t>godini</w:t>
      </w:r>
      <w:proofErr w:type="spellEnd"/>
      <w:proofErr w:type="gramEnd"/>
      <w:r w:rsidRPr="000B03F5">
        <w:rPr>
          <w:lang w:val="es-ES"/>
        </w:rPr>
        <w:t xml:space="preserve">  </w:t>
      </w:r>
      <w:proofErr w:type="spellStart"/>
      <w:r w:rsidRPr="000B03F5">
        <w:rPr>
          <w:lang w:val="es-ES"/>
        </w:rPr>
        <w:t>ostalo</w:t>
      </w:r>
      <w:proofErr w:type="spellEnd"/>
      <w:r w:rsidRPr="000B03F5">
        <w:rPr>
          <w:lang w:val="es-ES"/>
        </w:rPr>
        <w:t xml:space="preserve"> je </w:t>
      </w:r>
      <w:proofErr w:type="spellStart"/>
      <w:r w:rsidRPr="000B03F5">
        <w:rPr>
          <w:lang w:val="es-ES"/>
        </w:rPr>
        <w:t>na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istom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nivo</w:t>
      </w:r>
      <w:proofErr w:type="spellEnd"/>
      <w:r w:rsidRPr="000B03F5">
        <w:t xml:space="preserve">. </w:t>
      </w:r>
      <w:r w:rsidRPr="000B03F5">
        <w:rPr>
          <w:lang w:val="es-ES"/>
        </w:rPr>
        <w:t>L</w:t>
      </w:r>
      <w:proofErr w:type="spellStart"/>
      <w:r w:rsidRPr="000B03F5">
        <w:rPr>
          <w:rFonts w:eastAsia="FranklinGothic-Book"/>
          <w:color w:val="1A1A1A"/>
          <w:lang w:val="en-US" w:eastAsia="en-US"/>
        </w:rPr>
        <w:t>izing</w:t>
      </w:r>
      <w:proofErr w:type="spellEnd"/>
      <w:r w:rsidRPr="000B03F5">
        <w:rPr>
          <w:rFonts w:eastAsia="FranklinGothic-Book"/>
          <w:color w:val="1A1A1A"/>
          <w:lang w:val="en-US" w:eastAsia="en-US"/>
        </w:rPr>
        <w:t xml:space="preserve"> </w:t>
      </w:r>
      <w:proofErr w:type="spellStart"/>
      <w:r w:rsidRPr="000B03F5">
        <w:rPr>
          <w:rFonts w:eastAsia="FranklinGothic-Book"/>
          <w:color w:val="1A1A1A"/>
          <w:lang w:val="en-US" w:eastAsia="en-US"/>
        </w:rPr>
        <w:t>uslugama</w:t>
      </w:r>
      <w:proofErr w:type="spellEnd"/>
      <w:r w:rsidRPr="000B03F5">
        <w:rPr>
          <w:rFonts w:eastAsia="FranklinGothic-Book"/>
          <w:color w:val="1A1A1A"/>
          <w:lang w:val="en-US" w:eastAsia="en-US"/>
        </w:rPr>
        <w:t xml:space="preserve"> u </w:t>
      </w:r>
      <w:proofErr w:type="spellStart"/>
      <w:r w:rsidRPr="000B03F5">
        <w:rPr>
          <w:rFonts w:eastAsia="FranklinGothic-Book"/>
          <w:color w:val="1A1A1A"/>
          <w:lang w:val="en-US" w:eastAsia="en-US"/>
        </w:rPr>
        <w:t>Crnoj</w:t>
      </w:r>
      <w:proofErr w:type="spellEnd"/>
      <w:r w:rsidRPr="000B03F5">
        <w:rPr>
          <w:rFonts w:eastAsia="FranklinGothic-Book"/>
          <w:color w:val="1A1A1A"/>
          <w:lang w:val="en-US" w:eastAsia="en-US"/>
        </w:rPr>
        <w:t xml:space="preserve"> </w:t>
      </w:r>
      <w:proofErr w:type="spellStart"/>
      <w:r w:rsidRPr="000B03F5">
        <w:rPr>
          <w:rFonts w:eastAsia="FranklinGothic-Book"/>
          <w:color w:val="1A1A1A"/>
          <w:lang w:val="en-US" w:eastAsia="en-US"/>
        </w:rPr>
        <w:t>Gori</w:t>
      </w:r>
      <w:proofErr w:type="spellEnd"/>
      <w:r w:rsidRPr="000B03F5">
        <w:rPr>
          <w:rFonts w:eastAsia="FranklinGothic-Book"/>
          <w:color w:val="1A1A1A"/>
          <w:lang w:val="en-US" w:eastAsia="en-US"/>
        </w:rPr>
        <w:t xml:space="preserve"> </w:t>
      </w:r>
      <w:proofErr w:type="spellStart"/>
      <w:r w:rsidRPr="000B03F5">
        <w:rPr>
          <w:rFonts w:eastAsia="FranklinGothic-Book"/>
          <w:color w:val="1A1A1A"/>
          <w:lang w:val="en-US" w:eastAsia="en-US"/>
        </w:rPr>
        <w:t>prethodne</w:t>
      </w:r>
      <w:proofErr w:type="spellEnd"/>
      <w:r w:rsidRPr="000B03F5">
        <w:rPr>
          <w:rFonts w:eastAsia="FranklinGothic-Book"/>
          <w:color w:val="1A1A1A"/>
          <w:lang w:val="en-US" w:eastAsia="en-US"/>
        </w:rPr>
        <w:t xml:space="preserve"> </w:t>
      </w:r>
      <w:proofErr w:type="spellStart"/>
      <w:r w:rsidRPr="000B03F5">
        <w:rPr>
          <w:rFonts w:eastAsia="FranklinGothic-Book"/>
          <w:color w:val="1A1A1A"/>
          <w:lang w:val="en-US" w:eastAsia="en-US"/>
        </w:rPr>
        <w:t>godine</w:t>
      </w:r>
      <w:proofErr w:type="spellEnd"/>
      <w:r w:rsidRPr="000B03F5">
        <w:rPr>
          <w:rFonts w:eastAsia="FranklinGothic-Book"/>
          <w:color w:val="1A1A1A"/>
          <w:lang w:val="en-US" w:eastAsia="en-US"/>
        </w:rPr>
        <w:t xml:space="preserve"> </w:t>
      </w:r>
      <w:proofErr w:type="spellStart"/>
      <w:r w:rsidRPr="000B03F5">
        <w:rPr>
          <w:rFonts w:eastAsia="FranklinGothic-Book"/>
          <w:color w:val="1A1A1A"/>
          <w:lang w:val="en-US" w:eastAsia="en-US"/>
        </w:rPr>
        <w:t>bavile</w:t>
      </w:r>
      <w:proofErr w:type="spellEnd"/>
      <w:r w:rsidRPr="000B03F5">
        <w:rPr>
          <w:rFonts w:eastAsia="FranklinGothic-Book"/>
          <w:color w:val="1A1A1A"/>
          <w:lang w:val="en-US" w:eastAsia="en-US"/>
        </w:rPr>
        <w:t xml:space="preserve"> </w:t>
      </w:r>
      <w:proofErr w:type="spellStart"/>
      <w:r w:rsidRPr="000B03F5">
        <w:rPr>
          <w:rFonts w:eastAsia="FranklinGothic-Book"/>
          <w:color w:val="1A1A1A"/>
          <w:lang w:val="en-US" w:eastAsia="en-US"/>
        </w:rPr>
        <w:t>su</w:t>
      </w:r>
      <w:proofErr w:type="spellEnd"/>
      <w:r w:rsidRPr="000B03F5">
        <w:rPr>
          <w:rFonts w:eastAsia="FranklinGothic-Book"/>
          <w:color w:val="1A1A1A"/>
          <w:lang w:val="en-US" w:eastAsia="en-US"/>
        </w:rPr>
        <w:t xml:space="preserve"> se </w:t>
      </w:r>
      <w:proofErr w:type="spellStart"/>
      <w:r w:rsidRPr="000B03F5">
        <w:rPr>
          <w:rFonts w:eastAsia="FranklinGothic-Book"/>
          <w:color w:val="1A1A1A"/>
          <w:lang w:val="en-US" w:eastAsia="en-US"/>
        </w:rPr>
        <w:t>četiri</w:t>
      </w:r>
      <w:proofErr w:type="spellEnd"/>
      <w:r w:rsidRPr="000B03F5">
        <w:rPr>
          <w:rFonts w:eastAsia="FranklinGothic-Book"/>
          <w:color w:val="1A1A1A"/>
          <w:lang w:val="en-US" w:eastAsia="en-US"/>
        </w:rPr>
        <w:t xml:space="preserve"> </w:t>
      </w:r>
      <w:proofErr w:type="spellStart"/>
      <w:r w:rsidRPr="000B03F5">
        <w:rPr>
          <w:rFonts w:eastAsia="FranklinGothic-Book"/>
          <w:color w:val="1A1A1A"/>
          <w:lang w:val="en-US" w:eastAsia="en-US"/>
        </w:rPr>
        <w:t>lizing</w:t>
      </w:r>
      <w:proofErr w:type="spellEnd"/>
      <w:r w:rsidRPr="000B03F5">
        <w:rPr>
          <w:rFonts w:eastAsia="FranklinGothic-Book"/>
          <w:color w:val="1A1A1A"/>
          <w:lang w:val="en-US" w:eastAsia="en-US"/>
        </w:rPr>
        <w:t xml:space="preserve"> </w:t>
      </w:r>
      <w:proofErr w:type="spellStart"/>
      <w:r w:rsidRPr="000B03F5">
        <w:rPr>
          <w:rFonts w:eastAsia="FranklinGothic-Book"/>
          <w:color w:val="1A1A1A"/>
          <w:lang w:val="en-US" w:eastAsia="en-US"/>
        </w:rPr>
        <w:t>kuće</w:t>
      </w:r>
      <w:proofErr w:type="spellEnd"/>
      <w:r w:rsidRPr="000B03F5">
        <w:rPr>
          <w:rFonts w:eastAsia="FranklinGothic-Book"/>
          <w:color w:val="1A1A1A"/>
          <w:lang w:val="en-US" w:eastAsia="en-US"/>
        </w:rPr>
        <w:t xml:space="preserve">, sa </w:t>
      </w:r>
      <w:proofErr w:type="spellStart"/>
      <w:r w:rsidRPr="000B03F5">
        <w:rPr>
          <w:rFonts w:eastAsia="FranklinGothic-Book"/>
          <w:color w:val="1A1A1A"/>
          <w:lang w:val="en-US" w:eastAsia="en-US"/>
        </w:rPr>
        <w:t>svojstvom</w:t>
      </w:r>
      <w:proofErr w:type="spellEnd"/>
      <w:r w:rsidRPr="000B03F5">
        <w:rPr>
          <w:rFonts w:eastAsia="FranklinGothic-Book"/>
          <w:color w:val="1A1A1A"/>
          <w:lang w:val="en-US" w:eastAsia="en-US"/>
        </w:rPr>
        <w:t xml:space="preserve"> </w:t>
      </w:r>
      <w:proofErr w:type="spellStart"/>
      <w:r w:rsidRPr="000B03F5">
        <w:rPr>
          <w:rFonts w:eastAsia="FranklinGothic-Book"/>
          <w:color w:val="1A1A1A"/>
          <w:lang w:val="en-US" w:eastAsia="en-US"/>
        </w:rPr>
        <w:t>pravnog</w:t>
      </w:r>
      <w:proofErr w:type="spellEnd"/>
      <w:r w:rsidRPr="000B03F5">
        <w:rPr>
          <w:rFonts w:eastAsia="FranklinGothic-Book"/>
          <w:color w:val="1A1A1A"/>
          <w:lang w:val="en-US" w:eastAsia="en-US"/>
        </w:rPr>
        <w:t xml:space="preserve"> </w:t>
      </w:r>
      <w:proofErr w:type="spellStart"/>
      <w:r w:rsidRPr="000B03F5">
        <w:rPr>
          <w:rFonts w:eastAsia="FranklinGothic-Book"/>
          <w:color w:val="1A1A1A"/>
          <w:lang w:val="en-US" w:eastAsia="en-US"/>
        </w:rPr>
        <w:t>lica</w:t>
      </w:r>
      <w:proofErr w:type="spellEnd"/>
      <w:r w:rsidRPr="000B03F5">
        <w:rPr>
          <w:rFonts w:eastAsia="FranklinGothic-Book"/>
          <w:color w:val="1A1A1A"/>
          <w:lang w:val="en-US" w:eastAsia="en-US"/>
        </w:rPr>
        <w:t xml:space="preserve"> i </w:t>
      </w:r>
      <w:proofErr w:type="spellStart"/>
      <w:r w:rsidRPr="000B03F5">
        <w:rPr>
          <w:rFonts w:eastAsia="FranklinGothic-Book"/>
          <w:color w:val="1A1A1A"/>
          <w:lang w:val="en-US" w:eastAsia="en-US"/>
        </w:rPr>
        <w:t>dvije</w:t>
      </w:r>
      <w:proofErr w:type="spellEnd"/>
      <w:r w:rsidRPr="000B03F5">
        <w:rPr>
          <w:rFonts w:eastAsia="FranklinGothic-Book"/>
          <w:color w:val="1A1A1A"/>
          <w:lang w:val="en-US" w:eastAsia="en-US"/>
        </w:rPr>
        <w:t xml:space="preserve"> </w:t>
      </w:r>
      <w:proofErr w:type="spellStart"/>
      <w:r w:rsidRPr="000B03F5">
        <w:rPr>
          <w:rFonts w:eastAsia="FranklinGothic-Book"/>
          <w:color w:val="1A1A1A"/>
          <w:lang w:val="en-US" w:eastAsia="en-US"/>
        </w:rPr>
        <w:t>banke</w:t>
      </w:r>
      <w:proofErr w:type="spellEnd"/>
      <w:r w:rsidRPr="000B03F5">
        <w:rPr>
          <w:rFonts w:eastAsia="FranklinGothic-Book"/>
          <w:color w:val="1A1A1A"/>
          <w:lang w:val="en-US" w:eastAsia="en-US"/>
        </w:rPr>
        <w:t>: Porsche Leasing, S-Leasing, NLB Leasing</w:t>
      </w:r>
      <w:r w:rsidR="008720ED" w:rsidRPr="000B03F5">
        <w:rPr>
          <w:rFonts w:eastAsia="FranklinGothic-Book"/>
          <w:color w:val="1A1A1A"/>
          <w:lang w:val="en-US" w:eastAsia="en-US"/>
        </w:rPr>
        <w:t>, HETA</w:t>
      </w:r>
      <w:r w:rsidRPr="000B03F5">
        <w:rPr>
          <w:rFonts w:eastAsia="FranklinGothic-Book"/>
          <w:color w:val="1A1A1A"/>
          <w:lang w:val="en-US" w:eastAsia="en-US"/>
        </w:rPr>
        <w:t xml:space="preserve"> i </w:t>
      </w:r>
      <w:proofErr w:type="spellStart"/>
      <w:r w:rsidR="00AE4406" w:rsidRPr="000B03F5">
        <w:rPr>
          <w:rFonts w:eastAsia="FranklinGothic-Book"/>
          <w:color w:val="1A1A1A"/>
          <w:lang w:val="en-US" w:eastAsia="en-US"/>
        </w:rPr>
        <w:t>Addiko</w:t>
      </w:r>
      <w:proofErr w:type="spellEnd"/>
      <w:r w:rsidR="00AE4406" w:rsidRPr="000B03F5">
        <w:rPr>
          <w:rFonts w:eastAsia="FranklinGothic-Book"/>
          <w:color w:val="1A1A1A"/>
          <w:lang w:val="en-US" w:eastAsia="en-US"/>
        </w:rPr>
        <w:t xml:space="preserve"> Banka</w:t>
      </w:r>
      <w:r w:rsidRPr="000B03F5">
        <w:rPr>
          <w:rFonts w:eastAsia="FranklinGothic-Book"/>
          <w:color w:val="1A1A1A"/>
          <w:lang w:val="en-US" w:eastAsia="en-US"/>
        </w:rPr>
        <w:t xml:space="preserve"> (</w:t>
      </w:r>
      <w:proofErr w:type="spellStart"/>
      <w:r w:rsidRPr="000B03F5">
        <w:rPr>
          <w:rFonts w:eastAsia="FranklinGothic-Book"/>
          <w:color w:val="1A1A1A"/>
          <w:lang w:val="en-US" w:eastAsia="en-US"/>
        </w:rPr>
        <w:t>ranije</w:t>
      </w:r>
      <w:proofErr w:type="spellEnd"/>
      <w:r w:rsidRPr="000B03F5">
        <w:rPr>
          <w:rFonts w:eastAsia="FranklinGothic-Book"/>
          <w:color w:val="1A1A1A"/>
          <w:lang w:val="en-US" w:eastAsia="en-US"/>
        </w:rPr>
        <w:t xml:space="preserve"> Hypo </w:t>
      </w:r>
      <w:proofErr w:type="spellStart"/>
      <w:r w:rsidRPr="000B03F5">
        <w:rPr>
          <w:rFonts w:eastAsia="FranklinGothic-Book"/>
          <w:color w:val="1A1A1A"/>
          <w:lang w:val="en-US" w:eastAsia="en-US"/>
        </w:rPr>
        <w:t>Alpe</w:t>
      </w:r>
      <w:proofErr w:type="spellEnd"/>
      <w:r w:rsidRPr="000B03F5">
        <w:rPr>
          <w:rFonts w:eastAsia="FranklinGothic-Book"/>
          <w:color w:val="1A1A1A"/>
          <w:lang w:val="en-US" w:eastAsia="en-US"/>
        </w:rPr>
        <w:t xml:space="preserve"> </w:t>
      </w:r>
      <w:proofErr w:type="spellStart"/>
      <w:r w:rsidRPr="000B03F5">
        <w:rPr>
          <w:rFonts w:eastAsia="FranklinGothic-Book"/>
          <w:color w:val="1A1A1A"/>
          <w:lang w:val="en-US" w:eastAsia="en-US"/>
        </w:rPr>
        <w:t>Adria</w:t>
      </w:r>
      <w:proofErr w:type="spellEnd"/>
      <w:r w:rsidRPr="000B03F5">
        <w:rPr>
          <w:rFonts w:eastAsia="FranklinGothic-Book"/>
          <w:color w:val="1A1A1A"/>
          <w:lang w:val="en-US" w:eastAsia="en-US"/>
        </w:rPr>
        <w:t xml:space="preserve"> </w:t>
      </w:r>
      <w:proofErr w:type="spellStart"/>
      <w:r w:rsidRPr="000B03F5">
        <w:rPr>
          <w:rFonts w:eastAsia="FranklinGothic-Book"/>
          <w:color w:val="1A1A1A"/>
          <w:lang w:val="en-US" w:eastAsia="en-US"/>
        </w:rPr>
        <w:t>banka</w:t>
      </w:r>
      <w:proofErr w:type="spellEnd"/>
      <w:r w:rsidRPr="000B03F5">
        <w:rPr>
          <w:rFonts w:eastAsia="FranklinGothic-Book"/>
          <w:color w:val="1A1A1A"/>
          <w:lang w:val="en-US" w:eastAsia="en-US"/>
        </w:rPr>
        <w:t>)</w:t>
      </w:r>
      <w:r w:rsidR="008720ED" w:rsidRPr="000B03F5">
        <w:rPr>
          <w:rFonts w:eastAsia="FranklinGothic-Book"/>
          <w:color w:val="1A1A1A"/>
          <w:lang w:val="en-US" w:eastAsia="en-US"/>
        </w:rPr>
        <w:t xml:space="preserve"> i </w:t>
      </w:r>
      <w:proofErr w:type="spellStart"/>
      <w:r w:rsidR="008720ED" w:rsidRPr="000B03F5">
        <w:rPr>
          <w:rFonts w:eastAsia="FranklinGothic-Book"/>
          <w:color w:val="1A1A1A"/>
          <w:lang w:val="en-US" w:eastAsia="en-US"/>
        </w:rPr>
        <w:t>Prva</w:t>
      </w:r>
      <w:proofErr w:type="spellEnd"/>
      <w:r w:rsidR="008720ED" w:rsidRPr="000B03F5">
        <w:rPr>
          <w:rFonts w:eastAsia="FranklinGothic-Book"/>
          <w:color w:val="1A1A1A"/>
          <w:lang w:val="en-US" w:eastAsia="en-US"/>
        </w:rPr>
        <w:t xml:space="preserve"> </w:t>
      </w:r>
      <w:proofErr w:type="spellStart"/>
      <w:r w:rsidR="008720ED" w:rsidRPr="000B03F5">
        <w:rPr>
          <w:rFonts w:eastAsia="FranklinGothic-Book"/>
          <w:color w:val="1A1A1A"/>
          <w:lang w:val="en-US" w:eastAsia="en-US"/>
        </w:rPr>
        <w:t>banka</w:t>
      </w:r>
      <w:proofErr w:type="spellEnd"/>
      <w:r w:rsidR="008720ED" w:rsidRPr="000B03F5">
        <w:rPr>
          <w:rFonts w:eastAsia="FranklinGothic-Book"/>
          <w:color w:val="1A1A1A"/>
          <w:lang w:val="en-US" w:eastAsia="en-US"/>
        </w:rPr>
        <w:t xml:space="preserve"> Crne Gore </w:t>
      </w:r>
      <w:proofErr w:type="spellStart"/>
      <w:r w:rsidR="008720ED" w:rsidRPr="000B03F5">
        <w:rPr>
          <w:rFonts w:eastAsia="FranklinGothic-Book"/>
          <w:color w:val="1A1A1A"/>
          <w:lang w:val="en-US" w:eastAsia="en-US"/>
        </w:rPr>
        <w:t>osnovana</w:t>
      </w:r>
      <w:proofErr w:type="spellEnd"/>
      <w:r w:rsidR="008720ED" w:rsidRPr="000B03F5">
        <w:rPr>
          <w:rFonts w:eastAsia="FranklinGothic-Book"/>
          <w:color w:val="1A1A1A"/>
          <w:lang w:val="en-US" w:eastAsia="en-US"/>
        </w:rPr>
        <w:t xml:space="preserve"> 1901. </w:t>
      </w:r>
      <w:proofErr w:type="spellStart"/>
      <w:proofErr w:type="gramStart"/>
      <w:r w:rsidR="008720ED" w:rsidRPr="000B03F5">
        <w:rPr>
          <w:rFonts w:eastAsia="FranklinGothic-Book"/>
          <w:color w:val="1A1A1A"/>
          <w:lang w:val="en-US" w:eastAsia="en-US"/>
        </w:rPr>
        <w:t>godine</w:t>
      </w:r>
      <w:proofErr w:type="spellEnd"/>
      <w:proofErr w:type="gramEnd"/>
      <w:r w:rsidRPr="000B03F5">
        <w:rPr>
          <w:rFonts w:eastAsia="FranklinGothic-Book"/>
          <w:color w:val="1A1A1A"/>
          <w:lang w:val="en-US" w:eastAsia="en-US"/>
        </w:rPr>
        <w:t>.</w:t>
      </w:r>
      <w:r w:rsidRPr="000B03F5">
        <w:rPr>
          <w:rFonts w:eastAsia="FranklinGothic-Book"/>
          <w:lang w:val="en-US"/>
        </w:rPr>
        <w:t xml:space="preserve"> </w:t>
      </w:r>
      <w:r w:rsidRPr="000B03F5">
        <w:rPr>
          <w:rFonts w:eastAsia="FranklinGothic-Book"/>
          <w:lang w:val="en-US" w:eastAsia="en-US"/>
        </w:rPr>
        <w:t>NLB Leasing</w:t>
      </w:r>
      <w:r w:rsidR="008720ED" w:rsidRPr="000B03F5">
        <w:rPr>
          <w:rFonts w:eastAsia="FranklinGothic-Book"/>
          <w:lang w:val="en-US" w:eastAsia="en-US"/>
        </w:rPr>
        <w:t>,</w:t>
      </w:r>
      <w:r w:rsidRPr="000B03F5">
        <w:rPr>
          <w:rFonts w:eastAsia="FranklinGothic-Book"/>
          <w:lang w:val="en-US" w:eastAsia="en-US"/>
        </w:rPr>
        <w:t xml:space="preserve"> </w:t>
      </w:r>
      <w:r w:rsidR="008720ED" w:rsidRPr="000B03F5">
        <w:rPr>
          <w:rFonts w:eastAsia="FranklinGothic-Book"/>
          <w:color w:val="1A1A1A"/>
          <w:lang w:val="en-US" w:eastAsia="en-US"/>
        </w:rPr>
        <w:t xml:space="preserve">HETA i </w:t>
      </w:r>
      <w:proofErr w:type="spellStart"/>
      <w:r w:rsidR="008720ED" w:rsidRPr="000B03F5">
        <w:rPr>
          <w:rFonts w:eastAsia="FranklinGothic-Book"/>
          <w:color w:val="1A1A1A"/>
          <w:lang w:val="en-US" w:eastAsia="en-US"/>
        </w:rPr>
        <w:t>Prva</w:t>
      </w:r>
      <w:proofErr w:type="spellEnd"/>
      <w:r w:rsidR="008720ED" w:rsidRPr="000B03F5">
        <w:rPr>
          <w:rFonts w:eastAsia="FranklinGothic-Book"/>
          <w:color w:val="1A1A1A"/>
          <w:lang w:val="en-US" w:eastAsia="en-US"/>
        </w:rPr>
        <w:t xml:space="preserve"> </w:t>
      </w:r>
      <w:proofErr w:type="spellStart"/>
      <w:proofErr w:type="gramStart"/>
      <w:r w:rsidR="008720ED" w:rsidRPr="000B03F5">
        <w:rPr>
          <w:rFonts w:eastAsia="FranklinGothic-Book"/>
          <w:color w:val="1A1A1A"/>
          <w:lang w:val="en-US" w:eastAsia="en-US"/>
        </w:rPr>
        <w:t>banka</w:t>
      </w:r>
      <w:proofErr w:type="spellEnd"/>
      <w:proofErr w:type="gramEnd"/>
      <w:r w:rsidR="008720ED" w:rsidRPr="000B03F5">
        <w:rPr>
          <w:rFonts w:eastAsia="FranklinGothic-Book"/>
          <w:color w:val="1A1A1A"/>
          <w:lang w:val="en-US" w:eastAsia="en-US"/>
        </w:rPr>
        <w:t xml:space="preserve"> Crne Gore </w:t>
      </w:r>
      <w:proofErr w:type="spellStart"/>
      <w:r w:rsidR="008720ED" w:rsidRPr="000B03F5">
        <w:rPr>
          <w:rFonts w:eastAsia="FranklinGothic-Book"/>
          <w:color w:val="1A1A1A"/>
          <w:lang w:val="en-US" w:eastAsia="en-US"/>
        </w:rPr>
        <w:t>osnovana</w:t>
      </w:r>
      <w:proofErr w:type="spellEnd"/>
      <w:r w:rsidR="008720ED" w:rsidRPr="000B03F5">
        <w:rPr>
          <w:rFonts w:eastAsia="FranklinGothic-Book"/>
          <w:color w:val="1A1A1A"/>
          <w:lang w:val="en-US" w:eastAsia="en-US"/>
        </w:rPr>
        <w:t xml:space="preserve"> 1901. </w:t>
      </w:r>
      <w:proofErr w:type="spellStart"/>
      <w:proofErr w:type="gramStart"/>
      <w:r w:rsidR="008720ED" w:rsidRPr="000B03F5">
        <w:rPr>
          <w:rFonts w:eastAsia="FranklinGothic-Book"/>
          <w:color w:val="1A1A1A"/>
          <w:lang w:val="en-US" w:eastAsia="en-US"/>
        </w:rPr>
        <w:t>godine</w:t>
      </w:r>
      <w:proofErr w:type="spellEnd"/>
      <w:proofErr w:type="gramEnd"/>
      <w:r w:rsidR="008720ED" w:rsidRPr="000B03F5">
        <w:rPr>
          <w:rStyle w:val="FootnoteReference"/>
          <w:rFonts w:eastAsia="FranklinGothic-Book"/>
          <w:color w:val="1A1A1A"/>
          <w:lang w:val="en-US" w:eastAsia="en-US"/>
        </w:rPr>
        <w:footnoteReference w:id="1"/>
      </w:r>
      <w:r w:rsidR="008720ED" w:rsidRPr="000B03F5">
        <w:rPr>
          <w:rFonts w:eastAsia="FranklinGothic-Book"/>
          <w:color w:val="1A1A1A"/>
          <w:lang w:val="en-US" w:eastAsia="en-US"/>
        </w:rPr>
        <w:t xml:space="preserve"> </w:t>
      </w:r>
      <w:proofErr w:type="spellStart"/>
      <w:r w:rsidRPr="000B03F5">
        <w:rPr>
          <w:rFonts w:eastAsia="Calibri"/>
          <w:lang w:val="en-US"/>
        </w:rPr>
        <w:t>nisu</w:t>
      </w:r>
      <w:proofErr w:type="spellEnd"/>
      <w:r w:rsidRPr="000B03F5">
        <w:rPr>
          <w:rFonts w:eastAsia="Calibri"/>
          <w:lang w:val="en-US"/>
        </w:rPr>
        <w:t xml:space="preserve"> </w:t>
      </w:r>
      <w:proofErr w:type="spellStart"/>
      <w:r w:rsidRPr="000B03F5">
        <w:rPr>
          <w:rFonts w:eastAsia="Calibri"/>
          <w:lang w:val="en-US"/>
        </w:rPr>
        <w:t>bili</w:t>
      </w:r>
      <w:proofErr w:type="spellEnd"/>
      <w:r w:rsidRPr="000B03F5">
        <w:rPr>
          <w:rFonts w:eastAsia="Calibri"/>
          <w:lang w:val="en-US"/>
        </w:rPr>
        <w:t xml:space="preserve"> </w:t>
      </w:r>
      <w:proofErr w:type="spellStart"/>
      <w:r w:rsidRPr="000B03F5">
        <w:rPr>
          <w:rFonts w:eastAsia="Calibri"/>
          <w:lang w:val="en-US"/>
        </w:rPr>
        <w:t>aktivni</w:t>
      </w:r>
      <w:proofErr w:type="spellEnd"/>
      <w:r w:rsidRPr="000B03F5">
        <w:rPr>
          <w:rFonts w:eastAsia="Calibri"/>
          <w:lang w:val="en-US"/>
        </w:rPr>
        <w:t xml:space="preserve"> </w:t>
      </w:r>
      <w:proofErr w:type="spellStart"/>
      <w:r w:rsidRPr="000B03F5">
        <w:rPr>
          <w:rFonts w:eastAsia="Calibri"/>
          <w:lang w:val="en-US"/>
        </w:rPr>
        <w:t>na</w:t>
      </w:r>
      <w:proofErr w:type="spellEnd"/>
      <w:r w:rsidRPr="000B03F5">
        <w:rPr>
          <w:rFonts w:eastAsia="Calibri"/>
          <w:lang w:val="en-US"/>
        </w:rPr>
        <w:t xml:space="preserve"> </w:t>
      </w:r>
      <w:proofErr w:type="spellStart"/>
      <w:r w:rsidRPr="000B03F5">
        <w:rPr>
          <w:rFonts w:eastAsia="Calibri"/>
          <w:lang w:val="en-US"/>
        </w:rPr>
        <w:t>tržištu</w:t>
      </w:r>
      <w:proofErr w:type="spellEnd"/>
      <w:r w:rsidRPr="000B03F5">
        <w:rPr>
          <w:rFonts w:eastAsia="Calibri"/>
          <w:lang w:val="en-US"/>
        </w:rPr>
        <w:t xml:space="preserve"> </w:t>
      </w:r>
      <w:proofErr w:type="spellStart"/>
      <w:r w:rsidRPr="000B03F5">
        <w:rPr>
          <w:rFonts w:eastAsia="Calibri"/>
          <w:lang w:val="en-US"/>
        </w:rPr>
        <w:t>lizinga</w:t>
      </w:r>
      <w:proofErr w:type="spellEnd"/>
      <w:r w:rsidRPr="000B03F5">
        <w:rPr>
          <w:rFonts w:eastAsia="Calibri"/>
          <w:lang w:val="en-US"/>
        </w:rPr>
        <w:t xml:space="preserve"> u </w:t>
      </w:r>
      <w:proofErr w:type="spellStart"/>
      <w:r w:rsidRPr="000B03F5">
        <w:rPr>
          <w:rFonts w:eastAsia="Calibri"/>
          <w:lang w:val="en-US"/>
        </w:rPr>
        <w:t>smislu</w:t>
      </w:r>
      <w:proofErr w:type="spellEnd"/>
      <w:r w:rsidRPr="000B03F5">
        <w:rPr>
          <w:rFonts w:eastAsia="Calibri"/>
          <w:lang w:val="en-US"/>
        </w:rPr>
        <w:t xml:space="preserve"> </w:t>
      </w:r>
      <w:proofErr w:type="spellStart"/>
      <w:r w:rsidRPr="000B03F5">
        <w:rPr>
          <w:rFonts w:eastAsia="Calibri"/>
          <w:lang w:val="en-US"/>
        </w:rPr>
        <w:t>odobravanja</w:t>
      </w:r>
      <w:proofErr w:type="spellEnd"/>
      <w:r w:rsidRPr="000B03F5">
        <w:rPr>
          <w:rFonts w:eastAsia="Calibri"/>
          <w:lang w:val="en-US"/>
        </w:rPr>
        <w:t xml:space="preserve"> </w:t>
      </w:r>
      <w:proofErr w:type="spellStart"/>
      <w:r w:rsidRPr="000B03F5">
        <w:rPr>
          <w:rFonts w:eastAsia="Calibri"/>
          <w:lang w:val="en-US"/>
        </w:rPr>
        <w:t>novih</w:t>
      </w:r>
      <w:proofErr w:type="spellEnd"/>
      <w:r w:rsidRPr="000B03F5">
        <w:rPr>
          <w:rFonts w:eastAsia="Calibri"/>
          <w:lang w:val="en-US"/>
        </w:rPr>
        <w:t xml:space="preserve"> </w:t>
      </w:r>
      <w:proofErr w:type="spellStart"/>
      <w:r w:rsidRPr="000B03F5">
        <w:rPr>
          <w:rFonts w:eastAsia="Calibri"/>
          <w:lang w:val="en-US"/>
        </w:rPr>
        <w:t>plasmana</w:t>
      </w:r>
      <w:proofErr w:type="spellEnd"/>
      <w:r w:rsidRPr="000B03F5">
        <w:rPr>
          <w:rFonts w:eastAsia="Calibri"/>
          <w:lang w:val="en-US" w:eastAsia="en-US"/>
        </w:rPr>
        <w:t xml:space="preserve">, </w:t>
      </w:r>
      <w:proofErr w:type="spellStart"/>
      <w:r w:rsidRPr="000B03F5">
        <w:rPr>
          <w:rFonts w:eastAsia="Calibri"/>
          <w:lang w:val="en-US" w:eastAsia="en-US"/>
        </w:rPr>
        <w:t>već</w:t>
      </w:r>
      <w:proofErr w:type="spellEnd"/>
      <w:r w:rsidRPr="000B03F5">
        <w:rPr>
          <w:rFonts w:eastAsia="Calibri"/>
          <w:lang w:val="en-US" w:eastAsia="en-US"/>
        </w:rPr>
        <w:t xml:space="preserve"> </w:t>
      </w:r>
      <w:proofErr w:type="spellStart"/>
      <w:r w:rsidRPr="000B03F5">
        <w:rPr>
          <w:rFonts w:eastAsia="Calibri"/>
          <w:lang w:val="en-US" w:eastAsia="en-US"/>
        </w:rPr>
        <w:t>su</w:t>
      </w:r>
      <w:proofErr w:type="spellEnd"/>
      <w:r w:rsidRPr="000B03F5">
        <w:rPr>
          <w:rFonts w:eastAsia="Calibri"/>
          <w:lang w:val="en-US" w:eastAsia="en-US"/>
        </w:rPr>
        <w:t xml:space="preserve"> </w:t>
      </w:r>
      <w:proofErr w:type="spellStart"/>
      <w:r w:rsidRPr="000B03F5">
        <w:rPr>
          <w:rFonts w:eastAsia="Calibri"/>
          <w:lang w:val="en-US" w:eastAsia="en-US"/>
        </w:rPr>
        <w:t>vršili</w:t>
      </w:r>
      <w:proofErr w:type="spellEnd"/>
      <w:r w:rsidRPr="000B03F5">
        <w:rPr>
          <w:rFonts w:eastAsia="Calibri"/>
          <w:lang w:val="en-US" w:eastAsia="en-US"/>
        </w:rPr>
        <w:t xml:space="preserve"> </w:t>
      </w:r>
      <w:proofErr w:type="spellStart"/>
      <w:r w:rsidRPr="000B03F5">
        <w:rPr>
          <w:rFonts w:eastAsia="Calibri"/>
          <w:lang w:val="en-US" w:eastAsia="en-US"/>
        </w:rPr>
        <w:t>samo</w:t>
      </w:r>
      <w:proofErr w:type="spellEnd"/>
      <w:r w:rsidRPr="000B03F5">
        <w:rPr>
          <w:rFonts w:eastAsia="Calibri"/>
          <w:lang w:val="en-US" w:eastAsia="en-US"/>
        </w:rPr>
        <w:t xml:space="preserve"> naplatu </w:t>
      </w:r>
      <w:proofErr w:type="spellStart"/>
      <w:r w:rsidRPr="000B03F5">
        <w:rPr>
          <w:rFonts w:eastAsia="Calibri"/>
          <w:lang w:val="en-US" w:eastAsia="en-US"/>
        </w:rPr>
        <w:t>potraživanja</w:t>
      </w:r>
      <w:proofErr w:type="spellEnd"/>
      <w:r w:rsidRPr="000B03F5">
        <w:rPr>
          <w:rFonts w:eastAsia="Calibri"/>
          <w:lang w:val="en-US" w:eastAsia="en-US"/>
        </w:rPr>
        <w:t xml:space="preserve"> </w:t>
      </w:r>
      <w:proofErr w:type="spellStart"/>
      <w:r w:rsidRPr="000B03F5">
        <w:rPr>
          <w:rFonts w:eastAsia="Calibri"/>
          <w:lang w:val="en-US" w:eastAsia="en-US"/>
        </w:rPr>
        <w:t>po</w:t>
      </w:r>
      <w:proofErr w:type="spellEnd"/>
      <w:r w:rsidRPr="000B03F5">
        <w:rPr>
          <w:rFonts w:eastAsia="Calibri"/>
          <w:lang w:val="en-US" w:eastAsia="en-US"/>
        </w:rPr>
        <w:t xml:space="preserve"> </w:t>
      </w:r>
      <w:proofErr w:type="spellStart"/>
      <w:r w:rsidRPr="000B03F5">
        <w:rPr>
          <w:rFonts w:eastAsia="Calibri"/>
          <w:lang w:val="en-US" w:eastAsia="en-US"/>
        </w:rPr>
        <w:t>osnovu</w:t>
      </w:r>
      <w:proofErr w:type="spellEnd"/>
      <w:r w:rsidRPr="000B03F5">
        <w:rPr>
          <w:rFonts w:eastAsia="Calibri"/>
          <w:lang w:val="en-US" w:eastAsia="en-US"/>
        </w:rPr>
        <w:t xml:space="preserve"> </w:t>
      </w:r>
      <w:proofErr w:type="spellStart"/>
      <w:r w:rsidRPr="000B03F5">
        <w:rPr>
          <w:rFonts w:eastAsia="Calibri"/>
          <w:lang w:val="en-US" w:eastAsia="en-US"/>
        </w:rPr>
        <w:t>ranije</w:t>
      </w:r>
      <w:proofErr w:type="spellEnd"/>
      <w:r w:rsidRPr="000B03F5">
        <w:rPr>
          <w:rFonts w:eastAsia="Calibri"/>
          <w:lang w:val="en-US" w:eastAsia="en-US"/>
        </w:rPr>
        <w:t xml:space="preserve"> </w:t>
      </w:r>
      <w:proofErr w:type="spellStart"/>
      <w:r w:rsidRPr="000B03F5">
        <w:rPr>
          <w:rFonts w:eastAsia="Calibri"/>
          <w:lang w:val="en-US" w:eastAsia="en-US"/>
        </w:rPr>
        <w:t>zaključenih</w:t>
      </w:r>
      <w:proofErr w:type="spellEnd"/>
      <w:r w:rsidRPr="000B03F5">
        <w:rPr>
          <w:rFonts w:eastAsia="Calibri"/>
          <w:lang w:val="en-US" w:eastAsia="en-US"/>
        </w:rPr>
        <w:t xml:space="preserve"> </w:t>
      </w:r>
      <w:proofErr w:type="spellStart"/>
      <w:r w:rsidRPr="000B03F5">
        <w:rPr>
          <w:rFonts w:eastAsia="Calibri"/>
          <w:lang w:val="en-US" w:eastAsia="en-US"/>
        </w:rPr>
        <w:t>ugovora</w:t>
      </w:r>
      <w:proofErr w:type="spellEnd"/>
      <w:r w:rsidRPr="000B03F5">
        <w:rPr>
          <w:rFonts w:eastAsia="FranklinGothic-Book"/>
          <w:color w:val="1A1A1A"/>
          <w:lang w:val="en-US" w:eastAsia="en-US"/>
        </w:rPr>
        <w:t>.</w:t>
      </w:r>
    </w:p>
    <w:p w:rsidR="00893964" w:rsidRPr="000B03F5" w:rsidRDefault="00893964" w:rsidP="00501421">
      <w:pPr>
        <w:spacing w:after="120"/>
        <w:ind w:left="-567"/>
        <w:jc w:val="both"/>
      </w:pPr>
      <w:r w:rsidRPr="000B03F5">
        <w:t>Usluge i finansijskog i operativnog lizinga pružaju Addiko banka, S-leasing, NLB leasing i Porsche leasing. Sve lizing kompanije direktno ili indirektno su u stranom vlasništvu, osim Prve banke Crne Gore koja je u dominatnom domaćem vlasništvu.</w:t>
      </w:r>
    </w:p>
    <w:p w:rsidR="00893964" w:rsidRPr="000B03F5" w:rsidRDefault="00893964" w:rsidP="00501421">
      <w:pPr>
        <w:spacing w:after="120"/>
        <w:jc w:val="both"/>
        <w:rPr>
          <w:rFonts w:eastAsia="FranklinGothic-Book"/>
          <w:lang w:val="en-US"/>
        </w:rPr>
      </w:pPr>
    </w:p>
    <w:p w:rsidR="00893964" w:rsidRPr="000B03F5" w:rsidRDefault="00893964" w:rsidP="00501421">
      <w:pPr>
        <w:spacing w:after="120"/>
        <w:ind w:left="-567"/>
        <w:jc w:val="both"/>
        <w:rPr>
          <w:rFonts w:eastAsia="FranklinGothic-Book"/>
          <w:i/>
          <w:lang w:val="en-US"/>
        </w:rPr>
      </w:pPr>
      <w:proofErr w:type="spellStart"/>
      <w:r w:rsidRPr="000B03F5">
        <w:rPr>
          <w:b/>
          <w:i/>
          <w:lang w:val="es-ES"/>
        </w:rPr>
        <w:t>Tabela</w:t>
      </w:r>
      <w:proofErr w:type="spellEnd"/>
      <w:r w:rsidRPr="000B03F5">
        <w:rPr>
          <w:b/>
          <w:i/>
          <w:lang w:val="es-ES"/>
        </w:rPr>
        <w:t xml:space="preserve"> 1:</w:t>
      </w:r>
      <w:r w:rsidRPr="000B03F5">
        <w:rPr>
          <w:i/>
          <w:lang w:val="es-ES"/>
        </w:rPr>
        <w:t xml:space="preserve"> </w:t>
      </w:r>
      <w:proofErr w:type="spellStart"/>
      <w:r w:rsidRPr="000B03F5">
        <w:rPr>
          <w:i/>
          <w:lang w:val="es-ES"/>
        </w:rPr>
        <w:t>Pregled</w:t>
      </w:r>
      <w:proofErr w:type="spellEnd"/>
      <w:r w:rsidRPr="000B03F5">
        <w:rPr>
          <w:i/>
          <w:lang w:val="es-ES"/>
        </w:rPr>
        <w:t xml:space="preserve"> </w:t>
      </w:r>
      <w:proofErr w:type="spellStart"/>
      <w:r w:rsidRPr="000B03F5">
        <w:rPr>
          <w:i/>
          <w:lang w:val="es-ES"/>
        </w:rPr>
        <w:t>stanja</w:t>
      </w:r>
      <w:proofErr w:type="spellEnd"/>
      <w:r w:rsidRPr="000B03F5">
        <w:rPr>
          <w:i/>
          <w:lang w:val="es-ES"/>
        </w:rPr>
        <w:t xml:space="preserve"> </w:t>
      </w:r>
      <w:proofErr w:type="spellStart"/>
      <w:r w:rsidRPr="000B03F5">
        <w:rPr>
          <w:i/>
          <w:lang w:val="es-ES"/>
        </w:rPr>
        <w:t>djelatnosti</w:t>
      </w:r>
      <w:proofErr w:type="spellEnd"/>
      <w:r w:rsidRPr="000B03F5">
        <w:rPr>
          <w:i/>
          <w:lang w:val="es-ES"/>
        </w:rPr>
        <w:t xml:space="preserve"> </w:t>
      </w:r>
      <w:proofErr w:type="spellStart"/>
      <w:r w:rsidRPr="000B03F5">
        <w:rPr>
          <w:i/>
          <w:lang w:val="es-ES"/>
        </w:rPr>
        <w:t>lizinga</w:t>
      </w:r>
      <w:proofErr w:type="spellEnd"/>
      <w:r w:rsidRPr="000B03F5">
        <w:rPr>
          <w:i/>
          <w:lang w:val="es-ES"/>
        </w:rPr>
        <w:t xml:space="preserve"> u </w:t>
      </w:r>
      <w:proofErr w:type="spellStart"/>
      <w:r w:rsidRPr="000B03F5">
        <w:rPr>
          <w:i/>
          <w:lang w:val="es-ES"/>
        </w:rPr>
        <w:t>periodu</w:t>
      </w:r>
      <w:proofErr w:type="spellEnd"/>
      <w:r w:rsidRPr="000B03F5">
        <w:rPr>
          <w:i/>
          <w:lang w:val="es-ES"/>
        </w:rPr>
        <w:t xml:space="preserve"> 31.12.2014. – 31.12.2016. </w:t>
      </w:r>
      <w:proofErr w:type="spellStart"/>
      <w:proofErr w:type="gramStart"/>
      <w:r w:rsidRPr="000B03F5">
        <w:rPr>
          <w:i/>
          <w:lang w:val="es-ES"/>
        </w:rPr>
        <w:t>godine</w:t>
      </w:r>
      <w:proofErr w:type="spellEnd"/>
      <w:proofErr w:type="gramEnd"/>
    </w:p>
    <w:tbl>
      <w:tblPr>
        <w:tblW w:w="0" w:type="auto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5"/>
        <w:gridCol w:w="1535"/>
        <w:gridCol w:w="1535"/>
        <w:gridCol w:w="1535"/>
        <w:gridCol w:w="1535"/>
        <w:gridCol w:w="1536"/>
      </w:tblGrid>
      <w:tr w:rsidR="00893964" w:rsidRPr="000B03F5" w:rsidTr="00AE4406"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  <w:shd w:val="clear" w:color="auto" w:fill="92CDDC"/>
            <w:vAlign w:val="center"/>
          </w:tcPr>
          <w:p w:rsidR="00893964" w:rsidRPr="000B03F5" w:rsidRDefault="00893964" w:rsidP="00501421">
            <w:pPr>
              <w:ind w:left="-142"/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0B03F5">
              <w:rPr>
                <w:b/>
                <w:sz w:val="20"/>
                <w:szCs w:val="20"/>
                <w:lang w:val="es-ES"/>
              </w:rPr>
              <w:t>Datum</w:t>
            </w:r>
            <w:proofErr w:type="spellEnd"/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  <w:shd w:val="clear" w:color="auto" w:fill="92CDDC"/>
            <w:vAlign w:val="center"/>
          </w:tcPr>
          <w:p w:rsidR="00893964" w:rsidRPr="000B03F5" w:rsidRDefault="00893964" w:rsidP="00501421">
            <w:pPr>
              <w:ind w:left="-142"/>
              <w:jc w:val="center"/>
              <w:rPr>
                <w:b/>
                <w:sz w:val="20"/>
                <w:szCs w:val="20"/>
              </w:rPr>
            </w:pPr>
            <w:proofErr w:type="spellStart"/>
            <w:r w:rsidRPr="000B03F5">
              <w:rPr>
                <w:b/>
                <w:sz w:val="20"/>
                <w:szCs w:val="20"/>
                <w:lang w:val="es-ES"/>
              </w:rPr>
              <w:t>Broj</w:t>
            </w:r>
            <w:proofErr w:type="spellEnd"/>
            <w:r w:rsidRPr="000B03F5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B03F5">
              <w:rPr>
                <w:b/>
                <w:sz w:val="20"/>
                <w:szCs w:val="20"/>
                <w:lang w:val="es-ES"/>
              </w:rPr>
              <w:t>pru</w:t>
            </w:r>
            <w:proofErr w:type="spellEnd"/>
            <w:r w:rsidRPr="000B03F5">
              <w:rPr>
                <w:b/>
                <w:sz w:val="20"/>
                <w:szCs w:val="20"/>
              </w:rPr>
              <w:t>žalaca lizinga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  <w:shd w:val="clear" w:color="auto" w:fill="92CDDC"/>
            <w:vAlign w:val="center"/>
          </w:tcPr>
          <w:p w:rsidR="00893964" w:rsidRPr="000B03F5" w:rsidRDefault="00893964" w:rsidP="00501421">
            <w:pPr>
              <w:ind w:left="-142"/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0B03F5">
              <w:rPr>
                <w:b/>
                <w:sz w:val="20"/>
                <w:szCs w:val="20"/>
                <w:lang w:val="es-ES"/>
              </w:rPr>
              <w:t>Ukupna</w:t>
            </w:r>
            <w:proofErr w:type="spellEnd"/>
            <w:r w:rsidRPr="000B03F5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B03F5">
              <w:rPr>
                <w:b/>
                <w:sz w:val="20"/>
                <w:szCs w:val="20"/>
                <w:lang w:val="es-ES"/>
              </w:rPr>
              <w:t>aktiva</w:t>
            </w:r>
            <w:proofErr w:type="spellEnd"/>
            <w:r w:rsidRPr="000B03F5">
              <w:rPr>
                <w:rStyle w:val="FootnoteReference"/>
                <w:b/>
                <w:sz w:val="20"/>
                <w:szCs w:val="20"/>
                <w:lang w:val="es-ES"/>
              </w:rPr>
              <w:footnoteReference w:id="2"/>
            </w:r>
            <w:r w:rsidRPr="000B03F5">
              <w:rPr>
                <w:b/>
                <w:sz w:val="20"/>
                <w:szCs w:val="20"/>
                <w:lang w:val="es-ES"/>
              </w:rPr>
              <w:t xml:space="preserve"> (mil €)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  <w:shd w:val="clear" w:color="auto" w:fill="92CDDC"/>
            <w:vAlign w:val="center"/>
          </w:tcPr>
          <w:p w:rsidR="00893964" w:rsidRPr="000B03F5" w:rsidRDefault="00893964" w:rsidP="00501421">
            <w:pPr>
              <w:ind w:left="-142"/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0B03F5">
              <w:rPr>
                <w:b/>
                <w:sz w:val="20"/>
                <w:szCs w:val="20"/>
                <w:lang w:val="es-ES"/>
              </w:rPr>
              <w:t>Broj</w:t>
            </w:r>
            <w:proofErr w:type="spellEnd"/>
            <w:r w:rsidRPr="000B03F5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B03F5">
              <w:rPr>
                <w:b/>
                <w:sz w:val="20"/>
                <w:szCs w:val="20"/>
                <w:lang w:val="es-ES"/>
              </w:rPr>
              <w:t>zaposlenih</w:t>
            </w:r>
            <w:proofErr w:type="spellEnd"/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  <w:shd w:val="clear" w:color="auto" w:fill="92CDDC"/>
            <w:vAlign w:val="center"/>
          </w:tcPr>
          <w:p w:rsidR="00893964" w:rsidRPr="000B03F5" w:rsidRDefault="00893964" w:rsidP="00501421">
            <w:pPr>
              <w:ind w:left="-142"/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0B03F5">
              <w:rPr>
                <w:b/>
                <w:sz w:val="20"/>
                <w:szCs w:val="20"/>
                <w:lang w:val="es-ES"/>
              </w:rPr>
              <w:t>Broj</w:t>
            </w:r>
            <w:proofErr w:type="spellEnd"/>
            <w:r w:rsidRPr="000B03F5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B03F5">
              <w:rPr>
                <w:b/>
                <w:sz w:val="20"/>
                <w:szCs w:val="20"/>
                <w:lang w:val="es-ES"/>
              </w:rPr>
              <w:t>zaključenih</w:t>
            </w:r>
            <w:proofErr w:type="spellEnd"/>
            <w:r w:rsidRPr="000B03F5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B03F5">
              <w:rPr>
                <w:b/>
                <w:sz w:val="20"/>
                <w:szCs w:val="20"/>
                <w:lang w:val="es-ES"/>
              </w:rPr>
              <w:t>ugovora</w:t>
            </w:r>
            <w:proofErr w:type="spellEnd"/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92CDDC"/>
            <w:vAlign w:val="center"/>
          </w:tcPr>
          <w:p w:rsidR="00893964" w:rsidRPr="000B03F5" w:rsidRDefault="00893964" w:rsidP="00501421">
            <w:pPr>
              <w:ind w:left="-142"/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0B03F5">
              <w:rPr>
                <w:b/>
                <w:sz w:val="20"/>
                <w:szCs w:val="20"/>
                <w:lang w:val="es-ES"/>
              </w:rPr>
              <w:t>Vrijednost</w:t>
            </w:r>
            <w:proofErr w:type="spellEnd"/>
            <w:r w:rsidRPr="000B03F5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B03F5">
              <w:rPr>
                <w:b/>
                <w:sz w:val="20"/>
                <w:szCs w:val="20"/>
                <w:lang w:val="es-ES"/>
              </w:rPr>
              <w:t>zaključenih</w:t>
            </w:r>
            <w:proofErr w:type="spellEnd"/>
            <w:r w:rsidRPr="000B03F5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B03F5">
              <w:rPr>
                <w:b/>
                <w:sz w:val="20"/>
                <w:szCs w:val="20"/>
                <w:lang w:val="es-ES"/>
              </w:rPr>
              <w:t>ugovora</w:t>
            </w:r>
            <w:proofErr w:type="spellEnd"/>
            <w:r w:rsidRPr="000B03F5">
              <w:rPr>
                <w:b/>
                <w:sz w:val="20"/>
                <w:szCs w:val="20"/>
                <w:lang w:val="es-ES"/>
              </w:rPr>
              <w:t xml:space="preserve"> (mil €)</w:t>
            </w:r>
          </w:p>
        </w:tc>
      </w:tr>
      <w:tr w:rsidR="00893964" w:rsidRPr="000B03F5" w:rsidTr="00AE4406">
        <w:trPr>
          <w:trHeight w:val="288"/>
        </w:trPr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CDDC"/>
            <w:vAlign w:val="center"/>
          </w:tcPr>
          <w:p w:rsidR="00893964" w:rsidRPr="000B03F5" w:rsidRDefault="00893964" w:rsidP="00501421">
            <w:pPr>
              <w:rPr>
                <w:sz w:val="20"/>
                <w:szCs w:val="20"/>
                <w:lang w:val="es-ES"/>
              </w:rPr>
            </w:pPr>
            <w:r w:rsidRPr="000B03F5">
              <w:rPr>
                <w:sz w:val="20"/>
                <w:szCs w:val="20"/>
                <w:lang w:val="es-ES"/>
              </w:rPr>
              <w:t>31.12.2014.</w:t>
            </w:r>
          </w:p>
        </w:tc>
        <w:tc>
          <w:tcPr>
            <w:tcW w:w="1535" w:type="dxa"/>
            <w:tcBorders>
              <w:left w:val="double" w:sz="4" w:space="0" w:color="auto"/>
            </w:tcBorders>
            <w:vAlign w:val="center"/>
          </w:tcPr>
          <w:p w:rsidR="00893964" w:rsidRPr="000B03F5" w:rsidRDefault="00893964" w:rsidP="00501421">
            <w:pPr>
              <w:jc w:val="center"/>
              <w:rPr>
                <w:sz w:val="20"/>
                <w:szCs w:val="20"/>
                <w:lang w:val="es-ES"/>
              </w:rPr>
            </w:pPr>
            <w:r w:rsidRPr="000B03F5">
              <w:rPr>
                <w:sz w:val="20"/>
                <w:szCs w:val="20"/>
                <w:lang w:val="es-ES"/>
              </w:rPr>
              <w:t>4</w:t>
            </w:r>
          </w:p>
        </w:tc>
        <w:tc>
          <w:tcPr>
            <w:tcW w:w="1535" w:type="dxa"/>
            <w:vAlign w:val="center"/>
          </w:tcPr>
          <w:p w:rsidR="00893964" w:rsidRPr="000B03F5" w:rsidRDefault="00893964" w:rsidP="00501421">
            <w:pPr>
              <w:jc w:val="center"/>
              <w:rPr>
                <w:bCs/>
                <w:sz w:val="20"/>
                <w:szCs w:val="20"/>
              </w:rPr>
            </w:pPr>
            <w:r w:rsidRPr="000B03F5">
              <w:rPr>
                <w:bCs/>
                <w:sz w:val="20"/>
                <w:szCs w:val="20"/>
              </w:rPr>
              <w:t>88,2</w:t>
            </w:r>
          </w:p>
        </w:tc>
        <w:tc>
          <w:tcPr>
            <w:tcW w:w="1535" w:type="dxa"/>
            <w:vAlign w:val="center"/>
          </w:tcPr>
          <w:p w:rsidR="00893964" w:rsidRPr="000B03F5" w:rsidRDefault="00893964" w:rsidP="00501421">
            <w:pPr>
              <w:ind w:left="-142"/>
              <w:jc w:val="center"/>
              <w:rPr>
                <w:sz w:val="20"/>
                <w:szCs w:val="20"/>
                <w:lang w:val="es-ES"/>
              </w:rPr>
            </w:pPr>
            <w:r w:rsidRPr="000B03F5">
              <w:rPr>
                <w:sz w:val="20"/>
                <w:szCs w:val="20"/>
                <w:lang w:val="es-ES"/>
              </w:rPr>
              <w:t>47</w:t>
            </w:r>
          </w:p>
        </w:tc>
        <w:tc>
          <w:tcPr>
            <w:tcW w:w="1535" w:type="dxa"/>
            <w:vAlign w:val="center"/>
          </w:tcPr>
          <w:p w:rsidR="00893964" w:rsidRPr="000B03F5" w:rsidRDefault="00893964" w:rsidP="00501421">
            <w:pPr>
              <w:jc w:val="center"/>
              <w:rPr>
                <w:bCs/>
                <w:sz w:val="20"/>
                <w:szCs w:val="20"/>
              </w:rPr>
            </w:pPr>
            <w:r w:rsidRPr="000B03F5">
              <w:rPr>
                <w:bCs/>
                <w:sz w:val="20"/>
                <w:szCs w:val="20"/>
              </w:rPr>
              <w:t>1.084</w:t>
            </w:r>
          </w:p>
        </w:tc>
        <w:tc>
          <w:tcPr>
            <w:tcW w:w="1536" w:type="dxa"/>
            <w:vAlign w:val="center"/>
          </w:tcPr>
          <w:p w:rsidR="00893964" w:rsidRPr="000B03F5" w:rsidRDefault="00893964" w:rsidP="00501421">
            <w:pPr>
              <w:jc w:val="center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15,0</w:t>
            </w:r>
          </w:p>
        </w:tc>
      </w:tr>
      <w:tr w:rsidR="00893964" w:rsidRPr="000B03F5" w:rsidTr="00AE4406">
        <w:trPr>
          <w:trHeight w:val="288"/>
        </w:trPr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CDDC"/>
            <w:vAlign w:val="center"/>
          </w:tcPr>
          <w:p w:rsidR="00893964" w:rsidRPr="000B03F5" w:rsidRDefault="00893964" w:rsidP="00501421">
            <w:pPr>
              <w:rPr>
                <w:sz w:val="20"/>
                <w:szCs w:val="20"/>
                <w:lang w:val="es-ES"/>
              </w:rPr>
            </w:pPr>
            <w:r w:rsidRPr="000B03F5">
              <w:rPr>
                <w:sz w:val="20"/>
                <w:szCs w:val="20"/>
                <w:lang w:val="es-ES"/>
              </w:rPr>
              <w:t>31.12.2015.</w:t>
            </w:r>
          </w:p>
        </w:tc>
        <w:tc>
          <w:tcPr>
            <w:tcW w:w="1535" w:type="dxa"/>
            <w:tcBorders>
              <w:left w:val="double" w:sz="4" w:space="0" w:color="auto"/>
            </w:tcBorders>
            <w:vAlign w:val="center"/>
          </w:tcPr>
          <w:p w:rsidR="00893964" w:rsidRPr="000B03F5" w:rsidRDefault="00893964" w:rsidP="00501421">
            <w:pPr>
              <w:ind w:left="-142"/>
              <w:jc w:val="center"/>
              <w:rPr>
                <w:sz w:val="20"/>
                <w:szCs w:val="20"/>
                <w:lang w:val="es-ES"/>
              </w:rPr>
            </w:pPr>
            <w:r w:rsidRPr="000B03F5">
              <w:rPr>
                <w:sz w:val="20"/>
                <w:szCs w:val="20"/>
                <w:lang w:val="es-ES"/>
              </w:rPr>
              <w:t xml:space="preserve">  4</w:t>
            </w:r>
          </w:p>
        </w:tc>
        <w:tc>
          <w:tcPr>
            <w:tcW w:w="1535" w:type="dxa"/>
            <w:vAlign w:val="center"/>
          </w:tcPr>
          <w:p w:rsidR="00893964" w:rsidRPr="000B03F5" w:rsidRDefault="00893964" w:rsidP="00501421">
            <w:pPr>
              <w:jc w:val="center"/>
              <w:rPr>
                <w:bCs/>
                <w:sz w:val="20"/>
                <w:szCs w:val="20"/>
              </w:rPr>
            </w:pPr>
            <w:r w:rsidRPr="000B03F5">
              <w:rPr>
                <w:bCs/>
                <w:sz w:val="20"/>
                <w:szCs w:val="20"/>
              </w:rPr>
              <w:t>48,9</w:t>
            </w:r>
          </w:p>
        </w:tc>
        <w:tc>
          <w:tcPr>
            <w:tcW w:w="1535" w:type="dxa"/>
            <w:vAlign w:val="center"/>
          </w:tcPr>
          <w:p w:rsidR="00893964" w:rsidRPr="000B03F5" w:rsidRDefault="00893964" w:rsidP="00501421">
            <w:pPr>
              <w:ind w:left="-142"/>
              <w:jc w:val="center"/>
              <w:rPr>
                <w:sz w:val="20"/>
                <w:szCs w:val="20"/>
                <w:lang w:val="es-ES"/>
              </w:rPr>
            </w:pPr>
            <w:r w:rsidRPr="000B03F5">
              <w:rPr>
                <w:sz w:val="20"/>
                <w:szCs w:val="20"/>
                <w:lang w:val="es-ES"/>
              </w:rPr>
              <w:t>47</w:t>
            </w:r>
          </w:p>
        </w:tc>
        <w:tc>
          <w:tcPr>
            <w:tcW w:w="1535" w:type="dxa"/>
            <w:vAlign w:val="center"/>
          </w:tcPr>
          <w:p w:rsidR="00893964" w:rsidRPr="000B03F5" w:rsidRDefault="00893964" w:rsidP="00501421">
            <w:pPr>
              <w:jc w:val="center"/>
              <w:rPr>
                <w:color w:val="000000"/>
                <w:sz w:val="20"/>
                <w:szCs w:val="20"/>
              </w:rPr>
            </w:pPr>
            <w:r w:rsidRPr="000B03F5">
              <w:rPr>
                <w:color w:val="000000"/>
                <w:sz w:val="20"/>
                <w:szCs w:val="20"/>
              </w:rPr>
              <w:t>1.326</w:t>
            </w:r>
          </w:p>
        </w:tc>
        <w:tc>
          <w:tcPr>
            <w:tcW w:w="1536" w:type="dxa"/>
            <w:vAlign w:val="center"/>
          </w:tcPr>
          <w:p w:rsidR="00893964" w:rsidRPr="000B03F5" w:rsidRDefault="00893964" w:rsidP="00501421">
            <w:pPr>
              <w:ind w:left="-142"/>
              <w:jc w:val="center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 xml:space="preserve">   16,6</w:t>
            </w:r>
          </w:p>
        </w:tc>
      </w:tr>
      <w:tr w:rsidR="00893964" w:rsidRPr="000B03F5" w:rsidTr="00AE4406">
        <w:trPr>
          <w:trHeight w:val="288"/>
        </w:trPr>
        <w:tc>
          <w:tcPr>
            <w:tcW w:w="153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CDDC"/>
            <w:vAlign w:val="center"/>
          </w:tcPr>
          <w:p w:rsidR="00893964" w:rsidRPr="000B03F5" w:rsidRDefault="00893964" w:rsidP="00501421">
            <w:pPr>
              <w:rPr>
                <w:sz w:val="20"/>
                <w:szCs w:val="20"/>
                <w:lang w:val="es-ES"/>
              </w:rPr>
            </w:pPr>
            <w:r w:rsidRPr="000B03F5">
              <w:rPr>
                <w:sz w:val="20"/>
                <w:szCs w:val="20"/>
                <w:lang w:val="es-ES"/>
              </w:rPr>
              <w:t>31.12.2016.</w:t>
            </w:r>
          </w:p>
        </w:tc>
        <w:tc>
          <w:tcPr>
            <w:tcW w:w="15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93964" w:rsidRPr="000B03F5" w:rsidRDefault="00893964" w:rsidP="00501421">
            <w:pPr>
              <w:ind w:left="-142"/>
              <w:jc w:val="center"/>
              <w:rPr>
                <w:sz w:val="20"/>
                <w:szCs w:val="20"/>
                <w:lang w:val="es-ES"/>
              </w:rPr>
            </w:pPr>
            <w:r w:rsidRPr="000B03F5">
              <w:rPr>
                <w:sz w:val="20"/>
                <w:szCs w:val="20"/>
                <w:lang w:val="es-ES"/>
              </w:rPr>
              <w:t xml:space="preserve">  4</w:t>
            </w:r>
          </w:p>
        </w:tc>
        <w:tc>
          <w:tcPr>
            <w:tcW w:w="1535" w:type="dxa"/>
            <w:tcBorders>
              <w:bottom w:val="double" w:sz="4" w:space="0" w:color="auto"/>
            </w:tcBorders>
            <w:vAlign w:val="center"/>
          </w:tcPr>
          <w:p w:rsidR="00893964" w:rsidRPr="000B03F5" w:rsidRDefault="000B03F5" w:rsidP="00501421">
            <w:pPr>
              <w:jc w:val="center"/>
              <w:rPr>
                <w:bCs/>
                <w:sz w:val="20"/>
                <w:szCs w:val="20"/>
              </w:rPr>
            </w:pPr>
            <w:r w:rsidRPr="000B03F5">
              <w:rPr>
                <w:bCs/>
                <w:sz w:val="20"/>
                <w:szCs w:val="20"/>
              </w:rPr>
              <w:t>41,8</w:t>
            </w:r>
          </w:p>
        </w:tc>
        <w:tc>
          <w:tcPr>
            <w:tcW w:w="1535" w:type="dxa"/>
            <w:tcBorders>
              <w:bottom w:val="double" w:sz="4" w:space="0" w:color="auto"/>
            </w:tcBorders>
            <w:vAlign w:val="center"/>
          </w:tcPr>
          <w:p w:rsidR="00893964" w:rsidRPr="000B03F5" w:rsidRDefault="00893964" w:rsidP="00501421">
            <w:pPr>
              <w:ind w:left="-142"/>
              <w:jc w:val="center"/>
              <w:rPr>
                <w:sz w:val="20"/>
                <w:szCs w:val="20"/>
                <w:lang w:val="es-ES"/>
              </w:rPr>
            </w:pPr>
            <w:r w:rsidRPr="000B03F5">
              <w:rPr>
                <w:sz w:val="20"/>
                <w:szCs w:val="20"/>
                <w:lang w:val="es-ES"/>
              </w:rPr>
              <w:t>45</w:t>
            </w:r>
          </w:p>
        </w:tc>
        <w:tc>
          <w:tcPr>
            <w:tcW w:w="1535" w:type="dxa"/>
            <w:tcBorders>
              <w:bottom w:val="double" w:sz="4" w:space="0" w:color="auto"/>
            </w:tcBorders>
            <w:vAlign w:val="center"/>
          </w:tcPr>
          <w:p w:rsidR="00893964" w:rsidRPr="000B03F5" w:rsidRDefault="00893964" w:rsidP="00501421">
            <w:pPr>
              <w:jc w:val="center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1</w:t>
            </w:r>
            <w:r w:rsidR="00AE4406" w:rsidRPr="000B03F5">
              <w:rPr>
                <w:sz w:val="20"/>
                <w:szCs w:val="20"/>
              </w:rPr>
              <w:t>.</w:t>
            </w:r>
            <w:r w:rsidR="008720ED" w:rsidRPr="000B03F5">
              <w:rPr>
                <w:sz w:val="20"/>
                <w:szCs w:val="20"/>
              </w:rPr>
              <w:t>299</w:t>
            </w:r>
          </w:p>
        </w:tc>
        <w:tc>
          <w:tcPr>
            <w:tcW w:w="1536" w:type="dxa"/>
            <w:tcBorders>
              <w:bottom w:val="double" w:sz="4" w:space="0" w:color="auto"/>
            </w:tcBorders>
            <w:vAlign w:val="center"/>
          </w:tcPr>
          <w:p w:rsidR="00893964" w:rsidRPr="000B03F5" w:rsidRDefault="008720ED" w:rsidP="00501421">
            <w:pPr>
              <w:jc w:val="center"/>
              <w:rPr>
                <w:color w:val="000000"/>
              </w:rPr>
            </w:pPr>
            <w:r w:rsidRPr="000B03F5">
              <w:rPr>
                <w:color w:val="000000"/>
                <w:sz w:val="22"/>
                <w:szCs w:val="22"/>
              </w:rPr>
              <w:t>16,0</w:t>
            </w:r>
          </w:p>
        </w:tc>
      </w:tr>
    </w:tbl>
    <w:p w:rsidR="00893964" w:rsidRPr="000B03F5" w:rsidRDefault="00893964" w:rsidP="00501421">
      <w:pPr>
        <w:ind w:left="-567"/>
        <w:jc w:val="both"/>
        <w:rPr>
          <w:lang w:val="es-ES"/>
        </w:rPr>
      </w:pPr>
    </w:p>
    <w:p w:rsidR="00893964" w:rsidRPr="000B03F5" w:rsidRDefault="00893964" w:rsidP="00501421">
      <w:pPr>
        <w:ind w:left="-567"/>
        <w:jc w:val="both"/>
        <w:rPr>
          <w:lang w:val="es-ES"/>
        </w:rPr>
      </w:pPr>
    </w:p>
    <w:p w:rsidR="00893964" w:rsidRPr="000B03F5" w:rsidRDefault="00893964" w:rsidP="00501421">
      <w:pPr>
        <w:ind w:left="-567"/>
        <w:jc w:val="both"/>
        <w:rPr>
          <w:lang w:val="es-ES"/>
        </w:rPr>
      </w:pPr>
    </w:p>
    <w:p w:rsidR="00893964" w:rsidRPr="000B03F5" w:rsidRDefault="00893964" w:rsidP="00501421">
      <w:pPr>
        <w:ind w:left="-567"/>
        <w:jc w:val="both"/>
        <w:rPr>
          <w:lang w:val="es-ES"/>
        </w:rPr>
      </w:pPr>
    </w:p>
    <w:p w:rsidR="00893964" w:rsidRPr="000B03F5" w:rsidRDefault="00893964" w:rsidP="00501421">
      <w:pPr>
        <w:pBdr>
          <w:bottom w:val="thinThickSmallGap" w:sz="24" w:space="1" w:color="auto"/>
        </w:pBdr>
        <w:spacing w:after="120"/>
        <w:ind w:left="-567"/>
        <w:jc w:val="both"/>
        <w:rPr>
          <w:b/>
          <w:lang w:val="es-ES"/>
        </w:rPr>
      </w:pPr>
      <w:proofErr w:type="spellStart"/>
      <w:r w:rsidRPr="000B03F5">
        <w:rPr>
          <w:b/>
          <w:lang w:val="es-ES"/>
        </w:rPr>
        <w:lastRenderedPageBreak/>
        <w:t>Struktura</w:t>
      </w:r>
      <w:proofErr w:type="spellEnd"/>
      <w:r w:rsidRPr="000B03F5">
        <w:rPr>
          <w:b/>
          <w:lang w:val="es-ES"/>
        </w:rPr>
        <w:t xml:space="preserve"> </w:t>
      </w:r>
      <w:proofErr w:type="spellStart"/>
      <w:r w:rsidRPr="000B03F5">
        <w:rPr>
          <w:b/>
          <w:lang w:val="es-ES"/>
        </w:rPr>
        <w:t>plasmana</w:t>
      </w:r>
      <w:proofErr w:type="spellEnd"/>
    </w:p>
    <w:p w:rsidR="00501421" w:rsidRDefault="00501421" w:rsidP="00501421">
      <w:pPr>
        <w:spacing w:after="120"/>
        <w:ind w:left="-567"/>
        <w:jc w:val="both"/>
      </w:pPr>
    </w:p>
    <w:p w:rsidR="00893964" w:rsidRPr="000B03F5" w:rsidRDefault="00893964" w:rsidP="00501421">
      <w:pPr>
        <w:spacing w:after="120"/>
        <w:ind w:left="-567"/>
        <w:jc w:val="both"/>
        <w:rPr>
          <w:bCs/>
          <w:lang w:val="en-US" w:eastAsia="en-US"/>
        </w:rPr>
      </w:pPr>
      <w:r w:rsidRPr="000B03F5">
        <w:t>Tokom 2016. godine, na tržištu lizinga zaključeno je ukupno 1,</w:t>
      </w:r>
      <w:r w:rsidR="008720ED" w:rsidRPr="000B03F5">
        <w:t>299</w:t>
      </w:r>
      <w:r w:rsidRPr="000B03F5">
        <w:t xml:space="preserve"> </w:t>
      </w:r>
      <w:r w:rsidRPr="000B03F5">
        <w:rPr>
          <w:i/>
        </w:rPr>
        <w:t>novih ugovora</w:t>
      </w:r>
      <w:r w:rsidRPr="000B03F5">
        <w:t xml:space="preserve"> ukupne vrijednosti od  </w:t>
      </w:r>
      <w:r w:rsidR="008720ED" w:rsidRPr="000B03F5">
        <w:t>16.043.574,43</w:t>
      </w:r>
      <w:r w:rsidRPr="000B03F5">
        <w:t xml:space="preserve"> </w:t>
      </w:r>
      <w:proofErr w:type="spellStart"/>
      <w:r w:rsidRPr="000B03F5">
        <w:rPr>
          <w:bCs/>
          <w:lang w:val="en-US" w:eastAsia="en-US"/>
        </w:rPr>
        <w:t>eura</w:t>
      </w:r>
      <w:proofErr w:type="spellEnd"/>
      <w:r w:rsidRPr="000B03F5">
        <w:rPr>
          <w:bCs/>
          <w:lang w:val="en-US" w:eastAsia="en-US"/>
        </w:rPr>
        <w:t xml:space="preserve">, </w:t>
      </w:r>
      <w:proofErr w:type="spellStart"/>
      <w:r w:rsidRPr="000B03F5">
        <w:rPr>
          <w:bCs/>
          <w:lang w:val="en-US" w:eastAsia="en-US"/>
        </w:rPr>
        <w:t>čime</w:t>
      </w:r>
      <w:proofErr w:type="spellEnd"/>
      <w:r w:rsidRPr="000B03F5">
        <w:rPr>
          <w:bCs/>
          <w:lang w:val="en-US" w:eastAsia="en-US"/>
        </w:rPr>
        <w:t xml:space="preserve"> je </w:t>
      </w:r>
      <w:proofErr w:type="spellStart"/>
      <w:r w:rsidRPr="000B03F5">
        <w:rPr>
          <w:bCs/>
          <w:lang w:val="en-US" w:eastAsia="en-US"/>
        </w:rPr>
        <w:t>prosječna</w:t>
      </w:r>
      <w:proofErr w:type="spellEnd"/>
      <w:r w:rsidRPr="000B03F5">
        <w:rPr>
          <w:bCs/>
          <w:lang w:val="en-US" w:eastAsia="en-US"/>
        </w:rPr>
        <w:t xml:space="preserve"> </w:t>
      </w:r>
      <w:proofErr w:type="spellStart"/>
      <w:r w:rsidRPr="000B03F5">
        <w:rPr>
          <w:bCs/>
          <w:lang w:val="en-US" w:eastAsia="en-US"/>
        </w:rPr>
        <w:t>vrijednost</w:t>
      </w:r>
      <w:proofErr w:type="spellEnd"/>
      <w:r w:rsidRPr="000B03F5">
        <w:rPr>
          <w:bCs/>
          <w:lang w:val="en-US" w:eastAsia="en-US"/>
        </w:rPr>
        <w:t xml:space="preserve"> </w:t>
      </w:r>
      <w:proofErr w:type="spellStart"/>
      <w:r w:rsidRPr="000B03F5">
        <w:rPr>
          <w:bCs/>
          <w:lang w:val="en-US" w:eastAsia="en-US"/>
        </w:rPr>
        <w:t>jednog</w:t>
      </w:r>
      <w:proofErr w:type="spellEnd"/>
      <w:r w:rsidRPr="000B03F5">
        <w:rPr>
          <w:bCs/>
          <w:lang w:val="en-US" w:eastAsia="en-US"/>
        </w:rPr>
        <w:t xml:space="preserve"> </w:t>
      </w:r>
      <w:proofErr w:type="spellStart"/>
      <w:r w:rsidRPr="000B03F5">
        <w:rPr>
          <w:bCs/>
          <w:lang w:val="en-US" w:eastAsia="en-US"/>
        </w:rPr>
        <w:t>ugovora</w:t>
      </w:r>
      <w:proofErr w:type="spellEnd"/>
      <w:r w:rsidRPr="000B03F5">
        <w:rPr>
          <w:bCs/>
          <w:lang w:val="en-US" w:eastAsia="en-US"/>
        </w:rPr>
        <w:t xml:space="preserve"> </w:t>
      </w:r>
      <w:r w:rsidR="008720ED" w:rsidRPr="000B03F5">
        <w:rPr>
          <w:bCs/>
          <w:lang w:val="en-US" w:eastAsia="en-US"/>
        </w:rPr>
        <w:t>12.350,7</w:t>
      </w:r>
      <w:r w:rsidRPr="000B03F5">
        <w:rPr>
          <w:bCs/>
          <w:lang w:val="en-US" w:eastAsia="en-US"/>
        </w:rPr>
        <w:t xml:space="preserve"> </w:t>
      </w:r>
      <w:proofErr w:type="spellStart"/>
      <w:r w:rsidRPr="000B03F5">
        <w:rPr>
          <w:bCs/>
          <w:lang w:val="en-US" w:eastAsia="en-US"/>
        </w:rPr>
        <w:t>eura</w:t>
      </w:r>
      <w:proofErr w:type="spellEnd"/>
      <w:r w:rsidRPr="000B03F5">
        <w:rPr>
          <w:bCs/>
          <w:lang w:val="en-US" w:eastAsia="en-US"/>
        </w:rPr>
        <w:t>.</w:t>
      </w:r>
    </w:p>
    <w:p w:rsidR="00893964" w:rsidRPr="000B03F5" w:rsidRDefault="00893964" w:rsidP="00501421">
      <w:pPr>
        <w:spacing w:after="120"/>
        <w:ind w:left="-567"/>
        <w:jc w:val="both"/>
      </w:pPr>
      <w:proofErr w:type="gramStart"/>
      <w:r w:rsidRPr="000B03F5">
        <w:rPr>
          <w:bCs/>
          <w:lang w:val="en-US" w:eastAsia="en-US"/>
        </w:rPr>
        <w:t>Sa</w:t>
      </w:r>
      <w:proofErr w:type="gramEnd"/>
      <w:r w:rsidRPr="000B03F5">
        <w:rPr>
          <w:bCs/>
          <w:lang w:val="en-US" w:eastAsia="en-US"/>
        </w:rPr>
        <w:t xml:space="preserve"> </w:t>
      </w:r>
      <w:proofErr w:type="spellStart"/>
      <w:r w:rsidRPr="000B03F5">
        <w:rPr>
          <w:bCs/>
          <w:lang w:val="en-US" w:eastAsia="en-US"/>
        </w:rPr>
        <w:t>druge</w:t>
      </w:r>
      <w:proofErr w:type="spellEnd"/>
      <w:r w:rsidRPr="000B03F5">
        <w:rPr>
          <w:bCs/>
          <w:lang w:val="en-US" w:eastAsia="en-US"/>
        </w:rPr>
        <w:t xml:space="preserve"> </w:t>
      </w:r>
      <w:proofErr w:type="spellStart"/>
      <w:r w:rsidRPr="000B03F5">
        <w:rPr>
          <w:bCs/>
          <w:lang w:val="en-US" w:eastAsia="en-US"/>
        </w:rPr>
        <w:t>strane</w:t>
      </w:r>
      <w:proofErr w:type="spellEnd"/>
      <w:r w:rsidRPr="000B03F5">
        <w:rPr>
          <w:bCs/>
          <w:lang w:val="en-US" w:eastAsia="en-US"/>
        </w:rPr>
        <w:t xml:space="preserve">, </w:t>
      </w:r>
      <w:proofErr w:type="spellStart"/>
      <w:r w:rsidRPr="000B03F5">
        <w:rPr>
          <w:bCs/>
          <w:lang w:val="en-US" w:eastAsia="en-US"/>
        </w:rPr>
        <w:t>na</w:t>
      </w:r>
      <w:proofErr w:type="spellEnd"/>
      <w:r w:rsidRPr="000B03F5">
        <w:rPr>
          <w:rFonts w:eastAsia="FranklinGothic-Book"/>
          <w:lang w:val="en-US"/>
        </w:rPr>
        <w:t xml:space="preserve"> </w:t>
      </w:r>
      <w:proofErr w:type="spellStart"/>
      <w:r w:rsidRPr="000B03F5">
        <w:rPr>
          <w:rFonts w:eastAsia="FranklinGothic-Book"/>
          <w:lang w:val="en-US"/>
        </w:rPr>
        <w:t>dan</w:t>
      </w:r>
      <w:proofErr w:type="spellEnd"/>
      <w:r w:rsidRPr="000B03F5">
        <w:rPr>
          <w:rFonts w:eastAsia="FranklinGothic-Book"/>
          <w:lang w:val="en-US"/>
        </w:rPr>
        <w:t xml:space="preserve"> 31. </w:t>
      </w:r>
      <w:proofErr w:type="spellStart"/>
      <w:proofErr w:type="gramStart"/>
      <w:r w:rsidRPr="000B03F5">
        <w:rPr>
          <w:rFonts w:eastAsia="FranklinGothic-Book"/>
          <w:lang w:val="en-US"/>
        </w:rPr>
        <w:t>decembar</w:t>
      </w:r>
      <w:proofErr w:type="spellEnd"/>
      <w:proofErr w:type="gramEnd"/>
      <w:r w:rsidRPr="000B03F5">
        <w:rPr>
          <w:rFonts w:eastAsia="FranklinGothic-Book"/>
          <w:lang w:val="en-US"/>
        </w:rPr>
        <w:t xml:space="preserve"> 2016. </w:t>
      </w:r>
      <w:proofErr w:type="spellStart"/>
      <w:proofErr w:type="gramStart"/>
      <w:r w:rsidRPr="000B03F5">
        <w:rPr>
          <w:rFonts w:eastAsia="FranklinGothic-Book"/>
          <w:lang w:val="en-US"/>
        </w:rPr>
        <w:t>godine</w:t>
      </w:r>
      <w:proofErr w:type="spellEnd"/>
      <w:proofErr w:type="gramEnd"/>
      <w:r w:rsidRPr="000B03F5">
        <w:rPr>
          <w:rFonts w:eastAsia="FranklinGothic-Book"/>
          <w:lang w:val="en-US"/>
        </w:rPr>
        <w:t xml:space="preserve"> </w:t>
      </w:r>
      <w:proofErr w:type="spellStart"/>
      <w:r w:rsidRPr="000B03F5">
        <w:rPr>
          <w:rFonts w:eastAsia="FranklinGothic-Book"/>
          <w:lang w:val="en-US"/>
        </w:rPr>
        <w:t>ukupan</w:t>
      </w:r>
      <w:proofErr w:type="spellEnd"/>
      <w:r w:rsidRPr="000B03F5">
        <w:rPr>
          <w:rFonts w:eastAsia="FranklinGothic-Book"/>
          <w:lang w:val="en-US"/>
        </w:rPr>
        <w:t xml:space="preserve"> </w:t>
      </w:r>
      <w:proofErr w:type="spellStart"/>
      <w:r w:rsidRPr="000B03F5">
        <w:rPr>
          <w:rFonts w:eastAsia="FranklinGothic-Book"/>
          <w:lang w:val="en-US"/>
        </w:rPr>
        <w:t>broj</w:t>
      </w:r>
      <w:proofErr w:type="spellEnd"/>
      <w:r w:rsidRPr="000B03F5">
        <w:rPr>
          <w:rFonts w:eastAsia="FranklinGothic-Book"/>
          <w:lang w:val="en-US"/>
        </w:rPr>
        <w:t xml:space="preserve"> </w:t>
      </w:r>
      <w:proofErr w:type="spellStart"/>
      <w:r w:rsidRPr="000B03F5">
        <w:rPr>
          <w:rFonts w:eastAsia="FranklinGothic-Book"/>
          <w:i/>
          <w:lang w:val="en-US"/>
        </w:rPr>
        <w:t>aktivnih</w:t>
      </w:r>
      <w:proofErr w:type="spellEnd"/>
      <w:r w:rsidRPr="000B03F5">
        <w:rPr>
          <w:rFonts w:eastAsia="FranklinGothic-Book"/>
          <w:i/>
          <w:lang w:val="en-US"/>
        </w:rPr>
        <w:t xml:space="preserve"> </w:t>
      </w:r>
      <w:proofErr w:type="spellStart"/>
      <w:r w:rsidRPr="000B03F5">
        <w:rPr>
          <w:rFonts w:eastAsia="FranklinGothic-Book"/>
          <w:i/>
          <w:lang w:val="en-US"/>
        </w:rPr>
        <w:t>ugovora</w:t>
      </w:r>
      <w:proofErr w:type="spellEnd"/>
      <w:r w:rsidRPr="000B03F5">
        <w:rPr>
          <w:rFonts w:eastAsia="FranklinGothic-Book"/>
          <w:lang w:val="en-US"/>
        </w:rPr>
        <w:t xml:space="preserve"> bio je</w:t>
      </w:r>
      <w:r w:rsidRPr="000B03F5">
        <w:t xml:space="preserve">                                 </w:t>
      </w:r>
      <w:r w:rsidR="008720ED" w:rsidRPr="000B03F5">
        <w:t>3.748</w:t>
      </w:r>
      <w:r w:rsidRPr="000B03F5">
        <w:rPr>
          <w:rFonts w:eastAsia="FranklinGothic-Book"/>
          <w:lang w:val="en-US"/>
        </w:rPr>
        <w:t xml:space="preserve">, </w:t>
      </w:r>
      <w:proofErr w:type="spellStart"/>
      <w:r w:rsidRPr="000B03F5">
        <w:rPr>
          <w:rFonts w:eastAsia="FranklinGothic-Book"/>
          <w:lang w:val="en-US"/>
        </w:rPr>
        <w:t>čija</w:t>
      </w:r>
      <w:proofErr w:type="spellEnd"/>
      <w:r w:rsidRPr="000B03F5">
        <w:rPr>
          <w:rFonts w:eastAsia="FranklinGothic-Book"/>
          <w:lang w:val="en-US"/>
        </w:rPr>
        <w:t xml:space="preserve"> je </w:t>
      </w:r>
      <w:proofErr w:type="spellStart"/>
      <w:r w:rsidRPr="000B03F5">
        <w:rPr>
          <w:rFonts w:eastAsia="FranklinGothic-Book"/>
          <w:lang w:val="en-US"/>
        </w:rPr>
        <w:t>vrijednost</w:t>
      </w:r>
      <w:proofErr w:type="spellEnd"/>
      <w:r w:rsidRPr="000B03F5">
        <w:t xml:space="preserve"> </w:t>
      </w:r>
      <w:r w:rsidR="008720ED" w:rsidRPr="000B03F5">
        <w:t>74.384.751,8</w:t>
      </w:r>
      <w:r w:rsidRPr="000B03F5">
        <w:t xml:space="preserve"> </w:t>
      </w:r>
      <w:proofErr w:type="spellStart"/>
      <w:r w:rsidRPr="000B03F5">
        <w:rPr>
          <w:rFonts w:eastAsia="FranklinGothic-Book"/>
          <w:lang w:val="en-US"/>
        </w:rPr>
        <w:t>eura</w:t>
      </w:r>
      <w:proofErr w:type="spellEnd"/>
      <w:r w:rsidRPr="000B03F5">
        <w:rPr>
          <w:rFonts w:eastAsia="FranklinGothic-Book"/>
          <w:lang w:val="en-US"/>
        </w:rPr>
        <w:t xml:space="preserve">, </w:t>
      </w:r>
      <w:proofErr w:type="spellStart"/>
      <w:r w:rsidRPr="000B03F5">
        <w:rPr>
          <w:rFonts w:eastAsia="FranklinGothic-Book"/>
          <w:lang w:val="en-US"/>
        </w:rPr>
        <w:t>odnosno</w:t>
      </w:r>
      <w:proofErr w:type="spellEnd"/>
      <w:r w:rsidRPr="000B03F5">
        <w:rPr>
          <w:rFonts w:eastAsia="FranklinGothic-Book"/>
          <w:lang w:val="en-US"/>
        </w:rPr>
        <w:t xml:space="preserve"> </w:t>
      </w:r>
      <w:proofErr w:type="spellStart"/>
      <w:r w:rsidRPr="000B03F5">
        <w:rPr>
          <w:rFonts w:eastAsia="FranklinGothic-Book"/>
          <w:lang w:val="en-US"/>
        </w:rPr>
        <w:t>prosječna</w:t>
      </w:r>
      <w:proofErr w:type="spellEnd"/>
      <w:r w:rsidRPr="000B03F5">
        <w:rPr>
          <w:rFonts w:eastAsia="FranklinGothic-Book"/>
          <w:lang w:val="en-US"/>
        </w:rPr>
        <w:t xml:space="preserve"> </w:t>
      </w:r>
      <w:proofErr w:type="spellStart"/>
      <w:r w:rsidRPr="000B03F5">
        <w:rPr>
          <w:rFonts w:eastAsia="FranklinGothic-Book"/>
          <w:lang w:val="en-US"/>
        </w:rPr>
        <w:t>vrijednost</w:t>
      </w:r>
      <w:proofErr w:type="spellEnd"/>
      <w:r w:rsidRPr="000B03F5">
        <w:rPr>
          <w:rFonts w:eastAsia="FranklinGothic-Book"/>
          <w:lang w:val="en-US"/>
        </w:rPr>
        <w:t xml:space="preserve"> </w:t>
      </w:r>
      <w:proofErr w:type="spellStart"/>
      <w:r w:rsidRPr="000B03F5">
        <w:rPr>
          <w:rFonts w:eastAsia="FranklinGothic-Book"/>
          <w:lang w:val="en-US"/>
        </w:rPr>
        <w:t>po</w:t>
      </w:r>
      <w:proofErr w:type="spellEnd"/>
      <w:r w:rsidRPr="000B03F5">
        <w:rPr>
          <w:rFonts w:eastAsia="FranklinGothic-Book"/>
          <w:lang w:val="en-US"/>
        </w:rPr>
        <w:t xml:space="preserve"> </w:t>
      </w:r>
      <w:proofErr w:type="spellStart"/>
      <w:r w:rsidRPr="000B03F5">
        <w:rPr>
          <w:rFonts w:eastAsia="FranklinGothic-Book"/>
          <w:lang w:val="en-US"/>
        </w:rPr>
        <w:t>aktivnom</w:t>
      </w:r>
      <w:proofErr w:type="spellEnd"/>
      <w:r w:rsidRPr="000B03F5">
        <w:rPr>
          <w:rFonts w:eastAsia="FranklinGothic-Book"/>
          <w:lang w:val="en-US"/>
        </w:rPr>
        <w:t xml:space="preserve"> </w:t>
      </w:r>
      <w:proofErr w:type="spellStart"/>
      <w:r w:rsidRPr="000B03F5">
        <w:rPr>
          <w:rFonts w:eastAsia="FranklinGothic-Book"/>
          <w:lang w:val="en-US"/>
        </w:rPr>
        <w:t>ugovoru</w:t>
      </w:r>
      <w:proofErr w:type="spellEnd"/>
      <w:r w:rsidRPr="000B03F5">
        <w:rPr>
          <w:rFonts w:eastAsia="FranklinGothic-Book"/>
          <w:lang w:val="en-US"/>
        </w:rPr>
        <w:t xml:space="preserve"> </w:t>
      </w:r>
      <w:proofErr w:type="spellStart"/>
      <w:r w:rsidRPr="000B03F5">
        <w:rPr>
          <w:rFonts w:eastAsia="FranklinGothic-Book"/>
          <w:lang w:val="en-US"/>
        </w:rPr>
        <w:t>iznosi</w:t>
      </w:r>
      <w:proofErr w:type="spellEnd"/>
      <w:r w:rsidRPr="000B03F5">
        <w:rPr>
          <w:rFonts w:eastAsia="FranklinGothic-Book"/>
          <w:lang w:val="en-US"/>
        </w:rPr>
        <w:t xml:space="preserve"> 19</w:t>
      </w:r>
      <w:r w:rsidR="00AE4406" w:rsidRPr="000B03F5">
        <w:rPr>
          <w:rFonts w:eastAsia="FranklinGothic-Book"/>
          <w:lang w:val="en-US"/>
        </w:rPr>
        <w:t>.</w:t>
      </w:r>
      <w:r w:rsidR="008720ED" w:rsidRPr="000B03F5">
        <w:rPr>
          <w:rFonts w:eastAsia="FranklinGothic-Book"/>
          <w:lang w:val="en-US"/>
        </w:rPr>
        <w:t>846</w:t>
      </w:r>
      <w:r w:rsidR="00AE4406" w:rsidRPr="000B03F5">
        <w:rPr>
          <w:rFonts w:eastAsia="FranklinGothic-Book"/>
          <w:lang w:val="en-US"/>
        </w:rPr>
        <w:t>,</w:t>
      </w:r>
      <w:r w:rsidR="008720ED" w:rsidRPr="000B03F5">
        <w:rPr>
          <w:rFonts w:eastAsia="FranklinGothic-Book"/>
          <w:lang w:val="en-US"/>
        </w:rPr>
        <w:t>5</w:t>
      </w:r>
      <w:r w:rsidRPr="000B03F5">
        <w:rPr>
          <w:rFonts w:eastAsia="FranklinGothic-Book"/>
          <w:lang w:val="en-US"/>
        </w:rPr>
        <w:t xml:space="preserve"> </w:t>
      </w:r>
      <w:proofErr w:type="spellStart"/>
      <w:r w:rsidRPr="000B03F5">
        <w:rPr>
          <w:rFonts w:eastAsia="FranklinGothic-Book"/>
          <w:lang w:val="en-US"/>
        </w:rPr>
        <w:t>eura</w:t>
      </w:r>
      <w:proofErr w:type="spellEnd"/>
      <w:r w:rsidRPr="000B03F5">
        <w:rPr>
          <w:rFonts w:eastAsia="FranklinGothic-Book"/>
          <w:lang w:val="en-US"/>
        </w:rPr>
        <w:t>.</w:t>
      </w:r>
    </w:p>
    <w:p w:rsidR="00893964" w:rsidRPr="000B03F5" w:rsidRDefault="00893964" w:rsidP="00501421">
      <w:pPr>
        <w:spacing w:after="120"/>
        <w:ind w:left="-567"/>
        <w:rPr>
          <w:b/>
        </w:rPr>
      </w:pPr>
    </w:p>
    <w:p w:rsidR="00893964" w:rsidRPr="000B03F5" w:rsidRDefault="00893964" w:rsidP="00501421">
      <w:pPr>
        <w:pStyle w:val="ListParagraph"/>
        <w:numPr>
          <w:ilvl w:val="0"/>
          <w:numId w:val="2"/>
        </w:numPr>
        <w:spacing w:after="120"/>
        <w:rPr>
          <w:b/>
          <w:i/>
        </w:rPr>
      </w:pPr>
      <w:r w:rsidRPr="000B03F5">
        <w:rPr>
          <w:b/>
          <w:i/>
        </w:rPr>
        <w:t>Primaoci lizinga</w:t>
      </w:r>
    </w:p>
    <w:p w:rsidR="00893964" w:rsidRPr="000B03F5" w:rsidRDefault="00893964" w:rsidP="00501421">
      <w:pPr>
        <w:spacing w:after="120"/>
        <w:ind w:left="-567"/>
        <w:jc w:val="both"/>
      </w:pPr>
      <w:r w:rsidRPr="000B03F5">
        <w:t xml:space="preserve">Broj ugovora zaključenih tokom 2016. godine predstavlja smanjenje od </w:t>
      </w:r>
      <w:r w:rsidR="008720ED" w:rsidRPr="000B03F5">
        <w:rPr>
          <w:color w:val="000000"/>
        </w:rPr>
        <w:t>2,04</w:t>
      </w:r>
      <w:r w:rsidRPr="000B03F5">
        <w:t xml:space="preserve">% u poređenju sa rezultatima iz 2015. godine. </w:t>
      </w:r>
      <w:r w:rsidR="00AE4406" w:rsidRPr="000B03F5">
        <w:t xml:space="preserve">Rezultati </w:t>
      </w:r>
      <w:r w:rsidRPr="000B03F5">
        <w:t>iz 2016.</w:t>
      </w:r>
      <w:r w:rsidR="00AE4406" w:rsidRPr="000B03F5">
        <w:t xml:space="preserve"> </w:t>
      </w:r>
      <w:r w:rsidRPr="000B03F5">
        <w:t>godine</w:t>
      </w:r>
      <w:r w:rsidR="008720ED" w:rsidRPr="000B03F5">
        <w:t xml:space="preserve"> pokazuju da je </w:t>
      </w:r>
      <w:r w:rsidR="00AE4406" w:rsidRPr="000B03F5">
        <w:t xml:space="preserve">sklopljeno više ugovora sa fizičkim licima u odnosu na 2015. godinu (povećanje od </w:t>
      </w:r>
      <w:r w:rsidR="008E4618" w:rsidRPr="000B03F5">
        <w:t>36,4%)</w:t>
      </w:r>
      <w:r w:rsidR="00AE4406" w:rsidRPr="000B03F5">
        <w:t>, dok je manje sklopljeno u korist pravnih lica</w:t>
      </w:r>
      <w:r w:rsidR="008E4618" w:rsidRPr="000B03F5">
        <w:t xml:space="preserve"> (smanjenje od 26,5%)</w:t>
      </w:r>
      <w:r w:rsidR="00AE4406" w:rsidRPr="000B03F5">
        <w:t xml:space="preserve">. </w:t>
      </w:r>
    </w:p>
    <w:p w:rsidR="00893964" w:rsidRPr="000B03F5" w:rsidRDefault="00893964" w:rsidP="00501421">
      <w:pPr>
        <w:spacing w:after="120"/>
        <w:ind w:left="-567"/>
        <w:rPr>
          <w:b/>
        </w:rPr>
      </w:pPr>
    </w:p>
    <w:p w:rsidR="00893964" w:rsidRPr="000B03F5" w:rsidRDefault="00893964" w:rsidP="00501421">
      <w:pPr>
        <w:autoSpaceDE w:val="0"/>
        <w:autoSpaceDN w:val="0"/>
        <w:adjustRightInd w:val="0"/>
        <w:spacing w:after="120"/>
        <w:ind w:left="-567"/>
        <w:jc w:val="center"/>
        <w:rPr>
          <w:i/>
          <w:lang w:val="es-ES"/>
        </w:rPr>
      </w:pPr>
      <w:proofErr w:type="spellStart"/>
      <w:r w:rsidRPr="000B03F5">
        <w:rPr>
          <w:b/>
          <w:i/>
          <w:lang w:val="es-ES"/>
        </w:rPr>
        <w:t>Grafik</w:t>
      </w:r>
      <w:proofErr w:type="spellEnd"/>
      <w:r w:rsidRPr="000B03F5">
        <w:rPr>
          <w:b/>
          <w:i/>
          <w:lang w:val="es-ES"/>
        </w:rPr>
        <w:t xml:space="preserve"> 1:</w:t>
      </w:r>
      <w:r w:rsidRPr="000B03F5">
        <w:rPr>
          <w:i/>
          <w:lang w:val="es-ES"/>
        </w:rPr>
        <w:t xml:space="preserve"> </w:t>
      </w:r>
      <w:proofErr w:type="spellStart"/>
      <w:r w:rsidRPr="000B03F5">
        <w:rPr>
          <w:i/>
          <w:lang w:val="es-ES"/>
        </w:rPr>
        <w:t>Broj</w:t>
      </w:r>
      <w:proofErr w:type="spellEnd"/>
      <w:r w:rsidRPr="000B03F5">
        <w:rPr>
          <w:i/>
          <w:lang w:val="es-ES"/>
        </w:rPr>
        <w:t xml:space="preserve"> </w:t>
      </w:r>
      <w:proofErr w:type="spellStart"/>
      <w:r w:rsidRPr="000B03F5">
        <w:rPr>
          <w:i/>
          <w:lang w:val="es-ES"/>
        </w:rPr>
        <w:t>ugovora</w:t>
      </w:r>
      <w:proofErr w:type="spellEnd"/>
      <w:r w:rsidRPr="000B03F5">
        <w:rPr>
          <w:i/>
          <w:lang w:val="es-ES"/>
        </w:rPr>
        <w:t xml:space="preserve"> </w:t>
      </w:r>
      <w:proofErr w:type="spellStart"/>
      <w:r w:rsidRPr="000B03F5">
        <w:rPr>
          <w:i/>
          <w:lang w:val="es-ES"/>
        </w:rPr>
        <w:t>prema</w:t>
      </w:r>
      <w:proofErr w:type="spellEnd"/>
      <w:r w:rsidRPr="000B03F5">
        <w:rPr>
          <w:i/>
          <w:lang w:val="es-ES"/>
        </w:rPr>
        <w:t xml:space="preserve"> </w:t>
      </w:r>
      <w:proofErr w:type="spellStart"/>
      <w:r w:rsidRPr="000B03F5">
        <w:rPr>
          <w:i/>
          <w:lang w:val="es-ES"/>
        </w:rPr>
        <w:t>primaocima</w:t>
      </w:r>
      <w:proofErr w:type="spellEnd"/>
      <w:r w:rsidRPr="000B03F5">
        <w:rPr>
          <w:i/>
          <w:lang w:val="es-ES"/>
        </w:rPr>
        <w:t xml:space="preserve"> </w:t>
      </w:r>
      <w:proofErr w:type="spellStart"/>
      <w:r w:rsidRPr="000B03F5">
        <w:rPr>
          <w:i/>
          <w:lang w:val="es-ES"/>
        </w:rPr>
        <w:t>lizinga</w:t>
      </w:r>
      <w:proofErr w:type="spellEnd"/>
    </w:p>
    <w:p w:rsidR="00893964" w:rsidRPr="000B03F5" w:rsidRDefault="00893964" w:rsidP="00501421">
      <w:pPr>
        <w:ind w:left="-567"/>
        <w:jc w:val="center"/>
        <w:rPr>
          <w:noProof/>
          <w:lang w:val="en-GB" w:eastAsia="en-GB"/>
        </w:rPr>
      </w:pPr>
      <w:r w:rsidRPr="000B03F5">
        <w:rPr>
          <w:noProof/>
        </w:rPr>
        <w:drawing>
          <wp:inline distT="0" distB="0" distL="0" distR="0">
            <wp:extent cx="4572000" cy="2743200"/>
            <wp:effectExtent l="57150" t="38100" r="38100" b="1905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93964" w:rsidRPr="000B03F5" w:rsidRDefault="00893964" w:rsidP="00501421">
      <w:pPr>
        <w:spacing w:after="120"/>
        <w:ind w:left="-567"/>
        <w:jc w:val="center"/>
        <w:rPr>
          <w:noProof/>
          <w:lang w:val="en-GB" w:eastAsia="en-GB"/>
        </w:rPr>
      </w:pPr>
    </w:p>
    <w:p w:rsidR="00893964" w:rsidRPr="000B03F5" w:rsidRDefault="00893964" w:rsidP="00501421">
      <w:pPr>
        <w:autoSpaceDE w:val="0"/>
        <w:autoSpaceDN w:val="0"/>
        <w:adjustRightInd w:val="0"/>
        <w:spacing w:after="120"/>
        <w:ind w:left="-567"/>
        <w:jc w:val="both"/>
        <w:rPr>
          <w:lang w:val="es-ES"/>
        </w:rPr>
      </w:pPr>
      <w:r w:rsidRPr="000B03F5">
        <w:rPr>
          <w:lang w:val="es-ES"/>
        </w:rPr>
        <w:t xml:space="preserve">Od </w:t>
      </w:r>
      <w:proofErr w:type="spellStart"/>
      <w:r w:rsidRPr="000B03F5">
        <w:rPr>
          <w:lang w:val="es-ES"/>
        </w:rPr>
        <w:t>ukupnog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broja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zaključenih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ugovora</w:t>
      </w:r>
      <w:proofErr w:type="spellEnd"/>
      <w:r w:rsidRPr="000B03F5">
        <w:rPr>
          <w:lang w:val="es-ES"/>
        </w:rPr>
        <w:t xml:space="preserve"> 789 </w:t>
      </w:r>
      <w:proofErr w:type="spellStart"/>
      <w:r w:rsidRPr="000B03F5">
        <w:rPr>
          <w:lang w:val="es-ES"/>
        </w:rPr>
        <w:t>ili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oko</w:t>
      </w:r>
      <w:proofErr w:type="spellEnd"/>
      <w:r w:rsidRPr="000B03F5">
        <w:rPr>
          <w:lang w:val="es-ES"/>
        </w:rPr>
        <w:t xml:space="preserve"> 60,7% </w:t>
      </w:r>
      <w:proofErr w:type="spellStart"/>
      <w:r w:rsidRPr="000B03F5">
        <w:rPr>
          <w:lang w:val="es-ES"/>
        </w:rPr>
        <w:t>odnosi</w:t>
      </w:r>
      <w:proofErr w:type="spellEnd"/>
      <w:r w:rsidRPr="000B03F5">
        <w:rPr>
          <w:lang w:val="es-ES"/>
        </w:rPr>
        <w:t xml:space="preserve"> se </w:t>
      </w:r>
      <w:proofErr w:type="spellStart"/>
      <w:r w:rsidRPr="000B03F5">
        <w:rPr>
          <w:lang w:val="es-ES"/>
        </w:rPr>
        <w:t>na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ugovore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zaključene</w:t>
      </w:r>
      <w:proofErr w:type="spellEnd"/>
      <w:r w:rsidRPr="000B03F5">
        <w:rPr>
          <w:lang w:val="es-ES"/>
        </w:rPr>
        <w:t xml:space="preserve"> sa </w:t>
      </w:r>
      <w:proofErr w:type="spellStart"/>
      <w:r w:rsidRPr="000B03F5">
        <w:rPr>
          <w:lang w:val="es-ES"/>
        </w:rPr>
        <w:t>pravnim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licima</w:t>
      </w:r>
      <w:proofErr w:type="spellEnd"/>
      <w:r w:rsidRPr="000B03F5">
        <w:rPr>
          <w:lang w:val="es-ES"/>
        </w:rPr>
        <w:t xml:space="preserve">, a 508 </w:t>
      </w:r>
      <w:proofErr w:type="spellStart"/>
      <w:r w:rsidRPr="000B03F5">
        <w:rPr>
          <w:lang w:val="es-ES"/>
        </w:rPr>
        <w:t>ili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oko</w:t>
      </w:r>
      <w:proofErr w:type="spellEnd"/>
      <w:r w:rsidRPr="000B03F5">
        <w:rPr>
          <w:lang w:val="es-ES"/>
        </w:rPr>
        <w:t xml:space="preserve"> 39,1% </w:t>
      </w:r>
      <w:proofErr w:type="spellStart"/>
      <w:r w:rsidRPr="000B03F5">
        <w:rPr>
          <w:lang w:val="es-ES"/>
        </w:rPr>
        <w:t>na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ugovore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zaključene</w:t>
      </w:r>
      <w:proofErr w:type="spellEnd"/>
      <w:r w:rsidRPr="000B03F5">
        <w:rPr>
          <w:lang w:val="es-ES"/>
        </w:rPr>
        <w:t xml:space="preserve"> sa </w:t>
      </w:r>
      <w:proofErr w:type="spellStart"/>
      <w:r w:rsidRPr="000B03F5">
        <w:rPr>
          <w:lang w:val="es-ES"/>
        </w:rPr>
        <w:t>fizičkim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licima</w:t>
      </w:r>
      <w:proofErr w:type="spellEnd"/>
      <w:r w:rsidRPr="000B03F5">
        <w:rPr>
          <w:lang w:val="es-ES"/>
        </w:rPr>
        <w:t xml:space="preserve">. </w:t>
      </w:r>
      <w:r w:rsidRPr="000B03F5">
        <w:t>Značajno je napomenuti da je tokom zadnjih 4 godina u strukturi korisnika lizinga najveće učešće imaju pravna lica.</w:t>
      </w:r>
      <w:r w:rsidR="008E4618" w:rsidRPr="000B03F5">
        <w:t xml:space="preserve"> </w:t>
      </w:r>
      <w:proofErr w:type="spellStart"/>
      <w:r w:rsidRPr="000B03F5">
        <w:rPr>
          <w:lang w:val="es-ES"/>
        </w:rPr>
        <w:t>Ukoliko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uporedimo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podatke</w:t>
      </w:r>
      <w:proofErr w:type="spellEnd"/>
      <w:r w:rsidRPr="000B03F5">
        <w:rPr>
          <w:lang w:val="es-ES"/>
        </w:rPr>
        <w:t xml:space="preserve"> o </w:t>
      </w:r>
      <w:proofErr w:type="spellStart"/>
      <w:r w:rsidRPr="000B03F5">
        <w:rPr>
          <w:lang w:val="es-ES"/>
        </w:rPr>
        <w:t>učešću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ugovora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zaključenih</w:t>
      </w:r>
      <w:proofErr w:type="spellEnd"/>
      <w:r w:rsidRPr="000B03F5">
        <w:rPr>
          <w:lang w:val="es-ES"/>
        </w:rPr>
        <w:t xml:space="preserve"> sa </w:t>
      </w:r>
      <w:proofErr w:type="spellStart"/>
      <w:r w:rsidRPr="000B03F5">
        <w:rPr>
          <w:lang w:val="es-ES"/>
        </w:rPr>
        <w:t>fizičkim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licima</w:t>
      </w:r>
      <w:proofErr w:type="spellEnd"/>
      <w:r w:rsidRPr="000B03F5">
        <w:rPr>
          <w:lang w:val="es-ES"/>
        </w:rPr>
        <w:t xml:space="preserve">, </w:t>
      </w:r>
      <w:proofErr w:type="spellStart"/>
      <w:r w:rsidRPr="000B03F5">
        <w:rPr>
          <w:lang w:val="es-ES"/>
        </w:rPr>
        <w:t>odnosno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pravnim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licima</w:t>
      </w:r>
      <w:proofErr w:type="spellEnd"/>
      <w:r w:rsidRPr="000B03F5">
        <w:rPr>
          <w:lang w:val="es-ES"/>
        </w:rPr>
        <w:t xml:space="preserve"> u </w:t>
      </w:r>
      <w:proofErr w:type="spellStart"/>
      <w:r w:rsidRPr="000B03F5">
        <w:rPr>
          <w:lang w:val="es-ES"/>
        </w:rPr>
        <w:t>ukupnom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broju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ugovora</w:t>
      </w:r>
      <w:proofErr w:type="spellEnd"/>
      <w:r w:rsidRPr="000B03F5">
        <w:rPr>
          <w:lang w:val="es-ES"/>
        </w:rPr>
        <w:t xml:space="preserve">, </w:t>
      </w:r>
      <w:proofErr w:type="spellStart"/>
      <w:r w:rsidRPr="000B03F5">
        <w:rPr>
          <w:lang w:val="es-ES"/>
        </w:rPr>
        <w:t>primjetno</w:t>
      </w:r>
      <w:proofErr w:type="spellEnd"/>
      <w:r w:rsidRPr="000B03F5">
        <w:rPr>
          <w:lang w:val="es-ES"/>
        </w:rPr>
        <w:t xml:space="preserve"> je da je </w:t>
      </w:r>
      <w:proofErr w:type="spellStart"/>
      <w:r w:rsidRPr="000B03F5">
        <w:rPr>
          <w:lang w:val="es-ES"/>
        </w:rPr>
        <w:t>politika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lizing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kuća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bila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usmjerena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diverzifikaciji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rizika</w:t>
      </w:r>
      <w:proofErr w:type="spellEnd"/>
      <w:r w:rsidRPr="000B03F5">
        <w:rPr>
          <w:lang w:val="es-ES"/>
        </w:rPr>
        <w:t xml:space="preserve"> i </w:t>
      </w:r>
      <w:proofErr w:type="spellStart"/>
      <w:r w:rsidRPr="000B03F5">
        <w:rPr>
          <w:lang w:val="es-ES"/>
        </w:rPr>
        <w:t>osiguranju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optimalne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strukture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klijenata</w:t>
      </w:r>
      <w:proofErr w:type="spellEnd"/>
      <w:r w:rsidRPr="000B03F5">
        <w:rPr>
          <w:lang w:val="es-ES"/>
        </w:rPr>
        <w:t xml:space="preserve">, </w:t>
      </w:r>
      <w:proofErr w:type="spellStart"/>
      <w:r w:rsidRPr="000B03F5">
        <w:rPr>
          <w:lang w:val="es-ES"/>
        </w:rPr>
        <w:t>što</w:t>
      </w:r>
      <w:proofErr w:type="spellEnd"/>
      <w:r w:rsidRPr="000B03F5">
        <w:rPr>
          <w:lang w:val="es-ES"/>
        </w:rPr>
        <w:t xml:space="preserve"> je </w:t>
      </w:r>
      <w:proofErr w:type="spellStart"/>
      <w:r w:rsidRPr="000B03F5">
        <w:rPr>
          <w:lang w:val="es-ES"/>
        </w:rPr>
        <w:t>nastavak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poslovanja</w:t>
      </w:r>
      <w:proofErr w:type="spellEnd"/>
      <w:r w:rsidRPr="000B03F5">
        <w:rPr>
          <w:lang w:val="es-ES"/>
        </w:rPr>
        <w:t xml:space="preserve"> od </w:t>
      </w:r>
      <w:proofErr w:type="spellStart"/>
      <w:r w:rsidRPr="000B03F5">
        <w:rPr>
          <w:lang w:val="es-ES"/>
        </w:rPr>
        <w:t>ranijih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godina</w:t>
      </w:r>
      <w:proofErr w:type="spellEnd"/>
      <w:r w:rsidRPr="000B03F5">
        <w:rPr>
          <w:lang w:val="es-ES"/>
        </w:rPr>
        <w:t>.</w:t>
      </w:r>
    </w:p>
    <w:p w:rsidR="00893964" w:rsidRPr="000B03F5" w:rsidRDefault="00893964" w:rsidP="00501421">
      <w:pPr>
        <w:autoSpaceDE w:val="0"/>
        <w:autoSpaceDN w:val="0"/>
        <w:adjustRightInd w:val="0"/>
        <w:spacing w:after="120"/>
        <w:ind w:left="-567"/>
        <w:jc w:val="both"/>
      </w:pPr>
      <w:proofErr w:type="spellStart"/>
      <w:r w:rsidRPr="000B03F5">
        <w:rPr>
          <w:lang w:val="es-ES"/>
        </w:rPr>
        <w:t>Što</w:t>
      </w:r>
      <w:proofErr w:type="spellEnd"/>
      <w:r w:rsidRPr="000B03F5">
        <w:rPr>
          <w:lang w:val="es-ES"/>
        </w:rPr>
        <w:t xml:space="preserve"> se </w:t>
      </w:r>
      <w:proofErr w:type="spellStart"/>
      <w:r w:rsidRPr="000B03F5">
        <w:rPr>
          <w:lang w:val="es-ES"/>
        </w:rPr>
        <w:t>tiče</w:t>
      </w:r>
      <w:proofErr w:type="spellEnd"/>
      <w:r w:rsidRPr="000B03F5">
        <w:rPr>
          <w:lang w:val="es-ES"/>
        </w:rPr>
        <w:t xml:space="preserve"> vrijednosti </w:t>
      </w:r>
      <w:proofErr w:type="spellStart"/>
      <w:r w:rsidRPr="000B03F5">
        <w:rPr>
          <w:lang w:val="es-ES"/>
        </w:rPr>
        <w:t>novozaključenih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ugovora</w:t>
      </w:r>
      <w:proofErr w:type="spellEnd"/>
      <w:r w:rsidRPr="000B03F5">
        <w:rPr>
          <w:lang w:val="es-ES"/>
        </w:rPr>
        <w:t xml:space="preserve"> </w:t>
      </w:r>
      <w:proofErr w:type="spellStart"/>
      <w:r w:rsidR="008E4618" w:rsidRPr="000B03F5">
        <w:rPr>
          <w:lang w:val="es-ES"/>
        </w:rPr>
        <w:t>najveći</w:t>
      </w:r>
      <w:proofErr w:type="spellEnd"/>
      <w:r w:rsidR="008E4618"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udio</w:t>
      </w:r>
      <w:proofErr w:type="spellEnd"/>
      <w:r w:rsidRPr="000B03F5">
        <w:rPr>
          <w:lang w:val="es-ES"/>
        </w:rPr>
        <w:t xml:space="preserve"> u </w:t>
      </w:r>
      <w:proofErr w:type="spellStart"/>
      <w:r w:rsidRPr="000B03F5">
        <w:rPr>
          <w:lang w:val="es-ES"/>
        </w:rPr>
        <w:t>ukupnoj</w:t>
      </w:r>
      <w:proofErr w:type="spellEnd"/>
      <w:r w:rsidRPr="000B03F5">
        <w:rPr>
          <w:lang w:val="es-ES"/>
        </w:rPr>
        <w:t xml:space="preserve"> vrijednosti </w:t>
      </w:r>
      <w:proofErr w:type="spellStart"/>
      <w:r w:rsidRPr="000B03F5">
        <w:rPr>
          <w:lang w:val="es-ES"/>
        </w:rPr>
        <w:t>na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kraju</w:t>
      </w:r>
      <w:proofErr w:type="spellEnd"/>
      <w:r w:rsidRPr="000B03F5">
        <w:rPr>
          <w:lang w:val="es-ES"/>
        </w:rPr>
        <w:t xml:space="preserve"> 2016. </w:t>
      </w:r>
      <w:proofErr w:type="spellStart"/>
      <w:proofErr w:type="gramStart"/>
      <w:r w:rsidRPr="000B03F5">
        <w:rPr>
          <w:lang w:val="es-ES"/>
        </w:rPr>
        <w:t>godine</w:t>
      </w:r>
      <w:proofErr w:type="spellEnd"/>
      <w:proofErr w:type="gramEnd"/>
      <w:r w:rsidRPr="000B03F5">
        <w:rPr>
          <w:lang w:val="es-ES"/>
        </w:rPr>
        <w:t xml:space="preserve"> se </w:t>
      </w:r>
      <w:proofErr w:type="spellStart"/>
      <w:r w:rsidRPr="000B03F5">
        <w:rPr>
          <w:lang w:val="es-ES"/>
        </w:rPr>
        <w:t>odnosi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na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ugovore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zaključene</w:t>
      </w:r>
      <w:proofErr w:type="spellEnd"/>
      <w:r w:rsidRPr="000B03F5">
        <w:rPr>
          <w:lang w:val="es-ES"/>
        </w:rPr>
        <w:t xml:space="preserve"> sa </w:t>
      </w:r>
      <w:proofErr w:type="spellStart"/>
      <w:r w:rsidRPr="000B03F5">
        <w:rPr>
          <w:lang w:val="es-ES"/>
        </w:rPr>
        <w:t>pravnim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licima</w:t>
      </w:r>
      <w:proofErr w:type="spellEnd"/>
      <w:r w:rsidRPr="000B03F5">
        <w:rPr>
          <w:lang w:val="es-ES"/>
        </w:rPr>
        <w:t xml:space="preserve"> </w:t>
      </w:r>
      <w:r w:rsidR="00FB5332" w:rsidRPr="000B03F5">
        <w:rPr>
          <w:lang w:val="es-ES"/>
        </w:rPr>
        <w:t>61,8</w:t>
      </w:r>
      <w:r w:rsidRPr="000B03F5">
        <w:rPr>
          <w:lang w:val="es-ES"/>
        </w:rPr>
        <w:t xml:space="preserve">%, </w:t>
      </w:r>
      <w:proofErr w:type="spellStart"/>
      <w:r w:rsidRPr="000B03F5">
        <w:rPr>
          <w:lang w:val="es-ES"/>
        </w:rPr>
        <w:t>dok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fizička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lica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čine</w:t>
      </w:r>
      <w:proofErr w:type="spellEnd"/>
      <w:r w:rsidRPr="000B03F5">
        <w:rPr>
          <w:lang w:val="es-ES"/>
        </w:rPr>
        <w:t xml:space="preserve"> </w:t>
      </w:r>
      <w:r w:rsidR="00FB5332" w:rsidRPr="000B03F5">
        <w:rPr>
          <w:lang w:val="es-ES"/>
        </w:rPr>
        <w:t>38,1</w:t>
      </w:r>
      <w:r w:rsidRPr="000B03F5">
        <w:rPr>
          <w:lang w:val="es-ES"/>
        </w:rPr>
        <w:t xml:space="preserve">%, </w:t>
      </w:r>
      <w:proofErr w:type="spellStart"/>
      <w:r w:rsidRPr="000B03F5">
        <w:rPr>
          <w:lang w:val="es-ES"/>
        </w:rPr>
        <w:t>kao</w:t>
      </w:r>
      <w:proofErr w:type="spellEnd"/>
      <w:r w:rsidRPr="000B03F5">
        <w:rPr>
          <w:lang w:val="es-ES"/>
        </w:rPr>
        <w:t xml:space="preserve"> i </w:t>
      </w:r>
      <w:proofErr w:type="spellStart"/>
      <w:r w:rsidRPr="000B03F5">
        <w:rPr>
          <w:lang w:val="es-ES"/>
        </w:rPr>
        <w:t>preduzetnici</w:t>
      </w:r>
      <w:proofErr w:type="spellEnd"/>
      <w:r w:rsidRPr="000B03F5">
        <w:rPr>
          <w:lang w:val="es-ES"/>
        </w:rPr>
        <w:t xml:space="preserve"> sa 0,2% od </w:t>
      </w:r>
      <w:proofErr w:type="spellStart"/>
      <w:r w:rsidRPr="000B03F5">
        <w:rPr>
          <w:lang w:val="es-ES"/>
        </w:rPr>
        <w:t>ukupne</w:t>
      </w:r>
      <w:proofErr w:type="spellEnd"/>
      <w:r w:rsidRPr="000B03F5">
        <w:rPr>
          <w:lang w:val="es-ES"/>
        </w:rPr>
        <w:t xml:space="preserve"> vrijednosti.</w:t>
      </w:r>
    </w:p>
    <w:p w:rsidR="00893964" w:rsidRPr="000B03F5" w:rsidRDefault="00893964" w:rsidP="00501421">
      <w:pPr>
        <w:spacing w:after="120"/>
        <w:ind w:left="-567"/>
        <w:rPr>
          <w:lang w:val="es-ES"/>
        </w:rPr>
      </w:pPr>
    </w:p>
    <w:p w:rsidR="00893964" w:rsidRPr="000B03F5" w:rsidRDefault="00893964" w:rsidP="00501421">
      <w:pPr>
        <w:spacing w:after="120"/>
        <w:rPr>
          <w:lang w:val="es-ES"/>
        </w:rPr>
      </w:pPr>
    </w:p>
    <w:p w:rsidR="00893964" w:rsidRPr="000B03F5" w:rsidRDefault="00893964" w:rsidP="00501421">
      <w:pPr>
        <w:pStyle w:val="ListParagraph"/>
        <w:numPr>
          <w:ilvl w:val="0"/>
          <w:numId w:val="2"/>
        </w:numPr>
        <w:spacing w:after="120"/>
        <w:jc w:val="both"/>
        <w:rPr>
          <w:b/>
          <w:i/>
        </w:rPr>
      </w:pPr>
      <w:r w:rsidRPr="000B03F5">
        <w:rPr>
          <w:b/>
          <w:i/>
        </w:rPr>
        <w:lastRenderedPageBreak/>
        <w:t>Vrijednost i broj lizing poslova prema vrsti lizinga</w:t>
      </w:r>
    </w:p>
    <w:p w:rsidR="00893964" w:rsidRPr="000B03F5" w:rsidRDefault="00893964" w:rsidP="00501421">
      <w:pPr>
        <w:spacing w:after="120"/>
        <w:ind w:left="-567"/>
        <w:jc w:val="both"/>
        <w:rPr>
          <w:lang w:val="pl-PL"/>
        </w:rPr>
      </w:pPr>
      <w:r w:rsidRPr="000B03F5">
        <w:rPr>
          <w:lang w:val="pl-PL"/>
        </w:rPr>
        <w:t xml:space="preserve">U 2016. godini, kao što je bio slučaj i u prethodnim godinama, poslovi finansijskog lizinga imali su značajno učešće u ukupnom broju, kao i vrijednosti zaključenih ugovora. </w:t>
      </w:r>
    </w:p>
    <w:p w:rsidR="00893964" w:rsidRPr="000B03F5" w:rsidRDefault="00893964" w:rsidP="00501421">
      <w:pPr>
        <w:tabs>
          <w:tab w:val="left" w:pos="1590"/>
        </w:tabs>
        <w:spacing w:after="120"/>
        <w:ind w:left="-567"/>
        <w:jc w:val="both"/>
        <w:rPr>
          <w:lang w:val="pl-PL"/>
        </w:rPr>
      </w:pPr>
    </w:p>
    <w:p w:rsidR="00893964" w:rsidRPr="000B03F5" w:rsidRDefault="00893964" w:rsidP="00501421">
      <w:pPr>
        <w:spacing w:after="120"/>
        <w:ind w:left="-567"/>
        <w:jc w:val="center"/>
        <w:rPr>
          <w:i/>
        </w:rPr>
      </w:pPr>
      <w:r w:rsidRPr="000B03F5">
        <w:rPr>
          <w:b/>
          <w:i/>
        </w:rPr>
        <w:t>Tabela 2</w:t>
      </w:r>
      <w:r w:rsidRPr="000B03F5">
        <w:rPr>
          <w:i/>
        </w:rPr>
        <w:t>: Broj i vrijednost zaključenih ugovora po tipu lizinga</w:t>
      </w:r>
    </w:p>
    <w:tbl>
      <w:tblPr>
        <w:tblW w:w="10634" w:type="dxa"/>
        <w:jc w:val="center"/>
        <w:tblInd w:w="-1463" w:type="dxa"/>
        <w:tblCellMar>
          <w:left w:w="70" w:type="dxa"/>
          <w:right w:w="70" w:type="dxa"/>
        </w:tblCellMar>
        <w:tblLook w:val="04A0"/>
      </w:tblPr>
      <w:tblGrid>
        <w:gridCol w:w="1391"/>
        <w:gridCol w:w="993"/>
        <w:gridCol w:w="709"/>
        <w:gridCol w:w="1195"/>
        <w:gridCol w:w="643"/>
        <w:gridCol w:w="997"/>
        <w:gridCol w:w="643"/>
        <w:gridCol w:w="1421"/>
        <w:gridCol w:w="643"/>
        <w:gridCol w:w="1134"/>
        <w:gridCol w:w="865"/>
      </w:tblGrid>
      <w:tr w:rsidR="00893964" w:rsidRPr="000B03F5" w:rsidTr="001A0340">
        <w:trPr>
          <w:trHeight w:val="823"/>
          <w:jc w:val="center"/>
        </w:trPr>
        <w:tc>
          <w:tcPr>
            <w:tcW w:w="13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93964" w:rsidRPr="000B03F5" w:rsidRDefault="00893964" w:rsidP="00501421">
            <w:pPr>
              <w:ind w:left="-142"/>
              <w:rPr>
                <w:sz w:val="16"/>
                <w:szCs w:val="16"/>
                <w:lang w:val="pl-PL"/>
              </w:rPr>
            </w:pPr>
            <w:r w:rsidRPr="000B03F5">
              <w:rPr>
                <w:sz w:val="16"/>
                <w:szCs w:val="16"/>
                <w:lang w:val="pl-PL"/>
              </w:rPr>
              <w:t> </w:t>
            </w:r>
          </w:p>
        </w:tc>
        <w:tc>
          <w:tcPr>
            <w:tcW w:w="354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:rsidR="00893964" w:rsidRPr="000B03F5" w:rsidRDefault="00893964" w:rsidP="00501421">
            <w:pPr>
              <w:ind w:left="-142"/>
              <w:jc w:val="center"/>
              <w:rPr>
                <w:b/>
                <w:color w:val="000000"/>
                <w:sz w:val="16"/>
                <w:szCs w:val="16"/>
              </w:rPr>
            </w:pPr>
            <w:r w:rsidRPr="000B03F5">
              <w:rPr>
                <w:b/>
                <w:sz w:val="16"/>
                <w:szCs w:val="16"/>
              </w:rPr>
              <w:t>Ukupno na dan 31. 12.</w:t>
            </w:r>
            <w:r w:rsidRPr="000B03F5">
              <w:rPr>
                <w:b/>
                <w:color w:val="000000"/>
                <w:sz w:val="16"/>
                <w:szCs w:val="16"/>
              </w:rPr>
              <w:t xml:space="preserve"> 2015. godine</w:t>
            </w:r>
          </w:p>
        </w:tc>
        <w:tc>
          <w:tcPr>
            <w:tcW w:w="3704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:rsidR="00893964" w:rsidRPr="000B03F5" w:rsidRDefault="00893964" w:rsidP="00501421">
            <w:pPr>
              <w:ind w:left="-142"/>
              <w:jc w:val="center"/>
              <w:rPr>
                <w:b/>
                <w:color w:val="000000"/>
                <w:sz w:val="16"/>
                <w:szCs w:val="16"/>
              </w:rPr>
            </w:pPr>
            <w:r w:rsidRPr="000B03F5">
              <w:rPr>
                <w:b/>
                <w:sz w:val="16"/>
                <w:szCs w:val="16"/>
              </w:rPr>
              <w:t>Ukupno na dan 31. 12.</w:t>
            </w:r>
            <w:r w:rsidRPr="000B03F5">
              <w:rPr>
                <w:b/>
                <w:color w:val="000000"/>
                <w:sz w:val="16"/>
                <w:szCs w:val="16"/>
              </w:rPr>
              <w:t xml:space="preserve"> 2016. godine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893964" w:rsidRPr="000B03F5" w:rsidRDefault="00893964" w:rsidP="00501421">
            <w:pPr>
              <w:ind w:left="-142"/>
              <w:jc w:val="center"/>
              <w:rPr>
                <w:b/>
                <w:sz w:val="16"/>
                <w:szCs w:val="16"/>
              </w:rPr>
            </w:pPr>
            <w:r w:rsidRPr="000B03F5">
              <w:rPr>
                <w:b/>
                <w:sz w:val="16"/>
                <w:szCs w:val="16"/>
              </w:rPr>
              <w:t>Stopa rasta</w:t>
            </w:r>
          </w:p>
          <w:p w:rsidR="00893964" w:rsidRPr="000B03F5" w:rsidRDefault="00893964" w:rsidP="00501421">
            <w:pPr>
              <w:ind w:left="-142"/>
              <w:jc w:val="center"/>
              <w:rPr>
                <w:b/>
                <w:sz w:val="16"/>
                <w:szCs w:val="16"/>
              </w:rPr>
            </w:pPr>
            <w:r w:rsidRPr="000B03F5">
              <w:rPr>
                <w:b/>
                <w:sz w:val="16"/>
                <w:szCs w:val="16"/>
              </w:rPr>
              <w:t>(broj)</w:t>
            </w:r>
          </w:p>
          <w:p w:rsidR="00893964" w:rsidRPr="000B03F5" w:rsidRDefault="00893964" w:rsidP="00501421">
            <w:pPr>
              <w:ind w:left="-142"/>
              <w:jc w:val="center"/>
              <w:rPr>
                <w:b/>
                <w:sz w:val="16"/>
                <w:szCs w:val="16"/>
              </w:rPr>
            </w:pPr>
            <w:r w:rsidRPr="000B03F5">
              <w:rPr>
                <w:b/>
                <w:sz w:val="16"/>
                <w:szCs w:val="16"/>
              </w:rPr>
              <w:t xml:space="preserve"> (3)/ (1)</w:t>
            </w:r>
          </w:p>
        </w:tc>
        <w:tc>
          <w:tcPr>
            <w:tcW w:w="86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92CDDC"/>
            <w:vAlign w:val="center"/>
            <w:hideMark/>
          </w:tcPr>
          <w:p w:rsidR="00893964" w:rsidRPr="000B03F5" w:rsidRDefault="00893964" w:rsidP="00501421">
            <w:pPr>
              <w:ind w:left="-142"/>
              <w:jc w:val="center"/>
              <w:rPr>
                <w:b/>
                <w:sz w:val="16"/>
                <w:szCs w:val="16"/>
              </w:rPr>
            </w:pPr>
            <w:r w:rsidRPr="000B03F5">
              <w:rPr>
                <w:b/>
                <w:sz w:val="16"/>
                <w:szCs w:val="16"/>
              </w:rPr>
              <w:t>Stopa rasta/pada</w:t>
            </w:r>
          </w:p>
          <w:p w:rsidR="00893964" w:rsidRPr="000B03F5" w:rsidRDefault="00893964" w:rsidP="00501421">
            <w:pPr>
              <w:ind w:left="-142"/>
              <w:jc w:val="center"/>
              <w:rPr>
                <w:b/>
                <w:sz w:val="16"/>
                <w:szCs w:val="16"/>
              </w:rPr>
            </w:pPr>
            <w:r w:rsidRPr="000B03F5">
              <w:rPr>
                <w:b/>
                <w:sz w:val="16"/>
                <w:szCs w:val="16"/>
              </w:rPr>
              <w:t xml:space="preserve"> (vrijednost)</w:t>
            </w:r>
          </w:p>
          <w:p w:rsidR="00893964" w:rsidRPr="000B03F5" w:rsidRDefault="00893964" w:rsidP="00501421">
            <w:pPr>
              <w:ind w:left="-142"/>
              <w:jc w:val="center"/>
              <w:rPr>
                <w:b/>
                <w:sz w:val="16"/>
                <w:szCs w:val="16"/>
              </w:rPr>
            </w:pPr>
            <w:r w:rsidRPr="000B03F5">
              <w:rPr>
                <w:b/>
                <w:sz w:val="16"/>
                <w:szCs w:val="16"/>
              </w:rPr>
              <w:t>(4)/(2)</w:t>
            </w:r>
          </w:p>
        </w:tc>
      </w:tr>
      <w:tr w:rsidR="00893964" w:rsidRPr="000B03F5" w:rsidTr="001A0340">
        <w:trPr>
          <w:trHeight w:val="676"/>
          <w:jc w:val="center"/>
        </w:trPr>
        <w:tc>
          <w:tcPr>
            <w:tcW w:w="1391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93964" w:rsidRPr="000B03F5" w:rsidRDefault="00893964" w:rsidP="00501421">
            <w:pPr>
              <w:ind w:left="-142"/>
              <w:jc w:val="center"/>
              <w:rPr>
                <w:b/>
                <w:sz w:val="16"/>
                <w:szCs w:val="16"/>
              </w:rPr>
            </w:pPr>
            <w:r w:rsidRPr="000B03F5">
              <w:rPr>
                <w:b/>
                <w:sz w:val="16"/>
                <w:szCs w:val="16"/>
              </w:rPr>
              <w:t>Tip lizinga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893964" w:rsidRPr="000B03F5" w:rsidRDefault="00893964" w:rsidP="00501421">
            <w:pPr>
              <w:ind w:left="-142"/>
              <w:jc w:val="center"/>
              <w:rPr>
                <w:b/>
                <w:color w:val="000000"/>
                <w:sz w:val="16"/>
                <w:szCs w:val="16"/>
              </w:rPr>
            </w:pPr>
            <w:r w:rsidRPr="000B03F5">
              <w:rPr>
                <w:b/>
                <w:color w:val="000000"/>
                <w:sz w:val="16"/>
                <w:szCs w:val="16"/>
              </w:rPr>
              <w:t xml:space="preserve">Broj zaključenih ugovora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:rsidR="00893964" w:rsidRPr="000B03F5" w:rsidRDefault="00893964" w:rsidP="00501421">
            <w:pPr>
              <w:ind w:left="-142"/>
              <w:jc w:val="center"/>
              <w:rPr>
                <w:b/>
                <w:color w:val="000000"/>
                <w:sz w:val="16"/>
                <w:szCs w:val="16"/>
              </w:rPr>
            </w:pPr>
            <w:r w:rsidRPr="000B03F5">
              <w:rPr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893964" w:rsidRPr="000B03F5" w:rsidRDefault="00893964" w:rsidP="00501421">
            <w:pPr>
              <w:ind w:left="-142"/>
              <w:jc w:val="center"/>
              <w:rPr>
                <w:b/>
                <w:color w:val="000000"/>
                <w:sz w:val="16"/>
                <w:szCs w:val="16"/>
              </w:rPr>
            </w:pPr>
            <w:r w:rsidRPr="000B03F5">
              <w:rPr>
                <w:b/>
                <w:color w:val="000000"/>
                <w:sz w:val="16"/>
                <w:szCs w:val="16"/>
              </w:rPr>
              <w:t xml:space="preserve">Vrijednost zaključenih ugovora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:rsidR="00893964" w:rsidRPr="000B03F5" w:rsidRDefault="00893964" w:rsidP="00501421">
            <w:pPr>
              <w:ind w:left="-142"/>
              <w:jc w:val="center"/>
              <w:rPr>
                <w:b/>
                <w:color w:val="000000"/>
                <w:sz w:val="16"/>
                <w:szCs w:val="16"/>
              </w:rPr>
            </w:pPr>
            <w:r w:rsidRPr="000B03F5">
              <w:rPr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893964" w:rsidRPr="000B03F5" w:rsidRDefault="00893964" w:rsidP="00501421">
            <w:pPr>
              <w:ind w:left="-142"/>
              <w:jc w:val="center"/>
              <w:rPr>
                <w:b/>
                <w:color w:val="000000"/>
                <w:sz w:val="16"/>
                <w:szCs w:val="16"/>
              </w:rPr>
            </w:pPr>
            <w:r w:rsidRPr="000B03F5">
              <w:rPr>
                <w:b/>
                <w:color w:val="000000"/>
                <w:sz w:val="16"/>
                <w:szCs w:val="16"/>
              </w:rPr>
              <w:t xml:space="preserve">Broj zaključenih ugovora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:rsidR="00893964" w:rsidRPr="000B03F5" w:rsidRDefault="00893964" w:rsidP="00501421">
            <w:pPr>
              <w:ind w:left="-142"/>
              <w:jc w:val="center"/>
              <w:rPr>
                <w:b/>
                <w:color w:val="000000"/>
                <w:sz w:val="16"/>
                <w:szCs w:val="16"/>
              </w:rPr>
            </w:pPr>
            <w:r w:rsidRPr="000B03F5">
              <w:rPr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893964" w:rsidRPr="000B03F5" w:rsidRDefault="00893964" w:rsidP="00501421">
            <w:pPr>
              <w:ind w:left="-142"/>
              <w:jc w:val="center"/>
              <w:rPr>
                <w:b/>
                <w:color w:val="000000"/>
                <w:sz w:val="16"/>
                <w:szCs w:val="16"/>
              </w:rPr>
            </w:pPr>
            <w:r w:rsidRPr="000B03F5">
              <w:rPr>
                <w:b/>
                <w:color w:val="000000"/>
                <w:sz w:val="16"/>
                <w:szCs w:val="16"/>
              </w:rPr>
              <w:t xml:space="preserve">Vrijednost zaključenih ugovora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:rsidR="00893964" w:rsidRPr="000B03F5" w:rsidRDefault="00893964" w:rsidP="00501421">
            <w:pPr>
              <w:ind w:left="-142"/>
              <w:jc w:val="center"/>
              <w:rPr>
                <w:b/>
                <w:color w:val="000000"/>
                <w:sz w:val="16"/>
                <w:szCs w:val="16"/>
              </w:rPr>
            </w:pPr>
            <w:r w:rsidRPr="000B03F5">
              <w:rPr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:rsidR="00893964" w:rsidRPr="000B03F5" w:rsidRDefault="004E40AF" w:rsidP="00501421">
            <w:pPr>
              <w:keepNext/>
              <w:keepLines/>
              <w:spacing w:before="480"/>
              <w:ind w:left="-142"/>
              <w:jc w:val="center"/>
              <w:outlineLvl w:val="0"/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 w:rsidRPr="000B03F5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92CDDC"/>
            <w:noWrap/>
            <w:vAlign w:val="center"/>
            <w:hideMark/>
          </w:tcPr>
          <w:p w:rsidR="00893964" w:rsidRPr="000B03F5" w:rsidRDefault="004E40AF" w:rsidP="00501421">
            <w:pPr>
              <w:keepNext/>
              <w:keepLines/>
              <w:spacing w:before="480"/>
              <w:ind w:left="-142"/>
              <w:jc w:val="center"/>
              <w:outlineLvl w:val="0"/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 w:rsidRPr="000B03F5">
              <w:rPr>
                <w:b/>
                <w:sz w:val="16"/>
                <w:szCs w:val="16"/>
              </w:rPr>
              <w:t>%</w:t>
            </w:r>
          </w:p>
        </w:tc>
      </w:tr>
      <w:tr w:rsidR="00893964" w:rsidRPr="000B03F5" w:rsidTr="001A0340">
        <w:trPr>
          <w:trHeight w:val="294"/>
          <w:jc w:val="center"/>
        </w:trPr>
        <w:tc>
          <w:tcPr>
            <w:tcW w:w="1391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93964" w:rsidRPr="000B03F5" w:rsidRDefault="00893964" w:rsidP="00501421">
            <w:pPr>
              <w:ind w:left="-142"/>
              <w:rPr>
                <w:sz w:val="16"/>
                <w:szCs w:val="16"/>
              </w:rPr>
            </w:pPr>
            <w:r w:rsidRPr="000B03F5">
              <w:rPr>
                <w:sz w:val="16"/>
                <w:szCs w:val="16"/>
              </w:rPr>
              <w:t>Opeartivni lizing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964" w:rsidRPr="000B03F5" w:rsidRDefault="00893964" w:rsidP="00501421">
            <w:pPr>
              <w:jc w:val="right"/>
              <w:rPr>
                <w:sz w:val="16"/>
                <w:szCs w:val="16"/>
              </w:rPr>
            </w:pPr>
            <w:r w:rsidRPr="000B03F5">
              <w:rPr>
                <w:sz w:val="16"/>
                <w:szCs w:val="16"/>
              </w:rPr>
              <w:t>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964" w:rsidRPr="000B03F5" w:rsidRDefault="00893964" w:rsidP="00501421">
            <w:pPr>
              <w:jc w:val="right"/>
              <w:rPr>
                <w:sz w:val="16"/>
                <w:szCs w:val="16"/>
              </w:rPr>
            </w:pPr>
            <w:r w:rsidRPr="000B03F5">
              <w:rPr>
                <w:sz w:val="16"/>
                <w:szCs w:val="16"/>
              </w:rPr>
              <w:t>18,78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964" w:rsidRPr="000B03F5" w:rsidRDefault="00893964" w:rsidP="00501421">
            <w:pPr>
              <w:jc w:val="right"/>
              <w:rPr>
                <w:sz w:val="16"/>
                <w:szCs w:val="16"/>
              </w:rPr>
            </w:pPr>
            <w:r w:rsidRPr="000B03F5">
              <w:rPr>
                <w:sz w:val="16"/>
                <w:szCs w:val="16"/>
              </w:rPr>
              <w:t>2.973.140,61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964" w:rsidRPr="000B03F5" w:rsidRDefault="00893964" w:rsidP="00501421">
            <w:pPr>
              <w:jc w:val="right"/>
              <w:rPr>
                <w:sz w:val="16"/>
                <w:szCs w:val="16"/>
              </w:rPr>
            </w:pPr>
            <w:r w:rsidRPr="000B03F5">
              <w:rPr>
                <w:sz w:val="16"/>
                <w:szCs w:val="16"/>
              </w:rPr>
              <w:t>17,91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964" w:rsidRPr="000B03F5" w:rsidRDefault="00893964" w:rsidP="00501421">
            <w:pPr>
              <w:jc w:val="right"/>
              <w:rPr>
                <w:b/>
                <w:sz w:val="16"/>
                <w:szCs w:val="16"/>
              </w:rPr>
            </w:pPr>
            <w:r w:rsidRPr="000B03F5">
              <w:rPr>
                <w:b/>
                <w:sz w:val="16"/>
                <w:szCs w:val="16"/>
              </w:rPr>
              <w:t>304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964" w:rsidRPr="000B03F5" w:rsidRDefault="00893964" w:rsidP="00501421">
            <w:pPr>
              <w:jc w:val="right"/>
              <w:rPr>
                <w:b/>
                <w:sz w:val="16"/>
                <w:szCs w:val="16"/>
              </w:rPr>
            </w:pPr>
            <w:r w:rsidRPr="000B03F5">
              <w:rPr>
                <w:b/>
                <w:sz w:val="16"/>
                <w:szCs w:val="16"/>
              </w:rPr>
              <w:t>23,4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964" w:rsidRPr="000B03F5" w:rsidRDefault="00893964" w:rsidP="00501421">
            <w:pPr>
              <w:jc w:val="right"/>
              <w:rPr>
                <w:b/>
                <w:sz w:val="16"/>
                <w:szCs w:val="16"/>
              </w:rPr>
            </w:pPr>
            <w:r w:rsidRPr="000B03F5">
              <w:rPr>
                <w:b/>
                <w:color w:val="000000"/>
                <w:sz w:val="16"/>
                <w:szCs w:val="16"/>
              </w:rPr>
              <w:t>3</w:t>
            </w:r>
            <w:r w:rsidR="00FB5332" w:rsidRPr="000B03F5">
              <w:rPr>
                <w:b/>
                <w:color w:val="000000"/>
                <w:sz w:val="16"/>
                <w:szCs w:val="16"/>
              </w:rPr>
              <w:t>.</w:t>
            </w:r>
            <w:r w:rsidRPr="000B03F5">
              <w:rPr>
                <w:b/>
                <w:color w:val="000000"/>
                <w:sz w:val="16"/>
                <w:szCs w:val="16"/>
              </w:rPr>
              <w:t>593</w:t>
            </w:r>
            <w:r w:rsidR="00FB5332" w:rsidRPr="000B03F5">
              <w:rPr>
                <w:b/>
                <w:color w:val="000000"/>
                <w:sz w:val="16"/>
                <w:szCs w:val="16"/>
              </w:rPr>
              <w:t>.476,</w:t>
            </w:r>
            <w:r w:rsidRPr="000B03F5">
              <w:rPr>
                <w:b/>
                <w:color w:val="000000"/>
                <w:sz w:val="16"/>
                <w:szCs w:val="16"/>
              </w:rPr>
              <w:t>70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964" w:rsidRPr="000B03F5" w:rsidRDefault="00893964" w:rsidP="00501421">
            <w:pPr>
              <w:jc w:val="right"/>
              <w:rPr>
                <w:b/>
                <w:sz w:val="16"/>
                <w:szCs w:val="16"/>
              </w:rPr>
            </w:pPr>
            <w:r w:rsidRPr="000B03F5">
              <w:rPr>
                <w:b/>
                <w:sz w:val="16"/>
                <w:szCs w:val="16"/>
              </w:rPr>
              <w:t>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964" w:rsidRPr="000B03F5" w:rsidRDefault="004E40AF" w:rsidP="00501421">
            <w:pPr>
              <w:keepNext/>
              <w:keepLines/>
              <w:jc w:val="right"/>
              <w:outlineLvl w:val="0"/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 w:rsidRPr="000B03F5">
              <w:rPr>
                <w:sz w:val="16"/>
                <w:szCs w:val="16"/>
              </w:rPr>
              <w:t>22,</w:t>
            </w:r>
            <w:r w:rsidR="00FB5332" w:rsidRPr="000B03F5">
              <w:rPr>
                <w:sz w:val="16"/>
                <w:szCs w:val="16"/>
              </w:rPr>
              <w:t>1</w:t>
            </w:r>
            <w:r w:rsidRPr="000B03F5">
              <w:rPr>
                <w:sz w:val="16"/>
                <w:szCs w:val="16"/>
              </w:rPr>
              <w:t>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93964" w:rsidRPr="000B03F5" w:rsidRDefault="00FB5332" w:rsidP="00501421">
            <w:pPr>
              <w:keepNext/>
              <w:keepLines/>
              <w:jc w:val="right"/>
              <w:outlineLvl w:val="0"/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 w:rsidRPr="000B03F5">
              <w:rPr>
                <w:sz w:val="16"/>
                <w:szCs w:val="16"/>
              </w:rPr>
              <w:t>20,9%</w:t>
            </w:r>
          </w:p>
        </w:tc>
      </w:tr>
      <w:tr w:rsidR="00893964" w:rsidRPr="000B03F5" w:rsidTr="001A0340">
        <w:trPr>
          <w:trHeight w:val="294"/>
          <w:jc w:val="center"/>
        </w:trPr>
        <w:tc>
          <w:tcPr>
            <w:tcW w:w="1391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93964" w:rsidRPr="000B03F5" w:rsidRDefault="00893964" w:rsidP="00501421">
            <w:pPr>
              <w:ind w:left="-142"/>
              <w:rPr>
                <w:sz w:val="16"/>
                <w:szCs w:val="16"/>
              </w:rPr>
            </w:pPr>
            <w:r w:rsidRPr="000B03F5">
              <w:rPr>
                <w:sz w:val="16"/>
                <w:szCs w:val="16"/>
              </w:rPr>
              <w:t>Finansijski lizing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964" w:rsidRPr="000B03F5" w:rsidRDefault="00893964" w:rsidP="00501421">
            <w:pPr>
              <w:jc w:val="right"/>
              <w:rPr>
                <w:sz w:val="16"/>
                <w:szCs w:val="16"/>
              </w:rPr>
            </w:pPr>
            <w:r w:rsidRPr="000B03F5">
              <w:rPr>
                <w:sz w:val="16"/>
                <w:szCs w:val="16"/>
              </w:rPr>
              <w:t>1077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964" w:rsidRPr="000B03F5" w:rsidRDefault="00893964" w:rsidP="00501421">
            <w:pPr>
              <w:jc w:val="right"/>
              <w:rPr>
                <w:sz w:val="16"/>
                <w:szCs w:val="16"/>
              </w:rPr>
            </w:pPr>
            <w:r w:rsidRPr="000B03F5">
              <w:rPr>
                <w:sz w:val="16"/>
                <w:szCs w:val="16"/>
              </w:rPr>
              <w:t>81,22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964" w:rsidRPr="000B03F5" w:rsidRDefault="00893964" w:rsidP="00501421">
            <w:pPr>
              <w:jc w:val="right"/>
              <w:rPr>
                <w:sz w:val="16"/>
                <w:szCs w:val="16"/>
              </w:rPr>
            </w:pPr>
            <w:r w:rsidRPr="000B03F5">
              <w:rPr>
                <w:sz w:val="16"/>
                <w:szCs w:val="16"/>
              </w:rPr>
              <w:t>13.628.655,91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964" w:rsidRPr="000B03F5" w:rsidRDefault="00893964" w:rsidP="00501421">
            <w:pPr>
              <w:jc w:val="right"/>
              <w:rPr>
                <w:sz w:val="16"/>
                <w:szCs w:val="16"/>
              </w:rPr>
            </w:pPr>
            <w:r w:rsidRPr="000B03F5">
              <w:rPr>
                <w:sz w:val="16"/>
                <w:szCs w:val="16"/>
              </w:rPr>
              <w:t>82,09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964" w:rsidRPr="000B03F5" w:rsidRDefault="00893964" w:rsidP="00501421">
            <w:pPr>
              <w:jc w:val="right"/>
              <w:rPr>
                <w:b/>
                <w:sz w:val="16"/>
                <w:szCs w:val="16"/>
              </w:rPr>
            </w:pPr>
            <w:r w:rsidRPr="000B03F5">
              <w:rPr>
                <w:b/>
                <w:sz w:val="16"/>
                <w:szCs w:val="16"/>
              </w:rPr>
              <w:t>995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964" w:rsidRPr="000B03F5" w:rsidRDefault="00893964" w:rsidP="00501421">
            <w:pPr>
              <w:jc w:val="right"/>
              <w:rPr>
                <w:b/>
                <w:sz w:val="16"/>
                <w:szCs w:val="16"/>
              </w:rPr>
            </w:pPr>
            <w:r w:rsidRPr="000B03F5">
              <w:rPr>
                <w:b/>
                <w:sz w:val="16"/>
                <w:szCs w:val="16"/>
              </w:rPr>
              <w:t>76,6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964" w:rsidRPr="000B03F5" w:rsidRDefault="00893964" w:rsidP="0050142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B03F5">
              <w:rPr>
                <w:b/>
                <w:color w:val="000000"/>
                <w:sz w:val="16"/>
                <w:szCs w:val="16"/>
              </w:rPr>
              <w:t>12</w:t>
            </w:r>
            <w:r w:rsidR="00FB5332" w:rsidRPr="000B03F5">
              <w:rPr>
                <w:b/>
                <w:color w:val="000000"/>
                <w:sz w:val="16"/>
                <w:szCs w:val="16"/>
              </w:rPr>
              <w:t>.</w:t>
            </w:r>
            <w:r w:rsidRPr="000B03F5">
              <w:rPr>
                <w:b/>
                <w:color w:val="000000"/>
                <w:sz w:val="16"/>
                <w:szCs w:val="16"/>
              </w:rPr>
              <w:t>450</w:t>
            </w:r>
            <w:r w:rsidR="00FB5332" w:rsidRPr="000B03F5">
              <w:rPr>
                <w:b/>
                <w:color w:val="000000"/>
                <w:sz w:val="16"/>
                <w:szCs w:val="16"/>
              </w:rPr>
              <w:t>.</w:t>
            </w:r>
            <w:r w:rsidRPr="000B03F5">
              <w:rPr>
                <w:b/>
                <w:color w:val="000000"/>
                <w:sz w:val="16"/>
                <w:szCs w:val="16"/>
              </w:rPr>
              <w:t>097</w:t>
            </w:r>
            <w:r w:rsidR="00FB5332" w:rsidRPr="000B03F5">
              <w:rPr>
                <w:b/>
                <w:color w:val="000000"/>
                <w:sz w:val="16"/>
                <w:szCs w:val="16"/>
              </w:rPr>
              <w:t>,</w:t>
            </w:r>
            <w:r w:rsidRPr="000B03F5">
              <w:rPr>
                <w:b/>
                <w:color w:val="000000"/>
                <w:sz w:val="16"/>
                <w:szCs w:val="16"/>
              </w:rPr>
              <w:t>73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964" w:rsidRPr="000B03F5" w:rsidRDefault="00893964" w:rsidP="00501421">
            <w:pPr>
              <w:jc w:val="right"/>
              <w:rPr>
                <w:b/>
                <w:sz w:val="16"/>
                <w:szCs w:val="16"/>
              </w:rPr>
            </w:pPr>
            <w:r w:rsidRPr="000B03F5">
              <w:rPr>
                <w:b/>
                <w:sz w:val="16"/>
                <w:szCs w:val="16"/>
              </w:rPr>
              <w:t>7</w:t>
            </w:r>
            <w:r w:rsidR="00FB5332" w:rsidRPr="000B03F5">
              <w:rPr>
                <w:b/>
                <w:sz w:val="16"/>
                <w:szCs w:val="16"/>
              </w:rPr>
              <w:t>7</w:t>
            </w:r>
            <w:r w:rsidRPr="000B03F5">
              <w:rPr>
                <w:b/>
                <w:sz w:val="16"/>
                <w:szCs w:val="16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964" w:rsidRPr="000B03F5" w:rsidRDefault="004E40AF" w:rsidP="00501421">
            <w:pPr>
              <w:keepNext/>
              <w:keepLines/>
              <w:jc w:val="right"/>
              <w:outlineLvl w:val="0"/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 w:rsidRPr="000B03F5">
              <w:rPr>
                <w:sz w:val="16"/>
                <w:szCs w:val="16"/>
              </w:rPr>
              <w:t>-</w:t>
            </w:r>
            <w:r w:rsidR="00FB5332" w:rsidRPr="000B03F5">
              <w:rPr>
                <w:sz w:val="16"/>
                <w:szCs w:val="16"/>
              </w:rPr>
              <w:t>7,6</w:t>
            </w:r>
            <w:r w:rsidRPr="000B03F5">
              <w:rPr>
                <w:sz w:val="16"/>
                <w:szCs w:val="16"/>
              </w:rPr>
              <w:t>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93964" w:rsidRPr="000B03F5" w:rsidRDefault="004E40AF" w:rsidP="00501421">
            <w:pPr>
              <w:jc w:val="right"/>
              <w:rPr>
                <w:sz w:val="16"/>
                <w:szCs w:val="16"/>
              </w:rPr>
            </w:pPr>
            <w:r w:rsidRPr="000B03F5">
              <w:rPr>
                <w:sz w:val="16"/>
                <w:szCs w:val="16"/>
              </w:rPr>
              <w:t>-</w:t>
            </w:r>
            <w:r w:rsidR="00835E00" w:rsidRPr="000B03F5">
              <w:rPr>
                <w:sz w:val="16"/>
                <w:szCs w:val="16"/>
              </w:rPr>
              <w:t>8,6%</w:t>
            </w:r>
          </w:p>
        </w:tc>
      </w:tr>
      <w:tr w:rsidR="00893964" w:rsidRPr="000B03F5" w:rsidTr="001A0340">
        <w:trPr>
          <w:trHeight w:val="294"/>
          <w:jc w:val="center"/>
        </w:trPr>
        <w:tc>
          <w:tcPr>
            <w:tcW w:w="139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93964" w:rsidRPr="000B03F5" w:rsidRDefault="00893964" w:rsidP="00501421">
            <w:pPr>
              <w:ind w:left="-142"/>
              <w:jc w:val="center"/>
              <w:rPr>
                <w:b/>
                <w:sz w:val="16"/>
                <w:szCs w:val="16"/>
              </w:rPr>
            </w:pPr>
            <w:r w:rsidRPr="000B03F5">
              <w:rPr>
                <w:b/>
                <w:sz w:val="16"/>
                <w:szCs w:val="16"/>
              </w:rPr>
              <w:t>Ukupno: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:rsidR="00893964" w:rsidRPr="000B03F5" w:rsidRDefault="00893964" w:rsidP="00501421">
            <w:pPr>
              <w:jc w:val="right"/>
              <w:rPr>
                <w:b/>
                <w:bCs/>
                <w:sz w:val="16"/>
                <w:szCs w:val="16"/>
              </w:rPr>
            </w:pPr>
            <w:r w:rsidRPr="000B03F5">
              <w:rPr>
                <w:b/>
                <w:bCs/>
                <w:sz w:val="16"/>
                <w:szCs w:val="16"/>
              </w:rPr>
              <w:t xml:space="preserve">1.326 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:rsidR="00893964" w:rsidRPr="000B03F5" w:rsidRDefault="00893964" w:rsidP="00501421">
            <w:pPr>
              <w:jc w:val="right"/>
              <w:rPr>
                <w:b/>
                <w:bCs/>
                <w:sz w:val="16"/>
                <w:szCs w:val="16"/>
              </w:rPr>
            </w:pPr>
            <w:r w:rsidRPr="000B03F5">
              <w:rPr>
                <w:b/>
                <w:sz w:val="16"/>
                <w:szCs w:val="16"/>
              </w:rPr>
              <w:t>100,00</w:t>
            </w:r>
          </w:p>
        </w:tc>
        <w:tc>
          <w:tcPr>
            <w:tcW w:w="119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:rsidR="00893964" w:rsidRPr="000B03F5" w:rsidRDefault="00893964" w:rsidP="00501421">
            <w:pPr>
              <w:jc w:val="right"/>
              <w:rPr>
                <w:b/>
                <w:bCs/>
                <w:sz w:val="16"/>
                <w:szCs w:val="16"/>
              </w:rPr>
            </w:pPr>
            <w:r w:rsidRPr="000B03F5">
              <w:rPr>
                <w:b/>
                <w:bCs/>
                <w:sz w:val="16"/>
                <w:szCs w:val="16"/>
              </w:rPr>
              <w:t>16.601.796,52</w:t>
            </w:r>
          </w:p>
        </w:tc>
        <w:tc>
          <w:tcPr>
            <w:tcW w:w="64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:rsidR="00893964" w:rsidRPr="000B03F5" w:rsidRDefault="00893964" w:rsidP="00501421">
            <w:pPr>
              <w:jc w:val="right"/>
              <w:rPr>
                <w:b/>
                <w:bCs/>
                <w:sz w:val="16"/>
                <w:szCs w:val="16"/>
              </w:rPr>
            </w:pPr>
            <w:r w:rsidRPr="000B03F5">
              <w:rPr>
                <w:b/>
                <w:sz w:val="16"/>
                <w:szCs w:val="16"/>
              </w:rPr>
              <w:t>100,00</w:t>
            </w:r>
          </w:p>
        </w:tc>
        <w:tc>
          <w:tcPr>
            <w:tcW w:w="99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:rsidR="00893964" w:rsidRPr="000B03F5" w:rsidRDefault="00893964" w:rsidP="00501421">
            <w:pPr>
              <w:jc w:val="right"/>
              <w:rPr>
                <w:b/>
                <w:bCs/>
                <w:sz w:val="16"/>
                <w:szCs w:val="16"/>
              </w:rPr>
            </w:pPr>
            <w:r w:rsidRPr="000B03F5">
              <w:rPr>
                <w:b/>
                <w:bCs/>
                <w:sz w:val="16"/>
                <w:szCs w:val="16"/>
              </w:rPr>
              <w:t xml:space="preserve">          1,299</w:t>
            </w:r>
          </w:p>
        </w:tc>
        <w:tc>
          <w:tcPr>
            <w:tcW w:w="64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:rsidR="00893964" w:rsidRPr="000B03F5" w:rsidRDefault="00893964" w:rsidP="00501421">
            <w:pPr>
              <w:jc w:val="right"/>
              <w:rPr>
                <w:b/>
                <w:bCs/>
                <w:sz w:val="16"/>
                <w:szCs w:val="16"/>
              </w:rPr>
            </w:pPr>
            <w:r w:rsidRPr="000B03F5">
              <w:rPr>
                <w:b/>
                <w:bCs/>
                <w:sz w:val="16"/>
                <w:szCs w:val="16"/>
              </w:rPr>
              <w:t xml:space="preserve">100,00         </w:t>
            </w:r>
          </w:p>
        </w:tc>
        <w:tc>
          <w:tcPr>
            <w:tcW w:w="142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:rsidR="00893964" w:rsidRPr="000B03F5" w:rsidRDefault="00893964" w:rsidP="0050142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B03F5">
              <w:rPr>
                <w:b/>
                <w:color w:val="000000"/>
                <w:sz w:val="16"/>
                <w:szCs w:val="16"/>
              </w:rPr>
              <w:t>16</w:t>
            </w:r>
            <w:r w:rsidR="00FB5332" w:rsidRPr="000B03F5">
              <w:rPr>
                <w:b/>
                <w:color w:val="000000"/>
                <w:sz w:val="16"/>
                <w:szCs w:val="16"/>
              </w:rPr>
              <w:t>.043.</w:t>
            </w:r>
            <w:r w:rsidRPr="000B03F5">
              <w:rPr>
                <w:b/>
                <w:color w:val="000000"/>
                <w:sz w:val="16"/>
                <w:szCs w:val="16"/>
              </w:rPr>
              <w:t>574</w:t>
            </w:r>
            <w:r w:rsidR="00FB5332" w:rsidRPr="000B03F5">
              <w:rPr>
                <w:b/>
                <w:color w:val="000000"/>
                <w:sz w:val="16"/>
                <w:szCs w:val="16"/>
              </w:rPr>
              <w:t>,</w:t>
            </w:r>
            <w:r w:rsidRPr="000B03F5">
              <w:rPr>
                <w:b/>
                <w:color w:val="000000"/>
                <w:sz w:val="16"/>
                <w:szCs w:val="16"/>
              </w:rPr>
              <w:t>43</w:t>
            </w:r>
          </w:p>
        </w:tc>
        <w:tc>
          <w:tcPr>
            <w:tcW w:w="64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:rsidR="00893964" w:rsidRPr="000B03F5" w:rsidRDefault="00893964" w:rsidP="00501421">
            <w:pPr>
              <w:jc w:val="right"/>
              <w:rPr>
                <w:b/>
                <w:bCs/>
                <w:sz w:val="16"/>
                <w:szCs w:val="16"/>
              </w:rPr>
            </w:pPr>
            <w:r w:rsidRPr="000B03F5">
              <w:rPr>
                <w:b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:rsidR="00893964" w:rsidRPr="000B03F5" w:rsidRDefault="004E40AF" w:rsidP="00501421">
            <w:pPr>
              <w:jc w:val="right"/>
              <w:rPr>
                <w:b/>
                <w:sz w:val="16"/>
                <w:szCs w:val="16"/>
              </w:rPr>
            </w:pPr>
            <w:r w:rsidRPr="000B03F5">
              <w:rPr>
                <w:b/>
                <w:sz w:val="16"/>
                <w:szCs w:val="16"/>
              </w:rPr>
              <w:t>-</w:t>
            </w:r>
            <w:r w:rsidR="00FB5332" w:rsidRPr="000B03F5">
              <w:rPr>
                <w:b/>
                <w:sz w:val="16"/>
                <w:szCs w:val="16"/>
              </w:rPr>
              <w:t>2,03</w:t>
            </w:r>
            <w:r w:rsidRPr="000B03F5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8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92CDDC"/>
            <w:noWrap/>
            <w:vAlign w:val="center"/>
            <w:hideMark/>
          </w:tcPr>
          <w:p w:rsidR="00893964" w:rsidRPr="000B03F5" w:rsidRDefault="004E40AF" w:rsidP="00501421">
            <w:pPr>
              <w:jc w:val="right"/>
              <w:rPr>
                <w:b/>
                <w:sz w:val="16"/>
                <w:szCs w:val="16"/>
              </w:rPr>
            </w:pPr>
            <w:r w:rsidRPr="000B03F5">
              <w:rPr>
                <w:b/>
                <w:sz w:val="16"/>
                <w:szCs w:val="16"/>
              </w:rPr>
              <w:t>-</w:t>
            </w:r>
            <w:r w:rsidR="00835E00" w:rsidRPr="000B03F5">
              <w:rPr>
                <w:b/>
                <w:sz w:val="16"/>
                <w:szCs w:val="16"/>
              </w:rPr>
              <w:t>3,4%</w:t>
            </w:r>
          </w:p>
        </w:tc>
      </w:tr>
    </w:tbl>
    <w:p w:rsidR="00893964" w:rsidRPr="000B03F5" w:rsidRDefault="00893964" w:rsidP="00501421">
      <w:pPr>
        <w:spacing w:after="120"/>
        <w:jc w:val="both"/>
      </w:pPr>
    </w:p>
    <w:p w:rsidR="00893964" w:rsidRPr="000B03F5" w:rsidRDefault="00893964" w:rsidP="00501421">
      <w:pPr>
        <w:spacing w:after="120"/>
        <w:ind w:left="-567"/>
        <w:jc w:val="both"/>
      </w:pPr>
      <w:r w:rsidRPr="000B03F5">
        <w:t>Od ukupnog broja zaključenih ugovora oko 7</w:t>
      </w:r>
      <w:r w:rsidR="00835E00" w:rsidRPr="000B03F5">
        <w:t>7</w:t>
      </w:r>
      <w:r w:rsidRPr="000B03F5">
        <w:t xml:space="preserve">,6% ili </w:t>
      </w:r>
      <w:r w:rsidRPr="000B03F5">
        <w:rPr>
          <w:color w:val="000000"/>
        </w:rPr>
        <w:t xml:space="preserve">12,45 </w:t>
      </w:r>
      <w:r w:rsidRPr="000B03F5">
        <w:t>miliona eura odnosi se na vrijednost finansijskog</w:t>
      </w:r>
      <w:r w:rsidRPr="000B03F5">
        <w:rPr>
          <w:shd w:val="clear" w:color="auto" w:fill="FFFFFF"/>
        </w:rPr>
        <w:t>, a</w:t>
      </w:r>
      <w:r w:rsidRPr="000B03F5">
        <w:t xml:space="preserve"> oko 22,4% ili</w:t>
      </w:r>
      <w:r w:rsidRPr="000B03F5">
        <w:rPr>
          <w:shd w:val="clear" w:color="auto" w:fill="FFFFFF"/>
        </w:rPr>
        <w:t xml:space="preserve"> </w:t>
      </w:r>
      <w:r w:rsidRPr="000B03F5">
        <w:rPr>
          <w:color w:val="000000"/>
          <w:shd w:val="clear" w:color="auto" w:fill="FFFFFF"/>
        </w:rPr>
        <w:t>3,59 miliona</w:t>
      </w:r>
      <w:r w:rsidRPr="000B03F5">
        <w:rPr>
          <w:color w:val="000000"/>
        </w:rPr>
        <w:t xml:space="preserve"> eura predstavlja</w:t>
      </w:r>
      <w:r w:rsidRPr="000B03F5">
        <w:t xml:space="preserve"> operativni lizing. Važno je napomenuti da su navedene vrijednos</w:t>
      </w:r>
      <w:r w:rsidR="008E4618" w:rsidRPr="000B03F5">
        <w:t>t</w:t>
      </w:r>
      <w:r w:rsidRPr="000B03F5">
        <w:t>i novozaključenih ugovora izražene kao neto vrijednost plasmana, što predstavlja ukupnu vrijednost ugovora umanjenu za vrijednost učešća klijenta.</w:t>
      </w:r>
    </w:p>
    <w:p w:rsidR="00893964" w:rsidRPr="000B03F5" w:rsidRDefault="00893964" w:rsidP="00501421">
      <w:pPr>
        <w:spacing w:after="120"/>
        <w:ind w:left="-567"/>
        <w:jc w:val="both"/>
      </w:pPr>
    </w:p>
    <w:p w:rsidR="00893964" w:rsidRPr="000B03F5" w:rsidRDefault="00893964" w:rsidP="00501421">
      <w:pPr>
        <w:pStyle w:val="ListParagraph"/>
        <w:numPr>
          <w:ilvl w:val="0"/>
          <w:numId w:val="2"/>
        </w:numPr>
        <w:spacing w:after="120"/>
        <w:jc w:val="both"/>
        <w:rPr>
          <w:b/>
          <w:i/>
        </w:rPr>
      </w:pPr>
      <w:r w:rsidRPr="000B03F5">
        <w:rPr>
          <w:b/>
          <w:i/>
        </w:rPr>
        <w:t>Predmet lizinga</w:t>
      </w:r>
    </w:p>
    <w:p w:rsidR="00893964" w:rsidRPr="000B03F5" w:rsidRDefault="00893964" w:rsidP="00501421">
      <w:pPr>
        <w:spacing w:after="120"/>
        <w:ind w:left="-567"/>
        <w:jc w:val="both"/>
      </w:pPr>
      <w:r w:rsidRPr="000B03F5">
        <w:t xml:space="preserve">Ako pogledamo strukturu broja ukupno zaključenih ugovora po osnovu predmeta lizinga, kao i prethodnih godina </w:t>
      </w:r>
      <w:r w:rsidRPr="000B03F5">
        <w:rPr>
          <w:i/>
        </w:rPr>
        <w:t>putnički automobili</w:t>
      </w:r>
      <w:r w:rsidRPr="000B03F5">
        <w:t xml:space="preserve"> imaju najveći udio od oko </w:t>
      </w:r>
      <w:r w:rsidRPr="000B03F5">
        <w:rPr>
          <w:bCs/>
        </w:rPr>
        <w:t>88,9</w:t>
      </w:r>
      <w:r w:rsidRPr="000B03F5">
        <w:t>% u ukupnom iznosu lizing plasmana, št</w:t>
      </w:r>
      <w:r w:rsidR="005D1D0A" w:rsidRPr="000B03F5">
        <w:t>o u odnosu na prethodnu godinu predstavlja</w:t>
      </w:r>
      <w:r w:rsidRPr="000B03F5">
        <w:t xml:space="preserve"> smanjenje </w:t>
      </w:r>
      <w:r w:rsidR="005D1D0A" w:rsidRPr="000B03F5">
        <w:t xml:space="preserve">od </w:t>
      </w:r>
      <w:r w:rsidRPr="000B03F5">
        <w:t>3,8%</w:t>
      </w:r>
    </w:p>
    <w:p w:rsidR="00893964" w:rsidRPr="000B03F5" w:rsidRDefault="00893964" w:rsidP="00501421">
      <w:pPr>
        <w:spacing w:after="120"/>
        <w:jc w:val="both"/>
        <w:rPr>
          <w:i/>
        </w:rPr>
      </w:pPr>
    </w:p>
    <w:p w:rsidR="00893964" w:rsidRPr="000B03F5" w:rsidRDefault="00893964" w:rsidP="00501421">
      <w:pPr>
        <w:spacing w:after="120"/>
        <w:ind w:left="-142"/>
        <w:jc w:val="both"/>
        <w:outlineLvl w:val="0"/>
        <w:rPr>
          <w:i/>
        </w:rPr>
      </w:pPr>
      <w:r w:rsidRPr="000B03F5">
        <w:rPr>
          <w:b/>
          <w:i/>
        </w:rPr>
        <w:t>Tabela 3</w:t>
      </w:r>
      <w:r w:rsidRPr="000B03F5">
        <w:rPr>
          <w:i/>
        </w:rPr>
        <w:t>: Komparativni pregled broja zaključenih ugovora po osnovu predmeta lizinga</w:t>
      </w:r>
    </w:p>
    <w:tbl>
      <w:tblPr>
        <w:tblW w:w="10056" w:type="dxa"/>
        <w:jc w:val="center"/>
        <w:tblInd w:w="-1197" w:type="dxa"/>
        <w:tblCellMar>
          <w:left w:w="70" w:type="dxa"/>
          <w:right w:w="70" w:type="dxa"/>
        </w:tblCellMar>
        <w:tblLook w:val="04A0"/>
      </w:tblPr>
      <w:tblGrid>
        <w:gridCol w:w="2827"/>
        <w:gridCol w:w="2126"/>
        <w:gridCol w:w="709"/>
        <w:gridCol w:w="2014"/>
        <w:gridCol w:w="762"/>
        <w:gridCol w:w="1618"/>
      </w:tblGrid>
      <w:tr w:rsidR="00893964" w:rsidRPr="000B03F5" w:rsidTr="001A0340">
        <w:trPr>
          <w:trHeight w:val="255"/>
          <w:jc w:val="center"/>
        </w:trPr>
        <w:tc>
          <w:tcPr>
            <w:tcW w:w="2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893964" w:rsidRPr="000B03F5" w:rsidRDefault="00893964" w:rsidP="00501421">
            <w:pPr>
              <w:ind w:left="-142"/>
              <w:rPr>
                <w:b/>
                <w:sz w:val="18"/>
                <w:szCs w:val="18"/>
              </w:rPr>
            </w:pPr>
            <w:r w:rsidRPr="000B03F5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7229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92CDDC"/>
            <w:noWrap/>
            <w:vAlign w:val="bottom"/>
            <w:hideMark/>
          </w:tcPr>
          <w:p w:rsidR="00893964" w:rsidRPr="000B03F5" w:rsidRDefault="00893964" w:rsidP="00501421">
            <w:pPr>
              <w:rPr>
                <w:b/>
                <w:sz w:val="18"/>
                <w:szCs w:val="18"/>
              </w:rPr>
            </w:pPr>
            <w:r w:rsidRPr="000B03F5">
              <w:rPr>
                <w:b/>
                <w:sz w:val="18"/>
                <w:szCs w:val="18"/>
              </w:rPr>
              <w:t xml:space="preserve">                                    Broj ugovora</w:t>
            </w:r>
          </w:p>
        </w:tc>
      </w:tr>
      <w:tr w:rsidR="00893964" w:rsidRPr="000B03F5" w:rsidTr="001A0340">
        <w:trPr>
          <w:trHeight w:val="450"/>
          <w:jc w:val="center"/>
        </w:trPr>
        <w:tc>
          <w:tcPr>
            <w:tcW w:w="282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893964" w:rsidRPr="000B03F5" w:rsidRDefault="00893964" w:rsidP="00501421">
            <w:pPr>
              <w:ind w:left="-142"/>
              <w:rPr>
                <w:b/>
                <w:sz w:val="18"/>
                <w:szCs w:val="18"/>
              </w:rPr>
            </w:pPr>
            <w:r w:rsidRPr="000B03F5">
              <w:rPr>
                <w:b/>
                <w:sz w:val="18"/>
                <w:szCs w:val="18"/>
              </w:rPr>
              <w:t xml:space="preserve"> Predmet lizinga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893964" w:rsidRPr="000B03F5" w:rsidRDefault="00893964" w:rsidP="00501421">
            <w:pPr>
              <w:ind w:left="-142"/>
              <w:jc w:val="center"/>
              <w:rPr>
                <w:b/>
                <w:color w:val="000000"/>
                <w:sz w:val="18"/>
                <w:szCs w:val="18"/>
              </w:rPr>
            </w:pPr>
            <w:r w:rsidRPr="000B03F5">
              <w:rPr>
                <w:b/>
                <w:sz w:val="18"/>
                <w:szCs w:val="18"/>
              </w:rPr>
              <w:t>Ukupno 2015. god.</w:t>
            </w:r>
          </w:p>
          <w:p w:rsidR="00893964" w:rsidRPr="000B03F5" w:rsidRDefault="00893964" w:rsidP="00501421">
            <w:pPr>
              <w:ind w:left="-142"/>
              <w:jc w:val="center"/>
              <w:rPr>
                <w:b/>
                <w:sz w:val="18"/>
                <w:szCs w:val="18"/>
              </w:rPr>
            </w:pPr>
            <w:r w:rsidRPr="000B03F5">
              <w:rPr>
                <w:b/>
                <w:sz w:val="18"/>
                <w:szCs w:val="18"/>
              </w:rPr>
              <w:t xml:space="preserve"> (1)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893964" w:rsidRPr="000B03F5" w:rsidRDefault="00893964" w:rsidP="00501421">
            <w:pPr>
              <w:ind w:left="-142"/>
              <w:jc w:val="center"/>
              <w:rPr>
                <w:b/>
                <w:sz w:val="18"/>
                <w:szCs w:val="18"/>
              </w:rPr>
            </w:pPr>
            <w:r w:rsidRPr="000B03F5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893964" w:rsidRPr="000B03F5" w:rsidRDefault="00893964" w:rsidP="00501421">
            <w:pPr>
              <w:ind w:left="-142"/>
              <w:jc w:val="center"/>
              <w:rPr>
                <w:b/>
                <w:color w:val="000000"/>
                <w:sz w:val="18"/>
                <w:szCs w:val="18"/>
              </w:rPr>
            </w:pPr>
            <w:r w:rsidRPr="000B03F5">
              <w:rPr>
                <w:b/>
                <w:sz w:val="18"/>
                <w:szCs w:val="18"/>
              </w:rPr>
              <w:t>Ukupno 2016. god.</w:t>
            </w:r>
          </w:p>
          <w:p w:rsidR="00893964" w:rsidRPr="000B03F5" w:rsidRDefault="00893964" w:rsidP="00501421">
            <w:pPr>
              <w:ind w:left="-142"/>
              <w:jc w:val="center"/>
              <w:rPr>
                <w:b/>
                <w:sz w:val="18"/>
                <w:szCs w:val="18"/>
              </w:rPr>
            </w:pPr>
            <w:r w:rsidRPr="000B03F5">
              <w:rPr>
                <w:b/>
                <w:sz w:val="18"/>
                <w:szCs w:val="18"/>
              </w:rPr>
              <w:t>(2)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893964" w:rsidRPr="000B03F5" w:rsidRDefault="00893964" w:rsidP="00501421">
            <w:pPr>
              <w:ind w:left="-142"/>
              <w:jc w:val="center"/>
              <w:rPr>
                <w:b/>
                <w:sz w:val="18"/>
                <w:szCs w:val="18"/>
              </w:rPr>
            </w:pPr>
            <w:r w:rsidRPr="000B03F5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92CDDC"/>
            <w:vAlign w:val="bottom"/>
            <w:hideMark/>
          </w:tcPr>
          <w:p w:rsidR="00893964" w:rsidRPr="000B03F5" w:rsidRDefault="00893964" w:rsidP="00501421">
            <w:pPr>
              <w:ind w:left="-142"/>
              <w:jc w:val="center"/>
              <w:rPr>
                <w:b/>
                <w:sz w:val="18"/>
                <w:szCs w:val="18"/>
              </w:rPr>
            </w:pPr>
            <w:r w:rsidRPr="000B03F5">
              <w:rPr>
                <w:b/>
                <w:sz w:val="18"/>
                <w:szCs w:val="18"/>
              </w:rPr>
              <w:t>Stopa rasta/pada</w:t>
            </w:r>
          </w:p>
          <w:p w:rsidR="00893964" w:rsidRPr="000B03F5" w:rsidRDefault="00893964" w:rsidP="00501421">
            <w:pPr>
              <w:ind w:left="-142"/>
              <w:jc w:val="center"/>
              <w:rPr>
                <w:b/>
                <w:sz w:val="18"/>
                <w:szCs w:val="18"/>
              </w:rPr>
            </w:pPr>
            <w:r w:rsidRPr="000B03F5">
              <w:rPr>
                <w:b/>
                <w:sz w:val="18"/>
                <w:szCs w:val="18"/>
              </w:rPr>
              <w:t>(2)/(1)</w:t>
            </w:r>
          </w:p>
        </w:tc>
      </w:tr>
      <w:tr w:rsidR="005D1D0A" w:rsidRPr="000B03F5" w:rsidTr="001A0340">
        <w:trPr>
          <w:trHeight w:val="414"/>
          <w:jc w:val="center"/>
        </w:trPr>
        <w:tc>
          <w:tcPr>
            <w:tcW w:w="282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0A" w:rsidRPr="000B03F5" w:rsidRDefault="005D1D0A" w:rsidP="00501421">
            <w:pPr>
              <w:rPr>
                <w:sz w:val="18"/>
                <w:szCs w:val="18"/>
              </w:rPr>
            </w:pPr>
            <w:r w:rsidRPr="000B03F5">
              <w:rPr>
                <w:sz w:val="18"/>
                <w:szCs w:val="18"/>
              </w:rPr>
              <w:t>Putnički automobili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0A" w:rsidRPr="000B03F5" w:rsidRDefault="005D1D0A" w:rsidP="00501421">
            <w:pPr>
              <w:jc w:val="right"/>
              <w:rPr>
                <w:b/>
                <w:bCs/>
                <w:sz w:val="18"/>
                <w:szCs w:val="18"/>
              </w:rPr>
            </w:pPr>
            <w:r w:rsidRPr="000B03F5">
              <w:rPr>
                <w:b/>
                <w:bCs/>
                <w:sz w:val="18"/>
                <w:szCs w:val="18"/>
              </w:rPr>
              <w:t>1.201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0A" w:rsidRPr="000B03F5" w:rsidRDefault="005D1D0A" w:rsidP="00501421">
            <w:pPr>
              <w:jc w:val="right"/>
              <w:rPr>
                <w:b/>
                <w:bCs/>
                <w:sz w:val="18"/>
                <w:szCs w:val="18"/>
              </w:rPr>
            </w:pPr>
            <w:r w:rsidRPr="000B03F5">
              <w:rPr>
                <w:b/>
                <w:bCs/>
                <w:sz w:val="18"/>
                <w:szCs w:val="18"/>
              </w:rPr>
              <w:t>90,57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D0A" w:rsidRPr="000B03F5" w:rsidRDefault="005D1D0A" w:rsidP="00501421">
            <w:pPr>
              <w:jc w:val="right"/>
              <w:rPr>
                <w:b/>
                <w:bCs/>
                <w:sz w:val="18"/>
                <w:szCs w:val="18"/>
              </w:rPr>
            </w:pPr>
            <w:r w:rsidRPr="000B03F5">
              <w:rPr>
                <w:b/>
                <w:bCs/>
                <w:sz w:val="18"/>
                <w:szCs w:val="18"/>
              </w:rPr>
              <w:t>1155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D0A" w:rsidRPr="000B03F5" w:rsidRDefault="005D1D0A" w:rsidP="00501421">
            <w:pPr>
              <w:jc w:val="right"/>
              <w:rPr>
                <w:color w:val="000000"/>
                <w:sz w:val="18"/>
                <w:szCs w:val="18"/>
              </w:rPr>
            </w:pPr>
            <w:r w:rsidRPr="000B03F5">
              <w:rPr>
                <w:color w:val="000000"/>
                <w:sz w:val="18"/>
                <w:szCs w:val="18"/>
              </w:rPr>
              <w:t>88.9%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5D1D0A" w:rsidRPr="000B03F5" w:rsidRDefault="005D1D0A" w:rsidP="00501421">
            <w:pPr>
              <w:jc w:val="right"/>
              <w:rPr>
                <w:sz w:val="18"/>
                <w:szCs w:val="18"/>
              </w:rPr>
            </w:pPr>
            <w:r w:rsidRPr="000B03F5">
              <w:rPr>
                <w:sz w:val="18"/>
                <w:szCs w:val="18"/>
              </w:rPr>
              <w:t>-3,8</w:t>
            </w:r>
          </w:p>
        </w:tc>
      </w:tr>
      <w:tr w:rsidR="005D1D0A" w:rsidRPr="000B03F5" w:rsidTr="001A0340">
        <w:trPr>
          <w:trHeight w:val="414"/>
          <w:jc w:val="center"/>
        </w:trPr>
        <w:tc>
          <w:tcPr>
            <w:tcW w:w="282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0A" w:rsidRPr="000B03F5" w:rsidRDefault="005D1D0A" w:rsidP="00501421">
            <w:pPr>
              <w:rPr>
                <w:sz w:val="18"/>
                <w:szCs w:val="18"/>
              </w:rPr>
            </w:pPr>
            <w:r w:rsidRPr="000B03F5">
              <w:rPr>
                <w:sz w:val="18"/>
                <w:szCs w:val="18"/>
              </w:rPr>
              <w:t>Privredna vozila (kamioni, autobusi i dostavna vozila)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0A" w:rsidRPr="000B03F5" w:rsidRDefault="005D1D0A" w:rsidP="00501421">
            <w:pPr>
              <w:jc w:val="right"/>
              <w:rPr>
                <w:b/>
                <w:bCs/>
                <w:sz w:val="18"/>
                <w:szCs w:val="18"/>
              </w:rPr>
            </w:pPr>
            <w:r w:rsidRPr="000B03F5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0A" w:rsidRPr="000B03F5" w:rsidRDefault="005D1D0A" w:rsidP="00501421">
            <w:pPr>
              <w:jc w:val="right"/>
              <w:rPr>
                <w:b/>
                <w:bCs/>
                <w:sz w:val="18"/>
                <w:szCs w:val="18"/>
              </w:rPr>
            </w:pPr>
            <w:r w:rsidRPr="000B03F5">
              <w:rPr>
                <w:b/>
                <w:bCs/>
                <w:sz w:val="18"/>
                <w:szCs w:val="18"/>
              </w:rPr>
              <w:t>8,97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D0A" w:rsidRPr="000B03F5" w:rsidRDefault="005D1D0A" w:rsidP="00501421">
            <w:pPr>
              <w:jc w:val="right"/>
              <w:rPr>
                <w:b/>
                <w:bCs/>
                <w:sz w:val="18"/>
                <w:szCs w:val="18"/>
              </w:rPr>
            </w:pPr>
            <w:r w:rsidRPr="000B03F5">
              <w:rPr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D0A" w:rsidRPr="000B03F5" w:rsidRDefault="005D1D0A" w:rsidP="00501421">
            <w:pPr>
              <w:jc w:val="right"/>
              <w:rPr>
                <w:color w:val="000000"/>
                <w:sz w:val="18"/>
                <w:szCs w:val="18"/>
              </w:rPr>
            </w:pPr>
            <w:r w:rsidRPr="000B03F5">
              <w:rPr>
                <w:color w:val="000000"/>
                <w:sz w:val="18"/>
                <w:szCs w:val="18"/>
              </w:rPr>
              <w:t>10.1%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5D1D0A" w:rsidRPr="000B03F5" w:rsidRDefault="005D1D0A" w:rsidP="00501421">
            <w:pPr>
              <w:jc w:val="right"/>
              <w:rPr>
                <w:sz w:val="18"/>
                <w:szCs w:val="18"/>
              </w:rPr>
            </w:pPr>
            <w:r w:rsidRPr="000B03F5">
              <w:rPr>
                <w:sz w:val="18"/>
                <w:szCs w:val="18"/>
              </w:rPr>
              <w:t>10,0</w:t>
            </w:r>
          </w:p>
        </w:tc>
      </w:tr>
      <w:tr w:rsidR="005D1D0A" w:rsidRPr="000B03F5" w:rsidTr="001A0340">
        <w:trPr>
          <w:trHeight w:val="414"/>
          <w:jc w:val="center"/>
        </w:trPr>
        <w:tc>
          <w:tcPr>
            <w:tcW w:w="282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0A" w:rsidRPr="000B03F5" w:rsidRDefault="005D1D0A" w:rsidP="00501421">
            <w:pPr>
              <w:rPr>
                <w:sz w:val="18"/>
                <w:szCs w:val="18"/>
              </w:rPr>
            </w:pPr>
            <w:r w:rsidRPr="000B03F5">
              <w:rPr>
                <w:sz w:val="18"/>
                <w:szCs w:val="18"/>
              </w:rPr>
              <w:t>Građevinske mašine i oprema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0A" w:rsidRPr="000B03F5" w:rsidRDefault="005D1D0A" w:rsidP="00501421">
            <w:pPr>
              <w:jc w:val="right"/>
              <w:rPr>
                <w:b/>
                <w:bCs/>
                <w:sz w:val="18"/>
                <w:szCs w:val="18"/>
              </w:rPr>
            </w:pPr>
            <w:r w:rsidRPr="000B03F5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0A" w:rsidRPr="000B03F5" w:rsidRDefault="005D1D0A" w:rsidP="00501421">
            <w:pPr>
              <w:jc w:val="right"/>
              <w:rPr>
                <w:b/>
                <w:bCs/>
                <w:sz w:val="18"/>
                <w:szCs w:val="18"/>
              </w:rPr>
            </w:pPr>
            <w:r w:rsidRPr="000B03F5">
              <w:rPr>
                <w:b/>
                <w:bCs/>
                <w:sz w:val="18"/>
                <w:szCs w:val="18"/>
              </w:rPr>
              <w:t>0,45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D0A" w:rsidRPr="000B03F5" w:rsidRDefault="005D1D0A" w:rsidP="00501421">
            <w:pPr>
              <w:jc w:val="right"/>
              <w:rPr>
                <w:b/>
                <w:bCs/>
                <w:sz w:val="18"/>
                <w:szCs w:val="18"/>
              </w:rPr>
            </w:pPr>
            <w:r w:rsidRPr="000B03F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D0A" w:rsidRPr="000B03F5" w:rsidRDefault="005D1D0A" w:rsidP="00501421">
            <w:pPr>
              <w:jc w:val="right"/>
              <w:rPr>
                <w:color w:val="000000"/>
                <w:sz w:val="18"/>
                <w:szCs w:val="18"/>
              </w:rPr>
            </w:pPr>
            <w:r w:rsidRPr="000B03F5">
              <w:rPr>
                <w:color w:val="000000"/>
                <w:sz w:val="18"/>
                <w:szCs w:val="18"/>
              </w:rPr>
              <w:t>1.0%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5D1D0A" w:rsidRPr="000B03F5" w:rsidRDefault="005D1D0A" w:rsidP="00501421">
            <w:pPr>
              <w:jc w:val="right"/>
              <w:rPr>
                <w:sz w:val="18"/>
                <w:szCs w:val="18"/>
              </w:rPr>
            </w:pPr>
            <w:r w:rsidRPr="000B03F5">
              <w:rPr>
                <w:sz w:val="18"/>
                <w:szCs w:val="18"/>
              </w:rPr>
              <w:t>116,0</w:t>
            </w:r>
          </w:p>
        </w:tc>
      </w:tr>
      <w:tr w:rsidR="005D1D0A" w:rsidRPr="000B03F5" w:rsidTr="001A0340">
        <w:trPr>
          <w:trHeight w:val="414"/>
          <w:jc w:val="center"/>
        </w:trPr>
        <w:tc>
          <w:tcPr>
            <w:tcW w:w="282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0A" w:rsidRPr="000B03F5" w:rsidRDefault="005D1D0A" w:rsidP="00501421">
            <w:pPr>
              <w:rPr>
                <w:sz w:val="18"/>
                <w:szCs w:val="18"/>
              </w:rPr>
            </w:pPr>
            <w:r w:rsidRPr="000B03F5">
              <w:rPr>
                <w:sz w:val="18"/>
                <w:szCs w:val="18"/>
              </w:rPr>
              <w:t>Brodovi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0A" w:rsidRPr="000B03F5" w:rsidRDefault="005D1D0A" w:rsidP="00501421">
            <w:pPr>
              <w:jc w:val="right"/>
              <w:rPr>
                <w:b/>
                <w:bCs/>
                <w:sz w:val="18"/>
                <w:szCs w:val="18"/>
              </w:rPr>
            </w:pPr>
            <w:r w:rsidRPr="000B03F5">
              <w:rPr>
                <w:b/>
                <w:bCs/>
                <w:sz w:val="18"/>
                <w:szCs w:val="18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0A" w:rsidRPr="000B03F5" w:rsidRDefault="005D1D0A" w:rsidP="00501421">
            <w:pPr>
              <w:jc w:val="right"/>
              <w:rPr>
                <w:b/>
                <w:bCs/>
                <w:sz w:val="18"/>
                <w:szCs w:val="18"/>
              </w:rPr>
            </w:pPr>
            <w:r w:rsidRPr="000B03F5">
              <w:rPr>
                <w:b/>
                <w:bCs/>
                <w:sz w:val="18"/>
                <w:szCs w:val="18"/>
              </w:rPr>
              <w:t> 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D0A" w:rsidRPr="000B03F5" w:rsidRDefault="005D1D0A" w:rsidP="00501421">
            <w:pPr>
              <w:jc w:val="right"/>
              <w:rPr>
                <w:b/>
                <w:bCs/>
                <w:sz w:val="18"/>
                <w:szCs w:val="18"/>
              </w:rPr>
            </w:pPr>
            <w:r w:rsidRPr="000B03F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D0A" w:rsidRPr="000B03F5" w:rsidRDefault="005D1D0A" w:rsidP="00501421">
            <w:pPr>
              <w:jc w:val="right"/>
              <w:rPr>
                <w:color w:val="000000"/>
                <w:sz w:val="18"/>
                <w:szCs w:val="18"/>
              </w:rPr>
            </w:pPr>
            <w:r w:rsidRPr="000B03F5">
              <w:rPr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5D1D0A" w:rsidRPr="000B03F5" w:rsidRDefault="005D1D0A" w:rsidP="00501421">
            <w:pPr>
              <w:jc w:val="right"/>
              <w:rPr>
                <w:sz w:val="18"/>
                <w:szCs w:val="18"/>
              </w:rPr>
            </w:pPr>
            <w:r w:rsidRPr="000B03F5">
              <w:rPr>
                <w:sz w:val="18"/>
                <w:szCs w:val="18"/>
              </w:rPr>
              <w:t>0</w:t>
            </w:r>
          </w:p>
        </w:tc>
      </w:tr>
      <w:tr w:rsidR="005D1D0A" w:rsidRPr="000B03F5" w:rsidTr="001A0340">
        <w:trPr>
          <w:trHeight w:val="414"/>
          <w:jc w:val="center"/>
        </w:trPr>
        <w:tc>
          <w:tcPr>
            <w:tcW w:w="282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0A" w:rsidRPr="000B03F5" w:rsidRDefault="005D1D0A" w:rsidP="00501421">
            <w:pPr>
              <w:rPr>
                <w:sz w:val="18"/>
                <w:szCs w:val="18"/>
              </w:rPr>
            </w:pPr>
            <w:r w:rsidRPr="000B03F5">
              <w:rPr>
                <w:sz w:val="18"/>
                <w:szCs w:val="18"/>
              </w:rPr>
              <w:t>Nekretnine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0A" w:rsidRPr="000B03F5" w:rsidRDefault="005D1D0A" w:rsidP="00501421">
            <w:pPr>
              <w:jc w:val="right"/>
              <w:rPr>
                <w:b/>
                <w:bCs/>
                <w:sz w:val="18"/>
                <w:szCs w:val="18"/>
              </w:rPr>
            </w:pPr>
            <w:r w:rsidRPr="000B03F5">
              <w:rPr>
                <w:b/>
                <w:bCs/>
                <w:sz w:val="18"/>
                <w:szCs w:val="18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0A" w:rsidRPr="000B03F5" w:rsidRDefault="005D1D0A" w:rsidP="00501421">
            <w:pPr>
              <w:jc w:val="right"/>
              <w:rPr>
                <w:b/>
                <w:bCs/>
                <w:sz w:val="18"/>
                <w:szCs w:val="18"/>
              </w:rPr>
            </w:pPr>
            <w:r w:rsidRPr="000B03F5">
              <w:rPr>
                <w:b/>
                <w:bCs/>
                <w:sz w:val="18"/>
                <w:szCs w:val="18"/>
              </w:rPr>
              <w:t> 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D0A" w:rsidRPr="000B03F5" w:rsidRDefault="005D1D0A" w:rsidP="00501421">
            <w:pPr>
              <w:jc w:val="right"/>
              <w:rPr>
                <w:b/>
                <w:bCs/>
                <w:sz w:val="18"/>
                <w:szCs w:val="18"/>
              </w:rPr>
            </w:pPr>
            <w:r w:rsidRPr="000B03F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D0A" w:rsidRPr="000B03F5" w:rsidRDefault="005D1D0A" w:rsidP="00501421">
            <w:pPr>
              <w:jc w:val="right"/>
              <w:rPr>
                <w:color w:val="000000"/>
                <w:sz w:val="18"/>
                <w:szCs w:val="18"/>
              </w:rPr>
            </w:pPr>
            <w:r w:rsidRPr="000B03F5">
              <w:rPr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5D1D0A" w:rsidRPr="000B03F5" w:rsidRDefault="005D1D0A" w:rsidP="00501421">
            <w:pPr>
              <w:jc w:val="right"/>
              <w:rPr>
                <w:sz w:val="18"/>
                <w:szCs w:val="18"/>
              </w:rPr>
            </w:pPr>
            <w:r w:rsidRPr="000B03F5">
              <w:rPr>
                <w:sz w:val="18"/>
                <w:szCs w:val="18"/>
              </w:rPr>
              <w:t>0</w:t>
            </w:r>
          </w:p>
        </w:tc>
      </w:tr>
      <w:tr w:rsidR="005D1D0A" w:rsidRPr="000B03F5" w:rsidTr="001A0340">
        <w:trPr>
          <w:trHeight w:val="414"/>
          <w:jc w:val="center"/>
        </w:trPr>
        <w:tc>
          <w:tcPr>
            <w:tcW w:w="282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0A" w:rsidRPr="000B03F5" w:rsidRDefault="005D1D0A" w:rsidP="00501421">
            <w:pPr>
              <w:rPr>
                <w:sz w:val="18"/>
                <w:szCs w:val="18"/>
              </w:rPr>
            </w:pPr>
            <w:r w:rsidRPr="000B03F5">
              <w:rPr>
                <w:sz w:val="18"/>
                <w:szCs w:val="18"/>
              </w:rPr>
              <w:t>Ostalo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0A" w:rsidRPr="000B03F5" w:rsidRDefault="005D1D0A" w:rsidP="00501421">
            <w:pPr>
              <w:jc w:val="right"/>
              <w:rPr>
                <w:b/>
                <w:bCs/>
                <w:sz w:val="18"/>
                <w:szCs w:val="18"/>
              </w:rPr>
            </w:pPr>
            <w:r w:rsidRPr="000B03F5">
              <w:rPr>
                <w:b/>
                <w:bCs/>
                <w:sz w:val="18"/>
                <w:szCs w:val="18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D0A" w:rsidRPr="000B03F5" w:rsidRDefault="005D1D0A" w:rsidP="00501421">
            <w:pPr>
              <w:jc w:val="right"/>
              <w:rPr>
                <w:b/>
                <w:bCs/>
                <w:sz w:val="18"/>
                <w:szCs w:val="18"/>
              </w:rPr>
            </w:pPr>
            <w:r w:rsidRPr="000B03F5">
              <w:rPr>
                <w:b/>
                <w:bCs/>
                <w:sz w:val="18"/>
                <w:szCs w:val="18"/>
              </w:rPr>
              <w:t> 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D0A" w:rsidRPr="000B03F5" w:rsidRDefault="005D1D0A" w:rsidP="00501421">
            <w:pPr>
              <w:jc w:val="right"/>
              <w:rPr>
                <w:b/>
                <w:bCs/>
                <w:sz w:val="18"/>
                <w:szCs w:val="18"/>
              </w:rPr>
            </w:pPr>
            <w:r w:rsidRPr="000B03F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D0A" w:rsidRPr="000B03F5" w:rsidRDefault="005D1D0A" w:rsidP="00501421">
            <w:pPr>
              <w:jc w:val="right"/>
              <w:rPr>
                <w:color w:val="000000"/>
                <w:sz w:val="18"/>
                <w:szCs w:val="18"/>
              </w:rPr>
            </w:pPr>
            <w:r w:rsidRPr="000B03F5">
              <w:rPr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5D1D0A" w:rsidRPr="000B03F5" w:rsidRDefault="005D1D0A" w:rsidP="00501421">
            <w:pPr>
              <w:jc w:val="right"/>
              <w:rPr>
                <w:sz w:val="18"/>
                <w:szCs w:val="18"/>
              </w:rPr>
            </w:pPr>
            <w:r w:rsidRPr="000B03F5">
              <w:rPr>
                <w:sz w:val="18"/>
                <w:szCs w:val="18"/>
              </w:rPr>
              <w:t>0</w:t>
            </w:r>
          </w:p>
        </w:tc>
      </w:tr>
      <w:tr w:rsidR="00893964" w:rsidRPr="000B03F5" w:rsidTr="001A0340">
        <w:trPr>
          <w:trHeight w:val="414"/>
          <w:jc w:val="center"/>
        </w:trPr>
        <w:tc>
          <w:tcPr>
            <w:tcW w:w="2827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:rsidR="00893964" w:rsidRPr="000B03F5" w:rsidRDefault="00893964" w:rsidP="00501421">
            <w:pPr>
              <w:rPr>
                <w:b/>
                <w:sz w:val="18"/>
                <w:szCs w:val="18"/>
              </w:rPr>
            </w:pPr>
            <w:r w:rsidRPr="000B03F5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:rsidR="00893964" w:rsidRPr="000B03F5" w:rsidRDefault="00893964" w:rsidP="00501421">
            <w:pPr>
              <w:jc w:val="right"/>
              <w:rPr>
                <w:b/>
                <w:bCs/>
                <w:sz w:val="18"/>
                <w:szCs w:val="18"/>
              </w:rPr>
            </w:pPr>
            <w:r w:rsidRPr="000B03F5">
              <w:rPr>
                <w:b/>
                <w:bCs/>
                <w:sz w:val="18"/>
                <w:szCs w:val="18"/>
              </w:rPr>
              <w:t>1.326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:rsidR="00893964" w:rsidRPr="000B03F5" w:rsidRDefault="00893964" w:rsidP="0050142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</w:tcPr>
          <w:p w:rsidR="00893964" w:rsidRPr="000B03F5" w:rsidRDefault="00893964" w:rsidP="00501421">
            <w:pPr>
              <w:jc w:val="right"/>
              <w:rPr>
                <w:b/>
                <w:sz w:val="18"/>
                <w:szCs w:val="18"/>
              </w:rPr>
            </w:pPr>
            <w:r w:rsidRPr="000B03F5">
              <w:rPr>
                <w:b/>
                <w:sz w:val="18"/>
                <w:szCs w:val="18"/>
              </w:rPr>
              <w:t>1</w:t>
            </w:r>
            <w:r w:rsidR="005D1D0A" w:rsidRPr="000B03F5">
              <w:rPr>
                <w:b/>
                <w:sz w:val="18"/>
                <w:szCs w:val="18"/>
              </w:rPr>
              <w:t>.299</w:t>
            </w:r>
          </w:p>
        </w:tc>
        <w:tc>
          <w:tcPr>
            <w:tcW w:w="76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</w:tcPr>
          <w:p w:rsidR="00893964" w:rsidRPr="000B03F5" w:rsidRDefault="00893964" w:rsidP="0050142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92CDDC"/>
            <w:noWrap/>
            <w:vAlign w:val="center"/>
          </w:tcPr>
          <w:p w:rsidR="00893964" w:rsidRPr="000B03F5" w:rsidRDefault="005D1D0A" w:rsidP="00501421">
            <w:pPr>
              <w:jc w:val="right"/>
              <w:rPr>
                <w:b/>
                <w:sz w:val="18"/>
                <w:szCs w:val="18"/>
              </w:rPr>
            </w:pPr>
            <w:r w:rsidRPr="000B03F5">
              <w:rPr>
                <w:b/>
                <w:sz w:val="18"/>
                <w:szCs w:val="18"/>
              </w:rPr>
              <w:t>-2,03%</w:t>
            </w:r>
          </w:p>
        </w:tc>
      </w:tr>
    </w:tbl>
    <w:p w:rsidR="00893964" w:rsidRPr="000B03F5" w:rsidRDefault="00893964" w:rsidP="00501421">
      <w:pPr>
        <w:spacing w:after="120"/>
        <w:ind w:left="-144"/>
        <w:jc w:val="both"/>
        <w:rPr>
          <w:sz w:val="20"/>
        </w:rPr>
      </w:pPr>
    </w:p>
    <w:p w:rsidR="00C605F7" w:rsidRPr="000B03F5" w:rsidRDefault="00893964" w:rsidP="00501421">
      <w:pPr>
        <w:spacing w:after="120"/>
        <w:ind w:left="-567"/>
        <w:jc w:val="both"/>
      </w:pPr>
      <w:r w:rsidRPr="000B03F5">
        <w:t xml:space="preserve">Udio komercijalnih vozila u ukupnom broju zaključenih ugovora iznosi oko 10%, i u poređenju nominalnih vrijednosti, broj sklopljenih ugovora je uvećan za 10%, dok je </w:t>
      </w:r>
      <w:r w:rsidR="00193315" w:rsidRPr="000B03F5">
        <w:t xml:space="preserve">učešće </w:t>
      </w:r>
      <w:r w:rsidRPr="000B03F5">
        <w:t xml:space="preserve">zaključenih ugovora u vezi sa građevinskim mašinama i opremom </w:t>
      </w:r>
      <w:r w:rsidR="00193315" w:rsidRPr="000B03F5">
        <w:t>u ukupnim ugovorima</w:t>
      </w:r>
      <w:r w:rsidRPr="000B03F5">
        <w:t xml:space="preserve"> 1%  </w:t>
      </w:r>
      <w:r w:rsidR="00193315" w:rsidRPr="000B03F5">
        <w:t xml:space="preserve">- </w:t>
      </w:r>
      <w:r w:rsidRPr="000B03F5">
        <w:t>stopa rasta u odno</w:t>
      </w:r>
      <w:r w:rsidR="00193315" w:rsidRPr="000B03F5">
        <w:t>su na prethodnu godinu je 116%, budući da su u</w:t>
      </w:r>
      <w:r w:rsidRPr="000B03F5">
        <w:t xml:space="preserve"> 2015. godini, ovi ugovori činili oko 0,45% </w:t>
      </w:r>
      <w:r w:rsidRPr="000B03F5">
        <w:lastRenderedPageBreak/>
        <w:t xml:space="preserve">ukupnog broja novozaključenih ugovora. Kao ni u prethodnoj godini, ni u 2016. godinu na tržištu lizinga u plasmanima nijesu učestvovale kategorije ugovora </w:t>
      </w:r>
      <w:r w:rsidR="00193315" w:rsidRPr="000B03F5">
        <w:t>„</w:t>
      </w:r>
      <w:r w:rsidRPr="000B03F5">
        <w:t>nekretnine</w:t>
      </w:r>
      <w:r w:rsidR="00193315" w:rsidRPr="000B03F5">
        <w:t>“</w:t>
      </w:r>
      <w:r w:rsidRPr="000B03F5">
        <w:t xml:space="preserve"> i </w:t>
      </w:r>
      <w:r w:rsidR="00193315" w:rsidRPr="000B03F5">
        <w:t>„brodovi“</w:t>
      </w:r>
      <w:r w:rsidRPr="000B03F5">
        <w:t>. Pored toga, tokom 2016. godine, nije bilo sklapanja ugovora o lizingu u okviru kategorije „ostalo“.</w:t>
      </w:r>
    </w:p>
    <w:p w:rsidR="000B03F5" w:rsidRPr="000B03F5" w:rsidRDefault="000B03F5" w:rsidP="00501421">
      <w:pPr>
        <w:spacing w:after="120"/>
        <w:ind w:left="-567"/>
        <w:jc w:val="both"/>
      </w:pPr>
    </w:p>
    <w:p w:rsidR="00893964" w:rsidRPr="000B03F5" w:rsidRDefault="00893964" w:rsidP="00501421">
      <w:pPr>
        <w:spacing w:after="120"/>
        <w:ind w:left="-567"/>
        <w:jc w:val="both"/>
        <w:rPr>
          <w:i/>
        </w:rPr>
      </w:pPr>
      <w:r w:rsidRPr="000B03F5">
        <w:rPr>
          <w:b/>
          <w:i/>
        </w:rPr>
        <w:t xml:space="preserve">Grafik </w:t>
      </w:r>
      <w:r w:rsidR="000B03F5" w:rsidRPr="000B03F5">
        <w:rPr>
          <w:b/>
          <w:i/>
        </w:rPr>
        <w:t>2</w:t>
      </w:r>
      <w:r w:rsidRPr="000B03F5">
        <w:rPr>
          <w:b/>
          <w:i/>
        </w:rPr>
        <w:t>:</w:t>
      </w:r>
      <w:r w:rsidRPr="000B03F5">
        <w:rPr>
          <w:i/>
        </w:rPr>
        <w:t xml:space="preserve"> Struktura broja zaključenih ugovora prema predmetu lizinga</w:t>
      </w:r>
    </w:p>
    <w:p w:rsidR="00893964" w:rsidRPr="000B03F5" w:rsidRDefault="00893964" w:rsidP="00501421">
      <w:r w:rsidRPr="000B03F5">
        <w:rPr>
          <w:noProof/>
        </w:rPr>
        <w:drawing>
          <wp:inline distT="0" distB="0" distL="0" distR="0">
            <wp:extent cx="4714875" cy="2734310"/>
            <wp:effectExtent l="95250" t="76200" r="85725" b="6604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734310"/>
                    </a:xfrm>
                    <a:prstGeom prst="rect">
                      <a:avLst/>
                    </a:prstGeom>
                    <a:noFill/>
                    <a:ln w="762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93964" w:rsidRPr="000B03F5" w:rsidRDefault="00893964" w:rsidP="00501421">
      <w:pPr>
        <w:spacing w:after="120"/>
        <w:jc w:val="both"/>
      </w:pPr>
    </w:p>
    <w:p w:rsidR="00893964" w:rsidRPr="000B03F5" w:rsidRDefault="00893964" w:rsidP="00501421">
      <w:pPr>
        <w:tabs>
          <w:tab w:val="left" w:pos="8505"/>
        </w:tabs>
        <w:spacing w:after="120"/>
        <w:ind w:left="-567"/>
        <w:jc w:val="both"/>
      </w:pPr>
      <w:r w:rsidRPr="000B03F5">
        <w:t xml:space="preserve">Ukoliko se posmatra struktura </w:t>
      </w:r>
      <w:r w:rsidRPr="000B03F5">
        <w:rPr>
          <w:i/>
        </w:rPr>
        <w:t>vrijednosti</w:t>
      </w:r>
      <w:r w:rsidRPr="000B03F5">
        <w:t xml:space="preserve"> zaključenih ugovora prema predmetu lizinga, strukturno učešće je slično kao i u prethodnom primjeru, opet u korist putničkih automobila.</w:t>
      </w:r>
    </w:p>
    <w:p w:rsidR="00893964" w:rsidRPr="000B03F5" w:rsidRDefault="00572210" w:rsidP="00501421">
      <w:pPr>
        <w:tabs>
          <w:tab w:val="left" w:pos="8505"/>
        </w:tabs>
        <w:spacing w:after="120"/>
        <w:ind w:left="-567"/>
        <w:jc w:val="both"/>
      </w:pPr>
      <w:r w:rsidRPr="000B03F5">
        <w:t>U</w:t>
      </w:r>
      <w:r w:rsidR="00893964" w:rsidRPr="000B03F5">
        <w:t>govor</w:t>
      </w:r>
      <w:r w:rsidRPr="000B03F5">
        <w:t>i</w:t>
      </w:r>
      <w:r w:rsidR="00893964" w:rsidRPr="000B03F5">
        <w:t xml:space="preserve"> o lizingu u dijelu putničkih automobila </w:t>
      </w:r>
      <w:r w:rsidRPr="000B03F5">
        <w:t>čine 85,9% ukupne</w:t>
      </w:r>
      <w:r w:rsidR="00893964" w:rsidRPr="000B03F5">
        <w:t xml:space="preserve"> vrijednosti novozaključenih ugovora čine, dok su </w:t>
      </w:r>
      <w:r w:rsidRPr="000B03F5">
        <w:t xml:space="preserve">ugovori u vezi sa </w:t>
      </w:r>
      <w:r w:rsidR="00893964" w:rsidRPr="000B03F5">
        <w:t>komercijaln</w:t>
      </w:r>
      <w:r w:rsidRPr="000B03F5">
        <w:t>im vozilima</w:t>
      </w:r>
      <w:r w:rsidR="00893964" w:rsidRPr="000B03F5">
        <w:t xml:space="preserve"> zastupljen</w:t>
      </w:r>
      <w:r w:rsidRPr="000B03F5">
        <w:t>i</w:t>
      </w:r>
      <w:r w:rsidR="00893964" w:rsidRPr="000B03F5">
        <w:t xml:space="preserve"> sa 12,1%, a građevinski</w:t>
      </w:r>
      <w:r w:rsidRPr="000B03F5">
        <w:t>m</w:t>
      </w:r>
      <w:r w:rsidR="00893964" w:rsidRPr="000B03F5">
        <w:t xml:space="preserve"> mašina</w:t>
      </w:r>
      <w:r w:rsidRPr="000B03F5">
        <w:t>ma</w:t>
      </w:r>
      <w:r w:rsidR="00893964" w:rsidRPr="000B03F5">
        <w:t xml:space="preserve"> i oprem</w:t>
      </w:r>
      <w:r w:rsidRPr="000B03F5">
        <w:t>om</w:t>
      </w:r>
      <w:r w:rsidR="00893964" w:rsidRPr="000B03F5">
        <w:t xml:space="preserve"> 2</w:t>
      </w:r>
      <w:r w:rsidRPr="000B03F5">
        <w:t>,0</w:t>
      </w:r>
      <w:r w:rsidR="00893964" w:rsidRPr="000B03F5">
        <w:t xml:space="preserve">%. </w:t>
      </w:r>
    </w:p>
    <w:p w:rsidR="00893964" w:rsidRPr="000B03F5" w:rsidRDefault="00893964" w:rsidP="00501421">
      <w:pPr>
        <w:spacing w:after="120"/>
        <w:jc w:val="both"/>
      </w:pPr>
    </w:p>
    <w:p w:rsidR="00893964" w:rsidRPr="000B03F5" w:rsidRDefault="00893964" w:rsidP="00501421">
      <w:pPr>
        <w:spacing w:after="120"/>
        <w:jc w:val="both"/>
        <w:rPr>
          <w:i/>
        </w:rPr>
      </w:pPr>
      <w:r w:rsidRPr="000B03F5">
        <w:rPr>
          <w:i/>
        </w:rPr>
        <w:t xml:space="preserve"> </w:t>
      </w:r>
      <w:r w:rsidRPr="000B03F5">
        <w:rPr>
          <w:b/>
          <w:i/>
        </w:rPr>
        <w:t>Tabela 4:</w:t>
      </w:r>
      <w:r w:rsidR="001D29CC" w:rsidRPr="000B03F5">
        <w:rPr>
          <w:i/>
        </w:rPr>
        <w:t xml:space="preserve"> Uporedni pregled</w:t>
      </w:r>
      <w:r w:rsidRPr="000B03F5">
        <w:rPr>
          <w:i/>
        </w:rPr>
        <w:t xml:space="preserve"> vrijednosti zaključenih ugovora prema predmetu lizinga</w:t>
      </w:r>
    </w:p>
    <w:tbl>
      <w:tblPr>
        <w:tblW w:w="9916" w:type="dxa"/>
        <w:tblInd w:w="-860" w:type="dxa"/>
        <w:tblCellMar>
          <w:left w:w="70" w:type="dxa"/>
          <w:right w:w="70" w:type="dxa"/>
        </w:tblCellMar>
        <w:tblLook w:val="04A0"/>
      </w:tblPr>
      <w:tblGrid>
        <w:gridCol w:w="3016"/>
        <w:gridCol w:w="1786"/>
        <w:gridCol w:w="881"/>
        <w:gridCol w:w="1786"/>
        <w:gridCol w:w="881"/>
        <w:gridCol w:w="1566"/>
      </w:tblGrid>
      <w:tr w:rsidR="00893964" w:rsidRPr="000B03F5" w:rsidTr="00AE4406">
        <w:trPr>
          <w:trHeight w:val="255"/>
        </w:trPr>
        <w:tc>
          <w:tcPr>
            <w:tcW w:w="30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893964" w:rsidRPr="000B03F5" w:rsidRDefault="00893964" w:rsidP="00501421">
            <w:pPr>
              <w:rPr>
                <w:b/>
                <w:sz w:val="20"/>
                <w:szCs w:val="20"/>
              </w:rPr>
            </w:pPr>
            <w:r w:rsidRPr="000B03F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9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92CDDC"/>
            <w:noWrap/>
            <w:vAlign w:val="bottom"/>
            <w:hideMark/>
          </w:tcPr>
          <w:p w:rsidR="00893964" w:rsidRPr="000B03F5" w:rsidRDefault="00893964" w:rsidP="00501421">
            <w:pPr>
              <w:jc w:val="center"/>
              <w:rPr>
                <w:b/>
                <w:sz w:val="20"/>
                <w:szCs w:val="20"/>
              </w:rPr>
            </w:pPr>
            <w:r w:rsidRPr="000B03F5">
              <w:rPr>
                <w:b/>
                <w:sz w:val="20"/>
                <w:szCs w:val="20"/>
              </w:rPr>
              <w:t>Vrijednost ugovora</w:t>
            </w:r>
          </w:p>
        </w:tc>
      </w:tr>
      <w:tr w:rsidR="00893964" w:rsidRPr="000B03F5" w:rsidTr="001D29CC">
        <w:trPr>
          <w:trHeight w:val="450"/>
        </w:trPr>
        <w:tc>
          <w:tcPr>
            <w:tcW w:w="3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893964" w:rsidRPr="000B03F5" w:rsidRDefault="00893964" w:rsidP="00501421">
            <w:pPr>
              <w:rPr>
                <w:b/>
                <w:sz w:val="20"/>
                <w:szCs w:val="20"/>
              </w:rPr>
            </w:pPr>
            <w:r w:rsidRPr="000B03F5">
              <w:rPr>
                <w:b/>
                <w:sz w:val="20"/>
                <w:szCs w:val="20"/>
              </w:rPr>
              <w:t>Predmet lizinga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893964" w:rsidRPr="000B03F5" w:rsidRDefault="00893964" w:rsidP="00501421">
            <w:pPr>
              <w:jc w:val="center"/>
              <w:rPr>
                <w:b/>
                <w:sz w:val="20"/>
                <w:szCs w:val="20"/>
              </w:rPr>
            </w:pPr>
            <w:r w:rsidRPr="000B03F5">
              <w:rPr>
                <w:b/>
                <w:sz w:val="20"/>
                <w:szCs w:val="20"/>
              </w:rPr>
              <w:t>Ukupno 2015. god.</w:t>
            </w:r>
          </w:p>
          <w:p w:rsidR="00893964" w:rsidRPr="000B03F5" w:rsidRDefault="00893964" w:rsidP="00501421">
            <w:pPr>
              <w:jc w:val="center"/>
              <w:rPr>
                <w:b/>
                <w:sz w:val="20"/>
                <w:szCs w:val="20"/>
              </w:rPr>
            </w:pPr>
            <w:r w:rsidRPr="000B03F5">
              <w:rPr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:rsidR="00893964" w:rsidRPr="000B03F5" w:rsidRDefault="00893964" w:rsidP="00501421">
            <w:pPr>
              <w:jc w:val="center"/>
              <w:rPr>
                <w:b/>
                <w:sz w:val="20"/>
                <w:szCs w:val="20"/>
              </w:rPr>
            </w:pPr>
            <w:r w:rsidRPr="000B03F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:rsidR="00893964" w:rsidRPr="000B03F5" w:rsidRDefault="00893964" w:rsidP="005014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03F5">
              <w:rPr>
                <w:b/>
                <w:sz w:val="20"/>
                <w:szCs w:val="20"/>
              </w:rPr>
              <w:t>Ukupno 2016. god.</w:t>
            </w:r>
          </w:p>
          <w:p w:rsidR="00893964" w:rsidRPr="000B03F5" w:rsidRDefault="00893964" w:rsidP="00501421">
            <w:pPr>
              <w:jc w:val="center"/>
              <w:rPr>
                <w:b/>
                <w:sz w:val="20"/>
                <w:szCs w:val="20"/>
              </w:rPr>
            </w:pPr>
            <w:r w:rsidRPr="000B03F5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:rsidR="00893964" w:rsidRPr="000B03F5" w:rsidRDefault="00893964" w:rsidP="00501421">
            <w:pPr>
              <w:jc w:val="center"/>
              <w:rPr>
                <w:b/>
                <w:sz w:val="20"/>
                <w:szCs w:val="20"/>
              </w:rPr>
            </w:pPr>
            <w:r w:rsidRPr="000B03F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92CDDC"/>
            <w:vAlign w:val="bottom"/>
            <w:hideMark/>
          </w:tcPr>
          <w:p w:rsidR="00893964" w:rsidRPr="000B03F5" w:rsidRDefault="00893964" w:rsidP="00501421">
            <w:pPr>
              <w:jc w:val="center"/>
              <w:rPr>
                <w:b/>
                <w:sz w:val="20"/>
                <w:szCs w:val="20"/>
              </w:rPr>
            </w:pPr>
            <w:r w:rsidRPr="000B03F5">
              <w:rPr>
                <w:b/>
                <w:sz w:val="20"/>
                <w:szCs w:val="20"/>
              </w:rPr>
              <w:t>Stopa rasta</w:t>
            </w:r>
          </w:p>
          <w:p w:rsidR="00893964" w:rsidRPr="000B03F5" w:rsidRDefault="00893964" w:rsidP="00501421">
            <w:pPr>
              <w:jc w:val="center"/>
              <w:rPr>
                <w:b/>
                <w:sz w:val="20"/>
                <w:szCs w:val="20"/>
              </w:rPr>
            </w:pPr>
            <w:r w:rsidRPr="000B03F5">
              <w:rPr>
                <w:b/>
                <w:sz w:val="20"/>
                <w:szCs w:val="20"/>
              </w:rPr>
              <w:t>(2)/(1)</w:t>
            </w:r>
          </w:p>
        </w:tc>
      </w:tr>
      <w:tr w:rsidR="00893964" w:rsidRPr="000B03F5" w:rsidTr="001D29CC">
        <w:trPr>
          <w:trHeight w:val="255"/>
        </w:trPr>
        <w:tc>
          <w:tcPr>
            <w:tcW w:w="3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964" w:rsidRPr="000B03F5" w:rsidRDefault="00893964" w:rsidP="00501421">
            <w:pPr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Putnički automobili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964" w:rsidRPr="000B03F5" w:rsidRDefault="00893964" w:rsidP="00501421">
            <w:pPr>
              <w:jc w:val="right"/>
              <w:rPr>
                <w:b/>
                <w:bCs/>
                <w:sz w:val="20"/>
                <w:szCs w:val="20"/>
              </w:rPr>
            </w:pPr>
            <w:r w:rsidRPr="000B03F5">
              <w:rPr>
                <w:b/>
                <w:bCs/>
                <w:sz w:val="20"/>
                <w:szCs w:val="20"/>
              </w:rPr>
              <w:t>14.337.542,62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964" w:rsidRPr="000B03F5" w:rsidRDefault="00893964" w:rsidP="00501421">
            <w:pPr>
              <w:jc w:val="right"/>
              <w:rPr>
                <w:b/>
                <w:bCs/>
                <w:sz w:val="20"/>
                <w:szCs w:val="20"/>
              </w:rPr>
            </w:pPr>
            <w:r w:rsidRPr="000B03F5">
              <w:rPr>
                <w:b/>
                <w:bCs/>
                <w:sz w:val="20"/>
                <w:szCs w:val="20"/>
              </w:rPr>
              <w:t>86,36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964" w:rsidRPr="000B03F5" w:rsidRDefault="00893964" w:rsidP="00501421">
            <w:pPr>
              <w:jc w:val="right"/>
              <w:rPr>
                <w:b/>
                <w:sz w:val="20"/>
                <w:szCs w:val="20"/>
              </w:rPr>
            </w:pPr>
            <w:r w:rsidRPr="000B03F5">
              <w:rPr>
                <w:b/>
                <w:sz w:val="20"/>
                <w:szCs w:val="20"/>
              </w:rPr>
              <w:t>13,779,706.76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964" w:rsidRPr="000B03F5" w:rsidRDefault="00893964" w:rsidP="00501421">
            <w:pPr>
              <w:jc w:val="right"/>
              <w:rPr>
                <w:b/>
                <w:bCs/>
                <w:sz w:val="20"/>
                <w:szCs w:val="20"/>
              </w:rPr>
            </w:pPr>
            <w:r w:rsidRPr="000B03F5">
              <w:rPr>
                <w:b/>
                <w:bCs/>
                <w:sz w:val="20"/>
                <w:szCs w:val="20"/>
              </w:rPr>
              <w:t>85,9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893964" w:rsidRPr="000B03F5" w:rsidRDefault="00336448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-3,9%</w:t>
            </w:r>
          </w:p>
        </w:tc>
      </w:tr>
      <w:tr w:rsidR="00893964" w:rsidRPr="000B03F5" w:rsidTr="001D29CC">
        <w:trPr>
          <w:trHeight w:val="450"/>
        </w:trPr>
        <w:tc>
          <w:tcPr>
            <w:tcW w:w="3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964" w:rsidRPr="000B03F5" w:rsidRDefault="00893964" w:rsidP="00501421">
            <w:pPr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Privredna vozila (kamioni, autobusi i dostavna vozila)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964" w:rsidRPr="000B03F5" w:rsidRDefault="00893964" w:rsidP="00501421">
            <w:pPr>
              <w:jc w:val="right"/>
              <w:rPr>
                <w:b/>
                <w:bCs/>
                <w:sz w:val="20"/>
                <w:szCs w:val="20"/>
              </w:rPr>
            </w:pPr>
            <w:r w:rsidRPr="000B03F5">
              <w:rPr>
                <w:b/>
                <w:bCs/>
                <w:sz w:val="20"/>
                <w:szCs w:val="20"/>
              </w:rPr>
              <w:t>2.054.682,37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964" w:rsidRPr="000B03F5" w:rsidRDefault="00893964" w:rsidP="00501421">
            <w:pPr>
              <w:jc w:val="right"/>
              <w:rPr>
                <w:b/>
                <w:bCs/>
                <w:sz w:val="20"/>
                <w:szCs w:val="20"/>
              </w:rPr>
            </w:pPr>
            <w:r w:rsidRPr="000B03F5">
              <w:rPr>
                <w:b/>
                <w:bCs/>
                <w:sz w:val="20"/>
                <w:szCs w:val="20"/>
              </w:rPr>
              <w:t>12,38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964" w:rsidRPr="000B03F5" w:rsidRDefault="00893964" w:rsidP="00501421">
            <w:pPr>
              <w:jc w:val="right"/>
              <w:rPr>
                <w:b/>
                <w:sz w:val="20"/>
                <w:szCs w:val="20"/>
              </w:rPr>
            </w:pPr>
            <w:r w:rsidRPr="000B03F5">
              <w:rPr>
                <w:b/>
                <w:sz w:val="20"/>
                <w:szCs w:val="20"/>
              </w:rPr>
              <w:t>1,936,003.60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964" w:rsidRPr="000B03F5" w:rsidRDefault="00893964" w:rsidP="00501421">
            <w:pPr>
              <w:jc w:val="right"/>
              <w:rPr>
                <w:b/>
                <w:bCs/>
                <w:sz w:val="20"/>
                <w:szCs w:val="20"/>
              </w:rPr>
            </w:pPr>
            <w:r w:rsidRPr="000B03F5">
              <w:rPr>
                <w:b/>
                <w:bCs/>
                <w:sz w:val="20"/>
                <w:szCs w:val="20"/>
              </w:rPr>
              <w:t>12,1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893964" w:rsidRPr="000B03F5" w:rsidRDefault="00336448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-5,8%</w:t>
            </w:r>
          </w:p>
        </w:tc>
      </w:tr>
      <w:tr w:rsidR="00893964" w:rsidRPr="000B03F5" w:rsidTr="00572210">
        <w:trPr>
          <w:trHeight w:val="294"/>
        </w:trPr>
        <w:tc>
          <w:tcPr>
            <w:tcW w:w="3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964" w:rsidRPr="000B03F5" w:rsidRDefault="00893964" w:rsidP="00501421">
            <w:pPr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Građevinske mašine i oprema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964" w:rsidRPr="000B03F5" w:rsidRDefault="00893964" w:rsidP="00501421">
            <w:pPr>
              <w:jc w:val="right"/>
              <w:rPr>
                <w:b/>
                <w:bCs/>
                <w:sz w:val="20"/>
                <w:szCs w:val="20"/>
              </w:rPr>
            </w:pPr>
            <w:r w:rsidRPr="000B03F5">
              <w:rPr>
                <w:b/>
                <w:bCs/>
                <w:sz w:val="20"/>
                <w:szCs w:val="20"/>
              </w:rPr>
              <w:t>209.571,53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964" w:rsidRPr="000B03F5" w:rsidRDefault="00893964" w:rsidP="00501421">
            <w:pPr>
              <w:jc w:val="right"/>
              <w:rPr>
                <w:b/>
                <w:bCs/>
                <w:sz w:val="20"/>
                <w:szCs w:val="20"/>
              </w:rPr>
            </w:pPr>
            <w:r w:rsidRPr="000B03F5">
              <w:rPr>
                <w:b/>
                <w:bCs/>
                <w:sz w:val="20"/>
                <w:szCs w:val="20"/>
              </w:rPr>
              <w:t>1,26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964" w:rsidRPr="000B03F5" w:rsidRDefault="00893964" w:rsidP="00501421">
            <w:pPr>
              <w:jc w:val="right"/>
              <w:rPr>
                <w:b/>
                <w:sz w:val="20"/>
                <w:szCs w:val="20"/>
              </w:rPr>
            </w:pPr>
            <w:r w:rsidRPr="000B03F5">
              <w:rPr>
                <w:b/>
                <w:sz w:val="20"/>
                <w:szCs w:val="20"/>
              </w:rPr>
              <w:t>327,864.07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964" w:rsidRPr="000B03F5" w:rsidRDefault="00893964" w:rsidP="00501421">
            <w:pPr>
              <w:jc w:val="right"/>
              <w:rPr>
                <w:b/>
                <w:bCs/>
                <w:sz w:val="20"/>
                <w:szCs w:val="20"/>
              </w:rPr>
            </w:pPr>
            <w:r w:rsidRPr="000B03F5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893964" w:rsidRPr="000B03F5" w:rsidRDefault="001D29CC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56,4%</w:t>
            </w:r>
          </w:p>
        </w:tc>
      </w:tr>
      <w:tr w:rsidR="00893964" w:rsidRPr="000B03F5" w:rsidTr="00572210">
        <w:trPr>
          <w:trHeight w:val="294"/>
        </w:trPr>
        <w:tc>
          <w:tcPr>
            <w:tcW w:w="3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964" w:rsidRPr="000B03F5" w:rsidRDefault="00893964" w:rsidP="00501421">
            <w:pPr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Brodovi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964" w:rsidRPr="000B03F5" w:rsidRDefault="00893964" w:rsidP="00501421">
            <w:pPr>
              <w:jc w:val="right"/>
              <w:rPr>
                <w:b/>
                <w:bCs/>
                <w:sz w:val="20"/>
                <w:szCs w:val="20"/>
              </w:rPr>
            </w:pPr>
            <w:r w:rsidRPr="000B03F5">
              <w:rPr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964" w:rsidRPr="000B03F5" w:rsidRDefault="00893964" w:rsidP="00501421">
            <w:pPr>
              <w:jc w:val="right"/>
              <w:rPr>
                <w:b/>
                <w:bCs/>
                <w:sz w:val="20"/>
                <w:szCs w:val="20"/>
              </w:rPr>
            </w:pPr>
            <w:r w:rsidRPr="000B03F5">
              <w:rPr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964" w:rsidRPr="000B03F5" w:rsidRDefault="00893964" w:rsidP="00501421">
            <w:pPr>
              <w:jc w:val="right"/>
              <w:rPr>
                <w:b/>
                <w:bCs/>
                <w:sz w:val="20"/>
                <w:szCs w:val="20"/>
              </w:rPr>
            </w:pPr>
            <w:r w:rsidRPr="000B03F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964" w:rsidRPr="000B03F5" w:rsidRDefault="00893964" w:rsidP="00501421">
            <w:pPr>
              <w:jc w:val="right"/>
              <w:rPr>
                <w:b/>
                <w:bCs/>
                <w:sz w:val="20"/>
                <w:szCs w:val="20"/>
              </w:rPr>
            </w:pPr>
            <w:r w:rsidRPr="000B03F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893964" w:rsidRPr="000B03F5" w:rsidRDefault="001D29CC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-</w:t>
            </w:r>
          </w:p>
        </w:tc>
      </w:tr>
      <w:tr w:rsidR="00893964" w:rsidRPr="000B03F5" w:rsidTr="00572210">
        <w:trPr>
          <w:trHeight w:val="294"/>
        </w:trPr>
        <w:tc>
          <w:tcPr>
            <w:tcW w:w="3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964" w:rsidRPr="000B03F5" w:rsidRDefault="00893964" w:rsidP="00501421">
            <w:pPr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Nekretnine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964" w:rsidRPr="000B03F5" w:rsidRDefault="00893964" w:rsidP="00501421">
            <w:pPr>
              <w:jc w:val="right"/>
              <w:rPr>
                <w:b/>
                <w:bCs/>
                <w:sz w:val="20"/>
                <w:szCs w:val="20"/>
              </w:rPr>
            </w:pPr>
            <w:r w:rsidRPr="000B03F5">
              <w:rPr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964" w:rsidRPr="000B03F5" w:rsidRDefault="00893964" w:rsidP="00501421">
            <w:pPr>
              <w:jc w:val="right"/>
              <w:rPr>
                <w:b/>
                <w:bCs/>
                <w:sz w:val="20"/>
                <w:szCs w:val="20"/>
              </w:rPr>
            </w:pPr>
            <w:r w:rsidRPr="000B03F5">
              <w:rPr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964" w:rsidRPr="000B03F5" w:rsidRDefault="00893964" w:rsidP="00501421">
            <w:pPr>
              <w:jc w:val="right"/>
              <w:rPr>
                <w:b/>
                <w:bCs/>
                <w:sz w:val="20"/>
                <w:szCs w:val="20"/>
              </w:rPr>
            </w:pPr>
            <w:r w:rsidRPr="000B03F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964" w:rsidRPr="000B03F5" w:rsidRDefault="00893964" w:rsidP="00501421">
            <w:pPr>
              <w:jc w:val="right"/>
              <w:rPr>
                <w:b/>
                <w:bCs/>
                <w:sz w:val="20"/>
                <w:szCs w:val="20"/>
              </w:rPr>
            </w:pPr>
            <w:r w:rsidRPr="000B03F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893964" w:rsidRPr="000B03F5" w:rsidRDefault="001D29CC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-</w:t>
            </w:r>
          </w:p>
        </w:tc>
      </w:tr>
      <w:tr w:rsidR="00893964" w:rsidRPr="000B03F5" w:rsidTr="00572210">
        <w:trPr>
          <w:trHeight w:val="294"/>
        </w:trPr>
        <w:tc>
          <w:tcPr>
            <w:tcW w:w="3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964" w:rsidRPr="000B03F5" w:rsidRDefault="00893964" w:rsidP="00501421">
            <w:pPr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Ostalo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964" w:rsidRPr="000B03F5" w:rsidRDefault="00893964" w:rsidP="00501421">
            <w:pPr>
              <w:jc w:val="right"/>
              <w:rPr>
                <w:b/>
                <w:bCs/>
                <w:sz w:val="20"/>
                <w:szCs w:val="20"/>
              </w:rPr>
            </w:pPr>
            <w:r w:rsidRPr="000B03F5">
              <w:rPr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964" w:rsidRPr="000B03F5" w:rsidRDefault="00893964" w:rsidP="00501421">
            <w:pPr>
              <w:jc w:val="right"/>
              <w:rPr>
                <w:b/>
                <w:bCs/>
                <w:sz w:val="20"/>
                <w:szCs w:val="20"/>
              </w:rPr>
            </w:pPr>
            <w:r w:rsidRPr="000B03F5">
              <w:rPr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964" w:rsidRPr="000B03F5" w:rsidRDefault="00893964" w:rsidP="00501421">
            <w:pPr>
              <w:jc w:val="right"/>
              <w:rPr>
                <w:b/>
                <w:bCs/>
                <w:sz w:val="20"/>
                <w:szCs w:val="20"/>
              </w:rPr>
            </w:pPr>
            <w:r w:rsidRPr="000B03F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964" w:rsidRPr="000B03F5" w:rsidRDefault="00893964" w:rsidP="00501421">
            <w:pPr>
              <w:jc w:val="right"/>
              <w:rPr>
                <w:b/>
                <w:bCs/>
                <w:sz w:val="20"/>
                <w:szCs w:val="20"/>
              </w:rPr>
            </w:pPr>
            <w:r w:rsidRPr="000B03F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893964" w:rsidRPr="000B03F5" w:rsidRDefault="001D29CC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-</w:t>
            </w:r>
          </w:p>
        </w:tc>
      </w:tr>
      <w:tr w:rsidR="00893964" w:rsidRPr="000B03F5" w:rsidTr="00572210">
        <w:trPr>
          <w:trHeight w:val="294"/>
        </w:trPr>
        <w:tc>
          <w:tcPr>
            <w:tcW w:w="3016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:rsidR="00893964" w:rsidRPr="000B03F5" w:rsidRDefault="00893964" w:rsidP="00501421">
            <w:pPr>
              <w:rPr>
                <w:b/>
                <w:sz w:val="20"/>
                <w:szCs w:val="20"/>
              </w:rPr>
            </w:pPr>
            <w:r w:rsidRPr="000B03F5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7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:rsidR="00893964" w:rsidRPr="000B03F5" w:rsidRDefault="00893964" w:rsidP="00501421">
            <w:pPr>
              <w:jc w:val="right"/>
              <w:rPr>
                <w:b/>
                <w:bCs/>
                <w:sz w:val="20"/>
                <w:szCs w:val="20"/>
              </w:rPr>
            </w:pPr>
            <w:r w:rsidRPr="000B03F5">
              <w:rPr>
                <w:b/>
                <w:bCs/>
                <w:sz w:val="20"/>
                <w:szCs w:val="20"/>
              </w:rPr>
              <w:t>16.601.796,52</w:t>
            </w:r>
          </w:p>
        </w:tc>
        <w:tc>
          <w:tcPr>
            <w:tcW w:w="88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:rsidR="00893964" w:rsidRPr="000B03F5" w:rsidRDefault="00893964" w:rsidP="00501421">
            <w:pPr>
              <w:jc w:val="right"/>
              <w:rPr>
                <w:b/>
                <w:bCs/>
                <w:sz w:val="20"/>
                <w:szCs w:val="20"/>
              </w:rPr>
            </w:pPr>
            <w:r w:rsidRPr="000B03F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</w:tcPr>
          <w:p w:rsidR="00893964" w:rsidRPr="000B03F5" w:rsidRDefault="00893964" w:rsidP="0050142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B03F5">
              <w:rPr>
                <w:b/>
                <w:color w:val="000000"/>
                <w:sz w:val="20"/>
                <w:szCs w:val="20"/>
              </w:rPr>
              <w:t>16,043,574.43</w:t>
            </w:r>
          </w:p>
        </w:tc>
        <w:tc>
          <w:tcPr>
            <w:tcW w:w="88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</w:tcPr>
          <w:p w:rsidR="00893964" w:rsidRPr="000B03F5" w:rsidRDefault="00893964" w:rsidP="00501421">
            <w:pPr>
              <w:jc w:val="right"/>
              <w:rPr>
                <w:b/>
                <w:bCs/>
                <w:sz w:val="20"/>
                <w:szCs w:val="20"/>
              </w:rPr>
            </w:pPr>
            <w:r w:rsidRPr="000B03F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56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92CDDC"/>
            <w:noWrap/>
            <w:vAlign w:val="center"/>
          </w:tcPr>
          <w:p w:rsidR="00893964" w:rsidRPr="000B03F5" w:rsidRDefault="001D29CC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-3,4%</w:t>
            </w:r>
          </w:p>
        </w:tc>
      </w:tr>
    </w:tbl>
    <w:p w:rsidR="00893964" w:rsidRPr="000B03F5" w:rsidRDefault="00893964" w:rsidP="00501421">
      <w:pPr>
        <w:spacing w:after="120"/>
        <w:ind w:left="-567"/>
        <w:jc w:val="both"/>
        <w:rPr>
          <w:sz w:val="20"/>
          <w:szCs w:val="20"/>
        </w:rPr>
      </w:pPr>
    </w:p>
    <w:p w:rsidR="00893964" w:rsidRDefault="00893964" w:rsidP="00501421">
      <w:pPr>
        <w:spacing w:after="120"/>
        <w:ind w:left="-567"/>
        <w:jc w:val="both"/>
      </w:pPr>
      <w:r w:rsidRPr="000B03F5">
        <w:t xml:space="preserve">Iako se broj zaključenih ugovora koja se odnosi na </w:t>
      </w:r>
      <w:r w:rsidRPr="000B03F5">
        <w:rPr>
          <w:i/>
        </w:rPr>
        <w:t>Privredna vozila (kamioni, autobusi i dostavna vozila</w:t>
      </w:r>
      <w:r w:rsidRPr="000B03F5">
        <w:t xml:space="preserve">) povećao za 10%, sa druge strane vrijednost istih je smanjena za oko </w:t>
      </w:r>
      <w:r w:rsidRPr="000B03F5">
        <w:rPr>
          <w:sz w:val="20"/>
          <w:szCs w:val="20"/>
        </w:rPr>
        <w:t>5,7</w:t>
      </w:r>
      <w:r w:rsidRPr="000B03F5">
        <w:t>%.</w:t>
      </w:r>
    </w:p>
    <w:p w:rsidR="00501421" w:rsidRDefault="00501421" w:rsidP="00501421">
      <w:pPr>
        <w:spacing w:after="120"/>
        <w:ind w:left="-567"/>
        <w:jc w:val="both"/>
      </w:pPr>
    </w:p>
    <w:p w:rsidR="00501421" w:rsidRPr="000B03F5" w:rsidRDefault="00501421" w:rsidP="00501421">
      <w:pPr>
        <w:spacing w:after="120"/>
        <w:ind w:left="-567"/>
        <w:jc w:val="both"/>
      </w:pPr>
    </w:p>
    <w:p w:rsidR="00893964" w:rsidRPr="000B03F5" w:rsidRDefault="00893964" w:rsidP="00501421">
      <w:pPr>
        <w:spacing w:after="120"/>
        <w:rPr>
          <w:i/>
        </w:rPr>
      </w:pPr>
      <w:r w:rsidRPr="000B03F5">
        <w:rPr>
          <w:b/>
          <w:i/>
        </w:rPr>
        <w:lastRenderedPageBreak/>
        <w:t xml:space="preserve">Grafik </w:t>
      </w:r>
      <w:r w:rsidR="000B03F5" w:rsidRPr="000B03F5">
        <w:rPr>
          <w:b/>
          <w:i/>
        </w:rPr>
        <w:t>3</w:t>
      </w:r>
      <w:r w:rsidRPr="000B03F5">
        <w:rPr>
          <w:b/>
          <w:i/>
        </w:rPr>
        <w:t>:</w:t>
      </w:r>
      <w:r w:rsidRPr="000B03F5">
        <w:rPr>
          <w:i/>
        </w:rPr>
        <w:t xml:space="preserve"> Struktura vrijednosti zaključenih ugovora prema predmetu lizinga</w:t>
      </w:r>
    </w:p>
    <w:p w:rsidR="00893964" w:rsidRPr="000B03F5" w:rsidRDefault="00893964" w:rsidP="00501421">
      <w:pPr>
        <w:jc w:val="both"/>
        <w:rPr>
          <w:i/>
        </w:rPr>
      </w:pPr>
      <w:r w:rsidRPr="000B03F5">
        <w:rPr>
          <w:noProof/>
        </w:rPr>
        <w:drawing>
          <wp:inline distT="0" distB="0" distL="0" distR="0">
            <wp:extent cx="5000625" cy="2009775"/>
            <wp:effectExtent l="57150" t="38100" r="47625" b="28575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009775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93964" w:rsidRDefault="00893964" w:rsidP="00501421">
      <w:pPr>
        <w:jc w:val="both"/>
        <w:rPr>
          <w:i/>
        </w:rPr>
      </w:pPr>
    </w:p>
    <w:p w:rsidR="00501421" w:rsidRPr="000B03F5" w:rsidRDefault="00501421" w:rsidP="00501421">
      <w:pPr>
        <w:jc w:val="both"/>
        <w:rPr>
          <w:i/>
        </w:rPr>
      </w:pPr>
    </w:p>
    <w:p w:rsidR="00893964" w:rsidRPr="000B03F5" w:rsidRDefault="00893964" w:rsidP="00501421">
      <w:pPr>
        <w:jc w:val="both"/>
        <w:rPr>
          <w:i/>
        </w:rPr>
      </w:pPr>
    </w:p>
    <w:p w:rsidR="00893964" w:rsidRPr="00501421" w:rsidRDefault="00893964" w:rsidP="00501421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b/>
          <w:i/>
        </w:rPr>
      </w:pPr>
      <w:r w:rsidRPr="00501421">
        <w:rPr>
          <w:b/>
          <w:i/>
        </w:rPr>
        <w:t>Sektorska struktura</w:t>
      </w:r>
    </w:p>
    <w:p w:rsidR="00893964" w:rsidRPr="000B03F5" w:rsidRDefault="00893964" w:rsidP="00501421">
      <w:pPr>
        <w:spacing w:after="120"/>
        <w:ind w:left="-567"/>
        <w:jc w:val="both"/>
      </w:pPr>
      <w:r w:rsidRPr="000B03F5">
        <w:t xml:space="preserve">U pogledu sektorske strukture plasmana </w:t>
      </w:r>
      <w:r w:rsidRPr="000B03F5">
        <w:rPr>
          <w:i/>
        </w:rPr>
        <w:t>novozaključenih</w:t>
      </w:r>
      <w:r w:rsidRPr="000B03F5">
        <w:t xml:space="preserve"> u 2016. godini dominiraju ugovori u okviru sektora </w:t>
      </w:r>
      <w:r w:rsidRPr="000B03F5">
        <w:rPr>
          <w:i/>
        </w:rPr>
        <w:t>ostale usluge</w:t>
      </w:r>
      <w:r w:rsidRPr="000B03F5">
        <w:t>,</w:t>
      </w:r>
      <w:r w:rsidR="006D1E96" w:rsidRPr="000B03F5">
        <w:t xml:space="preserve"> </w:t>
      </w:r>
      <w:r w:rsidR="006D1E96" w:rsidRPr="000B03F5">
        <w:rPr>
          <w:i/>
        </w:rPr>
        <w:t>državne uprave,</w:t>
      </w:r>
      <w:r w:rsidRPr="000B03F5">
        <w:t xml:space="preserve"> </w:t>
      </w:r>
      <w:r w:rsidRPr="000B03F5">
        <w:rPr>
          <w:i/>
        </w:rPr>
        <w:t>trgovine</w:t>
      </w:r>
      <w:r w:rsidRPr="000B03F5">
        <w:t xml:space="preserve">, kao i </w:t>
      </w:r>
      <w:r w:rsidRPr="000B03F5">
        <w:rPr>
          <w:i/>
        </w:rPr>
        <w:t>saobraćaja</w:t>
      </w:r>
      <w:r w:rsidRPr="000B03F5">
        <w:t xml:space="preserve">. </w:t>
      </w:r>
    </w:p>
    <w:p w:rsidR="00893964" w:rsidRPr="000B03F5" w:rsidRDefault="00893964" w:rsidP="00501421">
      <w:pPr>
        <w:spacing w:after="120"/>
        <w:ind w:left="-567"/>
        <w:jc w:val="both"/>
      </w:pPr>
      <w:r w:rsidRPr="000B03F5">
        <w:t xml:space="preserve">U poređenju sa prethodnom godinom evidentno je smanjenje ugovora zaključenih u sektoru koji se odnosi na </w:t>
      </w:r>
      <w:r w:rsidR="00637703" w:rsidRPr="000B03F5">
        <w:rPr>
          <w:i/>
        </w:rPr>
        <w:t>saobraćaj (</w:t>
      </w:r>
      <w:r w:rsidR="00637703" w:rsidRPr="000B03F5">
        <w:rPr>
          <w:i/>
          <w:color w:val="000000"/>
        </w:rPr>
        <w:t>-89%</w:t>
      </w:r>
      <w:r w:rsidR="00637703" w:rsidRPr="000B03F5">
        <w:rPr>
          <w:i/>
        </w:rPr>
        <w:t>), finansijske djelatnosti (</w:t>
      </w:r>
      <w:r w:rsidR="00637703" w:rsidRPr="000B03F5">
        <w:rPr>
          <w:i/>
          <w:color w:val="000000"/>
        </w:rPr>
        <w:t xml:space="preserve">-70%), </w:t>
      </w:r>
      <w:r w:rsidRPr="000B03F5">
        <w:rPr>
          <w:i/>
        </w:rPr>
        <w:t>usluge smještaja i ishrane (</w:t>
      </w:r>
      <w:r w:rsidRPr="000B03F5">
        <w:rPr>
          <w:i/>
          <w:color w:val="000000"/>
        </w:rPr>
        <w:t>-25%)</w:t>
      </w:r>
      <w:r w:rsidRPr="000B03F5">
        <w:rPr>
          <w:i/>
        </w:rPr>
        <w:t>,</w:t>
      </w:r>
      <w:r w:rsidR="00637703" w:rsidRPr="000B03F5">
        <w:rPr>
          <w:i/>
        </w:rPr>
        <w:t xml:space="preserve"> industrije (</w:t>
      </w:r>
      <w:r w:rsidR="00637703" w:rsidRPr="000B03F5">
        <w:rPr>
          <w:i/>
          <w:color w:val="000000"/>
        </w:rPr>
        <w:t>-10%) i</w:t>
      </w:r>
      <w:r w:rsidR="00637703" w:rsidRPr="000B03F5">
        <w:rPr>
          <w:i/>
        </w:rPr>
        <w:t xml:space="preserve"> trgovine</w:t>
      </w:r>
      <w:r w:rsidRPr="000B03F5">
        <w:rPr>
          <w:i/>
        </w:rPr>
        <w:t xml:space="preserve"> (</w:t>
      </w:r>
      <w:r w:rsidR="00637703" w:rsidRPr="000B03F5">
        <w:rPr>
          <w:i/>
          <w:color w:val="000000"/>
        </w:rPr>
        <w:t>-0,5</w:t>
      </w:r>
      <w:r w:rsidRPr="000B03F5">
        <w:rPr>
          <w:i/>
          <w:color w:val="000000"/>
        </w:rPr>
        <w:t>%)</w:t>
      </w:r>
      <w:r w:rsidRPr="000B03F5">
        <w:rPr>
          <w:i/>
        </w:rPr>
        <w:t>.</w:t>
      </w:r>
    </w:p>
    <w:p w:rsidR="00893964" w:rsidRPr="000B03F5" w:rsidRDefault="00893964" w:rsidP="00501421">
      <w:pPr>
        <w:spacing w:after="120"/>
        <w:jc w:val="both"/>
        <w:rPr>
          <w:b/>
          <w:sz w:val="20"/>
        </w:rPr>
      </w:pPr>
    </w:p>
    <w:p w:rsidR="00893964" w:rsidRPr="000B03F5" w:rsidRDefault="00893964" w:rsidP="00501421">
      <w:pPr>
        <w:spacing w:after="120"/>
        <w:ind w:left="-567"/>
        <w:jc w:val="both"/>
        <w:rPr>
          <w:bCs/>
          <w:i/>
          <w:lang w:val="en-US" w:eastAsia="en-US"/>
        </w:rPr>
      </w:pPr>
      <w:proofErr w:type="spellStart"/>
      <w:proofErr w:type="gramStart"/>
      <w:r w:rsidRPr="000B03F5">
        <w:rPr>
          <w:b/>
          <w:bCs/>
          <w:i/>
          <w:lang w:val="en-US" w:eastAsia="en-US"/>
        </w:rPr>
        <w:t>Tabela</w:t>
      </w:r>
      <w:proofErr w:type="spellEnd"/>
      <w:r w:rsidRPr="000B03F5">
        <w:rPr>
          <w:b/>
          <w:bCs/>
          <w:i/>
          <w:lang w:val="en-US" w:eastAsia="en-US"/>
        </w:rPr>
        <w:t xml:space="preserve"> 5</w:t>
      </w:r>
      <w:r w:rsidRPr="000B03F5">
        <w:rPr>
          <w:bCs/>
          <w:i/>
          <w:lang w:val="en-US" w:eastAsia="en-US"/>
        </w:rPr>
        <w:t>.</w:t>
      </w:r>
      <w:proofErr w:type="gramEnd"/>
      <w:r w:rsidRPr="000B03F5">
        <w:rPr>
          <w:bCs/>
          <w:i/>
          <w:lang w:val="en-US" w:eastAsia="en-US"/>
        </w:rPr>
        <w:t xml:space="preserve"> </w:t>
      </w:r>
      <w:proofErr w:type="spellStart"/>
      <w:r w:rsidRPr="000B03F5">
        <w:rPr>
          <w:bCs/>
          <w:i/>
          <w:lang w:val="en-US" w:eastAsia="en-US"/>
        </w:rPr>
        <w:t>Sektorska</w:t>
      </w:r>
      <w:proofErr w:type="spellEnd"/>
      <w:r w:rsidRPr="000B03F5">
        <w:rPr>
          <w:bCs/>
          <w:i/>
          <w:lang w:val="en-US" w:eastAsia="en-US"/>
        </w:rPr>
        <w:t xml:space="preserve"> </w:t>
      </w:r>
      <w:proofErr w:type="spellStart"/>
      <w:r w:rsidRPr="000B03F5">
        <w:rPr>
          <w:bCs/>
          <w:i/>
          <w:lang w:val="en-US" w:eastAsia="en-US"/>
        </w:rPr>
        <w:t>struktura</w:t>
      </w:r>
      <w:proofErr w:type="spellEnd"/>
      <w:r w:rsidRPr="000B03F5">
        <w:rPr>
          <w:bCs/>
          <w:i/>
          <w:lang w:val="en-US" w:eastAsia="en-US"/>
        </w:rPr>
        <w:t xml:space="preserve"> </w:t>
      </w:r>
      <w:proofErr w:type="spellStart"/>
      <w:r w:rsidRPr="000B03F5">
        <w:rPr>
          <w:bCs/>
          <w:i/>
          <w:lang w:val="en-US" w:eastAsia="en-US"/>
        </w:rPr>
        <w:t>novozaključenih</w:t>
      </w:r>
      <w:proofErr w:type="spellEnd"/>
      <w:r w:rsidRPr="000B03F5">
        <w:rPr>
          <w:bCs/>
          <w:i/>
          <w:lang w:val="en-US" w:eastAsia="en-US"/>
        </w:rPr>
        <w:t xml:space="preserve"> </w:t>
      </w:r>
      <w:proofErr w:type="spellStart"/>
      <w:r w:rsidRPr="000B03F5">
        <w:rPr>
          <w:bCs/>
          <w:i/>
          <w:lang w:val="en-US" w:eastAsia="en-US"/>
        </w:rPr>
        <w:t>ugovora</w:t>
      </w:r>
      <w:proofErr w:type="spellEnd"/>
      <w:r w:rsidRPr="000B03F5">
        <w:rPr>
          <w:bCs/>
          <w:i/>
          <w:lang w:val="en-US" w:eastAsia="en-US"/>
        </w:rPr>
        <w:t xml:space="preserve"> </w:t>
      </w:r>
    </w:p>
    <w:tbl>
      <w:tblPr>
        <w:tblW w:w="9792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1108"/>
        <w:gridCol w:w="1109"/>
        <w:gridCol w:w="1108"/>
        <w:gridCol w:w="1109"/>
        <w:gridCol w:w="1530"/>
      </w:tblGrid>
      <w:tr w:rsidR="00893964" w:rsidRPr="000B03F5" w:rsidTr="006D1E96">
        <w:trPr>
          <w:trHeight w:val="283"/>
        </w:trPr>
        <w:tc>
          <w:tcPr>
            <w:tcW w:w="3828" w:type="dxa"/>
            <w:shd w:val="clear" w:color="auto" w:fill="92CDDC"/>
            <w:noWrap/>
            <w:vAlign w:val="bottom"/>
            <w:hideMark/>
          </w:tcPr>
          <w:p w:rsidR="00893964" w:rsidRPr="000B03F5" w:rsidRDefault="00893964" w:rsidP="00501421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0B03F5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964" w:type="dxa"/>
            <w:gridSpan w:val="5"/>
            <w:shd w:val="clear" w:color="auto" w:fill="92CDDC"/>
            <w:vAlign w:val="center"/>
            <w:hideMark/>
          </w:tcPr>
          <w:p w:rsidR="00893964" w:rsidRPr="000B03F5" w:rsidRDefault="00893964" w:rsidP="00501421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0B03F5">
              <w:rPr>
                <w:b/>
                <w:bCs/>
                <w:sz w:val="18"/>
                <w:szCs w:val="18"/>
              </w:rPr>
              <w:t>Broj novozaključenih ugovora</w:t>
            </w:r>
          </w:p>
        </w:tc>
      </w:tr>
      <w:tr w:rsidR="00893964" w:rsidRPr="000B03F5" w:rsidTr="0012686F">
        <w:trPr>
          <w:trHeight w:val="527"/>
        </w:trPr>
        <w:tc>
          <w:tcPr>
            <w:tcW w:w="3828" w:type="dxa"/>
            <w:shd w:val="clear" w:color="auto" w:fill="92CDDC"/>
            <w:noWrap/>
            <w:vAlign w:val="center"/>
            <w:hideMark/>
          </w:tcPr>
          <w:p w:rsidR="00893964" w:rsidRPr="000B03F5" w:rsidRDefault="00893964" w:rsidP="00501421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0B03F5">
              <w:rPr>
                <w:b/>
                <w:bCs/>
                <w:sz w:val="18"/>
                <w:szCs w:val="18"/>
                <w:lang w:val="en-US" w:eastAsia="en-US"/>
              </w:rPr>
              <w:t>Sektor</w:t>
            </w:r>
          </w:p>
        </w:tc>
        <w:tc>
          <w:tcPr>
            <w:tcW w:w="1108" w:type="dxa"/>
            <w:shd w:val="clear" w:color="auto" w:fill="92CDDC"/>
            <w:vAlign w:val="center"/>
            <w:hideMark/>
          </w:tcPr>
          <w:p w:rsidR="00893964" w:rsidRPr="000B03F5" w:rsidRDefault="00893964" w:rsidP="005014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03F5">
              <w:rPr>
                <w:b/>
                <w:sz w:val="20"/>
                <w:szCs w:val="20"/>
              </w:rPr>
              <w:t>2015</w:t>
            </w:r>
          </w:p>
          <w:p w:rsidR="00893964" w:rsidRPr="000B03F5" w:rsidRDefault="00893964" w:rsidP="00501421">
            <w:pPr>
              <w:jc w:val="center"/>
              <w:rPr>
                <w:b/>
                <w:sz w:val="20"/>
                <w:szCs w:val="20"/>
              </w:rPr>
            </w:pPr>
            <w:r w:rsidRPr="000B03F5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109" w:type="dxa"/>
            <w:shd w:val="clear" w:color="auto" w:fill="92CDDC"/>
            <w:noWrap/>
            <w:vAlign w:val="center"/>
            <w:hideMark/>
          </w:tcPr>
          <w:p w:rsidR="00893964" w:rsidRPr="000B03F5" w:rsidRDefault="00893964" w:rsidP="00501421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0B03F5">
              <w:rPr>
                <w:b/>
                <w:sz w:val="18"/>
                <w:szCs w:val="18"/>
                <w:lang w:val="es-ES"/>
              </w:rPr>
              <w:t>%</w:t>
            </w:r>
          </w:p>
        </w:tc>
        <w:tc>
          <w:tcPr>
            <w:tcW w:w="1108" w:type="dxa"/>
            <w:shd w:val="clear" w:color="auto" w:fill="92CDDC"/>
            <w:vAlign w:val="center"/>
          </w:tcPr>
          <w:p w:rsidR="00893964" w:rsidRPr="000B03F5" w:rsidRDefault="00893964" w:rsidP="005014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03F5">
              <w:rPr>
                <w:b/>
                <w:sz w:val="20"/>
                <w:szCs w:val="20"/>
              </w:rPr>
              <w:t>2016</w:t>
            </w:r>
          </w:p>
          <w:p w:rsidR="00893964" w:rsidRPr="000B03F5" w:rsidRDefault="00893964" w:rsidP="00501421">
            <w:pPr>
              <w:jc w:val="center"/>
              <w:rPr>
                <w:b/>
                <w:sz w:val="20"/>
                <w:szCs w:val="20"/>
              </w:rPr>
            </w:pPr>
            <w:r w:rsidRPr="000B03F5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109" w:type="dxa"/>
            <w:shd w:val="clear" w:color="auto" w:fill="92CDDC"/>
            <w:noWrap/>
            <w:vAlign w:val="center"/>
          </w:tcPr>
          <w:p w:rsidR="00893964" w:rsidRPr="000B03F5" w:rsidRDefault="00893964" w:rsidP="00501421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0B03F5">
              <w:rPr>
                <w:b/>
                <w:sz w:val="18"/>
                <w:szCs w:val="18"/>
                <w:lang w:val="es-ES"/>
              </w:rPr>
              <w:t>%</w:t>
            </w:r>
          </w:p>
        </w:tc>
        <w:tc>
          <w:tcPr>
            <w:tcW w:w="1530" w:type="dxa"/>
            <w:shd w:val="clear" w:color="auto" w:fill="92CDDC"/>
            <w:vAlign w:val="center"/>
          </w:tcPr>
          <w:p w:rsidR="00893964" w:rsidRPr="000B03F5" w:rsidRDefault="00893964" w:rsidP="00501421">
            <w:pPr>
              <w:jc w:val="center"/>
              <w:rPr>
                <w:b/>
                <w:sz w:val="18"/>
                <w:szCs w:val="18"/>
                <w:lang w:val="es-ES"/>
              </w:rPr>
            </w:pPr>
            <w:proofErr w:type="spellStart"/>
            <w:r w:rsidRPr="000B03F5">
              <w:rPr>
                <w:b/>
                <w:sz w:val="18"/>
                <w:szCs w:val="18"/>
                <w:lang w:val="es-ES"/>
              </w:rPr>
              <w:t>Stopa</w:t>
            </w:r>
            <w:proofErr w:type="spellEnd"/>
            <w:r w:rsidRPr="000B03F5">
              <w:rPr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B03F5">
              <w:rPr>
                <w:b/>
                <w:sz w:val="18"/>
                <w:szCs w:val="18"/>
                <w:lang w:val="es-ES"/>
              </w:rPr>
              <w:t>rasta</w:t>
            </w:r>
            <w:proofErr w:type="spellEnd"/>
            <w:r w:rsidRPr="000B03F5">
              <w:rPr>
                <w:b/>
                <w:sz w:val="18"/>
                <w:szCs w:val="18"/>
                <w:lang w:val="es-ES"/>
              </w:rPr>
              <w:t>/pada</w:t>
            </w:r>
          </w:p>
          <w:p w:rsidR="00893964" w:rsidRPr="000B03F5" w:rsidRDefault="00893964" w:rsidP="00501421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0B03F5">
              <w:rPr>
                <w:b/>
                <w:sz w:val="18"/>
                <w:szCs w:val="18"/>
                <w:lang w:val="es-ES"/>
              </w:rPr>
              <w:t>(2)/(1)</w:t>
            </w:r>
          </w:p>
        </w:tc>
      </w:tr>
      <w:tr w:rsidR="00CB5C8E" w:rsidRPr="000B03F5" w:rsidTr="0012686F">
        <w:trPr>
          <w:trHeight w:val="227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CB5C8E" w:rsidRPr="000B03F5" w:rsidRDefault="00CB5C8E" w:rsidP="0050142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>Poljoprivreda</w:t>
            </w:r>
            <w:proofErr w:type="spellEnd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>šumarstvo</w:t>
            </w:r>
            <w:proofErr w:type="spellEnd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 xml:space="preserve"> i </w:t>
            </w:r>
            <w:proofErr w:type="spellStart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>ribarstvo</w:t>
            </w:r>
            <w:proofErr w:type="spellEnd"/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CB5C8E" w:rsidRPr="000B03F5" w:rsidRDefault="00CB5C8E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CB5C8E" w:rsidRPr="000B03F5" w:rsidRDefault="00CB5C8E" w:rsidP="00501421">
            <w:pPr>
              <w:jc w:val="right"/>
              <w:rPr>
                <w:bCs/>
                <w:sz w:val="20"/>
                <w:szCs w:val="20"/>
              </w:rPr>
            </w:pPr>
            <w:r w:rsidRPr="000B03F5">
              <w:rPr>
                <w:bCs/>
                <w:sz w:val="20"/>
                <w:szCs w:val="20"/>
              </w:rPr>
              <w:t>0,1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CB5C8E" w:rsidRPr="000B03F5" w:rsidRDefault="00CB5C8E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2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CB5C8E" w:rsidRPr="000B03F5" w:rsidRDefault="00CB5C8E" w:rsidP="00501421">
            <w:pPr>
              <w:jc w:val="right"/>
              <w:rPr>
                <w:bCs/>
                <w:sz w:val="20"/>
                <w:szCs w:val="20"/>
              </w:rPr>
            </w:pPr>
            <w:r w:rsidRPr="000B03F5">
              <w:rPr>
                <w:bCs/>
                <w:sz w:val="20"/>
                <w:szCs w:val="20"/>
              </w:rPr>
              <w:t>0.2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B5C8E" w:rsidRPr="000B03F5" w:rsidRDefault="00CB5C8E" w:rsidP="00501421">
            <w:pPr>
              <w:jc w:val="right"/>
              <w:rPr>
                <w:color w:val="000000"/>
                <w:sz w:val="20"/>
                <w:szCs w:val="20"/>
              </w:rPr>
            </w:pPr>
            <w:r w:rsidRPr="000B03F5">
              <w:rPr>
                <w:color w:val="000000"/>
                <w:sz w:val="20"/>
                <w:szCs w:val="20"/>
              </w:rPr>
              <w:t>100.0%</w:t>
            </w:r>
          </w:p>
        </w:tc>
      </w:tr>
      <w:tr w:rsidR="00CB5C8E" w:rsidRPr="000B03F5" w:rsidTr="0012686F">
        <w:trPr>
          <w:trHeight w:val="227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CB5C8E" w:rsidRPr="000B03F5" w:rsidRDefault="00CB5C8E" w:rsidP="0050142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>Građevinarstvo</w:t>
            </w:r>
            <w:proofErr w:type="spellEnd"/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CB5C8E" w:rsidRPr="000B03F5" w:rsidRDefault="00CB5C8E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21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CB5C8E" w:rsidRPr="000B03F5" w:rsidRDefault="00CB5C8E" w:rsidP="00501421">
            <w:pPr>
              <w:jc w:val="right"/>
              <w:rPr>
                <w:bCs/>
                <w:sz w:val="20"/>
                <w:szCs w:val="20"/>
              </w:rPr>
            </w:pPr>
            <w:r w:rsidRPr="000B03F5">
              <w:rPr>
                <w:bCs/>
                <w:sz w:val="20"/>
                <w:szCs w:val="20"/>
              </w:rPr>
              <w:t>2,1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CB5C8E" w:rsidRPr="000B03F5" w:rsidRDefault="00CB5C8E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26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CB5C8E" w:rsidRPr="000B03F5" w:rsidRDefault="00CB5C8E" w:rsidP="00501421">
            <w:pPr>
              <w:jc w:val="right"/>
              <w:rPr>
                <w:bCs/>
                <w:sz w:val="20"/>
                <w:szCs w:val="20"/>
              </w:rPr>
            </w:pPr>
            <w:r w:rsidRPr="000B03F5">
              <w:rPr>
                <w:bCs/>
                <w:sz w:val="20"/>
                <w:szCs w:val="20"/>
              </w:rPr>
              <w:t>2.6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B5C8E" w:rsidRPr="000B03F5" w:rsidRDefault="00CB5C8E" w:rsidP="00501421">
            <w:pPr>
              <w:jc w:val="right"/>
              <w:rPr>
                <w:color w:val="000000"/>
                <w:sz w:val="20"/>
                <w:szCs w:val="20"/>
              </w:rPr>
            </w:pPr>
            <w:r w:rsidRPr="000B03F5">
              <w:rPr>
                <w:color w:val="000000"/>
                <w:sz w:val="20"/>
                <w:szCs w:val="20"/>
              </w:rPr>
              <w:t>23.8%</w:t>
            </w:r>
          </w:p>
        </w:tc>
      </w:tr>
      <w:tr w:rsidR="00CB5C8E" w:rsidRPr="000B03F5" w:rsidTr="0012686F">
        <w:trPr>
          <w:trHeight w:val="227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CB5C8E" w:rsidRPr="000B03F5" w:rsidRDefault="00CB5C8E" w:rsidP="0050142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>Trgovina</w:t>
            </w:r>
            <w:proofErr w:type="spellEnd"/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CB5C8E" w:rsidRPr="000B03F5" w:rsidRDefault="00CB5C8E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186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CB5C8E" w:rsidRPr="000B03F5" w:rsidRDefault="00CB5C8E" w:rsidP="00501421">
            <w:pPr>
              <w:jc w:val="right"/>
              <w:rPr>
                <w:bCs/>
                <w:sz w:val="20"/>
                <w:szCs w:val="20"/>
              </w:rPr>
            </w:pPr>
            <w:r w:rsidRPr="000B03F5">
              <w:rPr>
                <w:bCs/>
                <w:sz w:val="20"/>
                <w:szCs w:val="20"/>
              </w:rPr>
              <w:t>18,6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CB5C8E" w:rsidRPr="000B03F5" w:rsidRDefault="00CB5C8E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185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CB5C8E" w:rsidRPr="000B03F5" w:rsidRDefault="00CB5C8E" w:rsidP="00501421">
            <w:pPr>
              <w:jc w:val="right"/>
              <w:rPr>
                <w:bCs/>
                <w:sz w:val="20"/>
                <w:szCs w:val="20"/>
              </w:rPr>
            </w:pPr>
            <w:r w:rsidRPr="000B03F5">
              <w:rPr>
                <w:bCs/>
                <w:sz w:val="20"/>
                <w:szCs w:val="20"/>
              </w:rPr>
              <w:t>18.6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B5C8E" w:rsidRPr="000B03F5" w:rsidRDefault="00CB5C8E" w:rsidP="00501421">
            <w:pPr>
              <w:jc w:val="right"/>
              <w:rPr>
                <w:color w:val="000000"/>
                <w:sz w:val="20"/>
                <w:szCs w:val="20"/>
              </w:rPr>
            </w:pPr>
            <w:r w:rsidRPr="000B03F5">
              <w:rPr>
                <w:color w:val="000000"/>
                <w:sz w:val="20"/>
                <w:szCs w:val="20"/>
              </w:rPr>
              <w:t>-0.5%</w:t>
            </w:r>
          </w:p>
        </w:tc>
      </w:tr>
      <w:tr w:rsidR="00CB5C8E" w:rsidRPr="000B03F5" w:rsidTr="0012686F">
        <w:trPr>
          <w:trHeight w:val="227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CB5C8E" w:rsidRPr="000B03F5" w:rsidRDefault="00CB5C8E" w:rsidP="0050142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>Usluge</w:t>
            </w:r>
            <w:proofErr w:type="spellEnd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>smještaja</w:t>
            </w:r>
            <w:proofErr w:type="spellEnd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 xml:space="preserve"> i </w:t>
            </w:r>
            <w:proofErr w:type="spellStart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>ishrane</w:t>
            </w:r>
            <w:proofErr w:type="spellEnd"/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CB5C8E" w:rsidRPr="000B03F5" w:rsidRDefault="00CB5C8E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CB5C8E" w:rsidRPr="000B03F5" w:rsidRDefault="00CB5C8E" w:rsidP="00501421">
            <w:pPr>
              <w:jc w:val="right"/>
              <w:rPr>
                <w:bCs/>
                <w:sz w:val="20"/>
                <w:szCs w:val="20"/>
              </w:rPr>
            </w:pPr>
            <w:r w:rsidRPr="000B03F5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CB5C8E" w:rsidRPr="000B03F5" w:rsidRDefault="00CB5C8E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15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CB5C8E" w:rsidRPr="000B03F5" w:rsidRDefault="00CB5C8E" w:rsidP="00501421">
            <w:pPr>
              <w:jc w:val="right"/>
              <w:rPr>
                <w:bCs/>
                <w:sz w:val="20"/>
                <w:szCs w:val="20"/>
              </w:rPr>
            </w:pPr>
            <w:r w:rsidRPr="000B03F5">
              <w:rPr>
                <w:bCs/>
                <w:sz w:val="20"/>
                <w:szCs w:val="20"/>
              </w:rPr>
              <w:t>1.5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B5C8E" w:rsidRPr="000B03F5" w:rsidRDefault="00CB5C8E" w:rsidP="00501421">
            <w:pPr>
              <w:jc w:val="right"/>
              <w:rPr>
                <w:color w:val="000000"/>
                <w:sz w:val="20"/>
                <w:szCs w:val="20"/>
              </w:rPr>
            </w:pPr>
            <w:r w:rsidRPr="000B03F5">
              <w:rPr>
                <w:color w:val="000000"/>
                <w:sz w:val="20"/>
                <w:szCs w:val="20"/>
              </w:rPr>
              <w:t>-25.0%</w:t>
            </w:r>
          </w:p>
        </w:tc>
      </w:tr>
      <w:tr w:rsidR="00CB5C8E" w:rsidRPr="000B03F5" w:rsidTr="0012686F">
        <w:trPr>
          <w:trHeight w:val="227"/>
        </w:trPr>
        <w:tc>
          <w:tcPr>
            <w:tcW w:w="3828" w:type="dxa"/>
            <w:shd w:val="clear" w:color="auto" w:fill="auto"/>
            <w:noWrap/>
            <w:vAlign w:val="bottom"/>
          </w:tcPr>
          <w:p w:rsidR="00CB5C8E" w:rsidRPr="000B03F5" w:rsidRDefault="00CB5C8E" w:rsidP="00501421">
            <w:pPr>
              <w:rPr>
                <w:b/>
                <w:bCs/>
                <w:sz w:val="20"/>
                <w:szCs w:val="20"/>
              </w:rPr>
            </w:pPr>
            <w:r w:rsidRPr="000B03F5">
              <w:rPr>
                <w:b/>
                <w:bCs/>
                <w:sz w:val="20"/>
                <w:szCs w:val="20"/>
              </w:rPr>
              <w:t>Ostale usluge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CB5C8E" w:rsidRPr="000B03F5" w:rsidRDefault="00CB5C8E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321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CB5C8E" w:rsidRPr="000B03F5" w:rsidRDefault="00CB5C8E" w:rsidP="00501421">
            <w:pPr>
              <w:jc w:val="right"/>
              <w:rPr>
                <w:bCs/>
                <w:sz w:val="20"/>
                <w:szCs w:val="20"/>
              </w:rPr>
            </w:pPr>
            <w:r w:rsidRPr="000B03F5">
              <w:rPr>
                <w:bCs/>
                <w:sz w:val="20"/>
                <w:szCs w:val="20"/>
              </w:rPr>
              <w:t>32,2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CB5C8E" w:rsidRPr="000B03F5" w:rsidRDefault="00CB5C8E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438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CB5C8E" w:rsidRPr="000B03F5" w:rsidRDefault="00CB5C8E" w:rsidP="00501421">
            <w:pPr>
              <w:jc w:val="right"/>
              <w:rPr>
                <w:bCs/>
                <w:sz w:val="20"/>
                <w:szCs w:val="20"/>
              </w:rPr>
            </w:pPr>
            <w:r w:rsidRPr="000B03F5">
              <w:rPr>
                <w:bCs/>
                <w:sz w:val="20"/>
                <w:szCs w:val="20"/>
              </w:rPr>
              <w:t>44.0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B5C8E" w:rsidRPr="000B03F5" w:rsidRDefault="00CB5C8E" w:rsidP="00501421">
            <w:pPr>
              <w:jc w:val="right"/>
              <w:rPr>
                <w:color w:val="000000"/>
                <w:sz w:val="20"/>
                <w:szCs w:val="20"/>
              </w:rPr>
            </w:pPr>
            <w:r w:rsidRPr="000B03F5">
              <w:rPr>
                <w:color w:val="000000"/>
                <w:sz w:val="20"/>
                <w:szCs w:val="20"/>
              </w:rPr>
              <w:t>36.4%</w:t>
            </w:r>
          </w:p>
        </w:tc>
      </w:tr>
      <w:tr w:rsidR="00CB5C8E" w:rsidRPr="000B03F5" w:rsidTr="0012686F">
        <w:trPr>
          <w:trHeight w:val="227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CB5C8E" w:rsidRPr="000B03F5" w:rsidRDefault="00CB5C8E" w:rsidP="0050142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>Saobraćaj</w:t>
            </w:r>
            <w:proofErr w:type="spellEnd"/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CB5C8E" w:rsidRPr="000B03F5" w:rsidRDefault="00CB5C8E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164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CB5C8E" w:rsidRPr="000B03F5" w:rsidRDefault="00CB5C8E" w:rsidP="00501421">
            <w:pPr>
              <w:jc w:val="right"/>
              <w:rPr>
                <w:bCs/>
                <w:sz w:val="20"/>
                <w:szCs w:val="20"/>
              </w:rPr>
            </w:pPr>
            <w:r w:rsidRPr="000B03F5">
              <w:rPr>
                <w:bCs/>
                <w:sz w:val="20"/>
                <w:szCs w:val="20"/>
              </w:rPr>
              <w:t>16,4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CB5C8E" w:rsidRPr="000B03F5" w:rsidRDefault="00CB5C8E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18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CB5C8E" w:rsidRPr="000B03F5" w:rsidRDefault="00CB5C8E" w:rsidP="00501421">
            <w:pPr>
              <w:jc w:val="right"/>
              <w:rPr>
                <w:bCs/>
                <w:sz w:val="20"/>
                <w:szCs w:val="20"/>
              </w:rPr>
            </w:pPr>
            <w:r w:rsidRPr="000B03F5">
              <w:rPr>
                <w:bCs/>
                <w:sz w:val="20"/>
                <w:szCs w:val="20"/>
              </w:rPr>
              <w:t>1.8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B5C8E" w:rsidRPr="000B03F5" w:rsidRDefault="00CB5C8E" w:rsidP="00501421">
            <w:pPr>
              <w:jc w:val="right"/>
              <w:rPr>
                <w:color w:val="000000"/>
                <w:sz w:val="20"/>
                <w:szCs w:val="20"/>
              </w:rPr>
            </w:pPr>
            <w:r w:rsidRPr="000B03F5">
              <w:rPr>
                <w:color w:val="000000"/>
                <w:sz w:val="20"/>
                <w:szCs w:val="20"/>
              </w:rPr>
              <w:t>-89.0%</w:t>
            </w:r>
          </w:p>
        </w:tc>
      </w:tr>
      <w:tr w:rsidR="00CB5C8E" w:rsidRPr="000B03F5" w:rsidTr="0012686F">
        <w:trPr>
          <w:trHeight w:val="227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CB5C8E" w:rsidRPr="000B03F5" w:rsidRDefault="00CB5C8E" w:rsidP="0050142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>Finansijske</w:t>
            </w:r>
            <w:proofErr w:type="spellEnd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>djelatnosti</w:t>
            </w:r>
            <w:proofErr w:type="spellEnd"/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CB5C8E" w:rsidRPr="000B03F5" w:rsidRDefault="00CB5C8E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CB5C8E" w:rsidRPr="000B03F5" w:rsidRDefault="00CB5C8E" w:rsidP="00501421">
            <w:pPr>
              <w:jc w:val="right"/>
              <w:rPr>
                <w:bCs/>
                <w:sz w:val="20"/>
                <w:szCs w:val="20"/>
              </w:rPr>
            </w:pPr>
            <w:r w:rsidRPr="000B03F5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CB5C8E" w:rsidRPr="000B03F5" w:rsidRDefault="00CB5C8E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3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CB5C8E" w:rsidRPr="000B03F5" w:rsidRDefault="00CB5C8E" w:rsidP="00501421">
            <w:pPr>
              <w:jc w:val="right"/>
              <w:rPr>
                <w:bCs/>
                <w:sz w:val="20"/>
                <w:szCs w:val="20"/>
              </w:rPr>
            </w:pPr>
            <w:r w:rsidRPr="000B03F5">
              <w:rPr>
                <w:bCs/>
                <w:sz w:val="20"/>
                <w:szCs w:val="20"/>
              </w:rPr>
              <w:t>0.3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B5C8E" w:rsidRPr="000B03F5" w:rsidRDefault="00CB5C8E" w:rsidP="00501421">
            <w:pPr>
              <w:jc w:val="right"/>
              <w:rPr>
                <w:color w:val="000000"/>
                <w:sz w:val="20"/>
                <w:szCs w:val="20"/>
              </w:rPr>
            </w:pPr>
            <w:r w:rsidRPr="000B03F5">
              <w:rPr>
                <w:color w:val="000000"/>
                <w:sz w:val="20"/>
                <w:szCs w:val="20"/>
              </w:rPr>
              <w:t>-70.0%</w:t>
            </w:r>
          </w:p>
        </w:tc>
      </w:tr>
      <w:tr w:rsidR="00CB5C8E" w:rsidRPr="000B03F5" w:rsidTr="0012686F">
        <w:trPr>
          <w:trHeight w:val="227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CB5C8E" w:rsidRPr="000B03F5" w:rsidRDefault="00CB5C8E" w:rsidP="0050142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>Industrija</w:t>
            </w:r>
            <w:proofErr w:type="spellEnd"/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CB5C8E" w:rsidRPr="000B03F5" w:rsidRDefault="00CB5C8E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CB5C8E" w:rsidRPr="000B03F5" w:rsidRDefault="00CB5C8E" w:rsidP="00501421">
            <w:pPr>
              <w:jc w:val="right"/>
              <w:rPr>
                <w:bCs/>
                <w:sz w:val="20"/>
                <w:szCs w:val="20"/>
              </w:rPr>
            </w:pPr>
            <w:r w:rsidRPr="000B03F5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CB5C8E" w:rsidRPr="000B03F5" w:rsidRDefault="00CB5C8E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18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CB5C8E" w:rsidRPr="000B03F5" w:rsidRDefault="00CB5C8E" w:rsidP="00501421">
            <w:pPr>
              <w:jc w:val="right"/>
              <w:rPr>
                <w:bCs/>
                <w:sz w:val="20"/>
                <w:szCs w:val="20"/>
              </w:rPr>
            </w:pPr>
            <w:r w:rsidRPr="000B03F5">
              <w:rPr>
                <w:bCs/>
                <w:sz w:val="20"/>
                <w:szCs w:val="20"/>
              </w:rPr>
              <w:t>1.8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B5C8E" w:rsidRPr="000B03F5" w:rsidRDefault="00CB5C8E" w:rsidP="00501421">
            <w:pPr>
              <w:jc w:val="right"/>
              <w:rPr>
                <w:color w:val="000000"/>
                <w:sz w:val="20"/>
                <w:szCs w:val="20"/>
              </w:rPr>
            </w:pPr>
            <w:r w:rsidRPr="000B03F5">
              <w:rPr>
                <w:color w:val="000000"/>
                <w:sz w:val="20"/>
                <w:szCs w:val="20"/>
              </w:rPr>
              <w:t>-10.0%</w:t>
            </w:r>
          </w:p>
        </w:tc>
      </w:tr>
      <w:tr w:rsidR="00CB5C8E" w:rsidRPr="000B03F5" w:rsidTr="0012686F">
        <w:trPr>
          <w:trHeight w:val="227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CB5C8E" w:rsidRPr="000B03F5" w:rsidRDefault="00CB5C8E" w:rsidP="0050142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>Zdravstvo</w:t>
            </w:r>
            <w:proofErr w:type="spellEnd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>obrazovanje</w:t>
            </w:r>
            <w:proofErr w:type="spellEnd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 xml:space="preserve"> i </w:t>
            </w:r>
            <w:proofErr w:type="spellStart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>socijalna</w:t>
            </w:r>
            <w:proofErr w:type="spellEnd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>zaštita</w:t>
            </w:r>
            <w:proofErr w:type="spellEnd"/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CB5C8E" w:rsidRPr="000B03F5" w:rsidRDefault="00CB5C8E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CB5C8E" w:rsidRPr="000B03F5" w:rsidRDefault="00CB5C8E" w:rsidP="00501421">
            <w:pPr>
              <w:jc w:val="right"/>
              <w:rPr>
                <w:bCs/>
                <w:sz w:val="20"/>
                <w:szCs w:val="20"/>
              </w:rPr>
            </w:pPr>
            <w:r w:rsidRPr="000B03F5">
              <w:rPr>
                <w:bCs/>
                <w:sz w:val="20"/>
                <w:szCs w:val="20"/>
              </w:rPr>
              <w:t>0,7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CB5C8E" w:rsidRPr="000B03F5" w:rsidRDefault="00CB5C8E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11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CB5C8E" w:rsidRPr="000B03F5" w:rsidRDefault="00CB5C8E" w:rsidP="00501421">
            <w:pPr>
              <w:jc w:val="right"/>
              <w:rPr>
                <w:bCs/>
                <w:sz w:val="20"/>
                <w:szCs w:val="20"/>
              </w:rPr>
            </w:pPr>
            <w:r w:rsidRPr="000B03F5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B5C8E" w:rsidRPr="000B03F5" w:rsidRDefault="00CB5C8E" w:rsidP="00501421">
            <w:pPr>
              <w:jc w:val="right"/>
              <w:rPr>
                <w:color w:val="000000"/>
                <w:sz w:val="20"/>
                <w:szCs w:val="20"/>
              </w:rPr>
            </w:pPr>
            <w:r w:rsidRPr="000B03F5">
              <w:rPr>
                <w:color w:val="000000"/>
                <w:sz w:val="20"/>
                <w:szCs w:val="20"/>
              </w:rPr>
              <w:t>57.1%</w:t>
            </w:r>
          </w:p>
        </w:tc>
      </w:tr>
      <w:tr w:rsidR="00CB5C8E" w:rsidRPr="000B03F5" w:rsidTr="0012686F">
        <w:trPr>
          <w:trHeight w:val="227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CB5C8E" w:rsidRPr="000B03F5" w:rsidRDefault="00CB5C8E" w:rsidP="0050142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>Državna</w:t>
            </w:r>
            <w:proofErr w:type="spellEnd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>uprava</w:t>
            </w:r>
            <w:proofErr w:type="spellEnd"/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CB5C8E" w:rsidRPr="000B03F5" w:rsidRDefault="00CB5C8E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160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CB5C8E" w:rsidRPr="000B03F5" w:rsidRDefault="00CB5C8E" w:rsidP="00501421">
            <w:pPr>
              <w:jc w:val="right"/>
              <w:rPr>
                <w:bCs/>
                <w:sz w:val="20"/>
                <w:szCs w:val="20"/>
              </w:rPr>
            </w:pPr>
            <w:r w:rsidRPr="000B03F5">
              <w:rPr>
                <w:bCs/>
                <w:sz w:val="20"/>
                <w:szCs w:val="20"/>
              </w:rPr>
              <w:t>16,0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CB5C8E" w:rsidRPr="000B03F5" w:rsidRDefault="00CB5C8E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200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CB5C8E" w:rsidRPr="000B03F5" w:rsidRDefault="00CB5C8E" w:rsidP="00501421">
            <w:pPr>
              <w:jc w:val="right"/>
              <w:rPr>
                <w:bCs/>
                <w:sz w:val="20"/>
                <w:szCs w:val="20"/>
              </w:rPr>
            </w:pPr>
            <w:r w:rsidRPr="000B03F5">
              <w:rPr>
                <w:bCs/>
                <w:sz w:val="20"/>
                <w:szCs w:val="20"/>
              </w:rPr>
              <w:t>20.1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B5C8E" w:rsidRPr="000B03F5" w:rsidRDefault="00CB5C8E" w:rsidP="00501421">
            <w:pPr>
              <w:jc w:val="right"/>
              <w:rPr>
                <w:color w:val="000000"/>
                <w:sz w:val="20"/>
                <w:szCs w:val="20"/>
              </w:rPr>
            </w:pPr>
            <w:r w:rsidRPr="000B03F5">
              <w:rPr>
                <w:color w:val="000000"/>
                <w:sz w:val="20"/>
                <w:szCs w:val="20"/>
              </w:rPr>
              <w:t>25.0%</w:t>
            </w:r>
          </w:p>
        </w:tc>
      </w:tr>
      <w:tr w:rsidR="00CB5C8E" w:rsidRPr="000B03F5" w:rsidTr="0012686F">
        <w:trPr>
          <w:trHeight w:val="227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CB5C8E" w:rsidRPr="000B03F5" w:rsidRDefault="00CB5C8E" w:rsidP="0050142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>Ostali</w:t>
            </w:r>
            <w:proofErr w:type="spellEnd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>sektori</w:t>
            </w:r>
            <w:proofErr w:type="spellEnd"/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CB5C8E" w:rsidRPr="000B03F5" w:rsidRDefault="00CB5C8E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88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CB5C8E" w:rsidRPr="000B03F5" w:rsidRDefault="00CB5C8E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8,8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CB5C8E" w:rsidRPr="000B03F5" w:rsidRDefault="00CB5C8E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79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CB5C8E" w:rsidRPr="000B03F5" w:rsidRDefault="00CB5C8E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7.9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B5C8E" w:rsidRPr="000B03F5" w:rsidRDefault="00CB5C8E" w:rsidP="00501421">
            <w:pPr>
              <w:jc w:val="right"/>
              <w:rPr>
                <w:color w:val="000000"/>
                <w:sz w:val="20"/>
                <w:szCs w:val="20"/>
              </w:rPr>
            </w:pPr>
            <w:r w:rsidRPr="000B03F5">
              <w:rPr>
                <w:color w:val="000000"/>
                <w:sz w:val="20"/>
                <w:szCs w:val="20"/>
              </w:rPr>
              <w:t>-10.2%</w:t>
            </w:r>
          </w:p>
        </w:tc>
      </w:tr>
      <w:tr w:rsidR="00CB5C8E" w:rsidRPr="000B03F5" w:rsidTr="0012686F">
        <w:trPr>
          <w:trHeight w:val="227"/>
        </w:trPr>
        <w:tc>
          <w:tcPr>
            <w:tcW w:w="3828" w:type="dxa"/>
            <w:shd w:val="clear" w:color="auto" w:fill="92CDDC"/>
            <w:noWrap/>
            <w:vAlign w:val="bottom"/>
            <w:hideMark/>
          </w:tcPr>
          <w:p w:rsidR="00CB5C8E" w:rsidRPr="000B03F5" w:rsidRDefault="00CB5C8E" w:rsidP="00501421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>Ukupno</w:t>
            </w:r>
            <w:proofErr w:type="spellEnd"/>
          </w:p>
        </w:tc>
        <w:tc>
          <w:tcPr>
            <w:tcW w:w="1108" w:type="dxa"/>
            <w:shd w:val="clear" w:color="auto" w:fill="92CDDC"/>
            <w:noWrap/>
            <w:vAlign w:val="center"/>
            <w:hideMark/>
          </w:tcPr>
          <w:p w:rsidR="00CB5C8E" w:rsidRPr="000B03F5" w:rsidRDefault="00CB5C8E" w:rsidP="00501421">
            <w:pPr>
              <w:jc w:val="right"/>
              <w:rPr>
                <w:b/>
                <w:sz w:val="20"/>
                <w:szCs w:val="20"/>
              </w:rPr>
            </w:pPr>
            <w:r w:rsidRPr="000B03F5">
              <w:rPr>
                <w:b/>
                <w:sz w:val="20"/>
                <w:szCs w:val="20"/>
              </w:rPr>
              <w:t>998</w:t>
            </w:r>
          </w:p>
        </w:tc>
        <w:tc>
          <w:tcPr>
            <w:tcW w:w="1109" w:type="dxa"/>
            <w:shd w:val="clear" w:color="auto" w:fill="92CDDC"/>
            <w:noWrap/>
            <w:vAlign w:val="center"/>
            <w:hideMark/>
          </w:tcPr>
          <w:p w:rsidR="00CB5C8E" w:rsidRPr="000B03F5" w:rsidRDefault="00CB5C8E" w:rsidP="00501421">
            <w:pPr>
              <w:jc w:val="right"/>
              <w:rPr>
                <w:b/>
                <w:sz w:val="20"/>
                <w:szCs w:val="20"/>
              </w:rPr>
            </w:pPr>
            <w:r w:rsidRPr="000B03F5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08" w:type="dxa"/>
            <w:shd w:val="clear" w:color="auto" w:fill="92CDDC"/>
            <w:noWrap/>
            <w:vAlign w:val="center"/>
          </w:tcPr>
          <w:p w:rsidR="00CB5C8E" w:rsidRPr="000B03F5" w:rsidRDefault="00CB5C8E" w:rsidP="00501421">
            <w:pPr>
              <w:jc w:val="right"/>
              <w:rPr>
                <w:b/>
                <w:sz w:val="20"/>
                <w:szCs w:val="20"/>
              </w:rPr>
            </w:pPr>
            <w:r w:rsidRPr="000B03F5">
              <w:rPr>
                <w:b/>
                <w:sz w:val="20"/>
                <w:szCs w:val="20"/>
              </w:rPr>
              <w:t>995</w:t>
            </w:r>
          </w:p>
        </w:tc>
        <w:tc>
          <w:tcPr>
            <w:tcW w:w="1109" w:type="dxa"/>
            <w:shd w:val="clear" w:color="auto" w:fill="92CDDC"/>
            <w:noWrap/>
            <w:vAlign w:val="center"/>
          </w:tcPr>
          <w:p w:rsidR="00CB5C8E" w:rsidRPr="000B03F5" w:rsidRDefault="00CB5C8E" w:rsidP="00501421">
            <w:pPr>
              <w:jc w:val="right"/>
              <w:rPr>
                <w:b/>
                <w:sz w:val="20"/>
                <w:szCs w:val="20"/>
              </w:rPr>
            </w:pPr>
            <w:r w:rsidRPr="000B03F5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530" w:type="dxa"/>
            <w:shd w:val="clear" w:color="auto" w:fill="92CDDC"/>
            <w:vAlign w:val="bottom"/>
          </w:tcPr>
          <w:p w:rsidR="00CB5C8E" w:rsidRPr="000B03F5" w:rsidRDefault="00CB5C8E" w:rsidP="00501421">
            <w:pPr>
              <w:jc w:val="right"/>
              <w:rPr>
                <w:color w:val="000000"/>
                <w:sz w:val="20"/>
                <w:szCs w:val="20"/>
              </w:rPr>
            </w:pPr>
            <w:r w:rsidRPr="000B03F5">
              <w:rPr>
                <w:color w:val="000000"/>
                <w:sz w:val="20"/>
                <w:szCs w:val="20"/>
              </w:rPr>
              <w:t>-0.3%</w:t>
            </w:r>
          </w:p>
        </w:tc>
      </w:tr>
    </w:tbl>
    <w:p w:rsidR="00893964" w:rsidRPr="000B03F5" w:rsidRDefault="00893964" w:rsidP="00501421">
      <w:pPr>
        <w:spacing w:after="120"/>
        <w:jc w:val="both"/>
        <w:rPr>
          <w:sz w:val="20"/>
        </w:rPr>
      </w:pPr>
    </w:p>
    <w:p w:rsidR="00893964" w:rsidRPr="000B03F5" w:rsidRDefault="00893964" w:rsidP="00501421">
      <w:pPr>
        <w:spacing w:after="120"/>
        <w:ind w:left="-567"/>
        <w:jc w:val="both"/>
      </w:pPr>
      <w:r w:rsidRPr="000B03F5">
        <w:t xml:space="preserve">U pogledu vrijednosti </w:t>
      </w:r>
      <w:r w:rsidRPr="000B03F5">
        <w:rPr>
          <w:i/>
        </w:rPr>
        <w:t>novozaključenih ugovora</w:t>
      </w:r>
      <w:r w:rsidRPr="000B03F5">
        <w:t xml:space="preserve"> prema sektorskoj strukturi, najveće učešće u ukupnoj vrijednosti plasmana imaju ostale usluge (</w:t>
      </w:r>
      <w:r w:rsidR="00E21A42" w:rsidRPr="000B03F5">
        <w:t>37,3</w:t>
      </w:r>
      <w:r w:rsidRPr="000B03F5">
        <w:t xml:space="preserve">%), </w:t>
      </w:r>
      <w:r w:rsidR="00E21A42" w:rsidRPr="000B03F5">
        <w:t xml:space="preserve">trgovina (25,6%), </w:t>
      </w:r>
      <w:r w:rsidRPr="000B03F5">
        <w:t>državna uprava (</w:t>
      </w:r>
      <w:r w:rsidR="00E21A42" w:rsidRPr="000B03F5">
        <w:t>16,3</w:t>
      </w:r>
      <w:r w:rsidRPr="000B03F5">
        <w:t>%), ostali sektori (</w:t>
      </w:r>
      <w:r w:rsidR="00E21A42" w:rsidRPr="000B03F5">
        <w:t>5,0</w:t>
      </w:r>
      <w:r w:rsidRPr="000B03F5">
        <w:t xml:space="preserve">%). </w:t>
      </w:r>
    </w:p>
    <w:p w:rsidR="00893964" w:rsidRPr="000B03F5" w:rsidRDefault="00893964" w:rsidP="00501421">
      <w:pPr>
        <w:spacing w:after="120"/>
        <w:ind w:left="-567"/>
        <w:jc w:val="both"/>
      </w:pPr>
      <w:r w:rsidRPr="000B03F5">
        <w:t xml:space="preserve">Grafik 4 ukazuje na cjelokupnu sektorsku strukturu u pogledu </w:t>
      </w:r>
      <w:r w:rsidRPr="000B03F5">
        <w:rPr>
          <w:i/>
        </w:rPr>
        <w:t>vrijednosti</w:t>
      </w:r>
      <w:r w:rsidRPr="000B03F5">
        <w:t xml:space="preserve"> </w:t>
      </w:r>
      <w:r w:rsidRPr="000B03F5">
        <w:rPr>
          <w:i/>
        </w:rPr>
        <w:t>novozaključenih</w:t>
      </w:r>
      <w:r w:rsidRPr="000B03F5">
        <w:t xml:space="preserve"> ugovora u 2016. </w:t>
      </w:r>
      <w:r w:rsidR="00E21A42" w:rsidRPr="000B03F5">
        <w:t>g</w:t>
      </w:r>
      <w:r w:rsidRPr="000B03F5">
        <w:t>odin</w:t>
      </w:r>
      <w:r w:rsidR="00E21A42" w:rsidRPr="000B03F5">
        <w:t>i</w:t>
      </w:r>
      <w:r w:rsidRPr="000B03F5">
        <w:t>.</w:t>
      </w:r>
    </w:p>
    <w:p w:rsidR="00893964" w:rsidRDefault="00893964" w:rsidP="00501421">
      <w:pPr>
        <w:spacing w:after="120"/>
        <w:ind w:left="-567"/>
        <w:jc w:val="both"/>
      </w:pPr>
    </w:p>
    <w:p w:rsidR="00501421" w:rsidRPr="000B03F5" w:rsidRDefault="00501421" w:rsidP="00501421">
      <w:pPr>
        <w:spacing w:after="120"/>
        <w:ind w:left="-567"/>
        <w:jc w:val="both"/>
      </w:pPr>
    </w:p>
    <w:p w:rsidR="00893964" w:rsidRPr="000B03F5" w:rsidRDefault="00893964" w:rsidP="00501421">
      <w:pPr>
        <w:spacing w:after="120"/>
        <w:ind w:left="-567"/>
        <w:jc w:val="center"/>
        <w:rPr>
          <w:bCs/>
          <w:i/>
        </w:rPr>
      </w:pPr>
      <w:r w:rsidRPr="000B03F5">
        <w:rPr>
          <w:b/>
          <w:bCs/>
          <w:i/>
        </w:rPr>
        <w:lastRenderedPageBreak/>
        <w:t xml:space="preserve">Grafik </w:t>
      </w:r>
      <w:r w:rsidR="00E21A42" w:rsidRPr="000B03F5">
        <w:rPr>
          <w:b/>
          <w:bCs/>
          <w:i/>
        </w:rPr>
        <w:t>4</w:t>
      </w:r>
      <w:r w:rsidRPr="000B03F5">
        <w:rPr>
          <w:b/>
          <w:bCs/>
          <w:i/>
        </w:rPr>
        <w:t>:</w:t>
      </w:r>
      <w:r w:rsidRPr="000B03F5">
        <w:rPr>
          <w:bCs/>
          <w:i/>
        </w:rPr>
        <w:t xml:space="preserve"> Struktura vrijednosti novozaključenih ugovora u 2016. godin</w:t>
      </w:r>
      <w:r w:rsidR="00E21A42" w:rsidRPr="000B03F5">
        <w:rPr>
          <w:bCs/>
          <w:i/>
        </w:rPr>
        <w:t>i</w:t>
      </w:r>
    </w:p>
    <w:p w:rsidR="00893964" w:rsidRPr="000B03F5" w:rsidRDefault="00E21A42" w:rsidP="00501421">
      <w:pPr>
        <w:ind w:left="-567"/>
        <w:jc w:val="center"/>
      </w:pPr>
      <w:r w:rsidRPr="000B03F5">
        <w:rPr>
          <w:noProof/>
        </w:rPr>
        <w:drawing>
          <wp:inline distT="0" distB="0" distL="0" distR="0">
            <wp:extent cx="5105400" cy="2743200"/>
            <wp:effectExtent l="19050" t="0" r="19050" b="0"/>
            <wp:docPr id="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1A42" w:rsidRPr="000B03F5" w:rsidRDefault="00E21A42" w:rsidP="00501421">
      <w:pPr>
        <w:spacing w:after="120"/>
        <w:ind w:left="-567"/>
        <w:jc w:val="both"/>
      </w:pPr>
    </w:p>
    <w:p w:rsidR="00893964" w:rsidRPr="000B03F5" w:rsidRDefault="00893964" w:rsidP="00501421">
      <w:pPr>
        <w:spacing w:after="120"/>
        <w:ind w:left="-567"/>
        <w:jc w:val="both"/>
        <w:rPr>
          <w:bCs/>
          <w:lang w:val="en-US" w:eastAsia="en-US"/>
        </w:rPr>
      </w:pPr>
      <w:r w:rsidRPr="000B03F5">
        <w:t>U pogledu sektorske stukture aktivnih plasmana na dan 31. decembar 2016. godine dominiraju plasmani u okviru sektora trgovine (</w:t>
      </w:r>
      <w:r w:rsidRPr="000B03F5">
        <w:rPr>
          <w:bCs/>
        </w:rPr>
        <w:t>26,7</w:t>
      </w:r>
      <w:r w:rsidRPr="000B03F5">
        <w:t>%), ostale usluge (</w:t>
      </w:r>
      <w:r w:rsidRPr="000B03F5">
        <w:rPr>
          <w:bCs/>
        </w:rPr>
        <w:t>2</w:t>
      </w:r>
      <w:r w:rsidR="00E21A42" w:rsidRPr="000B03F5">
        <w:rPr>
          <w:bCs/>
        </w:rPr>
        <w:t>5</w:t>
      </w:r>
      <w:r w:rsidRPr="000B03F5">
        <w:rPr>
          <w:bCs/>
        </w:rPr>
        <w:t>,</w:t>
      </w:r>
      <w:r w:rsidR="00E21A42" w:rsidRPr="000B03F5">
        <w:rPr>
          <w:bCs/>
        </w:rPr>
        <w:t>0</w:t>
      </w:r>
      <w:r w:rsidRPr="000B03F5">
        <w:t xml:space="preserve">%), </w:t>
      </w:r>
      <w:r w:rsidR="00E21A42" w:rsidRPr="000B03F5">
        <w:t xml:space="preserve">ostali sektori (13,0%) i </w:t>
      </w:r>
      <w:r w:rsidRPr="000B03F5">
        <w:t>građevinarstva (</w:t>
      </w:r>
      <w:r w:rsidR="00E21A42" w:rsidRPr="000B03F5">
        <w:t>9,8%</w:t>
      </w:r>
      <w:r w:rsidRPr="000B03F5">
        <w:t>)</w:t>
      </w:r>
      <w:r w:rsidRPr="000B03F5">
        <w:rPr>
          <w:bCs/>
          <w:lang w:val="en-US" w:eastAsia="en-US"/>
        </w:rPr>
        <w:t>.</w:t>
      </w:r>
    </w:p>
    <w:p w:rsidR="000B03F5" w:rsidRPr="000B03F5" w:rsidRDefault="000B03F5" w:rsidP="00501421">
      <w:pPr>
        <w:spacing w:after="120"/>
        <w:ind w:left="-567"/>
        <w:jc w:val="both"/>
        <w:rPr>
          <w:bCs/>
          <w:lang w:val="en-US" w:eastAsia="en-US"/>
        </w:rPr>
      </w:pPr>
    </w:p>
    <w:p w:rsidR="00893964" w:rsidRPr="000B03F5" w:rsidRDefault="00893964" w:rsidP="00501421">
      <w:pPr>
        <w:spacing w:after="120"/>
        <w:jc w:val="both"/>
        <w:rPr>
          <w:bCs/>
          <w:i/>
          <w:lang w:val="en-US" w:eastAsia="en-US"/>
        </w:rPr>
      </w:pPr>
      <w:proofErr w:type="spellStart"/>
      <w:proofErr w:type="gramStart"/>
      <w:r w:rsidRPr="000B03F5">
        <w:rPr>
          <w:b/>
          <w:bCs/>
          <w:i/>
          <w:lang w:val="en-US" w:eastAsia="en-US"/>
        </w:rPr>
        <w:t>Tabela</w:t>
      </w:r>
      <w:proofErr w:type="spellEnd"/>
      <w:r w:rsidRPr="000B03F5">
        <w:rPr>
          <w:b/>
          <w:bCs/>
          <w:i/>
          <w:lang w:val="en-US" w:eastAsia="en-US"/>
        </w:rPr>
        <w:t xml:space="preserve"> 6</w:t>
      </w:r>
      <w:r w:rsidRPr="000B03F5">
        <w:rPr>
          <w:bCs/>
          <w:i/>
          <w:lang w:val="en-US" w:eastAsia="en-US"/>
        </w:rPr>
        <w:t>.</w:t>
      </w:r>
      <w:proofErr w:type="gramEnd"/>
      <w:r w:rsidRPr="000B03F5">
        <w:rPr>
          <w:bCs/>
          <w:i/>
          <w:lang w:val="en-US" w:eastAsia="en-US"/>
        </w:rPr>
        <w:t xml:space="preserve"> </w:t>
      </w:r>
      <w:proofErr w:type="spellStart"/>
      <w:r w:rsidRPr="000B03F5">
        <w:rPr>
          <w:bCs/>
          <w:i/>
          <w:lang w:val="en-US" w:eastAsia="en-US"/>
        </w:rPr>
        <w:t>Sektorska</w:t>
      </w:r>
      <w:proofErr w:type="spellEnd"/>
      <w:r w:rsidRPr="000B03F5">
        <w:rPr>
          <w:bCs/>
          <w:i/>
          <w:lang w:val="en-US" w:eastAsia="en-US"/>
        </w:rPr>
        <w:t xml:space="preserve"> </w:t>
      </w:r>
      <w:proofErr w:type="spellStart"/>
      <w:r w:rsidRPr="000B03F5">
        <w:rPr>
          <w:bCs/>
          <w:i/>
          <w:lang w:val="en-US" w:eastAsia="en-US"/>
        </w:rPr>
        <w:t>struktura</w:t>
      </w:r>
      <w:proofErr w:type="spellEnd"/>
      <w:r w:rsidRPr="000B03F5">
        <w:rPr>
          <w:bCs/>
          <w:i/>
          <w:lang w:val="en-US" w:eastAsia="en-US"/>
        </w:rPr>
        <w:t xml:space="preserve"> </w:t>
      </w:r>
      <w:proofErr w:type="spellStart"/>
      <w:r w:rsidRPr="000B03F5">
        <w:rPr>
          <w:bCs/>
          <w:i/>
          <w:lang w:val="en-US" w:eastAsia="en-US"/>
        </w:rPr>
        <w:t>aktivnih</w:t>
      </w:r>
      <w:proofErr w:type="spellEnd"/>
      <w:r w:rsidRPr="000B03F5">
        <w:rPr>
          <w:bCs/>
          <w:i/>
          <w:lang w:val="en-US" w:eastAsia="en-US"/>
        </w:rPr>
        <w:t xml:space="preserve"> </w:t>
      </w:r>
      <w:proofErr w:type="spellStart"/>
      <w:r w:rsidRPr="000B03F5">
        <w:rPr>
          <w:bCs/>
          <w:i/>
          <w:lang w:val="en-US" w:eastAsia="en-US"/>
        </w:rPr>
        <w:t>plasmana</w:t>
      </w:r>
      <w:proofErr w:type="spellEnd"/>
    </w:p>
    <w:tbl>
      <w:tblPr>
        <w:tblW w:w="9934" w:type="dxa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1418"/>
        <w:gridCol w:w="1032"/>
        <w:gridCol w:w="1418"/>
        <w:gridCol w:w="850"/>
        <w:gridCol w:w="1388"/>
      </w:tblGrid>
      <w:tr w:rsidR="00893964" w:rsidRPr="000B03F5" w:rsidTr="00AE4406">
        <w:trPr>
          <w:trHeight w:val="461"/>
        </w:trPr>
        <w:tc>
          <w:tcPr>
            <w:tcW w:w="3828" w:type="dxa"/>
            <w:shd w:val="clear" w:color="auto" w:fill="92CDDC"/>
            <w:noWrap/>
            <w:vAlign w:val="bottom"/>
            <w:hideMark/>
          </w:tcPr>
          <w:p w:rsidR="00893964" w:rsidRPr="000B03F5" w:rsidRDefault="00893964" w:rsidP="0050142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06" w:type="dxa"/>
            <w:gridSpan w:val="5"/>
            <w:shd w:val="clear" w:color="auto" w:fill="92CDDC"/>
            <w:vAlign w:val="bottom"/>
            <w:hideMark/>
          </w:tcPr>
          <w:p w:rsidR="00893964" w:rsidRPr="000B03F5" w:rsidRDefault="00893964" w:rsidP="0050142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B03F5">
              <w:rPr>
                <w:b/>
                <w:bCs/>
                <w:sz w:val="20"/>
                <w:szCs w:val="20"/>
              </w:rPr>
              <w:t>Aktivni plasmani</w:t>
            </w:r>
          </w:p>
        </w:tc>
      </w:tr>
      <w:tr w:rsidR="00893964" w:rsidRPr="000B03F5" w:rsidTr="00E86793">
        <w:trPr>
          <w:trHeight w:val="527"/>
        </w:trPr>
        <w:tc>
          <w:tcPr>
            <w:tcW w:w="3828" w:type="dxa"/>
            <w:shd w:val="clear" w:color="auto" w:fill="92CDDC"/>
            <w:noWrap/>
            <w:vAlign w:val="bottom"/>
            <w:hideMark/>
          </w:tcPr>
          <w:p w:rsidR="00893964" w:rsidRPr="000B03F5" w:rsidRDefault="00893964" w:rsidP="0050142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 xml:space="preserve">Sektor </w:t>
            </w:r>
          </w:p>
        </w:tc>
        <w:tc>
          <w:tcPr>
            <w:tcW w:w="1418" w:type="dxa"/>
            <w:shd w:val="clear" w:color="auto" w:fill="92CDDC"/>
            <w:vAlign w:val="bottom"/>
            <w:hideMark/>
          </w:tcPr>
          <w:p w:rsidR="00893964" w:rsidRPr="000B03F5" w:rsidRDefault="00893964" w:rsidP="005014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03F5">
              <w:rPr>
                <w:b/>
                <w:sz w:val="20"/>
                <w:szCs w:val="20"/>
              </w:rPr>
              <w:t>31.12. 2015.</w:t>
            </w:r>
          </w:p>
          <w:p w:rsidR="00893964" w:rsidRPr="000B03F5" w:rsidRDefault="00893964" w:rsidP="00501421">
            <w:pPr>
              <w:jc w:val="center"/>
              <w:rPr>
                <w:b/>
                <w:sz w:val="20"/>
                <w:szCs w:val="20"/>
              </w:rPr>
            </w:pPr>
            <w:r w:rsidRPr="000B03F5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032" w:type="dxa"/>
            <w:shd w:val="clear" w:color="auto" w:fill="92CDDC"/>
            <w:noWrap/>
            <w:vAlign w:val="bottom"/>
            <w:hideMark/>
          </w:tcPr>
          <w:p w:rsidR="00893964" w:rsidRPr="000B03F5" w:rsidRDefault="00893964" w:rsidP="0050142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B03F5">
              <w:rPr>
                <w:b/>
                <w:sz w:val="20"/>
                <w:szCs w:val="20"/>
                <w:lang w:val="es-ES"/>
              </w:rPr>
              <w:t>%</w:t>
            </w:r>
          </w:p>
        </w:tc>
        <w:tc>
          <w:tcPr>
            <w:tcW w:w="1418" w:type="dxa"/>
            <w:shd w:val="clear" w:color="auto" w:fill="92CDDC"/>
            <w:vAlign w:val="bottom"/>
          </w:tcPr>
          <w:p w:rsidR="00893964" w:rsidRPr="000B03F5" w:rsidRDefault="00893964" w:rsidP="005014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03F5">
              <w:rPr>
                <w:b/>
                <w:sz w:val="20"/>
                <w:szCs w:val="20"/>
              </w:rPr>
              <w:t>31.12. 2016.</w:t>
            </w:r>
          </w:p>
          <w:p w:rsidR="00893964" w:rsidRPr="000B03F5" w:rsidRDefault="00893964" w:rsidP="00501421">
            <w:pPr>
              <w:jc w:val="center"/>
              <w:rPr>
                <w:b/>
                <w:sz w:val="20"/>
                <w:szCs w:val="20"/>
              </w:rPr>
            </w:pPr>
            <w:r w:rsidRPr="000B03F5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850" w:type="dxa"/>
            <w:shd w:val="clear" w:color="auto" w:fill="92CDDC"/>
            <w:noWrap/>
            <w:vAlign w:val="bottom"/>
          </w:tcPr>
          <w:p w:rsidR="00893964" w:rsidRPr="000B03F5" w:rsidRDefault="00893964" w:rsidP="0050142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B03F5">
              <w:rPr>
                <w:b/>
                <w:sz w:val="20"/>
                <w:szCs w:val="20"/>
                <w:lang w:val="es-ES"/>
              </w:rPr>
              <w:t>%</w:t>
            </w:r>
          </w:p>
        </w:tc>
        <w:tc>
          <w:tcPr>
            <w:tcW w:w="1388" w:type="dxa"/>
            <w:shd w:val="clear" w:color="auto" w:fill="92CDDC"/>
            <w:vAlign w:val="bottom"/>
          </w:tcPr>
          <w:p w:rsidR="00893964" w:rsidRPr="000B03F5" w:rsidRDefault="00893964" w:rsidP="00501421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0B03F5">
              <w:rPr>
                <w:b/>
                <w:sz w:val="20"/>
                <w:szCs w:val="20"/>
                <w:lang w:val="es-ES"/>
              </w:rPr>
              <w:t>Stopa</w:t>
            </w:r>
            <w:proofErr w:type="spellEnd"/>
            <w:r w:rsidRPr="000B03F5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B03F5">
              <w:rPr>
                <w:b/>
                <w:sz w:val="20"/>
                <w:szCs w:val="20"/>
                <w:lang w:val="es-ES"/>
              </w:rPr>
              <w:t>rasta</w:t>
            </w:r>
            <w:proofErr w:type="spellEnd"/>
          </w:p>
          <w:p w:rsidR="00893964" w:rsidRPr="000B03F5" w:rsidRDefault="00893964" w:rsidP="0050142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B03F5">
              <w:rPr>
                <w:b/>
                <w:sz w:val="20"/>
                <w:szCs w:val="20"/>
                <w:lang w:val="es-ES"/>
              </w:rPr>
              <w:t>(2)/(1)</w:t>
            </w:r>
          </w:p>
        </w:tc>
      </w:tr>
      <w:tr w:rsidR="00E86793" w:rsidRPr="000B03F5" w:rsidTr="001A0340">
        <w:trPr>
          <w:trHeight w:val="227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E86793" w:rsidRPr="000B03F5" w:rsidRDefault="00E86793" w:rsidP="0050142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>Poljoprivreda</w:t>
            </w:r>
            <w:proofErr w:type="spellEnd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>šumarstvo</w:t>
            </w:r>
            <w:proofErr w:type="spellEnd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 xml:space="preserve"> i </w:t>
            </w:r>
            <w:proofErr w:type="spellStart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>ribarstvo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793" w:rsidRPr="000B03F5" w:rsidRDefault="00E86793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21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E86793" w:rsidRPr="000B03F5" w:rsidRDefault="00E86793" w:rsidP="0050142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B03F5">
              <w:rPr>
                <w:bCs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86793" w:rsidRPr="000B03F5" w:rsidRDefault="00E86793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 xml:space="preserve">                   4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86793" w:rsidRPr="000B03F5" w:rsidRDefault="00E86793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0.2%</w:t>
            </w:r>
          </w:p>
        </w:tc>
        <w:tc>
          <w:tcPr>
            <w:tcW w:w="1388" w:type="dxa"/>
            <w:shd w:val="clear" w:color="auto" w:fill="auto"/>
            <w:vAlign w:val="bottom"/>
          </w:tcPr>
          <w:p w:rsidR="00E86793" w:rsidRPr="000B03F5" w:rsidRDefault="00E86793" w:rsidP="00501421">
            <w:pPr>
              <w:jc w:val="right"/>
              <w:rPr>
                <w:color w:val="000000"/>
                <w:sz w:val="20"/>
              </w:rPr>
            </w:pPr>
            <w:r w:rsidRPr="000B03F5">
              <w:rPr>
                <w:color w:val="000000"/>
                <w:sz w:val="20"/>
                <w:szCs w:val="22"/>
              </w:rPr>
              <w:t>-81.0%</w:t>
            </w:r>
          </w:p>
        </w:tc>
      </w:tr>
      <w:tr w:rsidR="00E86793" w:rsidRPr="000B03F5" w:rsidTr="001A0340">
        <w:trPr>
          <w:trHeight w:val="227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E86793" w:rsidRPr="000B03F5" w:rsidRDefault="00E86793" w:rsidP="0050142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>Građevinarstvo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793" w:rsidRPr="000B03F5" w:rsidRDefault="00E86793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282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E86793" w:rsidRPr="000B03F5" w:rsidRDefault="00E86793" w:rsidP="0050142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B03F5">
              <w:rPr>
                <w:bCs/>
                <w:color w:val="000000"/>
                <w:sz w:val="20"/>
                <w:szCs w:val="20"/>
              </w:rPr>
              <w:t>11.8%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86793" w:rsidRPr="000B03F5" w:rsidRDefault="00E86793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 xml:space="preserve">                223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86793" w:rsidRPr="000B03F5" w:rsidRDefault="00E86793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9.8%</w:t>
            </w:r>
          </w:p>
        </w:tc>
        <w:tc>
          <w:tcPr>
            <w:tcW w:w="1388" w:type="dxa"/>
            <w:shd w:val="clear" w:color="auto" w:fill="auto"/>
            <w:vAlign w:val="bottom"/>
          </w:tcPr>
          <w:p w:rsidR="00E86793" w:rsidRPr="000B03F5" w:rsidRDefault="00E86793" w:rsidP="00501421">
            <w:pPr>
              <w:jc w:val="right"/>
              <w:rPr>
                <w:color w:val="000000"/>
                <w:sz w:val="20"/>
              </w:rPr>
            </w:pPr>
            <w:r w:rsidRPr="000B03F5">
              <w:rPr>
                <w:color w:val="000000"/>
                <w:sz w:val="20"/>
                <w:szCs w:val="22"/>
              </w:rPr>
              <w:t>-20.9%</w:t>
            </w:r>
          </w:p>
        </w:tc>
      </w:tr>
      <w:tr w:rsidR="00E86793" w:rsidRPr="000B03F5" w:rsidTr="001A0340">
        <w:trPr>
          <w:trHeight w:val="227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E86793" w:rsidRPr="000B03F5" w:rsidRDefault="00E86793" w:rsidP="0050142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>Trgovina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793" w:rsidRPr="000B03F5" w:rsidRDefault="00E86793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655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E86793" w:rsidRPr="000B03F5" w:rsidRDefault="00E86793" w:rsidP="0050142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B03F5">
              <w:rPr>
                <w:bCs/>
                <w:color w:val="000000"/>
                <w:sz w:val="20"/>
                <w:szCs w:val="20"/>
              </w:rPr>
              <w:t>27.3%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86793" w:rsidRPr="000B03F5" w:rsidRDefault="00E86793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 xml:space="preserve">                607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86793" w:rsidRPr="000B03F5" w:rsidRDefault="00E86793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26.7%</w:t>
            </w:r>
          </w:p>
        </w:tc>
        <w:tc>
          <w:tcPr>
            <w:tcW w:w="1388" w:type="dxa"/>
            <w:shd w:val="clear" w:color="auto" w:fill="auto"/>
            <w:vAlign w:val="bottom"/>
          </w:tcPr>
          <w:p w:rsidR="00E86793" w:rsidRPr="000B03F5" w:rsidRDefault="00E86793" w:rsidP="00501421">
            <w:pPr>
              <w:jc w:val="right"/>
              <w:rPr>
                <w:color w:val="000000"/>
                <w:sz w:val="20"/>
              </w:rPr>
            </w:pPr>
            <w:r w:rsidRPr="000B03F5">
              <w:rPr>
                <w:color w:val="000000"/>
                <w:sz w:val="20"/>
                <w:szCs w:val="22"/>
              </w:rPr>
              <w:t>-7.3%</w:t>
            </w:r>
          </w:p>
        </w:tc>
      </w:tr>
      <w:tr w:rsidR="00E86793" w:rsidRPr="000B03F5" w:rsidTr="001A0340">
        <w:trPr>
          <w:trHeight w:val="227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E86793" w:rsidRPr="000B03F5" w:rsidRDefault="00E86793" w:rsidP="0050142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>Usluge</w:t>
            </w:r>
            <w:proofErr w:type="spellEnd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>smještaja</w:t>
            </w:r>
            <w:proofErr w:type="spellEnd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 xml:space="preserve"> i </w:t>
            </w:r>
            <w:proofErr w:type="spellStart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>ishrane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793" w:rsidRPr="000B03F5" w:rsidRDefault="00E86793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88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E86793" w:rsidRPr="000B03F5" w:rsidRDefault="00E86793" w:rsidP="0050142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B03F5">
              <w:rPr>
                <w:bCs/>
                <w:color w:val="000000"/>
                <w:sz w:val="20"/>
                <w:szCs w:val="20"/>
              </w:rPr>
              <w:t>3.7%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86793" w:rsidRPr="000B03F5" w:rsidRDefault="00E86793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 xml:space="preserve">          91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86793" w:rsidRPr="000B03F5" w:rsidRDefault="00E86793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4.0%</w:t>
            </w:r>
          </w:p>
        </w:tc>
        <w:tc>
          <w:tcPr>
            <w:tcW w:w="1388" w:type="dxa"/>
            <w:shd w:val="clear" w:color="auto" w:fill="auto"/>
            <w:vAlign w:val="bottom"/>
          </w:tcPr>
          <w:p w:rsidR="00E86793" w:rsidRPr="000B03F5" w:rsidRDefault="00E86793" w:rsidP="00501421">
            <w:pPr>
              <w:jc w:val="right"/>
              <w:rPr>
                <w:color w:val="000000"/>
                <w:sz w:val="20"/>
              </w:rPr>
            </w:pPr>
            <w:r w:rsidRPr="000B03F5">
              <w:rPr>
                <w:color w:val="000000"/>
                <w:sz w:val="20"/>
                <w:szCs w:val="22"/>
              </w:rPr>
              <w:t>3.4%</w:t>
            </w:r>
          </w:p>
        </w:tc>
      </w:tr>
      <w:tr w:rsidR="00E86793" w:rsidRPr="000B03F5" w:rsidTr="001A0340">
        <w:trPr>
          <w:trHeight w:val="227"/>
        </w:trPr>
        <w:tc>
          <w:tcPr>
            <w:tcW w:w="3828" w:type="dxa"/>
            <w:shd w:val="clear" w:color="auto" w:fill="auto"/>
            <w:noWrap/>
            <w:vAlign w:val="bottom"/>
          </w:tcPr>
          <w:p w:rsidR="00E86793" w:rsidRPr="000B03F5" w:rsidRDefault="00E86793" w:rsidP="0050142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>Ostale</w:t>
            </w:r>
            <w:proofErr w:type="spellEnd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>usluge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86793" w:rsidRPr="000B03F5" w:rsidRDefault="00E86793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497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E86793" w:rsidRPr="000B03F5" w:rsidRDefault="00E86793" w:rsidP="0050142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B03F5">
              <w:rPr>
                <w:bCs/>
                <w:color w:val="000000"/>
                <w:sz w:val="20"/>
                <w:szCs w:val="20"/>
              </w:rPr>
              <w:t>20.7%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86793" w:rsidRPr="000B03F5" w:rsidRDefault="00E86793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 xml:space="preserve">             569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86793" w:rsidRPr="000B03F5" w:rsidRDefault="00E86793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25.0%</w:t>
            </w:r>
          </w:p>
        </w:tc>
        <w:tc>
          <w:tcPr>
            <w:tcW w:w="1388" w:type="dxa"/>
            <w:shd w:val="clear" w:color="auto" w:fill="auto"/>
            <w:vAlign w:val="bottom"/>
          </w:tcPr>
          <w:p w:rsidR="00E86793" w:rsidRPr="000B03F5" w:rsidRDefault="00E86793" w:rsidP="00501421">
            <w:pPr>
              <w:jc w:val="right"/>
              <w:rPr>
                <w:color w:val="000000"/>
                <w:sz w:val="20"/>
              </w:rPr>
            </w:pPr>
            <w:r w:rsidRPr="000B03F5">
              <w:rPr>
                <w:color w:val="000000"/>
                <w:sz w:val="20"/>
                <w:szCs w:val="22"/>
              </w:rPr>
              <w:t>14.5%</w:t>
            </w:r>
          </w:p>
        </w:tc>
      </w:tr>
      <w:tr w:rsidR="00E86793" w:rsidRPr="000B03F5" w:rsidTr="001A0340">
        <w:trPr>
          <w:trHeight w:val="227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E86793" w:rsidRPr="000B03F5" w:rsidRDefault="00E86793" w:rsidP="0050142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>Saobraćaj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793" w:rsidRPr="000B03F5" w:rsidRDefault="00E86793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290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E86793" w:rsidRPr="000B03F5" w:rsidRDefault="00E86793" w:rsidP="0050142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B03F5">
              <w:rPr>
                <w:bCs/>
                <w:color w:val="000000"/>
                <w:sz w:val="20"/>
                <w:szCs w:val="20"/>
              </w:rPr>
              <w:t>12.1%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86793" w:rsidRPr="000B03F5" w:rsidRDefault="00E86793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 xml:space="preserve">            156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86793" w:rsidRPr="000B03F5" w:rsidRDefault="00E86793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6.9%</w:t>
            </w:r>
          </w:p>
        </w:tc>
        <w:tc>
          <w:tcPr>
            <w:tcW w:w="1388" w:type="dxa"/>
            <w:shd w:val="clear" w:color="auto" w:fill="auto"/>
            <w:vAlign w:val="bottom"/>
          </w:tcPr>
          <w:p w:rsidR="00E86793" w:rsidRPr="000B03F5" w:rsidRDefault="00E86793" w:rsidP="00501421">
            <w:pPr>
              <w:jc w:val="right"/>
              <w:rPr>
                <w:color w:val="000000"/>
                <w:sz w:val="20"/>
              </w:rPr>
            </w:pPr>
            <w:r w:rsidRPr="000B03F5">
              <w:rPr>
                <w:color w:val="000000"/>
                <w:sz w:val="20"/>
                <w:szCs w:val="22"/>
              </w:rPr>
              <w:t>-46.2%</w:t>
            </w:r>
          </w:p>
        </w:tc>
      </w:tr>
      <w:tr w:rsidR="00E86793" w:rsidRPr="000B03F5" w:rsidTr="001A0340">
        <w:trPr>
          <w:trHeight w:val="227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E86793" w:rsidRPr="000B03F5" w:rsidRDefault="00E86793" w:rsidP="0050142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>Finansijske</w:t>
            </w:r>
            <w:proofErr w:type="spellEnd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>djelatnosti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793" w:rsidRPr="000B03F5" w:rsidRDefault="00E86793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20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E86793" w:rsidRPr="000B03F5" w:rsidRDefault="00E86793" w:rsidP="0050142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B03F5">
              <w:rPr>
                <w:bCs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86793" w:rsidRPr="000B03F5" w:rsidRDefault="00E86793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 xml:space="preserve">               20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86793" w:rsidRPr="000B03F5" w:rsidRDefault="00E86793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0.9%</w:t>
            </w:r>
          </w:p>
        </w:tc>
        <w:tc>
          <w:tcPr>
            <w:tcW w:w="1388" w:type="dxa"/>
            <w:shd w:val="clear" w:color="auto" w:fill="auto"/>
            <w:vAlign w:val="bottom"/>
          </w:tcPr>
          <w:p w:rsidR="00E86793" w:rsidRPr="000B03F5" w:rsidRDefault="00E86793" w:rsidP="00501421">
            <w:pPr>
              <w:jc w:val="right"/>
              <w:rPr>
                <w:color w:val="000000"/>
                <w:sz w:val="20"/>
              </w:rPr>
            </w:pPr>
            <w:r w:rsidRPr="000B03F5">
              <w:rPr>
                <w:color w:val="000000"/>
                <w:sz w:val="20"/>
                <w:szCs w:val="22"/>
              </w:rPr>
              <w:t>0.0%</w:t>
            </w:r>
          </w:p>
        </w:tc>
      </w:tr>
      <w:tr w:rsidR="00E86793" w:rsidRPr="000B03F5" w:rsidTr="001A0340">
        <w:trPr>
          <w:trHeight w:val="227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E86793" w:rsidRPr="000B03F5" w:rsidRDefault="00E86793" w:rsidP="0050142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>Industrija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793" w:rsidRPr="000B03F5" w:rsidRDefault="00E86793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282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E86793" w:rsidRPr="000B03F5" w:rsidRDefault="00E86793" w:rsidP="0050142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B03F5">
              <w:rPr>
                <w:bCs/>
                <w:color w:val="000000"/>
                <w:sz w:val="20"/>
                <w:szCs w:val="20"/>
              </w:rPr>
              <w:t>11.8%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86793" w:rsidRPr="000B03F5" w:rsidRDefault="00E86793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 xml:space="preserve">            101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86793" w:rsidRPr="000B03F5" w:rsidRDefault="00E86793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4.4%</w:t>
            </w:r>
          </w:p>
        </w:tc>
        <w:tc>
          <w:tcPr>
            <w:tcW w:w="1388" w:type="dxa"/>
            <w:shd w:val="clear" w:color="auto" w:fill="auto"/>
            <w:vAlign w:val="bottom"/>
          </w:tcPr>
          <w:p w:rsidR="00E86793" w:rsidRPr="000B03F5" w:rsidRDefault="00E86793" w:rsidP="00501421">
            <w:pPr>
              <w:jc w:val="right"/>
              <w:rPr>
                <w:color w:val="000000"/>
                <w:sz w:val="20"/>
              </w:rPr>
            </w:pPr>
            <w:r w:rsidRPr="000B03F5">
              <w:rPr>
                <w:color w:val="000000"/>
                <w:sz w:val="20"/>
                <w:szCs w:val="22"/>
              </w:rPr>
              <w:t>-64.2%</w:t>
            </w:r>
          </w:p>
        </w:tc>
      </w:tr>
      <w:tr w:rsidR="00E86793" w:rsidRPr="000B03F5" w:rsidTr="001A0340">
        <w:trPr>
          <w:trHeight w:val="227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E86793" w:rsidRPr="000B03F5" w:rsidRDefault="00E86793" w:rsidP="0050142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>Zdravstvo</w:t>
            </w:r>
            <w:proofErr w:type="spellEnd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>obrazovanje</w:t>
            </w:r>
            <w:proofErr w:type="spellEnd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 xml:space="preserve"> i </w:t>
            </w:r>
            <w:proofErr w:type="spellStart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>socijalna</w:t>
            </w:r>
            <w:proofErr w:type="spellEnd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>zaštita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793" w:rsidRPr="000B03F5" w:rsidRDefault="00E86793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18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E86793" w:rsidRPr="000B03F5" w:rsidRDefault="00E86793" w:rsidP="0050142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B03F5">
              <w:rPr>
                <w:bCs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86793" w:rsidRPr="000B03F5" w:rsidRDefault="00E86793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 xml:space="preserve">                 38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86793" w:rsidRPr="000B03F5" w:rsidRDefault="00E86793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1.7%</w:t>
            </w:r>
          </w:p>
        </w:tc>
        <w:tc>
          <w:tcPr>
            <w:tcW w:w="1388" w:type="dxa"/>
            <w:shd w:val="clear" w:color="auto" w:fill="auto"/>
            <w:vAlign w:val="bottom"/>
          </w:tcPr>
          <w:p w:rsidR="00E86793" w:rsidRPr="000B03F5" w:rsidRDefault="00E86793" w:rsidP="00501421">
            <w:pPr>
              <w:jc w:val="right"/>
              <w:rPr>
                <w:color w:val="000000"/>
                <w:sz w:val="20"/>
              </w:rPr>
            </w:pPr>
            <w:r w:rsidRPr="000B03F5">
              <w:rPr>
                <w:color w:val="000000"/>
                <w:sz w:val="20"/>
                <w:szCs w:val="22"/>
              </w:rPr>
              <w:t>111.1%</w:t>
            </w:r>
          </w:p>
        </w:tc>
      </w:tr>
      <w:tr w:rsidR="00E86793" w:rsidRPr="000B03F5" w:rsidTr="001A0340">
        <w:trPr>
          <w:trHeight w:val="227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E86793" w:rsidRPr="000B03F5" w:rsidRDefault="00E86793" w:rsidP="0050142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>Državna</w:t>
            </w:r>
            <w:proofErr w:type="spellEnd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>uprava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793" w:rsidRPr="000B03F5" w:rsidRDefault="00E86793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188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E86793" w:rsidRPr="000B03F5" w:rsidRDefault="00E86793" w:rsidP="0050142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B03F5">
              <w:rPr>
                <w:bCs/>
                <w:color w:val="000000"/>
                <w:sz w:val="20"/>
                <w:szCs w:val="20"/>
              </w:rPr>
              <w:t>7.8%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86793" w:rsidRPr="000B03F5" w:rsidRDefault="00E86793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 xml:space="preserve">             172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86793" w:rsidRPr="000B03F5" w:rsidRDefault="00E86793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7.6%</w:t>
            </w:r>
          </w:p>
        </w:tc>
        <w:tc>
          <w:tcPr>
            <w:tcW w:w="1388" w:type="dxa"/>
            <w:shd w:val="clear" w:color="auto" w:fill="auto"/>
            <w:vAlign w:val="bottom"/>
          </w:tcPr>
          <w:p w:rsidR="00E86793" w:rsidRPr="000B03F5" w:rsidRDefault="00E86793" w:rsidP="00501421">
            <w:pPr>
              <w:jc w:val="right"/>
              <w:rPr>
                <w:color w:val="000000"/>
                <w:sz w:val="20"/>
              </w:rPr>
            </w:pPr>
            <w:r w:rsidRPr="000B03F5">
              <w:rPr>
                <w:color w:val="000000"/>
                <w:sz w:val="20"/>
                <w:szCs w:val="22"/>
              </w:rPr>
              <w:t>-8.5%</w:t>
            </w:r>
          </w:p>
        </w:tc>
      </w:tr>
      <w:tr w:rsidR="00E86793" w:rsidRPr="000B03F5" w:rsidTr="001A0340">
        <w:trPr>
          <w:trHeight w:val="227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E86793" w:rsidRPr="000B03F5" w:rsidRDefault="00E86793" w:rsidP="0050142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>Ostali</w:t>
            </w:r>
            <w:proofErr w:type="spellEnd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>sektori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793" w:rsidRPr="000B03F5" w:rsidRDefault="00E86793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58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E86793" w:rsidRPr="000B03F5" w:rsidRDefault="00E86793" w:rsidP="0050142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B03F5">
              <w:rPr>
                <w:bCs/>
                <w:color w:val="000000"/>
                <w:sz w:val="20"/>
                <w:szCs w:val="20"/>
              </w:rPr>
              <w:t>2.4%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86793" w:rsidRPr="000B03F5" w:rsidRDefault="00E86793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 xml:space="preserve">              295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86793" w:rsidRPr="000B03F5" w:rsidRDefault="00E86793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13.0%</w:t>
            </w:r>
          </w:p>
        </w:tc>
        <w:tc>
          <w:tcPr>
            <w:tcW w:w="1388" w:type="dxa"/>
            <w:shd w:val="clear" w:color="auto" w:fill="auto"/>
            <w:vAlign w:val="bottom"/>
          </w:tcPr>
          <w:p w:rsidR="00E86793" w:rsidRPr="000B03F5" w:rsidRDefault="00E86793" w:rsidP="00501421">
            <w:pPr>
              <w:jc w:val="right"/>
              <w:rPr>
                <w:color w:val="000000"/>
                <w:sz w:val="20"/>
              </w:rPr>
            </w:pPr>
            <w:r w:rsidRPr="000B03F5">
              <w:rPr>
                <w:color w:val="000000"/>
                <w:sz w:val="20"/>
                <w:szCs w:val="22"/>
              </w:rPr>
              <w:t>408.6%</w:t>
            </w:r>
          </w:p>
        </w:tc>
      </w:tr>
      <w:tr w:rsidR="00E86793" w:rsidRPr="000B03F5" w:rsidTr="001A0340">
        <w:trPr>
          <w:trHeight w:val="227"/>
        </w:trPr>
        <w:tc>
          <w:tcPr>
            <w:tcW w:w="3828" w:type="dxa"/>
            <w:shd w:val="clear" w:color="auto" w:fill="92CDDC"/>
            <w:noWrap/>
            <w:vAlign w:val="bottom"/>
            <w:hideMark/>
          </w:tcPr>
          <w:p w:rsidR="00E86793" w:rsidRPr="000B03F5" w:rsidRDefault="00E86793" w:rsidP="00501421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0B03F5">
              <w:rPr>
                <w:b/>
                <w:bCs/>
                <w:sz w:val="20"/>
                <w:szCs w:val="20"/>
                <w:lang w:val="en-US" w:eastAsia="en-US"/>
              </w:rPr>
              <w:t>Ukupno</w:t>
            </w:r>
            <w:proofErr w:type="spellEnd"/>
          </w:p>
        </w:tc>
        <w:tc>
          <w:tcPr>
            <w:tcW w:w="1418" w:type="dxa"/>
            <w:shd w:val="clear" w:color="auto" w:fill="92CDDC"/>
            <w:noWrap/>
            <w:vAlign w:val="center"/>
            <w:hideMark/>
          </w:tcPr>
          <w:p w:rsidR="00E86793" w:rsidRPr="000B03F5" w:rsidRDefault="00E86793" w:rsidP="00501421">
            <w:pPr>
              <w:jc w:val="right"/>
              <w:rPr>
                <w:bCs/>
                <w:sz w:val="20"/>
                <w:szCs w:val="20"/>
              </w:rPr>
            </w:pPr>
            <w:r w:rsidRPr="000B03F5">
              <w:rPr>
                <w:bCs/>
                <w:sz w:val="20"/>
                <w:szCs w:val="20"/>
              </w:rPr>
              <w:t>2.399</w:t>
            </w:r>
          </w:p>
        </w:tc>
        <w:tc>
          <w:tcPr>
            <w:tcW w:w="1032" w:type="dxa"/>
            <w:shd w:val="clear" w:color="auto" w:fill="92CDDC"/>
            <w:noWrap/>
            <w:vAlign w:val="center"/>
            <w:hideMark/>
          </w:tcPr>
          <w:p w:rsidR="00E86793" w:rsidRPr="000B03F5" w:rsidRDefault="00E86793" w:rsidP="0050142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B03F5">
              <w:rPr>
                <w:b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18" w:type="dxa"/>
            <w:shd w:val="clear" w:color="auto" w:fill="92CDDC"/>
            <w:noWrap/>
            <w:vAlign w:val="center"/>
          </w:tcPr>
          <w:p w:rsidR="00E86793" w:rsidRPr="000B03F5" w:rsidRDefault="00E86793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 xml:space="preserve">         2,276</w:t>
            </w:r>
          </w:p>
        </w:tc>
        <w:tc>
          <w:tcPr>
            <w:tcW w:w="850" w:type="dxa"/>
            <w:shd w:val="clear" w:color="auto" w:fill="92CDDC"/>
            <w:noWrap/>
            <w:vAlign w:val="center"/>
          </w:tcPr>
          <w:p w:rsidR="00E86793" w:rsidRPr="000B03F5" w:rsidRDefault="00E86793" w:rsidP="00501421">
            <w:pPr>
              <w:jc w:val="right"/>
              <w:rPr>
                <w:sz w:val="20"/>
                <w:szCs w:val="20"/>
              </w:rPr>
            </w:pPr>
            <w:r w:rsidRPr="000B03F5">
              <w:rPr>
                <w:sz w:val="20"/>
                <w:szCs w:val="20"/>
              </w:rPr>
              <w:t>100.0%</w:t>
            </w:r>
          </w:p>
        </w:tc>
        <w:tc>
          <w:tcPr>
            <w:tcW w:w="1388" w:type="dxa"/>
            <w:shd w:val="clear" w:color="auto" w:fill="92CDDC"/>
            <w:vAlign w:val="bottom"/>
          </w:tcPr>
          <w:p w:rsidR="00E86793" w:rsidRPr="000B03F5" w:rsidRDefault="00E86793" w:rsidP="00501421">
            <w:pPr>
              <w:jc w:val="right"/>
              <w:rPr>
                <w:color w:val="000000"/>
                <w:sz w:val="20"/>
              </w:rPr>
            </w:pPr>
            <w:r w:rsidRPr="000B03F5">
              <w:rPr>
                <w:color w:val="000000"/>
                <w:sz w:val="20"/>
                <w:szCs w:val="22"/>
              </w:rPr>
              <w:t>-5.1%</w:t>
            </w:r>
          </w:p>
        </w:tc>
      </w:tr>
    </w:tbl>
    <w:p w:rsidR="00893964" w:rsidRPr="000B03F5" w:rsidRDefault="00893964" w:rsidP="00501421">
      <w:pPr>
        <w:spacing w:after="120"/>
        <w:jc w:val="both"/>
      </w:pPr>
    </w:p>
    <w:p w:rsidR="00893964" w:rsidRPr="000B03F5" w:rsidRDefault="00893964" w:rsidP="00501421">
      <w:pPr>
        <w:spacing w:after="120"/>
        <w:ind w:left="-567"/>
        <w:jc w:val="both"/>
        <w:rPr>
          <w:bCs/>
          <w:lang w:val="en-US" w:eastAsia="en-US"/>
        </w:rPr>
      </w:pPr>
      <w:r w:rsidRPr="000B03F5">
        <w:t>U poređenju sa prethodnom godinom evidentno je uvećanje aktivnih plasmana u sektor</w:t>
      </w:r>
      <w:r w:rsidR="00E86793" w:rsidRPr="000B03F5">
        <w:t>ima: ostali sektori;</w:t>
      </w:r>
      <w:r w:rsidRPr="000B03F5">
        <w:t xml:space="preserve"> </w:t>
      </w:r>
      <w:proofErr w:type="spellStart"/>
      <w:r w:rsidRPr="000B03F5">
        <w:rPr>
          <w:bCs/>
          <w:lang w:val="en-US" w:eastAsia="en-US"/>
        </w:rPr>
        <w:t>zdravstvo</w:t>
      </w:r>
      <w:proofErr w:type="spellEnd"/>
      <w:r w:rsidRPr="000B03F5">
        <w:rPr>
          <w:bCs/>
          <w:lang w:val="en-US" w:eastAsia="en-US"/>
        </w:rPr>
        <w:t xml:space="preserve">, </w:t>
      </w:r>
      <w:proofErr w:type="spellStart"/>
      <w:r w:rsidR="00E86793" w:rsidRPr="000B03F5">
        <w:rPr>
          <w:bCs/>
          <w:lang w:val="en-US" w:eastAsia="en-US"/>
        </w:rPr>
        <w:t>obrazovanje</w:t>
      </w:r>
      <w:proofErr w:type="spellEnd"/>
      <w:r w:rsidR="00E86793" w:rsidRPr="000B03F5">
        <w:rPr>
          <w:bCs/>
          <w:lang w:val="en-US" w:eastAsia="en-US"/>
        </w:rPr>
        <w:t xml:space="preserve"> i </w:t>
      </w:r>
      <w:proofErr w:type="spellStart"/>
      <w:r w:rsidR="00E86793" w:rsidRPr="000B03F5">
        <w:rPr>
          <w:bCs/>
          <w:lang w:val="en-US" w:eastAsia="en-US"/>
        </w:rPr>
        <w:t>socijalna</w:t>
      </w:r>
      <w:proofErr w:type="spellEnd"/>
      <w:r w:rsidR="00E86793" w:rsidRPr="000B03F5">
        <w:rPr>
          <w:bCs/>
          <w:lang w:val="en-US" w:eastAsia="en-US"/>
        </w:rPr>
        <w:t xml:space="preserve"> </w:t>
      </w:r>
      <w:proofErr w:type="spellStart"/>
      <w:r w:rsidR="00E86793" w:rsidRPr="000B03F5">
        <w:rPr>
          <w:bCs/>
          <w:lang w:val="en-US" w:eastAsia="en-US"/>
        </w:rPr>
        <w:t>zaštita</w:t>
      </w:r>
      <w:proofErr w:type="spellEnd"/>
      <w:r w:rsidR="00E86793" w:rsidRPr="000B03F5">
        <w:rPr>
          <w:bCs/>
          <w:lang w:val="en-US" w:eastAsia="en-US"/>
        </w:rPr>
        <w:t>;</w:t>
      </w:r>
      <w:r w:rsidRPr="000B03F5">
        <w:rPr>
          <w:bCs/>
          <w:lang w:val="en-US" w:eastAsia="en-US"/>
        </w:rPr>
        <w:t xml:space="preserve"> </w:t>
      </w:r>
      <w:proofErr w:type="spellStart"/>
      <w:r w:rsidRPr="000B03F5">
        <w:rPr>
          <w:bCs/>
          <w:lang w:val="en-US" w:eastAsia="en-US"/>
        </w:rPr>
        <w:t>ostale</w:t>
      </w:r>
      <w:proofErr w:type="spellEnd"/>
      <w:r w:rsidRPr="000B03F5">
        <w:rPr>
          <w:bCs/>
          <w:lang w:val="en-US" w:eastAsia="en-US"/>
        </w:rPr>
        <w:t xml:space="preserve"> </w:t>
      </w:r>
      <w:proofErr w:type="spellStart"/>
      <w:r w:rsidRPr="000B03F5">
        <w:rPr>
          <w:bCs/>
          <w:lang w:val="en-US" w:eastAsia="en-US"/>
        </w:rPr>
        <w:t>usluge</w:t>
      </w:r>
      <w:proofErr w:type="spellEnd"/>
      <w:r w:rsidRPr="000B03F5">
        <w:rPr>
          <w:i/>
        </w:rPr>
        <w:t xml:space="preserve">, </w:t>
      </w:r>
      <w:r w:rsidRPr="000B03F5">
        <w:t xml:space="preserve">kao i sektoru </w:t>
      </w:r>
      <w:proofErr w:type="spellStart"/>
      <w:r w:rsidRPr="000B03F5">
        <w:rPr>
          <w:bCs/>
          <w:lang w:val="en-US" w:eastAsia="en-US"/>
        </w:rPr>
        <w:t>usluge</w:t>
      </w:r>
      <w:proofErr w:type="spellEnd"/>
      <w:r w:rsidRPr="000B03F5">
        <w:rPr>
          <w:bCs/>
          <w:lang w:val="en-US" w:eastAsia="en-US"/>
        </w:rPr>
        <w:t xml:space="preserve"> </w:t>
      </w:r>
      <w:proofErr w:type="spellStart"/>
      <w:r w:rsidRPr="000B03F5">
        <w:rPr>
          <w:bCs/>
          <w:lang w:val="en-US" w:eastAsia="en-US"/>
        </w:rPr>
        <w:t>smještaja</w:t>
      </w:r>
      <w:proofErr w:type="spellEnd"/>
      <w:r w:rsidRPr="000B03F5">
        <w:rPr>
          <w:bCs/>
          <w:lang w:val="en-US" w:eastAsia="en-US"/>
        </w:rPr>
        <w:t xml:space="preserve"> i </w:t>
      </w:r>
      <w:proofErr w:type="spellStart"/>
      <w:r w:rsidRPr="000B03F5">
        <w:rPr>
          <w:bCs/>
          <w:lang w:val="en-US" w:eastAsia="en-US"/>
        </w:rPr>
        <w:t>ishrane</w:t>
      </w:r>
      <w:proofErr w:type="spellEnd"/>
      <w:r w:rsidRPr="000B03F5">
        <w:rPr>
          <w:bCs/>
          <w:lang w:val="en-US" w:eastAsia="en-US"/>
        </w:rPr>
        <w:t>.</w:t>
      </w:r>
    </w:p>
    <w:p w:rsidR="00E86793" w:rsidRPr="000B03F5" w:rsidRDefault="00E86793" w:rsidP="00501421">
      <w:pPr>
        <w:spacing w:after="120"/>
        <w:ind w:left="-567"/>
        <w:jc w:val="both"/>
        <w:rPr>
          <w:bCs/>
          <w:lang w:val="en-US" w:eastAsia="en-US"/>
        </w:rPr>
      </w:pPr>
    </w:p>
    <w:p w:rsidR="00E86793" w:rsidRPr="000B03F5" w:rsidRDefault="00E86793" w:rsidP="00501421">
      <w:pPr>
        <w:spacing w:after="120"/>
        <w:ind w:left="-567"/>
        <w:jc w:val="both"/>
      </w:pPr>
    </w:p>
    <w:p w:rsidR="00893964" w:rsidRPr="000B03F5" w:rsidRDefault="00893964" w:rsidP="00501421">
      <w:pPr>
        <w:spacing w:after="120"/>
        <w:rPr>
          <w:bCs/>
        </w:rPr>
      </w:pPr>
    </w:p>
    <w:p w:rsidR="000B03F5" w:rsidRPr="000B03F5" w:rsidRDefault="000B03F5" w:rsidP="00501421">
      <w:pPr>
        <w:spacing w:after="120"/>
        <w:rPr>
          <w:bCs/>
        </w:rPr>
      </w:pPr>
    </w:p>
    <w:p w:rsidR="00893964" w:rsidRPr="000B03F5" w:rsidRDefault="00893964" w:rsidP="00501421">
      <w:pPr>
        <w:spacing w:after="120"/>
        <w:ind w:left="-567"/>
        <w:jc w:val="center"/>
        <w:rPr>
          <w:bCs/>
          <w:i/>
        </w:rPr>
      </w:pPr>
      <w:r w:rsidRPr="000B03F5">
        <w:rPr>
          <w:b/>
          <w:bCs/>
          <w:i/>
        </w:rPr>
        <w:lastRenderedPageBreak/>
        <w:t xml:space="preserve">Grafik </w:t>
      </w:r>
      <w:r w:rsidR="000B03F5" w:rsidRPr="000B03F5">
        <w:rPr>
          <w:b/>
          <w:bCs/>
          <w:i/>
        </w:rPr>
        <w:t>5</w:t>
      </w:r>
      <w:r w:rsidRPr="000B03F5">
        <w:rPr>
          <w:b/>
          <w:bCs/>
          <w:i/>
        </w:rPr>
        <w:t>:</w:t>
      </w:r>
      <w:r w:rsidRPr="000B03F5">
        <w:rPr>
          <w:bCs/>
          <w:i/>
        </w:rPr>
        <w:t xml:space="preserve"> Struktura vrijednosti aktivnih ugovora na dan 31. decembar 2016. godine</w:t>
      </w:r>
    </w:p>
    <w:p w:rsidR="00E86793" w:rsidRPr="000B03F5" w:rsidRDefault="00E86793" w:rsidP="00501421">
      <w:r w:rsidRPr="000B03F5">
        <w:rPr>
          <w:noProof/>
        </w:rPr>
        <w:drawing>
          <wp:inline distT="0" distB="0" distL="0" distR="0">
            <wp:extent cx="5486400" cy="2743200"/>
            <wp:effectExtent l="19050" t="0" r="19050" b="0"/>
            <wp:docPr id="8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86793" w:rsidRPr="000B03F5" w:rsidRDefault="00E86793" w:rsidP="00501421">
      <w:pPr>
        <w:spacing w:after="120"/>
      </w:pPr>
    </w:p>
    <w:p w:rsidR="00E86793" w:rsidRPr="000B03F5" w:rsidRDefault="00E86793" w:rsidP="00501421">
      <w:pPr>
        <w:spacing w:after="120"/>
      </w:pPr>
    </w:p>
    <w:p w:rsidR="00E86793" w:rsidRPr="000B03F5" w:rsidRDefault="00E86793" w:rsidP="00501421">
      <w:pPr>
        <w:spacing w:after="120"/>
      </w:pPr>
    </w:p>
    <w:p w:rsidR="00E86793" w:rsidRPr="000B03F5" w:rsidRDefault="00E86793" w:rsidP="00501421">
      <w:pPr>
        <w:spacing w:after="120"/>
      </w:pPr>
    </w:p>
    <w:p w:rsidR="00893964" w:rsidRPr="000B03F5" w:rsidRDefault="00893964" w:rsidP="00501421">
      <w:pPr>
        <w:pBdr>
          <w:bottom w:val="thinThickSmallGap" w:sz="24" w:space="1" w:color="auto"/>
        </w:pBdr>
        <w:spacing w:after="120"/>
        <w:ind w:hanging="567"/>
        <w:rPr>
          <w:b/>
          <w:lang w:val="es-ES"/>
        </w:rPr>
      </w:pPr>
      <w:proofErr w:type="spellStart"/>
      <w:r w:rsidRPr="000B03F5">
        <w:rPr>
          <w:b/>
          <w:lang w:val="es-ES"/>
        </w:rPr>
        <w:t>Bilans</w:t>
      </w:r>
      <w:proofErr w:type="spellEnd"/>
      <w:r w:rsidRPr="000B03F5">
        <w:rPr>
          <w:b/>
          <w:lang w:val="es-ES"/>
        </w:rPr>
        <w:t xml:space="preserve"> </w:t>
      </w:r>
      <w:proofErr w:type="spellStart"/>
      <w:r w:rsidRPr="000B03F5">
        <w:rPr>
          <w:b/>
          <w:lang w:val="es-ES"/>
        </w:rPr>
        <w:t>stanja</w:t>
      </w:r>
      <w:proofErr w:type="spellEnd"/>
    </w:p>
    <w:p w:rsidR="00501421" w:rsidRDefault="00501421" w:rsidP="00501421">
      <w:pPr>
        <w:spacing w:after="120"/>
        <w:ind w:left="-567"/>
        <w:jc w:val="both"/>
        <w:rPr>
          <w:lang w:val="es-ES"/>
        </w:rPr>
      </w:pPr>
    </w:p>
    <w:p w:rsidR="00893964" w:rsidRPr="000B03F5" w:rsidRDefault="00893964" w:rsidP="00501421">
      <w:pPr>
        <w:spacing w:after="120"/>
        <w:ind w:left="-567"/>
        <w:jc w:val="both"/>
        <w:rPr>
          <w:bCs/>
        </w:rPr>
      </w:pPr>
      <w:proofErr w:type="spellStart"/>
      <w:r w:rsidRPr="000B03F5">
        <w:rPr>
          <w:lang w:val="es-ES"/>
        </w:rPr>
        <w:t>Ukupna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aktiva</w:t>
      </w:r>
      <w:proofErr w:type="spellEnd"/>
      <w:r w:rsidRPr="000B03F5">
        <w:rPr>
          <w:lang w:val="es-ES"/>
        </w:rPr>
        <w:t xml:space="preserve"> </w:t>
      </w:r>
      <w:r w:rsidRPr="000B03F5">
        <w:t>četiri</w:t>
      </w:r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lizing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kuće</w:t>
      </w:r>
      <w:proofErr w:type="spell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na</w:t>
      </w:r>
      <w:proofErr w:type="spellEnd"/>
      <w:r w:rsidRPr="000B03F5">
        <w:rPr>
          <w:lang w:val="es-ES"/>
        </w:rPr>
        <w:t xml:space="preserve"> dan 31. </w:t>
      </w:r>
      <w:proofErr w:type="spellStart"/>
      <w:proofErr w:type="gramStart"/>
      <w:r w:rsidRPr="000B03F5">
        <w:rPr>
          <w:lang w:val="es-ES"/>
        </w:rPr>
        <w:t>decembar</w:t>
      </w:r>
      <w:proofErr w:type="spellEnd"/>
      <w:proofErr w:type="gramEnd"/>
      <w:r w:rsidRPr="000B03F5">
        <w:rPr>
          <w:lang w:val="es-ES"/>
        </w:rPr>
        <w:t xml:space="preserve"> 2016. </w:t>
      </w:r>
      <w:proofErr w:type="spellStart"/>
      <w:proofErr w:type="gramStart"/>
      <w:r w:rsidRPr="000B03F5">
        <w:rPr>
          <w:lang w:val="es-ES"/>
        </w:rPr>
        <w:t>godine</w:t>
      </w:r>
      <w:proofErr w:type="spellEnd"/>
      <w:proofErr w:type="gramEnd"/>
      <w:r w:rsidRPr="000B03F5">
        <w:rPr>
          <w:lang w:val="es-ES"/>
        </w:rPr>
        <w:t xml:space="preserve"> </w:t>
      </w:r>
      <w:proofErr w:type="spellStart"/>
      <w:r w:rsidRPr="000B03F5">
        <w:rPr>
          <w:lang w:val="es-ES"/>
        </w:rPr>
        <w:t>iznosila</w:t>
      </w:r>
      <w:proofErr w:type="spellEnd"/>
      <w:r w:rsidRPr="000B03F5">
        <w:rPr>
          <w:lang w:val="es-ES"/>
        </w:rPr>
        <w:t xml:space="preserve"> je</w:t>
      </w:r>
      <w:r w:rsidRPr="000B03F5">
        <w:rPr>
          <w:color w:val="000000"/>
        </w:rPr>
        <w:t xml:space="preserve"> </w:t>
      </w:r>
      <w:r w:rsidRPr="000B03F5">
        <w:rPr>
          <w:bCs/>
        </w:rPr>
        <w:t>41</w:t>
      </w:r>
      <w:r w:rsidR="00C605F7" w:rsidRPr="000B03F5">
        <w:rPr>
          <w:bCs/>
        </w:rPr>
        <w:t>.</w:t>
      </w:r>
      <w:r w:rsidRPr="000B03F5">
        <w:rPr>
          <w:bCs/>
        </w:rPr>
        <w:t>773</w:t>
      </w:r>
      <w:r w:rsidR="00C605F7" w:rsidRPr="000B03F5">
        <w:rPr>
          <w:bCs/>
        </w:rPr>
        <w:t>.</w:t>
      </w:r>
      <w:r w:rsidRPr="000B03F5">
        <w:rPr>
          <w:bCs/>
        </w:rPr>
        <w:t>719</w:t>
      </w:r>
      <w:r w:rsidR="00C605F7" w:rsidRPr="000B03F5">
        <w:rPr>
          <w:bCs/>
        </w:rPr>
        <w:t>,</w:t>
      </w:r>
      <w:r w:rsidRPr="000B03F5">
        <w:rPr>
          <w:bCs/>
        </w:rPr>
        <w:t>55</w:t>
      </w:r>
      <w:r w:rsidR="00501421">
        <w:rPr>
          <w:bCs/>
        </w:rPr>
        <w:t xml:space="preserve"> </w:t>
      </w:r>
      <w:proofErr w:type="spellStart"/>
      <w:r w:rsidRPr="000B03F5">
        <w:rPr>
          <w:bCs/>
          <w:lang w:val="en-US" w:eastAsia="en-US"/>
        </w:rPr>
        <w:t>eura</w:t>
      </w:r>
      <w:proofErr w:type="spellEnd"/>
      <w:r w:rsidRPr="000B03F5">
        <w:rPr>
          <w:bCs/>
          <w:lang w:val="en-US" w:eastAsia="en-US"/>
        </w:rPr>
        <w:t xml:space="preserve"> </w:t>
      </w:r>
      <w:r w:rsidRPr="000B03F5">
        <w:rPr>
          <w:bCs/>
        </w:rPr>
        <w:t xml:space="preserve">i bila je manja za </w:t>
      </w:r>
      <w:r w:rsidRPr="000B03F5">
        <w:rPr>
          <w:color w:val="000000"/>
        </w:rPr>
        <w:t>14.5</w:t>
      </w:r>
      <w:r w:rsidRPr="000B03F5">
        <w:rPr>
          <w:bCs/>
        </w:rPr>
        <w:t xml:space="preserve">% u odnosu na 31. decembar 2015. godine. </w:t>
      </w:r>
    </w:p>
    <w:p w:rsidR="00893964" w:rsidRPr="000B03F5" w:rsidRDefault="00893964" w:rsidP="00501421">
      <w:pPr>
        <w:spacing w:after="120"/>
        <w:ind w:left="-567"/>
        <w:jc w:val="both"/>
        <w:rPr>
          <w:color w:val="000000"/>
        </w:rPr>
      </w:pPr>
      <w:r w:rsidRPr="000B03F5">
        <w:rPr>
          <w:bCs/>
        </w:rPr>
        <w:t>Međutim, uporedni podaci aktive sa tržišta lizinga nijesu relevantni, imajući u vidu da se značajan dio bilansne sume agregatnog bilansa tržišta vodi u okviru finansijskih izvještaja pružaoca lizing usluga sa najvećim tržišnim učešćem lizing kuće „PORSCHE“ od 12,330,966.76 eura.</w:t>
      </w:r>
    </w:p>
    <w:p w:rsidR="00893964" w:rsidRPr="000B03F5" w:rsidRDefault="00893964" w:rsidP="00501421">
      <w:pPr>
        <w:spacing w:after="120"/>
        <w:ind w:left="-567"/>
        <w:jc w:val="both"/>
        <w:rPr>
          <w:bCs/>
        </w:rPr>
      </w:pPr>
      <w:r w:rsidRPr="000B03F5">
        <w:rPr>
          <w:bCs/>
        </w:rPr>
        <w:t xml:space="preserve">U strukturi ukupne aktive veći udio odnosio se na stalnu imovinu (51.63%), dok je obrtna imovina učestvovala sa oko 48.34%. </w:t>
      </w:r>
    </w:p>
    <w:p w:rsidR="00893964" w:rsidRPr="000B03F5" w:rsidRDefault="00893964" w:rsidP="00501421">
      <w:pPr>
        <w:spacing w:after="120"/>
        <w:ind w:left="-567"/>
        <w:jc w:val="both"/>
      </w:pPr>
      <w:r w:rsidRPr="000B03F5">
        <w:t xml:space="preserve">Evidentno je da su dugoročni finansijski plasmani sa 14,737,706.15 </w:t>
      </w:r>
      <w:proofErr w:type="spellStart"/>
      <w:r w:rsidRPr="000B03F5">
        <w:rPr>
          <w:lang w:val="en-US" w:eastAsia="en-US"/>
        </w:rPr>
        <w:t>eura</w:t>
      </w:r>
      <w:proofErr w:type="spellEnd"/>
      <w:r w:rsidRPr="000B03F5">
        <w:rPr>
          <w:lang w:val="en-US" w:eastAsia="en-US"/>
        </w:rPr>
        <w:t xml:space="preserve"> </w:t>
      </w:r>
      <w:r w:rsidRPr="000B03F5">
        <w:t xml:space="preserve">(68%) najznačajnija stavka </w:t>
      </w:r>
      <w:r w:rsidRPr="000B03F5">
        <w:rPr>
          <w:i/>
        </w:rPr>
        <w:t>stalne imovine</w:t>
      </w:r>
      <w:r w:rsidRPr="000B03F5">
        <w:t xml:space="preserve">, a potom slijede nekretnine, postrojenja i oprema sa 6,750,370.79 </w:t>
      </w:r>
      <w:proofErr w:type="spellStart"/>
      <w:r w:rsidRPr="000B03F5">
        <w:rPr>
          <w:lang w:val="en-US" w:eastAsia="en-US"/>
        </w:rPr>
        <w:t>eura</w:t>
      </w:r>
      <w:proofErr w:type="spellEnd"/>
      <w:r w:rsidRPr="000B03F5">
        <w:t xml:space="preserve"> (31.30%). </w:t>
      </w:r>
    </w:p>
    <w:p w:rsidR="00893964" w:rsidRPr="000B03F5" w:rsidRDefault="00893964" w:rsidP="00501421">
      <w:pPr>
        <w:spacing w:after="120"/>
        <w:ind w:left="-567"/>
        <w:jc w:val="both"/>
        <w:rPr>
          <w:color w:val="000000"/>
        </w:rPr>
      </w:pPr>
      <w:r w:rsidRPr="000B03F5">
        <w:t xml:space="preserve">Kao i  u prethodnom izvještaju,u okviru </w:t>
      </w:r>
      <w:r w:rsidRPr="000B03F5">
        <w:rPr>
          <w:i/>
        </w:rPr>
        <w:t>obrtnih sredstava</w:t>
      </w:r>
      <w:r w:rsidRPr="000B03F5">
        <w:t xml:space="preserve">, kratkoročna potraživanja, plasmani i gotovina dominiraju sa oko </w:t>
      </w:r>
      <w:r w:rsidRPr="000B03F5">
        <w:rPr>
          <w:color w:val="000000"/>
        </w:rPr>
        <w:t>72.42</w:t>
      </w:r>
      <w:r w:rsidRPr="000B03F5">
        <w:t xml:space="preserve">%, dok ostatak čine zalihe. </w:t>
      </w:r>
    </w:p>
    <w:p w:rsidR="00893964" w:rsidRPr="000B03F5" w:rsidRDefault="00893964" w:rsidP="00501421">
      <w:pPr>
        <w:spacing w:after="120"/>
        <w:ind w:left="-567"/>
        <w:jc w:val="both"/>
        <w:rPr>
          <w:sz w:val="20"/>
          <w:szCs w:val="20"/>
        </w:rPr>
      </w:pPr>
    </w:p>
    <w:p w:rsidR="000B03F5" w:rsidRPr="000B03F5" w:rsidRDefault="000B03F5" w:rsidP="00501421">
      <w:pPr>
        <w:spacing w:after="120"/>
        <w:ind w:left="-567"/>
        <w:jc w:val="both"/>
        <w:rPr>
          <w:sz w:val="20"/>
          <w:szCs w:val="20"/>
        </w:rPr>
      </w:pPr>
    </w:p>
    <w:p w:rsidR="000B03F5" w:rsidRPr="000B03F5" w:rsidRDefault="000B03F5" w:rsidP="00501421">
      <w:pPr>
        <w:spacing w:after="120"/>
        <w:ind w:left="-567"/>
        <w:jc w:val="both"/>
        <w:rPr>
          <w:sz w:val="20"/>
          <w:szCs w:val="20"/>
        </w:rPr>
      </w:pPr>
    </w:p>
    <w:p w:rsidR="000B03F5" w:rsidRPr="000B03F5" w:rsidRDefault="000B03F5" w:rsidP="00501421">
      <w:pPr>
        <w:spacing w:after="120"/>
        <w:ind w:left="-567"/>
        <w:jc w:val="both"/>
        <w:rPr>
          <w:sz w:val="20"/>
          <w:szCs w:val="20"/>
        </w:rPr>
      </w:pPr>
    </w:p>
    <w:p w:rsidR="000B03F5" w:rsidRPr="000B03F5" w:rsidRDefault="000B03F5" w:rsidP="00501421">
      <w:pPr>
        <w:spacing w:after="120"/>
        <w:ind w:left="-567"/>
        <w:jc w:val="both"/>
        <w:rPr>
          <w:sz w:val="20"/>
          <w:szCs w:val="20"/>
        </w:rPr>
      </w:pPr>
    </w:p>
    <w:p w:rsidR="000B03F5" w:rsidRPr="000B03F5" w:rsidRDefault="000B03F5" w:rsidP="00501421">
      <w:pPr>
        <w:spacing w:after="120"/>
        <w:ind w:left="-567"/>
        <w:jc w:val="both"/>
        <w:rPr>
          <w:sz w:val="20"/>
          <w:szCs w:val="20"/>
        </w:rPr>
      </w:pPr>
    </w:p>
    <w:p w:rsidR="000B03F5" w:rsidRPr="000B03F5" w:rsidRDefault="000B03F5" w:rsidP="00501421">
      <w:pPr>
        <w:spacing w:after="120"/>
        <w:ind w:left="-567"/>
        <w:jc w:val="both"/>
        <w:rPr>
          <w:sz w:val="20"/>
          <w:szCs w:val="20"/>
        </w:rPr>
      </w:pPr>
    </w:p>
    <w:p w:rsidR="00501421" w:rsidRDefault="00501421" w:rsidP="00501421">
      <w:pPr>
        <w:spacing w:after="120"/>
        <w:ind w:left="-567"/>
        <w:jc w:val="center"/>
        <w:rPr>
          <w:b/>
          <w:bCs/>
          <w:i/>
        </w:rPr>
      </w:pPr>
    </w:p>
    <w:p w:rsidR="00893964" w:rsidRPr="000B03F5" w:rsidRDefault="00893964" w:rsidP="00501421">
      <w:pPr>
        <w:spacing w:after="120"/>
        <w:ind w:left="-567"/>
        <w:jc w:val="center"/>
        <w:rPr>
          <w:bCs/>
          <w:i/>
        </w:rPr>
      </w:pPr>
      <w:r w:rsidRPr="000B03F5">
        <w:rPr>
          <w:b/>
          <w:bCs/>
          <w:i/>
        </w:rPr>
        <w:lastRenderedPageBreak/>
        <w:t>Grafik</w:t>
      </w:r>
      <w:r w:rsidR="000B03F5" w:rsidRPr="000B03F5">
        <w:rPr>
          <w:b/>
          <w:bCs/>
          <w:i/>
        </w:rPr>
        <w:t xml:space="preserve"> 6</w:t>
      </w:r>
      <w:r w:rsidRPr="000B03F5">
        <w:rPr>
          <w:b/>
          <w:bCs/>
          <w:i/>
        </w:rPr>
        <w:t>:</w:t>
      </w:r>
      <w:r w:rsidRPr="000B03F5">
        <w:rPr>
          <w:bCs/>
          <w:i/>
        </w:rPr>
        <w:t xml:space="preserve"> Struktura ukupne aktive lizing kuća na dan 31. decembar 2016. godine</w:t>
      </w:r>
    </w:p>
    <w:p w:rsidR="00893964" w:rsidRPr="000B03F5" w:rsidRDefault="00C605F7" w:rsidP="00501421">
      <w:pPr>
        <w:jc w:val="both"/>
      </w:pPr>
      <w:r w:rsidRPr="000B03F5">
        <w:drawing>
          <wp:inline distT="0" distB="0" distL="0" distR="0">
            <wp:extent cx="5772150" cy="27432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605F7" w:rsidRDefault="00C605F7" w:rsidP="00501421">
      <w:pPr>
        <w:spacing w:after="120"/>
        <w:jc w:val="center"/>
      </w:pPr>
    </w:p>
    <w:p w:rsidR="00501421" w:rsidRPr="000B03F5" w:rsidRDefault="00501421" w:rsidP="00501421">
      <w:pPr>
        <w:spacing w:after="120"/>
        <w:jc w:val="center"/>
      </w:pPr>
    </w:p>
    <w:p w:rsidR="00893964" w:rsidRPr="000B03F5" w:rsidRDefault="00893964" w:rsidP="00501421">
      <w:pPr>
        <w:spacing w:after="120"/>
        <w:ind w:left="-567"/>
        <w:jc w:val="both"/>
        <w:rPr>
          <w:bCs/>
          <w:lang w:val="en-US" w:eastAsia="en-US"/>
        </w:rPr>
      </w:pPr>
      <w:r w:rsidRPr="000B03F5">
        <w:t xml:space="preserve">U strukturi pasive četiri lizing kuće na dan 31. decembar 2016. godine najveći udio odnosio se na </w:t>
      </w:r>
      <w:proofErr w:type="spellStart"/>
      <w:r w:rsidRPr="000B03F5">
        <w:rPr>
          <w:bCs/>
          <w:i/>
          <w:lang w:val="en-US" w:eastAsia="en-US"/>
        </w:rPr>
        <w:t>dugoročna</w:t>
      </w:r>
      <w:proofErr w:type="spellEnd"/>
      <w:r w:rsidRPr="000B03F5">
        <w:rPr>
          <w:bCs/>
          <w:i/>
          <w:lang w:val="en-US" w:eastAsia="en-US"/>
        </w:rPr>
        <w:t xml:space="preserve"> </w:t>
      </w:r>
      <w:proofErr w:type="spellStart"/>
      <w:r w:rsidRPr="000B03F5">
        <w:rPr>
          <w:bCs/>
          <w:i/>
          <w:lang w:val="en-US" w:eastAsia="en-US"/>
        </w:rPr>
        <w:t>rezervisanja</w:t>
      </w:r>
      <w:proofErr w:type="spellEnd"/>
      <w:r w:rsidRPr="000B03F5">
        <w:t xml:space="preserve"> </w:t>
      </w:r>
      <w:r w:rsidRPr="000B03F5">
        <w:rPr>
          <w:bCs/>
          <w:i/>
          <w:lang w:val="en-US" w:eastAsia="en-US"/>
        </w:rPr>
        <w:t xml:space="preserve">i </w:t>
      </w:r>
      <w:proofErr w:type="spellStart"/>
      <w:r w:rsidRPr="000B03F5">
        <w:rPr>
          <w:bCs/>
          <w:i/>
          <w:lang w:val="en-US" w:eastAsia="en-US"/>
        </w:rPr>
        <w:t>dugoročne</w:t>
      </w:r>
      <w:proofErr w:type="spellEnd"/>
      <w:r w:rsidRPr="000B03F5">
        <w:rPr>
          <w:bCs/>
          <w:i/>
          <w:lang w:val="en-US" w:eastAsia="en-US"/>
        </w:rPr>
        <w:t xml:space="preserve"> </w:t>
      </w:r>
      <w:proofErr w:type="spellStart"/>
      <w:r w:rsidRPr="000B03F5">
        <w:rPr>
          <w:bCs/>
          <w:i/>
          <w:lang w:val="en-US" w:eastAsia="en-US"/>
        </w:rPr>
        <w:t>obaveze</w:t>
      </w:r>
      <w:proofErr w:type="spellEnd"/>
      <w:r w:rsidRPr="000B03F5">
        <w:rPr>
          <w:bCs/>
          <w:lang w:val="en-US" w:eastAsia="en-US"/>
        </w:rPr>
        <w:t xml:space="preserve"> </w:t>
      </w:r>
      <w:r w:rsidRPr="000B03F5">
        <w:t xml:space="preserve">sa </w:t>
      </w:r>
      <w:r w:rsidRPr="000B03F5">
        <w:rPr>
          <w:bCs/>
        </w:rPr>
        <w:t>28</w:t>
      </w:r>
      <w:r w:rsidR="00860003" w:rsidRPr="000B03F5">
        <w:rPr>
          <w:bCs/>
        </w:rPr>
        <w:t>.</w:t>
      </w:r>
      <w:r w:rsidRPr="000B03F5">
        <w:rPr>
          <w:bCs/>
        </w:rPr>
        <w:t>744</w:t>
      </w:r>
      <w:r w:rsidR="00860003" w:rsidRPr="000B03F5">
        <w:rPr>
          <w:bCs/>
        </w:rPr>
        <w:t>.</w:t>
      </w:r>
      <w:r w:rsidRPr="000B03F5">
        <w:rPr>
          <w:bCs/>
        </w:rPr>
        <w:t>004</w:t>
      </w:r>
      <w:r w:rsidR="00860003" w:rsidRPr="000B03F5">
        <w:rPr>
          <w:bCs/>
        </w:rPr>
        <w:t>,</w:t>
      </w:r>
      <w:r w:rsidRPr="000B03F5">
        <w:rPr>
          <w:bCs/>
        </w:rPr>
        <w:t>5</w:t>
      </w:r>
      <w:r w:rsidRPr="000B03F5">
        <w:rPr>
          <w:b/>
          <w:bCs/>
        </w:rPr>
        <w:t xml:space="preserve"> </w:t>
      </w:r>
      <w:proofErr w:type="spellStart"/>
      <w:r w:rsidRPr="000B03F5">
        <w:rPr>
          <w:bCs/>
          <w:lang w:val="en-US" w:eastAsia="en-US"/>
        </w:rPr>
        <w:t>eura</w:t>
      </w:r>
      <w:proofErr w:type="spellEnd"/>
      <w:r w:rsidRPr="000B03F5">
        <w:rPr>
          <w:bCs/>
          <w:lang w:val="en-US" w:eastAsia="en-US"/>
        </w:rPr>
        <w:t xml:space="preserve">, </w:t>
      </w:r>
      <w:proofErr w:type="spellStart"/>
      <w:r w:rsidRPr="000B03F5">
        <w:rPr>
          <w:bCs/>
          <w:lang w:val="en-US" w:eastAsia="en-US"/>
        </w:rPr>
        <w:t>odnosno</w:t>
      </w:r>
      <w:proofErr w:type="spellEnd"/>
      <w:r w:rsidRPr="000B03F5">
        <w:rPr>
          <w:bCs/>
          <w:lang w:val="en-US" w:eastAsia="en-US"/>
        </w:rPr>
        <w:t xml:space="preserve"> 68,8 %, </w:t>
      </w:r>
      <w:r w:rsidRPr="000B03F5">
        <w:rPr>
          <w:i/>
        </w:rPr>
        <w:t xml:space="preserve">kratkoročna rezervisanja i kratkoročne obaveze  </w:t>
      </w:r>
      <w:r w:rsidRPr="000B03F5">
        <w:rPr>
          <w:bCs/>
          <w:lang w:val="en-US" w:eastAsia="en-US"/>
        </w:rPr>
        <w:t xml:space="preserve">sa </w:t>
      </w:r>
      <w:r w:rsidRPr="000B03F5">
        <w:t>11</w:t>
      </w:r>
      <w:r w:rsidR="00860003" w:rsidRPr="000B03F5">
        <w:t>.</w:t>
      </w:r>
      <w:r w:rsidRPr="000B03F5">
        <w:t>530</w:t>
      </w:r>
      <w:r w:rsidR="00860003" w:rsidRPr="000B03F5">
        <w:t>.</w:t>
      </w:r>
      <w:r w:rsidRPr="000B03F5">
        <w:t>028</w:t>
      </w:r>
      <w:r w:rsidR="00860003" w:rsidRPr="000B03F5">
        <w:t>,8</w:t>
      </w:r>
      <w:r w:rsidRPr="000B03F5">
        <w:t xml:space="preserve"> </w:t>
      </w:r>
      <w:proofErr w:type="spellStart"/>
      <w:r w:rsidRPr="000B03F5">
        <w:rPr>
          <w:bCs/>
          <w:lang w:val="en-US" w:eastAsia="en-US"/>
        </w:rPr>
        <w:t>eura</w:t>
      </w:r>
      <w:proofErr w:type="spellEnd"/>
      <w:r w:rsidRPr="000B03F5">
        <w:rPr>
          <w:bCs/>
          <w:lang w:val="en-US" w:eastAsia="en-US"/>
        </w:rPr>
        <w:t xml:space="preserve">, </w:t>
      </w:r>
      <w:proofErr w:type="spellStart"/>
      <w:r w:rsidRPr="000B03F5">
        <w:rPr>
          <w:bCs/>
          <w:lang w:val="en-US" w:eastAsia="en-US"/>
        </w:rPr>
        <w:t>odnosno</w:t>
      </w:r>
      <w:proofErr w:type="spellEnd"/>
      <w:r w:rsidRPr="000B03F5">
        <w:rPr>
          <w:bCs/>
          <w:lang w:val="en-US" w:eastAsia="en-US"/>
        </w:rPr>
        <w:t xml:space="preserve"> 27,6%, </w:t>
      </w:r>
      <w:proofErr w:type="spellStart"/>
      <w:r w:rsidRPr="000B03F5">
        <w:rPr>
          <w:bCs/>
          <w:lang w:val="en-US" w:eastAsia="en-US"/>
        </w:rPr>
        <w:t>dok</w:t>
      </w:r>
      <w:proofErr w:type="spellEnd"/>
      <w:r w:rsidRPr="000B03F5">
        <w:rPr>
          <w:bCs/>
          <w:lang w:val="en-US" w:eastAsia="en-US"/>
        </w:rPr>
        <w:t xml:space="preserve"> je </w:t>
      </w:r>
      <w:proofErr w:type="spellStart"/>
      <w:r w:rsidRPr="000B03F5">
        <w:rPr>
          <w:bCs/>
          <w:i/>
          <w:lang w:val="en-US" w:eastAsia="en-US"/>
        </w:rPr>
        <w:t>kapital</w:t>
      </w:r>
      <w:proofErr w:type="spellEnd"/>
      <w:r w:rsidRPr="000B03F5">
        <w:rPr>
          <w:bCs/>
          <w:lang w:val="en-US" w:eastAsia="en-US"/>
        </w:rPr>
        <w:t xml:space="preserve"> je </w:t>
      </w:r>
      <w:r w:rsidRPr="000B03F5">
        <w:rPr>
          <w:bCs/>
        </w:rPr>
        <w:t>1</w:t>
      </w:r>
      <w:r w:rsidR="00860003" w:rsidRPr="000B03F5">
        <w:rPr>
          <w:bCs/>
        </w:rPr>
        <w:t>.</w:t>
      </w:r>
      <w:r w:rsidRPr="000B03F5">
        <w:rPr>
          <w:bCs/>
        </w:rPr>
        <w:t>456</w:t>
      </w:r>
      <w:r w:rsidR="00860003" w:rsidRPr="000B03F5">
        <w:rPr>
          <w:bCs/>
        </w:rPr>
        <w:t>.</w:t>
      </w:r>
      <w:r w:rsidRPr="000B03F5">
        <w:rPr>
          <w:bCs/>
        </w:rPr>
        <w:t>413</w:t>
      </w:r>
      <w:r w:rsidR="00860003" w:rsidRPr="000B03F5">
        <w:rPr>
          <w:bCs/>
        </w:rPr>
        <w:t>,</w:t>
      </w:r>
      <w:r w:rsidRPr="000B03F5">
        <w:rPr>
          <w:bCs/>
        </w:rPr>
        <w:t xml:space="preserve">2 eura, odnosno </w:t>
      </w:r>
      <w:r w:rsidR="00860003" w:rsidRPr="000B03F5">
        <w:rPr>
          <w:bCs/>
        </w:rPr>
        <w:t xml:space="preserve">oko </w:t>
      </w:r>
      <w:r w:rsidRPr="000B03F5">
        <w:rPr>
          <w:bCs/>
        </w:rPr>
        <w:t>3%.</w:t>
      </w:r>
    </w:p>
    <w:p w:rsidR="00893964" w:rsidRPr="000B03F5" w:rsidRDefault="00893964" w:rsidP="00501421">
      <w:pPr>
        <w:spacing w:after="120"/>
        <w:ind w:left="-567"/>
        <w:jc w:val="both"/>
        <w:rPr>
          <w:bCs/>
          <w:lang w:val="en-US" w:eastAsia="en-US"/>
        </w:rPr>
      </w:pPr>
      <w:r w:rsidRPr="000B03F5">
        <w:rPr>
          <w:bCs/>
          <w:lang w:val="en-US" w:eastAsia="en-US"/>
        </w:rPr>
        <w:t xml:space="preserve">U </w:t>
      </w:r>
      <w:proofErr w:type="spellStart"/>
      <w:r w:rsidRPr="000B03F5">
        <w:rPr>
          <w:bCs/>
          <w:lang w:val="en-US" w:eastAsia="en-US"/>
        </w:rPr>
        <w:t>odnosu</w:t>
      </w:r>
      <w:proofErr w:type="spellEnd"/>
      <w:r w:rsidRPr="000B03F5">
        <w:rPr>
          <w:bCs/>
          <w:lang w:val="en-US" w:eastAsia="en-US"/>
        </w:rPr>
        <w:t xml:space="preserve"> </w:t>
      </w:r>
      <w:proofErr w:type="spellStart"/>
      <w:proofErr w:type="gramStart"/>
      <w:r w:rsidRPr="000B03F5">
        <w:rPr>
          <w:bCs/>
          <w:lang w:val="en-US" w:eastAsia="en-US"/>
        </w:rPr>
        <w:t>na</w:t>
      </w:r>
      <w:proofErr w:type="spellEnd"/>
      <w:proofErr w:type="gramEnd"/>
      <w:r w:rsidRPr="000B03F5">
        <w:rPr>
          <w:bCs/>
          <w:lang w:val="en-US" w:eastAsia="en-US"/>
        </w:rPr>
        <w:t xml:space="preserve"> </w:t>
      </w:r>
      <w:proofErr w:type="spellStart"/>
      <w:r w:rsidRPr="000B03F5">
        <w:rPr>
          <w:bCs/>
          <w:lang w:val="en-US" w:eastAsia="en-US"/>
        </w:rPr>
        <w:t>podatke</w:t>
      </w:r>
      <w:proofErr w:type="spellEnd"/>
      <w:r w:rsidRPr="000B03F5">
        <w:rPr>
          <w:bCs/>
          <w:lang w:val="en-US" w:eastAsia="en-US"/>
        </w:rPr>
        <w:t xml:space="preserve"> </w:t>
      </w:r>
      <w:proofErr w:type="spellStart"/>
      <w:r w:rsidRPr="000B03F5">
        <w:rPr>
          <w:bCs/>
          <w:lang w:val="en-US" w:eastAsia="en-US"/>
        </w:rPr>
        <w:t>na</w:t>
      </w:r>
      <w:proofErr w:type="spellEnd"/>
      <w:r w:rsidRPr="000B03F5">
        <w:rPr>
          <w:bCs/>
          <w:lang w:val="en-US" w:eastAsia="en-US"/>
        </w:rPr>
        <w:t xml:space="preserve"> </w:t>
      </w:r>
      <w:proofErr w:type="spellStart"/>
      <w:r w:rsidRPr="000B03F5">
        <w:rPr>
          <w:bCs/>
          <w:lang w:val="en-US" w:eastAsia="en-US"/>
        </w:rPr>
        <w:t>dan</w:t>
      </w:r>
      <w:proofErr w:type="spellEnd"/>
      <w:r w:rsidRPr="000B03F5">
        <w:rPr>
          <w:bCs/>
          <w:lang w:val="en-US" w:eastAsia="en-US"/>
        </w:rPr>
        <w:t xml:space="preserve"> 3</w:t>
      </w:r>
      <w:r w:rsidR="00860003" w:rsidRPr="000B03F5">
        <w:rPr>
          <w:bCs/>
          <w:lang w:val="en-US" w:eastAsia="en-US"/>
        </w:rPr>
        <w:t>1</w:t>
      </w:r>
      <w:r w:rsidRPr="000B03F5">
        <w:rPr>
          <w:bCs/>
          <w:lang w:val="en-US" w:eastAsia="en-US"/>
        </w:rPr>
        <w:t xml:space="preserve">. </w:t>
      </w:r>
      <w:proofErr w:type="spellStart"/>
      <w:proofErr w:type="gramStart"/>
      <w:r w:rsidR="00860003" w:rsidRPr="000B03F5">
        <w:rPr>
          <w:bCs/>
          <w:lang w:val="en-US" w:eastAsia="en-US"/>
        </w:rPr>
        <w:t>decembar</w:t>
      </w:r>
      <w:proofErr w:type="spellEnd"/>
      <w:proofErr w:type="gramEnd"/>
      <w:r w:rsidRPr="000B03F5">
        <w:rPr>
          <w:bCs/>
          <w:lang w:val="en-US" w:eastAsia="en-US"/>
        </w:rPr>
        <w:t xml:space="preserve"> 201</w:t>
      </w:r>
      <w:r w:rsidR="00860003" w:rsidRPr="000B03F5">
        <w:rPr>
          <w:bCs/>
          <w:lang w:val="en-US" w:eastAsia="en-US"/>
        </w:rPr>
        <w:t>6</w:t>
      </w:r>
      <w:r w:rsidRPr="000B03F5">
        <w:rPr>
          <w:bCs/>
          <w:lang w:val="en-US" w:eastAsia="en-US"/>
        </w:rPr>
        <w:t xml:space="preserve">. </w:t>
      </w:r>
      <w:proofErr w:type="spellStart"/>
      <w:proofErr w:type="gramStart"/>
      <w:r w:rsidRPr="000B03F5">
        <w:rPr>
          <w:bCs/>
          <w:lang w:val="en-US" w:eastAsia="en-US"/>
        </w:rPr>
        <w:t>godine</w:t>
      </w:r>
      <w:proofErr w:type="spellEnd"/>
      <w:proofErr w:type="gramEnd"/>
      <w:r w:rsidRPr="000B03F5">
        <w:rPr>
          <w:bCs/>
          <w:lang w:val="en-US" w:eastAsia="en-US"/>
        </w:rPr>
        <w:t xml:space="preserve">, </w:t>
      </w:r>
      <w:r w:rsidRPr="000B03F5">
        <w:rPr>
          <w:bCs/>
          <w:i/>
        </w:rPr>
        <w:t xml:space="preserve">kapital  </w:t>
      </w:r>
      <w:r w:rsidRPr="000B03F5">
        <w:rPr>
          <w:bCs/>
        </w:rPr>
        <w:t>predstavlja povećanje od</w:t>
      </w:r>
      <w:r w:rsidRPr="000B03F5">
        <w:rPr>
          <w:bCs/>
          <w:lang w:val="en-US" w:eastAsia="en-US"/>
        </w:rPr>
        <w:t xml:space="preserve"> 80,3%, </w:t>
      </w:r>
      <w:proofErr w:type="spellStart"/>
      <w:r w:rsidRPr="000B03F5">
        <w:rPr>
          <w:bCs/>
          <w:i/>
          <w:lang w:val="en-US" w:eastAsia="en-US"/>
        </w:rPr>
        <w:t>dugoročna</w:t>
      </w:r>
      <w:proofErr w:type="spellEnd"/>
      <w:r w:rsidRPr="000B03F5">
        <w:rPr>
          <w:bCs/>
          <w:i/>
          <w:lang w:val="en-US" w:eastAsia="en-US"/>
        </w:rPr>
        <w:t xml:space="preserve"> </w:t>
      </w:r>
      <w:proofErr w:type="spellStart"/>
      <w:r w:rsidRPr="000B03F5">
        <w:rPr>
          <w:bCs/>
          <w:i/>
          <w:lang w:val="en-US" w:eastAsia="en-US"/>
        </w:rPr>
        <w:t>rezervisanja</w:t>
      </w:r>
      <w:proofErr w:type="spellEnd"/>
      <w:r w:rsidRPr="000B03F5">
        <w:rPr>
          <w:bCs/>
          <w:i/>
          <w:lang w:val="en-US" w:eastAsia="en-US"/>
        </w:rPr>
        <w:t xml:space="preserve"> i </w:t>
      </w:r>
      <w:proofErr w:type="spellStart"/>
      <w:r w:rsidRPr="000B03F5">
        <w:rPr>
          <w:bCs/>
          <w:i/>
          <w:lang w:val="en-US" w:eastAsia="en-US"/>
        </w:rPr>
        <w:t>dugoročne</w:t>
      </w:r>
      <w:proofErr w:type="spellEnd"/>
      <w:r w:rsidRPr="000B03F5">
        <w:rPr>
          <w:bCs/>
          <w:i/>
          <w:lang w:val="en-US" w:eastAsia="en-US"/>
        </w:rPr>
        <w:t xml:space="preserve"> </w:t>
      </w:r>
      <w:proofErr w:type="spellStart"/>
      <w:r w:rsidRPr="000B03F5">
        <w:rPr>
          <w:bCs/>
          <w:i/>
          <w:lang w:val="en-US" w:eastAsia="en-US"/>
        </w:rPr>
        <w:t>obaveze</w:t>
      </w:r>
      <w:proofErr w:type="spellEnd"/>
      <w:r w:rsidR="00860003" w:rsidRPr="000B03F5">
        <w:rPr>
          <w:bCs/>
          <w:lang w:val="en-US" w:eastAsia="en-US"/>
        </w:rPr>
        <w:t xml:space="preserve"> </w:t>
      </w:r>
      <w:r w:rsidRPr="000B03F5">
        <w:rPr>
          <w:bCs/>
          <w:lang w:val="en-US" w:eastAsia="en-US"/>
        </w:rPr>
        <w:t>pad za 31</w:t>
      </w:r>
      <w:r w:rsidR="00860003" w:rsidRPr="000B03F5">
        <w:rPr>
          <w:bCs/>
          <w:lang w:val="en-US" w:eastAsia="en-US"/>
        </w:rPr>
        <w:t>,2</w:t>
      </w:r>
      <w:r w:rsidRPr="000B03F5">
        <w:rPr>
          <w:bCs/>
          <w:lang w:val="en-US" w:eastAsia="en-US"/>
        </w:rPr>
        <w:t xml:space="preserve">%, a </w:t>
      </w:r>
      <w:r w:rsidRPr="000B03F5">
        <w:rPr>
          <w:i/>
        </w:rPr>
        <w:t>kratkoročna rezervisanja i kratkoročne obaveze</w:t>
      </w:r>
      <w:r w:rsidRPr="000B03F5">
        <w:t xml:space="preserve"> rast za </w:t>
      </w:r>
      <w:r w:rsidR="00860003" w:rsidRPr="000B03F5">
        <w:t>85,2</w:t>
      </w:r>
      <w:r w:rsidRPr="000B03F5">
        <w:t xml:space="preserve">%. </w:t>
      </w:r>
    </w:p>
    <w:p w:rsidR="00893964" w:rsidRPr="000B03F5" w:rsidRDefault="00893964" w:rsidP="00501421">
      <w:pPr>
        <w:spacing w:after="120"/>
        <w:ind w:left="-567"/>
        <w:jc w:val="both"/>
        <w:rPr>
          <w:bCs/>
        </w:rPr>
      </w:pPr>
    </w:p>
    <w:p w:rsidR="00893964" w:rsidRPr="000B03F5" w:rsidRDefault="00893964" w:rsidP="00501421">
      <w:pPr>
        <w:spacing w:after="120"/>
        <w:ind w:left="-567"/>
        <w:jc w:val="center"/>
        <w:rPr>
          <w:bCs/>
          <w:i/>
          <w:szCs w:val="20"/>
        </w:rPr>
      </w:pPr>
      <w:r w:rsidRPr="000B03F5">
        <w:rPr>
          <w:b/>
          <w:bCs/>
          <w:i/>
          <w:szCs w:val="20"/>
        </w:rPr>
        <w:t xml:space="preserve">Grafik </w:t>
      </w:r>
      <w:r w:rsidR="000B03F5" w:rsidRPr="000B03F5">
        <w:rPr>
          <w:b/>
          <w:bCs/>
          <w:i/>
          <w:szCs w:val="20"/>
        </w:rPr>
        <w:t>7:</w:t>
      </w:r>
      <w:r w:rsidRPr="000B03F5">
        <w:rPr>
          <w:bCs/>
          <w:i/>
          <w:szCs w:val="20"/>
        </w:rPr>
        <w:t xml:space="preserve"> Struktura ukupne pasive lizing kuća na dan 31. decembar 201</w:t>
      </w:r>
      <w:r w:rsidR="00860003" w:rsidRPr="000B03F5">
        <w:rPr>
          <w:bCs/>
          <w:i/>
          <w:szCs w:val="20"/>
        </w:rPr>
        <w:t>6</w:t>
      </w:r>
      <w:r w:rsidRPr="000B03F5">
        <w:rPr>
          <w:bCs/>
          <w:i/>
          <w:szCs w:val="20"/>
        </w:rPr>
        <w:t>. godine</w:t>
      </w:r>
    </w:p>
    <w:p w:rsidR="00893964" w:rsidRPr="000B03F5" w:rsidRDefault="00860003" w:rsidP="00501421">
      <w:pPr>
        <w:jc w:val="center"/>
        <w:rPr>
          <w:bCs/>
        </w:rPr>
      </w:pPr>
      <w:r w:rsidRPr="000B03F5">
        <w:rPr>
          <w:bCs/>
        </w:rPr>
        <w:drawing>
          <wp:inline distT="0" distB="0" distL="0" distR="0">
            <wp:extent cx="5895975" cy="2743200"/>
            <wp:effectExtent l="19050" t="0" r="9525" b="0"/>
            <wp:docPr id="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93964" w:rsidRPr="000B03F5" w:rsidRDefault="00893964" w:rsidP="00501421">
      <w:pPr>
        <w:ind w:left="-567"/>
        <w:jc w:val="both"/>
        <w:rPr>
          <w:b/>
          <w:bCs/>
        </w:rPr>
      </w:pPr>
    </w:p>
    <w:p w:rsidR="00893964" w:rsidRPr="000B03F5" w:rsidRDefault="00893964" w:rsidP="00501421">
      <w:pPr>
        <w:ind w:left="-567"/>
        <w:jc w:val="both"/>
        <w:rPr>
          <w:b/>
          <w:bCs/>
        </w:rPr>
      </w:pPr>
    </w:p>
    <w:p w:rsidR="00860003" w:rsidRPr="000B03F5" w:rsidRDefault="00860003" w:rsidP="00501421">
      <w:pPr>
        <w:ind w:left="-567"/>
        <w:jc w:val="both"/>
        <w:rPr>
          <w:b/>
          <w:bCs/>
        </w:rPr>
      </w:pPr>
    </w:p>
    <w:p w:rsidR="00501421" w:rsidRPr="000B03F5" w:rsidRDefault="00501421" w:rsidP="00501421">
      <w:pPr>
        <w:ind w:left="-567"/>
        <w:jc w:val="both"/>
        <w:rPr>
          <w:b/>
          <w:bCs/>
        </w:rPr>
      </w:pPr>
    </w:p>
    <w:p w:rsidR="00893964" w:rsidRPr="000B03F5" w:rsidRDefault="00893964" w:rsidP="00501421">
      <w:pPr>
        <w:pBdr>
          <w:bottom w:val="thinThickSmallGap" w:sz="24" w:space="1" w:color="auto"/>
        </w:pBdr>
        <w:spacing w:after="120"/>
        <w:ind w:left="-567"/>
        <w:jc w:val="both"/>
        <w:rPr>
          <w:b/>
          <w:bCs/>
        </w:rPr>
      </w:pPr>
      <w:r w:rsidRPr="000B03F5">
        <w:rPr>
          <w:b/>
          <w:bCs/>
        </w:rPr>
        <w:lastRenderedPageBreak/>
        <w:t>Bilans uspjeha</w:t>
      </w:r>
    </w:p>
    <w:p w:rsidR="00893964" w:rsidRPr="000B03F5" w:rsidRDefault="00893964" w:rsidP="00501421">
      <w:pPr>
        <w:spacing w:after="120"/>
        <w:ind w:left="-567"/>
        <w:jc w:val="both"/>
        <w:rPr>
          <w:b/>
          <w:bCs/>
        </w:rPr>
      </w:pPr>
    </w:p>
    <w:p w:rsidR="00893964" w:rsidRPr="000B03F5" w:rsidRDefault="00893964" w:rsidP="00501421">
      <w:pPr>
        <w:spacing w:after="120"/>
        <w:ind w:left="-567"/>
        <w:jc w:val="both"/>
        <w:rPr>
          <w:b/>
          <w:bCs/>
        </w:rPr>
      </w:pPr>
      <w:r w:rsidRPr="000B03F5">
        <w:rPr>
          <w:bCs/>
        </w:rPr>
        <w:t xml:space="preserve">Na dan 31. decembar 2016. godine četiri lizing kuće su ostvarile ukupan </w:t>
      </w:r>
      <w:r w:rsidRPr="000B03F5">
        <w:rPr>
          <w:bCs/>
          <w:i/>
        </w:rPr>
        <w:t>poslovni prihod</w:t>
      </w:r>
      <w:r w:rsidRPr="000B03F5">
        <w:rPr>
          <w:bCs/>
        </w:rPr>
        <w:t xml:space="preserve"> od 7,990,910 </w:t>
      </w:r>
      <w:proofErr w:type="spellStart"/>
      <w:r w:rsidR="00740C7E" w:rsidRPr="000B03F5">
        <w:rPr>
          <w:bCs/>
          <w:lang w:val="en-US" w:eastAsia="en-US"/>
        </w:rPr>
        <w:t>eura</w:t>
      </w:r>
      <w:proofErr w:type="spellEnd"/>
      <w:r w:rsidR="00740C7E" w:rsidRPr="000B03F5">
        <w:rPr>
          <w:bCs/>
          <w:lang w:val="en-US" w:eastAsia="en-US"/>
        </w:rPr>
        <w:t xml:space="preserve">, od </w:t>
      </w:r>
      <w:proofErr w:type="spellStart"/>
      <w:r w:rsidR="00740C7E" w:rsidRPr="000B03F5">
        <w:rPr>
          <w:bCs/>
          <w:lang w:val="en-US" w:eastAsia="en-US"/>
        </w:rPr>
        <w:t>čega</w:t>
      </w:r>
      <w:proofErr w:type="spellEnd"/>
      <w:r w:rsidR="00740C7E" w:rsidRPr="000B03F5">
        <w:rPr>
          <w:bCs/>
          <w:lang w:val="en-US" w:eastAsia="en-US"/>
        </w:rPr>
        <w:t xml:space="preserve"> </w:t>
      </w:r>
      <w:proofErr w:type="spellStart"/>
      <w:r w:rsidR="00740C7E" w:rsidRPr="000B03F5">
        <w:rPr>
          <w:bCs/>
          <w:lang w:val="en-US" w:eastAsia="en-US"/>
        </w:rPr>
        <w:t>su</w:t>
      </w:r>
      <w:proofErr w:type="spellEnd"/>
      <w:r w:rsidR="00740C7E" w:rsidRPr="000B03F5">
        <w:rPr>
          <w:bCs/>
          <w:lang w:val="en-US" w:eastAsia="en-US"/>
        </w:rPr>
        <w:t xml:space="preserve"> </w:t>
      </w:r>
      <w:proofErr w:type="spellStart"/>
      <w:r w:rsidR="00740C7E" w:rsidRPr="000B03F5">
        <w:rPr>
          <w:bCs/>
          <w:lang w:val="en-US" w:eastAsia="en-US"/>
        </w:rPr>
        <w:t>prihodi</w:t>
      </w:r>
      <w:proofErr w:type="spellEnd"/>
      <w:r w:rsidRPr="000B03F5">
        <w:rPr>
          <w:bCs/>
          <w:lang w:val="en-US" w:eastAsia="en-US"/>
        </w:rPr>
        <w:t xml:space="preserve"> od </w:t>
      </w:r>
      <w:proofErr w:type="spellStart"/>
      <w:r w:rsidRPr="000B03F5">
        <w:rPr>
          <w:bCs/>
          <w:lang w:val="en-US" w:eastAsia="en-US"/>
        </w:rPr>
        <w:t>prodaje</w:t>
      </w:r>
      <w:proofErr w:type="spellEnd"/>
      <w:r w:rsidRPr="000B03F5">
        <w:rPr>
          <w:bCs/>
          <w:lang w:val="en-US" w:eastAsia="en-US"/>
        </w:rPr>
        <w:t xml:space="preserve"> </w:t>
      </w:r>
      <w:proofErr w:type="spellStart"/>
      <w:r w:rsidRPr="000B03F5">
        <w:rPr>
          <w:bCs/>
          <w:lang w:val="en-US" w:eastAsia="en-US"/>
        </w:rPr>
        <w:t>činili</w:t>
      </w:r>
      <w:proofErr w:type="spellEnd"/>
      <w:r w:rsidRPr="000B03F5">
        <w:rPr>
          <w:bCs/>
          <w:lang w:val="en-US" w:eastAsia="en-US"/>
        </w:rPr>
        <w:t xml:space="preserve"> </w:t>
      </w:r>
      <w:r w:rsidRPr="000B03F5">
        <w:t>89.21</w:t>
      </w:r>
      <w:r w:rsidRPr="000B03F5">
        <w:rPr>
          <w:bCs/>
          <w:lang w:val="en-US" w:eastAsia="en-US"/>
        </w:rPr>
        <w:t xml:space="preserve">%, a </w:t>
      </w:r>
      <w:proofErr w:type="spellStart"/>
      <w:r w:rsidRPr="000B03F5">
        <w:rPr>
          <w:bCs/>
          <w:lang w:val="en-US" w:eastAsia="en-US"/>
        </w:rPr>
        <w:t>ostatak</w:t>
      </w:r>
      <w:proofErr w:type="spellEnd"/>
      <w:r w:rsidRPr="000B03F5">
        <w:rPr>
          <w:bCs/>
          <w:lang w:val="en-US" w:eastAsia="en-US"/>
        </w:rPr>
        <w:t xml:space="preserve"> </w:t>
      </w:r>
      <w:proofErr w:type="spellStart"/>
      <w:r w:rsidRPr="000B03F5">
        <w:rPr>
          <w:bCs/>
          <w:lang w:val="en-US" w:eastAsia="en-US"/>
        </w:rPr>
        <w:t>ostali</w:t>
      </w:r>
      <w:proofErr w:type="spellEnd"/>
      <w:r w:rsidRPr="000B03F5">
        <w:rPr>
          <w:bCs/>
          <w:lang w:val="en-US" w:eastAsia="en-US"/>
        </w:rPr>
        <w:t xml:space="preserve"> </w:t>
      </w:r>
      <w:proofErr w:type="spellStart"/>
      <w:r w:rsidRPr="000B03F5">
        <w:rPr>
          <w:bCs/>
          <w:lang w:val="en-US" w:eastAsia="en-US"/>
        </w:rPr>
        <w:t>poslovni</w:t>
      </w:r>
      <w:proofErr w:type="spellEnd"/>
      <w:r w:rsidRPr="000B03F5">
        <w:rPr>
          <w:bCs/>
          <w:lang w:val="en-US" w:eastAsia="en-US"/>
        </w:rPr>
        <w:t xml:space="preserve"> </w:t>
      </w:r>
      <w:proofErr w:type="spellStart"/>
      <w:r w:rsidRPr="000B03F5">
        <w:rPr>
          <w:bCs/>
          <w:lang w:val="en-US" w:eastAsia="en-US"/>
        </w:rPr>
        <w:t>prihodi</w:t>
      </w:r>
      <w:proofErr w:type="spellEnd"/>
      <w:r w:rsidRPr="000B03F5">
        <w:rPr>
          <w:bCs/>
          <w:lang w:val="en-US" w:eastAsia="en-US"/>
        </w:rPr>
        <w:t xml:space="preserve">. </w:t>
      </w:r>
      <w:r w:rsidRPr="000B03F5">
        <w:rPr>
          <w:lang w:val="en-US" w:eastAsia="en-US"/>
        </w:rPr>
        <w:t xml:space="preserve">Sa </w:t>
      </w:r>
      <w:proofErr w:type="spellStart"/>
      <w:r w:rsidRPr="000B03F5">
        <w:rPr>
          <w:lang w:val="en-US" w:eastAsia="en-US"/>
        </w:rPr>
        <w:t>druge</w:t>
      </w:r>
      <w:proofErr w:type="spellEnd"/>
      <w:r w:rsidRPr="000B03F5">
        <w:rPr>
          <w:lang w:val="en-US" w:eastAsia="en-US"/>
        </w:rPr>
        <w:t xml:space="preserve"> </w:t>
      </w:r>
      <w:proofErr w:type="spellStart"/>
      <w:r w:rsidRPr="000B03F5">
        <w:rPr>
          <w:lang w:val="en-US" w:eastAsia="en-US"/>
        </w:rPr>
        <w:t>strane</w:t>
      </w:r>
      <w:proofErr w:type="spellEnd"/>
      <w:r w:rsidRPr="000B03F5">
        <w:rPr>
          <w:lang w:val="en-US" w:eastAsia="en-US"/>
        </w:rPr>
        <w:t xml:space="preserve"> u </w:t>
      </w:r>
      <w:proofErr w:type="spellStart"/>
      <w:r w:rsidRPr="000B03F5">
        <w:rPr>
          <w:lang w:val="en-US" w:eastAsia="en-US"/>
        </w:rPr>
        <w:t>istom</w:t>
      </w:r>
      <w:proofErr w:type="spellEnd"/>
      <w:r w:rsidRPr="000B03F5">
        <w:rPr>
          <w:lang w:val="en-US" w:eastAsia="en-US"/>
        </w:rPr>
        <w:t xml:space="preserve"> </w:t>
      </w:r>
      <w:proofErr w:type="spellStart"/>
      <w:r w:rsidRPr="000B03F5">
        <w:rPr>
          <w:lang w:val="en-US" w:eastAsia="en-US"/>
        </w:rPr>
        <w:t>periodu</w:t>
      </w:r>
      <w:proofErr w:type="spellEnd"/>
      <w:r w:rsidRPr="000B03F5">
        <w:rPr>
          <w:lang w:val="en-US" w:eastAsia="en-US"/>
        </w:rPr>
        <w:t xml:space="preserve"> </w:t>
      </w:r>
      <w:r w:rsidRPr="000B03F5">
        <w:rPr>
          <w:bCs/>
        </w:rPr>
        <w:t xml:space="preserve">ostvareni su </w:t>
      </w:r>
      <w:r w:rsidRPr="000B03F5">
        <w:rPr>
          <w:bCs/>
          <w:i/>
        </w:rPr>
        <w:t>poslovni rashodi</w:t>
      </w:r>
      <w:r w:rsidRPr="000B03F5">
        <w:rPr>
          <w:bCs/>
        </w:rPr>
        <w:t xml:space="preserve"> u iznosu od 6,908,235</w:t>
      </w:r>
      <w:r w:rsidRPr="000B03F5">
        <w:rPr>
          <w:b/>
          <w:bCs/>
        </w:rPr>
        <w:t xml:space="preserve"> </w:t>
      </w:r>
      <w:r w:rsidR="00740C7E" w:rsidRPr="000B03F5">
        <w:rPr>
          <w:bCs/>
        </w:rPr>
        <w:t xml:space="preserve">eura, od čega </w:t>
      </w:r>
      <w:r w:rsidR="00740C7E" w:rsidRPr="000B03F5">
        <w:t>77.8</w:t>
      </w:r>
      <w:r w:rsidRPr="000B03F5">
        <w:rPr>
          <w:bCs/>
        </w:rPr>
        <w:t xml:space="preserve">% čini </w:t>
      </w:r>
      <w:r w:rsidRPr="000B03F5">
        <w:t>nabavna vrijednost prodate robe</w:t>
      </w:r>
      <w:r w:rsidRPr="000B03F5">
        <w:rPr>
          <w:bCs/>
        </w:rPr>
        <w:t xml:space="preserve">, a </w:t>
      </w:r>
      <w:r w:rsidRPr="000B03F5">
        <w:t xml:space="preserve">20.75% </w:t>
      </w:r>
      <w:r w:rsidRPr="000B03F5">
        <w:rPr>
          <w:bCs/>
        </w:rPr>
        <w:t xml:space="preserve"> se knjižilo na stavci „</w:t>
      </w:r>
      <w:r w:rsidRPr="000B03F5">
        <w:t>ostali poslovni rashodi</w:t>
      </w:r>
      <w:r w:rsidRPr="000B03F5">
        <w:rPr>
          <w:bCs/>
        </w:rPr>
        <w:t>“</w:t>
      </w:r>
      <w:r w:rsidRPr="000B03F5">
        <w:rPr>
          <w:lang w:val="en-US" w:eastAsia="en-US"/>
        </w:rPr>
        <w:t xml:space="preserve">. </w:t>
      </w:r>
      <w:proofErr w:type="spellStart"/>
      <w:r w:rsidRPr="000B03F5">
        <w:rPr>
          <w:lang w:val="en-US" w:eastAsia="en-US"/>
        </w:rPr>
        <w:t>Stoga</w:t>
      </w:r>
      <w:proofErr w:type="spellEnd"/>
      <w:r w:rsidRPr="000B03F5">
        <w:rPr>
          <w:lang w:val="en-US" w:eastAsia="en-US"/>
        </w:rPr>
        <w:t xml:space="preserve"> je </w:t>
      </w:r>
      <w:proofErr w:type="spellStart"/>
      <w:r w:rsidRPr="000B03F5">
        <w:rPr>
          <w:lang w:val="en-US" w:eastAsia="en-US"/>
        </w:rPr>
        <w:t>poslovni</w:t>
      </w:r>
      <w:proofErr w:type="spellEnd"/>
      <w:r w:rsidRPr="000B03F5">
        <w:rPr>
          <w:lang w:val="en-US" w:eastAsia="en-US"/>
        </w:rPr>
        <w:t xml:space="preserve"> </w:t>
      </w:r>
      <w:proofErr w:type="spellStart"/>
      <w:r w:rsidRPr="000B03F5">
        <w:rPr>
          <w:lang w:val="en-US" w:eastAsia="en-US"/>
        </w:rPr>
        <w:t>rezultat</w:t>
      </w:r>
      <w:proofErr w:type="spellEnd"/>
      <w:r w:rsidRPr="000B03F5">
        <w:rPr>
          <w:lang w:val="en-US" w:eastAsia="en-US"/>
        </w:rPr>
        <w:t xml:space="preserve"> bio </w:t>
      </w:r>
      <w:proofErr w:type="spellStart"/>
      <w:r w:rsidRPr="000B03F5">
        <w:rPr>
          <w:lang w:val="en-US" w:eastAsia="en-US"/>
        </w:rPr>
        <w:t>pozitivan</w:t>
      </w:r>
      <w:proofErr w:type="spellEnd"/>
      <w:r w:rsidRPr="000B03F5">
        <w:rPr>
          <w:lang w:val="en-US" w:eastAsia="en-US"/>
        </w:rPr>
        <w:t xml:space="preserve">, </w:t>
      </w:r>
      <w:proofErr w:type="spellStart"/>
      <w:r w:rsidRPr="000B03F5">
        <w:rPr>
          <w:lang w:val="en-US" w:eastAsia="en-US"/>
        </w:rPr>
        <w:t>odnosno</w:t>
      </w:r>
      <w:proofErr w:type="spellEnd"/>
      <w:r w:rsidRPr="000B03F5">
        <w:rPr>
          <w:lang w:val="en-US" w:eastAsia="en-US"/>
        </w:rPr>
        <w:t xml:space="preserve"> </w:t>
      </w:r>
      <w:proofErr w:type="spellStart"/>
      <w:proofErr w:type="gramStart"/>
      <w:r w:rsidRPr="000B03F5">
        <w:rPr>
          <w:lang w:val="en-US" w:eastAsia="en-US"/>
        </w:rPr>
        <w:t>na</w:t>
      </w:r>
      <w:proofErr w:type="spellEnd"/>
      <w:proofErr w:type="gramEnd"/>
      <w:r w:rsidRPr="000B03F5">
        <w:rPr>
          <w:lang w:val="en-US" w:eastAsia="en-US"/>
        </w:rPr>
        <w:t xml:space="preserve"> </w:t>
      </w:r>
      <w:proofErr w:type="spellStart"/>
      <w:r w:rsidRPr="000B03F5">
        <w:rPr>
          <w:lang w:val="en-US" w:eastAsia="en-US"/>
        </w:rPr>
        <w:t>nivou</w:t>
      </w:r>
      <w:proofErr w:type="spellEnd"/>
      <w:r w:rsidRPr="000B03F5">
        <w:rPr>
          <w:lang w:val="en-US" w:eastAsia="en-US"/>
        </w:rPr>
        <w:t xml:space="preserve"> 4 </w:t>
      </w:r>
      <w:proofErr w:type="spellStart"/>
      <w:r w:rsidRPr="000B03F5">
        <w:rPr>
          <w:lang w:val="en-US" w:eastAsia="en-US"/>
        </w:rPr>
        <w:t>lizing</w:t>
      </w:r>
      <w:proofErr w:type="spellEnd"/>
      <w:r w:rsidRPr="000B03F5">
        <w:rPr>
          <w:lang w:val="en-US" w:eastAsia="en-US"/>
        </w:rPr>
        <w:t xml:space="preserve"> </w:t>
      </w:r>
      <w:proofErr w:type="spellStart"/>
      <w:r w:rsidRPr="000B03F5">
        <w:rPr>
          <w:lang w:val="en-US" w:eastAsia="en-US"/>
        </w:rPr>
        <w:t>kuće</w:t>
      </w:r>
      <w:proofErr w:type="spellEnd"/>
      <w:r w:rsidRPr="000B03F5">
        <w:rPr>
          <w:lang w:val="en-US" w:eastAsia="en-US"/>
        </w:rPr>
        <w:t xml:space="preserve"> </w:t>
      </w:r>
      <w:proofErr w:type="spellStart"/>
      <w:r w:rsidRPr="000B03F5">
        <w:rPr>
          <w:lang w:val="en-US" w:eastAsia="en-US"/>
        </w:rPr>
        <w:t>iskazan</w:t>
      </w:r>
      <w:proofErr w:type="spellEnd"/>
      <w:r w:rsidRPr="000B03F5">
        <w:rPr>
          <w:lang w:val="en-US" w:eastAsia="en-US"/>
        </w:rPr>
        <w:t xml:space="preserve"> je </w:t>
      </w:r>
      <w:proofErr w:type="spellStart"/>
      <w:r w:rsidRPr="000B03F5">
        <w:rPr>
          <w:lang w:val="en-US" w:eastAsia="en-US"/>
        </w:rPr>
        <w:t>dobitak</w:t>
      </w:r>
      <w:proofErr w:type="spellEnd"/>
      <w:r w:rsidRPr="000B03F5">
        <w:rPr>
          <w:lang w:val="en-US" w:eastAsia="en-US"/>
        </w:rPr>
        <w:t xml:space="preserve"> </w:t>
      </w:r>
      <w:proofErr w:type="spellStart"/>
      <w:r w:rsidRPr="000B03F5">
        <w:rPr>
          <w:lang w:val="en-US" w:eastAsia="en-US"/>
        </w:rPr>
        <w:t>koji</w:t>
      </w:r>
      <w:proofErr w:type="spellEnd"/>
      <w:r w:rsidRPr="000B03F5">
        <w:rPr>
          <w:lang w:val="en-US" w:eastAsia="en-US"/>
        </w:rPr>
        <w:t xml:space="preserve"> je </w:t>
      </w:r>
      <w:proofErr w:type="spellStart"/>
      <w:r w:rsidRPr="000B03F5">
        <w:rPr>
          <w:lang w:val="en-US" w:eastAsia="en-US"/>
        </w:rPr>
        <w:t>iznosio</w:t>
      </w:r>
      <w:proofErr w:type="spellEnd"/>
      <w:r w:rsidRPr="000B03F5">
        <w:rPr>
          <w:lang w:val="en-US" w:eastAsia="en-US"/>
        </w:rPr>
        <w:t xml:space="preserve"> </w:t>
      </w:r>
      <w:r w:rsidRPr="000B03F5">
        <w:rPr>
          <w:bCs/>
        </w:rPr>
        <w:t>298,825</w:t>
      </w:r>
      <w:r w:rsidRPr="000B03F5">
        <w:rPr>
          <w:b/>
          <w:bCs/>
        </w:rPr>
        <w:t xml:space="preserve"> </w:t>
      </w:r>
      <w:r w:rsidRPr="000B03F5">
        <w:rPr>
          <w:bCs/>
        </w:rPr>
        <w:t>eura. Ipak, tri lizing kuće su poslovale neuspješno i na kraju četvrtog kvartala 2016. godine imale negativan poslovni rezultat, koji je popravila „HET</w:t>
      </w:r>
      <w:r w:rsidR="00740C7E" w:rsidRPr="000B03F5">
        <w:rPr>
          <w:bCs/>
        </w:rPr>
        <w:t>A“ ost</w:t>
      </w:r>
      <w:r w:rsidRPr="000B03F5">
        <w:rPr>
          <w:bCs/>
        </w:rPr>
        <w:t>v</w:t>
      </w:r>
      <w:r w:rsidR="00740C7E" w:rsidRPr="000B03F5">
        <w:rPr>
          <w:bCs/>
        </w:rPr>
        <w:t>a</w:t>
      </w:r>
      <w:r w:rsidRPr="000B03F5">
        <w:rPr>
          <w:bCs/>
        </w:rPr>
        <w:t>rivši pozitivan poslovni rezultat od 1,080,691 eura.</w:t>
      </w:r>
    </w:p>
    <w:p w:rsidR="00893964" w:rsidRPr="000B03F5" w:rsidRDefault="00893964" w:rsidP="00501421">
      <w:pPr>
        <w:spacing w:after="120"/>
        <w:ind w:left="-567"/>
        <w:jc w:val="both"/>
        <w:rPr>
          <w:bCs/>
          <w:lang w:val="en-US" w:eastAsia="en-US"/>
        </w:rPr>
      </w:pPr>
      <w:r w:rsidRPr="000B03F5">
        <w:rPr>
          <w:bCs/>
        </w:rPr>
        <w:t xml:space="preserve">U istom periodu, sumarno, četiri učesnika na tržištu lizinga su iskazala i pozitivan finansijski rezultat u ukupnom iznosu od 666,314 </w:t>
      </w:r>
      <w:proofErr w:type="spellStart"/>
      <w:r w:rsidRPr="000B03F5">
        <w:rPr>
          <w:bCs/>
          <w:lang w:val="en-US" w:eastAsia="en-US"/>
        </w:rPr>
        <w:t>eura</w:t>
      </w:r>
      <w:proofErr w:type="spellEnd"/>
      <w:r w:rsidRPr="000B03F5">
        <w:rPr>
          <w:bCs/>
          <w:lang w:val="en-US" w:eastAsia="en-US"/>
        </w:rPr>
        <w:t xml:space="preserve">, </w:t>
      </w:r>
      <w:proofErr w:type="spellStart"/>
      <w:r w:rsidRPr="000B03F5">
        <w:rPr>
          <w:bCs/>
          <w:lang w:val="en-US" w:eastAsia="en-US"/>
        </w:rPr>
        <w:t>kao</w:t>
      </w:r>
      <w:proofErr w:type="spellEnd"/>
      <w:r w:rsidRPr="000B03F5">
        <w:rPr>
          <w:bCs/>
          <w:lang w:val="en-US" w:eastAsia="en-US"/>
        </w:rPr>
        <w:t xml:space="preserve"> i </w:t>
      </w:r>
      <w:proofErr w:type="spellStart"/>
      <w:r w:rsidRPr="000B03F5">
        <w:rPr>
          <w:bCs/>
          <w:lang w:val="en-US" w:eastAsia="en-US"/>
        </w:rPr>
        <w:t>negativan</w:t>
      </w:r>
      <w:proofErr w:type="spellEnd"/>
      <w:r w:rsidRPr="000B03F5">
        <w:rPr>
          <w:bCs/>
          <w:lang w:val="en-US" w:eastAsia="en-US"/>
        </w:rPr>
        <w:t xml:space="preserve"> </w:t>
      </w:r>
      <w:proofErr w:type="spellStart"/>
      <w:r w:rsidRPr="000B03F5">
        <w:rPr>
          <w:bCs/>
          <w:lang w:val="en-US" w:eastAsia="en-US"/>
        </w:rPr>
        <w:t>rezultat</w:t>
      </w:r>
      <w:proofErr w:type="spellEnd"/>
      <w:r w:rsidRPr="000B03F5">
        <w:rPr>
          <w:bCs/>
          <w:lang w:val="en-US" w:eastAsia="en-US"/>
        </w:rPr>
        <w:t xml:space="preserve"> </w:t>
      </w:r>
      <w:proofErr w:type="spellStart"/>
      <w:r w:rsidRPr="000B03F5">
        <w:rPr>
          <w:bCs/>
          <w:lang w:val="en-US" w:eastAsia="en-US"/>
        </w:rPr>
        <w:t>iz</w:t>
      </w:r>
      <w:proofErr w:type="spellEnd"/>
      <w:r w:rsidRPr="000B03F5">
        <w:rPr>
          <w:bCs/>
          <w:lang w:val="en-US" w:eastAsia="en-US"/>
        </w:rPr>
        <w:t xml:space="preserve"> </w:t>
      </w:r>
      <w:proofErr w:type="spellStart"/>
      <w:r w:rsidRPr="000B03F5">
        <w:rPr>
          <w:bCs/>
          <w:lang w:val="en-US" w:eastAsia="en-US"/>
        </w:rPr>
        <w:t>ostalih</w:t>
      </w:r>
      <w:proofErr w:type="spellEnd"/>
      <w:r w:rsidRPr="000B03F5">
        <w:rPr>
          <w:bCs/>
          <w:lang w:val="en-US" w:eastAsia="en-US"/>
        </w:rPr>
        <w:t xml:space="preserve"> </w:t>
      </w:r>
      <w:proofErr w:type="spellStart"/>
      <w:r w:rsidRPr="000B03F5">
        <w:rPr>
          <w:bCs/>
          <w:lang w:val="en-US" w:eastAsia="en-US"/>
        </w:rPr>
        <w:t>aktivnosti</w:t>
      </w:r>
      <w:proofErr w:type="spellEnd"/>
      <w:r w:rsidRPr="000B03F5">
        <w:rPr>
          <w:bCs/>
          <w:lang w:val="en-US" w:eastAsia="en-US"/>
        </w:rPr>
        <w:t xml:space="preserve"> (</w:t>
      </w:r>
      <w:r w:rsidRPr="000B03F5">
        <w:rPr>
          <w:bCs/>
        </w:rPr>
        <w:t>-435,692</w:t>
      </w:r>
      <w:r w:rsidRPr="000B03F5">
        <w:rPr>
          <w:bCs/>
          <w:lang w:val="en-US" w:eastAsia="en-US"/>
        </w:rPr>
        <w:t>).</w:t>
      </w:r>
    </w:p>
    <w:p w:rsidR="00893964" w:rsidRPr="000B03F5" w:rsidRDefault="00893964" w:rsidP="00501421">
      <w:pPr>
        <w:spacing w:after="120"/>
        <w:ind w:left="-567"/>
        <w:jc w:val="both"/>
        <w:rPr>
          <w:bCs/>
        </w:rPr>
      </w:pPr>
      <w:r w:rsidRPr="000B03F5">
        <w:rPr>
          <w:bCs/>
        </w:rPr>
        <w:t>Lizing kuće su na dan 31. decembar 2016. godine iskazale</w:t>
      </w:r>
      <w:r w:rsidRPr="000B03F5">
        <w:rPr>
          <w:bCs/>
          <w:lang w:val="en-US" w:eastAsia="en-US"/>
        </w:rPr>
        <w:t xml:space="preserve"> </w:t>
      </w:r>
      <w:r w:rsidRPr="000B03F5">
        <w:rPr>
          <w:bCs/>
        </w:rPr>
        <w:t xml:space="preserve">444,508 eura </w:t>
      </w:r>
      <w:proofErr w:type="spellStart"/>
      <w:r w:rsidRPr="000B03F5">
        <w:rPr>
          <w:bCs/>
          <w:lang w:val="en-US" w:eastAsia="en-US"/>
        </w:rPr>
        <w:t>neto</w:t>
      </w:r>
      <w:proofErr w:type="spellEnd"/>
      <w:r w:rsidRPr="000B03F5">
        <w:rPr>
          <w:bCs/>
          <w:lang w:val="en-US" w:eastAsia="en-US"/>
        </w:rPr>
        <w:t xml:space="preserve"> </w:t>
      </w:r>
      <w:proofErr w:type="spellStart"/>
      <w:r w:rsidRPr="000B03F5">
        <w:rPr>
          <w:bCs/>
          <w:lang w:val="en-US" w:eastAsia="en-US"/>
        </w:rPr>
        <w:t>rezultata</w:t>
      </w:r>
      <w:proofErr w:type="spellEnd"/>
      <w:r w:rsidRPr="000B03F5">
        <w:rPr>
          <w:bCs/>
          <w:lang w:val="en-US" w:eastAsia="en-US"/>
        </w:rPr>
        <w:t xml:space="preserve">, </w:t>
      </w:r>
      <w:proofErr w:type="spellStart"/>
      <w:r w:rsidRPr="000B03F5">
        <w:rPr>
          <w:bCs/>
          <w:lang w:val="en-US" w:eastAsia="en-US"/>
        </w:rPr>
        <w:t>odnosno</w:t>
      </w:r>
      <w:proofErr w:type="spellEnd"/>
      <w:r w:rsidRPr="000B03F5">
        <w:rPr>
          <w:bCs/>
          <w:lang w:val="en-US" w:eastAsia="en-US"/>
        </w:rPr>
        <w:t xml:space="preserve"> </w:t>
      </w:r>
      <w:proofErr w:type="spellStart"/>
      <w:r w:rsidRPr="000B03F5">
        <w:rPr>
          <w:bCs/>
          <w:lang w:val="en-US" w:eastAsia="en-US"/>
        </w:rPr>
        <w:t>dobitka</w:t>
      </w:r>
      <w:proofErr w:type="spellEnd"/>
      <w:r w:rsidRPr="000B03F5">
        <w:rPr>
          <w:bCs/>
          <w:lang w:val="en-US" w:eastAsia="en-US"/>
        </w:rPr>
        <w:t xml:space="preserve"> </w:t>
      </w:r>
      <w:proofErr w:type="spellStart"/>
      <w:r w:rsidRPr="000B03F5">
        <w:rPr>
          <w:bCs/>
          <w:lang w:val="en-US" w:eastAsia="en-US"/>
        </w:rPr>
        <w:t>na</w:t>
      </w:r>
      <w:proofErr w:type="spellEnd"/>
      <w:r w:rsidRPr="000B03F5">
        <w:rPr>
          <w:bCs/>
          <w:lang w:val="en-US" w:eastAsia="en-US"/>
        </w:rPr>
        <w:t xml:space="preserve"> </w:t>
      </w:r>
      <w:proofErr w:type="spellStart"/>
      <w:r w:rsidRPr="000B03F5">
        <w:rPr>
          <w:bCs/>
          <w:lang w:val="en-US" w:eastAsia="en-US"/>
        </w:rPr>
        <w:t>tržištu</w:t>
      </w:r>
      <w:proofErr w:type="spellEnd"/>
      <w:r w:rsidRPr="000B03F5">
        <w:rPr>
          <w:bCs/>
        </w:rPr>
        <w:t>. Poređenja radi na isti dan 2015. godine na tržištu lizinga iskazan je ukupan neto rezultat predstavlja gubitak od -184</w:t>
      </w:r>
      <w:r w:rsidR="00740C7E" w:rsidRPr="000B03F5">
        <w:rPr>
          <w:bCs/>
        </w:rPr>
        <w:t>.</w:t>
      </w:r>
      <w:r w:rsidRPr="000B03F5">
        <w:rPr>
          <w:bCs/>
        </w:rPr>
        <w:t>351</w:t>
      </w:r>
      <w:r w:rsidR="00740C7E" w:rsidRPr="000B03F5">
        <w:rPr>
          <w:bCs/>
        </w:rPr>
        <w:t>.</w:t>
      </w:r>
      <w:r w:rsidRPr="000B03F5">
        <w:rPr>
          <w:bCs/>
        </w:rPr>
        <w:t>677</w:t>
      </w:r>
      <w:r w:rsidR="00740C7E" w:rsidRPr="000B03F5">
        <w:rPr>
          <w:bCs/>
        </w:rPr>
        <w:t>,</w:t>
      </w:r>
      <w:r w:rsidRPr="000B03F5">
        <w:rPr>
          <w:bCs/>
        </w:rPr>
        <w:t>7</w:t>
      </w:r>
      <w:r w:rsidRPr="000B03F5">
        <w:rPr>
          <w:b/>
          <w:bCs/>
        </w:rPr>
        <w:t xml:space="preserve"> </w:t>
      </w:r>
      <w:proofErr w:type="spellStart"/>
      <w:r w:rsidRPr="000B03F5">
        <w:rPr>
          <w:bCs/>
          <w:lang w:val="en-US" w:eastAsia="en-US"/>
        </w:rPr>
        <w:t>eura</w:t>
      </w:r>
      <w:proofErr w:type="spellEnd"/>
      <w:r w:rsidRPr="000B03F5">
        <w:rPr>
          <w:bCs/>
          <w:lang w:val="en-US" w:eastAsia="en-US"/>
        </w:rPr>
        <w:t xml:space="preserve">. </w:t>
      </w:r>
    </w:p>
    <w:p w:rsidR="00893964" w:rsidRPr="000B03F5" w:rsidRDefault="00893964" w:rsidP="00501421">
      <w:pPr>
        <w:spacing w:after="120"/>
        <w:jc w:val="both"/>
        <w:rPr>
          <w:bCs/>
        </w:rPr>
      </w:pPr>
    </w:p>
    <w:p w:rsidR="00893964" w:rsidRPr="000B03F5" w:rsidRDefault="00893964" w:rsidP="00501421">
      <w:pPr>
        <w:spacing w:after="120"/>
        <w:ind w:left="-567"/>
        <w:jc w:val="center"/>
        <w:rPr>
          <w:bCs/>
          <w:i/>
        </w:rPr>
      </w:pPr>
      <w:r w:rsidRPr="000B03F5">
        <w:rPr>
          <w:b/>
          <w:bCs/>
          <w:i/>
        </w:rPr>
        <w:t xml:space="preserve">Grafik </w:t>
      </w:r>
      <w:r w:rsidR="000B03F5" w:rsidRPr="000B03F5">
        <w:rPr>
          <w:b/>
          <w:bCs/>
          <w:i/>
        </w:rPr>
        <w:t>8</w:t>
      </w:r>
      <w:r w:rsidRPr="000B03F5">
        <w:rPr>
          <w:b/>
          <w:bCs/>
          <w:i/>
        </w:rPr>
        <w:t>:</w:t>
      </w:r>
      <w:r w:rsidRPr="000B03F5">
        <w:rPr>
          <w:bCs/>
          <w:i/>
        </w:rPr>
        <w:t xml:space="preserve"> Sumarni neto rezultat učesnika na tržištu lizinga za period 2013-2016</w:t>
      </w:r>
    </w:p>
    <w:p w:rsidR="00893964" w:rsidRPr="000B03F5" w:rsidRDefault="00893964" w:rsidP="00501421">
      <w:pPr>
        <w:spacing w:after="120"/>
        <w:ind w:left="-567"/>
        <w:rPr>
          <w:bCs/>
        </w:rPr>
      </w:pPr>
      <w:r w:rsidRPr="000B03F5">
        <w:rPr>
          <w:noProof/>
        </w:rPr>
        <w:drawing>
          <wp:inline distT="0" distB="0" distL="0" distR="0">
            <wp:extent cx="5981700" cy="2790825"/>
            <wp:effectExtent l="57150" t="38100" r="38100" b="28575"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790825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93964" w:rsidRPr="000B03F5" w:rsidRDefault="00893964" w:rsidP="00501421">
      <w:pPr>
        <w:spacing w:after="120"/>
        <w:ind w:left="-567"/>
        <w:rPr>
          <w:bCs/>
        </w:rPr>
      </w:pPr>
    </w:p>
    <w:p w:rsidR="00740C7E" w:rsidRPr="000B03F5" w:rsidRDefault="00740C7E" w:rsidP="00501421">
      <w:pPr>
        <w:spacing w:after="120"/>
        <w:ind w:left="-567"/>
        <w:rPr>
          <w:bCs/>
        </w:rPr>
      </w:pPr>
    </w:p>
    <w:p w:rsidR="000B03F5" w:rsidRPr="000B03F5" w:rsidRDefault="000B03F5" w:rsidP="00501421">
      <w:pPr>
        <w:spacing w:after="200" w:line="276" w:lineRule="auto"/>
        <w:rPr>
          <w:b/>
          <w:bCs/>
        </w:rPr>
      </w:pPr>
      <w:r w:rsidRPr="000B03F5">
        <w:rPr>
          <w:b/>
          <w:bCs/>
        </w:rPr>
        <w:br w:type="page"/>
      </w:r>
    </w:p>
    <w:p w:rsidR="00893964" w:rsidRPr="000B03F5" w:rsidRDefault="00893964" w:rsidP="00501421">
      <w:pPr>
        <w:pBdr>
          <w:bottom w:val="thinThickSmallGap" w:sz="24" w:space="1" w:color="auto"/>
        </w:pBdr>
        <w:spacing w:after="120"/>
        <w:ind w:hanging="567"/>
        <w:rPr>
          <w:b/>
          <w:bCs/>
        </w:rPr>
      </w:pPr>
      <w:r w:rsidRPr="000B03F5">
        <w:rPr>
          <w:b/>
          <w:bCs/>
        </w:rPr>
        <w:lastRenderedPageBreak/>
        <w:t>Bilansna suma banaka i davalaca lizinga</w:t>
      </w:r>
    </w:p>
    <w:p w:rsidR="00501421" w:rsidRDefault="00501421" w:rsidP="00501421">
      <w:pPr>
        <w:spacing w:after="120"/>
        <w:ind w:left="-567"/>
        <w:jc w:val="both"/>
        <w:rPr>
          <w:bCs/>
        </w:rPr>
      </w:pPr>
    </w:p>
    <w:p w:rsidR="00893964" w:rsidRPr="000B03F5" w:rsidRDefault="00893964" w:rsidP="00501421">
      <w:pPr>
        <w:spacing w:after="120"/>
        <w:ind w:left="-567"/>
        <w:jc w:val="both"/>
        <w:rPr>
          <w:b/>
          <w:bCs/>
        </w:rPr>
      </w:pPr>
      <w:r w:rsidRPr="000B03F5">
        <w:rPr>
          <w:bCs/>
        </w:rPr>
        <w:t xml:space="preserve">Lizing kuće u Crnoj Gori su na dan 31.12.2016. godine ostvarili bilansnu sumu u iznosu od </w:t>
      </w:r>
      <w:bookmarkStart w:id="0" w:name="OLE_LINK1"/>
      <w:r w:rsidRPr="000B03F5">
        <w:rPr>
          <w:bCs/>
        </w:rPr>
        <w:t>41,773,719.55</w:t>
      </w:r>
      <w:bookmarkEnd w:id="0"/>
      <w:r w:rsidRPr="000B03F5">
        <w:rPr>
          <w:b/>
          <w:bCs/>
        </w:rPr>
        <w:t xml:space="preserve"> </w:t>
      </w:r>
      <w:r w:rsidRPr="000B03F5">
        <w:rPr>
          <w:bCs/>
        </w:rPr>
        <w:t xml:space="preserve">miliona eura, što predstavlja </w:t>
      </w:r>
      <w:r w:rsidRPr="000B03F5">
        <w:t>1.10</w:t>
      </w:r>
      <w:r w:rsidRPr="000B03F5">
        <w:rPr>
          <w:bCs/>
        </w:rPr>
        <w:t>% (3,790,255,000) bilansne sume bankarskog sektora.</w:t>
      </w:r>
      <w:r w:rsidRPr="000B03F5">
        <w:rPr>
          <w:rStyle w:val="FootnoteReference"/>
          <w:lang w:val="en-US" w:eastAsia="en-US"/>
        </w:rPr>
        <w:footnoteReference w:id="3"/>
      </w:r>
    </w:p>
    <w:p w:rsidR="00893964" w:rsidRPr="000B03F5" w:rsidRDefault="00893964" w:rsidP="00501421">
      <w:pPr>
        <w:spacing w:after="120"/>
        <w:ind w:left="-567"/>
        <w:jc w:val="both"/>
        <w:rPr>
          <w:bCs/>
        </w:rPr>
      </w:pPr>
    </w:p>
    <w:p w:rsidR="00893964" w:rsidRPr="000B03F5" w:rsidRDefault="00893964" w:rsidP="00501421">
      <w:pPr>
        <w:spacing w:after="120"/>
        <w:ind w:left="-567"/>
        <w:jc w:val="center"/>
        <w:rPr>
          <w:bCs/>
          <w:i/>
        </w:rPr>
      </w:pPr>
      <w:r w:rsidRPr="000B03F5">
        <w:rPr>
          <w:b/>
          <w:bCs/>
          <w:i/>
        </w:rPr>
        <w:t xml:space="preserve">Grafik </w:t>
      </w:r>
      <w:r w:rsidR="000B03F5" w:rsidRPr="000B03F5">
        <w:rPr>
          <w:b/>
          <w:bCs/>
          <w:i/>
        </w:rPr>
        <w:t>9</w:t>
      </w:r>
      <w:r w:rsidRPr="000B03F5">
        <w:rPr>
          <w:b/>
          <w:bCs/>
          <w:i/>
        </w:rPr>
        <w:t>:</w:t>
      </w:r>
      <w:r w:rsidRPr="000B03F5">
        <w:rPr>
          <w:bCs/>
          <w:i/>
        </w:rPr>
        <w:t xml:space="preserve"> Odnos bilansne sume banaka i lizing kuća (mil. €)</w:t>
      </w:r>
    </w:p>
    <w:p w:rsidR="00740C7E" w:rsidRPr="000B03F5" w:rsidRDefault="000B03F5" w:rsidP="00501421">
      <w:pPr>
        <w:spacing w:after="120"/>
        <w:ind w:left="-567"/>
        <w:rPr>
          <w:bCs/>
        </w:rPr>
      </w:pPr>
      <w:r w:rsidRPr="000B03F5">
        <w:rPr>
          <w:bCs/>
        </w:rPr>
        <w:drawing>
          <wp:inline distT="0" distB="0" distL="0" distR="0">
            <wp:extent cx="6076950" cy="3314700"/>
            <wp:effectExtent l="19050" t="0" r="19050" b="0"/>
            <wp:docPr id="9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B03F5" w:rsidRPr="000B03F5" w:rsidRDefault="000B03F5" w:rsidP="00501421">
      <w:pPr>
        <w:spacing w:after="120"/>
        <w:ind w:left="-567"/>
        <w:rPr>
          <w:bCs/>
        </w:rPr>
      </w:pPr>
    </w:p>
    <w:p w:rsidR="00893964" w:rsidRPr="000B03F5" w:rsidRDefault="00893964" w:rsidP="00501421">
      <w:pPr>
        <w:spacing w:after="120"/>
        <w:ind w:left="-567"/>
        <w:jc w:val="both"/>
        <w:rPr>
          <w:bCs/>
        </w:rPr>
      </w:pPr>
      <w:r w:rsidRPr="000B03F5">
        <w:rPr>
          <w:bCs/>
        </w:rPr>
        <w:t>Grafik 8 pokazuje da je bilansna suma lizing kuća u odnosu na bilansnu sumu banaka u 2015. godini zabilježila pad, što je rezultat smanjenja bilanse sume lizinga kuća. Navedeno poređenje nije relevatno za cjelokupno lizing tržište jer dio aktive u okviru lizing Addiko banke nije obuhvaćen agregatnim bilansom lizing kuća.</w:t>
      </w:r>
    </w:p>
    <w:p w:rsidR="00893964" w:rsidRPr="000B03F5" w:rsidRDefault="00893964" w:rsidP="00501421">
      <w:pPr>
        <w:spacing w:after="120"/>
        <w:ind w:left="-567"/>
        <w:jc w:val="both"/>
        <w:rPr>
          <w:bCs/>
        </w:rPr>
      </w:pPr>
      <w:r w:rsidRPr="000B03F5">
        <w:rPr>
          <w:bCs/>
        </w:rPr>
        <w:t>Ukoliko se stavi u odnos bilansna suma lizing kuća, sa bruto domaćim proizvodom, onda je relevantni odnos bio 1,35% u 2015. godini, dok ovaj odnos u 2016. godinu</w:t>
      </w:r>
      <w:r w:rsidR="000B03F5" w:rsidRPr="000B03F5">
        <w:rPr>
          <w:bCs/>
        </w:rPr>
        <w:t xml:space="preserve"> iznosi 1,1%</w:t>
      </w:r>
      <w:r w:rsidRPr="000B03F5">
        <w:rPr>
          <w:bCs/>
        </w:rPr>
        <w:t>.</w:t>
      </w:r>
      <w:r w:rsidRPr="000B03F5">
        <w:rPr>
          <w:rStyle w:val="FootnoteReference"/>
          <w:bCs/>
        </w:rPr>
        <w:footnoteReference w:id="4"/>
      </w:r>
    </w:p>
    <w:p w:rsidR="00893964" w:rsidRPr="000B03F5" w:rsidRDefault="00893964" w:rsidP="00501421">
      <w:pPr>
        <w:spacing w:after="120"/>
        <w:ind w:left="-567"/>
        <w:jc w:val="both"/>
        <w:rPr>
          <w:lang w:val="en-US" w:eastAsia="en-US"/>
        </w:rPr>
      </w:pPr>
    </w:p>
    <w:p w:rsidR="00893964" w:rsidRPr="000B03F5" w:rsidRDefault="00893964" w:rsidP="00501421">
      <w:pPr>
        <w:ind w:left="-567"/>
        <w:jc w:val="center"/>
        <w:rPr>
          <w:lang w:val="sr-Latn-BA"/>
        </w:rPr>
      </w:pPr>
      <w:bookmarkStart w:id="1" w:name="_GoBack"/>
      <w:bookmarkEnd w:id="1"/>
      <w:r w:rsidRPr="000B03F5">
        <w:rPr>
          <w:lang w:val="sr-Latn-BA"/>
        </w:rPr>
        <w:t>*</w:t>
      </w:r>
    </w:p>
    <w:p w:rsidR="00893964" w:rsidRPr="000B03F5" w:rsidRDefault="00893964" w:rsidP="00501421">
      <w:pPr>
        <w:ind w:left="-567"/>
        <w:jc w:val="center"/>
        <w:rPr>
          <w:lang w:val="sr-Latn-BA"/>
        </w:rPr>
      </w:pPr>
      <w:r w:rsidRPr="000B03F5">
        <w:rPr>
          <w:lang w:val="sr-Latn-BA"/>
        </w:rPr>
        <w:t>*      *</w:t>
      </w:r>
    </w:p>
    <w:p w:rsidR="00893964" w:rsidRPr="000B03F5" w:rsidRDefault="00893964" w:rsidP="00501421">
      <w:pPr>
        <w:spacing w:after="120"/>
        <w:ind w:left="-567"/>
        <w:jc w:val="both"/>
        <w:rPr>
          <w:lang w:val="sr-Latn-BA"/>
        </w:rPr>
      </w:pPr>
    </w:p>
    <w:p w:rsidR="00893964" w:rsidRPr="000B03F5" w:rsidRDefault="00893964" w:rsidP="00501421">
      <w:pPr>
        <w:spacing w:after="120"/>
        <w:ind w:left="-567"/>
        <w:jc w:val="both"/>
        <w:rPr>
          <w:lang w:val="sr-Latn-BA"/>
        </w:rPr>
      </w:pPr>
      <w:r w:rsidRPr="000B03F5">
        <w:rPr>
          <w:lang w:val="sr-Latn-BA"/>
        </w:rPr>
        <w:t xml:space="preserve">Poslovna politika lizing kuća, sprovođena tokom 2014. i 2015. godine, nastavljena je i tokom 2016. godine i u velikoj mjeri je bila bazirana na zaključivanje ugovora sa klijentima visokog stepena kreditne sposobnosti, što je uticalo na smanjenje izloženosti tržišnim rizicima. </w:t>
      </w:r>
    </w:p>
    <w:p w:rsidR="00893964" w:rsidRPr="000B03F5" w:rsidRDefault="00893964" w:rsidP="00501421">
      <w:pPr>
        <w:spacing w:after="120"/>
        <w:ind w:left="-567"/>
        <w:jc w:val="both"/>
        <w:rPr>
          <w:u w:val="single"/>
          <w:lang w:val="sr-Latn-BA"/>
        </w:rPr>
      </w:pPr>
      <w:r w:rsidRPr="000B03F5">
        <w:rPr>
          <w:lang w:val="sr-Latn-BA"/>
        </w:rPr>
        <w:t xml:space="preserve">Posmatrano sa aspekta lizing kompanija tržište je tokom 2016. godine imalo pozitivan trend u odnosu na prethodne dvije godine u pogledu smanjenja broja klijenata koji slabije servisiraju </w:t>
      </w:r>
      <w:r w:rsidRPr="000B03F5">
        <w:rPr>
          <w:lang w:val="sr-Latn-BA"/>
        </w:rPr>
        <w:lastRenderedPageBreak/>
        <w:t xml:space="preserve">obaveze, kao i manja prisutnost nelikvidnosti klijenata, što je dovelo </w:t>
      </w:r>
      <w:r w:rsidR="004F79F7">
        <w:rPr>
          <w:lang w:val="sr-Latn-BA"/>
        </w:rPr>
        <w:t xml:space="preserve">do </w:t>
      </w:r>
      <w:r w:rsidRPr="000B03F5">
        <w:rPr>
          <w:lang w:val="sr-Latn-BA"/>
        </w:rPr>
        <w:t xml:space="preserve">pozitivnog neto rezulata, odnosno dobitka. </w:t>
      </w:r>
    </w:p>
    <w:p w:rsidR="00893964" w:rsidRPr="000B03F5" w:rsidRDefault="00893964" w:rsidP="00501421">
      <w:pPr>
        <w:spacing w:after="120"/>
        <w:ind w:left="-567"/>
        <w:jc w:val="both"/>
        <w:rPr>
          <w:lang w:val="sr-Latn-BA"/>
        </w:rPr>
      </w:pPr>
      <w:r w:rsidRPr="000B03F5">
        <w:rPr>
          <w:lang w:val="sr-Latn-BA"/>
        </w:rPr>
        <w:t xml:space="preserve">Rast broja kredibilnih klijenata, kao i efikasnija naplata potraživanja, prioriteti su lizing kuća u narednom periodu, dok će oporavak ekonomske aktivnosti u Crnoj Gori biti direktni uzročnik za rast lizing poslova. </w:t>
      </w:r>
    </w:p>
    <w:p w:rsidR="00893964" w:rsidRPr="000B03F5" w:rsidRDefault="00893964" w:rsidP="00501421">
      <w:pPr>
        <w:spacing w:after="120"/>
        <w:ind w:left="-567"/>
        <w:jc w:val="both"/>
        <w:rPr>
          <w:lang w:val="sr-Latn-BA"/>
        </w:rPr>
      </w:pPr>
    </w:p>
    <w:p w:rsidR="00893964" w:rsidRPr="000B03F5" w:rsidRDefault="00893964" w:rsidP="00501421">
      <w:pPr>
        <w:spacing w:after="120"/>
        <w:ind w:left="-567"/>
        <w:jc w:val="both"/>
        <w:rPr>
          <w:lang w:val="sr-Latn-BA"/>
        </w:rPr>
      </w:pPr>
    </w:p>
    <w:p w:rsidR="00893964" w:rsidRPr="000B03F5" w:rsidRDefault="00893964" w:rsidP="00501421">
      <w:pPr>
        <w:spacing w:after="120"/>
        <w:ind w:left="-567"/>
        <w:jc w:val="right"/>
        <w:rPr>
          <w:bCs/>
          <w:noProof/>
        </w:rPr>
      </w:pPr>
      <w:r w:rsidRPr="000B03F5">
        <w:rPr>
          <w:bCs/>
          <w:noProof/>
        </w:rPr>
        <w:t>Virgjina Zadrima</w:t>
      </w:r>
    </w:p>
    <w:p w:rsidR="00893964" w:rsidRPr="000B03F5" w:rsidRDefault="00893964" w:rsidP="00501421">
      <w:pPr>
        <w:spacing w:after="120"/>
        <w:ind w:left="-567"/>
        <w:jc w:val="right"/>
        <w:rPr>
          <w:noProof/>
        </w:rPr>
      </w:pPr>
      <w:r w:rsidRPr="000B03F5">
        <w:rPr>
          <w:noProof/>
        </w:rPr>
        <w:t>Samostalni Savjetnik III, Direkcije za unapređenje poslovnog ambijenta</w:t>
      </w:r>
    </w:p>
    <w:p w:rsidR="00893964" w:rsidRPr="000B03F5" w:rsidRDefault="00893964" w:rsidP="00501421">
      <w:pPr>
        <w:spacing w:after="120"/>
        <w:ind w:left="-567"/>
      </w:pPr>
    </w:p>
    <w:p w:rsidR="00893964" w:rsidRPr="000B03F5" w:rsidRDefault="00893964" w:rsidP="00501421">
      <w:pPr>
        <w:spacing w:after="120"/>
        <w:ind w:left="-567"/>
        <w:jc w:val="both"/>
      </w:pPr>
    </w:p>
    <w:p w:rsidR="00893964" w:rsidRPr="000B03F5" w:rsidRDefault="00893964" w:rsidP="00501421"/>
    <w:sectPr w:rsidR="00893964" w:rsidRPr="000B03F5" w:rsidSect="0050142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E7F" w:rsidRDefault="00252E7F" w:rsidP="00893964">
      <w:r>
        <w:separator/>
      </w:r>
    </w:p>
  </w:endnote>
  <w:endnote w:type="continuationSeparator" w:id="0">
    <w:p w:rsidR="00252E7F" w:rsidRDefault="00252E7F" w:rsidP="00893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FranklinGothic-Book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E7F" w:rsidRDefault="00252E7F" w:rsidP="00893964">
      <w:r>
        <w:separator/>
      </w:r>
    </w:p>
  </w:footnote>
  <w:footnote w:type="continuationSeparator" w:id="0">
    <w:p w:rsidR="00252E7F" w:rsidRDefault="00252E7F" w:rsidP="00893964">
      <w:r>
        <w:continuationSeparator/>
      </w:r>
    </w:p>
  </w:footnote>
  <w:footnote w:id="1">
    <w:p w:rsidR="00C605F7" w:rsidRPr="000B03F5" w:rsidRDefault="00C605F7" w:rsidP="008720ED">
      <w:pPr>
        <w:autoSpaceDE w:val="0"/>
        <w:autoSpaceDN w:val="0"/>
        <w:adjustRightInd w:val="0"/>
        <w:ind w:left="-567" w:right="566"/>
        <w:jc w:val="both"/>
        <w:rPr>
          <w:sz w:val="20"/>
          <w:szCs w:val="20"/>
        </w:rPr>
      </w:pPr>
      <w:r w:rsidRPr="000B03F5">
        <w:rPr>
          <w:rStyle w:val="FootnoteReference"/>
          <w:sz w:val="20"/>
          <w:szCs w:val="20"/>
        </w:rPr>
        <w:footnoteRef/>
      </w:r>
      <w:r w:rsidRPr="000B03F5">
        <w:rPr>
          <w:sz w:val="20"/>
          <w:szCs w:val="20"/>
        </w:rPr>
        <w:t xml:space="preserve"> </w:t>
      </w:r>
      <w:proofErr w:type="spellStart"/>
      <w:r w:rsidRPr="000B03F5">
        <w:rPr>
          <w:rFonts w:eastAsia="Calibri"/>
          <w:sz w:val="20"/>
          <w:szCs w:val="20"/>
          <w:lang w:val="en-US" w:eastAsia="en-US"/>
        </w:rPr>
        <w:t>Prva</w:t>
      </w:r>
      <w:proofErr w:type="spellEnd"/>
      <w:r w:rsidRPr="000B03F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proofErr w:type="gramStart"/>
      <w:r w:rsidRPr="000B03F5">
        <w:rPr>
          <w:rFonts w:eastAsia="Calibri"/>
          <w:sz w:val="20"/>
          <w:szCs w:val="20"/>
          <w:lang w:val="en-US" w:eastAsia="en-US"/>
        </w:rPr>
        <w:t>banka</w:t>
      </w:r>
      <w:proofErr w:type="spellEnd"/>
      <w:proofErr w:type="gramEnd"/>
      <w:r w:rsidRPr="000B03F5">
        <w:rPr>
          <w:rFonts w:eastAsia="Calibri"/>
          <w:sz w:val="20"/>
          <w:szCs w:val="20"/>
          <w:lang w:val="en-US" w:eastAsia="en-US"/>
        </w:rPr>
        <w:t xml:space="preserve"> Crne Gore </w:t>
      </w:r>
      <w:proofErr w:type="spellStart"/>
      <w:r w:rsidRPr="000B03F5">
        <w:rPr>
          <w:rFonts w:eastAsia="Calibri"/>
          <w:sz w:val="20"/>
          <w:szCs w:val="20"/>
          <w:lang w:val="en-US" w:eastAsia="en-US"/>
        </w:rPr>
        <w:t>osnovana</w:t>
      </w:r>
      <w:proofErr w:type="spellEnd"/>
      <w:r w:rsidRPr="000B03F5">
        <w:rPr>
          <w:rFonts w:eastAsia="Calibri"/>
          <w:sz w:val="20"/>
          <w:szCs w:val="20"/>
          <w:lang w:val="en-US" w:eastAsia="en-US"/>
        </w:rPr>
        <w:t xml:space="preserve"> 1901. </w:t>
      </w:r>
      <w:proofErr w:type="spellStart"/>
      <w:proofErr w:type="gramStart"/>
      <w:r w:rsidRPr="000B03F5">
        <w:rPr>
          <w:rFonts w:eastAsia="Calibri"/>
          <w:sz w:val="20"/>
          <w:szCs w:val="20"/>
          <w:lang w:val="en-US" w:eastAsia="en-US"/>
        </w:rPr>
        <w:t>godine</w:t>
      </w:r>
      <w:proofErr w:type="spellEnd"/>
      <w:proofErr w:type="gramEnd"/>
      <w:r w:rsidRPr="000B03F5">
        <w:rPr>
          <w:rFonts w:eastAsia="Calibri"/>
          <w:sz w:val="20"/>
          <w:szCs w:val="20"/>
          <w:lang w:val="en-US" w:eastAsia="en-US"/>
        </w:rPr>
        <w:t xml:space="preserve"> u period 2010-2013. </w:t>
      </w:r>
      <w:proofErr w:type="spellStart"/>
      <w:proofErr w:type="gramStart"/>
      <w:r w:rsidRPr="000B03F5">
        <w:rPr>
          <w:rFonts w:eastAsia="Calibri"/>
          <w:sz w:val="20"/>
          <w:szCs w:val="20"/>
          <w:lang w:val="en-US" w:eastAsia="en-US"/>
        </w:rPr>
        <w:t>godine</w:t>
      </w:r>
      <w:proofErr w:type="spellEnd"/>
      <w:proofErr w:type="gramEnd"/>
      <w:r w:rsidRPr="000B03F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B03F5">
        <w:rPr>
          <w:rFonts w:eastAsia="Calibri"/>
          <w:sz w:val="20"/>
          <w:szCs w:val="20"/>
          <w:lang w:val="en-US" w:eastAsia="en-US"/>
        </w:rPr>
        <w:t>nije</w:t>
      </w:r>
      <w:proofErr w:type="spellEnd"/>
      <w:r w:rsidRPr="000B03F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B03F5">
        <w:rPr>
          <w:rFonts w:eastAsia="Calibri"/>
          <w:sz w:val="20"/>
          <w:szCs w:val="20"/>
          <w:lang w:val="en-US" w:eastAsia="en-US"/>
        </w:rPr>
        <w:t>bila</w:t>
      </w:r>
      <w:proofErr w:type="spellEnd"/>
      <w:r w:rsidRPr="000B03F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B03F5">
        <w:rPr>
          <w:rFonts w:eastAsia="Calibri"/>
          <w:sz w:val="20"/>
          <w:szCs w:val="20"/>
          <w:lang w:val="en-US" w:eastAsia="en-US"/>
        </w:rPr>
        <w:t>aktivna</w:t>
      </w:r>
      <w:proofErr w:type="spellEnd"/>
      <w:r w:rsidRPr="000B03F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B03F5">
        <w:rPr>
          <w:rFonts w:eastAsia="Calibri"/>
          <w:sz w:val="20"/>
          <w:szCs w:val="20"/>
          <w:lang w:val="en-US" w:eastAsia="en-US"/>
        </w:rPr>
        <w:t>na</w:t>
      </w:r>
      <w:proofErr w:type="spellEnd"/>
      <w:r w:rsidRPr="000B03F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B03F5">
        <w:rPr>
          <w:rFonts w:eastAsia="Calibri"/>
          <w:sz w:val="20"/>
          <w:szCs w:val="20"/>
          <w:lang w:val="en-US" w:eastAsia="en-US"/>
        </w:rPr>
        <w:t>tržištu</w:t>
      </w:r>
      <w:proofErr w:type="spellEnd"/>
      <w:r w:rsidRPr="000B03F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B03F5">
        <w:rPr>
          <w:rFonts w:eastAsia="Calibri"/>
          <w:sz w:val="20"/>
          <w:szCs w:val="20"/>
          <w:lang w:val="en-US" w:eastAsia="en-US"/>
        </w:rPr>
        <w:t>lizinga</w:t>
      </w:r>
      <w:proofErr w:type="spellEnd"/>
      <w:r w:rsidRPr="000B03F5">
        <w:rPr>
          <w:rFonts w:eastAsia="Calibri"/>
          <w:sz w:val="20"/>
          <w:szCs w:val="20"/>
          <w:lang w:val="en-US" w:eastAsia="en-US"/>
        </w:rPr>
        <w:t xml:space="preserve"> u </w:t>
      </w:r>
      <w:proofErr w:type="spellStart"/>
      <w:r w:rsidRPr="000B03F5">
        <w:rPr>
          <w:rFonts w:eastAsia="Calibri"/>
          <w:sz w:val="20"/>
          <w:szCs w:val="20"/>
          <w:lang w:val="en-US" w:eastAsia="en-US"/>
        </w:rPr>
        <w:t>smislu</w:t>
      </w:r>
      <w:proofErr w:type="spellEnd"/>
      <w:r w:rsidRPr="000B03F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B03F5">
        <w:rPr>
          <w:rFonts w:eastAsia="Calibri"/>
          <w:sz w:val="20"/>
          <w:szCs w:val="20"/>
          <w:lang w:val="en-US" w:eastAsia="en-US"/>
        </w:rPr>
        <w:t>odobravanja</w:t>
      </w:r>
      <w:proofErr w:type="spellEnd"/>
      <w:r w:rsidRPr="000B03F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B03F5">
        <w:rPr>
          <w:rFonts w:eastAsia="Calibri"/>
          <w:sz w:val="20"/>
          <w:szCs w:val="20"/>
          <w:lang w:val="en-US" w:eastAsia="en-US"/>
        </w:rPr>
        <w:t>novih</w:t>
      </w:r>
      <w:proofErr w:type="spellEnd"/>
      <w:r w:rsidRPr="000B03F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B03F5">
        <w:rPr>
          <w:rFonts w:eastAsia="Calibri"/>
          <w:sz w:val="20"/>
          <w:szCs w:val="20"/>
          <w:lang w:val="en-US" w:eastAsia="en-US"/>
        </w:rPr>
        <w:t>plasmana</w:t>
      </w:r>
      <w:proofErr w:type="spellEnd"/>
      <w:r w:rsidRPr="000B03F5">
        <w:rPr>
          <w:rFonts w:eastAsia="Calibri"/>
          <w:sz w:val="20"/>
          <w:szCs w:val="20"/>
          <w:lang w:val="en-US" w:eastAsia="en-US"/>
        </w:rPr>
        <w:t xml:space="preserve">, </w:t>
      </w:r>
      <w:proofErr w:type="spellStart"/>
      <w:r w:rsidRPr="000B03F5">
        <w:rPr>
          <w:rFonts w:eastAsia="Calibri"/>
          <w:sz w:val="20"/>
          <w:szCs w:val="20"/>
          <w:lang w:val="en-US" w:eastAsia="en-US"/>
        </w:rPr>
        <w:t>osim</w:t>
      </w:r>
      <w:proofErr w:type="spellEnd"/>
      <w:r w:rsidRPr="000B03F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B03F5">
        <w:rPr>
          <w:rFonts w:eastAsia="Calibri"/>
          <w:sz w:val="20"/>
          <w:szCs w:val="20"/>
          <w:lang w:val="en-US" w:eastAsia="en-US"/>
        </w:rPr>
        <w:t>naplate</w:t>
      </w:r>
      <w:proofErr w:type="spellEnd"/>
      <w:r w:rsidRPr="000B03F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B03F5">
        <w:rPr>
          <w:rFonts w:eastAsia="Calibri"/>
          <w:sz w:val="20"/>
          <w:szCs w:val="20"/>
          <w:lang w:val="en-US" w:eastAsia="en-US"/>
        </w:rPr>
        <w:t>potraživanja</w:t>
      </w:r>
      <w:proofErr w:type="spellEnd"/>
      <w:r w:rsidRPr="000B03F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B03F5">
        <w:rPr>
          <w:rFonts w:eastAsia="Calibri"/>
          <w:sz w:val="20"/>
          <w:szCs w:val="20"/>
          <w:lang w:val="en-US" w:eastAsia="en-US"/>
        </w:rPr>
        <w:t>po</w:t>
      </w:r>
      <w:proofErr w:type="spellEnd"/>
      <w:r w:rsidRPr="000B03F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B03F5">
        <w:rPr>
          <w:rFonts w:eastAsia="Calibri"/>
          <w:sz w:val="20"/>
          <w:szCs w:val="20"/>
          <w:lang w:val="en-US" w:eastAsia="en-US"/>
        </w:rPr>
        <w:t>osnovu</w:t>
      </w:r>
      <w:proofErr w:type="spellEnd"/>
      <w:r w:rsidRPr="000B03F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B03F5">
        <w:rPr>
          <w:rFonts w:eastAsia="Calibri"/>
          <w:sz w:val="20"/>
          <w:szCs w:val="20"/>
          <w:lang w:val="en-US" w:eastAsia="en-US"/>
        </w:rPr>
        <w:t>ranije</w:t>
      </w:r>
      <w:proofErr w:type="spellEnd"/>
      <w:r w:rsidRPr="000B03F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B03F5">
        <w:rPr>
          <w:rFonts w:eastAsia="Calibri"/>
          <w:sz w:val="20"/>
          <w:szCs w:val="20"/>
          <w:lang w:val="en-US" w:eastAsia="en-US"/>
        </w:rPr>
        <w:t>zaključenih</w:t>
      </w:r>
      <w:proofErr w:type="spellEnd"/>
      <w:r w:rsidRPr="000B03F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B03F5">
        <w:rPr>
          <w:rFonts w:eastAsia="Calibri"/>
          <w:sz w:val="20"/>
          <w:szCs w:val="20"/>
          <w:lang w:val="en-US" w:eastAsia="en-US"/>
        </w:rPr>
        <w:t>ugovora</w:t>
      </w:r>
      <w:proofErr w:type="spellEnd"/>
      <w:r w:rsidRPr="000B03F5">
        <w:rPr>
          <w:rFonts w:eastAsia="Calibri"/>
          <w:sz w:val="20"/>
          <w:szCs w:val="20"/>
          <w:lang w:val="en-US" w:eastAsia="en-US"/>
        </w:rPr>
        <w:t xml:space="preserve">. </w:t>
      </w:r>
    </w:p>
  </w:footnote>
  <w:footnote w:id="2">
    <w:p w:rsidR="00C605F7" w:rsidRPr="000B03F5" w:rsidRDefault="00C605F7" w:rsidP="00893964">
      <w:pPr>
        <w:pStyle w:val="FootnoteText"/>
        <w:ind w:left="-567" w:right="566"/>
        <w:jc w:val="both"/>
      </w:pPr>
      <w:r w:rsidRPr="000B03F5">
        <w:rPr>
          <w:rStyle w:val="FootnoteReference"/>
        </w:rPr>
        <w:footnoteRef/>
      </w:r>
      <w:r w:rsidRPr="000B03F5">
        <w:t xml:space="preserve"> </w:t>
      </w:r>
      <w:r w:rsidRPr="000B03F5">
        <w:t>Podaci o ukupnoj aktivi se odnose na četiri lizing kuće, dok se ukupnom aktivom u ovom smislu ne obuhvataju plasmani banke.</w:t>
      </w:r>
    </w:p>
  </w:footnote>
  <w:footnote w:id="3">
    <w:p w:rsidR="00C605F7" w:rsidRPr="000B03F5" w:rsidRDefault="00C605F7" w:rsidP="00893964">
      <w:pPr>
        <w:pStyle w:val="FootnoteText"/>
      </w:pPr>
      <w:r w:rsidRPr="000B03F5">
        <w:rPr>
          <w:rStyle w:val="FootnoteReference"/>
        </w:rPr>
        <w:footnoteRef/>
      </w:r>
      <w:r w:rsidRPr="000B03F5">
        <w:t xml:space="preserve"> </w:t>
      </w:r>
      <w:r w:rsidRPr="000B03F5">
        <w:t>Korišten je podatak Centralne banke Crne Gore</w:t>
      </w:r>
    </w:p>
  </w:footnote>
  <w:footnote w:id="4">
    <w:p w:rsidR="00C605F7" w:rsidRPr="000B03F5" w:rsidRDefault="00C605F7" w:rsidP="000B03F5">
      <w:pPr>
        <w:rPr>
          <w:color w:val="000000"/>
          <w:sz w:val="20"/>
          <w:szCs w:val="20"/>
        </w:rPr>
      </w:pPr>
      <w:r w:rsidRPr="000B03F5">
        <w:rPr>
          <w:rStyle w:val="FootnoteReference"/>
          <w:sz w:val="20"/>
          <w:szCs w:val="20"/>
        </w:rPr>
        <w:footnoteRef/>
      </w:r>
      <w:r w:rsidRPr="000B03F5">
        <w:rPr>
          <w:sz w:val="20"/>
          <w:szCs w:val="20"/>
        </w:rPr>
        <w:t xml:space="preserve"> </w:t>
      </w:r>
      <w:r w:rsidRPr="000B03F5">
        <w:rPr>
          <w:sz w:val="20"/>
          <w:szCs w:val="20"/>
        </w:rPr>
        <w:t>Korišten je podatak Ministarstva finansija o  procjenama BDP-a za 2016</w:t>
      </w:r>
      <w:r w:rsidR="000B03F5" w:rsidRPr="000B03F5">
        <w:rPr>
          <w:sz w:val="20"/>
          <w:szCs w:val="20"/>
        </w:rPr>
        <w:t xml:space="preserve">. </w:t>
      </w:r>
      <w:r w:rsidR="000B03F5" w:rsidRPr="000B03F5">
        <w:rPr>
          <w:sz w:val="20"/>
          <w:szCs w:val="20"/>
        </w:rPr>
        <w:t xml:space="preserve">godinu: </w:t>
      </w:r>
      <w:r w:rsidR="000B03F5" w:rsidRPr="000B03F5">
        <w:rPr>
          <w:color w:val="000000"/>
          <w:sz w:val="20"/>
          <w:szCs w:val="20"/>
        </w:rPr>
        <w:t>3,729.50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678F0"/>
    <w:multiLevelType w:val="hybridMultilevel"/>
    <w:tmpl w:val="08865B16"/>
    <w:lvl w:ilvl="0" w:tplc="08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4204602B"/>
    <w:multiLevelType w:val="hybridMultilevel"/>
    <w:tmpl w:val="BCD24AA4"/>
    <w:lvl w:ilvl="0" w:tplc="081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964"/>
    <w:rsid w:val="000B03F5"/>
    <w:rsid w:val="0012686F"/>
    <w:rsid w:val="00137912"/>
    <w:rsid w:val="00193315"/>
    <w:rsid w:val="001A0340"/>
    <w:rsid w:val="001D29CC"/>
    <w:rsid w:val="001E52E9"/>
    <w:rsid w:val="00252E7F"/>
    <w:rsid w:val="00277230"/>
    <w:rsid w:val="00336448"/>
    <w:rsid w:val="00384A87"/>
    <w:rsid w:val="003B5845"/>
    <w:rsid w:val="004A4943"/>
    <w:rsid w:val="004E40AF"/>
    <w:rsid w:val="004F79F7"/>
    <w:rsid w:val="00501421"/>
    <w:rsid w:val="00572210"/>
    <w:rsid w:val="0058465A"/>
    <w:rsid w:val="005C2A24"/>
    <w:rsid w:val="005D1D0A"/>
    <w:rsid w:val="0061518A"/>
    <w:rsid w:val="00637703"/>
    <w:rsid w:val="006D1E96"/>
    <w:rsid w:val="00740C7E"/>
    <w:rsid w:val="00780958"/>
    <w:rsid w:val="007909A4"/>
    <w:rsid w:val="007D1E88"/>
    <w:rsid w:val="007E3096"/>
    <w:rsid w:val="00823FBF"/>
    <w:rsid w:val="00835E00"/>
    <w:rsid w:val="00860003"/>
    <w:rsid w:val="008720ED"/>
    <w:rsid w:val="00893964"/>
    <w:rsid w:val="008A4CAC"/>
    <w:rsid w:val="008C79C5"/>
    <w:rsid w:val="008E4618"/>
    <w:rsid w:val="00904AE5"/>
    <w:rsid w:val="00973C60"/>
    <w:rsid w:val="00AE4406"/>
    <w:rsid w:val="00B724A8"/>
    <w:rsid w:val="00C03862"/>
    <w:rsid w:val="00C06616"/>
    <w:rsid w:val="00C605F7"/>
    <w:rsid w:val="00C73520"/>
    <w:rsid w:val="00CB5C8E"/>
    <w:rsid w:val="00D657AA"/>
    <w:rsid w:val="00DC63FA"/>
    <w:rsid w:val="00E21A42"/>
    <w:rsid w:val="00E86793"/>
    <w:rsid w:val="00EF4336"/>
    <w:rsid w:val="00F06483"/>
    <w:rsid w:val="00F51CE2"/>
    <w:rsid w:val="00FB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8939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3964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styleId="FootnoteReference">
    <w:name w:val="footnote reference"/>
    <w:uiPriority w:val="99"/>
    <w:semiHidden/>
    <w:rsid w:val="00893964"/>
    <w:rPr>
      <w:vertAlign w:val="superscript"/>
    </w:rPr>
  </w:style>
  <w:style w:type="character" w:styleId="Hyperlink">
    <w:name w:val="Hyperlink"/>
    <w:rsid w:val="008939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9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964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styleId="CommentReference">
    <w:name w:val="annotation reference"/>
    <w:rsid w:val="008939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39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3964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618"/>
    <w:rPr>
      <w:b/>
      <w:bCs/>
    </w:rPr>
  </w:style>
  <w:style w:type="paragraph" w:styleId="ListParagraph">
    <w:name w:val="List Paragraph"/>
    <w:basedOn w:val="Normal"/>
    <w:uiPriority w:val="34"/>
    <w:qFormat/>
    <w:rsid w:val="000B0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8939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3964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styleId="FootnoteReference">
    <w:name w:val="footnote reference"/>
    <w:uiPriority w:val="99"/>
    <w:semiHidden/>
    <w:rsid w:val="00893964"/>
    <w:rPr>
      <w:vertAlign w:val="superscript"/>
    </w:rPr>
  </w:style>
  <w:style w:type="character" w:styleId="Hyperlink">
    <w:name w:val="Hyperlink"/>
    <w:rsid w:val="008939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9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964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styleId="CommentReference">
    <w:name w:val="annotation reference"/>
    <w:rsid w:val="008939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39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3964"/>
    <w:rPr>
      <w:rFonts w:ascii="Times New Roman" w:eastAsia="Times New Roman" w:hAnsi="Times New Roman" w:cs="Times New Roman"/>
      <w:sz w:val="20"/>
      <w:szCs w:val="20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ladjana.pavlovic\Desktop\Folderi\zahtjevlizing\2016\Tabele%20za%20kvartalne%20izvjestaje%202016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ladjana.pavlovic\Desktop\Folderi\zahtjevlizing\2016\Tabele%20za%20kvartalne%20izvjestaje%202016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ladjana.pavlovic\AppData\Local\Microsoft\Windows\Temporary%20Internet%20Files\Content.Outlook\HPWXVSSQ\Tabela%20bilansi%202016-2015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ladjana.pavlovic\AppData\Local\Microsoft\Windows\Temporary%20Internet%20Files\Content.Outlook\HPWXVSSQ\Tabela%20bilansi%202016-2015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ladjana.pavlovic\Desktop\Folderi\zahtjevlizing\2014\Aktiva_pasiva%204%20lizing%20kuc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plotArea>
      <c:layout/>
      <c:pie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900"/>
                </a:pPr>
                <a:endParaRPr lang="sr-Latn-CS"/>
              </a:p>
            </c:txPr>
            <c:showVal val="1"/>
            <c:showCatName val="1"/>
            <c:showLeaderLines val="1"/>
          </c:dLbls>
          <c:cat>
            <c:strRef>
              <c:f>'Sektorska tabela'!$Y$17:$Y$27</c:f>
              <c:strCache>
                <c:ptCount val="11"/>
                <c:pt idx="0">
                  <c:v>Poljoprivreda, šumarstvo i ribarstvo</c:v>
                </c:pt>
                <c:pt idx="1">
                  <c:v>Građevinarstvo</c:v>
                </c:pt>
                <c:pt idx="2">
                  <c:v>Trgovina</c:v>
                </c:pt>
                <c:pt idx="3">
                  <c:v>Usluge smještaja i ishrane</c:v>
                </c:pt>
                <c:pt idx="4">
                  <c:v>Ostale usluge </c:v>
                </c:pt>
                <c:pt idx="5">
                  <c:v>Saobraćaj</c:v>
                </c:pt>
                <c:pt idx="6">
                  <c:v>Finansijske djelatnosti</c:v>
                </c:pt>
                <c:pt idx="7">
                  <c:v>Industrija</c:v>
                </c:pt>
                <c:pt idx="8">
                  <c:v>Zdravstvo, obrazovanje i socijalna zaštita</c:v>
                </c:pt>
                <c:pt idx="9">
                  <c:v>Državna uprava</c:v>
                </c:pt>
                <c:pt idx="10">
                  <c:v>Ostali sektori</c:v>
                </c:pt>
              </c:strCache>
            </c:strRef>
          </c:cat>
          <c:val>
            <c:numRef>
              <c:f>'Sektorska tabela'!$Z$17:$Z$27</c:f>
              <c:numCache>
                <c:formatCode>0.0%</c:formatCode>
                <c:ptCount val="11"/>
                <c:pt idx="0">
                  <c:v>1.0545792697538691E-3</c:v>
                </c:pt>
                <c:pt idx="1">
                  <c:v>3.7329756451335086E-2</c:v>
                </c:pt>
                <c:pt idx="2">
                  <c:v>0.25649377595617795</c:v>
                </c:pt>
                <c:pt idx="3">
                  <c:v>2.5338949795837999E-2</c:v>
                </c:pt>
                <c:pt idx="4">
                  <c:v>0.37282287993767471</c:v>
                </c:pt>
                <c:pt idx="5">
                  <c:v>4.0431561391619693E-2</c:v>
                </c:pt>
                <c:pt idx="6">
                  <c:v>4.1112381303023537E-3</c:v>
                </c:pt>
                <c:pt idx="7">
                  <c:v>3.1172878223126633E-2</c:v>
                </c:pt>
                <c:pt idx="8">
                  <c:v>1.8291040091510554E-2</c:v>
                </c:pt>
                <c:pt idx="9">
                  <c:v>0.16331796102795584</c:v>
                </c:pt>
                <c:pt idx="10">
                  <c:v>4.9635379724706635E-2</c:v>
                </c:pt>
              </c:numCache>
            </c:numRef>
          </c:val>
        </c:ser>
        <c:firstSliceAng val="0"/>
      </c:pieChart>
    </c:plotArea>
    <c:plotVisOnly val="1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sr-Latn-C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plotArea>
      <c:layout/>
      <c:pieChart>
        <c:varyColors val="1"/>
        <c:ser>
          <c:idx val="0"/>
          <c:order val="0"/>
          <c:explosion val="25"/>
          <c:dLbls>
            <c:dLbl>
              <c:idx val="1"/>
              <c:tx>
                <c:rich>
                  <a:bodyPr/>
                  <a:lstStyle/>
                  <a:p>
                    <a:r>
                      <a:rPr lang="vi-VN" sz="800"/>
                      <a:t>Građevinarstvo, 25.3%</a:t>
                    </a:r>
                  </a:p>
                </c:rich>
              </c:tx>
              <c:showVal val="1"/>
              <c:showCatName val="1"/>
            </c:dLbl>
            <c:showVal val="1"/>
            <c:showCatName val="1"/>
            <c:showLeaderLines val="1"/>
          </c:dLbls>
          <c:cat>
            <c:strRef>
              <c:f>'Sektorska tabela'!$P$20:$P$30</c:f>
              <c:strCache>
                <c:ptCount val="11"/>
                <c:pt idx="0">
                  <c:v>Poljoprivreda, šumarstvo i ribarstvo</c:v>
                </c:pt>
                <c:pt idx="1">
                  <c:v>Građevinarstvo</c:v>
                </c:pt>
                <c:pt idx="2">
                  <c:v>Trgovina</c:v>
                </c:pt>
                <c:pt idx="3">
                  <c:v>Usluge smještaja i ishrane</c:v>
                </c:pt>
                <c:pt idx="4">
                  <c:v>Ostale usluge</c:v>
                </c:pt>
                <c:pt idx="5">
                  <c:v>Saobraćaj</c:v>
                </c:pt>
                <c:pt idx="6">
                  <c:v>Finansijske djelatnosti</c:v>
                </c:pt>
                <c:pt idx="7">
                  <c:v>Industrija</c:v>
                </c:pt>
                <c:pt idx="8">
                  <c:v>Zdravstvo, obrazovanje i socijalna zaštita</c:v>
                </c:pt>
                <c:pt idx="9">
                  <c:v>Državna uprava</c:v>
                </c:pt>
                <c:pt idx="10">
                  <c:v>Ostali sektori</c:v>
                </c:pt>
              </c:strCache>
            </c:strRef>
          </c:cat>
          <c:val>
            <c:numRef>
              <c:f>'Sektorska tabela'!$Q$20:$Q$30</c:f>
              <c:numCache>
                <c:formatCode>0.0%</c:formatCode>
                <c:ptCount val="11"/>
                <c:pt idx="0">
                  <c:v>5.1085107540860069E-4</c:v>
                </c:pt>
                <c:pt idx="1">
                  <c:v>0.25313680748400391</c:v>
                </c:pt>
                <c:pt idx="2">
                  <c:v>0.18167355844348468</c:v>
                </c:pt>
                <c:pt idx="3">
                  <c:v>0.12328364854448061</c:v>
                </c:pt>
                <c:pt idx="4">
                  <c:v>0.18003994852540156</c:v>
                </c:pt>
                <c:pt idx="5">
                  <c:v>2.6424475898017732E-2</c:v>
                </c:pt>
                <c:pt idx="6">
                  <c:v>1.3011003041217306E-2</c:v>
                </c:pt>
                <c:pt idx="7">
                  <c:v>0.11458075947003579</c:v>
                </c:pt>
                <c:pt idx="8">
                  <c:v>6.1776926871548142E-3</c:v>
                </c:pt>
                <c:pt idx="9">
                  <c:v>2.3523261847666687E-2</c:v>
                </c:pt>
                <c:pt idx="10">
                  <c:v>7.7637992983128332E-2</c:v>
                </c:pt>
              </c:numCache>
            </c:numRef>
          </c:val>
        </c:ser>
        <c:firstSliceAng val="0"/>
      </c:pieChart>
    </c:plotArea>
    <c:plotVisOnly val="1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sr-Latn-C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sr-Latn-CS"/>
  <c:style val="10"/>
  <c:chart>
    <c:view3D>
      <c:rotX val="75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800"/>
                </a:pPr>
                <a:endParaRPr lang="sr-Latn-CS"/>
              </a:p>
            </c:txPr>
            <c:showCatName val="1"/>
            <c:showPercent val="1"/>
            <c:showLeaderLines val="1"/>
          </c:dLbls>
          <c:cat>
            <c:strRef>
              <c:f>BS!$O$16:$O$25</c:f>
              <c:strCache>
                <c:ptCount val="10"/>
                <c:pt idx="0">
                  <c:v>Nematerijalna ulaganja</c:v>
                </c:pt>
                <c:pt idx="1">
                  <c:v>Nekretnine, postrojenja, oprema i biološka sredstva</c:v>
                </c:pt>
                <c:pt idx="2">
                  <c:v>Dugoročna potraživanja</c:v>
                </c:pt>
                <c:pt idx="3">
                  <c:v>Dugoročni finansijski plasmani</c:v>
                </c:pt>
                <c:pt idx="4">
                  <c:v>Odložena poreska sredstva</c:v>
                </c:pt>
                <c:pt idx="5">
                  <c:v>Zalihe</c:v>
                </c:pt>
                <c:pt idx="6">
                  <c:v>Potraživanja od kupaca</c:v>
                </c:pt>
                <c:pt idx="7">
                  <c:v>Kratkoročni finansijski plasmani</c:v>
                </c:pt>
                <c:pt idx="8">
                  <c:v>Gotovinski ekvivalenti i gotovina</c:v>
                </c:pt>
                <c:pt idx="9">
                  <c:v>Porez na dodatu vrijednost i AVR</c:v>
                </c:pt>
              </c:strCache>
            </c:strRef>
          </c:cat>
          <c:val>
            <c:numRef>
              <c:f>BS!$P$16:$P$25</c:f>
              <c:numCache>
                <c:formatCode>#,##0.00</c:formatCode>
                <c:ptCount val="10"/>
                <c:pt idx="0">
                  <c:v>81738.28</c:v>
                </c:pt>
                <c:pt idx="1">
                  <c:v>6750370.79</c:v>
                </c:pt>
                <c:pt idx="2">
                  <c:v>9518703.1474220958</c:v>
                </c:pt>
                <c:pt idx="3">
                  <c:v>5219003</c:v>
                </c:pt>
                <c:pt idx="4">
                  <c:v>9577.49</c:v>
                </c:pt>
                <c:pt idx="5">
                  <c:v>5569644.7600000007</c:v>
                </c:pt>
                <c:pt idx="6">
                  <c:v>3563926.7315433538</c:v>
                </c:pt>
                <c:pt idx="7">
                  <c:v>8017560.1950813048</c:v>
                </c:pt>
                <c:pt idx="8">
                  <c:v>2611786</c:v>
                </c:pt>
                <c:pt idx="9">
                  <c:v>431409.16000000003</c:v>
                </c:pt>
              </c:numCache>
            </c:numRef>
          </c:val>
        </c:ser>
      </c:pie3DChart>
    </c:plotArea>
    <c:plotVisOnly val="1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sr-Latn-C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DUGOROČNA REZERVISANJA I DUGOROČNE OBAVEZE 
69%</a:t>
                    </a:r>
                  </a:p>
                </c:rich>
              </c:tx>
              <c:showVal val="1"/>
              <c:showCatName val="1"/>
              <c:showPercent val="1"/>
            </c:dLbl>
            <c:txPr>
              <a:bodyPr/>
              <a:lstStyle/>
              <a:p>
                <a:pPr>
                  <a:defRPr sz="800"/>
                </a:pPr>
                <a:endParaRPr lang="sr-Latn-CS"/>
              </a:p>
            </c:txPr>
            <c:showCatName val="1"/>
            <c:showPercent val="1"/>
            <c:showLeaderLines val="1"/>
          </c:dLbls>
          <c:cat>
            <c:strRef>
              <c:f>BS!$O$84:$O$87</c:f>
              <c:strCache>
                <c:ptCount val="4"/>
                <c:pt idx="0">
                  <c:v>KAPITAL</c:v>
                </c:pt>
                <c:pt idx="1">
                  <c:v>DUGOROČNA REZERVISANJA I DUGOROČNE OBAVEZE </c:v>
                </c:pt>
                <c:pt idx="2">
                  <c:v>ODLOŽENE PORESKE OBAVEZE</c:v>
                </c:pt>
                <c:pt idx="3">
                  <c:v>KRATKOROČNA REZERVISANJA I KRATKOROČNE OBAVEZE</c:v>
                </c:pt>
              </c:strCache>
            </c:strRef>
          </c:cat>
          <c:val>
            <c:numRef>
              <c:f>BS!$P$84:$P$87</c:f>
              <c:numCache>
                <c:formatCode>0.0%</c:formatCode>
                <c:ptCount val="4"/>
                <c:pt idx="0">
                  <c:v>3.486434140187622E-2</c:v>
                </c:pt>
                <c:pt idx="1">
                  <c:v>0.68808822498891042</c:v>
                </c:pt>
                <c:pt idx="2">
                  <c:v>1.0358905184089104E-3</c:v>
                </c:pt>
                <c:pt idx="3">
                  <c:v>0.27601154309080445</c:v>
                </c:pt>
              </c:numCache>
            </c:numRef>
          </c:val>
        </c:ser>
      </c:pie3DChart>
    </c:plotArea>
    <c:plotVisOnly val="1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sr-Latn-C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sr-Latn-CS"/>
  <c:chart>
    <c:plotArea>
      <c:layout/>
      <c:barChart>
        <c:barDir val="col"/>
        <c:grouping val="clustered"/>
        <c:ser>
          <c:idx val="0"/>
          <c:order val="0"/>
          <c:tx>
            <c:strRef>
              <c:f>Sheet2!$B$2</c:f>
              <c:strCache>
                <c:ptCount val="1"/>
                <c:pt idx="0">
                  <c:v>Bilansna suma lizing kuća (mil. €)</c:v>
                </c:pt>
              </c:strCache>
            </c:strRef>
          </c:tx>
          <c:dLbls>
            <c:showVal val="1"/>
          </c:dLbls>
          <c:cat>
            <c:numRef>
              <c:f>Sheet2!$A$3:$A$13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Sheet2!$B$3:$B$13</c:f>
              <c:numCache>
                <c:formatCode>General</c:formatCode>
                <c:ptCount val="11"/>
                <c:pt idx="0">
                  <c:v>79.599999999999994</c:v>
                </c:pt>
                <c:pt idx="1">
                  <c:v>167.9</c:v>
                </c:pt>
                <c:pt idx="2">
                  <c:v>247.6</c:v>
                </c:pt>
                <c:pt idx="3">
                  <c:v>252</c:v>
                </c:pt>
                <c:pt idx="4">
                  <c:v>203.4</c:v>
                </c:pt>
                <c:pt idx="5">
                  <c:v>172.3</c:v>
                </c:pt>
                <c:pt idx="6">
                  <c:v>143.9</c:v>
                </c:pt>
                <c:pt idx="7">
                  <c:v>116.9</c:v>
                </c:pt>
                <c:pt idx="8">
                  <c:v>88.2</c:v>
                </c:pt>
                <c:pt idx="9">
                  <c:v>48.8</c:v>
                </c:pt>
                <c:pt idx="10">
                  <c:v>41.8</c:v>
                </c:pt>
              </c:numCache>
            </c:numRef>
          </c:val>
        </c:ser>
        <c:axId val="74912512"/>
        <c:axId val="74914048"/>
      </c:barChart>
      <c:lineChart>
        <c:grouping val="standard"/>
        <c:ser>
          <c:idx val="1"/>
          <c:order val="1"/>
          <c:tx>
            <c:strRef>
              <c:f>Sheet2!$C$2</c:f>
              <c:strCache>
                <c:ptCount val="1"/>
                <c:pt idx="0">
                  <c:v>U odnosu na bilansnu sumu banaka</c:v>
                </c:pt>
              </c:strCache>
            </c:strRef>
          </c:tx>
          <c:marker>
            <c:symbol val="diamond"/>
            <c:size val="7"/>
            <c:spPr>
              <a:solidFill>
                <a:srgbClr val="FF0000"/>
              </a:solidFill>
            </c:spPr>
          </c:marker>
          <c:dLbls>
            <c:dLblPos val="t"/>
            <c:showVal val="1"/>
          </c:dLbls>
          <c:cat>
            <c:numRef>
              <c:f>Sheet2!$A$3:$A$13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Sheet2!$C$3:$C$13</c:f>
              <c:numCache>
                <c:formatCode>General</c:formatCode>
                <c:ptCount val="11"/>
                <c:pt idx="0">
                  <c:v>5.6</c:v>
                </c:pt>
                <c:pt idx="1">
                  <c:v>5.7</c:v>
                </c:pt>
                <c:pt idx="2">
                  <c:v>7.5</c:v>
                </c:pt>
                <c:pt idx="3">
                  <c:v>8.32</c:v>
                </c:pt>
                <c:pt idx="4">
                  <c:v>6.91</c:v>
                </c:pt>
                <c:pt idx="5">
                  <c:v>6.13</c:v>
                </c:pt>
                <c:pt idx="6">
                  <c:v>5.1199999999999992</c:v>
                </c:pt>
                <c:pt idx="7">
                  <c:v>3.9499999999999997</c:v>
                </c:pt>
                <c:pt idx="8">
                  <c:v>2.8099999999999996</c:v>
                </c:pt>
                <c:pt idx="9">
                  <c:v>1.55</c:v>
                </c:pt>
                <c:pt idx="10">
                  <c:v>1.1000000000000001</c:v>
                </c:pt>
              </c:numCache>
            </c:numRef>
          </c:val>
        </c:ser>
        <c:marker val="1"/>
        <c:axId val="74941568"/>
        <c:axId val="74915200"/>
      </c:lineChart>
      <c:catAx>
        <c:axId val="74912512"/>
        <c:scaling>
          <c:orientation val="minMax"/>
        </c:scaling>
        <c:axPos val="b"/>
        <c:numFmt formatCode="General" sourceLinked="1"/>
        <c:tickLblPos val="nextTo"/>
        <c:crossAx val="74914048"/>
        <c:crosses val="autoZero"/>
        <c:auto val="1"/>
        <c:lblAlgn val="ctr"/>
        <c:lblOffset val="100"/>
      </c:catAx>
      <c:valAx>
        <c:axId val="74914048"/>
        <c:scaling>
          <c:orientation val="minMax"/>
        </c:scaling>
        <c:axPos val="l"/>
        <c:numFmt formatCode="General" sourceLinked="1"/>
        <c:tickLblPos val="nextTo"/>
        <c:crossAx val="74912512"/>
        <c:crosses val="autoZero"/>
        <c:crossBetween val="between"/>
      </c:valAx>
      <c:valAx>
        <c:axId val="74915200"/>
        <c:scaling>
          <c:orientation val="minMax"/>
          <c:max val="40"/>
        </c:scaling>
        <c:axPos val="r"/>
        <c:numFmt formatCode="General" sourceLinked="1"/>
        <c:tickLblPos val="nextTo"/>
        <c:crossAx val="74941568"/>
        <c:crosses val="max"/>
        <c:crossBetween val="between"/>
        <c:majorUnit val="5"/>
        <c:minorUnit val="0.2"/>
      </c:valAx>
      <c:catAx>
        <c:axId val="74941568"/>
        <c:scaling>
          <c:orientation val="minMax"/>
        </c:scaling>
        <c:delete val="1"/>
        <c:axPos val="b"/>
        <c:numFmt formatCode="General" sourceLinked="1"/>
        <c:tickLblPos val="none"/>
        <c:crossAx val="74915200"/>
        <c:crosses val="autoZero"/>
        <c:auto val="1"/>
        <c:lblAlgn val="ctr"/>
        <c:lblOffset val="100"/>
      </c:catAx>
    </c:plotArea>
    <c:legend>
      <c:legendPos val="b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DC2D7-28A2-4489-99DE-9FA873B4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11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Virgjina Zadrima</dc:creator>
  <cp:lastModifiedBy>sladjana.pavlovic</cp:lastModifiedBy>
  <cp:revision>21</cp:revision>
  <dcterms:created xsi:type="dcterms:W3CDTF">2017-05-08T11:55:00Z</dcterms:created>
  <dcterms:modified xsi:type="dcterms:W3CDTF">2017-05-09T11:07:00Z</dcterms:modified>
</cp:coreProperties>
</file>