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BD78A" w14:textId="77777777" w:rsidR="00CF79FC" w:rsidRPr="00F74BDE" w:rsidRDefault="003800EA" w:rsidP="00CF79FC">
      <w:pPr>
        <w:jc w:val="center"/>
        <w:rPr>
          <w:sz w:val="28"/>
          <w:szCs w:val="28"/>
        </w:rPr>
      </w:pPr>
      <w:r w:rsidRPr="00F74BDE">
        <w:rPr>
          <w:b/>
          <w:sz w:val="28"/>
          <w:szCs w:val="28"/>
        </w:rPr>
        <w:t xml:space="preserve">SUPPLY </w:t>
      </w:r>
      <w:r w:rsidR="0096068D">
        <w:rPr>
          <w:b/>
          <w:sz w:val="28"/>
          <w:szCs w:val="28"/>
        </w:rPr>
        <w:t xml:space="preserve">CONTRACT </w:t>
      </w:r>
      <w:r w:rsidR="00C66C83">
        <w:rPr>
          <w:b/>
          <w:sz w:val="28"/>
          <w:szCs w:val="28"/>
        </w:rPr>
        <w:t>PRIOR INFORMATION</w:t>
      </w:r>
      <w:r w:rsidR="00CF79FC" w:rsidRPr="00F74BDE">
        <w:rPr>
          <w:b/>
          <w:sz w:val="28"/>
          <w:szCs w:val="28"/>
        </w:rPr>
        <w:t xml:space="preserve"> </w:t>
      </w:r>
      <w:r w:rsidR="00C66C83">
        <w:rPr>
          <w:b/>
          <w:sz w:val="28"/>
          <w:szCs w:val="28"/>
        </w:rPr>
        <w:t>NOTICE</w:t>
      </w:r>
    </w:p>
    <w:p w14:paraId="39A88AC5" w14:textId="77777777" w:rsidR="005D0033" w:rsidRPr="005D0033" w:rsidRDefault="005D0033" w:rsidP="005D0033">
      <w:pPr>
        <w:spacing w:before="240" w:after="0"/>
        <w:jc w:val="center"/>
        <w:rPr>
          <w:b/>
          <w:sz w:val="28"/>
          <w:szCs w:val="28"/>
        </w:rPr>
      </w:pPr>
      <w:r w:rsidRPr="005D0033">
        <w:rPr>
          <w:sz w:val="22"/>
          <w:szCs w:val="22"/>
        </w:rPr>
        <w:t xml:space="preserve"> </w:t>
      </w:r>
      <w:r w:rsidRPr="005D0033">
        <w:rPr>
          <w:b/>
          <w:sz w:val="28"/>
          <w:szCs w:val="28"/>
        </w:rPr>
        <w:t>Supply of the equipment for Implementation and Monitoring of Water Management, inland and costal, in Montenegro</w:t>
      </w:r>
    </w:p>
    <w:p w14:paraId="11E085E7" w14:textId="77777777" w:rsidR="00F74BDE" w:rsidRDefault="005D0033" w:rsidP="00F74BDE">
      <w:pPr>
        <w:spacing w:before="240" w:after="0"/>
        <w:jc w:val="center"/>
        <w:rPr>
          <w:rStyle w:val="Strong"/>
          <w:sz w:val="28"/>
          <w:szCs w:val="28"/>
        </w:rPr>
      </w:pPr>
      <w:r>
        <w:rPr>
          <w:rStyle w:val="Strong"/>
          <w:sz w:val="28"/>
          <w:szCs w:val="28"/>
        </w:rPr>
        <w:t>Montenegro</w:t>
      </w:r>
    </w:p>
    <w:p w14:paraId="6D7DBCB1" w14:textId="77777777" w:rsidR="005D0033" w:rsidRPr="00471F1B" w:rsidRDefault="005D0033" w:rsidP="00F74BDE">
      <w:pPr>
        <w:spacing w:before="240" w:after="0"/>
        <w:jc w:val="center"/>
        <w:rPr>
          <w:rStyle w:val="Strong"/>
          <w:sz w:val="20"/>
        </w:rPr>
      </w:pPr>
    </w:p>
    <w:p w14:paraId="0BBCC0F9" w14:textId="77777777" w:rsidR="006A4A90" w:rsidRPr="006A4A90" w:rsidRDefault="003800EA" w:rsidP="005D0033">
      <w:pPr>
        <w:numPr>
          <w:ilvl w:val="0"/>
          <w:numId w:val="3"/>
        </w:numPr>
        <w:tabs>
          <w:tab w:val="clear" w:pos="1440"/>
          <w:tab w:val="num" w:pos="426"/>
        </w:tabs>
        <w:ind w:left="426" w:hanging="426"/>
        <w:outlineLvl w:val="0"/>
        <w:rPr>
          <w:b/>
          <w:szCs w:val="24"/>
        </w:rPr>
      </w:pPr>
      <w:r w:rsidRPr="006417D5">
        <w:rPr>
          <w:rStyle w:val="Strong"/>
          <w:szCs w:val="24"/>
        </w:rPr>
        <w:t>Publication reference</w:t>
      </w:r>
      <w:r w:rsidR="005D0033" w:rsidRPr="005D0033">
        <w:rPr>
          <w:sz w:val="22"/>
          <w:szCs w:val="22"/>
        </w:rPr>
        <w:t xml:space="preserve"> </w:t>
      </w:r>
    </w:p>
    <w:p w14:paraId="33FDFA7C" w14:textId="77777777" w:rsidR="00471F1B" w:rsidRPr="00471F1B" w:rsidRDefault="00A34ED3" w:rsidP="00471F1B">
      <w:pPr>
        <w:pStyle w:val="Blockquote"/>
        <w:rPr>
          <w:sz w:val="22"/>
          <w:szCs w:val="22"/>
        </w:rPr>
      </w:pPr>
      <w:proofErr w:type="spellStart"/>
      <w:r w:rsidRPr="00471F1B">
        <w:rPr>
          <w:sz w:val="22"/>
          <w:szCs w:val="22"/>
        </w:rPr>
        <w:t>EuropeAid</w:t>
      </w:r>
      <w:proofErr w:type="spellEnd"/>
      <w:r w:rsidRPr="00471F1B">
        <w:rPr>
          <w:sz w:val="22"/>
          <w:szCs w:val="22"/>
        </w:rPr>
        <w:t>/140885/IH/SUP/ME</w:t>
      </w:r>
      <w:r w:rsidR="00471F1B">
        <w:rPr>
          <w:sz w:val="22"/>
          <w:szCs w:val="22"/>
        </w:rPr>
        <w:t xml:space="preserve">    </w:t>
      </w:r>
    </w:p>
    <w:p w14:paraId="3B64269D" w14:textId="317F2D08" w:rsidR="003800EA" w:rsidRPr="005D0033" w:rsidRDefault="003800EA" w:rsidP="005D0033">
      <w:pPr>
        <w:numPr>
          <w:ilvl w:val="0"/>
          <w:numId w:val="3"/>
        </w:numPr>
        <w:tabs>
          <w:tab w:val="clear" w:pos="1440"/>
          <w:tab w:val="num" w:pos="426"/>
        </w:tabs>
        <w:ind w:left="426" w:hanging="426"/>
        <w:outlineLvl w:val="0"/>
        <w:rPr>
          <w:rStyle w:val="Strong"/>
          <w:szCs w:val="24"/>
        </w:rPr>
      </w:pPr>
      <w:r w:rsidRPr="005D0033">
        <w:rPr>
          <w:rStyle w:val="Strong"/>
          <w:szCs w:val="24"/>
        </w:rPr>
        <w:t>Procedure</w:t>
      </w:r>
      <w:bookmarkStart w:id="0" w:name="_GoBack"/>
      <w:bookmarkEnd w:id="0"/>
    </w:p>
    <w:p w14:paraId="0C2A3A91" w14:textId="77777777" w:rsidR="003800EA" w:rsidRPr="003242D0" w:rsidRDefault="003800EA">
      <w:pPr>
        <w:pStyle w:val="Blockquote"/>
        <w:rPr>
          <w:sz w:val="22"/>
          <w:szCs w:val="22"/>
        </w:rPr>
      </w:pPr>
      <w:r w:rsidRPr="003242D0">
        <w:rPr>
          <w:sz w:val="22"/>
          <w:szCs w:val="22"/>
        </w:rPr>
        <w:t>Open</w:t>
      </w:r>
    </w:p>
    <w:p w14:paraId="4B1584DF" w14:textId="77777777" w:rsidR="003800EA" w:rsidRPr="006417D5" w:rsidRDefault="003800EA" w:rsidP="00F74BDE">
      <w:pPr>
        <w:numPr>
          <w:ilvl w:val="0"/>
          <w:numId w:val="3"/>
        </w:numPr>
        <w:tabs>
          <w:tab w:val="clear" w:pos="1440"/>
          <w:tab w:val="num" w:pos="426"/>
        </w:tabs>
        <w:ind w:left="426" w:hanging="426"/>
        <w:outlineLvl w:val="0"/>
        <w:rPr>
          <w:rStyle w:val="Strong"/>
          <w:szCs w:val="24"/>
        </w:rPr>
      </w:pPr>
      <w:r w:rsidRPr="0088745D">
        <w:rPr>
          <w:rStyle w:val="Strong"/>
          <w:szCs w:val="24"/>
          <w:lang w:val="en-GB"/>
        </w:rPr>
        <w:t>Programme</w:t>
      </w:r>
      <w:r w:rsidR="005B026D">
        <w:rPr>
          <w:rStyle w:val="Strong"/>
          <w:szCs w:val="24"/>
        </w:rPr>
        <w:t xml:space="preserve"> title</w:t>
      </w:r>
    </w:p>
    <w:p w14:paraId="139741B2" w14:textId="77777777" w:rsidR="005B026D" w:rsidRPr="00C66C83" w:rsidRDefault="005D0033" w:rsidP="005D605A">
      <w:pPr>
        <w:pStyle w:val="PRAGHeading2"/>
        <w:numPr>
          <w:ilvl w:val="0"/>
          <w:numId w:val="0"/>
        </w:numPr>
        <w:ind w:left="567"/>
        <w:rPr>
          <w:lang w:val="en-GB"/>
        </w:rPr>
      </w:pPr>
      <w:r w:rsidRPr="005D0033">
        <w:rPr>
          <w:sz w:val="22"/>
          <w:szCs w:val="22"/>
        </w:rPr>
        <w:t xml:space="preserve">Instrument for Pre-Accession Assistance (IPA II) 2014-2020, IPA 2016 Annual </w:t>
      </w:r>
      <w:proofErr w:type="spellStart"/>
      <w:r w:rsidRPr="005D0033">
        <w:rPr>
          <w:sz w:val="22"/>
          <w:szCs w:val="22"/>
        </w:rPr>
        <w:t>Programme</w:t>
      </w:r>
      <w:proofErr w:type="spellEnd"/>
      <w:r w:rsidRPr="005D0033">
        <w:rPr>
          <w:sz w:val="22"/>
          <w:szCs w:val="22"/>
        </w:rPr>
        <w:t xml:space="preserve"> for Montenegro </w:t>
      </w:r>
    </w:p>
    <w:p w14:paraId="2CC0059C" w14:textId="77777777" w:rsidR="003800EA" w:rsidRPr="006417D5" w:rsidRDefault="003800EA" w:rsidP="00F74BDE">
      <w:pPr>
        <w:numPr>
          <w:ilvl w:val="0"/>
          <w:numId w:val="3"/>
        </w:numPr>
        <w:tabs>
          <w:tab w:val="clear" w:pos="1440"/>
          <w:tab w:val="num" w:pos="426"/>
        </w:tabs>
        <w:ind w:left="426" w:hanging="426"/>
        <w:outlineLvl w:val="0"/>
        <w:rPr>
          <w:rStyle w:val="Strong"/>
          <w:szCs w:val="24"/>
        </w:rPr>
      </w:pPr>
      <w:r w:rsidRPr="006417D5">
        <w:rPr>
          <w:rStyle w:val="Strong"/>
          <w:szCs w:val="24"/>
        </w:rPr>
        <w:t>Financing</w:t>
      </w:r>
    </w:p>
    <w:p w14:paraId="5DA3F122" w14:textId="77777777" w:rsidR="005D0033" w:rsidRDefault="005D0033" w:rsidP="005D0033">
      <w:pPr>
        <w:pStyle w:val="NormalWeb"/>
        <w:shd w:val="clear" w:color="auto" w:fill="FFFFFF"/>
        <w:spacing w:before="120" w:beforeAutospacing="0" w:after="120" w:afterAutospacing="0"/>
        <w:ind w:right="360" w:firstLine="426"/>
        <w:rPr>
          <w:color w:val="000000"/>
        </w:rPr>
      </w:pPr>
      <w:r>
        <w:rPr>
          <w:color w:val="000000"/>
          <w:sz w:val="22"/>
          <w:szCs w:val="22"/>
        </w:rPr>
        <w:t>IPA 2016, Financing agreement IPA II</w:t>
      </w:r>
    </w:p>
    <w:p w14:paraId="75669FC8" w14:textId="77777777" w:rsidR="0071722D" w:rsidRPr="00F74BDE" w:rsidRDefault="003800EA" w:rsidP="00F74BDE">
      <w:pPr>
        <w:numPr>
          <w:ilvl w:val="0"/>
          <w:numId w:val="3"/>
        </w:numPr>
        <w:tabs>
          <w:tab w:val="clear" w:pos="1440"/>
          <w:tab w:val="num" w:pos="426"/>
        </w:tabs>
        <w:ind w:left="426" w:hanging="426"/>
        <w:outlineLvl w:val="0"/>
      </w:pPr>
      <w:r w:rsidRPr="006417D5">
        <w:rPr>
          <w:rStyle w:val="Strong"/>
          <w:szCs w:val="24"/>
        </w:rPr>
        <w:t>Contracting authority</w:t>
      </w:r>
    </w:p>
    <w:p w14:paraId="7D0CB436" w14:textId="77777777" w:rsidR="005D0033" w:rsidRDefault="005D0033" w:rsidP="005D0033">
      <w:pPr>
        <w:pStyle w:val="m5947236695484439646msolistparagraph"/>
        <w:shd w:val="clear" w:color="auto" w:fill="FFFFFF"/>
        <w:spacing w:before="0" w:beforeAutospacing="0" w:after="0" w:afterAutospacing="0"/>
        <w:ind w:firstLine="426"/>
        <w:rPr>
          <w:sz w:val="22"/>
          <w:szCs w:val="22"/>
        </w:rPr>
      </w:pPr>
      <w:r>
        <w:rPr>
          <w:sz w:val="22"/>
          <w:szCs w:val="22"/>
        </w:rPr>
        <w:t xml:space="preserve">Public Works Administration, </w:t>
      </w:r>
      <w:proofErr w:type="spellStart"/>
      <w:r>
        <w:rPr>
          <w:sz w:val="22"/>
          <w:szCs w:val="22"/>
        </w:rPr>
        <w:t>Arsenija</w:t>
      </w:r>
      <w:proofErr w:type="spellEnd"/>
      <w:r>
        <w:rPr>
          <w:sz w:val="22"/>
          <w:szCs w:val="22"/>
        </w:rPr>
        <w:t xml:space="preserve"> </w:t>
      </w:r>
      <w:proofErr w:type="spellStart"/>
      <w:r>
        <w:rPr>
          <w:sz w:val="22"/>
          <w:szCs w:val="22"/>
        </w:rPr>
        <w:t>Boljevića</w:t>
      </w:r>
      <w:proofErr w:type="spellEnd"/>
      <w:r>
        <w:rPr>
          <w:sz w:val="22"/>
          <w:szCs w:val="22"/>
        </w:rPr>
        <w:t xml:space="preserve"> 2a Str., 81000 Podgorica, Montenegro</w:t>
      </w:r>
    </w:p>
    <w:p w14:paraId="6B6A85DC" w14:textId="77777777" w:rsidR="003800EA" w:rsidRPr="006417D5" w:rsidRDefault="003800EA" w:rsidP="00F74BDE">
      <w:pPr>
        <w:numPr>
          <w:ilvl w:val="0"/>
          <w:numId w:val="3"/>
        </w:numPr>
        <w:tabs>
          <w:tab w:val="clear" w:pos="1440"/>
          <w:tab w:val="num" w:pos="426"/>
        </w:tabs>
        <w:ind w:left="426" w:hanging="426"/>
        <w:outlineLvl w:val="0"/>
        <w:rPr>
          <w:rStyle w:val="Strong"/>
          <w:szCs w:val="24"/>
        </w:rPr>
      </w:pPr>
      <w:r w:rsidRPr="006417D5">
        <w:rPr>
          <w:rStyle w:val="Strong"/>
          <w:szCs w:val="24"/>
        </w:rPr>
        <w:t>Contract description</w:t>
      </w:r>
    </w:p>
    <w:p w14:paraId="709E27B4" w14:textId="77777777" w:rsidR="005D0033" w:rsidRDefault="005D0033" w:rsidP="005D0033">
      <w:pPr>
        <w:spacing w:before="0" w:after="0"/>
        <w:ind w:left="450"/>
        <w:jc w:val="both"/>
        <w:rPr>
          <w:color w:val="000000"/>
          <w:sz w:val="22"/>
          <w:szCs w:val="22"/>
        </w:rPr>
      </w:pPr>
      <w:r>
        <w:rPr>
          <w:color w:val="000000"/>
          <w:sz w:val="22"/>
          <w:szCs w:val="22"/>
        </w:rPr>
        <w:t xml:space="preserve">The purpose of this contract under the </w:t>
      </w:r>
      <w:proofErr w:type="spellStart"/>
      <w:r>
        <w:rPr>
          <w:color w:val="000000"/>
          <w:sz w:val="22"/>
          <w:szCs w:val="22"/>
        </w:rPr>
        <w:t>Programme</w:t>
      </w:r>
      <w:proofErr w:type="spellEnd"/>
      <w:r>
        <w:rPr>
          <w:color w:val="000000"/>
          <w:sz w:val="22"/>
          <w:szCs w:val="22"/>
        </w:rPr>
        <w:t xml:space="preserve"> is to enable Ministry of Agriculture and Rural Development, </w:t>
      </w:r>
      <w:r>
        <w:rPr>
          <w:sz w:val="22"/>
          <w:szCs w:val="22"/>
          <w:shd w:val="clear" w:color="auto" w:fill="FFFFFF"/>
        </w:rPr>
        <w:t>Ministry of Sustainable Development and Tourism</w:t>
      </w:r>
      <w:r>
        <w:rPr>
          <w:color w:val="000000"/>
          <w:sz w:val="22"/>
          <w:szCs w:val="22"/>
        </w:rPr>
        <w:t xml:space="preserve"> and other beneficiaries to prepare the ground for implementation of the EU Water Framework Directive and all water related directives through provision of equipment for water quality and quantity monitoring for inland and coastal waters.</w:t>
      </w:r>
    </w:p>
    <w:p w14:paraId="7E661C0C" w14:textId="77777777" w:rsidR="003800EA" w:rsidRPr="003242D0" w:rsidRDefault="003800EA">
      <w:pPr>
        <w:pStyle w:val="Blockquote"/>
        <w:rPr>
          <w:sz w:val="22"/>
          <w:szCs w:val="22"/>
        </w:rPr>
      </w:pPr>
    </w:p>
    <w:p w14:paraId="2E4EFBB6" w14:textId="77777777" w:rsidR="003800EA" w:rsidRPr="006417D5" w:rsidRDefault="003800EA" w:rsidP="00F74BDE">
      <w:pPr>
        <w:numPr>
          <w:ilvl w:val="0"/>
          <w:numId w:val="3"/>
        </w:numPr>
        <w:tabs>
          <w:tab w:val="clear" w:pos="1440"/>
          <w:tab w:val="num" w:pos="426"/>
        </w:tabs>
        <w:ind w:left="426" w:hanging="426"/>
        <w:outlineLvl w:val="0"/>
        <w:rPr>
          <w:rStyle w:val="Strong"/>
          <w:szCs w:val="24"/>
        </w:rPr>
      </w:pPr>
      <w:r w:rsidRPr="006417D5">
        <w:rPr>
          <w:rStyle w:val="Strong"/>
          <w:szCs w:val="24"/>
        </w:rPr>
        <w:t xml:space="preserve">Indicative number and titles of </w:t>
      </w:r>
      <w:r w:rsidR="00DC0882">
        <w:rPr>
          <w:rStyle w:val="Strong"/>
          <w:szCs w:val="24"/>
        </w:rPr>
        <w:t>l</w:t>
      </w:r>
      <w:r w:rsidRPr="006417D5">
        <w:rPr>
          <w:rStyle w:val="Strong"/>
          <w:szCs w:val="24"/>
        </w:rPr>
        <w:t>ots</w:t>
      </w:r>
    </w:p>
    <w:p w14:paraId="271B38A1" w14:textId="77777777" w:rsidR="005D0033" w:rsidRDefault="005D0033" w:rsidP="005D0033">
      <w:pPr>
        <w:shd w:val="clear" w:color="auto" w:fill="FFFFFF"/>
        <w:spacing w:before="60" w:after="0"/>
        <w:ind w:left="450"/>
        <w:rPr>
          <w:sz w:val="22"/>
          <w:szCs w:val="22"/>
        </w:rPr>
      </w:pPr>
      <w:r>
        <w:rPr>
          <w:sz w:val="22"/>
          <w:szCs w:val="22"/>
        </w:rPr>
        <w:t>15 LOTs</w:t>
      </w:r>
    </w:p>
    <w:p w14:paraId="5A584537" w14:textId="77777777" w:rsidR="005D0033" w:rsidRDefault="005D0033" w:rsidP="005D0033">
      <w:pPr>
        <w:shd w:val="clear" w:color="auto" w:fill="FFFFFF"/>
        <w:spacing w:before="60" w:after="0"/>
        <w:ind w:left="450"/>
        <w:rPr>
          <w:color w:val="000000"/>
          <w:sz w:val="22"/>
          <w:szCs w:val="22"/>
        </w:rPr>
      </w:pPr>
      <w:r>
        <w:rPr>
          <w:color w:val="000000"/>
          <w:sz w:val="22"/>
          <w:szCs w:val="22"/>
        </w:rPr>
        <w:t>Lot 1: Ion Chromatograph</w:t>
      </w:r>
    </w:p>
    <w:p w14:paraId="076428D3" w14:textId="77777777" w:rsidR="005D0033" w:rsidRDefault="005D0033" w:rsidP="005D0033">
      <w:pPr>
        <w:shd w:val="clear" w:color="auto" w:fill="FFFFFF"/>
        <w:spacing w:before="60" w:after="0"/>
        <w:ind w:left="450"/>
        <w:rPr>
          <w:color w:val="000000"/>
          <w:sz w:val="22"/>
          <w:szCs w:val="22"/>
        </w:rPr>
      </w:pPr>
      <w:r>
        <w:rPr>
          <w:color w:val="000000"/>
          <w:sz w:val="22"/>
          <w:szCs w:val="22"/>
        </w:rPr>
        <w:t>Lot 2: Groundwater borehole observation equipment</w:t>
      </w:r>
    </w:p>
    <w:p w14:paraId="287ED1F6" w14:textId="77777777" w:rsidR="005D0033" w:rsidRDefault="005D0033" w:rsidP="005D0033">
      <w:pPr>
        <w:shd w:val="clear" w:color="auto" w:fill="FFFFFF"/>
        <w:spacing w:before="60" w:after="0"/>
        <w:ind w:left="450"/>
        <w:rPr>
          <w:color w:val="000000"/>
          <w:sz w:val="22"/>
          <w:szCs w:val="22"/>
        </w:rPr>
      </w:pPr>
      <w:r>
        <w:rPr>
          <w:color w:val="000000"/>
          <w:sz w:val="22"/>
          <w:szCs w:val="22"/>
        </w:rPr>
        <w:t>Lot 3: Groundwater monitoring equipment</w:t>
      </w:r>
    </w:p>
    <w:p w14:paraId="2449A3C2" w14:textId="77777777" w:rsidR="005D0033" w:rsidRDefault="005D0033" w:rsidP="005D0033">
      <w:pPr>
        <w:shd w:val="clear" w:color="auto" w:fill="FFFFFF"/>
        <w:spacing w:before="60" w:after="0"/>
        <w:ind w:left="450"/>
        <w:rPr>
          <w:color w:val="000000"/>
          <w:sz w:val="22"/>
          <w:szCs w:val="22"/>
        </w:rPr>
      </w:pPr>
      <w:r>
        <w:rPr>
          <w:color w:val="000000"/>
          <w:sz w:val="22"/>
          <w:szCs w:val="22"/>
        </w:rPr>
        <w:t>Lot 4: IT equipment</w:t>
      </w:r>
    </w:p>
    <w:p w14:paraId="381C17B4" w14:textId="77777777" w:rsidR="005D0033" w:rsidRDefault="005D0033" w:rsidP="005D0033">
      <w:pPr>
        <w:shd w:val="clear" w:color="auto" w:fill="FFFFFF"/>
        <w:spacing w:before="60" w:after="0"/>
        <w:ind w:left="450"/>
        <w:rPr>
          <w:color w:val="000000"/>
          <w:sz w:val="22"/>
          <w:szCs w:val="22"/>
        </w:rPr>
      </w:pPr>
      <w:r>
        <w:rPr>
          <w:color w:val="000000"/>
          <w:sz w:val="22"/>
          <w:szCs w:val="22"/>
        </w:rPr>
        <w:t>Lot 5: Gas Chromatograph Triple Quadrupole Mass Spectrometer</w:t>
      </w:r>
    </w:p>
    <w:p w14:paraId="28C62025" w14:textId="77777777" w:rsidR="005D0033" w:rsidRDefault="005D0033" w:rsidP="005D0033">
      <w:pPr>
        <w:shd w:val="clear" w:color="auto" w:fill="FFFFFF"/>
        <w:spacing w:before="60" w:after="0"/>
        <w:ind w:left="450"/>
        <w:rPr>
          <w:color w:val="000000"/>
          <w:sz w:val="22"/>
          <w:szCs w:val="22"/>
        </w:rPr>
      </w:pPr>
      <w:r>
        <w:rPr>
          <w:color w:val="000000"/>
          <w:sz w:val="22"/>
          <w:szCs w:val="22"/>
        </w:rPr>
        <w:t>Lot 6: Chemical Standards and Reference Materials</w:t>
      </w:r>
    </w:p>
    <w:p w14:paraId="53CBF76B" w14:textId="77777777" w:rsidR="005D0033" w:rsidRDefault="005D0033" w:rsidP="005D0033">
      <w:pPr>
        <w:shd w:val="clear" w:color="auto" w:fill="FFFFFF"/>
        <w:spacing w:before="60" w:after="0"/>
        <w:ind w:left="450"/>
        <w:rPr>
          <w:color w:val="000000"/>
          <w:sz w:val="22"/>
          <w:szCs w:val="22"/>
        </w:rPr>
      </w:pPr>
      <w:r>
        <w:rPr>
          <w:color w:val="000000"/>
          <w:sz w:val="22"/>
          <w:szCs w:val="22"/>
        </w:rPr>
        <w:t>Lot 7: Flow Cytometer</w:t>
      </w:r>
    </w:p>
    <w:p w14:paraId="52DFA4C1" w14:textId="77777777" w:rsidR="005D0033" w:rsidRDefault="005D0033" w:rsidP="005D0033">
      <w:pPr>
        <w:shd w:val="clear" w:color="auto" w:fill="FFFFFF"/>
        <w:spacing w:before="60" w:after="0"/>
        <w:ind w:left="450"/>
        <w:rPr>
          <w:color w:val="000000"/>
          <w:sz w:val="22"/>
          <w:szCs w:val="22"/>
        </w:rPr>
      </w:pPr>
      <w:r>
        <w:rPr>
          <w:color w:val="000000"/>
          <w:sz w:val="22"/>
          <w:szCs w:val="22"/>
        </w:rPr>
        <w:t>Lot 8: Hydrographic multi-parameter probe</w:t>
      </w:r>
    </w:p>
    <w:p w14:paraId="68C054A1" w14:textId="77777777" w:rsidR="005D0033" w:rsidRDefault="005D0033" w:rsidP="005D0033">
      <w:pPr>
        <w:shd w:val="clear" w:color="auto" w:fill="FFFFFF"/>
        <w:spacing w:before="60" w:after="0"/>
        <w:ind w:left="450"/>
        <w:rPr>
          <w:color w:val="000000"/>
          <w:sz w:val="22"/>
          <w:szCs w:val="22"/>
        </w:rPr>
      </w:pPr>
      <w:r>
        <w:rPr>
          <w:color w:val="000000"/>
          <w:sz w:val="22"/>
          <w:szCs w:val="22"/>
        </w:rPr>
        <w:t xml:space="preserve">Lot 9: </w:t>
      </w:r>
      <w:r>
        <w:rPr>
          <w:sz w:val="22"/>
          <w:szCs w:val="22"/>
        </w:rPr>
        <w:t>Autonomous</w:t>
      </w:r>
      <w:r>
        <w:rPr>
          <w:color w:val="000000"/>
          <w:sz w:val="22"/>
          <w:szCs w:val="22"/>
        </w:rPr>
        <w:t xml:space="preserve"> Passive Acoustic Recording System</w:t>
      </w:r>
    </w:p>
    <w:p w14:paraId="357BA07F" w14:textId="77777777" w:rsidR="005D0033" w:rsidRDefault="005D0033" w:rsidP="005D0033">
      <w:pPr>
        <w:shd w:val="clear" w:color="auto" w:fill="FFFFFF"/>
        <w:spacing w:before="60" w:after="0"/>
        <w:ind w:left="450"/>
        <w:rPr>
          <w:color w:val="000000"/>
          <w:sz w:val="22"/>
          <w:szCs w:val="22"/>
        </w:rPr>
      </w:pPr>
      <w:r>
        <w:rPr>
          <w:color w:val="000000"/>
          <w:sz w:val="22"/>
          <w:szCs w:val="22"/>
        </w:rPr>
        <w:t>Lot 10: Wave Buoy with Acoustic Doppler Current Profiler</w:t>
      </w:r>
    </w:p>
    <w:p w14:paraId="62C8F337" w14:textId="77777777" w:rsidR="005D0033" w:rsidRDefault="005D0033" w:rsidP="005D0033">
      <w:pPr>
        <w:shd w:val="clear" w:color="auto" w:fill="FFFFFF"/>
        <w:spacing w:before="60" w:after="0"/>
        <w:ind w:left="450"/>
        <w:rPr>
          <w:color w:val="000000"/>
          <w:sz w:val="22"/>
          <w:szCs w:val="22"/>
        </w:rPr>
      </w:pPr>
      <w:r>
        <w:rPr>
          <w:color w:val="000000"/>
          <w:sz w:val="22"/>
          <w:szCs w:val="22"/>
        </w:rPr>
        <w:t>Lot 11: Tide Gauges equipment</w:t>
      </w:r>
    </w:p>
    <w:p w14:paraId="52275EF8" w14:textId="77777777" w:rsidR="005D0033" w:rsidRDefault="005D0033" w:rsidP="005D0033">
      <w:pPr>
        <w:spacing w:before="60" w:after="0"/>
        <w:ind w:left="450"/>
        <w:rPr>
          <w:sz w:val="22"/>
          <w:szCs w:val="22"/>
        </w:rPr>
      </w:pPr>
      <w:r>
        <w:rPr>
          <w:sz w:val="22"/>
          <w:szCs w:val="22"/>
        </w:rPr>
        <w:t>Lot 12: Underwater camera with movement sensor</w:t>
      </w:r>
    </w:p>
    <w:p w14:paraId="4B732FB4" w14:textId="77777777" w:rsidR="005D0033" w:rsidRDefault="005D0033" w:rsidP="005D0033">
      <w:pPr>
        <w:spacing w:before="60" w:after="0"/>
        <w:ind w:left="450"/>
        <w:rPr>
          <w:sz w:val="22"/>
          <w:szCs w:val="22"/>
        </w:rPr>
      </w:pPr>
      <w:r>
        <w:rPr>
          <w:sz w:val="22"/>
          <w:szCs w:val="22"/>
        </w:rPr>
        <w:t>Lot 13: Apochromatic Stereo Microscope and ancillary Equipment</w:t>
      </w:r>
    </w:p>
    <w:p w14:paraId="1CF9DD8A" w14:textId="77777777" w:rsidR="005D0033" w:rsidRDefault="005D0033" w:rsidP="005D0033">
      <w:pPr>
        <w:spacing w:before="60" w:after="0"/>
        <w:ind w:left="450"/>
        <w:rPr>
          <w:sz w:val="22"/>
          <w:szCs w:val="22"/>
        </w:rPr>
      </w:pPr>
      <w:r>
        <w:rPr>
          <w:sz w:val="22"/>
          <w:szCs w:val="22"/>
        </w:rPr>
        <w:lastRenderedPageBreak/>
        <w:t>Lot 14: Carbon Fiber Mounting Pole</w:t>
      </w:r>
    </w:p>
    <w:p w14:paraId="38B4C61C" w14:textId="77777777" w:rsidR="005D0033" w:rsidRDefault="005D0033" w:rsidP="005D0033">
      <w:pPr>
        <w:spacing w:before="60" w:after="0"/>
        <w:ind w:left="450"/>
        <w:rPr>
          <w:sz w:val="22"/>
          <w:szCs w:val="22"/>
        </w:rPr>
      </w:pPr>
      <w:r>
        <w:rPr>
          <w:sz w:val="22"/>
          <w:szCs w:val="22"/>
        </w:rPr>
        <w:t xml:space="preserve">Lot 15: Titanium/Stainless Steel multiparameter probe </w:t>
      </w:r>
    </w:p>
    <w:p w14:paraId="2AF97B3C" w14:textId="77777777" w:rsidR="003800EA" w:rsidRPr="003242D0" w:rsidRDefault="003800EA">
      <w:pPr>
        <w:pStyle w:val="Blockquote"/>
        <w:rPr>
          <w:sz w:val="22"/>
          <w:szCs w:val="22"/>
        </w:rPr>
      </w:pPr>
    </w:p>
    <w:p w14:paraId="3FF96B10" w14:textId="77777777" w:rsidR="003800EA" w:rsidRPr="006417D5" w:rsidRDefault="003800EA" w:rsidP="00F74BDE">
      <w:pPr>
        <w:numPr>
          <w:ilvl w:val="0"/>
          <w:numId w:val="3"/>
        </w:numPr>
        <w:tabs>
          <w:tab w:val="clear" w:pos="1440"/>
          <w:tab w:val="num" w:pos="426"/>
        </w:tabs>
        <w:ind w:left="426" w:hanging="426"/>
        <w:outlineLvl w:val="0"/>
        <w:rPr>
          <w:rStyle w:val="Strong"/>
          <w:szCs w:val="24"/>
        </w:rPr>
      </w:pPr>
      <w:r w:rsidRPr="006417D5">
        <w:rPr>
          <w:rStyle w:val="Strong"/>
          <w:szCs w:val="24"/>
        </w:rPr>
        <w:t>Intended timing of publication</w:t>
      </w:r>
      <w:r w:rsidR="00EE26E1">
        <w:rPr>
          <w:rStyle w:val="Strong"/>
          <w:szCs w:val="24"/>
        </w:rPr>
        <w:t xml:space="preserve"> of the </w:t>
      </w:r>
      <w:r w:rsidR="00C66C83">
        <w:rPr>
          <w:rStyle w:val="Strong"/>
          <w:szCs w:val="24"/>
        </w:rPr>
        <w:t>contract notice</w:t>
      </w:r>
    </w:p>
    <w:p w14:paraId="5E8D1C7A" w14:textId="77777777" w:rsidR="003800EA" w:rsidRPr="003242D0" w:rsidRDefault="005D0033">
      <w:pPr>
        <w:pStyle w:val="Blockquote"/>
        <w:rPr>
          <w:sz w:val="22"/>
          <w:szCs w:val="22"/>
        </w:rPr>
      </w:pPr>
      <w:r>
        <w:rPr>
          <w:sz w:val="22"/>
          <w:szCs w:val="22"/>
        </w:rPr>
        <w:t>July 2020</w:t>
      </w:r>
    </w:p>
    <w:p w14:paraId="668A6217" w14:textId="77777777" w:rsidR="003800EA" w:rsidRPr="006417D5" w:rsidRDefault="003800EA" w:rsidP="00F74BDE">
      <w:pPr>
        <w:numPr>
          <w:ilvl w:val="0"/>
          <w:numId w:val="3"/>
        </w:numPr>
        <w:tabs>
          <w:tab w:val="clear" w:pos="1440"/>
          <w:tab w:val="num" w:pos="426"/>
        </w:tabs>
        <w:ind w:left="426" w:hanging="426"/>
        <w:outlineLvl w:val="0"/>
        <w:rPr>
          <w:rStyle w:val="Strong"/>
          <w:szCs w:val="24"/>
        </w:rPr>
      </w:pPr>
      <w:r w:rsidRPr="006417D5">
        <w:rPr>
          <w:rStyle w:val="Strong"/>
          <w:szCs w:val="24"/>
        </w:rPr>
        <w:t>Additional information</w:t>
      </w:r>
    </w:p>
    <w:p w14:paraId="65E1EA2A" w14:textId="77777777" w:rsidR="005D0033" w:rsidRDefault="005D0033" w:rsidP="005D0033">
      <w:pPr>
        <w:pStyle w:val="Blockquote"/>
        <w:spacing w:before="120" w:after="120"/>
        <w:rPr>
          <w:sz w:val="22"/>
          <w:szCs w:val="22"/>
        </w:rPr>
      </w:pPr>
      <w:r>
        <w:rPr>
          <w:sz w:val="22"/>
          <w:szCs w:val="22"/>
        </w:rPr>
        <w:t>Not applicable</w:t>
      </w:r>
    </w:p>
    <w:p w14:paraId="26E136FC" w14:textId="77777777" w:rsidR="005D0033" w:rsidRPr="005D0033" w:rsidRDefault="003800EA" w:rsidP="00AA4E56">
      <w:pPr>
        <w:numPr>
          <w:ilvl w:val="0"/>
          <w:numId w:val="3"/>
        </w:numPr>
        <w:tabs>
          <w:tab w:val="clear" w:pos="1440"/>
          <w:tab w:val="num" w:pos="426"/>
        </w:tabs>
        <w:spacing w:before="120" w:after="0"/>
        <w:ind w:left="426" w:right="357" w:hanging="426"/>
        <w:jc w:val="both"/>
        <w:outlineLvl w:val="0"/>
        <w:rPr>
          <w:rStyle w:val="Strong"/>
          <w:b w:val="0"/>
          <w:sz w:val="22"/>
          <w:szCs w:val="22"/>
        </w:rPr>
      </w:pPr>
      <w:r w:rsidRPr="005D0033">
        <w:rPr>
          <w:rStyle w:val="Strong"/>
          <w:szCs w:val="24"/>
        </w:rPr>
        <w:t>Legal basis</w:t>
      </w:r>
      <w:r w:rsidR="005B026D">
        <w:rPr>
          <w:rStyle w:val="FootnoteReference"/>
          <w:b/>
          <w:szCs w:val="24"/>
        </w:rPr>
        <w:footnoteReference w:id="1"/>
      </w:r>
    </w:p>
    <w:p w14:paraId="29072057" w14:textId="365EC53B" w:rsidR="005D0033" w:rsidRDefault="005D0033" w:rsidP="005D0033">
      <w:pPr>
        <w:pStyle w:val="ListParagraph"/>
        <w:numPr>
          <w:ilvl w:val="0"/>
          <w:numId w:val="6"/>
        </w:numPr>
        <w:spacing w:before="120" w:after="0" w:line="276" w:lineRule="auto"/>
        <w:ind w:left="720" w:hanging="270"/>
        <w:jc w:val="both"/>
        <w:outlineLvl w:val="0"/>
        <w:rPr>
          <w:sz w:val="22"/>
          <w:szCs w:val="22"/>
        </w:rPr>
      </w:pPr>
      <w:r>
        <w:rPr>
          <w:sz w:val="22"/>
          <w:szCs w:val="22"/>
        </w:rPr>
        <w:t>Regulation (EU) No 231/2014 of the European Parliament and of the Council of 11</w:t>
      </w:r>
      <w:r w:rsidR="006A4A90" w:rsidRPr="006A4A90">
        <w:rPr>
          <w:sz w:val="22"/>
          <w:szCs w:val="22"/>
          <w:vertAlign w:val="superscript"/>
        </w:rPr>
        <w:t>th</w:t>
      </w:r>
      <w:r w:rsidR="006A4A90">
        <w:rPr>
          <w:sz w:val="22"/>
          <w:szCs w:val="22"/>
        </w:rPr>
        <w:t xml:space="preserve"> </w:t>
      </w:r>
      <w:r>
        <w:rPr>
          <w:sz w:val="22"/>
          <w:szCs w:val="22"/>
        </w:rPr>
        <w:t>March 2014 establishing an Instrument for Pre-Accession Assistance (IPA II)</w:t>
      </w:r>
    </w:p>
    <w:p w14:paraId="11706554" w14:textId="77777777" w:rsidR="005D0033" w:rsidRDefault="005D0033" w:rsidP="005D0033">
      <w:pPr>
        <w:pStyle w:val="Blockquote"/>
        <w:numPr>
          <w:ilvl w:val="0"/>
          <w:numId w:val="7"/>
        </w:numPr>
        <w:snapToGrid w:val="0"/>
        <w:spacing w:before="120" w:after="0" w:line="276" w:lineRule="auto"/>
        <w:ind w:left="720" w:right="4" w:hanging="270"/>
        <w:jc w:val="both"/>
        <w:rPr>
          <w:sz w:val="22"/>
          <w:szCs w:val="22"/>
        </w:rPr>
      </w:pPr>
      <w:r>
        <w:rPr>
          <w:sz w:val="22"/>
          <w:szCs w:val="22"/>
        </w:rPr>
        <w:t>Regulation (EU) No 236/2014 of the European Parliament and of the Council of 11</w:t>
      </w:r>
      <w:r w:rsidR="006A4A90" w:rsidRPr="006A4A90">
        <w:rPr>
          <w:sz w:val="22"/>
          <w:szCs w:val="22"/>
          <w:vertAlign w:val="superscript"/>
        </w:rPr>
        <w:t>th</w:t>
      </w:r>
      <w:r w:rsidR="006A4A90">
        <w:rPr>
          <w:sz w:val="22"/>
          <w:szCs w:val="22"/>
        </w:rPr>
        <w:t xml:space="preserve"> </w:t>
      </w:r>
      <w:r>
        <w:rPr>
          <w:sz w:val="22"/>
          <w:szCs w:val="22"/>
        </w:rPr>
        <w:t>March 2014 laying down common rules and procedures for the</w:t>
      </w:r>
      <w:r>
        <w:rPr>
          <w:sz w:val="22"/>
          <w:szCs w:val="22"/>
          <w:lang w:val="en-GB"/>
        </w:rPr>
        <w:t xml:space="preserve"> implementation of the Union's instruments for financing external action;</w:t>
      </w:r>
    </w:p>
    <w:p w14:paraId="1FEBF214" w14:textId="77777777" w:rsidR="005D0033" w:rsidRDefault="005D0033" w:rsidP="005D0033">
      <w:pPr>
        <w:pStyle w:val="Blockquote"/>
        <w:numPr>
          <w:ilvl w:val="0"/>
          <w:numId w:val="8"/>
        </w:numPr>
        <w:snapToGrid w:val="0"/>
        <w:spacing w:before="120" w:after="0"/>
        <w:ind w:left="720" w:right="357" w:hanging="270"/>
        <w:jc w:val="both"/>
        <w:rPr>
          <w:sz w:val="22"/>
          <w:szCs w:val="22"/>
        </w:rPr>
      </w:pPr>
      <w:r>
        <w:rPr>
          <w:sz w:val="22"/>
          <w:szCs w:val="22"/>
        </w:rPr>
        <w:t>Commission Implementing Regulation (EU) No 447/2014 of 2</w:t>
      </w:r>
      <w:r w:rsidR="006A4A90" w:rsidRPr="006A4A90">
        <w:rPr>
          <w:sz w:val="22"/>
          <w:szCs w:val="22"/>
          <w:vertAlign w:val="superscript"/>
        </w:rPr>
        <w:t>nd</w:t>
      </w:r>
      <w:r w:rsidR="006A4A90">
        <w:rPr>
          <w:sz w:val="22"/>
          <w:szCs w:val="22"/>
        </w:rPr>
        <w:t xml:space="preserve"> </w:t>
      </w:r>
      <w:r>
        <w:rPr>
          <w:sz w:val="22"/>
          <w:szCs w:val="22"/>
        </w:rPr>
        <w:t>May 2014 on the specific rules for implementing Regulation (EU) No 231/2014 of the European Parliament and of the Council of 11</w:t>
      </w:r>
      <w:r w:rsidR="006A4A90" w:rsidRPr="006A4A90">
        <w:rPr>
          <w:sz w:val="22"/>
          <w:szCs w:val="22"/>
          <w:vertAlign w:val="superscript"/>
        </w:rPr>
        <w:t>th</w:t>
      </w:r>
      <w:r w:rsidR="006A4A90">
        <w:rPr>
          <w:sz w:val="22"/>
          <w:szCs w:val="22"/>
        </w:rPr>
        <w:t xml:space="preserve"> </w:t>
      </w:r>
      <w:r>
        <w:rPr>
          <w:sz w:val="22"/>
          <w:szCs w:val="22"/>
        </w:rPr>
        <w:t>March 2014 establishing an Instrument for Pre-Accession Assistance (IPA II).</w:t>
      </w:r>
    </w:p>
    <w:p w14:paraId="39B2A356" w14:textId="77777777" w:rsidR="005D0033" w:rsidRPr="005D0033" w:rsidRDefault="005D0033" w:rsidP="005D0033">
      <w:pPr>
        <w:spacing w:before="120" w:after="0"/>
        <w:ind w:left="426" w:right="357"/>
        <w:jc w:val="both"/>
        <w:outlineLvl w:val="0"/>
        <w:rPr>
          <w:rStyle w:val="Strong"/>
          <w:b w:val="0"/>
          <w:sz w:val="22"/>
          <w:szCs w:val="22"/>
        </w:rPr>
      </w:pPr>
    </w:p>
    <w:p w14:paraId="1D1D98AC" w14:textId="77777777" w:rsidR="00004765" w:rsidRPr="00795D88" w:rsidRDefault="00004765" w:rsidP="00004765">
      <w:pPr>
        <w:widowControl/>
        <w:spacing w:before="0" w:after="0"/>
        <w:ind w:left="426"/>
        <w:jc w:val="both"/>
        <w:rPr>
          <w:sz w:val="22"/>
          <w:szCs w:val="22"/>
        </w:rPr>
      </w:pPr>
      <w:r w:rsidRPr="00795D88">
        <w:rPr>
          <w:sz w:val="22"/>
          <w:szCs w:val="22"/>
        </w:rPr>
        <w:t xml:space="preserve">For UK candidates or tenderers: Please be aware that following the entry into force of the EU-UK Withdrawal Agreement* on 1 February 2020 and in particular Articles 127(6), 137 and 138, the references to natural or legal persons residing or established in a Member State of the European Union and to goods originating from an eligible country, as defined under Regulation (EU) No 236/2014** and Annex IV of the ACP-EU Partnership Agreement***, are to be understood as including natural or legal persons residing or established in, and to goods originating from, the United Kingdom ****. Those persons and goods are therefore eligible under this call. </w:t>
      </w:r>
    </w:p>
    <w:p w14:paraId="1376C465" w14:textId="77777777" w:rsidR="00004765" w:rsidRPr="00795D88" w:rsidRDefault="00004765" w:rsidP="00004765">
      <w:pPr>
        <w:widowControl/>
        <w:spacing w:before="0" w:after="0"/>
        <w:ind w:left="426"/>
        <w:jc w:val="both"/>
        <w:rPr>
          <w:sz w:val="22"/>
          <w:szCs w:val="22"/>
        </w:rPr>
      </w:pPr>
      <w:r w:rsidRPr="00795D88">
        <w:rPr>
          <w:sz w:val="22"/>
          <w:szCs w:val="22"/>
        </w:rPr>
        <w:t>* Agreement on the withdrawal of the United Kingdom of Great Britain and Northern Ireland from the European Union and the European Atomic Energy Community.</w:t>
      </w:r>
    </w:p>
    <w:p w14:paraId="4E591C39" w14:textId="77777777" w:rsidR="00004765" w:rsidRPr="00795D88" w:rsidRDefault="00004765" w:rsidP="00004765">
      <w:pPr>
        <w:widowControl/>
        <w:spacing w:before="0" w:after="0"/>
        <w:ind w:left="426"/>
        <w:jc w:val="both"/>
        <w:rPr>
          <w:sz w:val="22"/>
          <w:szCs w:val="22"/>
        </w:rPr>
      </w:pPr>
      <w:r w:rsidRPr="00795D88">
        <w:rPr>
          <w:sz w:val="22"/>
          <w:szCs w:val="22"/>
        </w:rPr>
        <w:t>** Regulation (EU) No 236/2014 of the European Parliament and of the Council of 11 March 2014 laying down common rules and procedures for the implementation of the Union's instruments for financing external action.</w:t>
      </w:r>
    </w:p>
    <w:p w14:paraId="4B9CA620" w14:textId="77777777" w:rsidR="00004765" w:rsidRPr="00795D88" w:rsidRDefault="00004765" w:rsidP="00004765">
      <w:pPr>
        <w:widowControl/>
        <w:spacing w:before="0" w:after="0"/>
        <w:ind w:left="426"/>
        <w:jc w:val="both"/>
        <w:rPr>
          <w:sz w:val="22"/>
          <w:szCs w:val="22"/>
        </w:rPr>
      </w:pPr>
      <w:r w:rsidRPr="00795D88">
        <w:rPr>
          <w:sz w:val="22"/>
          <w:szCs w:val="22"/>
        </w:rPr>
        <w:t>*** Annex IV to the ACP-EU Partnership Agreement, as revised by Decision 1/2014 of the ACP-EU Council of Ministers (OJ L196/40, 3.7.2014)</w:t>
      </w:r>
    </w:p>
    <w:p w14:paraId="539DF749" w14:textId="77777777" w:rsidR="00004765" w:rsidRPr="00EF714F" w:rsidRDefault="00004765" w:rsidP="00004765">
      <w:pPr>
        <w:widowControl/>
        <w:spacing w:before="0" w:after="0"/>
        <w:ind w:left="426"/>
        <w:jc w:val="both"/>
        <w:rPr>
          <w:rFonts w:eastAsia="Calibri"/>
          <w:snapToGrid/>
          <w:sz w:val="22"/>
          <w:szCs w:val="22"/>
          <w:lang w:val="en-GB" w:eastAsia="fr-BE"/>
        </w:rPr>
      </w:pPr>
      <w:r w:rsidRPr="00795D88">
        <w:rPr>
          <w:sz w:val="22"/>
          <w:szCs w:val="22"/>
        </w:rPr>
        <w:t>**** including the Overseas Countries and Territories having special relations with the United Kingdom, as laid down in Part Four and Annex II of the TFEU</w:t>
      </w:r>
      <w:r w:rsidRPr="00795D88">
        <w:rPr>
          <w:rFonts w:eastAsia="Calibri"/>
          <w:iCs/>
          <w:snapToGrid/>
          <w:sz w:val="22"/>
          <w:szCs w:val="22"/>
          <w:lang w:val="en-GB" w:eastAsia="fr-BE"/>
        </w:rPr>
        <w:t>]</w:t>
      </w:r>
    </w:p>
    <w:p w14:paraId="6E24874E" w14:textId="77777777" w:rsidR="00004765" w:rsidRPr="001D592C" w:rsidRDefault="00004765" w:rsidP="00004765">
      <w:pPr>
        <w:pStyle w:val="Blockquote"/>
        <w:ind w:left="426"/>
        <w:jc w:val="both"/>
        <w:rPr>
          <w:sz w:val="22"/>
          <w:szCs w:val="22"/>
        </w:rPr>
      </w:pPr>
    </w:p>
    <w:p w14:paraId="0A67A8BC" w14:textId="77777777" w:rsidR="00004765" w:rsidRDefault="00004765" w:rsidP="00774078">
      <w:pPr>
        <w:pStyle w:val="Blockquote"/>
        <w:ind w:left="426"/>
        <w:jc w:val="both"/>
        <w:rPr>
          <w:sz w:val="22"/>
          <w:szCs w:val="22"/>
        </w:rPr>
      </w:pPr>
    </w:p>
    <w:p w14:paraId="45C0EF44" w14:textId="77777777" w:rsidR="00DC0882" w:rsidRDefault="00DC0882" w:rsidP="00DC0882">
      <w:pPr>
        <w:pStyle w:val="Blockquote"/>
        <w:pBdr>
          <w:top w:val="single" w:sz="4" w:space="1" w:color="auto"/>
        </w:pBdr>
        <w:rPr>
          <w:sz w:val="18"/>
          <w:szCs w:val="18"/>
        </w:rPr>
      </w:pPr>
    </w:p>
    <w:p w14:paraId="15A7DBAC" w14:textId="77777777" w:rsidR="003800EA" w:rsidRPr="00CF79FC" w:rsidRDefault="003800EA" w:rsidP="00DC0882">
      <w:pPr>
        <w:pStyle w:val="Blockquote"/>
        <w:pBdr>
          <w:top w:val="single" w:sz="4" w:space="1" w:color="auto"/>
        </w:pBdr>
        <w:rPr>
          <w:rStyle w:val="Strong"/>
          <w:sz w:val="18"/>
          <w:szCs w:val="18"/>
        </w:rPr>
      </w:pPr>
      <w:r w:rsidRPr="00CF79FC">
        <w:rPr>
          <w:sz w:val="18"/>
          <w:szCs w:val="18"/>
        </w:rPr>
        <w:t>Remarks</w:t>
      </w:r>
      <w:r w:rsidRPr="00CF79FC">
        <w:rPr>
          <w:rStyle w:val="Strong"/>
          <w:sz w:val="18"/>
          <w:szCs w:val="18"/>
        </w:rPr>
        <w:t>:</w:t>
      </w:r>
    </w:p>
    <w:p w14:paraId="63A31266" w14:textId="77777777" w:rsidR="003800EA" w:rsidRPr="00CF79FC" w:rsidRDefault="003800EA" w:rsidP="00E62F0B">
      <w:pPr>
        <w:pStyle w:val="Blockquote"/>
        <w:jc w:val="both"/>
        <w:rPr>
          <w:sz w:val="18"/>
          <w:szCs w:val="18"/>
        </w:rPr>
      </w:pPr>
      <w:r w:rsidRPr="00CF79FC">
        <w:rPr>
          <w:sz w:val="18"/>
          <w:szCs w:val="18"/>
        </w:rPr>
        <w:t xml:space="preserve">There must be a minimum period of 30 calendar days between the publication of this </w:t>
      </w:r>
      <w:r w:rsidR="0096068D">
        <w:rPr>
          <w:sz w:val="18"/>
          <w:szCs w:val="18"/>
        </w:rPr>
        <w:t>prior information notice</w:t>
      </w:r>
      <w:r w:rsidRPr="00CF79FC">
        <w:rPr>
          <w:sz w:val="18"/>
          <w:szCs w:val="18"/>
        </w:rPr>
        <w:t xml:space="preserve"> and the publication of the corresponding </w:t>
      </w:r>
      <w:r w:rsidR="0096068D">
        <w:rPr>
          <w:sz w:val="18"/>
          <w:szCs w:val="18"/>
        </w:rPr>
        <w:t>contract</w:t>
      </w:r>
      <w:r w:rsidR="0096068D" w:rsidRPr="00CF79FC">
        <w:rPr>
          <w:sz w:val="18"/>
          <w:szCs w:val="18"/>
        </w:rPr>
        <w:t xml:space="preserve"> </w:t>
      </w:r>
      <w:r w:rsidRPr="00CF79FC">
        <w:rPr>
          <w:sz w:val="18"/>
          <w:szCs w:val="18"/>
        </w:rPr>
        <w:t>notice.</w:t>
      </w:r>
    </w:p>
    <w:p w14:paraId="0205C6C0" w14:textId="77777777" w:rsidR="003800EA" w:rsidRPr="00CF79FC" w:rsidRDefault="003800EA" w:rsidP="00E62F0B">
      <w:pPr>
        <w:pStyle w:val="Blockquote"/>
        <w:jc w:val="both"/>
        <w:rPr>
          <w:sz w:val="18"/>
          <w:szCs w:val="18"/>
        </w:rPr>
      </w:pPr>
      <w:r w:rsidRPr="00CF79FC">
        <w:rPr>
          <w:sz w:val="18"/>
          <w:szCs w:val="18"/>
        </w:rPr>
        <w:t>No applications or requests for further information should be sent at this stage.</w:t>
      </w:r>
    </w:p>
    <w:sectPr w:rsidR="003800EA" w:rsidRPr="00CF79FC" w:rsidSect="00471F1B">
      <w:footerReference w:type="even" r:id="rId8"/>
      <w:footerReference w:type="default" r:id="rId9"/>
      <w:pgSz w:w="12240" w:h="15840"/>
      <w:pgMar w:top="1440" w:right="1440" w:bottom="1135" w:left="1440" w:header="450" w:footer="58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BAAE4" w14:textId="77777777" w:rsidR="00313210" w:rsidRDefault="00313210">
      <w:r>
        <w:separator/>
      </w:r>
    </w:p>
  </w:endnote>
  <w:endnote w:type="continuationSeparator" w:id="0">
    <w:p w14:paraId="04D5A864" w14:textId="77777777" w:rsidR="00313210" w:rsidRDefault="0031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CF261" w14:textId="77777777" w:rsidR="006F3D60" w:rsidRDefault="006F3D60" w:rsidP="00EB6E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9B5E29" w14:textId="77777777" w:rsidR="006F3D60" w:rsidRDefault="006F3D60" w:rsidP="00E62F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10485" w14:textId="77777777" w:rsidR="006F3D60" w:rsidRDefault="00E03AAF" w:rsidP="00E62F0B">
    <w:pPr>
      <w:pStyle w:val="Footer"/>
      <w:tabs>
        <w:tab w:val="left" w:pos="8535"/>
      </w:tabs>
      <w:spacing w:before="0" w:after="0"/>
      <w:ind w:right="360"/>
      <w:rPr>
        <w:b/>
        <w:sz w:val="20"/>
        <w:lang w:val="en-GB"/>
      </w:rPr>
    </w:pPr>
    <w:r>
      <w:rPr>
        <w:b/>
        <w:sz w:val="18"/>
        <w:lang w:val="en-GB"/>
      </w:rPr>
      <w:t>July 2019</w:t>
    </w:r>
  </w:p>
  <w:p w14:paraId="4827351D" w14:textId="77777777" w:rsidR="00941611" w:rsidRPr="007953C7" w:rsidRDefault="0096068D" w:rsidP="00E62F0B">
    <w:pPr>
      <w:pStyle w:val="Footer"/>
      <w:tabs>
        <w:tab w:val="left" w:pos="8535"/>
      </w:tabs>
      <w:spacing w:before="0" w:after="0"/>
      <w:ind w:right="360"/>
      <w:rPr>
        <w:sz w:val="20"/>
        <w:lang w:val="en-GB"/>
      </w:rPr>
    </w:pPr>
    <w:r w:rsidRPr="007953C7">
      <w:rPr>
        <w:sz w:val="20"/>
        <w:lang w:val="en-GB"/>
      </w:rPr>
      <w:t>c</w:t>
    </w:r>
    <w:r w:rsidR="00941611" w:rsidRPr="007953C7">
      <w:rPr>
        <w:sz w:val="20"/>
        <w:lang w:val="en-GB"/>
      </w:rPr>
      <w:t>1_priorinfo_en.doc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26488" w14:textId="77777777" w:rsidR="00313210" w:rsidRDefault="00313210" w:rsidP="00DC0882">
      <w:pPr>
        <w:spacing w:before="0" w:after="0"/>
      </w:pPr>
      <w:r>
        <w:separator/>
      </w:r>
    </w:p>
  </w:footnote>
  <w:footnote w:type="continuationSeparator" w:id="0">
    <w:p w14:paraId="6BF09A24" w14:textId="77777777" w:rsidR="00313210" w:rsidRDefault="00313210">
      <w:r>
        <w:continuationSeparator/>
      </w:r>
    </w:p>
  </w:footnote>
  <w:footnote w:id="1">
    <w:p w14:paraId="75B50C2B" w14:textId="77777777" w:rsidR="005B026D" w:rsidRPr="005D605A" w:rsidRDefault="005B026D" w:rsidP="00DC0882">
      <w:pPr>
        <w:pStyle w:val="FootnoteText"/>
        <w:rPr>
          <w:lang w:val="en-GB"/>
        </w:rPr>
      </w:pPr>
      <w:r>
        <w:rPr>
          <w:rStyle w:val="FootnoteReference"/>
        </w:rPr>
        <w:footnoteRef/>
      </w:r>
      <w:r w:rsidR="00DC0882">
        <w:t xml:space="preserve"> </w:t>
      </w:r>
      <w:r>
        <w:t xml:space="preserve">Please state any specificity that might have an impact on rules on participation (such as </w:t>
      </w:r>
      <w:r>
        <w:rPr>
          <w:lang w:val="en-GB"/>
        </w:rPr>
        <w:t>geographic or thematic</w:t>
      </w:r>
      <w:r w:rsidRPr="009A1C41">
        <w:rPr>
          <w:lang w:val="en-GB"/>
        </w:rPr>
        <w:t xml:space="preserve"> </w:t>
      </w:r>
      <w:r>
        <w:rPr>
          <w:lang w:val="en-GB"/>
        </w:rPr>
        <w:t>or long/short term).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C2E38"/>
    <w:multiLevelType w:val="hybridMultilevel"/>
    <w:tmpl w:val="1F00CD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188B2F05"/>
    <w:multiLevelType w:val="hybridMultilevel"/>
    <w:tmpl w:val="BCD497F4"/>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65F4330"/>
    <w:multiLevelType w:val="hybridMultilevel"/>
    <w:tmpl w:val="BF86F19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9605525"/>
    <w:multiLevelType w:val="hybridMultilevel"/>
    <w:tmpl w:val="708053E8"/>
    <w:lvl w:ilvl="0" w:tplc="1D4E93EC">
      <w:start w:val="1"/>
      <w:numFmt w:val="decimal"/>
      <w:lvlText w:val="%1."/>
      <w:lvlJc w:val="left"/>
      <w:pPr>
        <w:tabs>
          <w:tab w:val="num" w:pos="1440"/>
        </w:tabs>
        <w:ind w:left="1440" w:hanging="360"/>
      </w:pPr>
      <w:rPr>
        <w:rFonts w:ascii="Times New Roman" w:hAnsi="Times New Roman"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AD778CA"/>
    <w:multiLevelType w:val="hybridMultilevel"/>
    <w:tmpl w:val="395611DE"/>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numFmt w:val="bullet"/>
        <w:lvlText w:val=""/>
        <w:legacy w:legacy="1" w:legacySpace="0" w:legacyIndent="360"/>
        <w:lvlJc w:val="left"/>
        <w:pPr>
          <w:ind w:left="0" w:hanging="360"/>
        </w:pPr>
        <w:rPr>
          <w:rFonts w:ascii="Symbol" w:hAnsi="Symbol" w:hint="default"/>
        </w:rPr>
      </w:lvl>
    </w:lvlOverride>
  </w:num>
  <w:num w:numId="3">
    <w:abstractNumId w:val="5"/>
  </w:num>
  <w:num w:numId="4">
    <w:abstractNumId w:val="4"/>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61EB2"/>
    <w:rsid w:val="00004765"/>
    <w:rsid w:val="0005538B"/>
    <w:rsid w:val="000E0967"/>
    <w:rsid w:val="000E50A5"/>
    <w:rsid w:val="00174C3C"/>
    <w:rsid w:val="00196E6C"/>
    <w:rsid w:val="001A0DAD"/>
    <w:rsid w:val="001C1395"/>
    <w:rsid w:val="001C15D3"/>
    <w:rsid w:val="001C2912"/>
    <w:rsid w:val="001D592C"/>
    <w:rsid w:val="002027DA"/>
    <w:rsid w:val="00236CFE"/>
    <w:rsid w:val="002630F2"/>
    <w:rsid w:val="00267B1D"/>
    <w:rsid w:val="00274223"/>
    <w:rsid w:val="00293E6A"/>
    <w:rsid w:val="002C22AE"/>
    <w:rsid w:val="002E7DB0"/>
    <w:rsid w:val="002F5DD2"/>
    <w:rsid w:val="00313210"/>
    <w:rsid w:val="003175B9"/>
    <w:rsid w:val="003177C4"/>
    <w:rsid w:val="003242D0"/>
    <w:rsid w:val="0034025F"/>
    <w:rsid w:val="0034411F"/>
    <w:rsid w:val="0036035C"/>
    <w:rsid w:val="003800EA"/>
    <w:rsid w:val="00395324"/>
    <w:rsid w:val="003D5EB6"/>
    <w:rsid w:val="003E65CD"/>
    <w:rsid w:val="003F1107"/>
    <w:rsid w:val="00461B90"/>
    <w:rsid w:val="00470E1F"/>
    <w:rsid w:val="00471F1B"/>
    <w:rsid w:val="004A377D"/>
    <w:rsid w:val="004C3EF4"/>
    <w:rsid w:val="00500EEA"/>
    <w:rsid w:val="00504068"/>
    <w:rsid w:val="00512692"/>
    <w:rsid w:val="005856D9"/>
    <w:rsid w:val="00586F93"/>
    <w:rsid w:val="005A2DF8"/>
    <w:rsid w:val="005A78B5"/>
    <w:rsid w:val="005B026D"/>
    <w:rsid w:val="005B7FD1"/>
    <w:rsid w:val="005D0033"/>
    <w:rsid w:val="005D337E"/>
    <w:rsid w:val="005D605A"/>
    <w:rsid w:val="006417D5"/>
    <w:rsid w:val="006465FC"/>
    <w:rsid w:val="006A2159"/>
    <w:rsid w:val="006A4A90"/>
    <w:rsid w:val="006F3A29"/>
    <w:rsid w:val="006F3D60"/>
    <w:rsid w:val="0071722D"/>
    <w:rsid w:val="00721FB7"/>
    <w:rsid w:val="00724CCE"/>
    <w:rsid w:val="00774078"/>
    <w:rsid w:val="00790642"/>
    <w:rsid w:val="007953C7"/>
    <w:rsid w:val="00795D88"/>
    <w:rsid w:val="007A4CAD"/>
    <w:rsid w:val="00811C6E"/>
    <w:rsid w:val="00813455"/>
    <w:rsid w:val="00822D6B"/>
    <w:rsid w:val="008246CE"/>
    <w:rsid w:val="00847ADF"/>
    <w:rsid w:val="00862FAA"/>
    <w:rsid w:val="0088238A"/>
    <w:rsid w:val="0088745D"/>
    <w:rsid w:val="00894AED"/>
    <w:rsid w:val="008F12A6"/>
    <w:rsid w:val="00941611"/>
    <w:rsid w:val="00943778"/>
    <w:rsid w:val="00943E21"/>
    <w:rsid w:val="009518F0"/>
    <w:rsid w:val="0096068D"/>
    <w:rsid w:val="00961D3E"/>
    <w:rsid w:val="009756AD"/>
    <w:rsid w:val="009915C0"/>
    <w:rsid w:val="009A1538"/>
    <w:rsid w:val="009A6C83"/>
    <w:rsid w:val="00A34ED3"/>
    <w:rsid w:val="00A7656D"/>
    <w:rsid w:val="00AD57A6"/>
    <w:rsid w:val="00B34FA8"/>
    <w:rsid w:val="00B47275"/>
    <w:rsid w:val="00B8241E"/>
    <w:rsid w:val="00BA4DC3"/>
    <w:rsid w:val="00BB2900"/>
    <w:rsid w:val="00BB64B7"/>
    <w:rsid w:val="00BC5E51"/>
    <w:rsid w:val="00BD5AD6"/>
    <w:rsid w:val="00BE6600"/>
    <w:rsid w:val="00C66C83"/>
    <w:rsid w:val="00C758D1"/>
    <w:rsid w:val="00C902A2"/>
    <w:rsid w:val="00CB4894"/>
    <w:rsid w:val="00CE6A45"/>
    <w:rsid w:val="00CF3D40"/>
    <w:rsid w:val="00CF79FC"/>
    <w:rsid w:val="00D00211"/>
    <w:rsid w:val="00D13186"/>
    <w:rsid w:val="00DA29A7"/>
    <w:rsid w:val="00DB607F"/>
    <w:rsid w:val="00DC0882"/>
    <w:rsid w:val="00DF0F51"/>
    <w:rsid w:val="00E03AAF"/>
    <w:rsid w:val="00E102E2"/>
    <w:rsid w:val="00E205F9"/>
    <w:rsid w:val="00E27964"/>
    <w:rsid w:val="00E62F0B"/>
    <w:rsid w:val="00E90D7A"/>
    <w:rsid w:val="00EA61FB"/>
    <w:rsid w:val="00EB6E1D"/>
    <w:rsid w:val="00EC1438"/>
    <w:rsid w:val="00EC2A51"/>
    <w:rsid w:val="00EE26E1"/>
    <w:rsid w:val="00F01C3C"/>
    <w:rsid w:val="00F50349"/>
    <w:rsid w:val="00F5651F"/>
    <w:rsid w:val="00F61EB2"/>
    <w:rsid w:val="00F74BDE"/>
    <w:rsid w:val="00FB4665"/>
    <w:rsid w:val="00FC0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03281"/>
  <w15:chartTrackingRefBased/>
  <w15:docId w15:val="{A50FEA9D-B86B-4D2D-B38C-0354F79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82"/>
    <w:pPr>
      <w:widowControl w:val="0"/>
      <w:spacing w:before="100" w:after="10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uiPriority w:val="99"/>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E62F0B"/>
  </w:style>
  <w:style w:type="paragraph" w:styleId="BalloonText">
    <w:name w:val="Balloon Text"/>
    <w:basedOn w:val="Normal"/>
    <w:semiHidden/>
    <w:rsid w:val="00721FB7"/>
    <w:rPr>
      <w:rFonts w:ascii="Tahoma" w:hAnsi="Tahoma" w:cs="Tahoma"/>
      <w:sz w:val="16"/>
      <w:szCs w:val="16"/>
    </w:rPr>
  </w:style>
  <w:style w:type="paragraph" w:customStyle="1" w:styleId="PRAGHeading2">
    <w:name w:val="PRAG Heading 2"/>
    <w:basedOn w:val="Normal"/>
    <w:rsid w:val="005B026D"/>
    <w:pPr>
      <w:numPr>
        <w:numId w:val="5"/>
      </w:numPr>
    </w:pPr>
  </w:style>
  <w:style w:type="paragraph" w:styleId="FootnoteText">
    <w:name w:val="footnote text"/>
    <w:basedOn w:val="Normal"/>
    <w:link w:val="FootnoteTextChar"/>
    <w:autoRedefine/>
    <w:rsid w:val="00DC0882"/>
    <w:pPr>
      <w:spacing w:before="0" w:after="120"/>
    </w:pPr>
    <w:rPr>
      <w:sz w:val="20"/>
    </w:rPr>
  </w:style>
  <w:style w:type="character" w:customStyle="1" w:styleId="FootnoteTextChar">
    <w:name w:val="Footnote Text Char"/>
    <w:link w:val="FootnoteText"/>
    <w:rsid w:val="00DC0882"/>
    <w:rPr>
      <w:snapToGrid w:val="0"/>
      <w:lang w:val="en-US" w:eastAsia="en-US"/>
    </w:rPr>
  </w:style>
  <w:style w:type="character" w:styleId="FootnoteReference">
    <w:name w:val="footnote reference"/>
    <w:rsid w:val="005B026D"/>
    <w:rPr>
      <w:vertAlign w:val="superscript"/>
    </w:rPr>
  </w:style>
  <w:style w:type="paragraph" w:styleId="NormalWeb">
    <w:name w:val="Normal (Web)"/>
    <w:basedOn w:val="Normal"/>
    <w:uiPriority w:val="99"/>
    <w:unhideWhenUsed/>
    <w:rsid w:val="005D0033"/>
    <w:pPr>
      <w:widowControl/>
      <w:spacing w:beforeAutospacing="1" w:afterAutospacing="1"/>
    </w:pPr>
    <w:rPr>
      <w:snapToGrid/>
      <w:szCs w:val="24"/>
      <w:lang w:val="en-GB" w:eastAsia="en-GB"/>
    </w:rPr>
  </w:style>
  <w:style w:type="paragraph" w:customStyle="1" w:styleId="m5947236695484439646msolistparagraph">
    <w:name w:val="m_5947236695484439646msolistparagraph"/>
    <w:basedOn w:val="Normal"/>
    <w:uiPriority w:val="99"/>
    <w:rsid w:val="005D0033"/>
    <w:pPr>
      <w:widowControl/>
      <w:spacing w:beforeAutospacing="1" w:afterAutospacing="1"/>
    </w:pPr>
    <w:rPr>
      <w:snapToGrid/>
      <w:szCs w:val="24"/>
    </w:rPr>
  </w:style>
  <w:style w:type="paragraph" w:styleId="ListParagraph">
    <w:name w:val="List Paragraph"/>
    <w:basedOn w:val="Normal"/>
    <w:uiPriority w:val="34"/>
    <w:qFormat/>
    <w:rsid w:val="005D0033"/>
    <w:pPr>
      <w:snapToGrid w:val="0"/>
      <w:ind w:left="720"/>
      <w:contextualSpacing/>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88106">
      <w:bodyDiv w:val="1"/>
      <w:marLeft w:val="0"/>
      <w:marRight w:val="0"/>
      <w:marTop w:val="0"/>
      <w:marBottom w:val="0"/>
      <w:divBdr>
        <w:top w:val="none" w:sz="0" w:space="0" w:color="auto"/>
        <w:left w:val="none" w:sz="0" w:space="0" w:color="auto"/>
        <w:bottom w:val="none" w:sz="0" w:space="0" w:color="auto"/>
        <w:right w:val="none" w:sz="0" w:space="0" w:color="auto"/>
      </w:divBdr>
    </w:div>
    <w:div w:id="1286615952">
      <w:bodyDiv w:val="1"/>
      <w:marLeft w:val="0"/>
      <w:marRight w:val="0"/>
      <w:marTop w:val="0"/>
      <w:marBottom w:val="0"/>
      <w:divBdr>
        <w:top w:val="none" w:sz="0" w:space="0" w:color="auto"/>
        <w:left w:val="none" w:sz="0" w:space="0" w:color="auto"/>
        <w:bottom w:val="none" w:sz="0" w:space="0" w:color="auto"/>
        <w:right w:val="none" w:sz="0" w:space="0" w:color="auto"/>
      </w:divBdr>
    </w:div>
    <w:div w:id="156698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9D3E6-E6A0-437E-8489-65052B10B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Supply contract forecast</vt:lpstr>
    </vt:vector>
  </TitlesOfParts>
  <Company>European Commission</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contract forecast</dc:title>
  <dc:subject/>
  <dc:creator>chattob</dc:creator>
  <cp:keywords/>
  <cp:lastModifiedBy>Gordana Jovovic</cp:lastModifiedBy>
  <cp:revision>3</cp:revision>
  <cp:lastPrinted>2006-01-13T15:38:00Z</cp:lastPrinted>
  <dcterms:created xsi:type="dcterms:W3CDTF">2020-06-26T05:01:00Z</dcterms:created>
  <dcterms:modified xsi:type="dcterms:W3CDTF">2020-06-26T05:05:00Z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duboile</vt:lpwstr>
  </property>
</Properties>
</file>